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B10A3" w14:textId="08E2C8F9" w:rsidR="00416E6C" w:rsidRPr="00257F44" w:rsidRDefault="00112881" w:rsidP="00B0395A">
      <w:pPr>
        <w:pStyle w:val="Normalrglronly"/>
        <w:rPr>
          <w:lang w:val="uk-UA"/>
        </w:rPr>
      </w:pPr>
      <w:r w:rsidRPr="00257F44">
        <w:rPr>
          <w:noProof/>
          <w:lang w:val="uk-UA"/>
        </w:rPr>
        <w:drawing>
          <wp:anchor distT="0" distB="0" distL="114300" distR="114300" simplePos="0" relativeHeight="251653632" behindDoc="0" locked="0" layoutInCell="1" allowOverlap="1" wp14:anchorId="324323C3" wp14:editId="78B3E8B1">
            <wp:simplePos x="0" y="0"/>
            <wp:positionH relativeFrom="column">
              <wp:posOffset>-44873</wp:posOffset>
            </wp:positionH>
            <wp:positionV relativeFrom="paragraph">
              <wp:posOffset>-146897</wp:posOffset>
            </wp:positionV>
            <wp:extent cx="914400" cy="9144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6347ED" w:rsidRPr="00257F44">
        <w:rPr>
          <w:lang w:val="uk-UA"/>
        </w:rPr>
        <w:t>fe</w:t>
      </w:r>
    </w:p>
    <w:p w14:paraId="482C9960" w14:textId="77777777" w:rsidR="003178D9" w:rsidRPr="00257F44" w:rsidRDefault="003178D9" w:rsidP="00B0395A">
      <w:pPr>
        <w:pStyle w:val="Normalrglronly"/>
        <w:rPr>
          <w:lang w:val="uk-UA"/>
        </w:rPr>
      </w:pPr>
    </w:p>
    <w:p w14:paraId="0061C212" w14:textId="02E5E170" w:rsidR="00EF2CFA" w:rsidRPr="00257F44" w:rsidRDefault="00C73B44" w:rsidP="00416E6C">
      <w:pPr>
        <w:pStyle w:val="Title"/>
        <w:jc w:val="center"/>
        <w:rPr>
          <w:rFonts w:eastAsiaTheme="minorEastAsia"/>
          <w:smallCaps/>
          <w:sz w:val="28"/>
          <w:szCs w:val="28"/>
          <w:lang w:val="uk-UA"/>
        </w:rPr>
      </w:pPr>
      <w:r w:rsidRPr="00257F44">
        <w:rPr>
          <w:noProof/>
          <w:color w:val="1F497D" w:themeColor="text2"/>
          <w:sz w:val="28"/>
          <w:szCs w:val="28"/>
          <w:lang w:val="uk-UA"/>
        </w:rPr>
        <mc:AlternateContent>
          <mc:Choice Requires="wps">
            <w:drawing>
              <wp:anchor distT="0" distB="0" distL="114300" distR="114300" simplePos="0" relativeHeight="251667968" behindDoc="0" locked="0" layoutInCell="1" allowOverlap="1" wp14:anchorId="3A199D3E" wp14:editId="6E95ABE4">
                <wp:simplePos x="0" y="0"/>
                <wp:positionH relativeFrom="column">
                  <wp:posOffset>-45085</wp:posOffset>
                </wp:positionH>
                <wp:positionV relativeFrom="paragraph">
                  <wp:posOffset>407035</wp:posOffset>
                </wp:positionV>
                <wp:extent cx="6396990" cy="1374140"/>
                <wp:effectExtent l="0" t="0" r="0" b="0"/>
                <wp:wrapTight wrapText="bothSides">
                  <wp:wrapPolygon edited="0">
                    <wp:start x="86" y="0"/>
                    <wp:lineTo x="86" y="21161"/>
                    <wp:lineTo x="21441" y="21161"/>
                    <wp:lineTo x="21441" y="0"/>
                    <wp:lineTo x="86" y="0"/>
                  </wp:wrapPolygon>
                </wp:wrapTight>
                <wp:docPr id="1" name="Text Box 1"/>
                <wp:cNvGraphicFramePr/>
                <a:graphic xmlns:a="http://schemas.openxmlformats.org/drawingml/2006/main">
                  <a:graphicData uri="http://schemas.microsoft.com/office/word/2010/wordprocessingShape">
                    <wps:wsp>
                      <wps:cNvSpPr txBox="1"/>
                      <wps:spPr>
                        <a:xfrm>
                          <a:off x="0" y="0"/>
                          <a:ext cx="6396990" cy="1374140"/>
                        </a:xfrm>
                        <a:prstGeom prst="rect">
                          <a:avLst/>
                        </a:prstGeom>
                        <a:noFill/>
                        <a:ln>
                          <a:noFill/>
                        </a:ln>
                        <a:effectLst/>
                        <a:extLst>
                          <a:ext uri="{C572A759-6A51-4108-AA02-DFA0A04FC94B}">
                            <ma14:wrappingTextBoxFlag xmlns:ma14="http://schemas.microsoft.com/office/mac/drawingml/2011/main"/>
                          </a:ext>
                        </a:extLst>
                      </wps:spPr>
                      <wps:txbx>
                        <w:txbxContent>
                          <w:p w14:paraId="24450B4B" w14:textId="626EF0FF" w:rsidR="00A76D00" w:rsidRPr="00C25A84" w:rsidRDefault="00A76D00" w:rsidP="00C25A84">
                            <w:pPr>
                              <w:pStyle w:val="Pullquote"/>
                              <w:rPr>
                                <w:lang w:val="uk-UA"/>
                              </w:rPr>
                            </w:pPr>
                            <w:r w:rsidRPr="00C25A84">
                              <w:rPr>
                                <w:lang w:val="uk-UA"/>
                              </w:rPr>
                              <w:t>Уряд України виконав повністю або значною мірою більшість своїх зобов'язань згідно з національним планом дій на 2014-2016 роки. Вісім зобов'язань мали великий або визначний вплив на відкриття уряду, у тому числі це стосується заходів з відкриття архівів комуністичного режиму, онлайн розкриття активів і доходів публічних службовців, запровадже</w:t>
                            </w:r>
                            <w:r>
                              <w:rPr>
                                <w:lang w:val="uk-UA"/>
                              </w:rPr>
                              <w:t>ння електронних петицій та ухва</w:t>
                            </w:r>
                            <w:r w:rsidRPr="00C25A84">
                              <w:rPr>
                                <w:lang w:val="uk-UA"/>
                              </w:rPr>
                              <w:t>лення нового законодавства щодо відкритих даних. Рухаючись далі, уряду слід зосередитися на ключових зобов’язаннях у сфері відкритого уряду, які мають чітке відношення до цінностей ПВУ і можуть мати трансформуючий вплив.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199D3E" id="_x0000_t202" coordsize="21600,21600" o:spt="202" path="m0,0l0,21600,21600,21600,21600,0xe">
                <v:stroke joinstyle="miter"/>
                <v:path gradientshapeok="t" o:connecttype="rect"/>
              </v:shapetype>
              <v:shape id="Text Box 1" o:spid="_x0000_s1026" type="#_x0000_t202" style="position:absolute;left:0;text-align:left;margin-left:-3.55pt;margin-top:32.05pt;width:503.7pt;height:108.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" filled="f" stroked="f">
                <v:textbox>
                  <w:txbxContent>
                    <w:p w14:paraId="24450B4B" w14:textId="626EF0FF" w:rsidR="00A76D00" w:rsidRPr="00C25A84" w:rsidRDefault="00A76D00" w:rsidP="00C25A84">
                      <w:pPr>
                        <w:pStyle w:val="Pullquote"/>
                        <w:rPr>
                          <w:lang w:val="uk-UA"/>
                        </w:rPr>
                      </w:pPr>
                      <w:r w:rsidRPr="00C25A84">
                        <w:rPr>
                          <w:lang w:val="uk-UA"/>
                        </w:rPr>
                        <w:t>Уряд України виконав повністю або значною мірою більшість своїх зобов'язань згідно з національним планом дій на 2014-2016 роки. Вісім зобов'язань мали великий або визначний вплив на відкриття уряду, у тому числі це стосується заходів з відкриття архівів комуністичного режиму, онлайн розкриття активів і доходів публічних службовців, запровадже</w:t>
                      </w:r>
                      <w:r>
                        <w:rPr>
                          <w:lang w:val="uk-UA"/>
                        </w:rPr>
                        <w:t>ння електронних петицій та ухва</w:t>
                      </w:r>
                      <w:r w:rsidRPr="00C25A84">
                        <w:rPr>
                          <w:lang w:val="uk-UA"/>
                        </w:rPr>
                        <w:t>лення нового законодавства щодо відкритих даних. Рухаючись далі, уряду слід зосередитися на ключових зобов’язаннях у сфері відкритого уряду, які мають чітке відношення до цінностей ПВУ і можуть мати трансформуючий вплив.</w:t>
                      </w:r>
                    </w:p>
                  </w:txbxContent>
                </v:textbox>
                <w10:wrap type="tight"/>
              </v:shape>
            </w:pict>
          </mc:Fallback>
        </mc:AlternateContent>
      </w:r>
      <w:r w:rsidR="008A7FE5" w:rsidRPr="00257F44">
        <w:rPr>
          <w:noProof/>
          <w:color w:val="1F497D" w:themeColor="text2"/>
          <w:sz w:val="28"/>
          <w:szCs w:val="28"/>
          <w:lang w:val="uk-UA"/>
        </w:rPr>
        <w:t>Україна</w:t>
      </w:r>
      <w:r w:rsidR="002B734D" w:rsidRPr="00257F44">
        <w:rPr>
          <w:rFonts w:ascii="Garamond" w:hAnsi="Garamond"/>
          <w:noProof/>
          <w:color w:val="1F497D" w:themeColor="text2"/>
          <w:sz w:val="28"/>
          <w:szCs w:val="28"/>
          <w:lang w:val="uk-UA"/>
        </w:rPr>
        <w:t>:</w:t>
      </w:r>
      <w:r w:rsidR="00EB323A" w:rsidRPr="00257F44">
        <w:rPr>
          <w:color w:val="1F497D" w:themeColor="text2"/>
          <w:sz w:val="28"/>
          <w:szCs w:val="28"/>
          <w:lang w:val="uk-UA"/>
        </w:rPr>
        <w:t xml:space="preserve"> </w:t>
      </w:r>
      <w:r w:rsidR="002B734D" w:rsidRPr="00257F44">
        <w:rPr>
          <w:color w:val="1F497D" w:themeColor="text2"/>
          <w:sz w:val="28"/>
          <w:szCs w:val="28"/>
          <w:lang w:val="uk-UA"/>
        </w:rPr>
        <w:t>201</w:t>
      </w:r>
      <w:r w:rsidR="00DD5DA5" w:rsidRPr="00257F44">
        <w:rPr>
          <w:color w:val="1F497D" w:themeColor="text2"/>
          <w:sz w:val="28"/>
          <w:szCs w:val="28"/>
          <w:lang w:val="uk-UA"/>
        </w:rPr>
        <w:t>5</w:t>
      </w:r>
      <w:r w:rsidR="002B734D" w:rsidRPr="00257F44">
        <w:rPr>
          <w:color w:val="1F497D" w:themeColor="text2"/>
          <w:sz w:val="28"/>
          <w:szCs w:val="28"/>
          <w:lang w:val="uk-UA"/>
        </w:rPr>
        <w:t>-201</w:t>
      </w:r>
      <w:r w:rsidR="00DD5DA5" w:rsidRPr="00257F44">
        <w:rPr>
          <w:color w:val="1F497D" w:themeColor="text2"/>
          <w:sz w:val="28"/>
          <w:szCs w:val="28"/>
          <w:lang w:val="uk-UA"/>
        </w:rPr>
        <w:t xml:space="preserve">6 </w:t>
      </w:r>
      <w:r w:rsidR="008A7FE5" w:rsidRPr="00257F44">
        <w:rPr>
          <w:sz w:val="28"/>
          <w:szCs w:val="28"/>
          <w:lang w:val="uk-UA"/>
        </w:rPr>
        <w:t>Підсумковий звіт</w:t>
      </w:r>
    </w:p>
    <w:p w14:paraId="3612058C" w14:textId="025779A5" w:rsidR="00790B3C" w:rsidRPr="00257F44" w:rsidRDefault="00790B3C" w:rsidP="00B0395A">
      <w:pPr>
        <w:pStyle w:val="Normalrglronly"/>
        <w:rPr>
          <w:lang w:val="uk-UA"/>
        </w:rPr>
        <w:sectPr w:rsidR="00790B3C" w:rsidRPr="00257F44" w:rsidSect="00A11978">
          <w:headerReference w:type="default" r:id="rId10"/>
          <w:footerReference w:type="even" r:id="rId11"/>
          <w:footerReference w:type="default" r:id="rId12"/>
          <w:footerReference w:type="first" r:id="rId13"/>
          <w:endnotePr>
            <w:numFmt w:val="decimal"/>
            <w:numRestart w:val="eachSect"/>
          </w:endnotePr>
          <w:type w:val="continuous"/>
          <w:pgSz w:w="11907" w:h="16839" w:code="9"/>
          <w:pgMar w:top="1134" w:right="1417" w:bottom="1417" w:left="1417" w:header="0" w:footer="0" w:gutter="0"/>
          <w:cols w:space="708"/>
          <w:titlePg/>
          <w:docGrid w:linePitch="360"/>
        </w:sectPr>
      </w:pPr>
    </w:p>
    <w:tbl>
      <w:tblPr>
        <w:tblStyle w:val="TableGrid"/>
        <w:tblpPr w:leftFromText="180" w:rightFromText="180" w:vertAnchor="page" w:horzAnchor="page" w:tblpX="6850" w:tblpY="5045"/>
        <w:tblW w:w="5000" w:type="pct"/>
        <w:tblLook w:val="04A0" w:firstRow="1" w:lastRow="0" w:firstColumn="1" w:lastColumn="0" w:noHBand="0" w:noVBand="1"/>
      </w:tblPr>
      <w:tblGrid>
        <w:gridCol w:w="2060"/>
        <w:gridCol w:w="1028"/>
        <w:gridCol w:w="1084"/>
      </w:tblGrid>
      <w:tr w:rsidR="00C73B44" w:rsidRPr="00257F44" w14:paraId="5173CCEB" w14:textId="77777777" w:rsidTr="00904964">
        <w:tc>
          <w:tcPr>
            <w:tcW w:w="5000" w:type="pct"/>
            <w:gridSpan w:val="3"/>
          </w:tcPr>
          <w:p w14:paraId="5700B6DB" w14:textId="03722C6D" w:rsidR="00C73B44" w:rsidRPr="00257F44" w:rsidRDefault="005A1EB2" w:rsidP="005B3B0D">
            <w:pPr>
              <w:pStyle w:val="Ataglancetitle"/>
              <w:rPr>
                <w:lang w:val="uk-UA"/>
              </w:rPr>
            </w:pPr>
            <w:r w:rsidRPr="00257F44">
              <w:rPr>
                <w:lang w:val="uk-UA"/>
              </w:rPr>
              <w:t>Таблиця</w:t>
            </w:r>
            <w:r w:rsidR="00C73B44" w:rsidRPr="00257F44">
              <w:rPr>
                <w:lang w:val="uk-UA"/>
              </w:rPr>
              <w:t xml:space="preserve"> 1: </w:t>
            </w:r>
            <w:r w:rsidR="005B3B0D" w:rsidRPr="00257F44">
              <w:rPr>
                <w:lang w:val="uk-UA"/>
              </w:rPr>
              <w:t>Огляд</w:t>
            </w:r>
          </w:p>
        </w:tc>
      </w:tr>
      <w:tr w:rsidR="00BE3B75" w:rsidRPr="00257F44" w14:paraId="5D2B4F50" w14:textId="77777777" w:rsidTr="00BE3B75">
        <w:tc>
          <w:tcPr>
            <w:tcW w:w="2469" w:type="pct"/>
          </w:tcPr>
          <w:p w14:paraId="628939A5" w14:textId="77777777" w:rsidR="00C73B44" w:rsidRPr="00257F44" w:rsidRDefault="00C73B44" w:rsidP="00904964">
            <w:pPr>
              <w:pStyle w:val="Rowcolumntitles"/>
              <w:rPr>
                <w:lang w:val="uk-UA"/>
              </w:rPr>
            </w:pPr>
          </w:p>
        </w:tc>
        <w:tc>
          <w:tcPr>
            <w:tcW w:w="1232" w:type="pct"/>
          </w:tcPr>
          <w:p w14:paraId="45756CD2" w14:textId="220C2BA0" w:rsidR="00C73B44" w:rsidRPr="00257F44" w:rsidRDefault="00D278A2" w:rsidP="00904964">
            <w:pPr>
              <w:pStyle w:val="Ataglancesubtitle"/>
              <w:rPr>
                <w:lang w:val="uk-UA"/>
              </w:rPr>
            </w:pPr>
            <w:r w:rsidRPr="00257F44">
              <w:rPr>
                <w:lang w:val="uk-UA"/>
              </w:rPr>
              <w:t>Про</w:t>
            </w:r>
            <w:r w:rsidR="005B3B0D" w:rsidRPr="00257F44">
              <w:rPr>
                <w:lang w:val="uk-UA"/>
              </w:rPr>
              <w:t>-</w:t>
            </w:r>
            <w:r w:rsidRPr="00257F44">
              <w:rPr>
                <w:lang w:val="uk-UA"/>
              </w:rPr>
              <w:t>міжний</w:t>
            </w:r>
          </w:p>
        </w:tc>
        <w:tc>
          <w:tcPr>
            <w:tcW w:w="1299" w:type="pct"/>
          </w:tcPr>
          <w:p w14:paraId="44DC941F" w14:textId="44768EC8" w:rsidR="00C73B44" w:rsidRPr="00257F44" w:rsidRDefault="005B3B0D" w:rsidP="00904964">
            <w:pPr>
              <w:pStyle w:val="Ataglancesubtitle"/>
              <w:rPr>
                <w:lang w:val="uk-UA"/>
              </w:rPr>
            </w:pPr>
            <w:r w:rsidRPr="00257F44">
              <w:rPr>
                <w:lang w:val="uk-UA"/>
              </w:rPr>
              <w:t>Підсум-ковий</w:t>
            </w:r>
          </w:p>
        </w:tc>
      </w:tr>
      <w:tr w:rsidR="003D1EC8" w:rsidRPr="00257F44" w14:paraId="1476EC29" w14:textId="77777777" w:rsidTr="00BE3B75">
        <w:tc>
          <w:tcPr>
            <w:tcW w:w="2469" w:type="pct"/>
          </w:tcPr>
          <w:p w14:paraId="618E9909" w14:textId="4E19754C" w:rsidR="003D1EC8" w:rsidRPr="00257F44" w:rsidRDefault="005B3B0D" w:rsidP="00904964">
            <w:pPr>
              <w:pStyle w:val="Rowcolumntitles"/>
              <w:rPr>
                <w:lang w:val="uk-UA"/>
              </w:rPr>
            </w:pPr>
            <w:r w:rsidRPr="00257F44">
              <w:rPr>
                <w:lang w:val="uk-UA"/>
              </w:rPr>
              <w:t>Кількість зобов’язань</w:t>
            </w:r>
            <w:r w:rsidR="00163080" w:rsidRPr="00257F44">
              <w:rPr>
                <w:lang w:val="uk-UA"/>
              </w:rPr>
              <w:t>:</w:t>
            </w:r>
          </w:p>
        </w:tc>
        <w:tc>
          <w:tcPr>
            <w:tcW w:w="2531" w:type="pct"/>
            <w:gridSpan w:val="2"/>
            <w:vAlign w:val="center"/>
          </w:tcPr>
          <w:p w14:paraId="3691DA78" w14:textId="08E4BDF1" w:rsidR="003D1EC8" w:rsidRPr="00257F44" w:rsidRDefault="003D1EC8" w:rsidP="00904964">
            <w:pPr>
              <w:pStyle w:val="Rowcolumntitles"/>
              <w:jc w:val="center"/>
              <w:rPr>
                <w:lang w:val="uk-UA"/>
              </w:rPr>
            </w:pPr>
            <w:r w:rsidRPr="00257F44">
              <w:rPr>
                <w:lang w:val="uk-UA"/>
              </w:rPr>
              <w:t>26</w:t>
            </w:r>
          </w:p>
        </w:tc>
      </w:tr>
      <w:tr w:rsidR="00C73B44" w:rsidRPr="00257F44" w14:paraId="5E4A0EF6" w14:textId="77777777" w:rsidTr="00BE3B75">
        <w:tc>
          <w:tcPr>
            <w:tcW w:w="2469" w:type="pct"/>
          </w:tcPr>
          <w:p w14:paraId="314EAE12" w14:textId="3E14DBC3" w:rsidR="00C73B44" w:rsidRPr="00257F44" w:rsidRDefault="005B3B0D" w:rsidP="00164AC8">
            <w:pPr>
              <w:pStyle w:val="Rowcolumntitles"/>
              <w:rPr>
                <w:lang w:val="uk-UA"/>
              </w:rPr>
            </w:pPr>
            <w:r w:rsidRPr="00257F44">
              <w:rPr>
                <w:lang w:val="uk-UA"/>
              </w:rPr>
              <w:t xml:space="preserve">Кількість </w:t>
            </w:r>
            <w:r w:rsidR="00164AC8" w:rsidRPr="00257F44">
              <w:rPr>
                <w:lang w:val="uk-UA"/>
              </w:rPr>
              <w:t>етапів</w:t>
            </w:r>
            <w:r w:rsidR="00163080" w:rsidRPr="00257F44">
              <w:rPr>
                <w:lang w:val="uk-UA"/>
              </w:rPr>
              <w:t>:</w:t>
            </w:r>
          </w:p>
        </w:tc>
        <w:tc>
          <w:tcPr>
            <w:tcW w:w="2531" w:type="pct"/>
            <w:gridSpan w:val="2"/>
            <w:vAlign w:val="center"/>
          </w:tcPr>
          <w:p w14:paraId="3278C5D3" w14:textId="4A576EDD" w:rsidR="00C73B44" w:rsidRPr="00257F44" w:rsidRDefault="003D1EC8" w:rsidP="00904964">
            <w:pPr>
              <w:pStyle w:val="Rowcolumntitles"/>
              <w:jc w:val="center"/>
              <w:rPr>
                <w:lang w:val="uk-UA"/>
              </w:rPr>
            </w:pPr>
            <w:r w:rsidRPr="00257F44">
              <w:rPr>
                <w:lang w:val="uk-UA"/>
              </w:rPr>
              <w:t>26</w:t>
            </w:r>
          </w:p>
        </w:tc>
      </w:tr>
      <w:tr w:rsidR="00C73B44" w:rsidRPr="00257F44" w14:paraId="040E38D3" w14:textId="77777777" w:rsidTr="00904964">
        <w:tc>
          <w:tcPr>
            <w:tcW w:w="5000" w:type="pct"/>
            <w:gridSpan w:val="3"/>
          </w:tcPr>
          <w:p w14:paraId="5A2CCF01" w14:textId="2ACA6D46" w:rsidR="00C73B44" w:rsidRPr="00257F44" w:rsidRDefault="00164AC8" w:rsidP="00164AC8">
            <w:pPr>
              <w:pStyle w:val="Ataglancesubtitle"/>
              <w:jc w:val="center"/>
              <w:rPr>
                <w:lang w:val="uk-UA"/>
              </w:rPr>
            </w:pPr>
            <w:r w:rsidRPr="00257F44">
              <w:rPr>
                <w:lang w:val="uk-UA"/>
              </w:rPr>
              <w:t>Ступінь виконання</w:t>
            </w:r>
          </w:p>
        </w:tc>
      </w:tr>
      <w:tr w:rsidR="00BE3B75" w:rsidRPr="00257F44" w14:paraId="782520D3" w14:textId="77777777" w:rsidTr="00BE3B75">
        <w:tc>
          <w:tcPr>
            <w:tcW w:w="2469" w:type="pct"/>
          </w:tcPr>
          <w:p w14:paraId="30A6B9DD" w14:textId="1349CE09" w:rsidR="00C73B44" w:rsidRPr="00257F44" w:rsidRDefault="00164AC8" w:rsidP="00904964">
            <w:pPr>
              <w:pStyle w:val="Rowcolumntitles"/>
              <w:rPr>
                <w:lang w:val="uk-UA"/>
              </w:rPr>
            </w:pPr>
            <w:r w:rsidRPr="00257F44">
              <w:rPr>
                <w:lang w:val="uk-UA"/>
              </w:rPr>
              <w:t>Повне:</w:t>
            </w:r>
          </w:p>
        </w:tc>
        <w:tc>
          <w:tcPr>
            <w:tcW w:w="1232" w:type="pct"/>
            <w:vAlign w:val="center"/>
          </w:tcPr>
          <w:p w14:paraId="07352A81" w14:textId="2DEA9BE2" w:rsidR="00C73B44" w:rsidRPr="00257F44" w:rsidRDefault="002D3389" w:rsidP="00904964">
            <w:pPr>
              <w:pStyle w:val="Rowcolumntitles"/>
              <w:jc w:val="center"/>
              <w:rPr>
                <w:i/>
                <w:lang w:val="uk-UA"/>
              </w:rPr>
            </w:pPr>
            <w:r w:rsidRPr="00257F44">
              <w:rPr>
                <w:i/>
                <w:lang w:val="uk-UA"/>
              </w:rPr>
              <w:t>7</w:t>
            </w:r>
            <w:r w:rsidR="00163080" w:rsidRPr="00257F44">
              <w:rPr>
                <w:i/>
                <w:lang w:val="uk-UA"/>
              </w:rPr>
              <w:t xml:space="preserve"> </w:t>
            </w:r>
          </w:p>
        </w:tc>
        <w:tc>
          <w:tcPr>
            <w:tcW w:w="1299" w:type="pct"/>
            <w:vAlign w:val="center"/>
          </w:tcPr>
          <w:p w14:paraId="1DAC5AD3" w14:textId="1C6B012D" w:rsidR="00C73B44" w:rsidRPr="00257F44" w:rsidRDefault="003D1EC8" w:rsidP="00904964">
            <w:pPr>
              <w:pStyle w:val="Rowcolumntitles"/>
              <w:jc w:val="center"/>
              <w:rPr>
                <w:i/>
                <w:lang w:val="uk-UA"/>
              </w:rPr>
            </w:pPr>
            <w:r w:rsidRPr="00257F44">
              <w:rPr>
                <w:i/>
                <w:lang w:val="uk-UA"/>
              </w:rPr>
              <w:t>1</w:t>
            </w:r>
            <w:r w:rsidR="00581D4D" w:rsidRPr="00257F44">
              <w:rPr>
                <w:i/>
                <w:lang w:val="uk-UA"/>
              </w:rPr>
              <w:t>2</w:t>
            </w:r>
            <w:r w:rsidR="00163080" w:rsidRPr="00257F44">
              <w:rPr>
                <w:i/>
                <w:lang w:val="uk-UA"/>
              </w:rPr>
              <w:t xml:space="preserve"> </w:t>
            </w:r>
          </w:p>
        </w:tc>
      </w:tr>
      <w:tr w:rsidR="00BE3B75" w:rsidRPr="00257F44" w14:paraId="20BE94DC" w14:textId="77777777" w:rsidTr="00BE3B75">
        <w:tc>
          <w:tcPr>
            <w:tcW w:w="2469" w:type="pct"/>
          </w:tcPr>
          <w:p w14:paraId="43692621" w14:textId="5981C625" w:rsidR="00C73B44" w:rsidRPr="00257F44" w:rsidRDefault="00164AC8" w:rsidP="00164AC8">
            <w:pPr>
              <w:pStyle w:val="Rowcolumntitles"/>
              <w:rPr>
                <w:lang w:val="uk-UA"/>
              </w:rPr>
            </w:pPr>
            <w:r w:rsidRPr="00257F44">
              <w:rPr>
                <w:lang w:val="uk-UA"/>
              </w:rPr>
              <w:t>Значне</w:t>
            </w:r>
            <w:r w:rsidR="00163080" w:rsidRPr="00257F44">
              <w:rPr>
                <w:lang w:val="uk-UA"/>
              </w:rPr>
              <w:t>:</w:t>
            </w:r>
          </w:p>
        </w:tc>
        <w:tc>
          <w:tcPr>
            <w:tcW w:w="1232" w:type="pct"/>
            <w:vAlign w:val="center"/>
          </w:tcPr>
          <w:p w14:paraId="33E893FC" w14:textId="318CAFED" w:rsidR="00C73B44" w:rsidRPr="00257F44" w:rsidRDefault="00CB00A7" w:rsidP="00904964">
            <w:pPr>
              <w:pStyle w:val="Rowcolumntitles"/>
              <w:rPr>
                <w:i/>
                <w:lang w:val="uk-UA"/>
              </w:rPr>
            </w:pPr>
            <w:r w:rsidRPr="00257F44">
              <w:rPr>
                <w:i/>
                <w:lang w:val="uk-UA"/>
              </w:rPr>
              <w:t xml:space="preserve">    </w:t>
            </w:r>
            <w:r w:rsidR="003D1EC8" w:rsidRPr="00257F44">
              <w:rPr>
                <w:i/>
                <w:lang w:val="uk-UA"/>
              </w:rPr>
              <w:t>1</w:t>
            </w:r>
            <w:r w:rsidR="002D3389" w:rsidRPr="00257F44">
              <w:rPr>
                <w:i/>
                <w:lang w:val="uk-UA"/>
              </w:rPr>
              <w:t>0</w:t>
            </w:r>
          </w:p>
        </w:tc>
        <w:tc>
          <w:tcPr>
            <w:tcW w:w="1299" w:type="pct"/>
            <w:vAlign w:val="center"/>
          </w:tcPr>
          <w:p w14:paraId="7C81F5C6" w14:textId="63574FA9" w:rsidR="00C73B44" w:rsidRPr="00257F44" w:rsidRDefault="00581D4D" w:rsidP="00904964">
            <w:pPr>
              <w:pStyle w:val="Rowcolumntitles"/>
              <w:jc w:val="center"/>
              <w:rPr>
                <w:i/>
                <w:lang w:val="uk-UA"/>
              </w:rPr>
            </w:pPr>
            <w:r w:rsidRPr="00257F44">
              <w:rPr>
                <w:i/>
                <w:lang w:val="uk-UA"/>
              </w:rPr>
              <w:t>9</w:t>
            </w:r>
            <w:r w:rsidR="00163080" w:rsidRPr="00257F44">
              <w:rPr>
                <w:i/>
                <w:lang w:val="uk-UA"/>
              </w:rPr>
              <w:t xml:space="preserve"> </w:t>
            </w:r>
          </w:p>
        </w:tc>
      </w:tr>
      <w:tr w:rsidR="00BE3B75" w:rsidRPr="00257F44" w14:paraId="18A4121B" w14:textId="77777777" w:rsidTr="00BE3B75">
        <w:tc>
          <w:tcPr>
            <w:tcW w:w="2469" w:type="pct"/>
          </w:tcPr>
          <w:p w14:paraId="4A616D00" w14:textId="7B4CC908" w:rsidR="00C73B44" w:rsidRPr="00257F44" w:rsidRDefault="00164AC8" w:rsidP="00904964">
            <w:pPr>
              <w:pStyle w:val="Rowcolumntitles"/>
              <w:rPr>
                <w:lang w:val="uk-UA"/>
              </w:rPr>
            </w:pPr>
            <w:r w:rsidRPr="00257F44">
              <w:rPr>
                <w:lang w:val="uk-UA"/>
              </w:rPr>
              <w:t>Обмежене</w:t>
            </w:r>
            <w:r w:rsidR="00163080" w:rsidRPr="00257F44">
              <w:rPr>
                <w:lang w:val="uk-UA"/>
              </w:rPr>
              <w:t>:</w:t>
            </w:r>
          </w:p>
        </w:tc>
        <w:tc>
          <w:tcPr>
            <w:tcW w:w="1232" w:type="pct"/>
            <w:vAlign w:val="center"/>
          </w:tcPr>
          <w:p w14:paraId="169F71DE" w14:textId="0DFFD03B" w:rsidR="00C73B44" w:rsidRPr="00257F44" w:rsidRDefault="003D1EC8" w:rsidP="00904964">
            <w:pPr>
              <w:pStyle w:val="Rowcolumntitles"/>
              <w:jc w:val="center"/>
              <w:rPr>
                <w:i/>
                <w:lang w:val="uk-UA"/>
              </w:rPr>
            </w:pPr>
            <w:r w:rsidRPr="00257F44">
              <w:rPr>
                <w:i/>
                <w:lang w:val="uk-UA"/>
              </w:rPr>
              <w:t>7</w:t>
            </w:r>
            <w:r w:rsidR="00163080" w:rsidRPr="00257F44">
              <w:rPr>
                <w:i/>
                <w:lang w:val="uk-UA"/>
              </w:rPr>
              <w:t xml:space="preserve"> </w:t>
            </w:r>
          </w:p>
        </w:tc>
        <w:tc>
          <w:tcPr>
            <w:tcW w:w="1299" w:type="pct"/>
            <w:vAlign w:val="center"/>
          </w:tcPr>
          <w:p w14:paraId="7DE01575" w14:textId="29E42C85" w:rsidR="00C73B44" w:rsidRPr="00257F44" w:rsidRDefault="00A8407E" w:rsidP="00904964">
            <w:pPr>
              <w:pStyle w:val="Rowcolumntitles"/>
              <w:jc w:val="center"/>
              <w:rPr>
                <w:i/>
                <w:lang w:val="uk-UA"/>
              </w:rPr>
            </w:pPr>
            <w:r w:rsidRPr="00257F44">
              <w:rPr>
                <w:i/>
                <w:lang w:val="uk-UA"/>
              </w:rPr>
              <w:t>4</w:t>
            </w:r>
            <w:r w:rsidR="00163080" w:rsidRPr="00257F44">
              <w:rPr>
                <w:i/>
                <w:lang w:val="uk-UA"/>
              </w:rPr>
              <w:t xml:space="preserve"> </w:t>
            </w:r>
          </w:p>
        </w:tc>
      </w:tr>
      <w:tr w:rsidR="00BE3B75" w:rsidRPr="00257F44" w14:paraId="2C592D3C" w14:textId="77777777" w:rsidTr="00BE3B75">
        <w:tc>
          <w:tcPr>
            <w:tcW w:w="2469" w:type="pct"/>
          </w:tcPr>
          <w:p w14:paraId="69575F29" w14:textId="314E6928" w:rsidR="00C73B44" w:rsidRPr="00257F44" w:rsidRDefault="00164AC8" w:rsidP="00904964">
            <w:pPr>
              <w:pStyle w:val="Rowcolumntitles"/>
              <w:rPr>
                <w:lang w:val="uk-UA"/>
              </w:rPr>
            </w:pPr>
            <w:r w:rsidRPr="00257F44">
              <w:rPr>
                <w:lang w:val="uk-UA"/>
              </w:rPr>
              <w:t>Не розпочато</w:t>
            </w:r>
            <w:r w:rsidR="00163080" w:rsidRPr="00257F44">
              <w:rPr>
                <w:lang w:val="uk-UA"/>
              </w:rPr>
              <w:t>:</w:t>
            </w:r>
          </w:p>
        </w:tc>
        <w:tc>
          <w:tcPr>
            <w:tcW w:w="1232" w:type="pct"/>
            <w:vAlign w:val="center"/>
          </w:tcPr>
          <w:p w14:paraId="57EAA16D" w14:textId="7D45E71E" w:rsidR="00C73B44" w:rsidRPr="00257F44" w:rsidRDefault="003D1EC8" w:rsidP="00904964">
            <w:pPr>
              <w:pStyle w:val="Rowcolumntitles"/>
              <w:jc w:val="center"/>
              <w:rPr>
                <w:i/>
                <w:lang w:val="uk-UA"/>
              </w:rPr>
            </w:pPr>
            <w:r w:rsidRPr="00257F44">
              <w:rPr>
                <w:i/>
                <w:lang w:val="uk-UA"/>
              </w:rPr>
              <w:t>2</w:t>
            </w:r>
            <w:r w:rsidR="00163080" w:rsidRPr="00257F44">
              <w:rPr>
                <w:i/>
                <w:lang w:val="uk-UA"/>
              </w:rPr>
              <w:t xml:space="preserve"> </w:t>
            </w:r>
          </w:p>
        </w:tc>
        <w:tc>
          <w:tcPr>
            <w:tcW w:w="1299" w:type="pct"/>
            <w:vAlign w:val="center"/>
          </w:tcPr>
          <w:p w14:paraId="5F3FC443" w14:textId="7DC069CC" w:rsidR="00C73B44" w:rsidRPr="00257F44" w:rsidRDefault="003D1EC8" w:rsidP="00904964">
            <w:pPr>
              <w:pStyle w:val="Rowcolumntitles"/>
              <w:jc w:val="center"/>
              <w:rPr>
                <w:i/>
                <w:lang w:val="uk-UA"/>
              </w:rPr>
            </w:pPr>
            <w:r w:rsidRPr="00257F44">
              <w:rPr>
                <w:i/>
                <w:lang w:val="uk-UA"/>
              </w:rPr>
              <w:t>1</w:t>
            </w:r>
            <w:r w:rsidR="00163080" w:rsidRPr="00257F44">
              <w:rPr>
                <w:i/>
                <w:lang w:val="uk-UA"/>
              </w:rPr>
              <w:t xml:space="preserve"> </w:t>
            </w:r>
          </w:p>
        </w:tc>
      </w:tr>
      <w:tr w:rsidR="00C73B44" w:rsidRPr="00257F44" w14:paraId="6A3EBA44" w14:textId="77777777" w:rsidTr="00904964">
        <w:tc>
          <w:tcPr>
            <w:tcW w:w="5000" w:type="pct"/>
            <w:gridSpan w:val="3"/>
          </w:tcPr>
          <w:p w14:paraId="74292A0A" w14:textId="4429C04F" w:rsidR="00C73B44" w:rsidRPr="00257F44" w:rsidRDefault="00164AC8" w:rsidP="00164AC8">
            <w:pPr>
              <w:pStyle w:val="Ataglancesubtitle"/>
              <w:jc w:val="center"/>
              <w:rPr>
                <w:lang w:val="uk-UA"/>
              </w:rPr>
            </w:pPr>
            <w:r w:rsidRPr="00257F44">
              <w:rPr>
                <w:lang w:val="uk-UA"/>
              </w:rPr>
              <w:t>Кількість зобов’язань, які</w:t>
            </w:r>
            <w:r w:rsidR="00C73B44" w:rsidRPr="00257F44">
              <w:rPr>
                <w:lang w:val="uk-UA"/>
              </w:rPr>
              <w:t>:</w:t>
            </w:r>
          </w:p>
        </w:tc>
      </w:tr>
      <w:tr w:rsidR="00BE3B75" w:rsidRPr="00257F44" w14:paraId="4BA96415" w14:textId="77777777" w:rsidTr="00BE3B75">
        <w:tc>
          <w:tcPr>
            <w:tcW w:w="2469" w:type="pct"/>
          </w:tcPr>
          <w:p w14:paraId="037CADA1" w14:textId="6246350F" w:rsidR="00C73B44" w:rsidRPr="00257F44" w:rsidRDefault="00C82005" w:rsidP="00C45F6B">
            <w:pPr>
              <w:pStyle w:val="Rowcolumntitles"/>
              <w:rPr>
                <w:lang w:val="uk-UA"/>
              </w:rPr>
            </w:pPr>
            <w:r w:rsidRPr="00257F44">
              <w:rPr>
                <w:lang w:val="uk-UA"/>
              </w:rPr>
              <w:t>Мають чіткий</w:t>
            </w:r>
            <w:r w:rsidR="00C45F6B" w:rsidRPr="00257F44">
              <w:rPr>
                <w:lang w:val="uk-UA"/>
              </w:rPr>
              <w:t xml:space="preserve"> зв’язок з цінностями ПВУ</w:t>
            </w:r>
            <w:r w:rsidR="00163080" w:rsidRPr="00257F44">
              <w:rPr>
                <w:lang w:val="uk-UA"/>
              </w:rPr>
              <w:t>:</w:t>
            </w:r>
          </w:p>
        </w:tc>
        <w:tc>
          <w:tcPr>
            <w:tcW w:w="2531" w:type="pct"/>
            <w:gridSpan w:val="2"/>
            <w:vAlign w:val="center"/>
          </w:tcPr>
          <w:p w14:paraId="611DB4AE" w14:textId="59A7B9B5" w:rsidR="00C73B44" w:rsidRPr="00257F44" w:rsidRDefault="003D1EC8" w:rsidP="00904964">
            <w:pPr>
              <w:pStyle w:val="Rowcolumntitles"/>
              <w:jc w:val="center"/>
              <w:rPr>
                <w:i/>
                <w:lang w:val="uk-UA"/>
              </w:rPr>
            </w:pPr>
            <w:r w:rsidRPr="00257F44">
              <w:rPr>
                <w:i/>
                <w:lang w:val="uk-UA"/>
              </w:rPr>
              <w:t>21</w:t>
            </w:r>
            <w:r w:rsidR="00163080" w:rsidRPr="00257F44">
              <w:rPr>
                <w:i/>
                <w:lang w:val="uk-UA"/>
              </w:rPr>
              <w:t xml:space="preserve"> </w:t>
            </w:r>
          </w:p>
        </w:tc>
      </w:tr>
      <w:tr w:rsidR="00C73B44" w:rsidRPr="00257F44" w14:paraId="473C8C5B" w14:textId="77777777" w:rsidTr="00BE3B75">
        <w:tc>
          <w:tcPr>
            <w:tcW w:w="2469" w:type="pct"/>
          </w:tcPr>
          <w:p w14:paraId="3C71508C" w14:textId="38C0E114" w:rsidR="00C73B44" w:rsidRPr="00257F44" w:rsidRDefault="00BE3B75" w:rsidP="00C82005">
            <w:pPr>
              <w:pStyle w:val="Rowcolumntitles"/>
              <w:rPr>
                <w:lang w:val="uk-UA"/>
              </w:rPr>
            </w:pPr>
            <w:r w:rsidRPr="00257F44">
              <w:rPr>
                <w:lang w:val="uk-UA"/>
              </w:rPr>
              <w:t xml:space="preserve">Мають потенційний трансформуючий </w:t>
            </w:r>
            <w:r w:rsidR="00C82005" w:rsidRPr="00257F44">
              <w:rPr>
                <w:lang w:val="uk-UA"/>
              </w:rPr>
              <w:t>вплив</w:t>
            </w:r>
            <w:r w:rsidR="00163080" w:rsidRPr="00257F44">
              <w:rPr>
                <w:lang w:val="uk-UA"/>
              </w:rPr>
              <w:t>:</w:t>
            </w:r>
          </w:p>
        </w:tc>
        <w:tc>
          <w:tcPr>
            <w:tcW w:w="2531" w:type="pct"/>
            <w:gridSpan w:val="2"/>
            <w:vAlign w:val="center"/>
          </w:tcPr>
          <w:p w14:paraId="622BD94F" w14:textId="128C45AD" w:rsidR="00C73B44" w:rsidRPr="00257F44" w:rsidRDefault="003311FC" w:rsidP="00904964">
            <w:pPr>
              <w:pStyle w:val="Rowcolumntitles"/>
              <w:jc w:val="center"/>
              <w:rPr>
                <w:i/>
                <w:lang w:val="uk-UA"/>
              </w:rPr>
            </w:pPr>
            <w:r w:rsidRPr="00257F44">
              <w:rPr>
                <w:i/>
                <w:lang w:val="uk-UA"/>
              </w:rPr>
              <w:t>7</w:t>
            </w:r>
            <w:r w:rsidR="00163080" w:rsidRPr="00257F44">
              <w:rPr>
                <w:i/>
                <w:lang w:val="uk-UA"/>
              </w:rPr>
              <w:t xml:space="preserve"> </w:t>
            </w:r>
          </w:p>
        </w:tc>
      </w:tr>
      <w:tr w:rsidR="00BE3B75" w:rsidRPr="00257F44" w14:paraId="63E46903" w14:textId="77777777" w:rsidTr="00BE3B75">
        <w:tc>
          <w:tcPr>
            <w:tcW w:w="2469" w:type="pct"/>
          </w:tcPr>
          <w:p w14:paraId="78E16508" w14:textId="06B39460" w:rsidR="00C73B44" w:rsidRPr="00257F44" w:rsidRDefault="00BE3B75" w:rsidP="00904964">
            <w:pPr>
              <w:pStyle w:val="Rowcolumntitles"/>
              <w:rPr>
                <w:lang w:val="uk-UA"/>
              </w:rPr>
            </w:pPr>
            <w:r w:rsidRPr="00257F44">
              <w:rPr>
                <w:lang w:val="uk-UA"/>
              </w:rPr>
              <w:t>Виконані значною мірою або повністю</w:t>
            </w:r>
          </w:p>
        </w:tc>
        <w:tc>
          <w:tcPr>
            <w:tcW w:w="1232" w:type="pct"/>
            <w:vAlign w:val="center"/>
          </w:tcPr>
          <w:p w14:paraId="79EDEC46" w14:textId="2A59A70F" w:rsidR="00C73B44" w:rsidRPr="00257F44" w:rsidRDefault="003D1EC8" w:rsidP="00904964">
            <w:pPr>
              <w:pStyle w:val="Rowcolumntitles"/>
              <w:jc w:val="center"/>
              <w:rPr>
                <w:i/>
                <w:lang w:val="uk-UA"/>
              </w:rPr>
            </w:pPr>
            <w:r w:rsidRPr="00257F44">
              <w:rPr>
                <w:i/>
                <w:lang w:val="uk-UA"/>
              </w:rPr>
              <w:t>17</w:t>
            </w:r>
            <w:r w:rsidR="00163080" w:rsidRPr="00257F44">
              <w:rPr>
                <w:i/>
                <w:lang w:val="uk-UA"/>
              </w:rPr>
              <w:t xml:space="preserve"> </w:t>
            </w:r>
          </w:p>
        </w:tc>
        <w:tc>
          <w:tcPr>
            <w:tcW w:w="1299" w:type="pct"/>
            <w:vAlign w:val="center"/>
          </w:tcPr>
          <w:p w14:paraId="378E29BF" w14:textId="4C6AC08B" w:rsidR="00C73B44" w:rsidRPr="00257F44" w:rsidRDefault="003D1EC8" w:rsidP="00904964">
            <w:pPr>
              <w:pStyle w:val="Rowcolumntitles"/>
              <w:jc w:val="center"/>
              <w:rPr>
                <w:i/>
                <w:lang w:val="uk-UA"/>
              </w:rPr>
            </w:pPr>
            <w:r w:rsidRPr="00257F44">
              <w:rPr>
                <w:i/>
                <w:lang w:val="uk-UA"/>
              </w:rPr>
              <w:t>2</w:t>
            </w:r>
            <w:r w:rsidR="00A8407E" w:rsidRPr="00257F44">
              <w:rPr>
                <w:i/>
                <w:lang w:val="uk-UA"/>
              </w:rPr>
              <w:t>1</w:t>
            </w:r>
            <w:r w:rsidR="00163080" w:rsidRPr="00257F44">
              <w:rPr>
                <w:i/>
                <w:lang w:val="uk-UA"/>
              </w:rPr>
              <w:t xml:space="preserve"> </w:t>
            </w:r>
          </w:p>
        </w:tc>
      </w:tr>
      <w:tr w:rsidR="00BE3B75" w:rsidRPr="00257F44" w14:paraId="1E67B730" w14:textId="77777777" w:rsidTr="00BE3B75">
        <w:tc>
          <w:tcPr>
            <w:tcW w:w="2469" w:type="pct"/>
          </w:tcPr>
          <w:p w14:paraId="4C9D961E" w14:textId="5A878F6F" w:rsidR="00C73B44" w:rsidRPr="00257F44" w:rsidRDefault="00BE3B75" w:rsidP="00904964">
            <w:pPr>
              <w:pStyle w:val="Ataglancesubtitle"/>
              <w:rPr>
                <w:lang w:val="uk-UA"/>
              </w:rPr>
            </w:pPr>
            <w:r w:rsidRPr="00257F44">
              <w:rPr>
                <w:lang w:val="uk-UA"/>
              </w:rPr>
              <w:t xml:space="preserve">Усі три </w:t>
            </w:r>
            <w:r w:rsidR="00C82005" w:rsidRPr="00257F44">
              <w:rPr>
                <w:lang w:val="uk-UA"/>
              </w:rPr>
              <w:t xml:space="preserve">ознаки </w:t>
            </w:r>
            <w:r w:rsidRPr="00257F44">
              <w:rPr>
                <w:lang w:val="uk-UA"/>
              </w:rPr>
              <w:t xml:space="preserve">разом </w:t>
            </w:r>
            <w:r w:rsidR="00C73B44" w:rsidRPr="00257F44">
              <w:rPr>
                <w:lang w:val="uk-UA"/>
              </w:rPr>
              <w:t>(</w:t>
            </w:r>
            <w:r w:rsidR="00C73B44" w:rsidRPr="00257F44">
              <w:rPr>
                <w:rFonts w:ascii="Zapf Dingbats" w:hAnsi="Zapf Dingbats" w:cs="Zapf Dingbats"/>
                <w:lang w:val="uk-UA"/>
              </w:rPr>
              <w:t>✪</w:t>
            </w:r>
            <w:r w:rsidR="00C73B44" w:rsidRPr="00257F44">
              <w:rPr>
                <w:lang w:val="uk-UA"/>
              </w:rPr>
              <w:t>)</w:t>
            </w:r>
          </w:p>
        </w:tc>
        <w:tc>
          <w:tcPr>
            <w:tcW w:w="1232" w:type="pct"/>
            <w:vAlign w:val="center"/>
          </w:tcPr>
          <w:p w14:paraId="5494EAAB" w14:textId="4594CCC1" w:rsidR="00C73B44" w:rsidRPr="00257F44" w:rsidRDefault="003311FC" w:rsidP="00904964">
            <w:pPr>
              <w:pStyle w:val="Rowcolumntitles"/>
              <w:jc w:val="center"/>
              <w:rPr>
                <w:i/>
                <w:lang w:val="uk-UA"/>
              </w:rPr>
            </w:pPr>
            <w:r w:rsidRPr="00257F44">
              <w:rPr>
                <w:i/>
                <w:lang w:val="uk-UA"/>
              </w:rPr>
              <w:t>3</w:t>
            </w:r>
          </w:p>
        </w:tc>
        <w:tc>
          <w:tcPr>
            <w:tcW w:w="1299" w:type="pct"/>
            <w:vAlign w:val="center"/>
          </w:tcPr>
          <w:p w14:paraId="6FFB7FEE" w14:textId="57E2DA7C" w:rsidR="00C73B44" w:rsidRPr="00257F44" w:rsidRDefault="003311FC" w:rsidP="00904964">
            <w:pPr>
              <w:pStyle w:val="Rowcolumntitles"/>
              <w:jc w:val="center"/>
              <w:rPr>
                <w:i/>
                <w:lang w:val="uk-UA"/>
              </w:rPr>
            </w:pPr>
            <w:r w:rsidRPr="00257F44">
              <w:rPr>
                <w:i/>
                <w:lang w:val="uk-UA"/>
              </w:rPr>
              <w:t>4</w:t>
            </w:r>
          </w:p>
        </w:tc>
      </w:tr>
      <w:tr w:rsidR="00D835D5" w:rsidRPr="00257F44" w14:paraId="799DBA7D" w14:textId="77777777" w:rsidTr="00BE3B75">
        <w:trPr>
          <w:trHeight w:val="285"/>
        </w:trPr>
        <w:tc>
          <w:tcPr>
            <w:tcW w:w="5000" w:type="pct"/>
            <w:gridSpan w:val="3"/>
            <w:vAlign w:val="center"/>
          </w:tcPr>
          <w:p w14:paraId="5E6F946B" w14:textId="75735F9D" w:rsidR="00D835D5" w:rsidRPr="00257F44" w:rsidRDefault="00BE3B75" w:rsidP="00BE3B75">
            <w:pPr>
              <w:pStyle w:val="Rowcolumntitles"/>
              <w:jc w:val="center"/>
              <w:rPr>
                <w:i/>
                <w:lang w:val="uk-UA"/>
              </w:rPr>
            </w:pPr>
            <w:r w:rsidRPr="00257F44">
              <w:rPr>
                <w:b/>
                <w:i/>
                <w:color w:val="403152" w:themeColor="accent4" w:themeShade="80"/>
                <w:lang w:val="uk-UA"/>
              </w:rPr>
              <w:t>Чи відкрило це уряд</w:t>
            </w:r>
            <w:r w:rsidR="00D835D5" w:rsidRPr="00257F44">
              <w:rPr>
                <w:b/>
                <w:i/>
                <w:color w:val="403152" w:themeColor="accent4" w:themeShade="80"/>
                <w:lang w:val="uk-UA"/>
              </w:rPr>
              <w:t>?</w:t>
            </w:r>
          </w:p>
        </w:tc>
      </w:tr>
      <w:tr w:rsidR="00D835D5" w:rsidRPr="00257F44" w14:paraId="7447DDEB" w14:textId="77777777" w:rsidTr="00BE3B75">
        <w:tc>
          <w:tcPr>
            <w:tcW w:w="2469" w:type="pct"/>
          </w:tcPr>
          <w:p w14:paraId="4C47907B" w14:textId="6BB27316" w:rsidR="00D835D5" w:rsidRPr="00257F44" w:rsidRDefault="00BE3B75" w:rsidP="00904964">
            <w:pPr>
              <w:pStyle w:val="Ataglancesubtitle"/>
              <w:rPr>
                <w:b w:val="0"/>
                <w:bCs/>
                <w:i w:val="0"/>
                <w:iCs/>
                <w:color w:val="000000" w:themeColor="text1"/>
                <w:lang w:val="uk-UA"/>
              </w:rPr>
            </w:pPr>
            <w:r w:rsidRPr="00257F44">
              <w:rPr>
                <w:b w:val="0"/>
                <w:bCs/>
                <w:i w:val="0"/>
                <w:iCs/>
                <w:color w:val="000000" w:themeColor="text1"/>
                <w:lang w:val="uk-UA"/>
              </w:rPr>
              <w:t>Значною</w:t>
            </w:r>
            <w:r w:rsidR="00882E9D" w:rsidRPr="00257F44">
              <w:rPr>
                <w:b w:val="0"/>
                <w:bCs/>
                <w:i w:val="0"/>
                <w:iCs/>
                <w:color w:val="000000" w:themeColor="text1"/>
                <w:lang w:val="uk-UA"/>
              </w:rPr>
              <w:t xml:space="preserve"> мірою</w:t>
            </w:r>
            <w:r w:rsidR="00163080" w:rsidRPr="00257F44">
              <w:rPr>
                <w:b w:val="0"/>
                <w:bCs/>
                <w:i w:val="0"/>
                <w:iCs/>
                <w:color w:val="000000" w:themeColor="text1"/>
                <w:lang w:val="uk-UA"/>
              </w:rPr>
              <w:t>:</w:t>
            </w:r>
          </w:p>
        </w:tc>
        <w:tc>
          <w:tcPr>
            <w:tcW w:w="2531" w:type="pct"/>
            <w:gridSpan w:val="2"/>
            <w:vAlign w:val="center"/>
          </w:tcPr>
          <w:p w14:paraId="42E20789" w14:textId="137DD28C" w:rsidR="00D835D5" w:rsidRPr="00257F44" w:rsidRDefault="00D835D5" w:rsidP="00904964">
            <w:pPr>
              <w:pStyle w:val="Rowcolumntitles"/>
              <w:jc w:val="center"/>
              <w:rPr>
                <w:i/>
                <w:lang w:val="uk-UA"/>
              </w:rPr>
            </w:pPr>
            <w:r w:rsidRPr="00257F44">
              <w:rPr>
                <w:i/>
                <w:lang w:val="uk-UA"/>
              </w:rPr>
              <w:t>3</w:t>
            </w:r>
          </w:p>
        </w:tc>
      </w:tr>
      <w:tr w:rsidR="00CC5109" w:rsidRPr="00257F44" w14:paraId="78A6DB16" w14:textId="77777777" w:rsidTr="00BE3B75">
        <w:tc>
          <w:tcPr>
            <w:tcW w:w="2469" w:type="pct"/>
          </w:tcPr>
          <w:p w14:paraId="4A272D84" w14:textId="23A7B5E5" w:rsidR="00CC5109" w:rsidRPr="00257F44" w:rsidRDefault="00882E9D" w:rsidP="00904964">
            <w:pPr>
              <w:pStyle w:val="Ataglancesubtitle"/>
              <w:rPr>
                <w:b w:val="0"/>
                <w:bCs/>
                <w:i w:val="0"/>
                <w:iCs/>
                <w:color w:val="000000" w:themeColor="text1"/>
                <w:lang w:val="uk-UA"/>
              </w:rPr>
            </w:pPr>
            <w:r w:rsidRPr="00257F44">
              <w:rPr>
                <w:b w:val="0"/>
                <w:bCs/>
                <w:i w:val="0"/>
                <w:iCs/>
                <w:color w:val="000000" w:themeColor="text1"/>
                <w:lang w:val="uk-UA"/>
              </w:rPr>
              <w:t>Визначною мірою</w:t>
            </w:r>
            <w:r w:rsidR="00163080" w:rsidRPr="00257F44">
              <w:rPr>
                <w:b w:val="0"/>
                <w:bCs/>
                <w:i w:val="0"/>
                <w:iCs/>
                <w:color w:val="000000" w:themeColor="text1"/>
                <w:lang w:val="uk-UA"/>
              </w:rPr>
              <w:t>:</w:t>
            </w:r>
          </w:p>
        </w:tc>
        <w:tc>
          <w:tcPr>
            <w:tcW w:w="2531" w:type="pct"/>
            <w:gridSpan w:val="2"/>
            <w:vAlign w:val="center"/>
          </w:tcPr>
          <w:p w14:paraId="058273F3" w14:textId="1E85B426" w:rsidR="00CC5109" w:rsidRPr="00257F44" w:rsidRDefault="00CC5109" w:rsidP="00904964">
            <w:pPr>
              <w:pStyle w:val="Rowcolumntitles"/>
              <w:jc w:val="center"/>
              <w:rPr>
                <w:i/>
                <w:lang w:val="uk-UA"/>
              </w:rPr>
            </w:pPr>
            <w:r w:rsidRPr="00257F44">
              <w:rPr>
                <w:i/>
                <w:lang w:val="uk-UA"/>
              </w:rPr>
              <w:t>5</w:t>
            </w:r>
          </w:p>
        </w:tc>
      </w:tr>
      <w:tr w:rsidR="00D835D5" w:rsidRPr="00257F44" w14:paraId="328F7E18" w14:textId="77777777" w:rsidTr="00904964">
        <w:tc>
          <w:tcPr>
            <w:tcW w:w="5000" w:type="pct"/>
            <w:gridSpan w:val="3"/>
          </w:tcPr>
          <w:p w14:paraId="383A605C" w14:textId="5B88D102" w:rsidR="00D835D5" w:rsidRPr="00257F44" w:rsidRDefault="00882E9D" w:rsidP="00904964">
            <w:pPr>
              <w:pStyle w:val="Ataglancesubtitle"/>
              <w:jc w:val="center"/>
              <w:rPr>
                <w:lang w:val="uk-UA"/>
              </w:rPr>
            </w:pPr>
            <w:r w:rsidRPr="00257F44">
              <w:rPr>
                <w:lang w:val="uk-UA"/>
              </w:rPr>
              <w:t>Рухаючись далі</w:t>
            </w:r>
          </w:p>
        </w:tc>
      </w:tr>
      <w:tr w:rsidR="00D835D5" w:rsidRPr="00257F44" w14:paraId="52934C7A" w14:textId="77777777" w:rsidTr="00BE3B75">
        <w:tc>
          <w:tcPr>
            <w:tcW w:w="2469" w:type="pct"/>
          </w:tcPr>
          <w:p w14:paraId="2DD460F0" w14:textId="32C586CE" w:rsidR="00D835D5" w:rsidRPr="00257F44" w:rsidRDefault="00882E9D" w:rsidP="00C82005">
            <w:pPr>
              <w:rPr>
                <w:rFonts w:ascii="Gill Sans" w:hAnsi="Gill Sans" w:cs="Gill Sans"/>
                <w:sz w:val="22"/>
                <w:szCs w:val="22"/>
                <w:lang w:val="uk-UA"/>
              </w:rPr>
            </w:pPr>
            <w:r w:rsidRPr="00257F44">
              <w:rPr>
                <w:rFonts w:ascii="Gill Sans" w:hAnsi="Gill Sans" w:cs="Gill Sans"/>
                <w:sz w:val="22"/>
                <w:szCs w:val="22"/>
                <w:lang w:val="uk-UA"/>
              </w:rPr>
              <w:t>Кількість зобов’</w:t>
            </w:r>
            <w:r w:rsidR="005F34D4" w:rsidRPr="00257F44">
              <w:rPr>
                <w:rFonts w:ascii="Gill Sans" w:hAnsi="Gill Sans" w:cs="Gill Sans"/>
                <w:sz w:val="22"/>
                <w:szCs w:val="22"/>
                <w:lang w:val="uk-UA"/>
              </w:rPr>
              <w:t>язань, які було перенесено</w:t>
            </w:r>
            <w:r w:rsidRPr="00257F44">
              <w:rPr>
                <w:rFonts w:ascii="Gill Sans" w:hAnsi="Gill Sans" w:cs="Gill Sans"/>
                <w:sz w:val="22"/>
                <w:szCs w:val="22"/>
                <w:lang w:val="uk-UA"/>
              </w:rPr>
              <w:t xml:space="preserve"> до </w:t>
            </w:r>
            <w:r w:rsidR="00C82005" w:rsidRPr="00257F44">
              <w:rPr>
                <w:rFonts w:ascii="Gill Sans" w:hAnsi="Gill Sans" w:cs="Gill Sans"/>
                <w:sz w:val="22"/>
                <w:szCs w:val="22"/>
                <w:lang w:val="uk-UA"/>
              </w:rPr>
              <w:t>нового</w:t>
            </w:r>
            <w:r w:rsidRPr="00257F44">
              <w:rPr>
                <w:rFonts w:ascii="Gill Sans" w:hAnsi="Gill Sans" w:cs="Gill Sans"/>
                <w:sz w:val="22"/>
                <w:szCs w:val="22"/>
                <w:lang w:val="uk-UA"/>
              </w:rPr>
              <w:t xml:space="preserve"> плану дій</w:t>
            </w:r>
            <w:r w:rsidR="00D835D5" w:rsidRPr="00257F44">
              <w:rPr>
                <w:rFonts w:ascii="Gill Sans" w:hAnsi="Gill Sans" w:cs="Gill Sans"/>
                <w:sz w:val="22"/>
                <w:szCs w:val="22"/>
                <w:lang w:val="uk-UA"/>
              </w:rPr>
              <w:t>:</w:t>
            </w:r>
          </w:p>
        </w:tc>
        <w:tc>
          <w:tcPr>
            <w:tcW w:w="2531" w:type="pct"/>
            <w:gridSpan w:val="2"/>
            <w:vAlign w:val="center"/>
          </w:tcPr>
          <w:p w14:paraId="216C4B59" w14:textId="36696306" w:rsidR="00D835D5" w:rsidRPr="00257F44" w:rsidRDefault="00D835D5" w:rsidP="00904964">
            <w:pPr>
              <w:pStyle w:val="Rowcolumntitles"/>
              <w:jc w:val="center"/>
              <w:rPr>
                <w:i/>
                <w:lang w:val="uk-UA"/>
              </w:rPr>
            </w:pPr>
            <w:r w:rsidRPr="00257F44">
              <w:rPr>
                <w:i/>
                <w:lang w:val="uk-UA"/>
              </w:rPr>
              <w:t>8</w:t>
            </w:r>
            <w:r w:rsidR="00163080" w:rsidRPr="00257F44">
              <w:rPr>
                <w:i/>
                <w:lang w:val="uk-UA"/>
              </w:rPr>
              <w:t xml:space="preserve"> </w:t>
            </w:r>
          </w:p>
        </w:tc>
      </w:tr>
    </w:tbl>
    <w:p w14:paraId="63AA387A" w14:textId="77777777" w:rsidR="00E21DE3" w:rsidRPr="00257F44" w:rsidRDefault="00E21DE3" w:rsidP="00B0395A">
      <w:pPr>
        <w:pStyle w:val="Normalrglronly"/>
        <w:rPr>
          <w:lang w:val="uk-UA"/>
        </w:rPr>
        <w:sectPr w:rsidR="00E21DE3" w:rsidRPr="00257F44" w:rsidSect="00790B3C">
          <w:endnotePr>
            <w:numFmt w:val="decimal"/>
            <w:numRestart w:val="eachSect"/>
          </w:endnotePr>
          <w:type w:val="continuous"/>
          <w:pgSz w:w="11907" w:h="16839" w:code="9"/>
          <w:pgMar w:top="1417" w:right="1417" w:bottom="1417" w:left="1417" w:header="0" w:footer="0" w:gutter="0"/>
          <w:cols w:num="2" w:space="708"/>
          <w:titlePg/>
          <w:docGrid w:linePitch="360"/>
        </w:sectPr>
      </w:pPr>
    </w:p>
    <w:p w14:paraId="13E6D075" w14:textId="44D60887" w:rsidR="00F47EB7" w:rsidRPr="00257F44" w:rsidRDefault="00F47EB7" w:rsidP="00CC5109">
      <w:pPr>
        <w:pStyle w:val="Normalrglronly"/>
        <w:rPr>
          <w:lang w:val="uk-UA"/>
        </w:rPr>
      </w:pPr>
      <w:r w:rsidRPr="00257F44">
        <w:rPr>
          <w:lang w:val="uk-UA"/>
        </w:rPr>
        <w:t xml:space="preserve">Партнерство “Відкритий Уряд” (ПВУ) є добровільною міжнародною ініціативою, що спрямована на взяття урядами зобов’язань перед своїм громадянами з метою просування прозорості, розширення прав громадян, боротьби проти корупції та використання нових технологій для зміцнення </w:t>
      </w:r>
      <w:r w:rsidR="000A16F2" w:rsidRPr="00257F44">
        <w:rPr>
          <w:lang w:val="uk-UA"/>
        </w:rPr>
        <w:t>у</w:t>
      </w:r>
      <w:r w:rsidRPr="00257F44">
        <w:rPr>
          <w:lang w:val="uk-UA"/>
        </w:rPr>
        <w:t>рядування. Механізм незалежного звітування (МНЗ) проводить оцінку діяльності кожної країни-учасниці ПВУ.</w:t>
      </w:r>
      <w:r w:rsidR="000A16F2" w:rsidRPr="00257F44">
        <w:rPr>
          <w:lang w:val="uk-UA"/>
        </w:rPr>
        <w:t xml:space="preserve"> Цей звіт підсумовує результати</w:t>
      </w:r>
      <w:r w:rsidR="008B66C8" w:rsidRPr="00257F44">
        <w:rPr>
          <w:lang w:val="uk-UA"/>
        </w:rPr>
        <w:t xml:space="preserve"> за період з вересня 2015 року до листопада 2016 року.</w:t>
      </w:r>
    </w:p>
    <w:p w14:paraId="6211EDF8" w14:textId="15204CFF" w:rsidR="008B66C8" w:rsidRPr="00257F44" w:rsidRDefault="008B66C8" w:rsidP="00F00809">
      <w:pPr>
        <w:pStyle w:val="Normalrglronly"/>
        <w:rPr>
          <w:lang w:val="uk-UA"/>
        </w:rPr>
      </w:pPr>
      <w:r w:rsidRPr="00257F44">
        <w:rPr>
          <w:lang w:val="uk-UA"/>
        </w:rPr>
        <w:t>Секретаріат Кабінету Міністрів є головною інституцією, що відповідає за розроблення та виконання національного плану дій ПВУ в Україні. Секретаріат очолює міністр Кабінету Міністрів.</w:t>
      </w:r>
      <w:r w:rsidR="00D113EA" w:rsidRPr="00257F44">
        <w:rPr>
          <w:lang w:val="uk-UA"/>
        </w:rPr>
        <w:t xml:space="preserve"> Координаційна рада з реалізації в Україні ініціативи ПВУ, яка була створена в 2012 році, є головним координаційним механізмом на національному рівні. Ця рада включає 39 членів, у тому числі 11 посадових осіб з різних органів влади, а також представників громадянського суспільства та експертів. У червні 2015 року Координаційна р</w:t>
      </w:r>
      <w:r w:rsidR="001F2967" w:rsidRPr="00257F44">
        <w:rPr>
          <w:lang w:val="uk-UA"/>
        </w:rPr>
        <w:t>ада створила шість робочих груп</w:t>
      </w:r>
      <w:r w:rsidR="00D113EA" w:rsidRPr="00257F44">
        <w:rPr>
          <w:lang w:val="uk-UA"/>
        </w:rPr>
        <w:t>, що дозволило запровадити динамічн</w:t>
      </w:r>
      <w:r w:rsidR="003D6461" w:rsidRPr="00257F44">
        <w:rPr>
          <w:lang w:val="uk-UA"/>
        </w:rPr>
        <w:t>іш</w:t>
      </w:r>
      <w:r w:rsidR="00D113EA" w:rsidRPr="00257F44">
        <w:rPr>
          <w:lang w:val="uk-UA"/>
        </w:rPr>
        <w:t>е управління процесом ПВУ.</w:t>
      </w:r>
    </w:p>
    <w:p w14:paraId="653B57FB" w14:textId="52A438FA" w:rsidR="009E5C1C" w:rsidRPr="00257F44" w:rsidRDefault="00A652BA" w:rsidP="00F00809">
      <w:pPr>
        <w:pStyle w:val="Normalrglronly"/>
        <w:rPr>
          <w:lang w:val="uk-UA"/>
        </w:rPr>
      </w:pPr>
      <w:r w:rsidRPr="00257F44">
        <w:rPr>
          <w:lang w:val="uk-UA"/>
        </w:rPr>
        <w:t xml:space="preserve">У січні 2016 року Уряд оприлюднив графік заходів із розроблення нового плану дій та розпочав відповідні публічні консультації. Після </w:t>
      </w:r>
      <w:r w:rsidR="003E032A" w:rsidRPr="00257F44">
        <w:rPr>
          <w:lang w:val="uk-UA"/>
        </w:rPr>
        <w:t>широких консультацій, і з деякою затримкою, Уряд ухвалив новий план дій 30 листопада 2016 року. Третій національний план дій охоплює період 2016-2018 років і включає 17 зобов’язань у різних сферах.</w:t>
      </w:r>
    </w:p>
    <w:p w14:paraId="116B62A1" w14:textId="0D8145BB" w:rsidR="00DC2A12" w:rsidRPr="00257F44" w:rsidRDefault="00DC2A12" w:rsidP="006319F4">
      <w:pPr>
        <w:pStyle w:val="Normalrglronly"/>
        <w:rPr>
          <w:lang w:val="uk-UA"/>
        </w:rPr>
      </w:pPr>
    </w:p>
    <w:p w14:paraId="2095011B" w14:textId="61B806AC" w:rsidR="008E5355" w:rsidRPr="00257F44" w:rsidRDefault="008E5355" w:rsidP="008E5355">
      <w:pPr>
        <w:rPr>
          <w:lang w:val="uk-UA"/>
        </w:rPr>
        <w:sectPr w:rsidR="008E5355" w:rsidRPr="00257F44" w:rsidSect="00E21DE3">
          <w:endnotePr>
            <w:numFmt w:val="decimal"/>
            <w:numRestart w:val="eachSect"/>
          </w:endnotePr>
          <w:type w:val="continuous"/>
          <w:pgSz w:w="11907" w:h="16839" w:code="9"/>
          <w:pgMar w:top="1417" w:right="1417" w:bottom="1417" w:left="1417" w:header="0" w:footer="0" w:gutter="0"/>
          <w:cols w:space="708"/>
          <w:titlePg/>
          <w:docGrid w:linePitch="360"/>
        </w:sectPr>
      </w:pPr>
    </w:p>
    <w:p w14:paraId="03E07B61" w14:textId="53733679" w:rsidR="00790B3C" w:rsidRPr="00257F44" w:rsidRDefault="00847782" w:rsidP="007D1964">
      <w:pPr>
        <w:pStyle w:val="Heading3"/>
        <w:spacing w:after="120"/>
        <w:rPr>
          <w:lang w:val="uk-UA"/>
        </w:rPr>
      </w:pPr>
      <w:r w:rsidRPr="00257F44">
        <w:rPr>
          <w:lang w:val="uk-UA"/>
        </w:rPr>
        <w:lastRenderedPageBreak/>
        <w:t>Консультації з громадянським суспільством під час виконання плану дій</w:t>
      </w:r>
    </w:p>
    <w:p w14:paraId="05FDAE41" w14:textId="6CD7269C" w:rsidR="00847782" w:rsidRPr="00257F44" w:rsidRDefault="00B33561" w:rsidP="009B0529">
      <w:pPr>
        <w:pStyle w:val="Normalrglronly"/>
        <w:rPr>
          <w:lang w:val="uk-UA"/>
        </w:rPr>
      </w:pPr>
      <w:r w:rsidRPr="00257F44">
        <w:rPr>
          <w:lang w:val="uk-UA"/>
        </w:rPr>
        <w:t xml:space="preserve">Країни-учасниці ПВУ дотримуються </w:t>
      </w:r>
      <w:r w:rsidR="004536D8" w:rsidRPr="00257F44">
        <w:rPr>
          <w:lang w:val="uk-UA"/>
        </w:rPr>
        <w:t xml:space="preserve">процесу консультацій під час розроблення та реалізації своїх планів дій в рамках ПВУ. Основний консультаційний процес в Україні був організований на базі платформи </w:t>
      </w:r>
      <w:r w:rsidR="000B48EB" w:rsidRPr="00257F44">
        <w:rPr>
          <w:lang w:val="uk-UA"/>
        </w:rPr>
        <w:t xml:space="preserve">національної Координаційної ради ініціативи ПВУ. Більшість членів Координаційної ради складають представники недержавних організацій. Уряд, спільно з донорами та НДО, організував низку національних та регіональних обговорень під час розроблення плану дій та в ході підготовки звітів </w:t>
      </w:r>
      <w:r w:rsidR="00DD618E" w:rsidRPr="00257F44">
        <w:rPr>
          <w:lang w:val="uk-UA"/>
        </w:rPr>
        <w:t>самооцінки</w:t>
      </w:r>
      <w:r w:rsidR="000B48EB" w:rsidRPr="00257F44">
        <w:rPr>
          <w:lang w:val="uk-UA"/>
        </w:rPr>
        <w:t>. Загалом, процес</w:t>
      </w:r>
      <w:r w:rsidR="0014135F" w:rsidRPr="00257F44">
        <w:rPr>
          <w:lang w:val="uk-UA"/>
        </w:rPr>
        <w:t xml:space="preserve"> був інклюзивний та забезпечував належну участь, а уряд реагував на отримані зауваження шляхом внесення змін до проекту плану дій та звітів </w:t>
      </w:r>
      <w:r w:rsidR="00DD618E" w:rsidRPr="00257F44">
        <w:rPr>
          <w:lang w:val="uk-UA"/>
        </w:rPr>
        <w:t>самооцінки</w:t>
      </w:r>
      <w:r w:rsidR="0014135F" w:rsidRPr="00257F44">
        <w:rPr>
          <w:lang w:val="uk-UA"/>
        </w:rPr>
        <w:t xml:space="preserve">. </w:t>
      </w:r>
      <w:r w:rsidR="001C25CF" w:rsidRPr="00257F44">
        <w:rPr>
          <w:lang w:val="uk-UA"/>
        </w:rPr>
        <w:t xml:space="preserve">Також були оприлюднені резюме публічних консультацій. Проте, в ході реалізації плану дій, засідання Координаційної ради ініціативи ПВУ проводилися </w:t>
      </w:r>
      <w:r w:rsidR="00932A71" w:rsidRPr="00257F44">
        <w:rPr>
          <w:lang w:val="uk-UA"/>
        </w:rPr>
        <w:t>не періодично</w:t>
      </w:r>
      <w:r w:rsidR="003879EE" w:rsidRPr="00257F44">
        <w:rPr>
          <w:lang w:val="uk-UA"/>
        </w:rPr>
        <w:t>, без наперед визначеного графіку чи регулярності. Звіт МНЗ рекомендував створити групу управління для організації роботи в період між засіданнями Координаційної ради</w:t>
      </w:r>
      <w:r w:rsidR="00932A71" w:rsidRPr="00257F44">
        <w:rPr>
          <w:lang w:val="uk-UA"/>
        </w:rPr>
        <w:t xml:space="preserve"> та робочі групи для окремих зобов’язань. Крім того, МНЗ рекомендував призначити співголів з числа представників громадянс</w:t>
      </w:r>
      <w:r w:rsidR="00D3337A" w:rsidRPr="00257F44">
        <w:rPr>
          <w:lang w:val="uk-UA"/>
        </w:rPr>
        <w:t>ького суспільства до такої керівної груп</w:t>
      </w:r>
      <w:r w:rsidR="00932A71" w:rsidRPr="00257F44">
        <w:rPr>
          <w:lang w:val="uk-UA"/>
        </w:rPr>
        <w:t xml:space="preserve"> і </w:t>
      </w:r>
      <w:r w:rsidR="00D3337A" w:rsidRPr="00257F44">
        <w:rPr>
          <w:lang w:val="uk-UA"/>
        </w:rPr>
        <w:t>до робочих груп</w:t>
      </w:r>
      <w:r w:rsidR="00411841" w:rsidRPr="00257F44">
        <w:rPr>
          <w:lang w:val="uk-UA"/>
        </w:rPr>
        <w:t xml:space="preserve">, а також залучити </w:t>
      </w:r>
      <w:r w:rsidR="00D3337A" w:rsidRPr="00257F44">
        <w:rPr>
          <w:lang w:val="uk-UA"/>
        </w:rPr>
        <w:t xml:space="preserve">представників </w:t>
      </w:r>
      <w:r w:rsidR="00411841" w:rsidRPr="00257F44">
        <w:rPr>
          <w:lang w:val="uk-UA"/>
        </w:rPr>
        <w:t>бізнес сектор</w:t>
      </w:r>
      <w:r w:rsidR="00D3337A" w:rsidRPr="00257F44">
        <w:rPr>
          <w:lang w:val="uk-UA"/>
        </w:rPr>
        <w:t>а</w:t>
      </w:r>
      <w:r w:rsidR="00411841" w:rsidRPr="00257F44">
        <w:rPr>
          <w:lang w:val="uk-UA"/>
        </w:rPr>
        <w:t xml:space="preserve"> до багатостороннього процесу.</w:t>
      </w:r>
    </w:p>
    <w:p w14:paraId="70BD1920" w14:textId="77777777" w:rsidR="001261D5" w:rsidRPr="00257F44" w:rsidRDefault="001261D5" w:rsidP="00B0395A">
      <w:pPr>
        <w:pStyle w:val="Normalrglronly"/>
        <w:rPr>
          <w:lang w:val="uk-UA"/>
        </w:rPr>
        <w:sectPr w:rsidR="001261D5" w:rsidRPr="00257F44" w:rsidSect="00E21DE3">
          <w:footerReference w:type="first" r:id="rId14"/>
          <w:endnotePr>
            <w:numFmt w:val="decimal"/>
            <w:numRestart w:val="eachSect"/>
          </w:endnotePr>
          <w:pgSz w:w="11907" w:h="16839" w:code="9"/>
          <w:pgMar w:top="1417" w:right="1417" w:bottom="1417" w:left="1417" w:header="0" w:footer="0" w:gutter="0"/>
          <w:cols w:space="708"/>
          <w:titlePg/>
          <w:docGrid w:linePitch="360"/>
        </w:sectPr>
      </w:pPr>
    </w:p>
    <w:tbl>
      <w:tblPr>
        <w:tblStyle w:val="TableGrid"/>
        <w:tblpPr w:leftFromText="180" w:rightFromText="180" w:vertAnchor="page" w:horzAnchor="page" w:tblpX="1454" w:tblpY="6098"/>
        <w:tblW w:w="9270" w:type="dxa"/>
        <w:tblLayout w:type="fixed"/>
        <w:tblLook w:val="04A0" w:firstRow="1" w:lastRow="0" w:firstColumn="1" w:lastColumn="0" w:noHBand="0" w:noVBand="1"/>
      </w:tblPr>
      <w:tblGrid>
        <w:gridCol w:w="1982"/>
        <w:gridCol w:w="3778"/>
        <w:gridCol w:w="3510"/>
      </w:tblGrid>
      <w:tr w:rsidR="00CC5109" w:rsidRPr="00257F44" w14:paraId="75ABAE3A" w14:textId="77777777" w:rsidTr="00CC5109">
        <w:tc>
          <w:tcPr>
            <w:tcW w:w="1982" w:type="dxa"/>
          </w:tcPr>
          <w:p w14:paraId="0AFD4074" w14:textId="0A4B934F" w:rsidR="004839BB" w:rsidRPr="00257F44" w:rsidRDefault="00F275CF" w:rsidP="00F275CF">
            <w:pPr>
              <w:pStyle w:val="Tabletitleinside"/>
              <w:rPr>
                <w:lang w:val="uk-UA"/>
              </w:rPr>
            </w:pPr>
            <w:r w:rsidRPr="00257F44">
              <w:rPr>
                <w:lang w:val="uk-UA"/>
              </w:rPr>
              <w:t>Етап плану дій</w:t>
            </w:r>
          </w:p>
        </w:tc>
        <w:tc>
          <w:tcPr>
            <w:tcW w:w="3778" w:type="dxa"/>
          </w:tcPr>
          <w:p w14:paraId="1B8AAEF4" w14:textId="6C3AA70D" w:rsidR="00F275CF" w:rsidRPr="00257F44" w:rsidRDefault="00F275CF" w:rsidP="00CC5109">
            <w:pPr>
              <w:pStyle w:val="Tabletitleinside"/>
              <w:rPr>
                <w:lang w:val="uk-UA"/>
              </w:rPr>
            </w:pPr>
            <w:r w:rsidRPr="00257F44">
              <w:rPr>
                <w:lang w:val="uk-UA"/>
              </w:rPr>
              <w:t>Вимоги щодо процесу ПВУ</w:t>
            </w:r>
          </w:p>
          <w:p w14:paraId="309E5DA3" w14:textId="412C3A6A" w:rsidR="004839BB" w:rsidRPr="00257F44" w:rsidRDefault="004839BB" w:rsidP="00254159">
            <w:pPr>
              <w:pStyle w:val="Tabletitleinside"/>
              <w:rPr>
                <w:lang w:val="uk-UA"/>
              </w:rPr>
            </w:pPr>
            <w:r w:rsidRPr="00257F44">
              <w:rPr>
                <w:lang w:val="uk-UA"/>
              </w:rPr>
              <w:t>(</w:t>
            </w:r>
            <w:r w:rsidR="00F275CF" w:rsidRPr="00257F44">
              <w:rPr>
                <w:lang w:val="uk-UA"/>
              </w:rPr>
              <w:t xml:space="preserve">Розділ </w:t>
            </w:r>
            <w:r w:rsidR="00254159" w:rsidRPr="00257F44">
              <w:rPr>
                <w:lang w:val="uk-UA"/>
              </w:rPr>
              <w:t>Керівних статей ініціативи ПВУ</w:t>
            </w:r>
            <w:r w:rsidRPr="00257F44">
              <w:rPr>
                <w:lang w:val="uk-UA"/>
              </w:rPr>
              <w:t>)</w:t>
            </w:r>
          </w:p>
        </w:tc>
        <w:tc>
          <w:tcPr>
            <w:tcW w:w="3510" w:type="dxa"/>
          </w:tcPr>
          <w:p w14:paraId="467AF23B" w14:textId="20DA3AB2" w:rsidR="004839BB" w:rsidRPr="00257F44" w:rsidRDefault="00254159" w:rsidP="00254159">
            <w:pPr>
              <w:pStyle w:val="Tabletitleinside"/>
              <w:rPr>
                <w:lang w:val="uk-UA"/>
              </w:rPr>
            </w:pPr>
            <w:r w:rsidRPr="00257F44">
              <w:rPr>
                <w:lang w:val="uk-UA"/>
              </w:rPr>
              <w:t>Чи виконав уряд цю вимогу?</w:t>
            </w:r>
          </w:p>
        </w:tc>
      </w:tr>
      <w:tr w:rsidR="00CC5109" w:rsidRPr="00257F44" w14:paraId="53E27F18" w14:textId="77777777" w:rsidTr="00CC5109">
        <w:tc>
          <w:tcPr>
            <w:tcW w:w="1982" w:type="dxa"/>
            <w:vMerge w:val="restart"/>
          </w:tcPr>
          <w:p w14:paraId="5647DD62" w14:textId="27EF1F26" w:rsidR="004839BB" w:rsidRPr="00257F44" w:rsidRDefault="00F275CF" w:rsidP="00CC5109">
            <w:pPr>
              <w:pStyle w:val="Rowcolumntitles"/>
              <w:rPr>
                <w:lang w:val="uk-UA"/>
              </w:rPr>
            </w:pPr>
            <w:r w:rsidRPr="00257F44">
              <w:rPr>
                <w:lang w:val="uk-UA"/>
              </w:rPr>
              <w:t>У ході реалізації</w:t>
            </w:r>
          </w:p>
        </w:tc>
        <w:tc>
          <w:tcPr>
            <w:tcW w:w="3778" w:type="dxa"/>
          </w:tcPr>
          <w:p w14:paraId="1E04CB40" w14:textId="46EBD426" w:rsidR="004839BB" w:rsidRPr="00257F44" w:rsidRDefault="00254159" w:rsidP="00254159">
            <w:pPr>
              <w:pStyle w:val="Rowcolumntitles"/>
              <w:rPr>
                <w:lang w:val="uk-UA"/>
              </w:rPr>
            </w:pPr>
            <w:r w:rsidRPr="00257F44">
              <w:rPr>
                <w:lang w:val="uk-UA"/>
              </w:rPr>
              <w:t>Чи було створено регулярну платформу для проведення консультацій в ході реалізації плану дій</w:t>
            </w:r>
            <w:r w:rsidR="004839BB" w:rsidRPr="00257F44">
              <w:rPr>
                <w:lang w:val="uk-UA"/>
              </w:rPr>
              <w:t>?</w:t>
            </w:r>
          </w:p>
        </w:tc>
        <w:tc>
          <w:tcPr>
            <w:tcW w:w="3510" w:type="dxa"/>
          </w:tcPr>
          <w:p w14:paraId="38F61723" w14:textId="2A2B67DB" w:rsidR="004839BB" w:rsidRPr="00257F44" w:rsidRDefault="00254159" w:rsidP="00163080">
            <w:pPr>
              <w:pStyle w:val="Rowcolumntitles"/>
              <w:jc w:val="center"/>
              <w:rPr>
                <w:rFonts w:cs="Times New Roman"/>
                <w:lang w:val="uk-UA"/>
              </w:rPr>
            </w:pPr>
            <w:r w:rsidRPr="00257F44">
              <w:rPr>
                <w:rFonts w:cs="Times New Roman"/>
                <w:lang w:val="uk-UA"/>
              </w:rPr>
              <w:t>Так</w:t>
            </w:r>
          </w:p>
        </w:tc>
      </w:tr>
      <w:tr w:rsidR="00CC5109" w:rsidRPr="00257F44" w14:paraId="3E345674" w14:textId="77777777" w:rsidTr="00CC5109">
        <w:tc>
          <w:tcPr>
            <w:tcW w:w="1982" w:type="dxa"/>
            <w:vMerge/>
          </w:tcPr>
          <w:p w14:paraId="33328C58" w14:textId="77777777" w:rsidR="004839BB" w:rsidRPr="00257F44" w:rsidRDefault="004839BB" w:rsidP="00CC5109">
            <w:pPr>
              <w:pStyle w:val="Rowcolumntitles"/>
              <w:rPr>
                <w:lang w:val="uk-UA"/>
              </w:rPr>
            </w:pPr>
          </w:p>
        </w:tc>
        <w:tc>
          <w:tcPr>
            <w:tcW w:w="3778" w:type="dxa"/>
          </w:tcPr>
          <w:p w14:paraId="353ED087" w14:textId="012D6836" w:rsidR="004839BB" w:rsidRPr="00257F44" w:rsidRDefault="00254159" w:rsidP="00254159">
            <w:pPr>
              <w:pStyle w:val="Rowcolumntitles"/>
              <w:rPr>
                <w:lang w:val="uk-UA"/>
              </w:rPr>
            </w:pPr>
            <w:r w:rsidRPr="00257F44">
              <w:rPr>
                <w:lang w:val="uk-UA"/>
              </w:rPr>
              <w:t>Консультації: Відкриті чи лише за запрошенням</w:t>
            </w:r>
            <w:r w:rsidR="004839BB" w:rsidRPr="00257F44">
              <w:rPr>
                <w:lang w:val="uk-UA"/>
              </w:rPr>
              <w:t>?</w:t>
            </w:r>
          </w:p>
        </w:tc>
        <w:tc>
          <w:tcPr>
            <w:tcW w:w="3510" w:type="dxa"/>
          </w:tcPr>
          <w:p w14:paraId="45D2AC99" w14:textId="0F65F178" w:rsidR="004839BB" w:rsidRPr="00257F44" w:rsidRDefault="00254159" w:rsidP="00163080">
            <w:pPr>
              <w:pStyle w:val="Rowcolumntitles"/>
              <w:jc w:val="center"/>
              <w:rPr>
                <w:rFonts w:cs="Times New Roman"/>
                <w:lang w:val="uk-UA"/>
              </w:rPr>
            </w:pPr>
            <w:r w:rsidRPr="00257F44">
              <w:rPr>
                <w:lang w:val="uk-UA"/>
              </w:rPr>
              <w:t>Лише за запрошенням</w:t>
            </w:r>
          </w:p>
        </w:tc>
      </w:tr>
      <w:tr w:rsidR="00CC5109" w:rsidRPr="00257F44" w14:paraId="47385D77" w14:textId="77777777" w:rsidTr="00CC5109">
        <w:tc>
          <w:tcPr>
            <w:tcW w:w="1982" w:type="dxa"/>
            <w:vMerge/>
          </w:tcPr>
          <w:p w14:paraId="78E5770E" w14:textId="77777777" w:rsidR="004839BB" w:rsidRPr="00257F44" w:rsidRDefault="004839BB" w:rsidP="00CC5109">
            <w:pPr>
              <w:pStyle w:val="Rowcolumntitles"/>
              <w:rPr>
                <w:lang w:val="uk-UA"/>
              </w:rPr>
            </w:pPr>
          </w:p>
        </w:tc>
        <w:tc>
          <w:tcPr>
            <w:tcW w:w="3778" w:type="dxa"/>
          </w:tcPr>
          <w:p w14:paraId="161548E7" w14:textId="2F2E76BE" w:rsidR="004839BB" w:rsidRPr="00257F44" w:rsidRDefault="00254159" w:rsidP="00254159">
            <w:pPr>
              <w:pStyle w:val="Rowcolumntitles"/>
              <w:rPr>
                <w:lang w:val="uk-UA"/>
              </w:rPr>
            </w:pPr>
            <w:r w:rsidRPr="00257F44">
              <w:rPr>
                <w:lang w:val="uk-UA"/>
              </w:rPr>
              <w:t xml:space="preserve">Консультації за шкалою </w:t>
            </w:r>
            <w:r w:rsidR="004839BB" w:rsidRPr="00257F44">
              <w:rPr>
                <w:lang w:val="uk-UA"/>
              </w:rPr>
              <w:t>IAP2</w:t>
            </w:r>
            <w:r w:rsidR="00CC5109" w:rsidRPr="00257F44">
              <w:rPr>
                <w:rStyle w:val="EndnoteReference"/>
                <w:lang w:val="uk-UA"/>
              </w:rPr>
              <w:endnoteReference w:id="2"/>
            </w:r>
          </w:p>
        </w:tc>
        <w:tc>
          <w:tcPr>
            <w:tcW w:w="3510" w:type="dxa"/>
          </w:tcPr>
          <w:p w14:paraId="499A8049" w14:textId="6F04A74F" w:rsidR="004839BB" w:rsidRPr="00257F44" w:rsidRDefault="000017EE" w:rsidP="00163080">
            <w:pPr>
              <w:pStyle w:val="Rowcolumntitles"/>
              <w:jc w:val="center"/>
              <w:rPr>
                <w:rFonts w:eastAsiaTheme="majorEastAsia" w:cs="Times New Roman"/>
                <w:i/>
                <w:iCs/>
                <w:sz w:val="20"/>
                <w:lang w:val="uk-UA"/>
              </w:rPr>
            </w:pPr>
            <w:r w:rsidRPr="00257F44">
              <w:rPr>
                <w:rFonts w:cs="Times New Roman"/>
                <w:lang w:val="uk-UA"/>
              </w:rPr>
              <w:t>“Співпраця”</w:t>
            </w:r>
          </w:p>
        </w:tc>
      </w:tr>
    </w:tbl>
    <w:p w14:paraId="0D0B99AC" w14:textId="3EACDEA3" w:rsidR="003E5265" w:rsidRPr="00257F44" w:rsidRDefault="00411841" w:rsidP="003E5265">
      <w:pPr>
        <w:pStyle w:val="Tableheader"/>
        <w:rPr>
          <w:lang w:val="uk-UA"/>
        </w:rPr>
      </w:pPr>
      <w:r w:rsidRPr="00257F44">
        <w:rPr>
          <w:lang w:val="uk-UA"/>
        </w:rPr>
        <w:lastRenderedPageBreak/>
        <w:t xml:space="preserve">Таблиця </w:t>
      </w:r>
      <w:r w:rsidR="00CC5109" w:rsidRPr="00257F44">
        <w:rPr>
          <w:lang w:val="uk-UA"/>
        </w:rPr>
        <w:t>2</w:t>
      </w:r>
      <w:r w:rsidR="00052B72" w:rsidRPr="00257F44">
        <w:rPr>
          <w:lang w:val="uk-UA"/>
        </w:rPr>
        <w:t xml:space="preserve">: </w:t>
      </w:r>
      <w:r w:rsidRPr="00257F44">
        <w:rPr>
          <w:lang w:val="uk-UA"/>
        </w:rPr>
        <w:t xml:space="preserve">Процес консультацій </w:t>
      </w:r>
      <w:r w:rsidR="00F275CF" w:rsidRPr="00257F44">
        <w:rPr>
          <w:lang w:val="uk-UA"/>
        </w:rPr>
        <w:t xml:space="preserve">стосовно </w:t>
      </w:r>
      <w:r w:rsidRPr="00257F44">
        <w:rPr>
          <w:lang w:val="uk-UA"/>
        </w:rPr>
        <w:t>плану дій</w:t>
      </w:r>
    </w:p>
    <w:p w14:paraId="3A367D72" w14:textId="77777777" w:rsidR="00307994" w:rsidRPr="00257F44" w:rsidRDefault="00307994" w:rsidP="00307994">
      <w:pPr>
        <w:pStyle w:val="Heading2"/>
        <w:rPr>
          <w:lang w:val="uk-UA"/>
        </w:rPr>
        <w:sectPr w:rsidR="00307994" w:rsidRPr="00257F44" w:rsidSect="00790B3C">
          <w:endnotePr>
            <w:numFmt w:val="decimal"/>
            <w:numRestart w:val="eachSect"/>
          </w:endnotePr>
          <w:type w:val="continuous"/>
          <w:pgSz w:w="11907" w:h="16839" w:code="9"/>
          <w:pgMar w:top="1417" w:right="1417" w:bottom="1417" w:left="1417" w:header="0" w:footer="0" w:gutter="0"/>
          <w:cols w:space="708"/>
          <w:docGrid w:linePitch="360"/>
        </w:sectPr>
      </w:pPr>
    </w:p>
    <w:p w14:paraId="4A27561F" w14:textId="2C95BB68" w:rsidR="004839BB" w:rsidRPr="00257F44" w:rsidRDefault="00E15D4B" w:rsidP="00163080">
      <w:pPr>
        <w:pStyle w:val="Heading1"/>
        <w:spacing w:before="0" w:after="120"/>
        <w:rPr>
          <w:lang w:val="uk-UA"/>
        </w:rPr>
      </w:pPr>
      <w:r w:rsidRPr="00257F44">
        <w:rPr>
          <w:lang w:val="uk-UA"/>
        </w:rPr>
        <w:lastRenderedPageBreak/>
        <w:t>Прогрес у виконанні зобов’язань</w:t>
      </w:r>
    </w:p>
    <w:p w14:paraId="256F97BE" w14:textId="14F13313" w:rsidR="005B541B" w:rsidRPr="00257F44" w:rsidRDefault="005B541B" w:rsidP="00CC5109">
      <w:pPr>
        <w:spacing w:after="120"/>
        <w:rPr>
          <w:rFonts w:ascii="Gill Sans" w:hAnsi="Gill Sans" w:cs="Gill Sans"/>
          <w:sz w:val="22"/>
          <w:szCs w:val="22"/>
          <w:lang w:val="uk-UA"/>
        </w:rPr>
      </w:pPr>
      <w:r w:rsidRPr="00257F44">
        <w:rPr>
          <w:rFonts w:ascii="Gill Sans" w:hAnsi="Gill Sans" w:cs="Gill Sans"/>
          <w:sz w:val="22"/>
          <w:szCs w:val="22"/>
          <w:lang w:val="uk-UA"/>
        </w:rPr>
        <w:t>Усі індикатори</w:t>
      </w:r>
      <w:r w:rsidR="000873A4" w:rsidRPr="00257F44">
        <w:rPr>
          <w:rFonts w:ascii="Gill Sans" w:hAnsi="Gill Sans" w:cs="Gill Sans"/>
          <w:sz w:val="22"/>
          <w:szCs w:val="22"/>
          <w:lang w:val="uk-UA"/>
        </w:rPr>
        <w:t xml:space="preserve"> та методологію</w:t>
      </w:r>
      <w:r w:rsidR="00E60202" w:rsidRPr="00257F44">
        <w:rPr>
          <w:rFonts w:ascii="Gill Sans" w:hAnsi="Gill Sans" w:cs="Gill Sans"/>
          <w:sz w:val="22"/>
          <w:szCs w:val="22"/>
          <w:lang w:val="uk-UA"/>
        </w:rPr>
        <w:t>, що використовую</w:t>
      </w:r>
      <w:r w:rsidRPr="00257F44">
        <w:rPr>
          <w:rFonts w:ascii="Gill Sans" w:hAnsi="Gill Sans" w:cs="Gill Sans"/>
          <w:sz w:val="22"/>
          <w:szCs w:val="22"/>
          <w:lang w:val="uk-UA"/>
        </w:rPr>
        <w:t>ться у дослідженнях МНЗ</w:t>
      </w:r>
      <w:r w:rsidR="00935C6F" w:rsidRPr="00257F44">
        <w:rPr>
          <w:rFonts w:ascii="Gill Sans" w:hAnsi="Gill Sans" w:cs="Gill Sans"/>
          <w:sz w:val="22"/>
          <w:szCs w:val="22"/>
          <w:lang w:val="uk-UA"/>
        </w:rPr>
        <w:t xml:space="preserve">, можна знайти в Посібнику процедур МНЗ, який доступний за </w:t>
      </w:r>
      <w:r w:rsidR="00155047" w:rsidRPr="00257F44">
        <w:rPr>
          <w:rFonts w:ascii="Gill Sans" w:hAnsi="Gill Sans" w:cs="Gill Sans"/>
          <w:sz w:val="22"/>
          <w:szCs w:val="22"/>
          <w:lang w:val="uk-UA"/>
        </w:rPr>
        <w:t xml:space="preserve">посиланням </w:t>
      </w:r>
      <w:hyperlink r:id="rId15">
        <w:r w:rsidR="00935C6F" w:rsidRPr="00257F44">
          <w:rPr>
            <w:rFonts w:ascii="Gill Sans" w:hAnsi="Gill Sans" w:cs="Gill Sans"/>
            <w:sz w:val="22"/>
            <w:szCs w:val="22"/>
            <w:lang w:val="uk-UA"/>
          </w:rPr>
          <w:t>http://www.opengovpartnership.org/about/about-irm</w:t>
        </w:r>
      </w:hyperlink>
      <w:r w:rsidR="00935C6F" w:rsidRPr="00257F44">
        <w:rPr>
          <w:rFonts w:ascii="Gill Sans" w:hAnsi="Gill Sans" w:cs="Gill Sans"/>
          <w:sz w:val="22"/>
          <w:szCs w:val="22"/>
          <w:lang w:val="uk-UA"/>
        </w:rPr>
        <w:t xml:space="preserve">. </w:t>
      </w:r>
      <w:r w:rsidR="00F5487D" w:rsidRPr="00257F44">
        <w:rPr>
          <w:rFonts w:ascii="Gill Sans" w:hAnsi="Gill Sans" w:cs="Gill Sans"/>
          <w:sz w:val="22"/>
          <w:szCs w:val="22"/>
          <w:lang w:val="uk-UA"/>
        </w:rPr>
        <w:t xml:space="preserve">Один метод потребує детальнішого пояснення, оскільки він становить особливий інтерес для читачів і є корисним у заохоченні змагання за </w:t>
      </w:r>
      <w:r w:rsidR="004E1495" w:rsidRPr="00257F44">
        <w:rPr>
          <w:rFonts w:ascii="Gill Sans" w:hAnsi="Gill Sans" w:cs="Gill Sans"/>
          <w:sz w:val="22"/>
          <w:szCs w:val="22"/>
          <w:lang w:val="uk-UA"/>
        </w:rPr>
        <w:t xml:space="preserve">перебування серед </w:t>
      </w:r>
      <w:r w:rsidR="00E45494" w:rsidRPr="00257F44">
        <w:rPr>
          <w:rFonts w:ascii="Gill Sans" w:hAnsi="Gill Sans" w:cs="Gill Sans"/>
          <w:sz w:val="22"/>
          <w:szCs w:val="22"/>
          <w:lang w:val="uk-UA"/>
        </w:rPr>
        <w:t>лідерів країн-учасниць ПВУ – «зіркові зобов'язання» (</w:t>
      </w:r>
      <w:r w:rsidR="00E45494" w:rsidRPr="00257F44">
        <w:rPr>
          <w:rFonts w:ascii="MS Mincho" w:eastAsia="MS Mincho" w:hAnsi="MS Mincho" w:cs="MS Mincho"/>
          <w:sz w:val="22"/>
          <w:szCs w:val="22"/>
          <w:lang w:val="uk-UA"/>
        </w:rPr>
        <w:t>✪</w:t>
      </w:r>
      <w:r w:rsidR="00E45494" w:rsidRPr="00257F44">
        <w:rPr>
          <w:rFonts w:ascii="Gill Sans" w:hAnsi="Gill Sans" w:cs="Gill Sans"/>
          <w:sz w:val="22"/>
          <w:szCs w:val="22"/>
          <w:lang w:val="uk-UA"/>
        </w:rPr>
        <w:t>). Зіркові зобов’язання вважаються зразковими зобов’язаннями ПВУ. Для того, щоб отримати зірку, зобов’язання повинно відповідати кільком критеріям:</w:t>
      </w:r>
    </w:p>
    <w:p w14:paraId="638310C8" w14:textId="5D54B320" w:rsidR="003332D5" w:rsidRPr="00257F44" w:rsidRDefault="003332D5">
      <w:pPr>
        <w:pStyle w:val="ListParagraph"/>
        <w:rPr>
          <w:lang w:val="uk-UA"/>
        </w:rPr>
      </w:pPr>
      <w:r w:rsidRPr="00257F44">
        <w:rPr>
          <w:lang w:val="uk-UA"/>
        </w:rPr>
        <w:t xml:space="preserve">Воно повинно бути достатньо конкретним, щоб можна було зробити висновок щодо його потенційного впливу. </w:t>
      </w:r>
      <w:r w:rsidRPr="00257F44">
        <w:rPr>
          <w:szCs w:val="22"/>
          <w:lang w:val="uk-UA"/>
        </w:rPr>
        <w:t>Зіркові зобов’язання матимуть “середню” або “високу”</w:t>
      </w:r>
      <w:r w:rsidR="006167DD" w:rsidRPr="00257F44">
        <w:rPr>
          <w:szCs w:val="22"/>
          <w:lang w:val="uk-UA"/>
        </w:rPr>
        <w:t xml:space="preserve"> конкретність.</w:t>
      </w:r>
    </w:p>
    <w:p w14:paraId="1568C232" w14:textId="32E4BFA3" w:rsidR="006167DD" w:rsidRPr="00257F44" w:rsidRDefault="006167DD">
      <w:pPr>
        <w:pStyle w:val="ListParagraph"/>
        <w:rPr>
          <w:lang w:val="uk-UA"/>
        </w:rPr>
      </w:pPr>
      <w:r w:rsidRPr="00257F44">
        <w:rPr>
          <w:lang w:val="uk-UA"/>
        </w:rPr>
        <w:t>Формулювання зобов’язання повинно чітко вказувати на його доречність для відкриття уряду. Конкретніше, воно повинно стосуватися принаймні однієї з цінностей ПВУ</w:t>
      </w:r>
      <w:r w:rsidR="002B6C88" w:rsidRPr="00257F44">
        <w:rPr>
          <w:lang w:val="uk-UA"/>
        </w:rPr>
        <w:t>: Доступ до інформації, Громадська участь або Підзвітність влади.</w:t>
      </w:r>
    </w:p>
    <w:p w14:paraId="0C989CDF" w14:textId="34BE9CED" w:rsidR="002B6C88" w:rsidRPr="00257F44" w:rsidRDefault="002B6C88">
      <w:pPr>
        <w:pStyle w:val="ListParagraph"/>
        <w:rPr>
          <w:lang w:val="uk-UA"/>
        </w:rPr>
      </w:pPr>
      <w:r w:rsidRPr="00257F44">
        <w:rPr>
          <w:lang w:val="uk-UA"/>
        </w:rPr>
        <w:t>Зобов’язання матиме “трансформуючий” потенційний вплив, якщо його буде повністю реалізовано.</w:t>
      </w:r>
    </w:p>
    <w:p w14:paraId="6F6A18B4" w14:textId="3BFD8826" w:rsidR="004839BB" w:rsidRPr="00257F44" w:rsidRDefault="002B6C88" w:rsidP="000C40FB">
      <w:pPr>
        <w:pStyle w:val="ListParagraph"/>
        <w:rPr>
          <w:lang w:val="uk-UA"/>
        </w:rPr>
      </w:pPr>
      <w:r w:rsidRPr="00257F44">
        <w:rPr>
          <w:lang w:val="uk-UA"/>
        </w:rPr>
        <w:t xml:space="preserve">Нарешті, </w:t>
      </w:r>
      <w:r w:rsidR="005A52B3" w:rsidRPr="00257F44">
        <w:rPr>
          <w:lang w:val="uk-UA"/>
        </w:rPr>
        <w:t xml:space="preserve">повинен мати місце значний прогрес в реалізації </w:t>
      </w:r>
      <w:r w:rsidRPr="00257F44">
        <w:rPr>
          <w:lang w:val="uk-UA"/>
        </w:rPr>
        <w:t>зобов’язання</w:t>
      </w:r>
      <w:r w:rsidR="005A52B3" w:rsidRPr="00257F44">
        <w:rPr>
          <w:lang w:val="uk-UA"/>
        </w:rPr>
        <w:t xml:space="preserve"> </w:t>
      </w:r>
      <w:r w:rsidR="009F1229" w:rsidRPr="00257F44">
        <w:rPr>
          <w:lang w:val="uk-UA"/>
        </w:rPr>
        <w:t>під час виконання плану дій, тобто зобов’язання повинно отримати</w:t>
      </w:r>
      <w:r w:rsidR="005A52B3" w:rsidRPr="00257F44">
        <w:rPr>
          <w:lang w:val="uk-UA"/>
        </w:rPr>
        <w:t xml:space="preserve"> оцінку “значного” або “повного” виконання.</w:t>
      </w:r>
    </w:p>
    <w:p w14:paraId="085CE76F" w14:textId="7DE77719" w:rsidR="009F1229" w:rsidRPr="00257F44" w:rsidRDefault="009F1229" w:rsidP="00140D0F">
      <w:pPr>
        <w:spacing w:after="120"/>
        <w:rPr>
          <w:rFonts w:ascii="Gill Sans" w:hAnsi="Gill Sans" w:cs="Gill Sans"/>
          <w:sz w:val="22"/>
          <w:szCs w:val="22"/>
          <w:lang w:val="uk-UA"/>
        </w:rPr>
      </w:pPr>
      <w:r w:rsidRPr="00257F44">
        <w:rPr>
          <w:rFonts w:ascii="Gill Sans" w:hAnsi="Gill Sans" w:cs="Gill Sans"/>
          <w:sz w:val="22"/>
          <w:szCs w:val="22"/>
          <w:lang w:val="uk-UA"/>
        </w:rPr>
        <w:t xml:space="preserve">На підставі цих критеріїв, у проміжному звіті було визнано, що план дій України містив три зіркові зобов’язання. Наприкінці періоду </w:t>
      </w:r>
      <w:r w:rsidR="005066C0" w:rsidRPr="00257F44">
        <w:rPr>
          <w:rFonts w:ascii="Gill Sans" w:hAnsi="Gill Sans" w:cs="Gill Sans"/>
          <w:sz w:val="22"/>
          <w:szCs w:val="22"/>
          <w:lang w:val="uk-UA"/>
        </w:rPr>
        <w:t>реалізації</w:t>
      </w:r>
      <w:r w:rsidRPr="00257F44">
        <w:rPr>
          <w:rFonts w:ascii="Gill Sans" w:hAnsi="Gill Sans" w:cs="Gill Sans"/>
          <w:sz w:val="22"/>
          <w:szCs w:val="22"/>
          <w:lang w:val="uk-UA"/>
        </w:rPr>
        <w:t xml:space="preserve"> плану дій, ураховуючи зміни в рівні виконання, план дій України містив </w:t>
      </w:r>
      <w:r w:rsidRPr="00257F44">
        <w:rPr>
          <w:rFonts w:ascii="Gill Sans" w:hAnsi="Gill Sans" w:cs="Gill Sans"/>
          <w:i/>
          <w:color w:val="1F497D" w:themeColor="text2"/>
          <w:sz w:val="22"/>
          <w:szCs w:val="22"/>
          <w:lang w:val="uk-UA"/>
        </w:rPr>
        <w:t xml:space="preserve">чотири </w:t>
      </w:r>
      <w:r w:rsidRPr="00257F44">
        <w:rPr>
          <w:rFonts w:ascii="Gill Sans" w:hAnsi="Gill Sans" w:cs="Gill Sans"/>
          <w:sz w:val="22"/>
          <w:szCs w:val="22"/>
          <w:lang w:val="uk-UA"/>
        </w:rPr>
        <w:t>зіркові зобов’язання.</w:t>
      </w:r>
    </w:p>
    <w:p w14:paraId="33D0FC29" w14:textId="61DE6714" w:rsidR="005066C0" w:rsidRPr="00257F44" w:rsidRDefault="000140C0" w:rsidP="00140D0F">
      <w:pPr>
        <w:spacing w:after="120"/>
        <w:rPr>
          <w:rFonts w:ascii="Gill Sans" w:hAnsi="Gill Sans" w:cs="Gill Sans"/>
          <w:sz w:val="22"/>
          <w:szCs w:val="22"/>
          <w:lang w:val="uk-UA"/>
        </w:rPr>
      </w:pPr>
      <w:r w:rsidRPr="00257F44">
        <w:rPr>
          <w:rFonts w:ascii="Gill Sans" w:hAnsi="Gill Sans" w:cs="Gill Sans"/>
          <w:sz w:val="22"/>
          <w:szCs w:val="22"/>
          <w:lang w:val="uk-UA"/>
        </w:rPr>
        <w:t>Зобов’язання, які оцінювалися як зіркові у проміжному звіті, можуть втратити свій зірковий статус, якщо наприкінці циклу реалізації плану дій їхній рівень виконання не досягає значного або повного виконання, що означатиме</w:t>
      </w:r>
      <w:r w:rsidR="00FF05EA" w:rsidRPr="00257F44">
        <w:rPr>
          <w:rFonts w:ascii="Gill Sans" w:hAnsi="Gill Sans" w:cs="Gill Sans"/>
          <w:sz w:val="22"/>
          <w:szCs w:val="22"/>
          <w:lang w:val="uk-UA"/>
        </w:rPr>
        <w:t>, що вони мають загалом обмежений статус виконання в кінці періоду згідно з формулюванням зобов’язання.</w:t>
      </w:r>
    </w:p>
    <w:p w14:paraId="2C254DEC" w14:textId="2A9A0EA0" w:rsidR="00FF05EA" w:rsidRPr="00257F44" w:rsidRDefault="00FF05EA" w:rsidP="00140D0F">
      <w:pPr>
        <w:spacing w:after="120"/>
        <w:rPr>
          <w:rFonts w:ascii="Gill Sans" w:hAnsi="Gill Sans" w:cs="Gill Sans"/>
          <w:sz w:val="22"/>
          <w:szCs w:val="22"/>
          <w:lang w:val="uk-UA"/>
        </w:rPr>
      </w:pPr>
      <w:r w:rsidRPr="00257F44">
        <w:rPr>
          <w:rFonts w:ascii="Gill Sans" w:hAnsi="Gill Sans" w:cs="Gill Sans"/>
          <w:sz w:val="22"/>
          <w:szCs w:val="22"/>
          <w:lang w:val="uk-UA"/>
        </w:rPr>
        <w:t xml:space="preserve">Нарешті, </w:t>
      </w:r>
      <w:r w:rsidR="006136CE" w:rsidRPr="00257F44">
        <w:rPr>
          <w:rFonts w:ascii="Gill Sans" w:hAnsi="Gill Sans" w:cs="Gill Sans"/>
          <w:sz w:val="22"/>
          <w:szCs w:val="22"/>
          <w:lang w:val="uk-UA"/>
        </w:rPr>
        <w:t xml:space="preserve">схеми у цьому розділі становлять лише частину масиву даних, які МНЗ збирає в процесі оцінювання досягненого прогресу. Для </w:t>
      </w:r>
      <w:r w:rsidR="006A42E4" w:rsidRPr="00257F44">
        <w:rPr>
          <w:rFonts w:ascii="Gill Sans" w:hAnsi="Gill Sans" w:cs="Gill Sans"/>
          <w:sz w:val="22"/>
          <w:szCs w:val="22"/>
          <w:lang w:val="uk-UA"/>
        </w:rPr>
        <w:t xml:space="preserve">перегляду всіх даних для України, див. OGP Explorer за </w:t>
      </w:r>
      <w:r w:rsidR="00D37969" w:rsidRPr="00257F44">
        <w:rPr>
          <w:rFonts w:ascii="Gill Sans" w:hAnsi="Gill Sans" w:cs="Gill Sans"/>
          <w:sz w:val="22"/>
          <w:szCs w:val="22"/>
          <w:lang w:val="uk-UA"/>
        </w:rPr>
        <w:t>посиланням</w:t>
      </w:r>
      <w:r w:rsidR="006A42E4" w:rsidRPr="00257F44">
        <w:rPr>
          <w:rFonts w:ascii="Gill Sans" w:hAnsi="Gill Sans" w:cs="Gill Sans"/>
          <w:sz w:val="22"/>
          <w:szCs w:val="22"/>
          <w:lang w:val="uk-UA"/>
        </w:rPr>
        <w:t xml:space="preserve"> </w:t>
      </w:r>
      <w:hyperlink r:id="rId16" w:history="1">
        <w:r w:rsidR="006A42E4" w:rsidRPr="00257F44">
          <w:rPr>
            <w:rStyle w:val="Hyperlink"/>
            <w:rFonts w:ascii="Gill Sans" w:hAnsi="Gill Sans" w:cs="Gill Sans"/>
            <w:sz w:val="22"/>
            <w:szCs w:val="22"/>
            <w:lang w:val="uk-UA"/>
          </w:rPr>
          <w:t>www.opengovpartnership.org/explorer</w:t>
        </w:r>
      </w:hyperlink>
      <w:r w:rsidR="006A42E4" w:rsidRPr="00257F44">
        <w:rPr>
          <w:rStyle w:val="Hyperlink"/>
          <w:rFonts w:ascii="Gill Sans" w:hAnsi="Gill Sans" w:cs="Gill Sans"/>
          <w:sz w:val="22"/>
          <w:szCs w:val="22"/>
          <w:lang w:val="uk-UA"/>
        </w:rPr>
        <w:t xml:space="preserve">. </w:t>
      </w:r>
    </w:p>
    <w:p w14:paraId="17E0BC72" w14:textId="7AD1E9AA" w:rsidR="004839BB" w:rsidRPr="00257F44" w:rsidRDefault="006A42E4" w:rsidP="00D3337A">
      <w:pPr>
        <w:pStyle w:val="Heading3"/>
        <w:spacing w:after="120"/>
        <w:rPr>
          <w:lang w:val="uk-UA"/>
        </w:rPr>
      </w:pPr>
      <w:r w:rsidRPr="00257F44">
        <w:rPr>
          <w:lang w:val="uk-UA"/>
        </w:rPr>
        <w:t xml:space="preserve">Щодо </w:t>
      </w:r>
      <w:r w:rsidR="004839BB" w:rsidRPr="00257F44">
        <w:rPr>
          <w:lang w:val="uk-UA"/>
        </w:rPr>
        <w:t>“</w:t>
      </w:r>
      <w:r w:rsidRPr="00257F44">
        <w:rPr>
          <w:lang w:val="uk-UA"/>
        </w:rPr>
        <w:t>Чи відкрило це уряд</w:t>
      </w:r>
      <w:r w:rsidR="004839BB" w:rsidRPr="00257F44">
        <w:rPr>
          <w:lang w:val="uk-UA"/>
        </w:rPr>
        <w:t>?”</w:t>
      </w:r>
    </w:p>
    <w:p w14:paraId="61FE0AF4" w14:textId="0CABC1A1" w:rsidR="006A42E4" w:rsidRPr="00257F44" w:rsidRDefault="006A42E4" w:rsidP="00140D0F">
      <w:pPr>
        <w:pStyle w:val="Normalrglronly"/>
        <w:rPr>
          <w:lang w:val="uk-UA"/>
        </w:rPr>
      </w:pPr>
      <w:r w:rsidRPr="00257F44">
        <w:rPr>
          <w:lang w:val="uk-UA"/>
        </w:rPr>
        <w:t xml:space="preserve">Часто зобов’язання ПВУ нечітко сформульовані або не стосуються явно відкриття уряду, але насправді вони призводять до значних політичних реформ. </w:t>
      </w:r>
      <w:r w:rsidR="00C95364" w:rsidRPr="00257F44">
        <w:rPr>
          <w:lang w:val="uk-UA"/>
        </w:rPr>
        <w:t xml:space="preserve">Інші зобов’язання із значним прогресом </w:t>
      </w:r>
      <w:r w:rsidR="0058305D" w:rsidRPr="00257F44">
        <w:rPr>
          <w:lang w:val="uk-UA"/>
        </w:rPr>
        <w:t xml:space="preserve">у виконанні </w:t>
      </w:r>
      <w:r w:rsidR="00C95364" w:rsidRPr="00257F44">
        <w:rPr>
          <w:lang w:val="uk-UA"/>
        </w:rPr>
        <w:t xml:space="preserve">можуть видаватися доречними та амбітними, але вони не відкривають уряд. Намагаючись охопити цю нюанси і, що ще важливіше, </w:t>
      </w:r>
      <w:r w:rsidR="00C156EA" w:rsidRPr="00257F44">
        <w:rPr>
          <w:lang w:val="uk-UA"/>
        </w:rPr>
        <w:t xml:space="preserve">реальні зміни в державній практиці, МНЗ запровадив нову змінну “чи відкрило це уряд” у підсумкових звітах. Ця змінна намагається піти далі за вимірювання продуктів та результатів і подивитися на те, яким чином змінилася урядова практика в результаті виконання зобов’язання. </w:t>
      </w:r>
      <w:r w:rsidR="003F33C2" w:rsidRPr="00257F44">
        <w:rPr>
          <w:lang w:val="uk-UA"/>
        </w:rPr>
        <w:t xml:space="preserve">Це можна протиставити “зірковим зобов’язанням” МНЗ, які описують </w:t>
      </w:r>
      <w:r w:rsidR="003F33C2" w:rsidRPr="00257F44">
        <w:rPr>
          <w:i/>
          <w:lang w:val="uk-UA"/>
        </w:rPr>
        <w:t>потенційний</w:t>
      </w:r>
      <w:r w:rsidR="003F33C2" w:rsidRPr="00257F44">
        <w:rPr>
          <w:lang w:val="uk-UA"/>
        </w:rPr>
        <w:t xml:space="preserve"> вплив.</w:t>
      </w:r>
    </w:p>
    <w:p w14:paraId="342FE38E" w14:textId="6386F227" w:rsidR="0058305D" w:rsidRPr="00257F44" w:rsidRDefault="0058305D" w:rsidP="00163080">
      <w:pPr>
        <w:pStyle w:val="NormalWeb"/>
        <w:spacing w:before="0" w:beforeAutospacing="0" w:after="0" w:afterAutospacing="0"/>
        <w:rPr>
          <w:rFonts w:ascii="Gill Sans" w:hAnsi="Gill Sans" w:cs="Gill Sans"/>
          <w:sz w:val="22"/>
          <w:szCs w:val="22"/>
          <w:lang w:val="uk-UA"/>
        </w:rPr>
      </w:pPr>
      <w:r w:rsidRPr="00257F44">
        <w:rPr>
          <w:rFonts w:ascii="Gill Sans" w:hAnsi="Gill Sans" w:cs="Gill Sans"/>
          <w:sz w:val="22"/>
          <w:szCs w:val="22"/>
          <w:lang w:val="uk-UA"/>
        </w:rPr>
        <w:t>Дослідники МНЗ оцінюють “Чи відкрило це уряд?” по відношенню до кожної з цінностей ПВУ, які стосуються відповідного зобов’</w:t>
      </w:r>
      <w:r w:rsidR="0081642D" w:rsidRPr="00257F44">
        <w:rPr>
          <w:rFonts w:ascii="Gill Sans" w:hAnsi="Gill Sans" w:cs="Gill Sans"/>
          <w:sz w:val="22"/>
          <w:szCs w:val="22"/>
          <w:lang w:val="uk-UA"/>
        </w:rPr>
        <w:t>язання. Це запитання про те, чи змінило зобов’язання державну практику понад звичайний стан речей? Використовується така шкала оцінювання:</w:t>
      </w:r>
    </w:p>
    <w:p w14:paraId="0DC68FBD" w14:textId="1145D69E" w:rsidR="00FD2175" w:rsidRPr="00257F44" w:rsidRDefault="00FD2175" w:rsidP="00163080">
      <w:pPr>
        <w:pStyle w:val="NormalWeb"/>
        <w:numPr>
          <w:ilvl w:val="0"/>
          <w:numId w:val="37"/>
        </w:numPr>
        <w:spacing w:before="0" w:beforeAutospacing="0" w:after="0" w:afterAutospacing="0"/>
        <w:textAlignment w:val="baseline"/>
        <w:rPr>
          <w:rFonts w:ascii="Gill Sans" w:hAnsi="Gill Sans" w:cs="Gill Sans"/>
          <w:color w:val="000000"/>
          <w:sz w:val="22"/>
          <w:szCs w:val="22"/>
          <w:lang w:val="uk-UA"/>
        </w:rPr>
      </w:pPr>
      <w:r w:rsidRPr="00257F44">
        <w:rPr>
          <w:rFonts w:ascii="Gill Sans" w:hAnsi="Gill Sans" w:cs="Gill Sans"/>
          <w:color w:val="000000"/>
          <w:sz w:val="22"/>
          <w:szCs w:val="22"/>
          <w:lang w:val="uk-UA"/>
        </w:rPr>
        <w:t>Погіршило: погіршується відкритість уряду внаслідок заходів, вжитих в рамках зобов’язання.</w:t>
      </w:r>
    </w:p>
    <w:p w14:paraId="3F472279" w14:textId="2EFFF3BF" w:rsidR="00FD2175" w:rsidRPr="00257F44" w:rsidRDefault="00FD2175" w:rsidP="00163080">
      <w:pPr>
        <w:pStyle w:val="NormalWeb"/>
        <w:numPr>
          <w:ilvl w:val="0"/>
          <w:numId w:val="37"/>
        </w:numPr>
        <w:spacing w:before="0" w:beforeAutospacing="0" w:after="0" w:afterAutospacing="0"/>
        <w:textAlignment w:val="baseline"/>
        <w:rPr>
          <w:rFonts w:ascii="Gill Sans" w:hAnsi="Gill Sans" w:cs="Gill Sans"/>
          <w:color w:val="000000"/>
          <w:sz w:val="22"/>
          <w:szCs w:val="22"/>
          <w:lang w:val="uk-UA"/>
        </w:rPr>
      </w:pPr>
      <w:r w:rsidRPr="00257F44">
        <w:rPr>
          <w:rFonts w:ascii="Gill Sans" w:hAnsi="Gill Sans" w:cs="Gill Sans"/>
          <w:color w:val="000000"/>
          <w:sz w:val="22"/>
          <w:szCs w:val="22"/>
          <w:lang w:val="uk-UA"/>
        </w:rPr>
        <w:t>Не змінило: статус кво державної практики не змінюється.</w:t>
      </w:r>
    </w:p>
    <w:p w14:paraId="33BBC432" w14:textId="5521AF65" w:rsidR="00E11C76" w:rsidRPr="00257F44" w:rsidRDefault="00FD2175" w:rsidP="00163080">
      <w:pPr>
        <w:pStyle w:val="NormalWeb"/>
        <w:numPr>
          <w:ilvl w:val="0"/>
          <w:numId w:val="37"/>
        </w:numPr>
        <w:spacing w:before="0" w:beforeAutospacing="0" w:after="0" w:afterAutospacing="0"/>
        <w:textAlignment w:val="baseline"/>
        <w:rPr>
          <w:rFonts w:ascii="Gill Sans" w:hAnsi="Gill Sans" w:cs="Gill Sans"/>
          <w:color w:val="000000"/>
          <w:sz w:val="22"/>
          <w:szCs w:val="22"/>
          <w:lang w:val="uk-UA"/>
        </w:rPr>
      </w:pPr>
      <w:r w:rsidRPr="00257F44">
        <w:rPr>
          <w:rFonts w:ascii="Gill Sans" w:hAnsi="Gill Sans" w:cs="Gill Sans"/>
          <w:color w:val="000000"/>
          <w:sz w:val="22"/>
          <w:szCs w:val="22"/>
          <w:lang w:val="uk-UA"/>
        </w:rPr>
        <w:t>Обмеже</w:t>
      </w:r>
      <w:r w:rsidR="00F5663D" w:rsidRPr="00257F44">
        <w:rPr>
          <w:rFonts w:ascii="Gill Sans" w:hAnsi="Gill Sans" w:cs="Gill Sans"/>
          <w:color w:val="000000"/>
          <w:sz w:val="22"/>
          <w:szCs w:val="22"/>
          <w:lang w:val="uk-UA"/>
        </w:rPr>
        <w:t>но: деякі зміни, але незначні в частині впливу зобов’язання на рівень відкритості.</w:t>
      </w:r>
    </w:p>
    <w:p w14:paraId="08529E38" w14:textId="0EBC8134" w:rsidR="00F5663D" w:rsidRPr="00257F44" w:rsidRDefault="00760AEA" w:rsidP="00163080">
      <w:pPr>
        <w:pStyle w:val="NormalWeb"/>
        <w:numPr>
          <w:ilvl w:val="0"/>
          <w:numId w:val="37"/>
        </w:numPr>
        <w:spacing w:before="0" w:beforeAutospacing="0" w:after="0" w:afterAutospacing="0"/>
        <w:textAlignment w:val="baseline"/>
        <w:rPr>
          <w:rFonts w:ascii="Gill Sans" w:hAnsi="Gill Sans" w:cs="Gill Sans"/>
          <w:color w:val="000000"/>
          <w:sz w:val="22"/>
          <w:szCs w:val="22"/>
          <w:lang w:val="uk-UA"/>
        </w:rPr>
      </w:pPr>
      <w:r w:rsidRPr="00257F44">
        <w:rPr>
          <w:rFonts w:ascii="Gill Sans" w:hAnsi="Gill Sans" w:cs="Gill Sans"/>
          <w:color w:val="000000"/>
          <w:sz w:val="22"/>
          <w:szCs w:val="22"/>
          <w:lang w:val="uk-UA"/>
        </w:rPr>
        <w:t>Значною мірою</w:t>
      </w:r>
      <w:r w:rsidR="00F5663D" w:rsidRPr="00257F44">
        <w:rPr>
          <w:rFonts w:ascii="Gill Sans" w:hAnsi="Gill Sans" w:cs="Gill Sans"/>
          <w:color w:val="000000"/>
          <w:sz w:val="22"/>
          <w:szCs w:val="22"/>
          <w:lang w:val="uk-UA"/>
        </w:rPr>
        <w:t>: крок уперед в урядовій відкритості у відповідній сфері політики, але залишається обмеженим в обсязі чи масштабі.</w:t>
      </w:r>
    </w:p>
    <w:p w14:paraId="710F9528" w14:textId="7840AC2F" w:rsidR="002C3F6D" w:rsidRPr="00257F44" w:rsidRDefault="00760AEA" w:rsidP="009077AB">
      <w:pPr>
        <w:pStyle w:val="NormalWeb"/>
        <w:numPr>
          <w:ilvl w:val="0"/>
          <w:numId w:val="37"/>
        </w:numPr>
        <w:spacing w:before="0" w:beforeAutospacing="0" w:after="120" w:afterAutospacing="0"/>
        <w:textAlignment w:val="baseline"/>
        <w:rPr>
          <w:rFonts w:ascii="Gill Sans" w:hAnsi="Gill Sans" w:cs="Gill Sans"/>
          <w:color w:val="000000"/>
          <w:sz w:val="22"/>
          <w:szCs w:val="22"/>
          <w:lang w:val="uk-UA"/>
        </w:rPr>
      </w:pPr>
      <w:r w:rsidRPr="00257F44">
        <w:rPr>
          <w:rFonts w:ascii="Gill Sans" w:hAnsi="Gill Sans" w:cs="Gill Sans"/>
          <w:color w:val="000000"/>
          <w:sz w:val="22"/>
          <w:szCs w:val="22"/>
          <w:lang w:val="uk-UA"/>
        </w:rPr>
        <w:t>Визначною мірою</w:t>
      </w:r>
      <w:r w:rsidR="002C3F6D" w:rsidRPr="00257F44">
        <w:rPr>
          <w:rFonts w:ascii="Gill Sans" w:hAnsi="Gill Sans" w:cs="Gill Sans"/>
          <w:color w:val="000000"/>
          <w:sz w:val="22"/>
          <w:szCs w:val="22"/>
          <w:lang w:val="uk-UA"/>
        </w:rPr>
        <w:t>: реформа, яка трансформувала “звичний стан справ” у відповідній сфері політики, відкривши уряд.</w:t>
      </w:r>
    </w:p>
    <w:p w14:paraId="0855DC53" w14:textId="3ED123CC" w:rsidR="002C3F6D" w:rsidRPr="00257F44" w:rsidRDefault="002C3F6D" w:rsidP="00140D0F">
      <w:pPr>
        <w:pStyle w:val="Normalrglronly"/>
        <w:rPr>
          <w:lang w:val="uk-UA"/>
        </w:rPr>
      </w:pPr>
      <w:r w:rsidRPr="00257F44">
        <w:rPr>
          <w:lang w:val="uk-UA"/>
        </w:rPr>
        <w:lastRenderedPageBreak/>
        <w:t>Для оцінювання цієї змінної, дослідники визначають статус кво, який існував на початку реалізації плану дій. Далі вони оцінюють наслідки</w:t>
      </w:r>
      <w:r w:rsidR="00741635" w:rsidRPr="00257F44">
        <w:rPr>
          <w:lang w:val="uk-UA"/>
        </w:rPr>
        <w:t xml:space="preserve"> для змін в урядовій відкритості </w:t>
      </w:r>
      <w:r w:rsidR="00741635" w:rsidRPr="00257F44">
        <w:rPr>
          <w:i/>
          <w:lang w:val="uk-UA"/>
        </w:rPr>
        <w:t>відповідно до існуючого стану реалізації зобов’язання</w:t>
      </w:r>
      <w:r w:rsidR="00741635" w:rsidRPr="00257F44">
        <w:rPr>
          <w:lang w:val="uk-UA"/>
        </w:rPr>
        <w:t>.</w:t>
      </w:r>
    </w:p>
    <w:p w14:paraId="78571622" w14:textId="6812488E" w:rsidR="00741635" w:rsidRPr="00257F44" w:rsidRDefault="004D4D65" w:rsidP="00B0395A">
      <w:pPr>
        <w:pStyle w:val="Normalrglronly"/>
        <w:rPr>
          <w:lang w:val="uk-UA"/>
        </w:rPr>
      </w:pPr>
      <w:r w:rsidRPr="00257F44">
        <w:rPr>
          <w:lang w:val="uk-UA"/>
        </w:rPr>
        <w:t xml:space="preserve">Читачам </w:t>
      </w:r>
      <w:r w:rsidR="005502CB" w:rsidRPr="00257F44">
        <w:rPr>
          <w:lang w:val="uk-UA"/>
        </w:rPr>
        <w:t xml:space="preserve">слід враховувати </w:t>
      </w:r>
      <w:r w:rsidR="00760AEA" w:rsidRPr="00257F44">
        <w:rPr>
          <w:lang w:val="uk-UA"/>
        </w:rPr>
        <w:t xml:space="preserve">наявні </w:t>
      </w:r>
      <w:r w:rsidR="005502CB" w:rsidRPr="00257F44">
        <w:rPr>
          <w:lang w:val="uk-UA"/>
        </w:rPr>
        <w:t>обмеження. Підс</w:t>
      </w:r>
      <w:r w:rsidRPr="00257F44">
        <w:rPr>
          <w:lang w:val="uk-UA"/>
        </w:rPr>
        <w:t>у</w:t>
      </w:r>
      <w:r w:rsidR="005502CB" w:rsidRPr="00257F44">
        <w:rPr>
          <w:lang w:val="uk-UA"/>
        </w:rPr>
        <w:t>м</w:t>
      </w:r>
      <w:r w:rsidRPr="00257F44">
        <w:rPr>
          <w:lang w:val="uk-UA"/>
        </w:rPr>
        <w:t xml:space="preserve">кові звіти МНЗ готуються лише за кілька місяців після завершення циклу виконання плану дій. </w:t>
      </w:r>
      <w:r w:rsidR="005502CB" w:rsidRPr="00257F44">
        <w:rPr>
          <w:lang w:val="uk-UA"/>
        </w:rPr>
        <w:t>Змінна зосереджується на наслідках для урядової відкритості, які можна спостерігати наприкінці дворічного періоду реалізації плану дій. Звіт та змінна не мають на меті оцінити вплив через складні методологічні міркування та часові межі звіту.</w:t>
      </w:r>
    </w:p>
    <w:p w14:paraId="3292121C" w14:textId="5EDB98C9" w:rsidR="00163080" w:rsidRPr="00257F44" w:rsidRDefault="00A1332D" w:rsidP="00163080">
      <w:pPr>
        <w:pStyle w:val="Normalrglronly"/>
        <w:rPr>
          <w:rFonts w:eastAsiaTheme="majorEastAsia"/>
          <w:b/>
          <w:bCs/>
          <w:noProof/>
          <w:color w:val="1F497D" w:themeColor="text2"/>
          <w:szCs w:val="20"/>
          <w:lang w:val="uk-UA"/>
        </w:rPr>
      </w:pPr>
      <w:r w:rsidRPr="00257F44">
        <w:rPr>
          <w:rFonts w:eastAsiaTheme="majorEastAsia"/>
          <w:b/>
          <w:bCs/>
          <w:noProof/>
          <w:color w:val="1F497D" w:themeColor="text2"/>
          <w:szCs w:val="20"/>
          <w:lang w:val="uk-UA"/>
        </w:rPr>
        <w:t>Загальний огляд зобов’язань</w:t>
      </w:r>
    </w:p>
    <w:p w14:paraId="06D6B9AC" w14:textId="1E91C969" w:rsidR="00A62688" w:rsidRPr="00257F44" w:rsidRDefault="00A62688" w:rsidP="00163080">
      <w:pPr>
        <w:pStyle w:val="Normalrglronly"/>
        <w:rPr>
          <w:lang w:val="uk-UA"/>
        </w:rPr>
      </w:pPr>
      <w:r w:rsidRPr="00257F44">
        <w:rPr>
          <w:lang w:val="uk-UA"/>
        </w:rPr>
        <w:t xml:space="preserve">Як частину їхньої участі в ПВУ, країни беруть на себе зобов’язання у дворічному плані дій. </w:t>
      </w:r>
      <w:r w:rsidR="00FC5A56" w:rsidRPr="00257F44">
        <w:rPr>
          <w:lang w:val="uk-UA"/>
        </w:rPr>
        <w:t>Підсумковий звіт</w:t>
      </w:r>
      <w:r w:rsidR="0066250C" w:rsidRPr="00257F44">
        <w:rPr>
          <w:lang w:val="uk-UA"/>
        </w:rPr>
        <w:t xml:space="preserve"> оцінює додаткову змінну – “чи відкрило це уряд?”. Таблиці нижче підсумовують стан виконання наприкінці період</w:t>
      </w:r>
      <w:r w:rsidR="001B4420" w:rsidRPr="00257F44">
        <w:rPr>
          <w:lang w:val="uk-UA"/>
        </w:rPr>
        <w:t>у</w:t>
      </w:r>
      <w:r w:rsidR="0066250C" w:rsidRPr="00257F44">
        <w:rPr>
          <w:lang w:val="uk-UA"/>
        </w:rPr>
        <w:t xml:space="preserve"> та прогрес за цією змінною. Для зобов’язань, які були повністю виконані вже на стадії проміжного звіту, цей звіт </w:t>
      </w:r>
      <w:r w:rsidR="00A3394A" w:rsidRPr="00257F44">
        <w:rPr>
          <w:lang w:val="uk-UA"/>
        </w:rPr>
        <w:t>наводить резюме висновків проміжного звіту, але при цьому зосеред</w:t>
      </w:r>
      <w:r w:rsidR="001B4420" w:rsidRPr="00257F44">
        <w:rPr>
          <w:lang w:val="uk-UA"/>
        </w:rPr>
        <w:t xml:space="preserve">жується </w:t>
      </w:r>
      <w:r w:rsidR="00A3394A" w:rsidRPr="00257F44">
        <w:rPr>
          <w:lang w:val="uk-UA"/>
        </w:rPr>
        <w:t xml:space="preserve">на аналізі змінної “чи відкрило це уряд?”. Для додаткових подробиць щодо </w:t>
      </w:r>
      <w:r w:rsidR="000228CC" w:rsidRPr="00257F44">
        <w:rPr>
          <w:lang w:val="uk-UA"/>
        </w:rPr>
        <w:t>зобов’язань з повним виконанням на стадії проміжного звіту, див. проміжний звіт МНЗ щодо України.</w:t>
      </w:r>
    </w:p>
    <w:p w14:paraId="4ABADFD9" w14:textId="183899F9" w:rsidR="007D1AC0" w:rsidRPr="00257F44" w:rsidRDefault="000228CC" w:rsidP="00163080">
      <w:pPr>
        <w:pStyle w:val="Normalrglronly"/>
        <w:rPr>
          <w:lang w:val="uk-UA"/>
        </w:rPr>
      </w:pPr>
      <w:r w:rsidRPr="00257F44">
        <w:rPr>
          <w:lang w:val="uk-UA"/>
        </w:rPr>
        <w:t>Загалом, другий національний п</w:t>
      </w:r>
      <w:r w:rsidR="00A62688" w:rsidRPr="00257F44">
        <w:rPr>
          <w:lang w:val="uk-UA"/>
        </w:rPr>
        <w:t xml:space="preserve">лан дій </w:t>
      </w:r>
      <w:r w:rsidRPr="00257F44">
        <w:rPr>
          <w:lang w:val="uk-UA"/>
        </w:rPr>
        <w:t>України містив 26 зобов’язань, які охоплювали широке коло питань. Більшість заходів (19)</w:t>
      </w:r>
      <w:r w:rsidR="00B07160" w:rsidRPr="00257F44">
        <w:rPr>
          <w:lang w:val="uk-UA"/>
        </w:rPr>
        <w:t xml:space="preserve"> мали нормативний характер: вони передбачали розробку та/або схвалення</w:t>
      </w:r>
      <w:r w:rsidRPr="00257F44">
        <w:rPr>
          <w:lang w:val="uk-UA"/>
        </w:rPr>
        <w:t xml:space="preserve"> </w:t>
      </w:r>
      <w:r w:rsidR="00B07160" w:rsidRPr="00257F44">
        <w:rPr>
          <w:lang w:val="uk-UA"/>
        </w:rPr>
        <w:t>різноманітних нормативно-правових актів, у тому числі 14 проектів закону.</w:t>
      </w:r>
      <w:r w:rsidR="007D1AC0" w:rsidRPr="00257F44">
        <w:rPr>
          <w:lang w:val="uk-UA"/>
        </w:rPr>
        <w:t xml:space="preserve"> План дій був побудований навколо п’яти тем: (1) Створення сприятливого середовища для участі громадськості в державній політиці; (2) Доступ до інформації; (3) Запобігання корупції; (4) Публічні послуг</w:t>
      </w:r>
      <w:r w:rsidR="000C1B87" w:rsidRPr="00257F44">
        <w:rPr>
          <w:lang w:val="uk-UA"/>
        </w:rPr>
        <w:t>и</w:t>
      </w:r>
      <w:r w:rsidR="007D1AC0" w:rsidRPr="00257F44">
        <w:rPr>
          <w:lang w:val="uk-UA"/>
        </w:rPr>
        <w:t xml:space="preserve">; та (5) Електронне урядування </w:t>
      </w:r>
      <w:r w:rsidR="000C1B87" w:rsidRPr="00257F44">
        <w:rPr>
          <w:lang w:val="uk-UA"/>
        </w:rPr>
        <w:t>і</w:t>
      </w:r>
      <w:r w:rsidR="007D1AC0" w:rsidRPr="00257F44">
        <w:rPr>
          <w:lang w:val="uk-UA"/>
        </w:rPr>
        <w:t xml:space="preserve"> електронна демократія. </w:t>
      </w:r>
      <w:r w:rsidR="00757B56" w:rsidRPr="00257F44">
        <w:rPr>
          <w:lang w:val="uk-UA"/>
        </w:rPr>
        <w:t xml:space="preserve">Дослідник МНЗ об’єднав деякі зобов’язання у кластери для кращого структурування звіту та об’єднав </w:t>
      </w:r>
      <w:r w:rsidR="006C0F37" w:rsidRPr="00257F44">
        <w:rPr>
          <w:lang w:val="uk-UA"/>
        </w:rPr>
        <w:t>пов’язані заходи, які краще розглядати в одному контексті. Наприклад, заходи в Розділі 1</w:t>
      </w:r>
      <w:r w:rsidR="001257DE" w:rsidRPr="00257F44">
        <w:rPr>
          <w:lang w:val="uk-UA"/>
        </w:rPr>
        <w:t xml:space="preserve"> н</w:t>
      </w:r>
      <w:r w:rsidR="006C0F37" w:rsidRPr="00257F44">
        <w:rPr>
          <w:lang w:val="uk-UA"/>
        </w:rPr>
        <w:t xml:space="preserve">аціонального плану дій були об’єднані в два зобов’язання: 1) </w:t>
      </w:r>
      <w:r w:rsidR="001257DE" w:rsidRPr="00257F44">
        <w:rPr>
          <w:lang w:val="uk-UA"/>
        </w:rPr>
        <w:t>Закон та правила щодо громадської участі у вироблен</w:t>
      </w:r>
      <w:r w:rsidR="000C1B87" w:rsidRPr="00257F44">
        <w:rPr>
          <w:lang w:val="uk-UA"/>
        </w:rPr>
        <w:t>н</w:t>
      </w:r>
      <w:r w:rsidR="001257DE" w:rsidRPr="00257F44">
        <w:rPr>
          <w:lang w:val="uk-UA"/>
        </w:rPr>
        <w:t>і політики, та 2) Сприятливе середовище для організацій громадянського суспільства (ОГС). Зобов’язання, пов’язані з регулюванням відкритих даних, також були об’</w:t>
      </w:r>
      <w:r w:rsidR="00614B12" w:rsidRPr="00257F44">
        <w:rPr>
          <w:lang w:val="uk-UA"/>
        </w:rPr>
        <w:t>єднані в кластер</w:t>
      </w:r>
      <w:r w:rsidR="001257DE" w:rsidRPr="00257F44">
        <w:rPr>
          <w:lang w:val="uk-UA"/>
        </w:rPr>
        <w:t>.</w:t>
      </w:r>
    </w:p>
    <w:p w14:paraId="6F0FA4A4" w14:textId="4E779230" w:rsidR="00163080" w:rsidRPr="00257F44" w:rsidRDefault="00163080" w:rsidP="00163080">
      <w:pPr>
        <w:pStyle w:val="Normalrglronly"/>
        <w:rPr>
          <w:lang w:val="uk-UA"/>
        </w:rPr>
      </w:pPr>
    </w:p>
    <w:p w14:paraId="097B6E1C" w14:textId="77777777" w:rsidR="00163080" w:rsidRPr="00257F44" w:rsidRDefault="00163080" w:rsidP="00B0395A">
      <w:pPr>
        <w:pStyle w:val="Normalrglronly"/>
        <w:rPr>
          <w:lang w:val="uk-UA"/>
        </w:rPr>
        <w:sectPr w:rsidR="00163080" w:rsidRPr="00257F44" w:rsidSect="00307994">
          <w:endnotePr>
            <w:numFmt w:val="decimal"/>
            <w:numRestart w:val="eachSect"/>
          </w:endnotePr>
          <w:pgSz w:w="11907" w:h="16839" w:code="9"/>
          <w:pgMar w:top="1417" w:right="1417" w:bottom="1417" w:left="1417" w:header="0" w:footer="0" w:gutter="0"/>
          <w:cols w:space="708"/>
          <w:docGrid w:linePitch="360"/>
        </w:sectPr>
      </w:pPr>
    </w:p>
    <w:p w14:paraId="70EB9ED7" w14:textId="39CABC12" w:rsidR="002E33B8" w:rsidRPr="00257F44" w:rsidRDefault="00236D85" w:rsidP="00EC4256">
      <w:pPr>
        <w:pStyle w:val="Tableheader"/>
        <w:rPr>
          <w:lang w:val="uk-UA"/>
        </w:rPr>
      </w:pPr>
      <w:r w:rsidRPr="00257F44">
        <w:rPr>
          <w:lang w:val="uk-UA"/>
        </w:rPr>
        <w:lastRenderedPageBreak/>
        <w:t xml:space="preserve">Таблиця </w:t>
      </w:r>
      <w:r w:rsidR="009077AB" w:rsidRPr="00257F44">
        <w:rPr>
          <w:lang w:val="uk-UA"/>
        </w:rPr>
        <w:t>3:</w:t>
      </w:r>
      <w:r w:rsidR="00827C83" w:rsidRPr="00257F44">
        <w:rPr>
          <w:lang w:val="uk-UA"/>
        </w:rPr>
        <w:t xml:space="preserve"> </w:t>
      </w:r>
      <w:r w:rsidRPr="00257F44">
        <w:rPr>
          <w:lang w:val="uk-UA"/>
        </w:rPr>
        <w:t>Огляд</w:t>
      </w:r>
      <w:r w:rsidR="00827C83" w:rsidRPr="00257F44">
        <w:rPr>
          <w:lang w:val="uk-UA"/>
        </w:rPr>
        <w:t xml:space="preserve">: </w:t>
      </w:r>
      <w:r w:rsidRPr="00257F44">
        <w:rPr>
          <w:lang w:val="uk-UA"/>
        </w:rPr>
        <w:t>Оцінка прогресу за кожним із зобов’язань</w:t>
      </w:r>
    </w:p>
    <w:tbl>
      <w:tblPr>
        <w:tblStyle w:val="TableGrid"/>
        <w:tblpPr w:leftFromText="180" w:rightFromText="180" w:vertAnchor="text" w:tblpY="1"/>
        <w:tblOverlap w:val="never"/>
        <w:tblW w:w="1045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69"/>
        <w:gridCol w:w="401"/>
        <w:gridCol w:w="388"/>
        <w:gridCol w:w="425"/>
        <w:gridCol w:w="395"/>
        <w:gridCol w:w="12"/>
        <w:gridCol w:w="642"/>
        <w:gridCol w:w="369"/>
        <w:gridCol w:w="404"/>
        <w:gridCol w:w="895"/>
        <w:gridCol w:w="12"/>
        <w:gridCol w:w="12"/>
        <w:gridCol w:w="317"/>
        <w:gridCol w:w="12"/>
        <w:gridCol w:w="329"/>
        <w:gridCol w:w="12"/>
        <w:gridCol w:w="329"/>
        <w:gridCol w:w="12"/>
        <w:gridCol w:w="310"/>
        <w:gridCol w:w="21"/>
        <w:gridCol w:w="12"/>
        <w:gridCol w:w="12"/>
        <w:gridCol w:w="461"/>
        <w:gridCol w:w="12"/>
        <w:gridCol w:w="475"/>
        <w:gridCol w:w="12"/>
        <w:gridCol w:w="15"/>
        <w:gridCol w:w="225"/>
        <w:gridCol w:w="235"/>
        <w:gridCol w:w="12"/>
        <w:gridCol w:w="32"/>
        <w:gridCol w:w="451"/>
        <w:gridCol w:w="10"/>
        <w:gridCol w:w="12"/>
        <w:gridCol w:w="345"/>
        <w:gridCol w:w="10"/>
        <w:gridCol w:w="308"/>
        <w:gridCol w:w="10"/>
        <w:gridCol w:w="308"/>
        <w:gridCol w:w="10"/>
        <w:gridCol w:w="308"/>
        <w:gridCol w:w="10"/>
        <w:gridCol w:w="378"/>
        <w:gridCol w:w="10"/>
        <w:gridCol w:w="14"/>
      </w:tblGrid>
      <w:tr w:rsidR="00EC4256" w:rsidRPr="00257F44" w14:paraId="654A05DA" w14:textId="77777777" w:rsidTr="00DB3322">
        <w:trPr>
          <w:trHeight w:val="537"/>
          <w:tblHeader/>
        </w:trPr>
        <w:tc>
          <w:tcPr>
            <w:tcW w:w="1470" w:type="dxa"/>
            <w:vMerge w:val="restart"/>
            <w:shd w:val="clear" w:color="auto" w:fill="000000" w:themeFill="text1"/>
          </w:tcPr>
          <w:p w14:paraId="15A88F34" w14:textId="380A9488" w:rsidR="00EC4256" w:rsidRPr="00257F44" w:rsidRDefault="00614B12" w:rsidP="00FD2A72">
            <w:pPr>
              <w:pStyle w:val="Rowcolumntitles"/>
              <w:jc w:val="center"/>
              <w:rPr>
                <w:color w:val="FFFFFF" w:themeColor="background1"/>
                <w:sz w:val="20"/>
                <w:lang w:val="uk-UA"/>
              </w:rPr>
            </w:pPr>
            <w:r w:rsidRPr="00257F44">
              <w:rPr>
                <w:color w:val="FFFFFF" w:themeColor="background1"/>
                <w:sz w:val="20"/>
                <w:lang w:val="uk-UA"/>
              </w:rPr>
              <w:t xml:space="preserve">Опис </w:t>
            </w:r>
            <w:r w:rsidR="00192709" w:rsidRPr="00257F44">
              <w:rPr>
                <w:color w:val="FFFFFF" w:themeColor="background1"/>
                <w:sz w:val="20"/>
                <w:lang w:val="uk-UA"/>
              </w:rPr>
              <w:t>зобов’язання</w:t>
            </w:r>
          </w:p>
        </w:tc>
        <w:tc>
          <w:tcPr>
            <w:tcW w:w="1622" w:type="dxa"/>
            <w:gridSpan w:val="5"/>
            <w:vMerge w:val="restart"/>
            <w:shd w:val="clear" w:color="auto" w:fill="D6E3BC" w:themeFill="accent3" w:themeFillTint="66"/>
          </w:tcPr>
          <w:p w14:paraId="7E8A76E8" w14:textId="207445F3" w:rsidR="00EC4256" w:rsidRPr="00257F44" w:rsidRDefault="00192709" w:rsidP="00FD2A72">
            <w:pPr>
              <w:pStyle w:val="Rowcolumntitles"/>
              <w:rPr>
                <w:sz w:val="20"/>
                <w:lang w:val="uk-UA"/>
              </w:rPr>
            </w:pPr>
            <w:r w:rsidRPr="00257F44">
              <w:rPr>
                <w:sz w:val="20"/>
                <w:lang w:val="uk-UA"/>
              </w:rPr>
              <w:t>Конкретність</w:t>
            </w:r>
          </w:p>
        </w:tc>
        <w:tc>
          <w:tcPr>
            <w:tcW w:w="2334" w:type="dxa"/>
            <w:gridSpan w:val="6"/>
            <w:vMerge w:val="restart"/>
            <w:shd w:val="clear" w:color="auto" w:fill="FBD4B4" w:themeFill="accent6" w:themeFillTint="66"/>
          </w:tcPr>
          <w:p w14:paraId="2100AB41" w14:textId="393BE4EF" w:rsidR="00EC4256" w:rsidRPr="00257F44" w:rsidRDefault="00192709" w:rsidP="00FD2A72">
            <w:pPr>
              <w:pStyle w:val="Rowcolumntitles"/>
              <w:rPr>
                <w:sz w:val="20"/>
                <w:lang w:val="uk-UA"/>
              </w:rPr>
            </w:pPr>
            <w:r w:rsidRPr="00257F44">
              <w:rPr>
                <w:sz w:val="20"/>
                <w:lang w:val="uk-UA"/>
              </w:rPr>
              <w:t xml:space="preserve">Відповідність цінностям ПВУ </w:t>
            </w:r>
            <w:r w:rsidR="009077AB" w:rsidRPr="00257F44">
              <w:rPr>
                <w:sz w:val="20"/>
                <w:lang w:val="uk-UA"/>
              </w:rPr>
              <w:t>(</w:t>
            </w:r>
            <w:r w:rsidRPr="00257F44">
              <w:rPr>
                <w:sz w:val="20"/>
                <w:lang w:val="uk-UA"/>
              </w:rPr>
              <w:t>як сформульовано</w:t>
            </w:r>
            <w:r w:rsidR="009077AB" w:rsidRPr="00257F44">
              <w:rPr>
                <w:sz w:val="20"/>
                <w:lang w:val="uk-UA"/>
              </w:rPr>
              <w:t>)</w:t>
            </w:r>
          </w:p>
        </w:tc>
        <w:tc>
          <w:tcPr>
            <w:tcW w:w="1366" w:type="dxa"/>
            <w:gridSpan w:val="10"/>
            <w:vMerge w:val="restart"/>
            <w:shd w:val="clear" w:color="auto" w:fill="CCC0D9" w:themeFill="accent4" w:themeFillTint="66"/>
          </w:tcPr>
          <w:p w14:paraId="31B69197" w14:textId="6938310B" w:rsidR="00EC4256" w:rsidRPr="00257F44" w:rsidRDefault="00192709" w:rsidP="00FD2A72">
            <w:pPr>
              <w:pStyle w:val="Rowcolumntitles"/>
              <w:rPr>
                <w:sz w:val="20"/>
                <w:lang w:val="uk-UA"/>
              </w:rPr>
            </w:pPr>
            <w:r w:rsidRPr="00257F44">
              <w:rPr>
                <w:sz w:val="20"/>
                <w:lang w:val="uk-UA"/>
              </w:rPr>
              <w:t xml:space="preserve">Потенційний </w:t>
            </w:r>
            <w:r w:rsidR="00EF27AF" w:rsidRPr="00257F44">
              <w:rPr>
                <w:sz w:val="20"/>
                <w:lang w:val="uk-UA"/>
              </w:rPr>
              <w:t>вплив</w:t>
            </w:r>
          </w:p>
        </w:tc>
        <w:tc>
          <w:tcPr>
            <w:tcW w:w="1200" w:type="dxa"/>
            <w:gridSpan w:val="6"/>
            <w:vMerge w:val="restart"/>
            <w:shd w:val="clear" w:color="auto" w:fill="B8CCE4" w:themeFill="accent1" w:themeFillTint="66"/>
          </w:tcPr>
          <w:p w14:paraId="43FC1171" w14:textId="3298A751" w:rsidR="00EC4256" w:rsidRPr="00257F44" w:rsidRDefault="00547694" w:rsidP="00FD2A72">
            <w:pPr>
              <w:pStyle w:val="Rowcolumntitles"/>
              <w:rPr>
                <w:sz w:val="20"/>
                <w:lang w:val="uk-UA"/>
              </w:rPr>
            </w:pPr>
            <w:r w:rsidRPr="00257F44">
              <w:rPr>
                <w:sz w:val="20"/>
                <w:lang w:val="uk-UA"/>
              </w:rPr>
              <w:t>Стан</w:t>
            </w:r>
            <w:r w:rsidR="000C40FB" w:rsidRPr="00257F44">
              <w:rPr>
                <w:sz w:val="20"/>
                <w:lang w:val="uk-UA"/>
              </w:rPr>
              <w:t xml:space="preserve"> виконання</w:t>
            </w:r>
          </w:p>
        </w:tc>
        <w:tc>
          <w:tcPr>
            <w:tcW w:w="752" w:type="dxa"/>
            <w:gridSpan w:val="6"/>
            <w:shd w:val="clear" w:color="auto" w:fill="B8CCE4" w:themeFill="accent1" w:themeFillTint="66"/>
          </w:tcPr>
          <w:p w14:paraId="3835EFBF" w14:textId="3521474C" w:rsidR="00EC4256" w:rsidRPr="00257F44" w:rsidRDefault="000C40FB" w:rsidP="00FD2A72">
            <w:pPr>
              <w:pStyle w:val="Rowcolumntitles"/>
              <w:jc w:val="center"/>
              <w:rPr>
                <w:sz w:val="20"/>
                <w:lang w:val="uk-UA"/>
              </w:rPr>
            </w:pPr>
            <w:r w:rsidRPr="00257F44">
              <w:rPr>
                <w:sz w:val="20"/>
                <w:lang w:val="uk-UA"/>
              </w:rPr>
              <w:t>Про-міжний</w:t>
            </w:r>
          </w:p>
        </w:tc>
        <w:tc>
          <w:tcPr>
            <w:tcW w:w="1709" w:type="dxa"/>
            <w:gridSpan w:val="11"/>
            <w:vMerge w:val="restart"/>
            <w:shd w:val="clear" w:color="auto" w:fill="D99594" w:themeFill="accent2" w:themeFillTint="99"/>
          </w:tcPr>
          <w:p w14:paraId="083B481C" w14:textId="30CA0CBC" w:rsidR="00EC4256" w:rsidRPr="00257F44" w:rsidRDefault="000C40FB" w:rsidP="00FD2A72">
            <w:pPr>
              <w:pStyle w:val="Rowcolumntitles"/>
              <w:rPr>
                <w:sz w:val="20"/>
                <w:lang w:val="uk-UA"/>
              </w:rPr>
            </w:pPr>
            <w:r w:rsidRPr="00257F44">
              <w:rPr>
                <w:sz w:val="20"/>
                <w:lang w:val="uk-UA"/>
              </w:rPr>
              <w:t>Чи відкрило це уряд</w:t>
            </w:r>
            <w:r w:rsidR="00EC4256" w:rsidRPr="00257F44">
              <w:rPr>
                <w:sz w:val="20"/>
                <w:lang w:val="uk-UA"/>
              </w:rPr>
              <w:t>?</w:t>
            </w:r>
          </w:p>
        </w:tc>
      </w:tr>
      <w:tr w:rsidR="00EC4256" w:rsidRPr="00257F44" w14:paraId="101A0EDA" w14:textId="77777777" w:rsidTr="00DB3322">
        <w:trPr>
          <w:trHeight w:val="536"/>
          <w:tblHeader/>
        </w:trPr>
        <w:tc>
          <w:tcPr>
            <w:tcW w:w="1470" w:type="dxa"/>
            <w:vMerge/>
            <w:shd w:val="clear" w:color="auto" w:fill="000000" w:themeFill="text1"/>
          </w:tcPr>
          <w:p w14:paraId="63CF786D" w14:textId="77777777" w:rsidR="00EC4256" w:rsidRPr="00257F44" w:rsidRDefault="00EC4256" w:rsidP="00FD2A72">
            <w:pPr>
              <w:pStyle w:val="Rowcolumntitles"/>
              <w:jc w:val="center"/>
              <w:rPr>
                <w:color w:val="FFFFFF" w:themeColor="background1"/>
                <w:sz w:val="20"/>
                <w:lang w:val="uk-UA"/>
              </w:rPr>
            </w:pPr>
          </w:p>
        </w:tc>
        <w:tc>
          <w:tcPr>
            <w:tcW w:w="1622" w:type="dxa"/>
            <w:gridSpan w:val="5"/>
            <w:vMerge/>
            <w:shd w:val="clear" w:color="auto" w:fill="D6E3BC" w:themeFill="accent3" w:themeFillTint="66"/>
          </w:tcPr>
          <w:p w14:paraId="294BCD95" w14:textId="77777777" w:rsidR="00EC4256" w:rsidRPr="00257F44" w:rsidRDefault="00EC4256" w:rsidP="00FD2A72">
            <w:pPr>
              <w:pStyle w:val="Rowcolumntitles"/>
              <w:rPr>
                <w:sz w:val="20"/>
                <w:lang w:val="uk-UA"/>
              </w:rPr>
            </w:pPr>
          </w:p>
        </w:tc>
        <w:tc>
          <w:tcPr>
            <w:tcW w:w="2334" w:type="dxa"/>
            <w:gridSpan w:val="6"/>
            <w:vMerge/>
            <w:shd w:val="clear" w:color="auto" w:fill="FBD4B4" w:themeFill="accent6" w:themeFillTint="66"/>
          </w:tcPr>
          <w:p w14:paraId="5C1A9AC1" w14:textId="77777777" w:rsidR="00EC4256" w:rsidRPr="00257F44" w:rsidRDefault="00EC4256" w:rsidP="00FD2A72">
            <w:pPr>
              <w:pStyle w:val="Rowcolumntitles"/>
              <w:rPr>
                <w:sz w:val="20"/>
                <w:lang w:val="uk-UA"/>
              </w:rPr>
            </w:pPr>
          </w:p>
        </w:tc>
        <w:tc>
          <w:tcPr>
            <w:tcW w:w="1366" w:type="dxa"/>
            <w:gridSpan w:val="10"/>
            <w:vMerge/>
            <w:shd w:val="clear" w:color="auto" w:fill="CCC0D9" w:themeFill="accent4" w:themeFillTint="66"/>
          </w:tcPr>
          <w:p w14:paraId="03AFBEDA" w14:textId="77777777" w:rsidR="00EC4256" w:rsidRPr="00257F44" w:rsidRDefault="00EC4256" w:rsidP="00FD2A72">
            <w:pPr>
              <w:pStyle w:val="Rowcolumntitles"/>
              <w:rPr>
                <w:sz w:val="20"/>
                <w:lang w:val="uk-UA"/>
              </w:rPr>
            </w:pPr>
          </w:p>
        </w:tc>
        <w:tc>
          <w:tcPr>
            <w:tcW w:w="1200" w:type="dxa"/>
            <w:gridSpan w:val="6"/>
            <w:vMerge/>
            <w:shd w:val="clear" w:color="auto" w:fill="B8CCE4" w:themeFill="accent1" w:themeFillTint="66"/>
          </w:tcPr>
          <w:p w14:paraId="0839516B" w14:textId="77777777" w:rsidR="00EC4256" w:rsidRPr="00257F44" w:rsidRDefault="00EC4256" w:rsidP="00FD2A72">
            <w:pPr>
              <w:pStyle w:val="Rowcolumntitles"/>
              <w:rPr>
                <w:sz w:val="20"/>
                <w:lang w:val="uk-UA"/>
              </w:rPr>
            </w:pPr>
          </w:p>
        </w:tc>
        <w:tc>
          <w:tcPr>
            <w:tcW w:w="752" w:type="dxa"/>
            <w:gridSpan w:val="6"/>
            <w:shd w:val="clear" w:color="auto" w:fill="B8CCE4" w:themeFill="accent1" w:themeFillTint="66"/>
          </w:tcPr>
          <w:p w14:paraId="19F52D65" w14:textId="68A3CC71" w:rsidR="00EC4256" w:rsidRPr="00257F44" w:rsidRDefault="000C40FB" w:rsidP="00FD2A72">
            <w:pPr>
              <w:pStyle w:val="Rowcolumntitles"/>
              <w:jc w:val="center"/>
              <w:rPr>
                <w:sz w:val="20"/>
                <w:lang w:val="uk-UA"/>
              </w:rPr>
            </w:pPr>
            <w:r w:rsidRPr="00257F44">
              <w:rPr>
                <w:sz w:val="20"/>
                <w:lang w:val="uk-UA"/>
              </w:rPr>
              <w:t>Під-сумковий</w:t>
            </w:r>
          </w:p>
        </w:tc>
        <w:tc>
          <w:tcPr>
            <w:tcW w:w="1709" w:type="dxa"/>
            <w:gridSpan w:val="11"/>
            <w:vMerge/>
            <w:shd w:val="clear" w:color="auto" w:fill="D99594" w:themeFill="accent2" w:themeFillTint="99"/>
          </w:tcPr>
          <w:p w14:paraId="6DDB4605" w14:textId="77777777" w:rsidR="00EC4256" w:rsidRPr="00257F44" w:rsidRDefault="00EC4256" w:rsidP="00FD2A72">
            <w:pPr>
              <w:pStyle w:val="Rowcolumntitles"/>
              <w:rPr>
                <w:sz w:val="20"/>
                <w:lang w:val="uk-UA"/>
              </w:rPr>
            </w:pPr>
          </w:p>
        </w:tc>
      </w:tr>
      <w:tr w:rsidR="00DB3322" w:rsidRPr="00257F44" w14:paraId="368A4D41" w14:textId="77777777" w:rsidTr="00DB3322">
        <w:trPr>
          <w:gridAfter w:val="2"/>
          <w:wAfter w:w="24" w:type="dxa"/>
          <w:cantSplit/>
          <w:trHeight w:val="2048"/>
          <w:tblHeader/>
        </w:trPr>
        <w:tc>
          <w:tcPr>
            <w:tcW w:w="1470" w:type="dxa"/>
            <w:vMerge/>
            <w:shd w:val="clear" w:color="auto" w:fill="000000" w:themeFill="text1"/>
          </w:tcPr>
          <w:p w14:paraId="52B87D5D" w14:textId="77777777" w:rsidR="00547694" w:rsidRPr="00257F44" w:rsidRDefault="00547694" w:rsidP="00FD2A72">
            <w:pPr>
              <w:pStyle w:val="Rowcolumntitles"/>
              <w:rPr>
                <w:color w:val="FFFFFF" w:themeColor="background1"/>
                <w:sz w:val="20"/>
                <w:lang w:val="uk-UA"/>
              </w:rPr>
            </w:pPr>
          </w:p>
        </w:tc>
        <w:tc>
          <w:tcPr>
            <w:tcW w:w="402" w:type="dxa"/>
            <w:shd w:val="clear" w:color="auto" w:fill="D6E3BC" w:themeFill="accent3" w:themeFillTint="66"/>
            <w:textDirection w:val="btLr"/>
            <w:vAlign w:val="center"/>
          </w:tcPr>
          <w:p w14:paraId="0AAE2D28" w14:textId="246F059E" w:rsidR="00547694" w:rsidRPr="00257F44" w:rsidRDefault="00547694" w:rsidP="00FD2A72">
            <w:pPr>
              <w:pStyle w:val="Rowcolumntitles"/>
              <w:rPr>
                <w:sz w:val="20"/>
                <w:lang w:val="uk-UA"/>
              </w:rPr>
            </w:pPr>
            <w:r w:rsidRPr="00257F44">
              <w:rPr>
                <w:sz w:val="20"/>
                <w:lang w:val="uk-UA"/>
              </w:rPr>
              <w:t>Відсутня</w:t>
            </w:r>
          </w:p>
        </w:tc>
        <w:tc>
          <w:tcPr>
            <w:tcW w:w="388" w:type="dxa"/>
            <w:shd w:val="clear" w:color="auto" w:fill="D6E3BC" w:themeFill="accent3" w:themeFillTint="66"/>
            <w:textDirection w:val="btLr"/>
            <w:vAlign w:val="center"/>
          </w:tcPr>
          <w:p w14:paraId="57071F3D" w14:textId="2EB71F8D" w:rsidR="00547694" w:rsidRPr="00257F44" w:rsidRDefault="00547694" w:rsidP="00FD2A72">
            <w:pPr>
              <w:pStyle w:val="Rowcolumntitles"/>
              <w:rPr>
                <w:sz w:val="20"/>
                <w:lang w:val="uk-UA"/>
              </w:rPr>
            </w:pPr>
            <w:r w:rsidRPr="00257F44">
              <w:rPr>
                <w:sz w:val="20"/>
                <w:lang w:val="uk-UA"/>
              </w:rPr>
              <w:t>Низька</w:t>
            </w:r>
          </w:p>
        </w:tc>
        <w:tc>
          <w:tcPr>
            <w:tcW w:w="425" w:type="dxa"/>
            <w:shd w:val="clear" w:color="auto" w:fill="D6E3BC" w:themeFill="accent3" w:themeFillTint="66"/>
            <w:textDirection w:val="btLr"/>
            <w:vAlign w:val="center"/>
          </w:tcPr>
          <w:p w14:paraId="47463A7B" w14:textId="00A1B104" w:rsidR="00547694" w:rsidRPr="00257F44" w:rsidRDefault="00547694" w:rsidP="00FD2A72">
            <w:pPr>
              <w:pStyle w:val="Rowcolumntitles"/>
              <w:rPr>
                <w:sz w:val="20"/>
                <w:lang w:val="uk-UA"/>
              </w:rPr>
            </w:pPr>
            <w:r w:rsidRPr="00257F44">
              <w:rPr>
                <w:sz w:val="20"/>
                <w:lang w:val="uk-UA"/>
              </w:rPr>
              <w:t>Середня</w:t>
            </w:r>
          </w:p>
        </w:tc>
        <w:tc>
          <w:tcPr>
            <w:tcW w:w="395" w:type="dxa"/>
            <w:shd w:val="clear" w:color="auto" w:fill="D6E3BC" w:themeFill="accent3" w:themeFillTint="66"/>
            <w:textDirection w:val="btLr"/>
            <w:vAlign w:val="center"/>
          </w:tcPr>
          <w:p w14:paraId="6C3E59EC" w14:textId="5721A34C" w:rsidR="00547694" w:rsidRPr="00257F44" w:rsidRDefault="00547694" w:rsidP="00FD2A72">
            <w:pPr>
              <w:pStyle w:val="Rowcolumntitles"/>
              <w:rPr>
                <w:sz w:val="20"/>
                <w:lang w:val="uk-UA"/>
              </w:rPr>
            </w:pPr>
            <w:r w:rsidRPr="00257F44">
              <w:rPr>
                <w:sz w:val="20"/>
                <w:lang w:val="uk-UA"/>
              </w:rPr>
              <w:t>Висока</w:t>
            </w:r>
          </w:p>
        </w:tc>
        <w:tc>
          <w:tcPr>
            <w:tcW w:w="654" w:type="dxa"/>
            <w:gridSpan w:val="2"/>
            <w:shd w:val="clear" w:color="auto" w:fill="FBD4B4" w:themeFill="accent6" w:themeFillTint="66"/>
            <w:textDirection w:val="btLr"/>
            <w:vAlign w:val="center"/>
          </w:tcPr>
          <w:p w14:paraId="11653F1D" w14:textId="3DA8195E" w:rsidR="00547694" w:rsidRPr="00257F44" w:rsidRDefault="00547694" w:rsidP="00FD2A72">
            <w:pPr>
              <w:pStyle w:val="Rowcolumntitles"/>
              <w:rPr>
                <w:sz w:val="20"/>
                <w:lang w:val="uk-UA"/>
              </w:rPr>
            </w:pPr>
            <w:r w:rsidRPr="00257F44">
              <w:rPr>
                <w:sz w:val="20"/>
                <w:lang w:val="uk-UA"/>
              </w:rPr>
              <w:t>Доступ до інформації</w:t>
            </w:r>
          </w:p>
        </w:tc>
        <w:tc>
          <w:tcPr>
            <w:tcW w:w="369" w:type="dxa"/>
            <w:shd w:val="clear" w:color="auto" w:fill="FBD4B4" w:themeFill="accent6" w:themeFillTint="66"/>
            <w:textDirection w:val="btLr"/>
            <w:vAlign w:val="center"/>
          </w:tcPr>
          <w:p w14:paraId="7432EE55" w14:textId="1BAA2952" w:rsidR="00547694" w:rsidRPr="00257F44" w:rsidRDefault="00547694" w:rsidP="00FD2A72">
            <w:pPr>
              <w:pStyle w:val="Rowcolumntitles"/>
              <w:rPr>
                <w:sz w:val="20"/>
                <w:lang w:val="uk-UA"/>
              </w:rPr>
            </w:pPr>
            <w:r w:rsidRPr="00257F44">
              <w:rPr>
                <w:sz w:val="20"/>
                <w:lang w:val="uk-UA"/>
              </w:rPr>
              <w:t>Громадська участь</w:t>
            </w:r>
          </w:p>
        </w:tc>
        <w:tc>
          <w:tcPr>
            <w:tcW w:w="404" w:type="dxa"/>
            <w:shd w:val="clear" w:color="auto" w:fill="FBD4B4" w:themeFill="accent6" w:themeFillTint="66"/>
            <w:textDirection w:val="btLr"/>
            <w:vAlign w:val="center"/>
          </w:tcPr>
          <w:p w14:paraId="60EE38ED" w14:textId="46E38D96" w:rsidR="00547694" w:rsidRPr="00257F44" w:rsidRDefault="00547694" w:rsidP="00FD2A72">
            <w:pPr>
              <w:pStyle w:val="Rowcolumntitles"/>
              <w:rPr>
                <w:sz w:val="20"/>
                <w:lang w:val="uk-UA"/>
              </w:rPr>
            </w:pPr>
            <w:r w:rsidRPr="00257F44">
              <w:rPr>
                <w:sz w:val="20"/>
                <w:lang w:val="uk-UA"/>
              </w:rPr>
              <w:t>Підзвітність влади</w:t>
            </w:r>
          </w:p>
        </w:tc>
        <w:tc>
          <w:tcPr>
            <w:tcW w:w="895" w:type="dxa"/>
            <w:shd w:val="clear" w:color="auto" w:fill="FBD4B4" w:themeFill="accent6" w:themeFillTint="66"/>
            <w:textDirection w:val="btLr"/>
            <w:vAlign w:val="center"/>
          </w:tcPr>
          <w:p w14:paraId="2E0AB44A" w14:textId="0E3B5DCC" w:rsidR="00547694" w:rsidRPr="00257F44" w:rsidRDefault="00547694" w:rsidP="00FD2A72">
            <w:pPr>
              <w:pStyle w:val="Rowcolumntitles"/>
              <w:rPr>
                <w:sz w:val="20"/>
                <w:lang w:val="uk-UA"/>
              </w:rPr>
            </w:pPr>
            <w:r w:rsidRPr="00257F44">
              <w:rPr>
                <w:sz w:val="20"/>
                <w:lang w:val="uk-UA"/>
              </w:rPr>
              <w:t>Технології та інновації для прозорості й підзвітності</w:t>
            </w:r>
          </w:p>
        </w:tc>
        <w:tc>
          <w:tcPr>
            <w:tcW w:w="341" w:type="dxa"/>
            <w:gridSpan w:val="3"/>
            <w:shd w:val="clear" w:color="auto" w:fill="CCC0D9" w:themeFill="accent4" w:themeFillTint="66"/>
            <w:textDirection w:val="btLr"/>
            <w:vAlign w:val="center"/>
          </w:tcPr>
          <w:p w14:paraId="6BB34CB4" w14:textId="248781C8" w:rsidR="00547694" w:rsidRPr="00257F44" w:rsidRDefault="00547694" w:rsidP="00FD2A72">
            <w:pPr>
              <w:pStyle w:val="Rowcolumntitles"/>
              <w:rPr>
                <w:sz w:val="20"/>
                <w:lang w:val="uk-UA"/>
              </w:rPr>
            </w:pPr>
            <w:r w:rsidRPr="00257F44">
              <w:rPr>
                <w:sz w:val="20"/>
                <w:lang w:val="uk-UA"/>
              </w:rPr>
              <w:t>Жодного</w:t>
            </w:r>
          </w:p>
        </w:tc>
        <w:tc>
          <w:tcPr>
            <w:tcW w:w="341" w:type="dxa"/>
            <w:gridSpan w:val="2"/>
            <w:shd w:val="clear" w:color="auto" w:fill="CCC0D9" w:themeFill="accent4" w:themeFillTint="66"/>
            <w:textDirection w:val="btLr"/>
            <w:vAlign w:val="center"/>
          </w:tcPr>
          <w:p w14:paraId="58927CB7" w14:textId="4A818392" w:rsidR="00547694" w:rsidRPr="00257F44" w:rsidRDefault="00547694" w:rsidP="00FD2A72">
            <w:pPr>
              <w:pStyle w:val="Rowcolumntitles"/>
              <w:rPr>
                <w:sz w:val="20"/>
                <w:lang w:val="uk-UA"/>
              </w:rPr>
            </w:pPr>
            <w:r w:rsidRPr="00257F44">
              <w:rPr>
                <w:sz w:val="20"/>
                <w:lang w:val="uk-UA"/>
              </w:rPr>
              <w:t>Незначний</w:t>
            </w:r>
          </w:p>
        </w:tc>
        <w:tc>
          <w:tcPr>
            <w:tcW w:w="341" w:type="dxa"/>
            <w:gridSpan w:val="2"/>
            <w:shd w:val="clear" w:color="auto" w:fill="CCC0D9" w:themeFill="accent4" w:themeFillTint="66"/>
            <w:textDirection w:val="btLr"/>
            <w:vAlign w:val="center"/>
          </w:tcPr>
          <w:p w14:paraId="06C764E8" w14:textId="78397D22" w:rsidR="00547694" w:rsidRPr="00257F44" w:rsidRDefault="00547694" w:rsidP="00FD2A72">
            <w:pPr>
              <w:pStyle w:val="Rowcolumntitles"/>
              <w:rPr>
                <w:sz w:val="20"/>
                <w:lang w:val="uk-UA"/>
              </w:rPr>
            </w:pPr>
            <w:r w:rsidRPr="00257F44">
              <w:rPr>
                <w:sz w:val="20"/>
                <w:lang w:val="uk-UA"/>
              </w:rPr>
              <w:t>Помірний</w:t>
            </w:r>
          </w:p>
        </w:tc>
        <w:tc>
          <w:tcPr>
            <w:tcW w:w="343" w:type="dxa"/>
            <w:gridSpan w:val="3"/>
            <w:shd w:val="clear" w:color="auto" w:fill="CCC0D9" w:themeFill="accent4" w:themeFillTint="66"/>
            <w:textDirection w:val="btLr"/>
            <w:vAlign w:val="center"/>
          </w:tcPr>
          <w:p w14:paraId="2A76C564" w14:textId="373E5287" w:rsidR="00547694" w:rsidRPr="00257F44" w:rsidRDefault="00547694" w:rsidP="00FD2A72">
            <w:pPr>
              <w:pStyle w:val="Rowcolumntitles"/>
              <w:rPr>
                <w:sz w:val="20"/>
                <w:lang w:val="uk-UA"/>
              </w:rPr>
            </w:pPr>
            <w:r w:rsidRPr="00257F44">
              <w:rPr>
                <w:sz w:val="20"/>
                <w:lang w:val="uk-UA"/>
              </w:rPr>
              <w:t>Трансформуючий</w:t>
            </w:r>
          </w:p>
        </w:tc>
        <w:tc>
          <w:tcPr>
            <w:tcW w:w="495" w:type="dxa"/>
            <w:gridSpan w:val="4"/>
            <w:shd w:val="clear" w:color="auto" w:fill="B8CCE4" w:themeFill="accent1" w:themeFillTint="66"/>
            <w:textDirection w:val="btLr"/>
            <w:vAlign w:val="center"/>
          </w:tcPr>
          <w:p w14:paraId="297F4E25" w14:textId="061D5A95" w:rsidR="00547694" w:rsidRPr="00257F44" w:rsidRDefault="00547694" w:rsidP="00FD2A72">
            <w:pPr>
              <w:pStyle w:val="Rowcolumntitles"/>
              <w:rPr>
                <w:sz w:val="20"/>
                <w:lang w:val="uk-UA"/>
              </w:rPr>
            </w:pPr>
            <w:r w:rsidRPr="00257F44">
              <w:rPr>
                <w:sz w:val="20"/>
                <w:lang w:val="uk-UA"/>
              </w:rPr>
              <w:t>Не розпочато</w:t>
            </w:r>
          </w:p>
        </w:tc>
        <w:tc>
          <w:tcPr>
            <w:tcW w:w="502" w:type="dxa"/>
            <w:gridSpan w:val="3"/>
            <w:shd w:val="clear" w:color="auto" w:fill="B8CCE4" w:themeFill="accent1" w:themeFillTint="66"/>
            <w:textDirection w:val="btLr"/>
            <w:vAlign w:val="center"/>
          </w:tcPr>
          <w:p w14:paraId="13E5997E" w14:textId="47570D23" w:rsidR="00547694" w:rsidRPr="00257F44" w:rsidRDefault="00547694" w:rsidP="00FD2A72">
            <w:pPr>
              <w:pStyle w:val="Rowcolumntitles"/>
              <w:rPr>
                <w:sz w:val="20"/>
                <w:lang w:val="uk-UA"/>
              </w:rPr>
            </w:pPr>
            <w:r w:rsidRPr="00257F44">
              <w:rPr>
                <w:sz w:val="20"/>
                <w:lang w:val="uk-UA"/>
              </w:rPr>
              <w:t>Обмежене</w:t>
            </w:r>
          </w:p>
        </w:tc>
        <w:tc>
          <w:tcPr>
            <w:tcW w:w="504" w:type="dxa"/>
            <w:gridSpan w:val="4"/>
            <w:shd w:val="clear" w:color="auto" w:fill="B8CCE4" w:themeFill="accent1" w:themeFillTint="66"/>
            <w:textDirection w:val="btLr"/>
            <w:vAlign w:val="center"/>
          </w:tcPr>
          <w:p w14:paraId="6A3E2527" w14:textId="1BB58092" w:rsidR="00547694" w:rsidRPr="00257F44" w:rsidRDefault="00547694" w:rsidP="00FD2A72">
            <w:pPr>
              <w:pStyle w:val="Rowcolumntitles"/>
              <w:rPr>
                <w:sz w:val="20"/>
                <w:lang w:val="uk-UA"/>
              </w:rPr>
            </w:pPr>
            <w:r w:rsidRPr="00257F44">
              <w:rPr>
                <w:sz w:val="20"/>
                <w:lang w:val="uk-UA"/>
              </w:rPr>
              <w:t>Значне</w:t>
            </w:r>
          </w:p>
        </w:tc>
        <w:tc>
          <w:tcPr>
            <w:tcW w:w="451" w:type="dxa"/>
            <w:shd w:val="clear" w:color="auto" w:fill="B8CCE4" w:themeFill="accent1" w:themeFillTint="66"/>
            <w:textDirection w:val="btLr"/>
            <w:vAlign w:val="center"/>
          </w:tcPr>
          <w:p w14:paraId="6D2433B7" w14:textId="5B30CC09" w:rsidR="00547694" w:rsidRPr="00257F44" w:rsidRDefault="00547694" w:rsidP="00FD2A72">
            <w:pPr>
              <w:pStyle w:val="Rowcolumntitles"/>
              <w:rPr>
                <w:sz w:val="20"/>
                <w:lang w:val="uk-UA"/>
              </w:rPr>
            </w:pPr>
            <w:r w:rsidRPr="00257F44">
              <w:rPr>
                <w:sz w:val="20"/>
                <w:lang w:val="uk-UA"/>
              </w:rPr>
              <w:t>Повне</w:t>
            </w:r>
          </w:p>
        </w:tc>
        <w:tc>
          <w:tcPr>
            <w:tcW w:w="367" w:type="dxa"/>
            <w:gridSpan w:val="3"/>
            <w:shd w:val="clear" w:color="auto" w:fill="D99594" w:themeFill="accent2" w:themeFillTint="99"/>
            <w:textDirection w:val="btLr"/>
          </w:tcPr>
          <w:p w14:paraId="20E0D890" w14:textId="2DDF540C" w:rsidR="00547694" w:rsidRPr="00257F44" w:rsidRDefault="009869D6" w:rsidP="00FD2A72">
            <w:pPr>
              <w:pStyle w:val="Rowcolumntitles"/>
              <w:rPr>
                <w:sz w:val="20"/>
                <w:lang w:val="uk-UA"/>
              </w:rPr>
            </w:pPr>
            <w:r w:rsidRPr="00257F44">
              <w:rPr>
                <w:sz w:val="20"/>
                <w:lang w:val="uk-UA"/>
              </w:rPr>
              <w:t>Погіршило</w:t>
            </w:r>
          </w:p>
        </w:tc>
        <w:tc>
          <w:tcPr>
            <w:tcW w:w="318" w:type="dxa"/>
            <w:gridSpan w:val="2"/>
            <w:shd w:val="clear" w:color="auto" w:fill="D99594" w:themeFill="accent2" w:themeFillTint="99"/>
            <w:textDirection w:val="btLr"/>
          </w:tcPr>
          <w:p w14:paraId="6CE0C122" w14:textId="2D05FC99" w:rsidR="00547694" w:rsidRPr="00257F44" w:rsidRDefault="009869D6" w:rsidP="00FD2A72">
            <w:pPr>
              <w:pStyle w:val="Rowcolumntitles"/>
              <w:rPr>
                <w:sz w:val="20"/>
                <w:lang w:val="uk-UA"/>
              </w:rPr>
            </w:pPr>
            <w:r w:rsidRPr="00257F44">
              <w:rPr>
                <w:sz w:val="20"/>
                <w:lang w:val="uk-UA"/>
              </w:rPr>
              <w:t>Не змінило</w:t>
            </w:r>
          </w:p>
        </w:tc>
        <w:tc>
          <w:tcPr>
            <w:tcW w:w="318" w:type="dxa"/>
            <w:gridSpan w:val="2"/>
            <w:shd w:val="clear" w:color="auto" w:fill="D99594" w:themeFill="accent2" w:themeFillTint="99"/>
            <w:textDirection w:val="btLr"/>
          </w:tcPr>
          <w:p w14:paraId="055E37BB" w14:textId="0D543FB5" w:rsidR="00547694" w:rsidRPr="00257F44" w:rsidRDefault="009869D6" w:rsidP="00FD2A72">
            <w:pPr>
              <w:pStyle w:val="Rowcolumntitles"/>
              <w:rPr>
                <w:sz w:val="20"/>
                <w:lang w:val="uk-UA"/>
              </w:rPr>
            </w:pPr>
            <w:r w:rsidRPr="00257F44">
              <w:rPr>
                <w:sz w:val="20"/>
                <w:lang w:val="uk-UA"/>
              </w:rPr>
              <w:t>Обмежено</w:t>
            </w:r>
          </w:p>
        </w:tc>
        <w:tc>
          <w:tcPr>
            <w:tcW w:w="318" w:type="dxa"/>
            <w:gridSpan w:val="2"/>
            <w:shd w:val="clear" w:color="auto" w:fill="D99594" w:themeFill="accent2" w:themeFillTint="99"/>
            <w:textDirection w:val="btLr"/>
          </w:tcPr>
          <w:p w14:paraId="0A8CB683" w14:textId="602C6934" w:rsidR="00547694" w:rsidRPr="00257F44" w:rsidRDefault="009869D6" w:rsidP="00FD2A72">
            <w:pPr>
              <w:pStyle w:val="Rowcolumntitles"/>
              <w:rPr>
                <w:sz w:val="20"/>
                <w:lang w:val="uk-UA"/>
              </w:rPr>
            </w:pPr>
            <w:r w:rsidRPr="00257F44">
              <w:rPr>
                <w:sz w:val="20"/>
                <w:lang w:val="uk-UA"/>
              </w:rPr>
              <w:t>Значною мірою</w:t>
            </w:r>
          </w:p>
        </w:tc>
        <w:tc>
          <w:tcPr>
            <w:tcW w:w="388" w:type="dxa"/>
            <w:gridSpan w:val="2"/>
            <w:shd w:val="clear" w:color="auto" w:fill="D99594" w:themeFill="accent2" w:themeFillTint="99"/>
            <w:textDirection w:val="btLr"/>
          </w:tcPr>
          <w:p w14:paraId="53426E32" w14:textId="26890F6B" w:rsidR="00547694" w:rsidRPr="00257F44" w:rsidRDefault="009869D6" w:rsidP="00FD2A72">
            <w:pPr>
              <w:pStyle w:val="Rowcolumntitles"/>
              <w:rPr>
                <w:sz w:val="20"/>
                <w:lang w:val="uk-UA"/>
              </w:rPr>
            </w:pPr>
            <w:r w:rsidRPr="00257F44">
              <w:rPr>
                <w:sz w:val="20"/>
                <w:lang w:val="uk-UA"/>
              </w:rPr>
              <w:t>Визначною мірою</w:t>
            </w:r>
          </w:p>
        </w:tc>
      </w:tr>
      <w:tr w:rsidR="00BF49AA" w:rsidRPr="00257F44" w14:paraId="10FDF736" w14:textId="77777777" w:rsidTr="00DB3322">
        <w:trPr>
          <w:trHeight w:val="246"/>
        </w:trPr>
        <w:tc>
          <w:tcPr>
            <w:tcW w:w="10453" w:type="dxa"/>
            <w:gridSpan w:val="45"/>
            <w:shd w:val="clear" w:color="auto" w:fill="000000" w:themeFill="text1"/>
          </w:tcPr>
          <w:p w14:paraId="20FC7AC1" w14:textId="2FA50D28" w:rsidR="00BF49AA" w:rsidRPr="00257F44" w:rsidRDefault="009869D6" w:rsidP="00FD2A72">
            <w:pPr>
              <w:pStyle w:val="Rowcolumntitles"/>
              <w:rPr>
                <w:b/>
                <w:noProof/>
                <w:color w:val="FFFFFF" w:themeColor="background1"/>
                <w:sz w:val="20"/>
                <w:lang w:val="uk-UA"/>
              </w:rPr>
            </w:pPr>
            <w:r w:rsidRPr="00257F44">
              <w:rPr>
                <w:b/>
                <w:noProof/>
                <w:color w:val="FFFFFF" w:themeColor="background1"/>
                <w:sz w:val="20"/>
                <w:lang w:val="uk-UA"/>
              </w:rPr>
              <w:t>Тема 1: Створення сприятливого середовища для участі громадськості в державній політиці</w:t>
            </w:r>
          </w:p>
        </w:tc>
      </w:tr>
      <w:tr w:rsidR="000E0B9A" w:rsidRPr="00257F44" w14:paraId="573D78BB" w14:textId="77777777" w:rsidTr="00DB3322">
        <w:trPr>
          <w:gridAfter w:val="2"/>
          <w:wAfter w:w="24" w:type="dxa"/>
          <w:trHeight w:val="603"/>
        </w:trPr>
        <w:tc>
          <w:tcPr>
            <w:tcW w:w="1470" w:type="dxa"/>
            <w:vMerge w:val="restart"/>
            <w:shd w:val="clear" w:color="auto" w:fill="000000" w:themeFill="text1"/>
          </w:tcPr>
          <w:p w14:paraId="2D0165C1" w14:textId="37633E6A" w:rsidR="003221C6" w:rsidRPr="00257F44" w:rsidRDefault="003221C6" w:rsidP="00FD2A72">
            <w:pPr>
              <w:pStyle w:val="Rowcolumntitles"/>
              <w:rPr>
                <w:noProof/>
                <w:color w:val="FFFFFF" w:themeColor="background1"/>
                <w:sz w:val="20"/>
                <w:lang w:val="uk-UA"/>
              </w:rPr>
            </w:pPr>
            <w:r w:rsidRPr="00257F44">
              <w:rPr>
                <w:noProof/>
                <w:color w:val="FFFFFF" w:themeColor="background1"/>
                <w:sz w:val="20"/>
                <w:lang w:val="uk-UA"/>
              </w:rPr>
              <w:t xml:space="preserve">1. </w:t>
            </w:r>
            <w:r w:rsidR="00E2632B" w:rsidRPr="00257F44">
              <w:rPr>
                <w:noProof/>
                <w:color w:val="FFFFFF" w:themeColor="background1"/>
                <w:sz w:val="20"/>
                <w:lang w:val="uk-UA"/>
              </w:rPr>
              <w:t>Покращити урядові правила щодо залучення ОГС</w:t>
            </w:r>
          </w:p>
        </w:tc>
        <w:tc>
          <w:tcPr>
            <w:tcW w:w="402" w:type="dxa"/>
            <w:vMerge w:val="restart"/>
            <w:shd w:val="clear" w:color="auto" w:fill="D6E3BC" w:themeFill="accent3" w:themeFillTint="66"/>
          </w:tcPr>
          <w:p w14:paraId="29A967AB" w14:textId="77777777" w:rsidR="003221C6" w:rsidRPr="00257F44" w:rsidRDefault="003221C6" w:rsidP="00FD2A72">
            <w:pPr>
              <w:pStyle w:val="Rowcolumntitles"/>
              <w:rPr>
                <w:sz w:val="20"/>
                <w:lang w:val="uk-UA"/>
              </w:rPr>
            </w:pPr>
          </w:p>
        </w:tc>
        <w:tc>
          <w:tcPr>
            <w:tcW w:w="388" w:type="dxa"/>
            <w:vMerge w:val="restart"/>
            <w:shd w:val="clear" w:color="auto" w:fill="D6E3BC" w:themeFill="accent3" w:themeFillTint="66"/>
          </w:tcPr>
          <w:p w14:paraId="62FADAB1" w14:textId="77777777" w:rsidR="003221C6" w:rsidRPr="00257F44" w:rsidRDefault="003221C6" w:rsidP="00FD2A72">
            <w:pPr>
              <w:pStyle w:val="Rowcolumntitles"/>
              <w:rPr>
                <w:sz w:val="20"/>
                <w:lang w:val="uk-UA"/>
              </w:rPr>
            </w:pPr>
          </w:p>
        </w:tc>
        <w:tc>
          <w:tcPr>
            <w:tcW w:w="425" w:type="dxa"/>
            <w:vMerge w:val="restart"/>
            <w:shd w:val="clear" w:color="auto" w:fill="D6E3BC" w:themeFill="accent3" w:themeFillTint="66"/>
          </w:tcPr>
          <w:p w14:paraId="4CA4B4C2" w14:textId="1B9E09A3" w:rsidR="003221C6" w:rsidRPr="00257F44" w:rsidRDefault="003221C6" w:rsidP="00FD2A72">
            <w:pPr>
              <w:pStyle w:val="Rowcolumntitles"/>
              <w:rPr>
                <w:sz w:val="20"/>
                <w:lang w:val="uk-UA"/>
              </w:rPr>
            </w:pPr>
          </w:p>
        </w:tc>
        <w:tc>
          <w:tcPr>
            <w:tcW w:w="395" w:type="dxa"/>
            <w:vMerge w:val="restart"/>
            <w:shd w:val="clear" w:color="auto" w:fill="D6E3BC" w:themeFill="accent3" w:themeFillTint="66"/>
          </w:tcPr>
          <w:p w14:paraId="65B74500" w14:textId="5C79D830" w:rsidR="003221C6" w:rsidRPr="00257F44" w:rsidRDefault="003221C6" w:rsidP="00FD2A72">
            <w:pPr>
              <w:pStyle w:val="Rowcolumntitles"/>
              <w:rPr>
                <w:sz w:val="20"/>
                <w:lang w:val="uk-UA"/>
              </w:rPr>
            </w:pPr>
            <w:r w:rsidRPr="00257F44">
              <w:rPr>
                <w:rFonts w:ascii="MS Mincho" w:eastAsia="MS Mincho" w:hAnsi="MS Mincho" w:cs="MS Mincho"/>
                <w:noProof/>
                <w:sz w:val="20"/>
                <w:lang w:val="uk-UA"/>
              </w:rPr>
              <w:t>✔</w:t>
            </w:r>
          </w:p>
        </w:tc>
        <w:tc>
          <w:tcPr>
            <w:tcW w:w="654" w:type="dxa"/>
            <w:gridSpan w:val="2"/>
            <w:vMerge w:val="restart"/>
            <w:shd w:val="clear" w:color="auto" w:fill="FBD4B4" w:themeFill="accent6" w:themeFillTint="66"/>
          </w:tcPr>
          <w:p w14:paraId="7EF4F3FA" w14:textId="18E48191" w:rsidR="003221C6" w:rsidRPr="00257F44" w:rsidRDefault="003221C6" w:rsidP="00FD2A72">
            <w:pPr>
              <w:pStyle w:val="Rowcolumntitles"/>
              <w:rPr>
                <w:sz w:val="20"/>
                <w:lang w:val="uk-UA"/>
              </w:rPr>
            </w:pPr>
          </w:p>
        </w:tc>
        <w:tc>
          <w:tcPr>
            <w:tcW w:w="369" w:type="dxa"/>
            <w:vMerge w:val="restart"/>
            <w:shd w:val="clear" w:color="auto" w:fill="FBD4B4" w:themeFill="accent6" w:themeFillTint="66"/>
          </w:tcPr>
          <w:p w14:paraId="1640C691" w14:textId="7E885B64" w:rsidR="003221C6" w:rsidRPr="00257F44" w:rsidRDefault="003221C6" w:rsidP="00FD2A72">
            <w:pPr>
              <w:pStyle w:val="Rowcolumntitles"/>
              <w:rPr>
                <w:color w:val="BFBFBF" w:themeColor="background1" w:themeShade="BF"/>
                <w:sz w:val="20"/>
                <w:lang w:val="uk-UA"/>
              </w:rPr>
            </w:pPr>
            <w:r w:rsidRPr="00257F44">
              <w:rPr>
                <w:rFonts w:ascii="MS Mincho" w:eastAsia="MS Mincho" w:hAnsi="MS Mincho" w:cs="MS Mincho"/>
                <w:noProof/>
                <w:sz w:val="20"/>
                <w:lang w:val="uk-UA"/>
              </w:rPr>
              <w:t>✔</w:t>
            </w:r>
          </w:p>
        </w:tc>
        <w:tc>
          <w:tcPr>
            <w:tcW w:w="404" w:type="dxa"/>
            <w:vMerge w:val="restart"/>
            <w:shd w:val="clear" w:color="auto" w:fill="FBD4B4" w:themeFill="accent6" w:themeFillTint="66"/>
          </w:tcPr>
          <w:p w14:paraId="4E0E6F2F" w14:textId="502704C9" w:rsidR="003221C6" w:rsidRPr="00257F44" w:rsidRDefault="003221C6" w:rsidP="00FD2A72">
            <w:pPr>
              <w:pStyle w:val="Rowcolumntitles"/>
              <w:rPr>
                <w:sz w:val="20"/>
                <w:lang w:val="uk-UA"/>
              </w:rPr>
            </w:pPr>
            <w:r w:rsidRPr="00257F44">
              <w:rPr>
                <w:rFonts w:ascii="MS Mincho" w:eastAsia="MS Mincho" w:hAnsi="MS Mincho" w:cs="MS Mincho"/>
                <w:noProof/>
                <w:sz w:val="20"/>
                <w:lang w:val="uk-UA"/>
              </w:rPr>
              <w:t>✔</w:t>
            </w:r>
          </w:p>
        </w:tc>
        <w:tc>
          <w:tcPr>
            <w:tcW w:w="895" w:type="dxa"/>
            <w:vMerge w:val="restart"/>
            <w:shd w:val="clear" w:color="auto" w:fill="FBD4B4" w:themeFill="accent6" w:themeFillTint="66"/>
          </w:tcPr>
          <w:p w14:paraId="1ACC34FE" w14:textId="77777777" w:rsidR="003221C6" w:rsidRPr="00257F44" w:rsidRDefault="003221C6" w:rsidP="00FD2A72">
            <w:pPr>
              <w:pStyle w:val="Rowcolumntitles"/>
              <w:rPr>
                <w:sz w:val="20"/>
                <w:lang w:val="uk-UA"/>
              </w:rPr>
            </w:pPr>
          </w:p>
        </w:tc>
        <w:tc>
          <w:tcPr>
            <w:tcW w:w="341" w:type="dxa"/>
            <w:gridSpan w:val="3"/>
            <w:vMerge w:val="restart"/>
            <w:shd w:val="clear" w:color="auto" w:fill="CCC0D9" w:themeFill="accent4" w:themeFillTint="66"/>
          </w:tcPr>
          <w:p w14:paraId="2719C2BA" w14:textId="77777777" w:rsidR="003221C6" w:rsidRPr="00257F44" w:rsidRDefault="003221C6" w:rsidP="00FD2A72">
            <w:pPr>
              <w:pStyle w:val="Rowcolumntitles"/>
              <w:rPr>
                <w:sz w:val="20"/>
                <w:lang w:val="uk-UA"/>
              </w:rPr>
            </w:pPr>
          </w:p>
        </w:tc>
        <w:tc>
          <w:tcPr>
            <w:tcW w:w="341" w:type="dxa"/>
            <w:gridSpan w:val="2"/>
            <w:vMerge w:val="restart"/>
            <w:shd w:val="clear" w:color="auto" w:fill="CCC0D9" w:themeFill="accent4" w:themeFillTint="66"/>
          </w:tcPr>
          <w:p w14:paraId="225013DE" w14:textId="114B58DE" w:rsidR="003221C6" w:rsidRPr="00257F44" w:rsidRDefault="003221C6" w:rsidP="00FD2A72">
            <w:pPr>
              <w:pStyle w:val="Rowcolumntitles"/>
              <w:rPr>
                <w:color w:val="BFBFBF" w:themeColor="background1" w:themeShade="BF"/>
                <w:sz w:val="20"/>
                <w:lang w:val="uk-UA"/>
              </w:rPr>
            </w:pPr>
          </w:p>
        </w:tc>
        <w:tc>
          <w:tcPr>
            <w:tcW w:w="341" w:type="dxa"/>
            <w:gridSpan w:val="2"/>
            <w:vMerge w:val="restart"/>
            <w:shd w:val="clear" w:color="auto" w:fill="CCC0D9" w:themeFill="accent4" w:themeFillTint="66"/>
          </w:tcPr>
          <w:p w14:paraId="7516EB42" w14:textId="0E7CECE7" w:rsidR="003221C6" w:rsidRPr="00257F44" w:rsidRDefault="003221C6" w:rsidP="00FD2A72">
            <w:pPr>
              <w:pStyle w:val="Rowcolumntitles"/>
              <w:rPr>
                <w:sz w:val="20"/>
                <w:lang w:val="uk-UA"/>
              </w:rPr>
            </w:pPr>
            <w:r w:rsidRPr="00257F44">
              <w:rPr>
                <w:rFonts w:ascii="MS Mincho" w:eastAsia="MS Mincho" w:hAnsi="MS Mincho" w:cs="MS Mincho"/>
                <w:noProof/>
                <w:sz w:val="20"/>
                <w:lang w:val="uk-UA"/>
              </w:rPr>
              <w:t>✔</w:t>
            </w:r>
          </w:p>
        </w:tc>
        <w:tc>
          <w:tcPr>
            <w:tcW w:w="343" w:type="dxa"/>
            <w:gridSpan w:val="3"/>
            <w:vMerge w:val="restart"/>
            <w:shd w:val="clear" w:color="auto" w:fill="CCC0D9" w:themeFill="accent4" w:themeFillTint="66"/>
          </w:tcPr>
          <w:p w14:paraId="0B4C4B59" w14:textId="77777777" w:rsidR="003221C6" w:rsidRPr="00257F44" w:rsidRDefault="003221C6" w:rsidP="00FD2A72">
            <w:pPr>
              <w:pStyle w:val="Rowcolumntitles"/>
              <w:rPr>
                <w:sz w:val="20"/>
                <w:lang w:val="uk-UA"/>
              </w:rPr>
            </w:pPr>
          </w:p>
        </w:tc>
        <w:tc>
          <w:tcPr>
            <w:tcW w:w="485" w:type="dxa"/>
            <w:gridSpan w:val="3"/>
            <w:shd w:val="clear" w:color="auto" w:fill="B8CCE4" w:themeFill="accent1" w:themeFillTint="66"/>
          </w:tcPr>
          <w:p w14:paraId="612D48EE" w14:textId="34D36738" w:rsidR="003221C6" w:rsidRPr="00257F44" w:rsidRDefault="003221C6" w:rsidP="00FD2A72">
            <w:pPr>
              <w:pStyle w:val="Rowcolumntitles"/>
              <w:rPr>
                <w:sz w:val="20"/>
                <w:lang w:val="uk-UA"/>
              </w:rPr>
            </w:pPr>
          </w:p>
        </w:tc>
        <w:tc>
          <w:tcPr>
            <w:tcW w:w="487" w:type="dxa"/>
            <w:gridSpan w:val="2"/>
            <w:shd w:val="clear" w:color="auto" w:fill="B8CCE4" w:themeFill="accent1" w:themeFillTint="66"/>
          </w:tcPr>
          <w:p w14:paraId="2153BD16" w14:textId="77777777" w:rsidR="003221C6" w:rsidRPr="00257F44" w:rsidRDefault="003221C6" w:rsidP="00FD2A72">
            <w:pPr>
              <w:pStyle w:val="Rowcolumntitles"/>
              <w:rPr>
                <w:sz w:val="20"/>
                <w:lang w:val="uk-UA"/>
              </w:rPr>
            </w:pPr>
          </w:p>
        </w:tc>
        <w:tc>
          <w:tcPr>
            <w:tcW w:w="487" w:type="dxa"/>
            <w:gridSpan w:val="4"/>
            <w:shd w:val="clear" w:color="auto" w:fill="B8CCE4" w:themeFill="accent1" w:themeFillTint="66"/>
          </w:tcPr>
          <w:p w14:paraId="2489BAAD" w14:textId="77777777" w:rsidR="003221C6" w:rsidRPr="00257F44" w:rsidRDefault="003221C6" w:rsidP="00FD2A72">
            <w:pPr>
              <w:pStyle w:val="Rowcolumntitles"/>
              <w:rPr>
                <w:sz w:val="20"/>
                <w:lang w:val="uk-UA"/>
              </w:rPr>
            </w:pPr>
          </w:p>
        </w:tc>
        <w:tc>
          <w:tcPr>
            <w:tcW w:w="493" w:type="dxa"/>
            <w:gridSpan w:val="3"/>
            <w:shd w:val="clear" w:color="auto" w:fill="B8CCE4" w:themeFill="accent1" w:themeFillTint="66"/>
          </w:tcPr>
          <w:p w14:paraId="27DA5C8D" w14:textId="52CB55D7" w:rsidR="003221C6" w:rsidRPr="00257F44" w:rsidRDefault="003221C6" w:rsidP="00FD2A72">
            <w:pPr>
              <w:pStyle w:val="Rowcolumntitles"/>
              <w:rPr>
                <w:sz w:val="20"/>
                <w:lang w:val="uk-UA"/>
              </w:rPr>
            </w:pPr>
            <w:r w:rsidRPr="00257F44">
              <w:rPr>
                <w:rFonts w:ascii="MS Mincho" w:eastAsia="MS Mincho" w:hAnsi="MS Mincho" w:cs="MS Mincho"/>
                <w:noProof/>
                <w:sz w:val="20"/>
                <w:lang w:val="uk-UA"/>
              </w:rPr>
              <w:t>✔</w:t>
            </w:r>
          </w:p>
        </w:tc>
        <w:tc>
          <w:tcPr>
            <w:tcW w:w="367" w:type="dxa"/>
            <w:gridSpan w:val="3"/>
            <w:vMerge w:val="restart"/>
            <w:shd w:val="clear" w:color="auto" w:fill="D99594" w:themeFill="accent2" w:themeFillTint="99"/>
          </w:tcPr>
          <w:p w14:paraId="7F1D4B42" w14:textId="77777777" w:rsidR="003221C6" w:rsidRPr="00257F44" w:rsidRDefault="003221C6"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21DD3277" w14:textId="77777777" w:rsidR="003221C6" w:rsidRPr="00257F44" w:rsidRDefault="003221C6"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3DE5D313" w14:textId="14A1A466"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18" w:type="dxa"/>
            <w:gridSpan w:val="2"/>
            <w:vMerge w:val="restart"/>
            <w:shd w:val="clear" w:color="auto" w:fill="D99594" w:themeFill="accent2" w:themeFillTint="99"/>
          </w:tcPr>
          <w:p w14:paraId="34DF638F" w14:textId="77777777" w:rsidR="003221C6" w:rsidRPr="00257F44" w:rsidRDefault="003221C6"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78FB2EC0" w14:textId="77777777" w:rsidR="003221C6" w:rsidRPr="00257F44" w:rsidRDefault="003221C6" w:rsidP="00FD2A72">
            <w:pPr>
              <w:pStyle w:val="Rowcolumntitles"/>
              <w:rPr>
                <w:rFonts w:eastAsia="Times New Roman"/>
                <w:sz w:val="20"/>
                <w:lang w:val="uk-UA"/>
              </w:rPr>
            </w:pPr>
          </w:p>
        </w:tc>
      </w:tr>
      <w:tr w:rsidR="000E0B9A" w:rsidRPr="00257F44" w14:paraId="355B3F9D" w14:textId="77777777" w:rsidTr="00DB3322">
        <w:trPr>
          <w:gridAfter w:val="2"/>
          <w:wAfter w:w="24" w:type="dxa"/>
          <w:trHeight w:val="136"/>
        </w:trPr>
        <w:tc>
          <w:tcPr>
            <w:tcW w:w="1470" w:type="dxa"/>
            <w:vMerge/>
            <w:shd w:val="clear" w:color="auto" w:fill="000000" w:themeFill="text1"/>
          </w:tcPr>
          <w:p w14:paraId="6C4D76DF" w14:textId="77777777" w:rsidR="003221C6" w:rsidRPr="00257F44" w:rsidRDefault="003221C6" w:rsidP="00FD2A72">
            <w:pPr>
              <w:pStyle w:val="Rowcolumntitles"/>
              <w:rPr>
                <w:noProof/>
                <w:color w:val="FFFFFF" w:themeColor="background1"/>
                <w:sz w:val="20"/>
                <w:lang w:val="uk-UA"/>
              </w:rPr>
            </w:pPr>
          </w:p>
        </w:tc>
        <w:tc>
          <w:tcPr>
            <w:tcW w:w="402" w:type="dxa"/>
            <w:vMerge/>
            <w:shd w:val="clear" w:color="auto" w:fill="D6E3BC" w:themeFill="accent3" w:themeFillTint="66"/>
          </w:tcPr>
          <w:p w14:paraId="72D63A27" w14:textId="77777777" w:rsidR="003221C6" w:rsidRPr="00257F44" w:rsidRDefault="003221C6" w:rsidP="00FD2A72">
            <w:pPr>
              <w:pStyle w:val="Rowcolumntitles"/>
              <w:rPr>
                <w:sz w:val="20"/>
                <w:lang w:val="uk-UA"/>
              </w:rPr>
            </w:pPr>
          </w:p>
        </w:tc>
        <w:tc>
          <w:tcPr>
            <w:tcW w:w="388" w:type="dxa"/>
            <w:vMerge/>
            <w:shd w:val="clear" w:color="auto" w:fill="D6E3BC" w:themeFill="accent3" w:themeFillTint="66"/>
          </w:tcPr>
          <w:p w14:paraId="1F81CECD" w14:textId="77777777" w:rsidR="003221C6" w:rsidRPr="00257F44" w:rsidRDefault="003221C6" w:rsidP="00FD2A72">
            <w:pPr>
              <w:pStyle w:val="Rowcolumntitles"/>
              <w:rPr>
                <w:sz w:val="20"/>
                <w:lang w:val="uk-UA"/>
              </w:rPr>
            </w:pPr>
          </w:p>
        </w:tc>
        <w:tc>
          <w:tcPr>
            <w:tcW w:w="425" w:type="dxa"/>
            <w:vMerge/>
            <w:shd w:val="clear" w:color="auto" w:fill="D6E3BC" w:themeFill="accent3" w:themeFillTint="66"/>
          </w:tcPr>
          <w:p w14:paraId="51E73FDA" w14:textId="77777777" w:rsidR="003221C6" w:rsidRPr="00257F44" w:rsidRDefault="003221C6" w:rsidP="00FD2A72">
            <w:pPr>
              <w:pStyle w:val="Rowcolumntitles"/>
              <w:rPr>
                <w:rFonts w:eastAsia="Times New Roman"/>
                <w:sz w:val="20"/>
                <w:lang w:val="uk-UA"/>
              </w:rPr>
            </w:pPr>
          </w:p>
        </w:tc>
        <w:tc>
          <w:tcPr>
            <w:tcW w:w="395" w:type="dxa"/>
            <w:vMerge/>
            <w:shd w:val="clear" w:color="auto" w:fill="D6E3BC" w:themeFill="accent3" w:themeFillTint="66"/>
          </w:tcPr>
          <w:p w14:paraId="2F895C92" w14:textId="77777777" w:rsidR="003221C6" w:rsidRPr="00257F44" w:rsidRDefault="003221C6" w:rsidP="00FD2A72">
            <w:pPr>
              <w:pStyle w:val="Rowcolumntitles"/>
              <w:rPr>
                <w:sz w:val="20"/>
                <w:lang w:val="uk-UA"/>
              </w:rPr>
            </w:pPr>
          </w:p>
        </w:tc>
        <w:tc>
          <w:tcPr>
            <w:tcW w:w="654" w:type="dxa"/>
            <w:gridSpan w:val="2"/>
            <w:vMerge/>
            <w:shd w:val="clear" w:color="auto" w:fill="FBD4B4" w:themeFill="accent6" w:themeFillTint="66"/>
          </w:tcPr>
          <w:p w14:paraId="7E2797AA" w14:textId="77777777" w:rsidR="003221C6" w:rsidRPr="00257F44" w:rsidRDefault="003221C6" w:rsidP="00FD2A72">
            <w:pPr>
              <w:pStyle w:val="Rowcolumntitles"/>
              <w:rPr>
                <w:rFonts w:eastAsia="Times New Roman"/>
                <w:sz w:val="20"/>
                <w:lang w:val="uk-UA"/>
              </w:rPr>
            </w:pPr>
          </w:p>
        </w:tc>
        <w:tc>
          <w:tcPr>
            <w:tcW w:w="369" w:type="dxa"/>
            <w:vMerge/>
            <w:shd w:val="clear" w:color="auto" w:fill="FBD4B4" w:themeFill="accent6" w:themeFillTint="66"/>
          </w:tcPr>
          <w:p w14:paraId="4FF25CC1" w14:textId="77777777" w:rsidR="003221C6" w:rsidRPr="00257F44" w:rsidRDefault="003221C6" w:rsidP="00FD2A72">
            <w:pPr>
              <w:pStyle w:val="Rowcolumntitles"/>
              <w:rPr>
                <w:color w:val="BFBFBF" w:themeColor="background1" w:themeShade="BF"/>
                <w:sz w:val="20"/>
                <w:lang w:val="uk-UA"/>
              </w:rPr>
            </w:pPr>
          </w:p>
        </w:tc>
        <w:tc>
          <w:tcPr>
            <w:tcW w:w="404" w:type="dxa"/>
            <w:vMerge/>
            <w:shd w:val="clear" w:color="auto" w:fill="FBD4B4" w:themeFill="accent6" w:themeFillTint="66"/>
          </w:tcPr>
          <w:p w14:paraId="1FDD25AB" w14:textId="77777777" w:rsidR="003221C6" w:rsidRPr="00257F44" w:rsidRDefault="003221C6" w:rsidP="00FD2A72">
            <w:pPr>
              <w:pStyle w:val="Rowcolumntitles"/>
              <w:rPr>
                <w:sz w:val="20"/>
                <w:lang w:val="uk-UA"/>
              </w:rPr>
            </w:pPr>
          </w:p>
        </w:tc>
        <w:tc>
          <w:tcPr>
            <w:tcW w:w="895" w:type="dxa"/>
            <w:vMerge/>
            <w:shd w:val="clear" w:color="auto" w:fill="FBD4B4" w:themeFill="accent6" w:themeFillTint="66"/>
          </w:tcPr>
          <w:p w14:paraId="01FAC487" w14:textId="77777777" w:rsidR="003221C6" w:rsidRPr="00257F44" w:rsidRDefault="003221C6" w:rsidP="00FD2A72">
            <w:pPr>
              <w:pStyle w:val="Rowcolumntitles"/>
              <w:rPr>
                <w:sz w:val="20"/>
                <w:lang w:val="uk-UA"/>
              </w:rPr>
            </w:pPr>
          </w:p>
        </w:tc>
        <w:tc>
          <w:tcPr>
            <w:tcW w:w="341" w:type="dxa"/>
            <w:gridSpan w:val="3"/>
            <w:vMerge/>
            <w:shd w:val="clear" w:color="auto" w:fill="CCC0D9" w:themeFill="accent4" w:themeFillTint="66"/>
          </w:tcPr>
          <w:p w14:paraId="0C521363" w14:textId="77777777" w:rsidR="003221C6" w:rsidRPr="00257F44" w:rsidRDefault="003221C6" w:rsidP="00FD2A72">
            <w:pPr>
              <w:pStyle w:val="Rowcolumntitles"/>
              <w:rPr>
                <w:sz w:val="20"/>
                <w:lang w:val="uk-UA"/>
              </w:rPr>
            </w:pPr>
          </w:p>
        </w:tc>
        <w:tc>
          <w:tcPr>
            <w:tcW w:w="341" w:type="dxa"/>
            <w:gridSpan w:val="2"/>
            <w:vMerge/>
            <w:shd w:val="clear" w:color="auto" w:fill="CCC0D9" w:themeFill="accent4" w:themeFillTint="66"/>
          </w:tcPr>
          <w:p w14:paraId="43BE741D" w14:textId="77777777" w:rsidR="003221C6" w:rsidRPr="00257F44" w:rsidRDefault="003221C6" w:rsidP="00FD2A72">
            <w:pPr>
              <w:pStyle w:val="Rowcolumntitles"/>
              <w:rPr>
                <w:rFonts w:eastAsia="Times New Roman"/>
                <w:sz w:val="20"/>
                <w:lang w:val="uk-UA"/>
              </w:rPr>
            </w:pPr>
          </w:p>
        </w:tc>
        <w:tc>
          <w:tcPr>
            <w:tcW w:w="341" w:type="dxa"/>
            <w:gridSpan w:val="2"/>
            <w:vMerge/>
            <w:shd w:val="clear" w:color="auto" w:fill="CCC0D9" w:themeFill="accent4" w:themeFillTint="66"/>
          </w:tcPr>
          <w:p w14:paraId="7C796160" w14:textId="77777777" w:rsidR="003221C6" w:rsidRPr="00257F44" w:rsidRDefault="003221C6" w:rsidP="00FD2A72">
            <w:pPr>
              <w:pStyle w:val="Rowcolumntitles"/>
              <w:rPr>
                <w:sz w:val="20"/>
                <w:lang w:val="uk-UA"/>
              </w:rPr>
            </w:pPr>
          </w:p>
        </w:tc>
        <w:tc>
          <w:tcPr>
            <w:tcW w:w="343" w:type="dxa"/>
            <w:gridSpan w:val="3"/>
            <w:vMerge/>
            <w:shd w:val="clear" w:color="auto" w:fill="CCC0D9" w:themeFill="accent4" w:themeFillTint="66"/>
          </w:tcPr>
          <w:p w14:paraId="5799A386" w14:textId="77777777" w:rsidR="003221C6" w:rsidRPr="00257F44" w:rsidRDefault="003221C6" w:rsidP="00FD2A72">
            <w:pPr>
              <w:pStyle w:val="Rowcolumntitles"/>
              <w:rPr>
                <w:sz w:val="20"/>
                <w:lang w:val="uk-UA"/>
              </w:rPr>
            </w:pPr>
          </w:p>
        </w:tc>
        <w:tc>
          <w:tcPr>
            <w:tcW w:w="485" w:type="dxa"/>
            <w:gridSpan w:val="3"/>
            <w:shd w:val="clear" w:color="auto" w:fill="B8CCE4" w:themeFill="accent1" w:themeFillTint="66"/>
          </w:tcPr>
          <w:p w14:paraId="1A27EECC" w14:textId="0DDE18BD" w:rsidR="003221C6" w:rsidRPr="00257F44" w:rsidRDefault="003221C6" w:rsidP="00FD2A72">
            <w:pPr>
              <w:pStyle w:val="Rowcolumntitles"/>
              <w:rPr>
                <w:rFonts w:eastAsia="Times New Roman"/>
                <w:sz w:val="20"/>
                <w:lang w:val="uk-UA"/>
              </w:rPr>
            </w:pPr>
          </w:p>
        </w:tc>
        <w:tc>
          <w:tcPr>
            <w:tcW w:w="487" w:type="dxa"/>
            <w:gridSpan w:val="2"/>
            <w:shd w:val="clear" w:color="auto" w:fill="B8CCE4" w:themeFill="accent1" w:themeFillTint="66"/>
          </w:tcPr>
          <w:p w14:paraId="0900C88D" w14:textId="77777777" w:rsidR="003221C6" w:rsidRPr="00257F44" w:rsidRDefault="003221C6" w:rsidP="00FD2A72">
            <w:pPr>
              <w:pStyle w:val="Rowcolumntitles"/>
              <w:rPr>
                <w:rFonts w:eastAsia="Times New Roman"/>
                <w:sz w:val="20"/>
                <w:lang w:val="uk-UA"/>
              </w:rPr>
            </w:pPr>
          </w:p>
        </w:tc>
        <w:tc>
          <w:tcPr>
            <w:tcW w:w="487" w:type="dxa"/>
            <w:gridSpan w:val="4"/>
            <w:shd w:val="clear" w:color="auto" w:fill="B8CCE4" w:themeFill="accent1" w:themeFillTint="66"/>
          </w:tcPr>
          <w:p w14:paraId="7E1A84CA" w14:textId="77777777" w:rsidR="003221C6" w:rsidRPr="00257F44" w:rsidRDefault="003221C6" w:rsidP="00FD2A72">
            <w:pPr>
              <w:pStyle w:val="Rowcolumntitles"/>
              <w:rPr>
                <w:rFonts w:eastAsia="Times New Roman"/>
                <w:sz w:val="20"/>
                <w:lang w:val="uk-UA"/>
              </w:rPr>
            </w:pPr>
          </w:p>
        </w:tc>
        <w:tc>
          <w:tcPr>
            <w:tcW w:w="493" w:type="dxa"/>
            <w:gridSpan w:val="3"/>
            <w:shd w:val="clear" w:color="auto" w:fill="B8CCE4" w:themeFill="accent1" w:themeFillTint="66"/>
          </w:tcPr>
          <w:p w14:paraId="14DB0E35" w14:textId="5A6522BB"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7" w:type="dxa"/>
            <w:gridSpan w:val="3"/>
            <w:vMerge/>
            <w:shd w:val="clear" w:color="auto" w:fill="D99594" w:themeFill="accent2" w:themeFillTint="99"/>
          </w:tcPr>
          <w:p w14:paraId="32BCB4BD" w14:textId="77777777" w:rsidR="003221C6" w:rsidRPr="00257F44" w:rsidRDefault="003221C6" w:rsidP="00FD2A72">
            <w:pPr>
              <w:pStyle w:val="Rowcolumntitles"/>
              <w:rPr>
                <w:rFonts w:eastAsia="Times New Roman"/>
                <w:sz w:val="20"/>
                <w:lang w:val="uk-UA"/>
              </w:rPr>
            </w:pPr>
          </w:p>
        </w:tc>
        <w:tc>
          <w:tcPr>
            <w:tcW w:w="318" w:type="dxa"/>
            <w:gridSpan w:val="2"/>
            <w:vMerge/>
            <w:shd w:val="clear" w:color="auto" w:fill="D99594" w:themeFill="accent2" w:themeFillTint="99"/>
          </w:tcPr>
          <w:p w14:paraId="0C6E73F4" w14:textId="77777777" w:rsidR="003221C6" w:rsidRPr="00257F44" w:rsidRDefault="003221C6" w:rsidP="00FD2A72">
            <w:pPr>
              <w:pStyle w:val="Rowcolumntitles"/>
              <w:rPr>
                <w:rFonts w:eastAsia="Times New Roman"/>
                <w:sz w:val="20"/>
                <w:lang w:val="uk-UA"/>
              </w:rPr>
            </w:pPr>
          </w:p>
        </w:tc>
        <w:tc>
          <w:tcPr>
            <w:tcW w:w="318" w:type="dxa"/>
            <w:gridSpan w:val="2"/>
            <w:vMerge/>
            <w:shd w:val="clear" w:color="auto" w:fill="D99594" w:themeFill="accent2" w:themeFillTint="99"/>
          </w:tcPr>
          <w:p w14:paraId="04632173" w14:textId="77777777" w:rsidR="003221C6" w:rsidRPr="00257F44" w:rsidRDefault="003221C6" w:rsidP="00FD2A72">
            <w:pPr>
              <w:pStyle w:val="Rowcolumntitles"/>
              <w:rPr>
                <w:rFonts w:eastAsia="Times New Roman"/>
                <w:sz w:val="20"/>
                <w:lang w:val="uk-UA"/>
              </w:rPr>
            </w:pPr>
          </w:p>
        </w:tc>
        <w:tc>
          <w:tcPr>
            <w:tcW w:w="318" w:type="dxa"/>
            <w:gridSpan w:val="2"/>
            <w:vMerge/>
            <w:shd w:val="clear" w:color="auto" w:fill="D99594" w:themeFill="accent2" w:themeFillTint="99"/>
          </w:tcPr>
          <w:p w14:paraId="6A06E907" w14:textId="77777777" w:rsidR="003221C6" w:rsidRPr="00257F44" w:rsidRDefault="003221C6" w:rsidP="00FD2A72">
            <w:pPr>
              <w:pStyle w:val="Rowcolumntitles"/>
              <w:rPr>
                <w:rFonts w:eastAsia="Times New Roman"/>
                <w:sz w:val="20"/>
                <w:lang w:val="uk-UA"/>
              </w:rPr>
            </w:pPr>
          </w:p>
        </w:tc>
        <w:tc>
          <w:tcPr>
            <w:tcW w:w="388" w:type="dxa"/>
            <w:gridSpan w:val="2"/>
            <w:vMerge/>
            <w:shd w:val="clear" w:color="auto" w:fill="D99594" w:themeFill="accent2" w:themeFillTint="99"/>
          </w:tcPr>
          <w:p w14:paraId="2626B0D9" w14:textId="77777777" w:rsidR="003221C6" w:rsidRPr="00257F44" w:rsidRDefault="003221C6" w:rsidP="00FD2A72">
            <w:pPr>
              <w:pStyle w:val="Rowcolumntitles"/>
              <w:rPr>
                <w:rFonts w:eastAsia="Times New Roman"/>
                <w:sz w:val="20"/>
                <w:lang w:val="uk-UA"/>
              </w:rPr>
            </w:pPr>
          </w:p>
        </w:tc>
      </w:tr>
      <w:tr w:rsidR="000E0B9A" w:rsidRPr="00257F44" w14:paraId="7B47FE44" w14:textId="77777777" w:rsidTr="00DB3322">
        <w:trPr>
          <w:gridAfter w:val="2"/>
          <w:wAfter w:w="24" w:type="dxa"/>
          <w:trHeight w:val="200"/>
        </w:trPr>
        <w:tc>
          <w:tcPr>
            <w:tcW w:w="1470" w:type="dxa"/>
            <w:vMerge w:val="restart"/>
            <w:shd w:val="clear" w:color="auto" w:fill="000000" w:themeFill="text1"/>
          </w:tcPr>
          <w:p w14:paraId="08A42828" w14:textId="7E8C4E43" w:rsidR="003221C6" w:rsidRPr="00257F44" w:rsidRDefault="003221C6" w:rsidP="00FD2A72">
            <w:pPr>
              <w:pStyle w:val="Rowcolumntitles"/>
              <w:rPr>
                <w:noProof/>
                <w:color w:val="FFFFFF" w:themeColor="background1"/>
                <w:sz w:val="20"/>
                <w:lang w:val="uk-UA"/>
              </w:rPr>
            </w:pPr>
            <w:r w:rsidRPr="00257F44">
              <w:rPr>
                <w:noProof/>
                <w:color w:val="FFFFFF" w:themeColor="background1"/>
                <w:sz w:val="20"/>
                <w:lang w:val="uk-UA"/>
              </w:rPr>
              <w:t xml:space="preserve">4. </w:t>
            </w:r>
            <w:r w:rsidR="00E2632B" w:rsidRPr="00257F44">
              <w:rPr>
                <w:noProof/>
                <w:color w:val="FFFFFF" w:themeColor="background1"/>
                <w:sz w:val="20"/>
                <w:lang w:val="uk-UA"/>
              </w:rPr>
              <w:t>Закон про участь громадськості</w:t>
            </w:r>
          </w:p>
        </w:tc>
        <w:tc>
          <w:tcPr>
            <w:tcW w:w="402" w:type="dxa"/>
            <w:vMerge w:val="restart"/>
            <w:shd w:val="clear" w:color="auto" w:fill="D6E3BC" w:themeFill="accent3" w:themeFillTint="66"/>
          </w:tcPr>
          <w:p w14:paraId="1CA529E6" w14:textId="77777777" w:rsidR="003221C6" w:rsidRPr="00257F44" w:rsidRDefault="003221C6" w:rsidP="00FD2A72">
            <w:pPr>
              <w:pStyle w:val="Rowcolumntitles"/>
              <w:rPr>
                <w:sz w:val="20"/>
                <w:lang w:val="uk-UA"/>
              </w:rPr>
            </w:pPr>
          </w:p>
        </w:tc>
        <w:tc>
          <w:tcPr>
            <w:tcW w:w="388" w:type="dxa"/>
            <w:vMerge w:val="restart"/>
            <w:shd w:val="clear" w:color="auto" w:fill="D6E3BC" w:themeFill="accent3" w:themeFillTint="66"/>
          </w:tcPr>
          <w:p w14:paraId="07452C35" w14:textId="77777777" w:rsidR="003221C6" w:rsidRPr="00257F44" w:rsidRDefault="003221C6" w:rsidP="00FD2A72">
            <w:pPr>
              <w:pStyle w:val="Rowcolumntitles"/>
              <w:rPr>
                <w:rFonts w:eastAsia="Times New Roman"/>
                <w:sz w:val="20"/>
                <w:lang w:val="uk-UA"/>
              </w:rPr>
            </w:pPr>
          </w:p>
        </w:tc>
        <w:tc>
          <w:tcPr>
            <w:tcW w:w="425" w:type="dxa"/>
            <w:vMerge w:val="restart"/>
            <w:shd w:val="clear" w:color="auto" w:fill="D6E3BC" w:themeFill="accent3" w:themeFillTint="66"/>
          </w:tcPr>
          <w:p w14:paraId="03BDA3F5" w14:textId="77777777" w:rsidR="003221C6" w:rsidRPr="00257F44" w:rsidRDefault="003221C6" w:rsidP="00FD2A72">
            <w:pPr>
              <w:pStyle w:val="Rowcolumntitles"/>
              <w:rPr>
                <w:sz w:val="20"/>
                <w:lang w:val="uk-UA"/>
              </w:rPr>
            </w:pPr>
          </w:p>
        </w:tc>
        <w:tc>
          <w:tcPr>
            <w:tcW w:w="395" w:type="dxa"/>
            <w:vMerge w:val="restart"/>
            <w:shd w:val="clear" w:color="auto" w:fill="D6E3BC" w:themeFill="accent3" w:themeFillTint="66"/>
          </w:tcPr>
          <w:p w14:paraId="1D47920C" w14:textId="49678AC5" w:rsidR="003221C6" w:rsidRPr="00257F44" w:rsidRDefault="003221C6" w:rsidP="00FD2A72">
            <w:pPr>
              <w:pStyle w:val="Rowcolumntitles"/>
              <w:rPr>
                <w:sz w:val="20"/>
                <w:lang w:val="uk-UA"/>
              </w:rPr>
            </w:pPr>
            <w:r w:rsidRPr="00257F44">
              <w:rPr>
                <w:rFonts w:ascii="MS Mincho" w:eastAsia="MS Mincho" w:hAnsi="MS Mincho" w:cs="MS Mincho"/>
                <w:noProof/>
                <w:sz w:val="20"/>
                <w:lang w:val="uk-UA"/>
              </w:rPr>
              <w:t>✔</w:t>
            </w:r>
          </w:p>
        </w:tc>
        <w:tc>
          <w:tcPr>
            <w:tcW w:w="654" w:type="dxa"/>
            <w:gridSpan w:val="2"/>
            <w:vMerge w:val="restart"/>
            <w:shd w:val="clear" w:color="auto" w:fill="FBD4B4" w:themeFill="accent6" w:themeFillTint="66"/>
          </w:tcPr>
          <w:p w14:paraId="5A65EFF8" w14:textId="67DCFFFD" w:rsidR="003221C6" w:rsidRPr="00257F44" w:rsidRDefault="003221C6" w:rsidP="00FD2A72">
            <w:pPr>
              <w:pStyle w:val="Rowcolumntitles"/>
              <w:rPr>
                <w:rFonts w:eastAsia="Times New Roman"/>
                <w:sz w:val="20"/>
                <w:lang w:val="uk-UA"/>
              </w:rPr>
            </w:pPr>
          </w:p>
        </w:tc>
        <w:tc>
          <w:tcPr>
            <w:tcW w:w="369" w:type="dxa"/>
            <w:vMerge w:val="restart"/>
            <w:shd w:val="clear" w:color="auto" w:fill="FBD4B4" w:themeFill="accent6" w:themeFillTint="66"/>
          </w:tcPr>
          <w:p w14:paraId="13B3F13C" w14:textId="03EF7DCC" w:rsidR="003221C6" w:rsidRPr="00257F44" w:rsidRDefault="003221C6" w:rsidP="00FD2A72">
            <w:pPr>
              <w:pStyle w:val="Rowcolumntitles"/>
              <w:rPr>
                <w:color w:val="BFBFBF" w:themeColor="background1" w:themeShade="BF"/>
                <w:sz w:val="20"/>
                <w:lang w:val="uk-UA"/>
              </w:rPr>
            </w:pPr>
            <w:r w:rsidRPr="00257F44">
              <w:rPr>
                <w:rFonts w:ascii="MS Mincho" w:eastAsia="MS Mincho" w:hAnsi="MS Mincho" w:cs="MS Mincho"/>
                <w:noProof/>
                <w:sz w:val="20"/>
                <w:lang w:val="uk-UA"/>
              </w:rPr>
              <w:t>✔</w:t>
            </w:r>
          </w:p>
        </w:tc>
        <w:tc>
          <w:tcPr>
            <w:tcW w:w="404" w:type="dxa"/>
            <w:vMerge w:val="restart"/>
            <w:shd w:val="clear" w:color="auto" w:fill="FBD4B4" w:themeFill="accent6" w:themeFillTint="66"/>
          </w:tcPr>
          <w:p w14:paraId="793A5319" w14:textId="15B9A85E" w:rsidR="003221C6" w:rsidRPr="00257F44" w:rsidRDefault="003221C6" w:rsidP="00FD2A72">
            <w:pPr>
              <w:pStyle w:val="Rowcolumntitles"/>
              <w:rPr>
                <w:sz w:val="20"/>
                <w:lang w:val="uk-UA"/>
              </w:rPr>
            </w:pPr>
            <w:r w:rsidRPr="00257F44">
              <w:rPr>
                <w:rFonts w:ascii="MS Mincho" w:eastAsia="MS Mincho" w:hAnsi="MS Mincho" w:cs="MS Mincho"/>
                <w:noProof/>
                <w:sz w:val="20"/>
                <w:lang w:val="uk-UA"/>
              </w:rPr>
              <w:t>✔</w:t>
            </w:r>
          </w:p>
        </w:tc>
        <w:tc>
          <w:tcPr>
            <w:tcW w:w="895" w:type="dxa"/>
            <w:vMerge w:val="restart"/>
            <w:shd w:val="clear" w:color="auto" w:fill="FBD4B4" w:themeFill="accent6" w:themeFillTint="66"/>
          </w:tcPr>
          <w:p w14:paraId="4D92F126" w14:textId="77777777" w:rsidR="003221C6" w:rsidRPr="00257F44" w:rsidRDefault="003221C6" w:rsidP="00FD2A72">
            <w:pPr>
              <w:pStyle w:val="Rowcolumntitles"/>
              <w:rPr>
                <w:rFonts w:eastAsia="Times New Roman"/>
                <w:sz w:val="20"/>
                <w:lang w:val="uk-UA"/>
              </w:rPr>
            </w:pPr>
          </w:p>
        </w:tc>
        <w:tc>
          <w:tcPr>
            <w:tcW w:w="341" w:type="dxa"/>
            <w:gridSpan w:val="3"/>
            <w:vMerge w:val="restart"/>
            <w:shd w:val="clear" w:color="auto" w:fill="CCC0D9" w:themeFill="accent4" w:themeFillTint="66"/>
          </w:tcPr>
          <w:p w14:paraId="193A1D71" w14:textId="77777777" w:rsidR="003221C6" w:rsidRPr="00257F44" w:rsidRDefault="003221C6" w:rsidP="00FD2A72">
            <w:pPr>
              <w:pStyle w:val="Rowcolumntitles"/>
              <w:rPr>
                <w:sz w:val="20"/>
                <w:lang w:val="uk-UA"/>
              </w:rPr>
            </w:pPr>
          </w:p>
        </w:tc>
        <w:tc>
          <w:tcPr>
            <w:tcW w:w="341" w:type="dxa"/>
            <w:gridSpan w:val="2"/>
            <w:vMerge w:val="restart"/>
            <w:shd w:val="clear" w:color="auto" w:fill="CCC0D9" w:themeFill="accent4" w:themeFillTint="66"/>
          </w:tcPr>
          <w:p w14:paraId="65883B56" w14:textId="24556B52" w:rsidR="003221C6" w:rsidRPr="00257F44" w:rsidRDefault="003221C6" w:rsidP="00FD2A72">
            <w:pPr>
              <w:pStyle w:val="Rowcolumntitles"/>
              <w:rPr>
                <w:rFonts w:eastAsia="Times New Roman"/>
                <w:sz w:val="20"/>
                <w:lang w:val="uk-UA"/>
              </w:rPr>
            </w:pPr>
          </w:p>
        </w:tc>
        <w:tc>
          <w:tcPr>
            <w:tcW w:w="341" w:type="dxa"/>
            <w:gridSpan w:val="2"/>
            <w:vMerge w:val="restart"/>
            <w:shd w:val="clear" w:color="auto" w:fill="CCC0D9" w:themeFill="accent4" w:themeFillTint="66"/>
          </w:tcPr>
          <w:p w14:paraId="3659306E" w14:textId="699909B8" w:rsidR="003221C6" w:rsidRPr="00257F44" w:rsidRDefault="003221C6" w:rsidP="00FD2A72">
            <w:pPr>
              <w:pStyle w:val="Rowcolumntitles"/>
              <w:rPr>
                <w:sz w:val="20"/>
                <w:lang w:val="uk-UA"/>
              </w:rPr>
            </w:pPr>
            <w:r w:rsidRPr="00257F44">
              <w:rPr>
                <w:rFonts w:ascii="MS Mincho" w:eastAsia="MS Mincho" w:hAnsi="MS Mincho" w:cs="MS Mincho"/>
                <w:noProof/>
                <w:sz w:val="20"/>
                <w:lang w:val="uk-UA"/>
              </w:rPr>
              <w:t>✔</w:t>
            </w:r>
          </w:p>
        </w:tc>
        <w:tc>
          <w:tcPr>
            <w:tcW w:w="343" w:type="dxa"/>
            <w:gridSpan w:val="3"/>
            <w:vMerge w:val="restart"/>
            <w:shd w:val="clear" w:color="auto" w:fill="CCC0D9" w:themeFill="accent4" w:themeFillTint="66"/>
          </w:tcPr>
          <w:p w14:paraId="16A3ABCD" w14:textId="77777777" w:rsidR="003221C6" w:rsidRPr="00257F44" w:rsidRDefault="003221C6" w:rsidP="00FD2A72">
            <w:pPr>
              <w:pStyle w:val="Rowcolumntitles"/>
              <w:rPr>
                <w:sz w:val="20"/>
                <w:lang w:val="uk-UA"/>
              </w:rPr>
            </w:pPr>
          </w:p>
        </w:tc>
        <w:tc>
          <w:tcPr>
            <w:tcW w:w="485" w:type="dxa"/>
            <w:gridSpan w:val="3"/>
            <w:shd w:val="clear" w:color="auto" w:fill="B8CCE4" w:themeFill="accent1" w:themeFillTint="66"/>
          </w:tcPr>
          <w:p w14:paraId="1E15C670" w14:textId="7B30673D" w:rsidR="003221C6" w:rsidRPr="00257F44" w:rsidRDefault="003221C6" w:rsidP="00FD2A72">
            <w:pPr>
              <w:pStyle w:val="Rowcolumntitles"/>
              <w:rPr>
                <w:sz w:val="20"/>
                <w:highlight w:val="yellow"/>
                <w:lang w:val="uk-UA"/>
              </w:rPr>
            </w:pPr>
          </w:p>
        </w:tc>
        <w:tc>
          <w:tcPr>
            <w:tcW w:w="487" w:type="dxa"/>
            <w:gridSpan w:val="2"/>
            <w:shd w:val="clear" w:color="auto" w:fill="B8CCE4" w:themeFill="accent1" w:themeFillTint="66"/>
          </w:tcPr>
          <w:p w14:paraId="434795DD" w14:textId="41A87CBB" w:rsidR="003221C6" w:rsidRPr="00257F44" w:rsidRDefault="003221C6" w:rsidP="00FD2A72">
            <w:pPr>
              <w:pStyle w:val="Rowcolumntitles"/>
              <w:rPr>
                <w:sz w:val="20"/>
                <w:highlight w:val="yellow"/>
                <w:lang w:val="uk-UA"/>
              </w:rPr>
            </w:pPr>
            <w:r w:rsidRPr="00257F44">
              <w:rPr>
                <w:rFonts w:ascii="MS Mincho" w:eastAsia="MS Mincho" w:hAnsi="MS Mincho" w:cs="MS Mincho"/>
                <w:noProof/>
                <w:sz w:val="20"/>
                <w:lang w:val="uk-UA"/>
              </w:rPr>
              <w:t>✔</w:t>
            </w:r>
          </w:p>
        </w:tc>
        <w:tc>
          <w:tcPr>
            <w:tcW w:w="487" w:type="dxa"/>
            <w:gridSpan w:val="4"/>
            <w:shd w:val="clear" w:color="auto" w:fill="B8CCE4" w:themeFill="accent1" w:themeFillTint="66"/>
          </w:tcPr>
          <w:p w14:paraId="2C4D1408" w14:textId="77777777" w:rsidR="003221C6" w:rsidRPr="00257F44" w:rsidRDefault="003221C6" w:rsidP="00FD2A72">
            <w:pPr>
              <w:pStyle w:val="Rowcolumntitles"/>
              <w:rPr>
                <w:sz w:val="20"/>
                <w:highlight w:val="yellow"/>
                <w:lang w:val="uk-UA"/>
              </w:rPr>
            </w:pPr>
          </w:p>
        </w:tc>
        <w:tc>
          <w:tcPr>
            <w:tcW w:w="493" w:type="dxa"/>
            <w:gridSpan w:val="3"/>
            <w:shd w:val="clear" w:color="auto" w:fill="B8CCE4" w:themeFill="accent1" w:themeFillTint="66"/>
          </w:tcPr>
          <w:p w14:paraId="5CBA5905" w14:textId="0984B605" w:rsidR="003221C6" w:rsidRPr="00257F44" w:rsidRDefault="003221C6" w:rsidP="00FD2A72">
            <w:pPr>
              <w:pStyle w:val="Rowcolumntitles"/>
              <w:rPr>
                <w:sz w:val="20"/>
                <w:highlight w:val="yellow"/>
                <w:lang w:val="uk-UA"/>
              </w:rPr>
            </w:pPr>
          </w:p>
        </w:tc>
        <w:tc>
          <w:tcPr>
            <w:tcW w:w="367" w:type="dxa"/>
            <w:gridSpan w:val="3"/>
            <w:vMerge w:val="restart"/>
            <w:shd w:val="clear" w:color="auto" w:fill="D99594" w:themeFill="accent2" w:themeFillTint="99"/>
          </w:tcPr>
          <w:p w14:paraId="73F5EF41" w14:textId="77777777" w:rsidR="003221C6" w:rsidRPr="00257F44" w:rsidRDefault="003221C6"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3CE873AB" w14:textId="77777777" w:rsidR="003221C6" w:rsidRPr="00257F44" w:rsidRDefault="003221C6"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3CAA460E" w14:textId="182CABBB"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18" w:type="dxa"/>
            <w:gridSpan w:val="2"/>
            <w:vMerge w:val="restart"/>
            <w:shd w:val="clear" w:color="auto" w:fill="D99594" w:themeFill="accent2" w:themeFillTint="99"/>
          </w:tcPr>
          <w:p w14:paraId="6B4E663E" w14:textId="77777777" w:rsidR="003221C6" w:rsidRPr="00257F44" w:rsidRDefault="003221C6"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39B54C97" w14:textId="77777777" w:rsidR="003221C6" w:rsidRPr="00257F44" w:rsidRDefault="003221C6" w:rsidP="00FD2A72">
            <w:pPr>
              <w:pStyle w:val="Rowcolumntitles"/>
              <w:rPr>
                <w:rFonts w:eastAsia="Times New Roman"/>
                <w:sz w:val="20"/>
                <w:lang w:val="uk-UA"/>
              </w:rPr>
            </w:pPr>
          </w:p>
        </w:tc>
      </w:tr>
      <w:tr w:rsidR="000E0B9A" w:rsidRPr="00257F44" w14:paraId="5865DCF9" w14:textId="77777777" w:rsidTr="00DB3322">
        <w:trPr>
          <w:gridAfter w:val="2"/>
          <w:wAfter w:w="24" w:type="dxa"/>
          <w:trHeight w:val="200"/>
        </w:trPr>
        <w:tc>
          <w:tcPr>
            <w:tcW w:w="1470" w:type="dxa"/>
            <w:vMerge/>
            <w:shd w:val="clear" w:color="auto" w:fill="000000" w:themeFill="text1"/>
          </w:tcPr>
          <w:p w14:paraId="217EE8FC" w14:textId="77777777" w:rsidR="003221C6" w:rsidRPr="00257F44" w:rsidRDefault="003221C6" w:rsidP="00FD2A72">
            <w:pPr>
              <w:pStyle w:val="Rowcolumntitles"/>
              <w:rPr>
                <w:noProof/>
                <w:color w:val="FFFFFF" w:themeColor="background1"/>
                <w:sz w:val="20"/>
                <w:lang w:val="uk-UA"/>
              </w:rPr>
            </w:pPr>
          </w:p>
        </w:tc>
        <w:tc>
          <w:tcPr>
            <w:tcW w:w="402" w:type="dxa"/>
            <w:vMerge/>
            <w:shd w:val="clear" w:color="auto" w:fill="D6E3BC" w:themeFill="accent3" w:themeFillTint="66"/>
          </w:tcPr>
          <w:p w14:paraId="1CBCD08F" w14:textId="77777777" w:rsidR="003221C6" w:rsidRPr="00257F44" w:rsidRDefault="003221C6" w:rsidP="00FD2A72">
            <w:pPr>
              <w:pStyle w:val="Rowcolumntitles"/>
              <w:rPr>
                <w:sz w:val="20"/>
                <w:lang w:val="uk-UA"/>
              </w:rPr>
            </w:pPr>
          </w:p>
        </w:tc>
        <w:tc>
          <w:tcPr>
            <w:tcW w:w="388" w:type="dxa"/>
            <w:vMerge/>
            <w:shd w:val="clear" w:color="auto" w:fill="D6E3BC" w:themeFill="accent3" w:themeFillTint="66"/>
          </w:tcPr>
          <w:p w14:paraId="1299BC98" w14:textId="77777777" w:rsidR="003221C6" w:rsidRPr="00257F44" w:rsidRDefault="003221C6" w:rsidP="00FD2A72">
            <w:pPr>
              <w:pStyle w:val="Rowcolumntitles"/>
              <w:rPr>
                <w:rFonts w:eastAsia="Times New Roman"/>
                <w:sz w:val="20"/>
                <w:lang w:val="uk-UA"/>
              </w:rPr>
            </w:pPr>
          </w:p>
        </w:tc>
        <w:tc>
          <w:tcPr>
            <w:tcW w:w="425" w:type="dxa"/>
            <w:vMerge/>
            <w:shd w:val="clear" w:color="auto" w:fill="D6E3BC" w:themeFill="accent3" w:themeFillTint="66"/>
          </w:tcPr>
          <w:p w14:paraId="2EE4C100" w14:textId="77777777" w:rsidR="003221C6" w:rsidRPr="00257F44" w:rsidRDefault="003221C6" w:rsidP="00FD2A72">
            <w:pPr>
              <w:pStyle w:val="Rowcolumntitles"/>
              <w:rPr>
                <w:sz w:val="20"/>
                <w:lang w:val="uk-UA"/>
              </w:rPr>
            </w:pPr>
          </w:p>
        </w:tc>
        <w:tc>
          <w:tcPr>
            <w:tcW w:w="395" w:type="dxa"/>
            <w:vMerge/>
            <w:shd w:val="clear" w:color="auto" w:fill="D6E3BC" w:themeFill="accent3" w:themeFillTint="66"/>
          </w:tcPr>
          <w:p w14:paraId="18CCF62B" w14:textId="77777777" w:rsidR="003221C6" w:rsidRPr="00257F44" w:rsidRDefault="003221C6" w:rsidP="00FD2A72">
            <w:pPr>
              <w:pStyle w:val="Rowcolumntitles"/>
              <w:rPr>
                <w:noProof/>
                <w:sz w:val="20"/>
                <w:lang w:val="uk-UA"/>
              </w:rPr>
            </w:pPr>
          </w:p>
        </w:tc>
        <w:tc>
          <w:tcPr>
            <w:tcW w:w="654" w:type="dxa"/>
            <w:gridSpan w:val="2"/>
            <w:vMerge/>
            <w:shd w:val="clear" w:color="auto" w:fill="FBD4B4" w:themeFill="accent6" w:themeFillTint="66"/>
          </w:tcPr>
          <w:p w14:paraId="1DEE5DAB" w14:textId="77777777" w:rsidR="003221C6" w:rsidRPr="00257F44" w:rsidRDefault="003221C6" w:rsidP="00FD2A72">
            <w:pPr>
              <w:pStyle w:val="Rowcolumntitles"/>
              <w:rPr>
                <w:rFonts w:eastAsia="Times New Roman"/>
                <w:sz w:val="20"/>
                <w:lang w:val="uk-UA"/>
              </w:rPr>
            </w:pPr>
          </w:p>
        </w:tc>
        <w:tc>
          <w:tcPr>
            <w:tcW w:w="369" w:type="dxa"/>
            <w:vMerge/>
            <w:shd w:val="clear" w:color="auto" w:fill="FBD4B4" w:themeFill="accent6" w:themeFillTint="66"/>
          </w:tcPr>
          <w:p w14:paraId="5C8C33F9" w14:textId="77777777" w:rsidR="003221C6" w:rsidRPr="00257F44" w:rsidRDefault="003221C6" w:rsidP="00FD2A72">
            <w:pPr>
              <w:pStyle w:val="Rowcolumntitles"/>
              <w:rPr>
                <w:noProof/>
                <w:sz w:val="20"/>
                <w:lang w:val="uk-UA"/>
              </w:rPr>
            </w:pPr>
          </w:p>
        </w:tc>
        <w:tc>
          <w:tcPr>
            <w:tcW w:w="404" w:type="dxa"/>
            <w:vMerge/>
            <w:shd w:val="clear" w:color="auto" w:fill="FBD4B4" w:themeFill="accent6" w:themeFillTint="66"/>
          </w:tcPr>
          <w:p w14:paraId="09B2C2E8" w14:textId="77777777" w:rsidR="003221C6" w:rsidRPr="00257F44" w:rsidRDefault="003221C6" w:rsidP="00FD2A72">
            <w:pPr>
              <w:pStyle w:val="Rowcolumntitles"/>
              <w:rPr>
                <w:noProof/>
                <w:sz w:val="20"/>
                <w:lang w:val="uk-UA"/>
              </w:rPr>
            </w:pPr>
          </w:p>
        </w:tc>
        <w:tc>
          <w:tcPr>
            <w:tcW w:w="895" w:type="dxa"/>
            <w:vMerge/>
            <w:shd w:val="clear" w:color="auto" w:fill="FBD4B4" w:themeFill="accent6" w:themeFillTint="66"/>
          </w:tcPr>
          <w:p w14:paraId="29EC03E4" w14:textId="77777777" w:rsidR="003221C6" w:rsidRPr="00257F44" w:rsidRDefault="003221C6" w:rsidP="00FD2A72">
            <w:pPr>
              <w:pStyle w:val="Rowcolumntitles"/>
              <w:rPr>
                <w:rFonts w:eastAsia="Times New Roman"/>
                <w:sz w:val="20"/>
                <w:lang w:val="uk-UA"/>
              </w:rPr>
            </w:pPr>
          </w:p>
        </w:tc>
        <w:tc>
          <w:tcPr>
            <w:tcW w:w="341" w:type="dxa"/>
            <w:gridSpan w:val="3"/>
            <w:vMerge/>
            <w:shd w:val="clear" w:color="auto" w:fill="CCC0D9" w:themeFill="accent4" w:themeFillTint="66"/>
          </w:tcPr>
          <w:p w14:paraId="5E5E11DA" w14:textId="77777777" w:rsidR="003221C6" w:rsidRPr="00257F44" w:rsidRDefault="003221C6" w:rsidP="00FD2A72">
            <w:pPr>
              <w:pStyle w:val="Rowcolumntitles"/>
              <w:rPr>
                <w:sz w:val="20"/>
                <w:lang w:val="uk-UA"/>
              </w:rPr>
            </w:pPr>
          </w:p>
        </w:tc>
        <w:tc>
          <w:tcPr>
            <w:tcW w:w="341" w:type="dxa"/>
            <w:gridSpan w:val="2"/>
            <w:vMerge/>
            <w:shd w:val="clear" w:color="auto" w:fill="CCC0D9" w:themeFill="accent4" w:themeFillTint="66"/>
          </w:tcPr>
          <w:p w14:paraId="59DFB1BC" w14:textId="77777777" w:rsidR="003221C6" w:rsidRPr="00257F44" w:rsidRDefault="003221C6" w:rsidP="00FD2A72">
            <w:pPr>
              <w:pStyle w:val="Rowcolumntitles"/>
              <w:rPr>
                <w:rFonts w:eastAsia="Times New Roman"/>
                <w:sz w:val="20"/>
                <w:lang w:val="uk-UA"/>
              </w:rPr>
            </w:pPr>
          </w:p>
        </w:tc>
        <w:tc>
          <w:tcPr>
            <w:tcW w:w="341" w:type="dxa"/>
            <w:gridSpan w:val="2"/>
            <w:vMerge/>
            <w:shd w:val="clear" w:color="auto" w:fill="CCC0D9" w:themeFill="accent4" w:themeFillTint="66"/>
          </w:tcPr>
          <w:p w14:paraId="75B25575" w14:textId="77777777" w:rsidR="003221C6" w:rsidRPr="00257F44" w:rsidRDefault="003221C6" w:rsidP="00FD2A72">
            <w:pPr>
              <w:pStyle w:val="Rowcolumntitles"/>
              <w:rPr>
                <w:noProof/>
                <w:sz w:val="20"/>
                <w:lang w:val="uk-UA"/>
              </w:rPr>
            </w:pPr>
          </w:p>
        </w:tc>
        <w:tc>
          <w:tcPr>
            <w:tcW w:w="343" w:type="dxa"/>
            <w:gridSpan w:val="3"/>
            <w:vMerge/>
            <w:shd w:val="clear" w:color="auto" w:fill="CCC0D9" w:themeFill="accent4" w:themeFillTint="66"/>
          </w:tcPr>
          <w:p w14:paraId="55855360" w14:textId="77777777" w:rsidR="003221C6" w:rsidRPr="00257F44" w:rsidRDefault="003221C6" w:rsidP="00FD2A72">
            <w:pPr>
              <w:pStyle w:val="Rowcolumntitles"/>
              <w:rPr>
                <w:sz w:val="20"/>
                <w:lang w:val="uk-UA"/>
              </w:rPr>
            </w:pPr>
          </w:p>
        </w:tc>
        <w:tc>
          <w:tcPr>
            <w:tcW w:w="485" w:type="dxa"/>
            <w:gridSpan w:val="3"/>
            <w:shd w:val="clear" w:color="auto" w:fill="B8CCE4" w:themeFill="accent1" w:themeFillTint="66"/>
          </w:tcPr>
          <w:p w14:paraId="27EA9DA2" w14:textId="77777777" w:rsidR="003221C6" w:rsidRPr="00257F44" w:rsidRDefault="003221C6" w:rsidP="00FD2A72">
            <w:pPr>
              <w:pStyle w:val="Rowcolumntitles"/>
              <w:rPr>
                <w:sz w:val="20"/>
                <w:lang w:val="uk-UA"/>
              </w:rPr>
            </w:pPr>
          </w:p>
        </w:tc>
        <w:tc>
          <w:tcPr>
            <w:tcW w:w="487" w:type="dxa"/>
            <w:gridSpan w:val="2"/>
            <w:shd w:val="clear" w:color="auto" w:fill="B8CCE4" w:themeFill="accent1" w:themeFillTint="66"/>
          </w:tcPr>
          <w:p w14:paraId="6EAE0CD7" w14:textId="77777777" w:rsidR="003221C6" w:rsidRPr="00257F44" w:rsidRDefault="003221C6" w:rsidP="00FD2A72">
            <w:pPr>
              <w:pStyle w:val="Rowcolumntitles"/>
              <w:rPr>
                <w:sz w:val="20"/>
                <w:lang w:val="uk-UA"/>
              </w:rPr>
            </w:pPr>
          </w:p>
        </w:tc>
        <w:tc>
          <w:tcPr>
            <w:tcW w:w="487" w:type="dxa"/>
            <w:gridSpan w:val="4"/>
            <w:shd w:val="clear" w:color="auto" w:fill="B8CCE4" w:themeFill="accent1" w:themeFillTint="66"/>
          </w:tcPr>
          <w:p w14:paraId="262F8EC4" w14:textId="06DA2E57" w:rsidR="003221C6" w:rsidRPr="00257F44" w:rsidRDefault="003221C6" w:rsidP="00FD2A72">
            <w:pPr>
              <w:pStyle w:val="Rowcolumntitles"/>
              <w:rPr>
                <w:sz w:val="20"/>
                <w:lang w:val="uk-UA"/>
              </w:rPr>
            </w:pPr>
            <w:r w:rsidRPr="00257F44">
              <w:rPr>
                <w:rFonts w:ascii="MS Mincho" w:eastAsia="MS Mincho" w:hAnsi="MS Mincho" w:cs="MS Mincho"/>
                <w:noProof/>
                <w:sz w:val="20"/>
                <w:lang w:val="uk-UA"/>
              </w:rPr>
              <w:t>✔</w:t>
            </w:r>
          </w:p>
        </w:tc>
        <w:tc>
          <w:tcPr>
            <w:tcW w:w="493" w:type="dxa"/>
            <w:gridSpan w:val="3"/>
            <w:shd w:val="clear" w:color="auto" w:fill="B8CCE4" w:themeFill="accent1" w:themeFillTint="66"/>
          </w:tcPr>
          <w:p w14:paraId="76DC7D09" w14:textId="7FE171DD" w:rsidR="003221C6" w:rsidRPr="00257F44" w:rsidRDefault="003221C6" w:rsidP="00FD2A72">
            <w:pPr>
              <w:pStyle w:val="Rowcolumntitles"/>
              <w:rPr>
                <w:sz w:val="20"/>
                <w:lang w:val="uk-UA"/>
              </w:rPr>
            </w:pPr>
          </w:p>
        </w:tc>
        <w:tc>
          <w:tcPr>
            <w:tcW w:w="367" w:type="dxa"/>
            <w:gridSpan w:val="3"/>
            <w:vMerge/>
            <w:shd w:val="clear" w:color="auto" w:fill="D99594" w:themeFill="accent2" w:themeFillTint="99"/>
          </w:tcPr>
          <w:p w14:paraId="03B5C972" w14:textId="77777777" w:rsidR="003221C6" w:rsidRPr="00257F44" w:rsidRDefault="003221C6" w:rsidP="00FD2A72">
            <w:pPr>
              <w:pStyle w:val="Rowcolumntitles"/>
              <w:rPr>
                <w:rFonts w:eastAsia="Times New Roman"/>
                <w:sz w:val="20"/>
                <w:lang w:val="uk-UA"/>
              </w:rPr>
            </w:pPr>
          </w:p>
        </w:tc>
        <w:tc>
          <w:tcPr>
            <w:tcW w:w="318" w:type="dxa"/>
            <w:gridSpan w:val="2"/>
            <w:vMerge/>
            <w:shd w:val="clear" w:color="auto" w:fill="D99594" w:themeFill="accent2" w:themeFillTint="99"/>
          </w:tcPr>
          <w:p w14:paraId="6FFDC199" w14:textId="77777777" w:rsidR="003221C6" w:rsidRPr="00257F44" w:rsidRDefault="003221C6" w:rsidP="00FD2A72">
            <w:pPr>
              <w:pStyle w:val="Rowcolumntitles"/>
              <w:rPr>
                <w:rFonts w:eastAsia="Times New Roman"/>
                <w:sz w:val="20"/>
                <w:lang w:val="uk-UA"/>
              </w:rPr>
            </w:pPr>
          </w:p>
        </w:tc>
        <w:tc>
          <w:tcPr>
            <w:tcW w:w="318" w:type="dxa"/>
            <w:gridSpan w:val="2"/>
            <w:vMerge/>
            <w:shd w:val="clear" w:color="auto" w:fill="D99594" w:themeFill="accent2" w:themeFillTint="99"/>
          </w:tcPr>
          <w:p w14:paraId="74F90AB5" w14:textId="77777777" w:rsidR="003221C6" w:rsidRPr="00257F44" w:rsidRDefault="003221C6" w:rsidP="00FD2A72">
            <w:pPr>
              <w:pStyle w:val="Rowcolumntitles"/>
              <w:rPr>
                <w:noProof/>
                <w:sz w:val="20"/>
                <w:lang w:val="uk-UA"/>
              </w:rPr>
            </w:pPr>
          </w:p>
        </w:tc>
        <w:tc>
          <w:tcPr>
            <w:tcW w:w="318" w:type="dxa"/>
            <w:gridSpan w:val="2"/>
            <w:vMerge/>
            <w:shd w:val="clear" w:color="auto" w:fill="D99594" w:themeFill="accent2" w:themeFillTint="99"/>
          </w:tcPr>
          <w:p w14:paraId="111CB2F9" w14:textId="77777777" w:rsidR="003221C6" w:rsidRPr="00257F44" w:rsidRDefault="003221C6" w:rsidP="00FD2A72">
            <w:pPr>
              <w:pStyle w:val="Rowcolumntitles"/>
              <w:rPr>
                <w:rFonts w:eastAsia="Times New Roman"/>
                <w:sz w:val="20"/>
                <w:lang w:val="uk-UA"/>
              </w:rPr>
            </w:pPr>
          </w:p>
        </w:tc>
        <w:tc>
          <w:tcPr>
            <w:tcW w:w="388" w:type="dxa"/>
            <w:gridSpan w:val="2"/>
            <w:vMerge/>
            <w:shd w:val="clear" w:color="auto" w:fill="D99594" w:themeFill="accent2" w:themeFillTint="99"/>
          </w:tcPr>
          <w:p w14:paraId="150ABF9E" w14:textId="77777777" w:rsidR="003221C6" w:rsidRPr="00257F44" w:rsidRDefault="003221C6" w:rsidP="00FD2A72">
            <w:pPr>
              <w:pStyle w:val="Rowcolumntitles"/>
              <w:rPr>
                <w:rFonts w:eastAsia="Times New Roman"/>
                <w:sz w:val="20"/>
                <w:lang w:val="uk-UA"/>
              </w:rPr>
            </w:pPr>
          </w:p>
        </w:tc>
      </w:tr>
      <w:tr w:rsidR="000E0B9A" w:rsidRPr="00257F44" w14:paraId="754F4824" w14:textId="77777777" w:rsidTr="00DB3322">
        <w:trPr>
          <w:gridAfter w:val="2"/>
          <w:wAfter w:w="24" w:type="dxa"/>
          <w:trHeight w:val="200"/>
        </w:trPr>
        <w:tc>
          <w:tcPr>
            <w:tcW w:w="1470" w:type="dxa"/>
            <w:vMerge w:val="restart"/>
            <w:shd w:val="clear" w:color="auto" w:fill="000000" w:themeFill="text1"/>
          </w:tcPr>
          <w:p w14:paraId="16E95D77" w14:textId="60567CF8" w:rsidR="003221C6" w:rsidRPr="00257F44" w:rsidRDefault="003221C6" w:rsidP="00FD2A72">
            <w:pPr>
              <w:pStyle w:val="Rowcolumntitles"/>
              <w:rPr>
                <w:noProof/>
                <w:color w:val="FFFFFF" w:themeColor="background1"/>
                <w:sz w:val="20"/>
                <w:lang w:val="uk-UA"/>
              </w:rPr>
            </w:pPr>
            <w:r w:rsidRPr="00257F44">
              <w:rPr>
                <w:noProof/>
                <w:color w:val="FFFFFF" w:themeColor="background1"/>
                <w:sz w:val="20"/>
                <w:lang w:val="uk-UA"/>
              </w:rPr>
              <w:t xml:space="preserve">2. </w:t>
            </w:r>
            <w:r w:rsidR="00E2632B" w:rsidRPr="00257F44">
              <w:rPr>
                <w:noProof/>
                <w:color w:val="FFFFFF" w:themeColor="background1"/>
                <w:sz w:val="20"/>
                <w:lang w:val="uk-UA"/>
              </w:rPr>
              <w:t>Фінан-сування благодійних організацій</w:t>
            </w:r>
          </w:p>
        </w:tc>
        <w:tc>
          <w:tcPr>
            <w:tcW w:w="402" w:type="dxa"/>
            <w:vMerge w:val="restart"/>
            <w:shd w:val="clear" w:color="auto" w:fill="D6E3BC" w:themeFill="accent3" w:themeFillTint="66"/>
          </w:tcPr>
          <w:p w14:paraId="11B35AC7" w14:textId="77777777" w:rsidR="003221C6" w:rsidRPr="00257F44" w:rsidRDefault="003221C6" w:rsidP="00FD2A72">
            <w:pPr>
              <w:pStyle w:val="Rowcolumntitles"/>
              <w:rPr>
                <w:sz w:val="20"/>
                <w:lang w:val="uk-UA"/>
              </w:rPr>
            </w:pPr>
          </w:p>
        </w:tc>
        <w:tc>
          <w:tcPr>
            <w:tcW w:w="388" w:type="dxa"/>
            <w:vMerge w:val="restart"/>
            <w:shd w:val="clear" w:color="auto" w:fill="D6E3BC" w:themeFill="accent3" w:themeFillTint="66"/>
          </w:tcPr>
          <w:p w14:paraId="28AE2EC7" w14:textId="77777777" w:rsidR="003221C6" w:rsidRPr="00257F44" w:rsidRDefault="003221C6" w:rsidP="00FD2A72">
            <w:pPr>
              <w:pStyle w:val="Rowcolumntitles"/>
              <w:rPr>
                <w:rFonts w:eastAsia="Times New Roman"/>
                <w:sz w:val="20"/>
                <w:lang w:val="uk-UA"/>
              </w:rPr>
            </w:pPr>
          </w:p>
        </w:tc>
        <w:tc>
          <w:tcPr>
            <w:tcW w:w="425" w:type="dxa"/>
            <w:vMerge w:val="restart"/>
            <w:shd w:val="clear" w:color="auto" w:fill="D6E3BC" w:themeFill="accent3" w:themeFillTint="66"/>
          </w:tcPr>
          <w:p w14:paraId="3D4561C2" w14:textId="77777777" w:rsidR="003221C6" w:rsidRPr="00257F44" w:rsidRDefault="003221C6" w:rsidP="00FD2A72">
            <w:pPr>
              <w:pStyle w:val="Rowcolumntitles"/>
              <w:rPr>
                <w:sz w:val="20"/>
                <w:lang w:val="uk-UA"/>
              </w:rPr>
            </w:pPr>
          </w:p>
        </w:tc>
        <w:tc>
          <w:tcPr>
            <w:tcW w:w="395" w:type="dxa"/>
            <w:vMerge w:val="restart"/>
            <w:shd w:val="clear" w:color="auto" w:fill="D6E3BC" w:themeFill="accent3" w:themeFillTint="66"/>
          </w:tcPr>
          <w:p w14:paraId="29C424AC" w14:textId="70F9DA0B" w:rsidR="003221C6" w:rsidRPr="00257F44" w:rsidRDefault="003221C6" w:rsidP="00FD2A72">
            <w:pPr>
              <w:pStyle w:val="Rowcolumntitles"/>
              <w:rPr>
                <w:sz w:val="20"/>
                <w:lang w:val="uk-UA"/>
              </w:rPr>
            </w:pPr>
            <w:r w:rsidRPr="00257F44">
              <w:rPr>
                <w:rFonts w:ascii="MS Mincho" w:eastAsia="MS Mincho" w:hAnsi="MS Mincho" w:cs="MS Mincho"/>
                <w:noProof/>
                <w:sz w:val="20"/>
                <w:lang w:val="uk-UA"/>
              </w:rPr>
              <w:t>✔</w:t>
            </w:r>
          </w:p>
        </w:tc>
        <w:tc>
          <w:tcPr>
            <w:tcW w:w="654" w:type="dxa"/>
            <w:gridSpan w:val="2"/>
            <w:vMerge w:val="restart"/>
            <w:shd w:val="clear" w:color="auto" w:fill="FBD4B4" w:themeFill="accent6" w:themeFillTint="66"/>
          </w:tcPr>
          <w:p w14:paraId="26BB2541" w14:textId="72BD82B2" w:rsidR="003221C6" w:rsidRPr="00257F44" w:rsidRDefault="003221C6" w:rsidP="00FD2A72">
            <w:pPr>
              <w:pStyle w:val="Rowcolumntitles"/>
              <w:rPr>
                <w:rFonts w:eastAsia="Times New Roman"/>
                <w:sz w:val="20"/>
                <w:lang w:val="uk-UA"/>
              </w:rPr>
            </w:pPr>
          </w:p>
        </w:tc>
        <w:tc>
          <w:tcPr>
            <w:tcW w:w="369" w:type="dxa"/>
            <w:vMerge w:val="restart"/>
            <w:shd w:val="clear" w:color="auto" w:fill="FBD4B4" w:themeFill="accent6" w:themeFillTint="66"/>
          </w:tcPr>
          <w:p w14:paraId="7490E59C" w14:textId="6B6B36CF"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04" w:type="dxa"/>
            <w:vMerge w:val="restart"/>
            <w:shd w:val="clear" w:color="auto" w:fill="FBD4B4" w:themeFill="accent6" w:themeFillTint="66"/>
          </w:tcPr>
          <w:p w14:paraId="75C577F2" w14:textId="6B4BD9D4" w:rsidR="003221C6" w:rsidRPr="00257F44" w:rsidRDefault="003221C6" w:rsidP="00FD2A72">
            <w:pPr>
              <w:pStyle w:val="Rowcolumntitles"/>
              <w:rPr>
                <w:sz w:val="20"/>
                <w:lang w:val="uk-UA"/>
              </w:rPr>
            </w:pPr>
          </w:p>
        </w:tc>
        <w:tc>
          <w:tcPr>
            <w:tcW w:w="895" w:type="dxa"/>
            <w:vMerge w:val="restart"/>
            <w:shd w:val="clear" w:color="auto" w:fill="FBD4B4" w:themeFill="accent6" w:themeFillTint="66"/>
          </w:tcPr>
          <w:p w14:paraId="33977CDF" w14:textId="77777777" w:rsidR="003221C6" w:rsidRPr="00257F44" w:rsidRDefault="003221C6" w:rsidP="00FD2A72">
            <w:pPr>
              <w:pStyle w:val="Rowcolumntitles"/>
              <w:rPr>
                <w:rFonts w:eastAsia="Times New Roman"/>
                <w:sz w:val="20"/>
                <w:lang w:val="uk-UA"/>
              </w:rPr>
            </w:pPr>
          </w:p>
        </w:tc>
        <w:tc>
          <w:tcPr>
            <w:tcW w:w="341" w:type="dxa"/>
            <w:gridSpan w:val="3"/>
            <w:vMerge w:val="restart"/>
            <w:shd w:val="clear" w:color="auto" w:fill="CCC0D9" w:themeFill="accent4" w:themeFillTint="66"/>
          </w:tcPr>
          <w:p w14:paraId="559E3786" w14:textId="77777777" w:rsidR="003221C6" w:rsidRPr="00257F44" w:rsidRDefault="003221C6" w:rsidP="00FD2A72">
            <w:pPr>
              <w:pStyle w:val="Rowcolumntitles"/>
              <w:rPr>
                <w:sz w:val="20"/>
                <w:lang w:val="uk-UA"/>
              </w:rPr>
            </w:pPr>
          </w:p>
        </w:tc>
        <w:tc>
          <w:tcPr>
            <w:tcW w:w="341" w:type="dxa"/>
            <w:gridSpan w:val="2"/>
            <w:vMerge w:val="restart"/>
            <w:shd w:val="clear" w:color="auto" w:fill="CCC0D9" w:themeFill="accent4" w:themeFillTint="66"/>
          </w:tcPr>
          <w:p w14:paraId="31C4F895" w14:textId="57F07AE6" w:rsidR="003221C6" w:rsidRPr="00257F44" w:rsidRDefault="003221C6" w:rsidP="00FD2A72">
            <w:pPr>
              <w:pStyle w:val="Rowcolumntitles"/>
              <w:rPr>
                <w:rFonts w:eastAsia="Times New Roman"/>
                <w:sz w:val="20"/>
                <w:lang w:val="uk-UA"/>
              </w:rPr>
            </w:pPr>
          </w:p>
        </w:tc>
        <w:tc>
          <w:tcPr>
            <w:tcW w:w="341" w:type="dxa"/>
            <w:gridSpan w:val="2"/>
            <w:vMerge w:val="restart"/>
            <w:shd w:val="clear" w:color="auto" w:fill="CCC0D9" w:themeFill="accent4" w:themeFillTint="66"/>
          </w:tcPr>
          <w:p w14:paraId="6C812AFE" w14:textId="51441F2F" w:rsidR="003221C6" w:rsidRPr="00257F44" w:rsidRDefault="003221C6" w:rsidP="00FD2A72">
            <w:pPr>
              <w:pStyle w:val="Rowcolumntitles"/>
              <w:rPr>
                <w:sz w:val="20"/>
                <w:lang w:val="uk-UA"/>
              </w:rPr>
            </w:pPr>
            <w:r w:rsidRPr="00257F44">
              <w:rPr>
                <w:rFonts w:ascii="MS Mincho" w:eastAsia="MS Mincho" w:hAnsi="MS Mincho" w:cs="MS Mincho"/>
                <w:noProof/>
                <w:sz w:val="20"/>
                <w:lang w:val="uk-UA"/>
              </w:rPr>
              <w:t>✔</w:t>
            </w:r>
          </w:p>
        </w:tc>
        <w:tc>
          <w:tcPr>
            <w:tcW w:w="343" w:type="dxa"/>
            <w:gridSpan w:val="3"/>
            <w:vMerge w:val="restart"/>
            <w:shd w:val="clear" w:color="auto" w:fill="CCC0D9" w:themeFill="accent4" w:themeFillTint="66"/>
          </w:tcPr>
          <w:p w14:paraId="325B3B53" w14:textId="77777777" w:rsidR="003221C6" w:rsidRPr="00257F44" w:rsidRDefault="003221C6" w:rsidP="00FD2A72">
            <w:pPr>
              <w:pStyle w:val="Rowcolumntitles"/>
              <w:rPr>
                <w:rFonts w:eastAsia="Times New Roman"/>
                <w:sz w:val="20"/>
                <w:lang w:val="uk-UA"/>
              </w:rPr>
            </w:pPr>
          </w:p>
        </w:tc>
        <w:tc>
          <w:tcPr>
            <w:tcW w:w="485" w:type="dxa"/>
            <w:gridSpan w:val="3"/>
            <w:shd w:val="clear" w:color="auto" w:fill="B8CCE4" w:themeFill="accent1" w:themeFillTint="66"/>
          </w:tcPr>
          <w:p w14:paraId="0FCD9E04" w14:textId="14FFBB10"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87" w:type="dxa"/>
            <w:gridSpan w:val="2"/>
            <w:shd w:val="clear" w:color="auto" w:fill="B8CCE4" w:themeFill="accent1" w:themeFillTint="66"/>
          </w:tcPr>
          <w:p w14:paraId="0A99A1BE" w14:textId="31B801C6" w:rsidR="003221C6" w:rsidRPr="00257F44" w:rsidRDefault="003221C6" w:rsidP="00FD2A72">
            <w:pPr>
              <w:pStyle w:val="Rowcolumntitles"/>
              <w:rPr>
                <w:rFonts w:eastAsia="Times New Roman"/>
                <w:sz w:val="20"/>
                <w:lang w:val="uk-UA"/>
              </w:rPr>
            </w:pPr>
          </w:p>
        </w:tc>
        <w:tc>
          <w:tcPr>
            <w:tcW w:w="487" w:type="dxa"/>
            <w:gridSpan w:val="4"/>
            <w:shd w:val="clear" w:color="auto" w:fill="B8CCE4" w:themeFill="accent1" w:themeFillTint="66"/>
          </w:tcPr>
          <w:p w14:paraId="42DEBD22" w14:textId="77777777" w:rsidR="003221C6" w:rsidRPr="00257F44" w:rsidRDefault="003221C6" w:rsidP="00FD2A72">
            <w:pPr>
              <w:pStyle w:val="Rowcolumntitles"/>
              <w:rPr>
                <w:rFonts w:eastAsia="Times New Roman"/>
                <w:sz w:val="20"/>
                <w:lang w:val="uk-UA"/>
              </w:rPr>
            </w:pPr>
          </w:p>
        </w:tc>
        <w:tc>
          <w:tcPr>
            <w:tcW w:w="493" w:type="dxa"/>
            <w:gridSpan w:val="3"/>
            <w:shd w:val="clear" w:color="auto" w:fill="B8CCE4" w:themeFill="accent1" w:themeFillTint="66"/>
          </w:tcPr>
          <w:p w14:paraId="7DCC256C" w14:textId="033B0774" w:rsidR="003221C6" w:rsidRPr="00257F44" w:rsidRDefault="003221C6" w:rsidP="00FD2A72">
            <w:pPr>
              <w:pStyle w:val="Rowcolumntitles"/>
              <w:rPr>
                <w:rFonts w:eastAsia="Times New Roman"/>
                <w:sz w:val="20"/>
                <w:lang w:val="uk-UA"/>
              </w:rPr>
            </w:pPr>
          </w:p>
        </w:tc>
        <w:tc>
          <w:tcPr>
            <w:tcW w:w="367" w:type="dxa"/>
            <w:gridSpan w:val="3"/>
            <w:vMerge w:val="restart"/>
            <w:shd w:val="clear" w:color="auto" w:fill="D99594" w:themeFill="accent2" w:themeFillTint="99"/>
          </w:tcPr>
          <w:p w14:paraId="1BC4A862" w14:textId="77777777" w:rsidR="003221C6" w:rsidRPr="00257F44" w:rsidRDefault="003221C6"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627C6CB9" w14:textId="04C4F423"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18" w:type="dxa"/>
            <w:gridSpan w:val="2"/>
            <w:vMerge w:val="restart"/>
            <w:shd w:val="clear" w:color="auto" w:fill="D99594" w:themeFill="accent2" w:themeFillTint="99"/>
          </w:tcPr>
          <w:p w14:paraId="5A63ED17" w14:textId="77777777" w:rsidR="003221C6" w:rsidRPr="00257F44" w:rsidRDefault="003221C6"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468B7D2C" w14:textId="77777777" w:rsidR="003221C6" w:rsidRPr="00257F44" w:rsidRDefault="003221C6"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704DD773" w14:textId="77777777" w:rsidR="003221C6" w:rsidRPr="00257F44" w:rsidRDefault="003221C6" w:rsidP="00FD2A72">
            <w:pPr>
              <w:pStyle w:val="Rowcolumntitles"/>
              <w:rPr>
                <w:rFonts w:eastAsia="Times New Roman"/>
                <w:sz w:val="20"/>
                <w:lang w:val="uk-UA"/>
              </w:rPr>
            </w:pPr>
          </w:p>
        </w:tc>
      </w:tr>
      <w:tr w:rsidR="000E0B9A" w:rsidRPr="00257F44" w14:paraId="669FDAC9" w14:textId="77777777" w:rsidTr="00DB3322">
        <w:trPr>
          <w:gridAfter w:val="2"/>
          <w:wAfter w:w="24" w:type="dxa"/>
          <w:trHeight w:val="200"/>
        </w:trPr>
        <w:tc>
          <w:tcPr>
            <w:tcW w:w="1470" w:type="dxa"/>
            <w:vMerge/>
            <w:shd w:val="clear" w:color="auto" w:fill="000000" w:themeFill="text1"/>
          </w:tcPr>
          <w:p w14:paraId="3D2F6BAC" w14:textId="77777777" w:rsidR="003221C6" w:rsidRPr="00257F44" w:rsidRDefault="003221C6" w:rsidP="00FD2A72">
            <w:pPr>
              <w:pStyle w:val="Rowcolumntitles"/>
              <w:rPr>
                <w:noProof/>
                <w:color w:val="FFFFFF" w:themeColor="background1"/>
                <w:sz w:val="20"/>
                <w:lang w:val="uk-UA"/>
              </w:rPr>
            </w:pPr>
          </w:p>
        </w:tc>
        <w:tc>
          <w:tcPr>
            <w:tcW w:w="402" w:type="dxa"/>
            <w:vMerge/>
            <w:shd w:val="clear" w:color="auto" w:fill="D6E3BC" w:themeFill="accent3" w:themeFillTint="66"/>
          </w:tcPr>
          <w:p w14:paraId="5F4279ED" w14:textId="77777777" w:rsidR="003221C6" w:rsidRPr="00257F44" w:rsidRDefault="003221C6" w:rsidP="00FD2A72">
            <w:pPr>
              <w:pStyle w:val="Rowcolumntitles"/>
              <w:rPr>
                <w:sz w:val="20"/>
                <w:lang w:val="uk-UA"/>
              </w:rPr>
            </w:pPr>
          </w:p>
        </w:tc>
        <w:tc>
          <w:tcPr>
            <w:tcW w:w="388" w:type="dxa"/>
            <w:vMerge/>
            <w:shd w:val="clear" w:color="auto" w:fill="D6E3BC" w:themeFill="accent3" w:themeFillTint="66"/>
          </w:tcPr>
          <w:p w14:paraId="144C6E23" w14:textId="77777777" w:rsidR="003221C6" w:rsidRPr="00257F44" w:rsidRDefault="003221C6" w:rsidP="00FD2A72">
            <w:pPr>
              <w:pStyle w:val="Rowcolumntitles"/>
              <w:rPr>
                <w:rFonts w:eastAsia="Times New Roman"/>
                <w:sz w:val="20"/>
                <w:lang w:val="uk-UA"/>
              </w:rPr>
            </w:pPr>
          </w:p>
        </w:tc>
        <w:tc>
          <w:tcPr>
            <w:tcW w:w="425" w:type="dxa"/>
            <w:vMerge/>
            <w:shd w:val="clear" w:color="auto" w:fill="D6E3BC" w:themeFill="accent3" w:themeFillTint="66"/>
          </w:tcPr>
          <w:p w14:paraId="532A03EA" w14:textId="77777777" w:rsidR="003221C6" w:rsidRPr="00257F44" w:rsidRDefault="003221C6" w:rsidP="00FD2A72">
            <w:pPr>
              <w:pStyle w:val="Rowcolumntitles"/>
              <w:rPr>
                <w:sz w:val="20"/>
                <w:lang w:val="uk-UA"/>
              </w:rPr>
            </w:pPr>
          </w:p>
        </w:tc>
        <w:tc>
          <w:tcPr>
            <w:tcW w:w="395" w:type="dxa"/>
            <w:vMerge/>
            <w:shd w:val="clear" w:color="auto" w:fill="D6E3BC" w:themeFill="accent3" w:themeFillTint="66"/>
          </w:tcPr>
          <w:p w14:paraId="0DE501A0" w14:textId="77777777" w:rsidR="003221C6" w:rsidRPr="00257F44" w:rsidRDefault="003221C6" w:rsidP="00FD2A72">
            <w:pPr>
              <w:pStyle w:val="Rowcolumntitles"/>
              <w:rPr>
                <w:noProof/>
                <w:sz w:val="20"/>
                <w:lang w:val="uk-UA"/>
              </w:rPr>
            </w:pPr>
          </w:p>
        </w:tc>
        <w:tc>
          <w:tcPr>
            <w:tcW w:w="654" w:type="dxa"/>
            <w:gridSpan w:val="2"/>
            <w:vMerge/>
            <w:shd w:val="clear" w:color="auto" w:fill="FBD4B4" w:themeFill="accent6" w:themeFillTint="66"/>
          </w:tcPr>
          <w:p w14:paraId="2413F795" w14:textId="77777777" w:rsidR="003221C6" w:rsidRPr="00257F44" w:rsidRDefault="003221C6" w:rsidP="00FD2A72">
            <w:pPr>
              <w:pStyle w:val="Rowcolumntitles"/>
              <w:rPr>
                <w:rFonts w:eastAsia="Times New Roman"/>
                <w:sz w:val="20"/>
                <w:lang w:val="uk-UA"/>
              </w:rPr>
            </w:pPr>
          </w:p>
        </w:tc>
        <w:tc>
          <w:tcPr>
            <w:tcW w:w="369" w:type="dxa"/>
            <w:vMerge/>
            <w:shd w:val="clear" w:color="auto" w:fill="FBD4B4" w:themeFill="accent6" w:themeFillTint="66"/>
          </w:tcPr>
          <w:p w14:paraId="2D0DDC3B" w14:textId="77777777" w:rsidR="003221C6" w:rsidRPr="00257F44" w:rsidRDefault="003221C6" w:rsidP="00FD2A72">
            <w:pPr>
              <w:pStyle w:val="Rowcolumntitles"/>
              <w:rPr>
                <w:noProof/>
                <w:sz w:val="20"/>
                <w:lang w:val="uk-UA"/>
              </w:rPr>
            </w:pPr>
          </w:p>
        </w:tc>
        <w:tc>
          <w:tcPr>
            <w:tcW w:w="404" w:type="dxa"/>
            <w:vMerge/>
            <w:shd w:val="clear" w:color="auto" w:fill="FBD4B4" w:themeFill="accent6" w:themeFillTint="66"/>
          </w:tcPr>
          <w:p w14:paraId="07C699C1" w14:textId="77777777" w:rsidR="003221C6" w:rsidRPr="00257F44" w:rsidRDefault="003221C6" w:rsidP="00FD2A72">
            <w:pPr>
              <w:pStyle w:val="Rowcolumntitles"/>
              <w:rPr>
                <w:sz w:val="20"/>
                <w:lang w:val="uk-UA"/>
              </w:rPr>
            </w:pPr>
          </w:p>
        </w:tc>
        <w:tc>
          <w:tcPr>
            <w:tcW w:w="895" w:type="dxa"/>
            <w:vMerge/>
            <w:shd w:val="clear" w:color="auto" w:fill="FBD4B4" w:themeFill="accent6" w:themeFillTint="66"/>
          </w:tcPr>
          <w:p w14:paraId="69053E2D" w14:textId="77777777" w:rsidR="003221C6" w:rsidRPr="00257F44" w:rsidRDefault="003221C6" w:rsidP="00FD2A72">
            <w:pPr>
              <w:pStyle w:val="Rowcolumntitles"/>
              <w:rPr>
                <w:rFonts w:eastAsia="Times New Roman"/>
                <w:sz w:val="20"/>
                <w:lang w:val="uk-UA"/>
              </w:rPr>
            </w:pPr>
          </w:p>
        </w:tc>
        <w:tc>
          <w:tcPr>
            <w:tcW w:w="341" w:type="dxa"/>
            <w:gridSpan w:val="3"/>
            <w:vMerge/>
            <w:shd w:val="clear" w:color="auto" w:fill="CCC0D9" w:themeFill="accent4" w:themeFillTint="66"/>
          </w:tcPr>
          <w:p w14:paraId="092F45FA" w14:textId="77777777" w:rsidR="003221C6" w:rsidRPr="00257F44" w:rsidRDefault="003221C6" w:rsidP="00FD2A72">
            <w:pPr>
              <w:pStyle w:val="Rowcolumntitles"/>
              <w:rPr>
                <w:sz w:val="20"/>
                <w:lang w:val="uk-UA"/>
              </w:rPr>
            </w:pPr>
          </w:p>
        </w:tc>
        <w:tc>
          <w:tcPr>
            <w:tcW w:w="341" w:type="dxa"/>
            <w:gridSpan w:val="2"/>
            <w:vMerge/>
            <w:shd w:val="clear" w:color="auto" w:fill="CCC0D9" w:themeFill="accent4" w:themeFillTint="66"/>
          </w:tcPr>
          <w:p w14:paraId="759C446F" w14:textId="77777777" w:rsidR="003221C6" w:rsidRPr="00257F44" w:rsidRDefault="003221C6" w:rsidP="00FD2A72">
            <w:pPr>
              <w:pStyle w:val="Rowcolumntitles"/>
              <w:rPr>
                <w:rFonts w:eastAsia="Times New Roman"/>
                <w:sz w:val="20"/>
                <w:lang w:val="uk-UA"/>
              </w:rPr>
            </w:pPr>
          </w:p>
        </w:tc>
        <w:tc>
          <w:tcPr>
            <w:tcW w:w="341" w:type="dxa"/>
            <w:gridSpan w:val="2"/>
            <w:vMerge/>
            <w:shd w:val="clear" w:color="auto" w:fill="CCC0D9" w:themeFill="accent4" w:themeFillTint="66"/>
          </w:tcPr>
          <w:p w14:paraId="06FA5482" w14:textId="77777777" w:rsidR="003221C6" w:rsidRPr="00257F44" w:rsidRDefault="003221C6" w:rsidP="00FD2A72">
            <w:pPr>
              <w:pStyle w:val="Rowcolumntitles"/>
              <w:rPr>
                <w:noProof/>
                <w:sz w:val="20"/>
                <w:lang w:val="uk-UA"/>
              </w:rPr>
            </w:pPr>
          </w:p>
        </w:tc>
        <w:tc>
          <w:tcPr>
            <w:tcW w:w="343" w:type="dxa"/>
            <w:gridSpan w:val="3"/>
            <w:vMerge/>
            <w:shd w:val="clear" w:color="auto" w:fill="CCC0D9" w:themeFill="accent4" w:themeFillTint="66"/>
          </w:tcPr>
          <w:p w14:paraId="4C88AE35" w14:textId="77777777" w:rsidR="003221C6" w:rsidRPr="00257F44" w:rsidRDefault="003221C6" w:rsidP="00FD2A72">
            <w:pPr>
              <w:pStyle w:val="Rowcolumntitles"/>
              <w:rPr>
                <w:rFonts w:eastAsia="Times New Roman"/>
                <w:sz w:val="20"/>
                <w:lang w:val="uk-UA"/>
              </w:rPr>
            </w:pPr>
          </w:p>
        </w:tc>
        <w:tc>
          <w:tcPr>
            <w:tcW w:w="485" w:type="dxa"/>
            <w:gridSpan w:val="3"/>
            <w:shd w:val="clear" w:color="auto" w:fill="B8CCE4" w:themeFill="accent1" w:themeFillTint="66"/>
          </w:tcPr>
          <w:p w14:paraId="3E0B744C" w14:textId="7B28D2CE" w:rsidR="003221C6" w:rsidRPr="00257F44" w:rsidRDefault="003221C6" w:rsidP="00FD2A72">
            <w:pPr>
              <w:pStyle w:val="Rowcolumntitles"/>
              <w:rPr>
                <w:sz w:val="20"/>
                <w:lang w:val="uk-UA"/>
              </w:rPr>
            </w:pPr>
            <w:r w:rsidRPr="00257F44">
              <w:rPr>
                <w:rFonts w:ascii="MS Mincho" w:eastAsia="MS Mincho" w:hAnsi="MS Mincho" w:cs="MS Mincho"/>
                <w:noProof/>
                <w:sz w:val="20"/>
                <w:lang w:val="uk-UA"/>
              </w:rPr>
              <w:t>✔</w:t>
            </w:r>
          </w:p>
        </w:tc>
        <w:tc>
          <w:tcPr>
            <w:tcW w:w="487" w:type="dxa"/>
            <w:gridSpan w:val="2"/>
            <w:shd w:val="clear" w:color="auto" w:fill="B8CCE4" w:themeFill="accent1" w:themeFillTint="66"/>
          </w:tcPr>
          <w:p w14:paraId="587963FF" w14:textId="77777777" w:rsidR="003221C6" w:rsidRPr="00257F44" w:rsidRDefault="003221C6" w:rsidP="00FD2A72">
            <w:pPr>
              <w:pStyle w:val="Rowcolumntitles"/>
              <w:rPr>
                <w:sz w:val="20"/>
                <w:lang w:val="uk-UA"/>
              </w:rPr>
            </w:pPr>
          </w:p>
        </w:tc>
        <w:tc>
          <w:tcPr>
            <w:tcW w:w="487" w:type="dxa"/>
            <w:gridSpan w:val="4"/>
            <w:shd w:val="clear" w:color="auto" w:fill="B8CCE4" w:themeFill="accent1" w:themeFillTint="66"/>
          </w:tcPr>
          <w:p w14:paraId="43FE060D" w14:textId="77777777" w:rsidR="003221C6" w:rsidRPr="00257F44" w:rsidRDefault="003221C6" w:rsidP="00FD2A72">
            <w:pPr>
              <w:pStyle w:val="Rowcolumntitles"/>
              <w:rPr>
                <w:sz w:val="20"/>
                <w:lang w:val="uk-UA"/>
              </w:rPr>
            </w:pPr>
          </w:p>
        </w:tc>
        <w:tc>
          <w:tcPr>
            <w:tcW w:w="493" w:type="dxa"/>
            <w:gridSpan w:val="3"/>
            <w:shd w:val="clear" w:color="auto" w:fill="B8CCE4" w:themeFill="accent1" w:themeFillTint="66"/>
          </w:tcPr>
          <w:p w14:paraId="328FFCD3" w14:textId="7A197787" w:rsidR="003221C6" w:rsidRPr="00257F44" w:rsidRDefault="003221C6" w:rsidP="00FD2A72">
            <w:pPr>
              <w:pStyle w:val="Rowcolumntitles"/>
              <w:rPr>
                <w:sz w:val="20"/>
                <w:lang w:val="uk-UA"/>
              </w:rPr>
            </w:pPr>
          </w:p>
        </w:tc>
        <w:tc>
          <w:tcPr>
            <w:tcW w:w="367" w:type="dxa"/>
            <w:gridSpan w:val="3"/>
            <w:vMerge/>
            <w:shd w:val="clear" w:color="auto" w:fill="D99594" w:themeFill="accent2" w:themeFillTint="99"/>
          </w:tcPr>
          <w:p w14:paraId="58E2EEC3" w14:textId="77777777" w:rsidR="003221C6" w:rsidRPr="00257F44" w:rsidRDefault="003221C6" w:rsidP="00FD2A72">
            <w:pPr>
              <w:pStyle w:val="Rowcolumntitles"/>
              <w:rPr>
                <w:rFonts w:eastAsia="Times New Roman"/>
                <w:sz w:val="20"/>
                <w:lang w:val="uk-UA"/>
              </w:rPr>
            </w:pPr>
          </w:p>
        </w:tc>
        <w:tc>
          <w:tcPr>
            <w:tcW w:w="318" w:type="dxa"/>
            <w:gridSpan w:val="2"/>
            <w:vMerge/>
            <w:shd w:val="clear" w:color="auto" w:fill="D99594" w:themeFill="accent2" w:themeFillTint="99"/>
          </w:tcPr>
          <w:p w14:paraId="14EE8CF4" w14:textId="77777777" w:rsidR="003221C6" w:rsidRPr="00257F44" w:rsidRDefault="003221C6" w:rsidP="00FD2A72">
            <w:pPr>
              <w:pStyle w:val="Rowcolumntitles"/>
              <w:rPr>
                <w:noProof/>
                <w:sz w:val="20"/>
                <w:lang w:val="uk-UA"/>
              </w:rPr>
            </w:pPr>
          </w:p>
        </w:tc>
        <w:tc>
          <w:tcPr>
            <w:tcW w:w="318" w:type="dxa"/>
            <w:gridSpan w:val="2"/>
            <w:vMerge/>
            <w:shd w:val="clear" w:color="auto" w:fill="D99594" w:themeFill="accent2" w:themeFillTint="99"/>
          </w:tcPr>
          <w:p w14:paraId="1EA22583" w14:textId="77777777" w:rsidR="003221C6" w:rsidRPr="00257F44" w:rsidRDefault="003221C6" w:rsidP="00FD2A72">
            <w:pPr>
              <w:pStyle w:val="Rowcolumntitles"/>
              <w:rPr>
                <w:rFonts w:eastAsia="Times New Roman"/>
                <w:sz w:val="20"/>
                <w:lang w:val="uk-UA"/>
              </w:rPr>
            </w:pPr>
          </w:p>
        </w:tc>
        <w:tc>
          <w:tcPr>
            <w:tcW w:w="318" w:type="dxa"/>
            <w:gridSpan w:val="2"/>
            <w:vMerge/>
            <w:shd w:val="clear" w:color="auto" w:fill="D99594" w:themeFill="accent2" w:themeFillTint="99"/>
          </w:tcPr>
          <w:p w14:paraId="4D85E742" w14:textId="77777777" w:rsidR="003221C6" w:rsidRPr="00257F44" w:rsidRDefault="003221C6" w:rsidP="00FD2A72">
            <w:pPr>
              <w:pStyle w:val="Rowcolumntitles"/>
              <w:rPr>
                <w:rFonts w:eastAsia="Times New Roman"/>
                <w:sz w:val="20"/>
                <w:lang w:val="uk-UA"/>
              </w:rPr>
            </w:pPr>
          </w:p>
        </w:tc>
        <w:tc>
          <w:tcPr>
            <w:tcW w:w="388" w:type="dxa"/>
            <w:gridSpan w:val="2"/>
            <w:vMerge/>
            <w:shd w:val="clear" w:color="auto" w:fill="D99594" w:themeFill="accent2" w:themeFillTint="99"/>
          </w:tcPr>
          <w:p w14:paraId="2505B28F" w14:textId="77777777" w:rsidR="003221C6" w:rsidRPr="00257F44" w:rsidRDefault="003221C6" w:rsidP="00FD2A72">
            <w:pPr>
              <w:pStyle w:val="Rowcolumntitles"/>
              <w:rPr>
                <w:rFonts w:eastAsia="Times New Roman"/>
                <w:sz w:val="20"/>
                <w:lang w:val="uk-UA"/>
              </w:rPr>
            </w:pPr>
          </w:p>
        </w:tc>
      </w:tr>
      <w:tr w:rsidR="000E0B9A" w:rsidRPr="00257F44" w14:paraId="365F3F31" w14:textId="77777777" w:rsidTr="00DB3322">
        <w:trPr>
          <w:gridAfter w:val="2"/>
          <w:wAfter w:w="24" w:type="dxa"/>
          <w:trHeight w:val="235"/>
        </w:trPr>
        <w:tc>
          <w:tcPr>
            <w:tcW w:w="1470" w:type="dxa"/>
            <w:vMerge w:val="restart"/>
            <w:shd w:val="clear" w:color="auto" w:fill="000000" w:themeFill="text1"/>
          </w:tcPr>
          <w:p w14:paraId="5079EA15" w14:textId="58F7B85E" w:rsidR="003221C6" w:rsidRPr="00257F44" w:rsidRDefault="003221C6" w:rsidP="00FD2A72">
            <w:pPr>
              <w:pStyle w:val="Rowcolumntitles"/>
              <w:rPr>
                <w:noProof/>
                <w:color w:val="FFFFFF" w:themeColor="background1"/>
                <w:sz w:val="20"/>
                <w:lang w:val="uk-UA"/>
              </w:rPr>
            </w:pPr>
            <w:r w:rsidRPr="00257F44">
              <w:rPr>
                <w:noProof/>
                <w:color w:val="FFFFFF" w:themeColor="background1"/>
                <w:sz w:val="20"/>
                <w:lang w:val="uk-UA"/>
              </w:rPr>
              <w:t xml:space="preserve">3. </w:t>
            </w:r>
            <w:r w:rsidR="00E2632B" w:rsidRPr="00257F44">
              <w:rPr>
                <w:noProof/>
                <w:color w:val="FFFFFF" w:themeColor="background1"/>
                <w:sz w:val="20"/>
                <w:lang w:val="uk-UA"/>
              </w:rPr>
              <w:t>Статус неприбут</w:t>
            </w:r>
            <w:r w:rsidR="00D77C43" w:rsidRPr="00257F44">
              <w:rPr>
                <w:noProof/>
                <w:color w:val="FFFFFF" w:themeColor="background1"/>
                <w:sz w:val="20"/>
                <w:lang w:val="uk-UA"/>
              </w:rPr>
              <w:t>-</w:t>
            </w:r>
            <w:r w:rsidR="00E2632B" w:rsidRPr="00257F44">
              <w:rPr>
                <w:noProof/>
                <w:color w:val="FFFFFF" w:themeColor="background1"/>
                <w:sz w:val="20"/>
                <w:lang w:val="uk-UA"/>
              </w:rPr>
              <w:t>ковості для ОГС</w:t>
            </w:r>
          </w:p>
        </w:tc>
        <w:tc>
          <w:tcPr>
            <w:tcW w:w="402" w:type="dxa"/>
            <w:vMerge w:val="restart"/>
            <w:shd w:val="clear" w:color="auto" w:fill="D6E3BC" w:themeFill="accent3" w:themeFillTint="66"/>
          </w:tcPr>
          <w:p w14:paraId="7016147F" w14:textId="77777777" w:rsidR="003221C6" w:rsidRPr="00257F44" w:rsidRDefault="003221C6" w:rsidP="00FD2A72">
            <w:pPr>
              <w:pStyle w:val="Rowcolumntitles"/>
              <w:rPr>
                <w:sz w:val="20"/>
                <w:lang w:val="uk-UA"/>
              </w:rPr>
            </w:pPr>
          </w:p>
        </w:tc>
        <w:tc>
          <w:tcPr>
            <w:tcW w:w="388" w:type="dxa"/>
            <w:vMerge w:val="restart"/>
            <w:shd w:val="clear" w:color="auto" w:fill="D6E3BC" w:themeFill="accent3" w:themeFillTint="66"/>
          </w:tcPr>
          <w:p w14:paraId="1A1D496B" w14:textId="77777777" w:rsidR="003221C6" w:rsidRPr="00257F44" w:rsidRDefault="003221C6" w:rsidP="00FD2A72">
            <w:pPr>
              <w:pStyle w:val="Rowcolumntitles"/>
              <w:rPr>
                <w:rFonts w:eastAsia="Times New Roman"/>
                <w:sz w:val="20"/>
                <w:lang w:val="uk-UA"/>
              </w:rPr>
            </w:pPr>
          </w:p>
        </w:tc>
        <w:tc>
          <w:tcPr>
            <w:tcW w:w="425" w:type="dxa"/>
            <w:vMerge w:val="restart"/>
            <w:shd w:val="clear" w:color="auto" w:fill="D6E3BC" w:themeFill="accent3" w:themeFillTint="66"/>
          </w:tcPr>
          <w:p w14:paraId="70965C52" w14:textId="3C2ED341" w:rsidR="003221C6" w:rsidRPr="00257F44" w:rsidRDefault="003221C6" w:rsidP="00FD2A72">
            <w:pPr>
              <w:pStyle w:val="Rowcolumntitles"/>
              <w:rPr>
                <w:sz w:val="20"/>
                <w:lang w:val="uk-UA"/>
              </w:rPr>
            </w:pPr>
            <w:r w:rsidRPr="00257F44">
              <w:rPr>
                <w:rFonts w:ascii="MS Mincho" w:eastAsia="MS Mincho" w:hAnsi="MS Mincho" w:cs="MS Mincho"/>
                <w:noProof/>
                <w:sz w:val="20"/>
                <w:lang w:val="uk-UA"/>
              </w:rPr>
              <w:t>✔</w:t>
            </w:r>
          </w:p>
        </w:tc>
        <w:tc>
          <w:tcPr>
            <w:tcW w:w="395" w:type="dxa"/>
            <w:vMerge w:val="restart"/>
            <w:shd w:val="clear" w:color="auto" w:fill="D6E3BC" w:themeFill="accent3" w:themeFillTint="66"/>
          </w:tcPr>
          <w:p w14:paraId="53609672" w14:textId="77777777" w:rsidR="003221C6" w:rsidRPr="00257F44" w:rsidRDefault="003221C6" w:rsidP="00FD2A72">
            <w:pPr>
              <w:pStyle w:val="Rowcolumntitles"/>
              <w:rPr>
                <w:rFonts w:eastAsia="Times New Roman"/>
                <w:sz w:val="20"/>
                <w:lang w:val="uk-UA"/>
              </w:rPr>
            </w:pPr>
          </w:p>
        </w:tc>
        <w:tc>
          <w:tcPr>
            <w:tcW w:w="654" w:type="dxa"/>
            <w:gridSpan w:val="2"/>
            <w:vMerge w:val="restart"/>
            <w:shd w:val="clear" w:color="auto" w:fill="FBD4B4" w:themeFill="accent6" w:themeFillTint="66"/>
          </w:tcPr>
          <w:p w14:paraId="17DB9314" w14:textId="0B228702"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9" w:type="dxa"/>
            <w:vMerge w:val="restart"/>
            <w:shd w:val="clear" w:color="auto" w:fill="FBD4B4" w:themeFill="accent6" w:themeFillTint="66"/>
          </w:tcPr>
          <w:p w14:paraId="5DA627FA" w14:textId="46A2091B"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04" w:type="dxa"/>
            <w:vMerge w:val="restart"/>
            <w:shd w:val="clear" w:color="auto" w:fill="FBD4B4" w:themeFill="accent6" w:themeFillTint="66"/>
          </w:tcPr>
          <w:p w14:paraId="4A588720" w14:textId="52137353" w:rsidR="003221C6" w:rsidRPr="00257F44" w:rsidRDefault="003221C6" w:rsidP="00FD2A72">
            <w:pPr>
              <w:pStyle w:val="Rowcolumntitles"/>
              <w:rPr>
                <w:rFonts w:eastAsia="Times New Roman"/>
                <w:sz w:val="20"/>
                <w:lang w:val="uk-UA"/>
              </w:rPr>
            </w:pPr>
          </w:p>
        </w:tc>
        <w:tc>
          <w:tcPr>
            <w:tcW w:w="895" w:type="dxa"/>
            <w:vMerge w:val="restart"/>
            <w:shd w:val="clear" w:color="auto" w:fill="FBD4B4" w:themeFill="accent6" w:themeFillTint="66"/>
          </w:tcPr>
          <w:p w14:paraId="4144A048" w14:textId="77777777" w:rsidR="003221C6" w:rsidRPr="00257F44" w:rsidRDefault="003221C6" w:rsidP="00FD2A72">
            <w:pPr>
              <w:pStyle w:val="Rowcolumntitles"/>
              <w:rPr>
                <w:rFonts w:eastAsia="Times New Roman"/>
                <w:sz w:val="20"/>
                <w:lang w:val="uk-UA"/>
              </w:rPr>
            </w:pPr>
          </w:p>
        </w:tc>
        <w:tc>
          <w:tcPr>
            <w:tcW w:w="341" w:type="dxa"/>
            <w:gridSpan w:val="3"/>
            <w:vMerge w:val="restart"/>
            <w:shd w:val="clear" w:color="auto" w:fill="CCC0D9" w:themeFill="accent4" w:themeFillTint="66"/>
          </w:tcPr>
          <w:p w14:paraId="00C5B2D7" w14:textId="77777777" w:rsidR="003221C6" w:rsidRPr="00257F44" w:rsidRDefault="003221C6" w:rsidP="00FD2A72">
            <w:pPr>
              <w:pStyle w:val="Rowcolumntitles"/>
              <w:rPr>
                <w:sz w:val="20"/>
                <w:lang w:val="uk-UA"/>
              </w:rPr>
            </w:pPr>
          </w:p>
        </w:tc>
        <w:tc>
          <w:tcPr>
            <w:tcW w:w="341" w:type="dxa"/>
            <w:gridSpan w:val="2"/>
            <w:vMerge w:val="restart"/>
            <w:shd w:val="clear" w:color="auto" w:fill="CCC0D9" w:themeFill="accent4" w:themeFillTint="66"/>
          </w:tcPr>
          <w:p w14:paraId="3B6A9CED" w14:textId="4F3C1A0F" w:rsidR="003221C6" w:rsidRPr="00257F44" w:rsidRDefault="003221C6" w:rsidP="00FD2A72">
            <w:pPr>
              <w:pStyle w:val="Rowcolumntitles"/>
              <w:rPr>
                <w:rFonts w:eastAsia="Times New Roman"/>
                <w:sz w:val="20"/>
                <w:lang w:val="uk-UA"/>
              </w:rPr>
            </w:pPr>
          </w:p>
        </w:tc>
        <w:tc>
          <w:tcPr>
            <w:tcW w:w="341" w:type="dxa"/>
            <w:gridSpan w:val="2"/>
            <w:vMerge w:val="restart"/>
            <w:shd w:val="clear" w:color="auto" w:fill="CCC0D9" w:themeFill="accent4" w:themeFillTint="66"/>
          </w:tcPr>
          <w:p w14:paraId="0412FA22" w14:textId="3D6D27C4" w:rsidR="003221C6" w:rsidRPr="00257F44" w:rsidRDefault="003221C6" w:rsidP="00FD2A72">
            <w:pPr>
              <w:pStyle w:val="Rowcolumntitles"/>
              <w:rPr>
                <w:sz w:val="20"/>
                <w:lang w:val="uk-UA"/>
              </w:rPr>
            </w:pPr>
            <w:r w:rsidRPr="00257F44">
              <w:rPr>
                <w:rFonts w:ascii="MS Mincho" w:eastAsia="MS Mincho" w:hAnsi="MS Mincho" w:cs="MS Mincho"/>
                <w:noProof/>
                <w:sz w:val="20"/>
                <w:lang w:val="uk-UA"/>
              </w:rPr>
              <w:t>✔</w:t>
            </w:r>
          </w:p>
        </w:tc>
        <w:tc>
          <w:tcPr>
            <w:tcW w:w="343" w:type="dxa"/>
            <w:gridSpan w:val="3"/>
            <w:vMerge w:val="restart"/>
            <w:shd w:val="clear" w:color="auto" w:fill="CCC0D9" w:themeFill="accent4" w:themeFillTint="66"/>
          </w:tcPr>
          <w:p w14:paraId="6712949C" w14:textId="77777777" w:rsidR="003221C6" w:rsidRPr="00257F44" w:rsidRDefault="003221C6" w:rsidP="00FD2A72">
            <w:pPr>
              <w:pStyle w:val="Rowcolumntitles"/>
              <w:rPr>
                <w:rFonts w:eastAsia="Times New Roman"/>
                <w:sz w:val="20"/>
                <w:lang w:val="uk-UA"/>
              </w:rPr>
            </w:pPr>
          </w:p>
        </w:tc>
        <w:tc>
          <w:tcPr>
            <w:tcW w:w="485" w:type="dxa"/>
            <w:gridSpan w:val="3"/>
            <w:shd w:val="clear" w:color="auto" w:fill="B8CCE4" w:themeFill="accent1" w:themeFillTint="66"/>
          </w:tcPr>
          <w:p w14:paraId="74E76067" w14:textId="2649D6C0"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87" w:type="dxa"/>
            <w:gridSpan w:val="2"/>
            <w:shd w:val="clear" w:color="auto" w:fill="B8CCE4" w:themeFill="accent1" w:themeFillTint="66"/>
          </w:tcPr>
          <w:p w14:paraId="6B6A3C23" w14:textId="77777777" w:rsidR="003221C6" w:rsidRPr="00257F44" w:rsidRDefault="003221C6" w:rsidP="00FD2A72">
            <w:pPr>
              <w:pStyle w:val="Rowcolumntitles"/>
              <w:rPr>
                <w:rFonts w:eastAsia="Times New Roman"/>
                <w:sz w:val="20"/>
                <w:lang w:val="uk-UA"/>
              </w:rPr>
            </w:pPr>
          </w:p>
        </w:tc>
        <w:tc>
          <w:tcPr>
            <w:tcW w:w="487" w:type="dxa"/>
            <w:gridSpan w:val="4"/>
            <w:shd w:val="clear" w:color="auto" w:fill="B8CCE4" w:themeFill="accent1" w:themeFillTint="66"/>
          </w:tcPr>
          <w:p w14:paraId="6591FA22" w14:textId="77777777" w:rsidR="003221C6" w:rsidRPr="00257F44" w:rsidRDefault="003221C6" w:rsidP="00FD2A72">
            <w:pPr>
              <w:pStyle w:val="Rowcolumntitles"/>
              <w:rPr>
                <w:rFonts w:eastAsia="Times New Roman"/>
                <w:sz w:val="20"/>
                <w:lang w:val="uk-UA"/>
              </w:rPr>
            </w:pPr>
          </w:p>
        </w:tc>
        <w:tc>
          <w:tcPr>
            <w:tcW w:w="493" w:type="dxa"/>
            <w:gridSpan w:val="3"/>
            <w:shd w:val="clear" w:color="auto" w:fill="B8CCE4" w:themeFill="accent1" w:themeFillTint="66"/>
          </w:tcPr>
          <w:p w14:paraId="193FFA78" w14:textId="2F01D8D0" w:rsidR="003221C6" w:rsidRPr="00257F44" w:rsidRDefault="003221C6" w:rsidP="00FD2A72">
            <w:pPr>
              <w:pStyle w:val="Rowcolumntitles"/>
              <w:rPr>
                <w:rFonts w:eastAsia="Times New Roman"/>
                <w:sz w:val="20"/>
                <w:lang w:val="uk-UA"/>
              </w:rPr>
            </w:pPr>
          </w:p>
        </w:tc>
        <w:tc>
          <w:tcPr>
            <w:tcW w:w="367" w:type="dxa"/>
            <w:gridSpan w:val="3"/>
            <w:vMerge w:val="restart"/>
            <w:shd w:val="clear" w:color="auto" w:fill="D99594" w:themeFill="accent2" w:themeFillTint="99"/>
          </w:tcPr>
          <w:p w14:paraId="46787CA6" w14:textId="77777777" w:rsidR="003221C6" w:rsidRPr="00257F44" w:rsidRDefault="003221C6"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1752C8D8" w14:textId="77777777" w:rsidR="003221C6" w:rsidRPr="00257F44" w:rsidRDefault="003221C6"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5DEFC675" w14:textId="12D695F8"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18" w:type="dxa"/>
            <w:gridSpan w:val="2"/>
            <w:vMerge w:val="restart"/>
            <w:shd w:val="clear" w:color="auto" w:fill="D99594" w:themeFill="accent2" w:themeFillTint="99"/>
          </w:tcPr>
          <w:p w14:paraId="529D54FD" w14:textId="77777777" w:rsidR="003221C6" w:rsidRPr="00257F44" w:rsidRDefault="003221C6"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78D2499F" w14:textId="77777777" w:rsidR="003221C6" w:rsidRPr="00257F44" w:rsidRDefault="003221C6" w:rsidP="00FD2A72">
            <w:pPr>
              <w:pStyle w:val="Rowcolumntitles"/>
              <w:rPr>
                <w:rFonts w:eastAsia="Times New Roman"/>
                <w:sz w:val="20"/>
                <w:lang w:val="uk-UA"/>
              </w:rPr>
            </w:pPr>
          </w:p>
        </w:tc>
      </w:tr>
      <w:tr w:rsidR="000E0B9A" w:rsidRPr="00257F44" w14:paraId="41B98F67" w14:textId="77777777" w:rsidTr="00DB3322">
        <w:trPr>
          <w:gridAfter w:val="2"/>
          <w:wAfter w:w="24" w:type="dxa"/>
          <w:trHeight w:val="355"/>
        </w:trPr>
        <w:tc>
          <w:tcPr>
            <w:tcW w:w="1470" w:type="dxa"/>
            <w:vMerge/>
            <w:shd w:val="clear" w:color="auto" w:fill="000000" w:themeFill="text1"/>
          </w:tcPr>
          <w:p w14:paraId="7F07F9F6" w14:textId="77777777" w:rsidR="003221C6" w:rsidRPr="00257F44" w:rsidRDefault="003221C6" w:rsidP="00FD2A72">
            <w:pPr>
              <w:pStyle w:val="Rowcolumntitles"/>
              <w:rPr>
                <w:color w:val="FFFFFF" w:themeColor="background1"/>
                <w:sz w:val="20"/>
                <w:lang w:val="uk-UA"/>
              </w:rPr>
            </w:pPr>
          </w:p>
        </w:tc>
        <w:tc>
          <w:tcPr>
            <w:tcW w:w="402" w:type="dxa"/>
            <w:vMerge/>
            <w:shd w:val="clear" w:color="auto" w:fill="D6E3BC" w:themeFill="accent3" w:themeFillTint="66"/>
          </w:tcPr>
          <w:p w14:paraId="700D574A" w14:textId="77777777" w:rsidR="003221C6" w:rsidRPr="00257F44" w:rsidRDefault="003221C6" w:rsidP="00FD2A72">
            <w:pPr>
              <w:pStyle w:val="Rowcolumntitles"/>
              <w:rPr>
                <w:sz w:val="20"/>
                <w:lang w:val="uk-UA"/>
              </w:rPr>
            </w:pPr>
          </w:p>
        </w:tc>
        <w:tc>
          <w:tcPr>
            <w:tcW w:w="388" w:type="dxa"/>
            <w:vMerge/>
            <w:shd w:val="clear" w:color="auto" w:fill="D6E3BC" w:themeFill="accent3" w:themeFillTint="66"/>
          </w:tcPr>
          <w:p w14:paraId="4ADA94B7" w14:textId="77777777" w:rsidR="003221C6" w:rsidRPr="00257F44" w:rsidRDefault="003221C6" w:rsidP="00FD2A72">
            <w:pPr>
              <w:pStyle w:val="Rowcolumntitles"/>
              <w:rPr>
                <w:rFonts w:eastAsia="Times New Roman"/>
                <w:sz w:val="20"/>
                <w:lang w:val="uk-UA"/>
              </w:rPr>
            </w:pPr>
          </w:p>
        </w:tc>
        <w:tc>
          <w:tcPr>
            <w:tcW w:w="425" w:type="dxa"/>
            <w:vMerge/>
            <w:shd w:val="clear" w:color="auto" w:fill="D6E3BC" w:themeFill="accent3" w:themeFillTint="66"/>
          </w:tcPr>
          <w:p w14:paraId="3E87FA6F" w14:textId="77777777" w:rsidR="003221C6" w:rsidRPr="00257F44" w:rsidRDefault="003221C6" w:rsidP="00FD2A72">
            <w:pPr>
              <w:pStyle w:val="Rowcolumntitles"/>
              <w:rPr>
                <w:sz w:val="20"/>
                <w:lang w:val="uk-UA"/>
              </w:rPr>
            </w:pPr>
          </w:p>
        </w:tc>
        <w:tc>
          <w:tcPr>
            <w:tcW w:w="395" w:type="dxa"/>
            <w:vMerge/>
            <w:shd w:val="clear" w:color="auto" w:fill="D6E3BC" w:themeFill="accent3" w:themeFillTint="66"/>
          </w:tcPr>
          <w:p w14:paraId="019F58E2" w14:textId="77777777" w:rsidR="003221C6" w:rsidRPr="00257F44" w:rsidRDefault="003221C6" w:rsidP="00FD2A72">
            <w:pPr>
              <w:pStyle w:val="Rowcolumntitles"/>
              <w:rPr>
                <w:rFonts w:eastAsia="Times New Roman"/>
                <w:sz w:val="20"/>
                <w:lang w:val="uk-UA"/>
              </w:rPr>
            </w:pPr>
          </w:p>
        </w:tc>
        <w:tc>
          <w:tcPr>
            <w:tcW w:w="654" w:type="dxa"/>
            <w:gridSpan w:val="2"/>
            <w:vMerge/>
            <w:shd w:val="clear" w:color="auto" w:fill="FBD4B4" w:themeFill="accent6" w:themeFillTint="66"/>
          </w:tcPr>
          <w:p w14:paraId="75491437" w14:textId="77777777" w:rsidR="003221C6" w:rsidRPr="00257F44" w:rsidRDefault="003221C6" w:rsidP="00FD2A72">
            <w:pPr>
              <w:pStyle w:val="Rowcolumntitles"/>
              <w:rPr>
                <w:rFonts w:eastAsia="Times New Roman"/>
                <w:sz w:val="20"/>
                <w:lang w:val="uk-UA"/>
              </w:rPr>
            </w:pPr>
          </w:p>
        </w:tc>
        <w:tc>
          <w:tcPr>
            <w:tcW w:w="369" w:type="dxa"/>
            <w:vMerge/>
            <w:shd w:val="clear" w:color="auto" w:fill="FBD4B4" w:themeFill="accent6" w:themeFillTint="66"/>
          </w:tcPr>
          <w:p w14:paraId="0F996AE2" w14:textId="77777777" w:rsidR="003221C6" w:rsidRPr="00257F44" w:rsidRDefault="003221C6" w:rsidP="00FD2A72">
            <w:pPr>
              <w:pStyle w:val="Rowcolumntitles"/>
              <w:rPr>
                <w:rFonts w:eastAsia="Times New Roman"/>
                <w:sz w:val="20"/>
                <w:lang w:val="uk-UA"/>
              </w:rPr>
            </w:pPr>
          </w:p>
        </w:tc>
        <w:tc>
          <w:tcPr>
            <w:tcW w:w="404" w:type="dxa"/>
            <w:vMerge/>
            <w:shd w:val="clear" w:color="auto" w:fill="FBD4B4" w:themeFill="accent6" w:themeFillTint="66"/>
          </w:tcPr>
          <w:p w14:paraId="0BA61EF8" w14:textId="77777777" w:rsidR="003221C6" w:rsidRPr="00257F44" w:rsidRDefault="003221C6" w:rsidP="00FD2A72">
            <w:pPr>
              <w:pStyle w:val="Rowcolumntitles"/>
              <w:rPr>
                <w:rFonts w:eastAsia="Times New Roman"/>
                <w:sz w:val="20"/>
                <w:lang w:val="uk-UA"/>
              </w:rPr>
            </w:pPr>
          </w:p>
        </w:tc>
        <w:tc>
          <w:tcPr>
            <w:tcW w:w="895" w:type="dxa"/>
            <w:vMerge/>
            <w:shd w:val="clear" w:color="auto" w:fill="FBD4B4" w:themeFill="accent6" w:themeFillTint="66"/>
          </w:tcPr>
          <w:p w14:paraId="7EFED2C7" w14:textId="77777777" w:rsidR="003221C6" w:rsidRPr="00257F44" w:rsidRDefault="003221C6" w:rsidP="00FD2A72">
            <w:pPr>
              <w:pStyle w:val="Rowcolumntitles"/>
              <w:rPr>
                <w:rFonts w:eastAsia="Times New Roman"/>
                <w:sz w:val="20"/>
                <w:lang w:val="uk-UA"/>
              </w:rPr>
            </w:pPr>
          </w:p>
        </w:tc>
        <w:tc>
          <w:tcPr>
            <w:tcW w:w="341" w:type="dxa"/>
            <w:gridSpan w:val="3"/>
            <w:vMerge/>
            <w:shd w:val="clear" w:color="auto" w:fill="CCC0D9" w:themeFill="accent4" w:themeFillTint="66"/>
          </w:tcPr>
          <w:p w14:paraId="10E90F76" w14:textId="77777777" w:rsidR="003221C6" w:rsidRPr="00257F44" w:rsidRDefault="003221C6" w:rsidP="00FD2A72">
            <w:pPr>
              <w:pStyle w:val="Rowcolumntitles"/>
              <w:rPr>
                <w:sz w:val="20"/>
                <w:lang w:val="uk-UA"/>
              </w:rPr>
            </w:pPr>
          </w:p>
        </w:tc>
        <w:tc>
          <w:tcPr>
            <w:tcW w:w="341" w:type="dxa"/>
            <w:gridSpan w:val="2"/>
            <w:vMerge/>
            <w:shd w:val="clear" w:color="auto" w:fill="CCC0D9" w:themeFill="accent4" w:themeFillTint="66"/>
          </w:tcPr>
          <w:p w14:paraId="5802DC63" w14:textId="77777777" w:rsidR="003221C6" w:rsidRPr="00257F44" w:rsidRDefault="003221C6" w:rsidP="00FD2A72">
            <w:pPr>
              <w:pStyle w:val="Rowcolumntitles"/>
              <w:rPr>
                <w:rFonts w:eastAsia="Times New Roman"/>
                <w:sz w:val="20"/>
                <w:lang w:val="uk-UA"/>
              </w:rPr>
            </w:pPr>
          </w:p>
        </w:tc>
        <w:tc>
          <w:tcPr>
            <w:tcW w:w="341" w:type="dxa"/>
            <w:gridSpan w:val="2"/>
            <w:vMerge/>
            <w:shd w:val="clear" w:color="auto" w:fill="CCC0D9" w:themeFill="accent4" w:themeFillTint="66"/>
          </w:tcPr>
          <w:p w14:paraId="00CD967D" w14:textId="77777777" w:rsidR="003221C6" w:rsidRPr="00257F44" w:rsidRDefault="003221C6" w:rsidP="00FD2A72">
            <w:pPr>
              <w:pStyle w:val="Rowcolumntitles"/>
              <w:rPr>
                <w:sz w:val="20"/>
                <w:lang w:val="uk-UA"/>
              </w:rPr>
            </w:pPr>
          </w:p>
        </w:tc>
        <w:tc>
          <w:tcPr>
            <w:tcW w:w="343" w:type="dxa"/>
            <w:gridSpan w:val="3"/>
            <w:vMerge/>
            <w:shd w:val="clear" w:color="auto" w:fill="CCC0D9" w:themeFill="accent4" w:themeFillTint="66"/>
          </w:tcPr>
          <w:p w14:paraId="6A12E8B0" w14:textId="77777777" w:rsidR="003221C6" w:rsidRPr="00257F44" w:rsidRDefault="003221C6" w:rsidP="00FD2A72">
            <w:pPr>
              <w:pStyle w:val="Rowcolumntitles"/>
              <w:rPr>
                <w:rFonts w:eastAsia="Times New Roman"/>
                <w:sz w:val="20"/>
                <w:lang w:val="uk-UA"/>
              </w:rPr>
            </w:pPr>
          </w:p>
        </w:tc>
        <w:tc>
          <w:tcPr>
            <w:tcW w:w="485" w:type="dxa"/>
            <w:gridSpan w:val="3"/>
            <w:shd w:val="clear" w:color="auto" w:fill="B8CCE4" w:themeFill="accent1" w:themeFillTint="66"/>
          </w:tcPr>
          <w:p w14:paraId="4293846D" w14:textId="51A04601" w:rsidR="003221C6" w:rsidRPr="00257F44" w:rsidRDefault="003221C6" w:rsidP="00FD2A72">
            <w:pPr>
              <w:pStyle w:val="Rowcolumntitles"/>
              <w:rPr>
                <w:rFonts w:eastAsia="Times New Roman"/>
                <w:sz w:val="20"/>
                <w:lang w:val="uk-UA"/>
              </w:rPr>
            </w:pPr>
          </w:p>
        </w:tc>
        <w:tc>
          <w:tcPr>
            <w:tcW w:w="487" w:type="dxa"/>
            <w:gridSpan w:val="2"/>
            <w:shd w:val="clear" w:color="auto" w:fill="B8CCE4" w:themeFill="accent1" w:themeFillTint="66"/>
          </w:tcPr>
          <w:p w14:paraId="304C2CBB" w14:textId="77777777" w:rsidR="003221C6" w:rsidRPr="00257F44" w:rsidRDefault="003221C6" w:rsidP="00FD2A72">
            <w:pPr>
              <w:pStyle w:val="Rowcolumntitles"/>
              <w:rPr>
                <w:rFonts w:eastAsia="Times New Roman"/>
                <w:sz w:val="20"/>
                <w:lang w:val="uk-UA"/>
              </w:rPr>
            </w:pPr>
          </w:p>
        </w:tc>
        <w:tc>
          <w:tcPr>
            <w:tcW w:w="487" w:type="dxa"/>
            <w:gridSpan w:val="4"/>
            <w:shd w:val="clear" w:color="auto" w:fill="B8CCE4" w:themeFill="accent1" w:themeFillTint="66"/>
          </w:tcPr>
          <w:p w14:paraId="755CC152" w14:textId="271E41AE" w:rsidR="003221C6" w:rsidRPr="00257F44" w:rsidRDefault="003221C6" w:rsidP="00FD2A72">
            <w:pPr>
              <w:pStyle w:val="Rowcolumntitles"/>
              <w:rPr>
                <w:rFonts w:eastAsia="Times New Roman"/>
                <w:sz w:val="20"/>
                <w:lang w:val="uk-UA"/>
              </w:rPr>
            </w:pPr>
          </w:p>
        </w:tc>
        <w:tc>
          <w:tcPr>
            <w:tcW w:w="493" w:type="dxa"/>
            <w:gridSpan w:val="3"/>
            <w:shd w:val="clear" w:color="auto" w:fill="B8CCE4" w:themeFill="accent1" w:themeFillTint="66"/>
          </w:tcPr>
          <w:p w14:paraId="21E2F560" w14:textId="4ECA7A17" w:rsidR="003221C6" w:rsidRPr="00257F44" w:rsidRDefault="00581D4D"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7" w:type="dxa"/>
            <w:gridSpan w:val="3"/>
            <w:vMerge/>
            <w:shd w:val="clear" w:color="auto" w:fill="D99594" w:themeFill="accent2" w:themeFillTint="99"/>
          </w:tcPr>
          <w:p w14:paraId="1AEC1734" w14:textId="77777777" w:rsidR="003221C6" w:rsidRPr="00257F44" w:rsidRDefault="003221C6" w:rsidP="00FD2A72">
            <w:pPr>
              <w:pStyle w:val="Rowcolumntitles"/>
              <w:rPr>
                <w:rFonts w:eastAsia="Times New Roman"/>
                <w:sz w:val="20"/>
                <w:lang w:val="uk-UA"/>
              </w:rPr>
            </w:pPr>
          </w:p>
        </w:tc>
        <w:tc>
          <w:tcPr>
            <w:tcW w:w="318" w:type="dxa"/>
            <w:gridSpan w:val="2"/>
            <w:vMerge/>
            <w:shd w:val="clear" w:color="auto" w:fill="D99594" w:themeFill="accent2" w:themeFillTint="99"/>
          </w:tcPr>
          <w:p w14:paraId="6E42E9A0" w14:textId="77777777" w:rsidR="003221C6" w:rsidRPr="00257F44" w:rsidRDefault="003221C6" w:rsidP="00FD2A72">
            <w:pPr>
              <w:pStyle w:val="Rowcolumntitles"/>
              <w:rPr>
                <w:rFonts w:eastAsia="Times New Roman"/>
                <w:sz w:val="20"/>
                <w:lang w:val="uk-UA"/>
              </w:rPr>
            </w:pPr>
          </w:p>
        </w:tc>
        <w:tc>
          <w:tcPr>
            <w:tcW w:w="318" w:type="dxa"/>
            <w:gridSpan w:val="2"/>
            <w:vMerge/>
            <w:shd w:val="clear" w:color="auto" w:fill="D99594" w:themeFill="accent2" w:themeFillTint="99"/>
          </w:tcPr>
          <w:p w14:paraId="180980C2" w14:textId="77777777" w:rsidR="003221C6" w:rsidRPr="00257F44" w:rsidRDefault="003221C6" w:rsidP="00FD2A72">
            <w:pPr>
              <w:pStyle w:val="Rowcolumntitles"/>
              <w:rPr>
                <w:rFonts w:eastAsia="Times New Roman"/>
                <w:sz w:val="20"/>
                <w:lang w:val="uk-UA"/>
              </w:rPr>
            </w:pPr>
          </w:p>
        </w:tc>
        <w:tc>
          <w:tcPr>
            <w:tcW w:w="318" w:type="dxa"/>
            <w:gridSpan w:val="2"/>
            <w:vMerge/>
            <w:shd w:val="clear" w:color="auto" w:fill="D99594" w:themeFill="accent2" w:themeFillTint="99"/>
          </w:tcPr>
          <w:p w14:paraId="3F9D6007" w14:textId="77777777" w:rsidR="003221C6" w:rsidRPr="00257F44" w:rsidRDefault="003221C6" w:rsidP="00FD2A72">
            <w:pPr>
              <w:pStyle w:val="Rowcolumntitles"/>
              <w:rPr>
                <w:rFonts w:eastAsia="Times New Roman"/>
                <w:sz w:val="20"/>
                <w:lang w:val="uk-UA"/>
              </w:rPr>
            </w:pPr>
          </w:p>
        </w:tc>
        <w:tc>
          <w:tcPr>
            <w:tcW w:w="388" w:type="dxa"/>
            <w:gridSpan w:val="2"/>
            <w:vMerge/>
            <w:shd w:val="clear" w:color="auto" w:fill="D99594" w:themeFill="accent2" w:themeFillTint="99"/>
          </w:tcPr>
          <w:p w14:paraId="1379C64F" w14:textId="77777777" w:rsidR="003221C6" w:rsidRPr="00257F44" w:rsidRDefault="003221C6" w:rsidP="00FD2A72">
            <w:pPr>
              <w:pStyle w:val="Rowcolumntitles"/>
              <w:rPr>
                <w:rFonts w:eastAsia="Times New Roman"/>
                <w:sz w:val="20"/>
                <w:lang w:val="uk-UA"/>
              </w:rPr>
            </w:pPr>
          </w:p>
        </w:tc>
      </w:tr>
      <w:tr w:rsidR="00BF49AA" w:rsidRPr="00257F44" w14:paraId="73DB6336" w14:textId="77777777" w:rsidTr="00DB3322">
        <w:trPr>
          <w:trHeight w:val="486"/>
        </w:trPr>
        <w:tc>
          <w:tcPr>
            <w:tcW w:w="10453" w:type="dxa"/>
            <w:gridSpan w:val="45"/>
            <w:shd w:val="clear" w:color="auto" w:fill="000000" w:themeFill="text1"/>
          </w:tcPr>
          <w:p w14:paraId="42633B01" w14:textId="0EC58079" w:rsidR="00BF49AA" w:rsidRPr="00257F44" w:rsidRDefault="009869D6" w:rsidP="00FD2A72">
            <w:pPr>
              <w:pStyle w:val="Rowcolumntitles"/>
              <w:rPr>
                <w:b/>
                <w:noProof/>
                <w:color w:val="FFFFFF" w:themeColor="background1"/>
                <w:sz w:val="20"/>
                <w:lang w:val="uk-UA"/>
              </w:rPr>
            </w:pPr>
            <w:r w:rsidRPr="00257F44">
              <w:rPr>
                <w:b/>
                <w:noProof/>
                <w:color w:val="FFFFFF" w:themeColor="background1"/>
                <w:sz w:val="20"/>
                <w:lang w:val="uk-UA"/>
              </w:rPr>
              <w:t>Тема 2: Забезпечення доступу до публічної інформації</w:t>
            </w:r>
          </w:p>
        </w:tc>
      </w:tr>
      <w:tr w:rsidR="000E0B9A" w:rsidRPr="00257F44" w14:paraId="1B1EC655" w14:textId="77777777" w:rsidTr="00DB3322">
        <w:trPr>
          <w:gridAfter w:val="2"/>
          <w:wAfter w:w="24" w:type="dxa"/>
          <w:trHeight w:val="300"/>
        </w:trPr>
        <w:tc>
          <w:tcPr>
            <w:tcW w:w="1470" w:type="dxa"/>
            <w:vMerge w:val="restart"/>
            <w:shd w:val="clear" w:color="auto" w:fill="000000" w:themeFill="text1"/>
          </w:tcPr>
          <w:p w14:paraId="06BF3FEF" w14:textId="36FE60B4" w:rsidR="003221C6" w:rsidRPr="00257F44" w:rsidRDefault="003221C6" w:rsidP="00FD2A72">
            <w:pPr>
              <w:pStyle w:val="Rowcolumntitles"/>
              <w:rPr>
                <w:noProof/>
                <w:color w:val="FFFFFF" w:themeColor="background1"/>
                <w:sz w:val="20"/>
                <w:lang w:val="uk-UA"/>
              </w:rPr>
            </w:pPr>
            <w:r w:rsidRPr="00257F44">
              <w:rPr>
                <w:noProof/>
                <w:color w:val="FFFFFF" w:themeColor="background1"/>
                <w:sz w:val="20"/>
                <w:lang w:val="uk-UA"/>
              </w:rPr>
              <w:t xml:space="preserve">5.1 </w:t>
            </w:r>
            <w:r w:rsidR="00D77C43" w:rsidRPr="00257F44">
              <w:rPr>
                <w:noProof/>
                <w:color w:val="FFFFFF" w:themeColor="background1"/>
                <w:sz w:val="20"/>
                <w:lang w:val="uk-UA"/>
              </w:rPr>
              <w:t>Визначити правила для обробки службової інформації</w:t>
            </w:r>
          </w:p>
        </w:tc>
        <w:tc>
          <w:tcPr>
            <w:tcW w:w="402" w:type="dxa"/>
            <w:vMerge w:val="restart"/>
            <w:shd w:val="clear" w:color="auto" w:fill="D6E3BC" w:themeFill="accent3" w:themeFillTint="66"/>
          </w:tcPr>
          <w:p w14:paraId="72045B4F" w14:textId="77777777" w:rsidR="003221C6" w:rsidRPr="00257F44" w:rsidRDefault="003221C6" w:rsidP="00FD2A72">
            <w:pPr>
              <w:pStyle w:val="Rowcolumntitles"/>
              <w:rPr>
                <w:sz w:val="20"/>
                <w:lang w:val="uk-UA"/>
              </w:rPr>
            </w:pPr>
          </w:p>
        </w:tc>
        <w:tc>
          <w:tcPr>
            <w:tcW w:w="388" w:type="dxa"/>
            <w:vMerge w:val="restart"/>
            <w:shd w:val="clear" w:color="auto" w:fill="D6E3BC" w:themeFill="accent3" w:themeFillTint="66"/>
          </w:tcPr>
          <w:p w14:paraId="2C2FDB57" w14:textId="77777777" w:rsidR="003221C6" w:rsidRPr="00257F44" w:rsidRDefault="003221C6" w:rsidP="00FD2A72">
            <w:pPr>
              <w:pStyle w:val="Rowcolumntitles"/>
              <w:rPr>
                <w:rFonts w:eastAsia="Times New Roman"/>
                <w:sz w:val="20"/>
                <w:lang w:val="uk-UA"/>
              </w:rPr>
            </w:pPr>
          </w:p>
        </w:tc>
        <w:tc>
          <w:tcPr>
            <w:tcW w:w="425" w:type="dxa"/>
            <w:vMerge w:val="restart"/>
            <w:shd w:val="clear" w:color="auto" w:fill="D6E3BC" w:themeFill="accent3" w:themeFillTint="66"/>
          </w:tcPr>
          <w:p w14:paraId="42FE52FA" w14:textId="77777777" w:rsidR="003221C6" w:rsidRPr="00257F44" w:rsidRDefault="003221C6" w:rsidP="00FD2A72">
            <w:pPr>
              <w:pStyle w:val="Rowcolumntitles"/>
              <w:rPr>
                <w:sz w:val="20"/>
                <w:lang w:val="uk-UA"/>
              </w:rPr>
            </w:pPr>
          </w:p>
        </w:tc>
        <w:tc>
          <w:tcPr>
            <w:tcW w:w="395" w:type="dxa"/>
            <w:vMerge w:val="restart"/>
            <w:shd w:val="clear" w:color="auto" w:fill="D6E3BC" w:themeFill="accent3" w:themeFillTint="66"/>
          </w:tcPr>
          <w:p w14:paraId="31C20767" w14:textId="0FAEE78E"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654" w:type="dxa"/>
            <w:gridSpan w:val="2"/>
            <w:vMerge w:val="restart"/>
            <w:shd w:val="clear" w:color="auto" w:fill="FBD4B4" w:themeFill="accent6" w:themeFillTint="66"/>
          </w:tcPr>
          <w:p w14:paraId="3150F2AB" w14:textId="43F5ECF5"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9" w:type="dxa"/>
            <w:vMerge w:val="restart"/>
            <w:shd w:val="clear" w:color="auto" w:fill="FBD4B4" w:themeFill="accent6" w:themeFillTint="66"/>
          </w:tcPr>
          <w:p w14:paraId="097A44CB" w14:textId="77777777" w:rsidR="003221C6" w:rsidRPr="00257F44" w:rsidRDefault="003221C6" w:rsidP="00FD2A72">
            <w:pPr>
              <w:pStyle w:val="Rowcolumntitles"/>
              <w:rPr>
                <w:rFonts w:eastAsia="Times New Roman"/>
                <w:sz w:val="20"/>
                <w:lang w:val="uk-UA"/>
              </w:rPr>
            </w:pPr>
          </w:p>
        </w:tc>
        <w:tc>
          <w:tcPr>
            <w:tcW w:w="404" w:type="dxa"/>
            <w:vMerge w:val="restart"/>
            <w:shd w:val="clear" w:color="auto" w:fill="FBD4B4" w:themeFill="accent6" w:themeFillTint="66"/>
          </w:tcPr>
          <w:p w14:paraId="32ADDBD7" w14:textId="0A84AFF1" w:rsidR="003221C6" w:rsidRPr="00257F44" w:rsidRDefault="003221C6" w:rsidP="00FD2A72">
            <w:pPr>
              <w:pStyle w:val="Rowcolumntitles"/>
              <w:rPr>
                <w:rFonts w:eastAsia="Times New Roman"/>
                <w:sz w:val="20"/>
                <w:lang w:val="uk-UA"/>
              </w:rPr>
            </w:pPr>
          </w:p>
        </w:tc>
        <w:tc>
          <w:tcPr>
            <w:tcW w:w="895" w:type="dxa"/>
            <w:vMerge w:val="restart"/>
            <w:shd w:val="clear" w:color="auto" w:fill="FBD4B4" w:themeFill="accent6" w:themeFillTint="66"/>
          </w:tcPr>
          <w:p w14:paraId="52D79481" w14:textId="77777777" w:rsidR="003221C6" w:rsidRPr="00257F44" w:rsidRDefault="003221C6" w:rsidP="00FD2A72">
            <w:pPr>
              <w:pStyle w:val="Rowcolumntitles"/>
              <w:rPr>
                <w:rFonts w:eastAsia="Times New Roman"/>
                <w:sz w:val="20"/>
                <w:lang w:val="uk-UA"/>
              </w:rPr>
            </w:pPr>
          </w:p>
        </w:tc>
        <w:tc>
          <w:tcPr>
            <w:tcW w:w="341" w:type="dxa"/>
            <w:gridSpan w:val="3"/>
            <w:vMerge w:val="restart"/>
            <w:shd w:val="clear" w:color="auto" w:fill="CCC0D9" w:themeFill="accent4" w:themeFillTint="66"/>
          </w:tcPr>
          <w:p w14:paraId="33690B0E" w14:textId="77777777" w:rsidR="003221C6" w:rsidRPr="00257F44" w:rsidRDefault="003221C6" w:rsidP="00FD2A72">
            <w:pPr>
              <w:pStyle w:val="Rowcolumntitles"/>
              <w:rPr>
                <w:sz w:val="20"/>
                <w:lang w:val="uk-UA"/>
              </w:rPr>
            </w:pPr>
          </w:p>
        </w:tc>
        <w:tc>
          <w:tcPr>
            <w:tcW w:w="341" w:type="dxa"/>
            <w:gridSpan w:val="2"/>
            <w:vMerge w:val="restart"/>
            <w:shd w:val="clear" w:color="auto" w:fill="CCC0D9" w:themeFill="accent4" w:themeFillTint="66"/>
          </w:tcPr>
          <w:p w14:paraId="5FD9EB08" w14:textId="4C903996"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41" w:type="dxa"/>
            <w:gridSpan w:val="2"/>
            <w:vMerge w:val="restart"/>
            <w:shd w:val="clear" w:color="auto" w:fill="CCC0D9" w:themeFill="accent4" w:themeFillTint="66"/>
          </w:tcPr>
          <w:p w14:paraId="461A6EAB" w14:textId="77777777" w:rsidR="003221C6" w:rsidRPr="00257F44" w:rsidRDefault="003221C6" w:rsidP="00FD2A72">
            <w:pPr>
              <w:pStyle w:val="Rowcolumntitles"/>
              <w:rPr>
                <w:sz w:val="20"/>
                <w:lang w:val="uk-UA"/>
              </w:rPr>
            </w:pPr>
          </w:p>
        </w:tc>
        <w:tc>
          <w:tcPr>
            <w:tcW w:w="343" w:type="dxa"/>
            <w:gridSpan w:val="3"/>
            <w:vMerge w:val="restart"/>
            <w:shd w:val="clear" w:color="auto" w:fill="CCC0D9" w:themeFill="accent4" w:themeFillTint="66"/>
          </w:tcPr>
          <w:p w14:paraId="7F146B03" w14:textId="77777777" w:rsidR="003221C6" w:rsidRPr="00257F44" w:rsidRDefault="003221C6" w:rsidP="00FD2A72">
            <w:pPr>
              <w:pStyle w:val="Rowcolumntitles"/>
              <w:rPr>
                <w:rFonts w:eastAsia="Times New Roman"/>
                <w:sz w:val="20"/>
                <w:lang w:val="uk-UA"/>
              </w:rPr>
            </w:pPr>
          </w:p>
        </w:tc>
        <w:tc>
          <w:tcPr>
            <w:tcW w:w="485" w:type="dxa"/>
            <w:gridSpan w:val="3"/>
            <w:shd w:val="clear" w:color="auto" w:fill="B8CCE4" w:themeFill="accent1" w:themeFillTint="66"/>
          </w:tcPr>
          <w:p w14:paraId="4E9433C0" w14:textId="3F03AC45" w:rsidR="003221C6" w:rsidRPr="00257F44" w:rsidRDefault="003221C6" w:rsidP="00FD2A72">
            <w:pPr>
              <w:pStyle w:val="Rowcolumntitles"/>
              <w:rPr>
                <w:rFonts w:eastAsia="Times New Roman"/>
                <w:sz w:val="20"/>
                <w:lang w:val="uk-UA"/>
              </w:rPr>
            </w:pPr>
          </w:p>
        </w:tc>
        <w:tc>
          <w:tcPr>
            <w:tcW w:w="487" w:type="dxa"/>
            <w:gridSpan w:val="2"/>
            <w:shd w:val="clear" w:color="auto" w:fill="B8CCE4" w:themeFill="accent1" w:themeFillTint="66"/>
          </w:tcPr>
          <w:p w14:paraId="269229E3" w14:textId="77777777" w:rsidR="003221C6" w:rsidRPr="00257F44" w:rsidRDefault="003221C6" w:rsidP="00FD2A72">
            <w:pPr>
              <w:pStyle w:val="Rowcolumntitles"/>
              <w:rPr>
                <w:rFonts w:eastAsia="Times New Roman"/>
                <w:sz w:val="20"/>
                <w:lang w:val="uk-UA"/>
              </w:rPr>
            </w:pPr>
          </w:p>
        </w:tc>
        <w:tc>
          <w:tcPr>
            <w:tcW w:w="487" w:type="dxa"/>
            <w:gridSpan w:val="4"/>
            <w:shd w:val="clear" w:color="auto" w:fill="B8CCE4" w:themeFill="accent1" w:themeFillTint="66"/>
          </w:tcPr>
          <w:p w14:paraId="505DBAD6" w14:textId="36D5879F"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93" w:type="dxa"/>
            <w:gridSpan w:val="3"/>
            <w:shd w:val="clear" w:color="auto" w:fill="B8CCE4" w:themeFill="accent1" w:themeFillTint="66"/>
          </w:tcPr>
          <w:p w14:paraId="6D582A2D" w14:textId="77AD4DF2" w:rsidR="003221C6" w:rsidRPr="00257F44" w:rsidRDefault="003221C6" w:rsidP="00FD2A72">
            <w:pPr>
              <w:pStyle w:val="Rowcolumntitles"/>
              <w:rPr>
                <w:rFonts w:eastAsia="Times New Roman"/>
                <w:sz w:val="20"/>
                <w:lang w:val="uk-UA"/>
              </w:rPr>
            </w:pPr>
          </w:p>
        </w:tc>
        <w:tc>
          <w:tcPr>
            <w:tcW w:w="367" w:type="dxa"/>
            <w:gridSpan w:val="3"/>
            <w:vMerge w:val="restart"/>
            <w:shd w:val="clear" w:color="auto" w:fill="D99594" w:themeFill="accent2" w:themeFillTint="99"/>
          </w:tcPr>
          <w:p w14:paraId="6A5703EB" w14:textId="77777777" w:rsidR="003221C6" w:rsidRPr="00257F44" w:rsidRDefault="003221C6"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273E4D14" w14:textId="0BFA2BB8" w:rsidR="003221C6" w:rsidRPr="00257F44" w:rsidRDefault="003221C6"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1C1FB1AA" w14:textId="77777777" w:rsidR="003221C6" w:rsidRPr="00257F44" w:rsidRDefault="003221C6"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06EF7F7B" w14:textId="4D4407DC"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88" w:type="dxa"/>
            <w:gridSpan w:val="2"/>
            <w:vMerge w:val="restart"/>
            <w:shd w:val="clear" w:color="auto" w:fill="D99594" w:themeFill="accent2" w:themeFillTint="99"/>
          </w:tcPr>
          <w:p w14:paraId="2CFA586B" w14:textId="77777777" w:rsidR="003221C6" w:rsidRPr="00257F44" w:rsidRDefault="003221C6" w:rsidP="00FD2A72">
            <w:pPr>
              <w:pStyle w:val="Rowcolumntitles"/>
              <w:rPr>
                <w:rFonts w:eastAsia="Times New Roman"/>
                <w:sz w:val="20"/>
                <w:lang w:val="uk-UA"/>
              </w:rPr>
            </w:pPr>
          </w:p>
        </w:tc>
      </w:tr>
      <w:tr w:rsidR="000E0B9A" w:rsidRPr="00257F44" w14:paraId="3687FBF5" w14:textId="77777777" w:rsidTr="00DB3322">
        <w:trPr>
          <w:gridAfter w:val="2"/>
          <w:wAfter w:w="24" w:type="dxa"/>
          <w:trHeight w:val="300"/>
        </w:trPr>
        <w:tc>
          <w:tcPr>
            <w:tcW w:w="1470" w:type="dxa"/>
            <w:vMerge/>
            <w:shd w:val="clear" w:color="auto" w:fill="000000" w:themeFill="text1"/>
          </w:tcPr>
          <w:p w14:paraId="6066E2AA" w14:textId="77777777" w:rsidR="003221C6" w:rsidRPr="00257F44" w:rsidRDefault="003221C6" w:rsidP="00FD2A72">
            <w:pPr>
              <w:pStyle w:val="Rowcolumntitles"/>
              <w:rPr>
                <w:noProof/>
                <w:color w:val="FFFFFF" w:themeColor="background1"/>
                <w:sz w:val="20"/>
                <w:lang w:val="uk-UA"/>
              </w:rPr>
            </w:pPr>
          </w:p>
        </w:tc>
        <w:tc>
          <w:tcPr>
            <w:tcW w:w="402" w:type="dxa"/>
            <w:vMerge/>
            <w:shd w:val="clear" w:color="auto" w:fill="D6E3BC" w:themeFill="accent3" w:themeFillTint="66"/>
          </w:tcPr>
          <w:p w14:paraId="6612710B" w14:textId="77777777" w:rsidR="003221C6" w:rsidRPr="00257F44" w:rsidRDefault="003221C6" w:rsidP="00FD2A72">
            <w:pPr>
              <w:pStyle w:val="Rowcolumntitles"/>
              <w:rPr>
                <w:sz w:val="20"/>
                <w:lang w:val="uk-UA"/>
              </w:rPr>
            </w:pPr>
          </w:p>
        </w:tc>
        <w:tc>
          <w:tcPr>
            <w:tcW w:w="388" w:type="dxa"/>
            <w:vMerge/>
            <w:shd w:val="clear" w:color="auto" w:fill="D6E3BC" w:themeFill="accent3" w:themeFillTint="66"/>
          </w:tcPr>
          <w:p w14:paraId="6C87924D" w14:textId="77777777" w:rsidR="003221C6" w:rsidRPr="00257F44" w:rsidRDefault="003221C6" w:rsidP="00FD2A72">
            <w:pPr>
              <w:pStyle w:val="Rowcolumntitles"/>
              <w:rPr>
                <w:rFonts w:eastAsia="Times New Roman"/>
                <w:sz w:val="20"/>
                <w:lang w:val="uk-UA"/>
              </w:rPr>
            </w:pPr>
          </w:p>
        </w:tc>
        <w:tc>
          <w:tcPr>
            <w:tcW w:w="425" w:type="dxa"/>
            <w:vMerge/>
            <w:shd w:val="clear" w:color="auto" w:fill="D6E3BC" w:themeFill="accent3" w:themeFillTint="66"/>
          </w:tcPr>
          <w:p w14:paraId="280495FA" w14:textId="77777777" w:rsidR="003221C6" w:rsidRPr="00257F44" w:rsidRDefault="003221C6" w:rsidP="00FD2A72">
            <w:pPr>
              <w:pStyle w:val="Rowcolumntitles"/>
              <w:rPr>
                <w:sz w:val="20"/>
                <w:lang w:val="uk-UA"/>
              </w:rPr>
            </w:pPr>
          </w:p>
        </w:tc>
        <w:tc>
          <w:tcPr>
            <w:tcW w:w="395" w:type="dxa"/>
            <w:vMerge/>
            <w:shd w:val="clear" w:color="auto" w:fill="D6E3BC" w:themeFill="accent3" w:themeFillTint="66"/>
          </w:tcPr>
          <w:p w14:paraId="52FA50FD" w14:textId="77777777" w:rsidR="003221C6" w:rsidRPr="00257F44" w:rsidRDefault="003221C6" w:rsidP="00FD2A72">
            <w:pPr>
              <w:pStyle w:val="Rowcolumntitles"/>
              <w:rPr>
                <w:noProof/>
                <w:sz w:val="20"/>
                <w:lang w:val="uk-UA"/>
              </w:rPr>
            </w:pPr>
          </w:p>
        </w:tc>
        <w:tc>
          <w:tcPr>
            <w:tcW w:w="654" w:type="dxa"/>
            <w:gridSpan w:val="2"/>
            <w:vMerge/>
            <w:shd w:val="clear" w:color="auto" w:fill="FBD4B4" w:themeFill="accent6" w:themeFillTint="66"/>
          </w:tcPr>
          <w:p w14:paraId="2C8C373D" w14:textId="77777777" w:rsidR="003221C6" w:rsidRPr="00257F44" w:rsidRDefault="003221C6" w:rsidP="00FD2A72">
            <w:pPr>
              <w:pStyle w:val="Rowcolumntitles"/>
              <w:rPr>
                <w:noProof/>
                <w:sz w:val="20"/>
                <w:lang w:val="uk-UA"/>
              </w:rPr>
            </w:pPr>
          </w:p>
        </w:tc>
        <w:tc>
          <w:tcPr>
            <w:tcW w:w="369" w:type="dxa"/>
            <w:vMerge/>
            <w:shd w:val="clear" w:color="auto" w:fill="FBD4B4" w:themeFill="accent6" w:themeFillTint="66"/>
          </w:tcPr>
          <w:p w14:paraId="1A2FE37F" w14:textId="77777777" w:rsidR="003221C6" w:rsidRPr="00257F44" w:rsidRDefault="003221C6" w:rsidP="00FD2A72">
            <w:pPr>
              <w:pStyle w:val="Rowcolumntitles"/>
              <w:rPr>
                <w:rFonts w:eastAsia="Times New Roman"/>
                <w:sz w:val="20"/>
                <w:lang w:val="uk-UA"/>
              </w:rPr>
            </w:pPr>
          </w:p>
        </w:tc>
        <w:tc>
          <w:tcPr>
            <w:tcW w:w="404" w:type="dxa"/>
            <w:vMerge/>
            <w:shd w:val="clear" w:color="auto" w:fill="FBD4B4" w:themeFill="accent6" w:themeFillTint="66"/>
          </w:tcPr>
          <w:p w14:paraId="3A374BCA" w14:textId="77777777" w:rsidR="003221C6" w:rsidRPr="00257F44" w:rsidRDefault="003221C6" w:rsidP="00FD2A72">
            <w:pPr>
              <w:pStyle w:val="Rowcolumntitles"/>
              <w:rPr>
                <w:rFonts w:eastAsia="Times New Roman"/>
                <w:sz w:val="20"/>
                <w:lang w:val="uk-UA"/>
              </w:rPr>
            </w:pPr>
          </w:p>
        </w:tc>
        <w:tc>
          <w:tcPr>
            <w:tcW w:w="895" w:type="dxa"/>
            <w:vMerge/>
            <w:shd w:val="clear" w:color="auto" w:fill="FBD4B4" w:themeFill="accent6" w:themeFillTint="66"/>
          </w:tcPr>
          <w:p w14:paraId="76635740" w14:textId="77777777" w:rsidR="003221C6" w:rsidRPr="00257F44" w:rsidRDefault="003221C6" w:rsidP="00FD2A72">
            <w:pPr>
              <w:pStyle w:val="Rowcolumntitles"/>
              <w:rPr>
                <w:rFonts w:eastAsia="Times New Roman"/>
                <w:sz w:val="20"/>
                <w:lang w:val="uk-UA"/>
              </w:rPr>
            </w:pPr>
          </w:p>
        </w:tc>
        <w:tc>
          <w:tcPr>
            <w:tcW w:w="341" w:type="dxa"/>
            <w:gridSpan w:val="3"/>
            <w:vMerge/>
            <w:shd w:val="clear" w:color="auto" w:fill="CCC0D9" w:themeFill="accent4" w:themeFillTint="66"/>
          </w:tcPr>
          <w:p w14:paraId="5C172E68" w14:textId="77777777" w:rsidR="003221C6" w:rsidRPr="00257F44" w:rsidRDefault="003221C6" w:rsidP="00FD2A72">
            <w:pPr>
              <w:pStyle w:val="Rowcolumntitles"/>
              <w:rPr>
                <w:sz w:val="20"/>
                <w:lang w:val="uk-UA"/>
              </w:rPr>
            </w:pPr>
          </w:p>
        </w:tc>
        <w:tc>
          <w:tcPr>
            <w:tcW w:w="341" w:type="dxa"/>
            <w:gridSpan w:val="2"/>
            <w:vMerge/>
            <w:shd w:val="clear" w:color="auto" w:fill="CCC0D9" w:themeFill="accent4" w:themeFillTint="66"/>
          </w:tcPr>
          <w:p w14:paraId="005C24E0" w14:textId="77777777" w:rsidR="003221C6" w:rsidRPr="00257F44" w:rsidRDefault="003221C6" w:rsidP="00FD2A72">
            <w:pPr>
              <w:pStyle w:val="Rowcolumntitles"/>
              <w:rPr>
                <w:noProof/>
                <w:sz w:val="20"/>
                <w:lang w:val="uk-UA"/>
              </w:rPr>
            </w:pPr>
          </w:p>
        </w:tc>
        <w:tc>
          <w:tcPr>
            <w:tcW w:w="341" w:type="dxa"/>
            <w:gridSpan w:val="2"/>
            <w:vMerge/>
            <w:shd w:val="clear" w:color="auto" w:fill="CCC0D9" w:themeFill="accent4" w:themeFillTint="66"/>
          </w:tcPr>
          <w:p w14:paraId="69FF57B9" w14:textId="77777777" w:rsidR="003221C6" w:rsidRPr="00257F44" w:rsidRDefault="003221C6" w:rsidP="00FD2A72">
            <w:pPr>
              <w:pStyle w:val="Rowcolumntitles"/>
              <w:rPr>
                <w:sz w:val="20"/>
                <w:lang w:val="uk-UA"/>
              </w:rPr>
            </w:pPr>
          </w:p>
        </w:tc>
        <w:tc>
          <w:tcPr>
            <w:tcW w:w="343" w:type="dxa"/>
            <w:gridSpan w:val="3"/>
            <w:vMerge/>
            <w:shd w:val="clear" w:color="auto" w:fill="CCC0D9" w:themeFill="accent4" w:themeFillTint="66"/>
          </w:tcPr>
          <w:p w14:paraId="03D556D0" w14:textId="77777777" w:rsidR="003221C6" w:rsidRPr="00257F44" w:rsidRDefault="003221C6" w:rsidP="00FD2A72">
            <w:pPr>
              <w:pStyle w:val="Rowcolumntitles"/>
              <w:rPr>
                <w:rFonts w:eastAsia="Times New Roman"/>
                <w:sz w:val="20"/>
                <w:lang w:val="uk-UA"/>
              </w:rPr>
            </w:pPr>
          </w:p>
        </w:tc>
        <w:tc>
          <w:tcPr>
            <w:tcW w:w="485" w:type="dxa"/>
            <w:gridSpan w:val="3"/>
            <w:shd w:val="clear" w:color="auto" w:fill="B8CCE4" w:themeFill="accent1" w:themeFillTint="66"/>
          </w:tcPr>
          <w:p w14:paraId="63FAF07E" w14:textId="1C0D22FB" w:rsidR="003221C6" w:rsidRPr="00257F44" w:rsidRDefault="003221C6" w:rsidP="00FD2A72">
            <w:pPr>
              <w:pStyle w:val="Rowcolumntitles"/>
              <w:rPr>
                <w:rFonts w:eastAsia="Times New Roman"/>
                <w:sz w:val="20"/>
                <w:lang w:val="uk-UA"/>
              </w:rPr>
            </w:pPr>
          </w:p>
        </w:tc>
        <w:tc>
          <w:tcPr>
            <w:tcW w:w="487" w:type="dxa"/>
            <w:gridSpan w:val="2"/>
            <w:shd w:val="clear" w:color="auto" w:fill="B8CCE4" w:themeFill="accent1" w:themeFillTint="66"/>
          </w:tcPr>
          <w:p w14:paraId="2CE8F967" w14:textId="77777777" w:rsidR="003221C6" w:rsidRPr="00257F44" w:rsidRDefault="003221C6" w:rsidP="00FD2A72">
            <w:pPr>
              <w:pStyle w:val="Rowcolumntitles"/>
              <w:rPr>
                <w:rFonts w:eastAsia="Times New Roman"/>
                <w:sz w:val="20"/>
                <w:lang w:val="uk-UA"/>
              </w:rPr>
            </w:pPr>
          </w:p>
        </w:tc>
        <w:tc>
          <w:tcPr>
            <w:tcW w:w="487" w:type="dxa"/>
            <w:gridSpan w:val="4"/>
            <w:shd w:val="clear" w:color="auto" w:fill="B8CCE4" w:themeFill="accent1" w:themeFillTint="66"/>
          </w:tcPr>
          <w:p w14:paraId="00B49FEA" w14:textId="77777777" w:rsidR="003221C6" w:rsidRPr="00257F44" w:rsidRDefault="003221C6" w:rsidP="00FD2A72">
            <w:pPr>
              <w:pStyle w:val="Rowcolumntitles"/>
              <w:rPr>
                <w:rFonts w:eastAsia="Times New Roman"/>
                <w:sz w:val="20"/>
                <w:lang w:val="uk-UA"/>
              </w:rPr>
            </w:pPr>
          </w:p>
        </w:tc>
        <w:tc>
          <w:tcPr>
            <w:tcW w:w="493" w:type="dxa"/>
            <w:gridSpan w:val="3"/>
            <w:shd w:val="clear" w:color="auto" w:fill="B8CCE4" w:themeFill="accent1" w:themeFillTint="66"/>
          </w:tcPr>
          <w:p w14:paraId="2A701C11" w14:textId="2C679007"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7" w:type="dxa"/>
            <w:gridSpan w:val="3"/>
            <w:vMerge/>
            <w:shd w:val="clear" w:color="auto" w:fill="D99594" w:themeFill="accent2" w:themeFillTint="99"/>
          </w:tcPr>
          <w:p w14:paraId="29F17BFD" w14:textId="77777777" w:rsidR="003221C6" w:rsidRPr="00257F44" w:rsidRDefault="003221C6" w:rsidP="00FD2A72">
            <w:pPr>
              <w:pStyle w:val="Rowcolumntitles"/>
              <w:rPr>
                <w:rFonts w:eastAsia="Times New Roman"/>
                <w:sz w:val="20"/>
                <w:lang w:val="uk-UA"/>
              </w:rPr>
            </w:pPr>
          </w:p>
        </w:tc>
        <w:tc>
          <w:tcPr>
            <w:tcW w:w="318" w:type="dxa"/>
            <w:gridSpan w:val="2"/>
            <w:vMerge/>
            <w:shd w:val="clear" w:color="auto" w:fill="D99594" w:themeFill="accent2" w:themeFillTint="99"/>
          </w:tcPr>
          <w:p w14:paraId="302E5B26" w14:textId="77777777" w:rsidR="003221C6" w:rsidRPr="00257F44" w:rsidRDefault="003221C6" w:rsidP="00FD2A72">
            <w:pPr>
              <w:pStyle w:val="Rowcolumntitles"/>
              <w:rPr>
                <w:rFonts w:eastAsia="Times New Roman"/>
                <w:sz w:val="20"/>
                <w:lang w:val="uk-UA"/>
              </w:rPr>
            </w:pPr>
          </w:p>
        </w:tc>
        <w:tc>
          <w:tcPr>
            <w:tcW w:w="318" w:type="dxa"/>
            <w:gridSpan w:val="2"/>
            <w:vMerge/>
            <w:shd w:val="clear" w:color="auto" w:fill="D99594" w:themeFill="accent2" w:themeFillTint="99"/>
          </w:tcPr>
          <w:p w14:paraId="7D6B8A28" w14:textId="77777777" w:rsidR="003221C6" w:rsidRPr="00257F44" w:rsidRDefault="003221C6" w:rsidP="00FD2A72">
            <w:pPr>
              <w:pStyle w:val="Rowcolumntitles"/>
              <w:rPr>
                <w:rFonts w:eastAsia="Times New Roman"/>
                <w:sz w:val="20"/>
                <w:lang w:val="uk-UA"/>
              </w:rPr>
            </w:pPr>
          </w:p>
        </w:tc>
        <w:tc>
          <w:tcPr>
            <w:tcW w:w="318" w:type="dxa"/>
            <w:gridSpan w:val="2"/>
            <w:vMerge/>
            <w:shd w:val="clear" w:color="auto" w:fill="D99594" w:themeFill="accent2" w:themeFillTint="99"/>
          </w:tcPr>
          <w:p w14:paraId="21A01A11" w14:textId="77777777" w:rsidR="003221C6" w:rsidRPr="00257F44" w:rsidRDefault="003221C6" w:rsidP="00FD2A72">
            <w:pPr>
              <w:pStyle w:val="Rowcolumntitles"/>
              <w:rPr>
                <w:rFonts w:eastAsia="Times New Roman"/>
                <w:sz w:val="20"/>
                <w:lang w:val="uk-UA"/>
              </w:rPr>
            </w:pPr>
          </w:p>
        </w:tc>
        <w:tc>
          <w:tcPr>
            <w:tcW w:w="388" w:type="dxa"/>
            <w:gridSpan w:val="2"/>
            <w:vMerge/>
            <w:shd w:val="clear" w:color="auto" w:fill="D99594" w:themeFill="accent2" w:themeFillTint="99"/>
          </w:tcPr>
          <w:p w14:paraId="1614C9A2" w14:textId="77777777" w:rsidR="003221C6" w:rsidRPr="00257F44" w:rsidRDefault="003221C6" w:rsidP="00FD2A72">
            <w:pPr>
              <w:pStyle w:val="Rowcolumntitles"/>
              <w:rPr>
                <w:rFonts w:eastAsia="Times New Roman"/>
                <w:sz w:val="20"/>
                <w:lang w:val="uk-UA"/>
              </w:rPr>
            </w:pPr>
          </w:p>
        </w:tc>
      </w:tr>
      <w:tr w:rsidR="000E0B9A" w:rsidRPr="00257F44" w14:paraId="465E1A30" w14:textId="77777777" w:rsidTr="00DB3322">
        <w:trPr>
          <w:gridAfter w:val="2"/>
          <w:wAfter w:w="24" w:type="dxa"/>
          <w:trHeight w:val="227"/>
        </w:trPr>
        <w:tc>
          <w:tcPr>
            <w:tcW w:w="1470" w:type="dxa"/>
            <w:vMerge w:val="restart"/>
            <w:shd w:val="clear" w:color="auto" w:fill="000000" w:themeFill="text1"/>
          </w:tcPr>
          <w:p w14:paraId="570DD84A" w14:textId="5F4287D2" w:rsidR="003221C6" w:rsidRPr="00257F44" w:rsidRDefault="003221C6" w:rsidP="00FD2A72">
            <w:pPr>
              <w:pStyle w:val="Rowcolumntitles"/>
              <w:rPr>
                <w:noProof/>
                <w:color w:val="FFFFFF" w:themeColor="background1"/>
                <w:sz w:val="20"/>
                <w:lang w:val="uk-UA"/>
              </w:rPr>
            </w:pPr>
            <w:r w:rsidRPr="00257F44">
              <w:rPr>
                <w:noProof/>
                <w:color w:val="FFFFFF" w:themeColor="background1"/>
                <w:sz w:val="20"/>
                <w:lang w:val="uk-UA"/>
              </w:rPr>
              <w:t xml:space="preserve">5.2 </w:t>
            </w:r>
            <w:r w:rsidR="00E41990" w:rsidRPr="00257F44">
              <w:rPr>
                <w:noProof/>
                <w:color w:val="FFFFFF" w:themeColor="background1"/>
                <w:sz w:val="20"/>
                <w:lang w:val="uk-UA"/>
              </w:rPr>
              <w:t>Доступ до містобудівної документації</w:t>
            </w:r>
          </w:p>
        </w:tc>
        <w:tc>
          <w:tcPr>
            <w:tcW w:w="402" w:type="dxa"/>
            <w:vMerge w:val="restart"/>
            <w:shd w:val="clear" w:color="auto" w:fill="D6E3BC" w:themeFill="accent3" w:themeFillTint="66"/>
          </w:tcPr>
          <w:p w14:paraId="492F70F7" w14:textId="77777777" w:rsidR="003221C6" w:rsidRPr="00257F44" w:rsidRDefault="003221C6" w:rsidP="00FD2A72">
            <w:pPr>
              <w:pStyle w:val="Rowcolumntitles"/>
              <w:rPr>
                <w:sz w:val="20"/>
                <w:lang w:val="uk-UA"/>
              </w:rPr>
            </w:pPr>
          </w:p>
        </w:tc>
        <w:tc>
          <w:tcPr>
            <w:tcW w:w="388" w:type="dxa"/>
            <w:vMerge w:val="restart"/>
            <w:shd w:val="clear" w:color="auto" w:fill="D6E3BC" w:themeFill="accent3" w:themeFillTint="66"/>
          </w:tcPr>
          <w:p w14:paraId="3C0D84A7" w14:textId="77777777" w:rsidR="003221C6" w:rsidRPr="00257F44" w:rsidRDefault="003221C6" w:rsidP="00FD2A72">
            <w:pPr>
              <w:pStyle w:val="Rowcolumntitles"/>
              <w:rPr>
                <w:rFonts w:eastAsia="Times New Roman"/>
                <w:sz w:val="20"/>
                <w:lang w:val="uk-UA"/>
              </w:rPr>
            </w:pPr>
          </w:p>
        </w:tc>
        <w:tc>
          <w:tcPr>
            <w:tcW w:w="425" w:type="dxa"/>
            <w:vMerge w:val="restart"/>
            <w:shd w:val="clear" w:color="auto" w:fill="D6E3BC" w:themeFill="accent3" w:themeFillTint="66"/>
          </w:tcPr>
          <w:p w14:paraId="6DA6DB19" w14:textId="77777777" w:rsidR="003221C6" w:rsidRPr="00257F44" w:rsidRDefault="003221C6" w:rsidP="00FD2A72">
            <w:pPr>
              <w:pStyle w:val="Rowcolumntitles"/>
              <w:rPr>
                <w:sz w:val="20"/>
                <w:lang w:val="uk-UA"/>
              </w:rPr>
            </w:pPr>
          </w:p>
        </w:tc>
        <w:tc>
          <w:tcPr>
            <w:tcW w:w="395" w:type="dxa"/>
            <w:vMerge w:val="restart"/>
            <w:shd w:val="clear" w:color="auto" w:fill="D6E3BC" w:themeFill="accent3" w:themeFillTint="66"/>
          </w:tcPr>
          <w:p w14:paraId="35304585" w14:textId="63338C74"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654" w:type="dxa"/>
            <w:gridSpan w:val="2"/>
            <w:vMerge w:val="restart"/>
            <w:shd w:val="clear" w:color="auto" w:fill="FBD4B4" w:themeFill="accent6" w:themeFillTint="66"/>
          </w:tcPr>
          <w:p w14:paraId="31DC43BA" w14:textId="4BA016EE"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9" w:type="dxa"/>
            <w:vMerge w:val="restart"/>
            <w:shd w:val="clear" w:color="auto" w:fill="FBD4B4" w:themeFill="accent6" w:themeFillTint="66"/>
          </w:tcPr>
          <w:p w14:paraId="6A1EF715" w14:textId="77777777" w:rsidR="003221C6" w:rsidRPr="00257F44" w:rsidRDefault="003221C6" w:rsidP="00FD2A72">
            <w:pPr>
              <w:pStyle w:val="Rowcolumntitles"/>
              <w:rPr>
                <w:rFonts w:eastAsia="Times New Roman"/>
                <w:sz w:val="20"/>
                <w:lang w:val="uk-UA"/>
              </w:rPr>
            </w:pPr>
          </w:p>
        </w:tc>
        <w:tc>
          <w:tcPr>
            <w:tcW w:w="404" w:type="dxa"/>
            <w:vMerge w:val="restart"/>
            <w:shd w:val="clear" w:color="auto" w:fill="FBD4B4" w:themeFill="accent6" w:themeFillTint="66"/>
          </w:tcPr>
          <w:p w14:paraId="40F9C987" w14:textId="77777777" w:rsidR="003221C6" w:rsidRPr="00257F44" w:rsidRDefault="003221C6" w:rsidP="00FD2A72">
            <w:pPr>
              <w:pStyle w:val="Rowcolumntitles"/>
              <w:rPr>
                <w:rFonts w:eastAsia="Times New Roman"/>
                <w:sz w:val="20"/>
                <w:lang w:val="uk-UA"/>
              </w:rPr>
            </w:pPr>
          </w:p>
        </w:tc>
        <w:tc>
          <w:tcPr>
            <w:tcW w:w="895" w:type="dxa"/>
            <w:vMerge w:val="restart"/>
            <w:shd w:val="clear" w:color="auto" w:fill="FBD4B4" w:themeFill="accent6" w:themeFillTint="66"/>
          </w:tcPr>
          <w:p w14:paraId="49B52545" w14:textId="579C8BAA"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41" w:type="dxa"/>
            <w:gridSpan w:val="3"/>
            <w:vMerge w:val="restart"/>
            <w:shd w:val="clear" w:color="auto" w:fill="CCC0D9" w:themeFill="accent4" w:themeFillTint="66"/>
          </w:tcPr>
          <w:p w14:paraId="4563B11E" w14:textId="77777777" w:rsidR="003221C6" w:rsidRPr="00257F44" w:rsidRDefault="003221C6" w:rsidP="00FD2A72">
            <w:pPr>
              <w:pStyle w:val="Rowcolumntitles"/>
              <w:rPr>
                <w:sz w:val="20"/>
                <w:lang w:val="uk-UA"/>
              </w:rPr>
            </w:pPr>
          </w:p>
        </w:tc>
        <w:tc>
          <w:tcPr>
            <w:tcW w:w="341" w:type="dxa"/>
            <w:gridSpan w:val="2"/>
            <w:vMerge w:val="restart"/>
            <w:shd w:val="clear" w:color="auto" w:fill="CCC0D9" w:themeFill="accent4" w:themeFillTint="66"/>
          </w:tcPr>
          <w:p w14:paraId="1C8E98B4" w14:textId="77777777" w:rsidR="003221C6" w:rsidRPr="00257F44" w:rsidRDefault="003221C6" w:rsidP="00FD2A72">
            <w:pPr>
              <w:pStyle w:val="Rowcolumntitles"/>
              <w:rPr>
                <w:rFonts w:eastAsia="Times New Roman"/>
                <w:sz w:val="20"/>
                <w:lang w:val="uk-UA"/>
              </w:rPr>
            </w:pPr>
          </w:p>
        </w:tc>
        <w:tc>
          <w:tcPr>
            <w:tcW w:w="341" w:type="dxa"/>
            <w:gridSpan w:val="2"/>
            <w:vMerge w:val="restart"/>
            <w:shd w:val="clear" w:color="auto" w:fill="CCC0D9" w:themeFill="accent4" w:themeFillTint="66"/>
          </w:tcPr>
          <w:p w14:paraId="2584EBD6" w14:textId="77777777" w:rsidR="003221C6" w:rsidRPr="00257F44" w:rsidRDefault="003221C6" w:rsidP="00FD2A72">
            <w:pPr>
              <w:pStyle w:val="Rowcolumntitles"/>
              <w:rPr>
                <w:sz w:val="20"/>
                <w:lang w:val="uk-UA"/>
              </w:rPr>
            </w:pPr>
          </w:p>
        </w:tc>
        <w:tc>
          <w:tcPr>
            <w:tcW w:w="343" w:type="dxa"/>
            <w:gridSpan w:val="3"/>
            <w:vMerge w:val="restart"/>
            <w:shd w:val="clear" w:color="auto" w:fill="CCC0D9" w:themeFill="accent4" w:themeFillTint="66"/>
          </w:tcPr>
          <w:p w14:paraId="77583E4A" w14:textId="2BA6E57B"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85" w:type="dxa"/>
            <w:gridSpan w:val="3"/>
            <w:shd w:val="clear" w:color="auto" w:fill="B8CCE4" w:themeFill="accent1" w:themeFillTint="66"/>
          </w:tcPr>
          <w:p w14:paraId="7692BA62" w14:textId="557107D8" w:rsidR="003221C6" w:rsidRPr="00257F44" w:rsidRDefault="003221C6" w:rsidP="00FD2A72">
            <w:pPr>
              <w:pStyle w:val="Rowcolumntitles"/>
              <w:rPr>
                <w:rFonts w:eastAsia="Times New Roman"/>
                <w:sz w:val="20"/>
                <w:lang w:val="uk-UA"/>
              </w:rPr>
            </w:pPr>
          </w:p>
        </w:tc>
        <w:tc>
          <w:tcPr>
            <w:tcW w:w="487" w:type="dxa"/>
            <w:gridSpan w:val="2"/>
            <w:shd w:val="clear" w:color="auto" w:fill="B8CCE4" w:themeFill="accent1" w:themeFillTint="66"/>
          </w:tcPr>
          <w:p w14:paraId="760538A9" w14:textId="72B0B6E6"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87" w:type="dxa"/>
            <w:gridSpan w:val="4"/>
            <w:shd w:val="clear" w:color="auto" w:fill="B8CCE4" w:themeFill="accent1" w:themeFillTint="66"/>
          </w:tcPr>
          <w:p w14:paraId="415B9D5C" w14:textId="77777777" w:rsidR="003221C6" w:rsidRPr="00257F44" w:rsidRDefault="003221C6" w:rsidP="00FD2A72">
            <w:pPr>
              <w:pStyle w:val="Rowcolumntitles"/>
              <w:rPr>
                <w:rFonts w:eastAsia="Times New Roman"/>
                <w:sz w:val="20"/>
                <w:lang w:val="uk-UA"/>
              </w:rPr>
            </w:pPr>
          </w:p>
        </w:tc>
        <w:tc>
          <w:tcPr>
            <w:tcW w:w="493" w:type="dxa"/>
            <w:gridSpan w:val="3"/>
            <w:shd w:val="clear" w:color="auto" w:fill="B8CCE4" w:themeFill="accent1" w:themeFillTint="66"/>
          </w:tcPr>
          <w:p w14:paraId="480E009C" w14:textId="1FE385DA" w:rsidR="003221C6" w:rsidRPr="00257F44" w:rsidRDefault="003221C6" w:rsidP="00FD2A72">
            <w:pPr>
              <w:pStyle w:val="Rowcolumntitles"/>
              <w:rPr>
                <w:rFonts w:eastAsia="Times New Roman"/>
                <w:sz w:val="20"/>
                <w:lang w:val="uk-UA"/>
              </w:rPr>
            </w:pPr>
          </w:p>
        </w:tc>
        <w:tc>
          <w:tcPr>
            <w:tcW w:w="367" w:type="dxa"/>
            <w:gridSpan w:val="3"/>
            <w:vMerge w:val="restart"/>
            <w:shd w:val="clear" w:color="auto" w:fill="D99594" w:themeFill="accent2" w:themeFillTint="99"/>
          </w:tcPr>
          <w:p w14:paraId="5C3A30C5" w14:textId="77777777" w:rsidR="003221C6" w:rsidRPr="00257F44" w:rsidRDefault="003221C6"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3F6DD613" w14:textId="77777777" w:rsidR="003221C6" w:rsidRPr="00257F44" w:rsidRDefault="003221C6"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73BA6EF1" w14:textId="45EE68AD"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18" w:type="dxa"/>
            <w:gridSpan w:val="2"/>
            <w:vMerge w:val="restart"/>
            <w:shd w:val="clear" w:color="auto" w:fill="D99594" w:themeFill="accent2" w:themeFillTint="99"/>
          </w:tcPr>
          <w:p w14:paraId="523EFDCC" w14:textId="77777777" w:rsidR="003221C6" w:rsidRPr="00257F44" w:rsidRDefault="003221C6"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559B6AD4" w14:textId="77777777" w:rsidR="003221C6" w:rsidRPr="00257F44" w:rsidRDefault="003221C6" w:rsidP="00FD2A72">
            <w:pPr>
              <w:pStyle w:val="Rowcolumntitles"/>
              <w:rPr>
                <w:rFonts w:eastAsia="Times New Roman"/>
                <w:sz w:val="20"/>
                <w:lang w:val="uk-UA"/>
              </w:rPr>
            </w:pPr>
          </w:p>
        </w:tc>
      </w:tr>
      <w:tr w:rsidR="000E0B9A" w:rsidRPr="00257F44" w14:paraId="2A26325B" w14:textId="77777777" w:rsidTr="00DB3322">
        <w:trPr>
          <w:gridAfter w:val="2"/>
          <w:wAfter w:w="24" w:type="dxa"/>
          <w:trHeight w:val="226"/>
        </w:trPr>
        <w:tc>
          <w:tcPr>
            <w:tcW w:w="1470" w:type="dxa"/>
            <w:vMerge/>
            <w:shd w:val="clear" w:color="auto" w:fill="000000" w:themeFill="text1"/>
          </w:tcPr>
          <w:p w14:paraId="35697EE9" w14:textId="77777777" w:rsidR="003221C6" w:rsidRPr="00257F44" w:rsidRDefault="003221C6" w:rsidP="00FD2A72">
            <w:pPr>
              <w:pStyle w:val="Rowcolumntitles"/>
              <w:rPr>
                <w:noProof/>
                <w:color w:val="FFFFFF" w:themeColor="background1"/>
                <w:sz w:val="20"/>
                <w:lang w:val="uk-UA"/>
              </w:rPr>
            </w:pPr>
          </w:p>
        </w:tc>
        <w:tc>
          <w:tcPr>
            <w:tcW w:w="402" w:type="dxa"/>
            <w:vMerge/>
            <w:shd w:val="clear" w:color="auto" w:fill="D6E3BC" w:themeFill="accent3" w:themeFillTint="66"/>
          </w:tcPr>
          <w:p w14:paraId="2B3691E7" w14:textId="77777777" w:rsidR="003221C6" w:rsidRPr="00257F44" w:rsidRDefault="003221C6" w:rsidP="00FD2A72">
            <w:pPr>
              <w:pStyle w:val="Rowcolumntitles"/>
              <w:rPr>
                <w:sz w:val="20"/>
                <w:lang w:val="uk-UA"/>
              </w:rPr>
            </w:pPr>
          </w:p>
        </w:tc>
        <w:tc>
          <w:tcPr>
            <w:tcW w:w="388" w:type="dxa"/>
            <w:vMerge/>
            <w:shd w:val="clear" w:color="auto" w:fill="D6E3BC" w:themeFill="accent3" w:themeFillTint="66"/>
          </w:tcPr>
          <w:p w14:paraId="67881BEA" w14:textId="77777777" w:rsidR="003221C6" w:rsidRPr="00257F44" w:rsidRDefault="003221C6" w:rsidP="00FD2A72">
            <w:pPr>
              <w:pStyle w:val="Rowcolumntitles"/>
              <w:rPr>
                <w:rFonts w:eastAsia="Times New Roman"/>
                <w:sz w:val="20"/>
                <w:lang w:val="uk-UA"/>
              </w:rPr>
            </w:pPr>
          </w:p>
        </w:tc>
        <w:tc>
          <w:tcPr>
            <w:tcW w:w="425" w:type="dxa"/>
            <w:vMerge/>
            <w:shd w:val="clear" w:color="auto" w:fill="D6E3BC" w:themeFill="accent3" w:themeFillTint="66"/>
          </w:tcPr>
          <w:p w14:paraId="6BA3C768" w14:textId="77777777" w:rsidR="003221C6" w:rsidRPr="00257F44" w:rsidRDefault="003221C6" w:rsidP="00FD2A72">
            <w:pPr>
              <w:pStyle w:val="Rowcolumntitles"/>
              <w:rPr>
                <w:sz w:val="20"/>
                <w:lang w:val="uk-UA"/>
              </w:rPr>
            </w:pPr>
          </w:p>
        </w:tc>
        <w:tc>
          <w:tcPr>
            <w:tcW w:w="395" w:type="dxa"/>
            <w:vMerge/>
            <w:shd w:val="clear" w:color="auto" w:fill="D6E3BC" w:themeFill="accent3" w:themeFillTint="66"/>
          </w:tcPr>
          <w:p w14:paraId="0525D41A" w14:textId="77777777" w:rsidR="003221C6" w:rsidRPr="00257F44" w:rsidRDefault="003221C6" w:rsidP="00FD2A72">
            <w:pPr>
              <w:pStyle w:val="Rowcolumntitles"/>
              <w:rPr>
                <w:rFonts w:eastAsia="Times New Roman"/>
                <w:sz w:val="20"/>
                <w:lang w:val="uk-UA"/>
              </w:rPr>
            </w:pPr>
          </w:p>
        </w:tc>
        <w:tc>
          <w:tcPr>
            <w:tcW w:w="654" w:type="dxa"/>
            <w:gridSpan w:val="2"/>
            <w:vMerge/>
            <w:shd w:val="clear" w:color="auto" w:fill="FBD4B4" w:themeFill="accent6" w:themeFillTint="66"/>
          </w:tcPr>
          <w:p w14:paraId="0863F96A" w14:textId="77777777" w:rsidR="003221C6" w:rsidRPr="00257F44" w:rsidRDefault="003221C6" w:rsidP="00FD2A72">
            <w:pPr>
              <w:pStyle w:val="Rowcolumntitles"/>
              <w:rPr>
                <w:rFonts w:eastAsia="Times New Roman"/>
                <w:sz w:val="20"/>
                <w:lang w:val="uk-UA"/>
              </w:rPr>
            </w:pPr>
          </w:p>
        </w:tc>
        <w:tc>
          <w:tcPr>
            <w:tcW w:w="369" w:type="dxa"/>
            <w:vMerge/>
            <w:shd w:val="clear" w:color="auto" w:fill="FBD4B4" w:themeFill="accent6" w:themeFillTint="66"/>
          </w:tcPr>
          <w:p w14:paraId="7E640789" w14:textId="77777777" w:rsidR="003221C6" w:rsidRPr="00257F44" w:rsidRDefault="003221C6" w:rsidP="00FD2A72">
            <w:pPr>
              <w:pStyle w:val="Rowcolumntitles"/>
              <w:rPr>
                <w:rFonts w:eastAsia="Times New Roman"/>
                <w:sz w:val="20"/>
                <w:lang w:val="uk-UA"/>
              </w:rPr>
            </w:pPr>
          </w:p>
        </w:tc>
        <w:tc>
          <w:tcPr>
            <w:tcW w:w="404" w:type="dxa"/>
            <w:vMerge/>
            <w:shd w:val="clear" w:color="auto" w:fill="FBD4B4" w:themeFill="accent6" w:themeFillTint="66"/>
          </w:tcPr>
          <w:p w14:paraId="5E81FD2B" w14:textId="77777777" w:rsidR="003221C6" w:rsidRPr="00257F44" w:rsidRDefault="003221C6" w:rsidP="00FD2A72">
            <w:pPr>
              <w:pStyle w:val="Rowcolumntitles"/>
              <w:rPr>
                <w:rFonts w:eastAsia="Times New Roman"/>
                <w:sz w:val="20"/>
                <w:lang w:val="uk-UA"/>
              </w:rPr>
            </w:pPr>
          </w:p>
        </w:tc>
        <w:tc>
          <w:tcPr>
            <w:tcW w:w="895" w:type="dxa"/>
            <w:vMerge/>
            <w:shd w:val="clear" w:color="auto" w:fill="FBD4B4" w:themeFill="accent6" w:themeFillTint="66"/>
          </w:tcPr>
          <w:p w14:paraId="3BDA31C3" w14:textId="77777777" w:rsidR="003221C6" w:rsidRPr="00257F44" w:rsidRDefault="003221C6" w:rsidP="00FD2A72">
            <w:pPr>
              <w:pStyle w:val="Rowcolumntitles"/>
              <w:rPr>
                <w:rFonts w:eastAsia="Times New Roman"/>
                <w:sz w:val="20"/>
                <w:lang w:val="uk-UA"/>
              </w:rPr>
            </w:pPr>
          </w:p>
        </w:tc>
        <w:tc>
          <w:tcPr>
            <w:tcW w:w="341" w:type="dxa"/>
            <w:gridSpan w:val="3"/>
            <w:vMerge/>
            <w:shd w:val="clear" w:color="auto" w:fill="CCC0D9" w:themeFill="accent4" w:themeFillTint="66"/>
          </w:tcPr>
          <w:p w14:paraId="3CB3E932" w14:textId="77777777" w:rsidR="003221C6" w:rsidRPr="00257F44" w:rsidRDefault="003221C6" w:rsidP="00FD2A72">
            <w:pPr>
              <w:pStyle w:val="Rowcolumntitles"/>
              <w:rPr>
                <w:sz w:val="20"/>
                <w:lang w:val="uk-UA"/>
              </w:rPr>
            </w:pPr>
          </w:p>
        </w:tc>
        <w:tc>
          <w:tcPr>
            <w:tcW w:w="341" w:type="dxa"/>
            <w:gridSpan w:val="2"/>
            <w:vMerge/>
            <w:shd w:val="clear" w:color="auto" w:fill="CCC0D9" w:themeFill="accent4" w:themeFillTint="66"/>
          </w:tcPr>
          <w:p w14:paraId="5D05F775" w14:textId="77777777" w:rsidR="003221C6" w:rsidRPr="00257F44" w:rsidRDefault="003221C6" w:rsidP="00FD2A72">
            <w:pPr>
              <w:pStyle w:val="Rowcolumntitles"/>
              <w:rPr>
                <w:rFonts w:eastAsia="Times New Roman"/>
                <w:sz w:val="20"/>
                <w:lang w:val="uk-UA"/>
              </w:rPr>
            </w:pPr>
          </w:p>
        </w:tc>
        <w:tc>
          <w:tcPr>
            <w:tcW w:w="341" w:type="dxa"/>
            <w:gridSpan w:val="2"/>
            <w:vMerge/>
            <w:shd w:val="clear" w:color="auto" w:fill="CCC0D9" w:themeFill="accent4" w:themeFillTint="66"/>
          </w:tcPr>
          <w:p w14:paraId="48F32A9B" w14:textId="77777777" w:rsidR="003221C6" w:rsidRPr="00257F44" w:rsidRDefault="003221C6" w:rsidP="00FD2A72">
            <w:pPr>
              <w:pStyle w:val="Rowcolumntitles"/>
              <w:rPr>
                <w:sz w:val="20"/>
                <w:lang w:val="uk-UA"/>
              </w:rPr>
            </w:pPr>
          </w:p>
        </w:tc>
        <w:tc>
          <w:tcPr>
            <w:tcW w:w="343" w:type="dxa"/>
            <w:gridSpan w:val="3"/>
            <w:vMerge/>
            <w:shd w:val="clear" w:color="auto" w:fill="CCC0D9" w:themeFill="accent4" w:themeFillTint="66"/>
          </w:tcPr>
          <w:p w14:paraId="33B653C0" w14:textId="77777777" w:rsidR="003221C6" w:rsidRPr="00257F44" w:rsidRDefault="003221C6" w:rsidP="00FD2A72">
            <w:pPr>
              <w:pStyle w:val="Rowcolumntitles"/>
              <w:rPr>
                <w:rFonts w:eastAsia="Times New Roman"/>
                <w:sz w:val="20"/>
                <w:lang w:val="uk-UA"/>
              </w:rPr>
            </w:pPr>
          </w:p>
        </w:tc>
        <w:tc>
          <w:tcPr>
            <w:tcW w:w="485" w:type="dxa"/>
            <w:gridSpan w:val="3"/>
            <w:shd w:val="clear" w:color="auto" w:fill="B8CCE4" w:themeFill="accent1" w:themeFillTint="66"/>
          </w:tcPr>
          <w:p w14:paraId="482B4BBB" w14:textId="4F16B1E5" w:rsidR="003221C6" w:rsidRPr="00257F44" w:rsidRDefault="003221C6" w:rsidP="00FD2A72">
            <w:pPr>
              <w:pStyle w:val="Rowcolumntitles"/>
              <w:rPr>
                <w:rFonts w:eastAsia="Times New Roman"/>
                <w:sz w:val="20"/>
                <w:lang w:val="uk-UA"/>
              </w:rPr>
            </w:pPr>
          </w:p>
        </w:tc>
        <w:tc>
          <w:tcPr>
            <w:tcW w:w="487" w:type="dxa"/>
            <w:gridSpan w:val="2"/>
            <w:shd w:val="clear" w:color="auto" w:fill="B8CCE4" w:themeFill="accent1" w:themeFillTint="66"/>
          </w:tcPr>
          <w:p w14:paraId="40050DEA" w14:textId="4968D2EF"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87" w:type="dxa"/>
            <w:gridSpan w:val="4"/>
            <w:shd w:val="clear" w:color="auto" w:fill="B8CCE4" w:themeFill="accent1" w:themeFillTint="66"/>
          </w:tcPr>
          <w:p w14:paraId="1CF3A0B4" w14:textId="77777777" w:rsidR="003221C6" w:rsidRPr="00257F44" w:rsidRDefault="003221C6" w:rsidP="00FD2A72">
            <w:pPr>
              <w:pStyle w:val="Rowcolumntitles"/>
              <w:rPr>
                <w:rFonts w:eastAsia="Times New Roman"/>
                <w:sz w:val="20"/>
                <w:lang w:val="uk-UA"/>
              </w:rPr>
            </w:pPr>
          </w:p>
        </w:tc>
        <w:tc>
          <w:tcPr>
            <w:tcW w:w="493" w:type="dxa"/>
            <w:gridSpan w:val="3"/>
            <w:shd w:val="clear" w:color="auto" w:fill="B8CCE4" w:themeFill="accent1" w:themeFillTint="66"/>
          </w:tcPr>
          <w:p w14:paraId="74B7C59D" w14:textId="0CD7A6EB" w:rsidR="003221C6" w:rsidRPr="00257F44" w:rsidRDefault="003221C6" w:rsidP="00FD2A72">
            <w:pPr>
              <w:pStyle w:val="Rowcolumntitles"/>
              <w:rPr>
                <w:rFonts w:eastAsia="Times New Roman"/>
                <w:sz w:val="20"/>
                <w:lang w:val="uk-UA"/>
              </w:rPr>
            </w:pPr>
          </w:p>
        </w:tc>
        <w:tc>
          <w:tcPr>
            <w:tcW w:w="367" w:type="dxa"/>
            <w:gridSpan w:val="3"/>
            <w:vMerge/>
            <w:shd w:val="clear" w:color="auto" w:fill="D99594" w:themeFill="accent2" w:themeFillTint="99"/>
          </w:tcPr>
          <w:p w14:paraId="49250235" w14:textId="77777777" w:rsidR="003221C6" w:rsidRPr="00257F44" w:rsidRDefault="003221C6" w:rsidP="00FD2A72">
            <w:pPr>
              <w:pStyle w:val="Rowcolumntitles"/>
              <w:rPr>
                <w:rFonts w:eastAsia="Times New Roman"/>
                <w:sz w:val="20"/>
                <w:lang w:val="uk-UA"/>
              </w:rPr>
            </w:pPr>
          </w:p>
        </w:tc>
        <w:tc>
          <w:tcPr>
            <w:tcW w:w="318" w:type="dxa"/>
            <w:gridSpan w:val="2"/>
            <w:vMerge/>
            <w:shd w:val="clear" w:color="auto" w:fill="D99594" w:themeFill="accent2" w:themeFillTint="99"/>
          </w:tcPr>
          <w:p w14:paraId="2BD293EE" w14:textId="77777777" w:rsidR="003221C6" w:rsidRPr="00257F44" w:rsidRDefault="003221C6" w:rsidP="00FD2A72">
            <w:pPr>
              <w:pStyle w:val="Rowcolumntitles"/>
              <w:rPr>
                <w:rFonts w:eastAsia="Times New Roman"/>
                <w:sz w:val="20"/>
                <w:lang w:val="uk-UA"/>
              </w:rPr>
            </w:pPr>
          </w:p>
        </w:tc>
        <w:tc>
          <w:tcPr>
            <w:tcW w:w="318" w:type="dxa"/>
            <w:gridSpan w:val="2"/>
            <w:vMerge/>
            <w:shd w:val="clear" w:color="auto" w:fill="D99594" w:themeFill="accent2" w:themeFillTint="99"/>
          </w:tcPr>
          <w:p w14:paraId="4881E1C9" w14:textId="77777777" w:rsidR="003221C6" w:rsidRPr="00257F44" w:rsidRDefault="003221C6" w:rsidP="00FD2A72">
            <w:pPr>
              <w:pStyle w:val="Rowcolumntitles"/>
              <w:rPr>
                <w:rFonts w:eastAsia="Times New Roman"/>
                <w:sz w:val="20"/>
                <w:lang w:val="uk-UA"/>
              </w:rPr>
            </w:pPr>
          </w:p>
        </w:tc>
        <w:tc>
          <w:tcPr>
            <w:tcW w:w="318" w:type="dxa"/>
            <w:gridSpan w:val="2"/>
            <w:vMerge/>
            <w:shd w:val="clear" w:color="auto" w:fill="D99594" w:themeFill="accent2" w:themeFillTint="99"/>
          </w:tcPr>
          <w:p w14:paraId="39BFAB12" w14:textId="77777777" w:rsidR="003221C6" w:rsidRPr="00257F44" w:rsidRDefault="003221C6" w:rsidP="00FD2A72">
            <w:pPr>
              <w:pStyle w:val="Rowcolumntitles"/>
              <w:rPr>
                <w:rFonts w:eastAsia="Times New Roman"/>
                <w:sz w:val="20"/>
                <w:lang w:val="uk-UA"/>
              </w:rPr>
            </w:pPr>
          </w:p>
        </w:tc>
        <w:tc>
          <w:tcPr>
            <w:tcW w:w="388" w:type="dxa"/>
            <w:gridSpan w:val="2"/>
            <w:vMerge/>
            <w:shd w:val="clear" w:color="auto" w:fill="D99594" w:themeFill="accent2" w:themeFillTint="99"/>
          </w:tcPr>
          <w:p w14:paraId="09129D38" w14:textId="77777777" w:rsidR="003221C6" w:rsidRPr="00257F44" w:rsidRDefault="003221C6" w:rsidP="00FD2A72">
            <w:pPr>
              <w:pStyle w:val="Rowcolumntitles"/>
              <w:rPr>
                <w:rFonts w:eastAsia="Times New Roman"/>
                <w:sz w:val="20"/>
                <w:lang w:val="uk-UA"/>
              </w:rPr>
            </w:pPr>
          </w:p>
        </w:tc>
      </w:tr>
      <w:tr w:rsidR="000E0B9A" w:rsidRPr="00257F44" w14:paraId="365E024D" w14:textId="77777777" w:rsidTr="00DB3322">
        <w:trPr>
          <w:gridAfter w:val="2"/>
          <w:wAfter w:w="24" w:type="dxa"/>
          <w:trHeight w:val="227"/>
        </w:trPr>
        <w:tc>
          <w:tcPr>
            <w:tcW w:w="1470" w:type="dxa"/>
            <w:vMerge w:val="restart"/>
            <w:shd w:val="clear" w:color="auto" w:fill="000000" w:themeFill="text1"/>
          </w:tcPr>
          <w:p w14:paraId="06983BFE" w14:textId="0F5EAFB7" w:rsidR="003221C6" w:rsidRPr="00257F44" w:rsidRDefault="00163080" w:rsidP="00FD2A72">
            <w:pPr>
              <w:pStyle w:val="Rowcolumntitles"/>
              <w:rPr>
                <w:noProof/>
                <w:color w:val="FFFFFF" w:themeColor="background1"/>
                <w:sz w:val="20"/>
                <w:lang w:val="uk-UA"/>
              </w:rPr>
            </w:pPr>
            <w:r w:rsidRPr="00257F44">
              <w:rPr>
                <w:noProof/>
                <w:color w:val="FFFFFF" w:themeColor="background1"/>
                <w:sz w:val="20"/>
                <w:lang w:val="uk-UA"/>
              </w:rPr>
              <w:t>✪</w:t>
            </w:r>
            <w:r w:rsidR="003221C6" w:rsidRPr="00257F44">
              <w:rPr>
                <w:noProof/>
                <w:color w:val="FFFFFF" w:themeColor="background1"/>
                <w:sz w:val="20"/>
                <w:lang w:val="uk-UA"/>
              </w:rPr>
              <w:t xml:space="preserve">5.3 </w:t>
            </w:r>
            <w:r w:rsidR="00E41990" w:rsidRPr="00257F44">
              <w:rPr>
                <w:noProof/>
                <w:color w:val="FFFFFF" w:themeColor="background1"/>
                <w:sz w:val="20"/>
                <w:lang w:val="uk-UA"/>
              </w:rPr>
              <w:t>Доступ до архівів комуніс-тичного режиму</w:t>
            </w:r>
          </w:p>
        </w:tc>
        <w:tc>
          <w:tcPr>
            <w:tcW w:w="402" w:type="dxa"/>
            <w:vMerge w:val="restart"/>
            <w:shd w:val="clear" w:color="auto" w:fill="D6E3BC" w:themeFill="accent3" w:themeFillTint="66"/>
          </w:tcPr>
          <w:p w14:paraId="19422C28" w14:textId="77777777" w:rsidR="003221C6" w:rsidRPr="00257F44" w:rsidRDefault="003221C6" w:rsidP="00FD2A72">
            <w:pPr>
              <w:pStyle w:val="Rowcolumntitles"/>
              <w:rPr>
                <w:sz w:val="20"/>
                <w:lang w:val="uk-UA"/>
              </w:rPr>
            </w:pPr>
          </w:p>
        </w:tc>
        <w:tc>
          <w:tcPr>
            <w:tcW w:w="388" w:type="dxa"/>
            <w:vMerge w:val="restart"/>
            <w:shd w:val="clear" w:color="auto" w:fill="D6E3BC" w:themeFill="accent3" w:themeFillTint="66"/>
          </w:tcPr>
          <w:p w14:paraId="1AA4CCCE" w14:textId="77777777" w:rsidR="003221C6" w:rsidRPr="00257F44" w:rsidRDefault="003221C6" w:rsidP="00FD2A72">
            <w:pPr>
              <w:pStyle w:val="Rowcolumntitles"/>
              <w:rPr>
                <w:rFonts w:eastAsia="Times New Roman"/>
                <w:sz w:val="20"/>
                <w:lang w:val="uk-UA"/>
              </w:rPr>
            </w:pPr>
          </w:p>
        </w:tc>
        <w:tc>
          <w:tcPr>
            <w:tcW w:w="425" w:type="dxa"/>
            <w:vMerge w:val="restart"/>
            <w:shd w:val="clear" w:color="auto" w:fill="D6E3BC" w:themeFill="accent3" w:themeFillTint="66"/>
          </w:tcPr>
          <w:p w14:paraId="3F51BF3F" w14:textId="77777777" w:rsidR="003221C6" w:rsidRPr="00257F44" w:rsidRDefault="003221C6" w:rsidP="00FD2A72">
            <w:pPr>
              <w:pStyle w:val="Rowcolumntitles"/>
              <w:rPr>
                <w:sz w:val="20"/>
                <w:lang w:val="uk-UA"/>
              </w:rPr>
            </w:pPr>
          </w:p>
        </w:tc>
        <w:tc>
          <w:tcPr>
            <w:tcW w:w="395" w:type="dxa"/>
            <w:vMerge w:val="restart"/>
            <w:shd w:val="clear" w:color="auto" w:fill="D6E3BC" w:themeFill="accent3" w:themeFillTint="66"/>
          </w:tcPr>
          <w:p w14:paraId="3E22A782" w14:textId="7824101B"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654" w:type="dxa"/>
            <w:gridSpan w:val="2"/>
            <w:vMerge w:val="restart"/>
            <w:shd w:val="clear" w:color="auto" w:fill="FBD4B4" w:themeFill="accent6" w:themeFillTint="66"/>
          </w:tcPr>
          <w:p w14:paraId="3842F0FD" w14:textId="1A8AE395"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9" w:type="dxa"/>
            <w:vMerge w:val="restart"/>
            <w:shd w:val="clear" w:color="auto" w:fill="FBD4B4" w:themeFill="accent6" w:themeFillTint="66"/>
          </w:tcPr>
          <w:p w14:paraId="7B23EF66" w14:textId="77777777" w:rsidR="003221C6" w:rsidRPr="00257F44" w:rsidRDefault="003221C6" w:rsidP="00FD2A72">
            <w:pPr>
              <w:pStyle w:val="Rowcolumntitles"/>
              <w:rPr>
                <w:rFonts w:eastAsia="Times New Roman"/>
                <w:sz w:val="20"/>
                <w:lang w:val="uk-UA"/>
              </w:rPr>
            </w:pPr>
          </w:p>
        </w:tc>
        <w:tc>
          <w:tcPr>
            <w:tcW w:w="404" w:type="dxa"/>
            <w:vMerge w:val="restart"/>
            <w:shd w:val="clear" w:color="auto" w:fill="FBD4B4" w:themeFill="accent6" w:themeFillTint="66"/>
          </w:tcPr>
          <w:p w14:paraId="2CA425ED" w14:textId="77777777" w:rsidR="003221C6" w:rsidRPr="00257F44" w:rsidRDefault="003221C6" w:rsidP="00FD2A72">
            <w:pPr>
              <w:pStyle w:val="Rowcolumntitles"/>
              <w:rPr>
                <w:rFonts w:eastAsia="Times New Roman"/>
                <w:sz w:val="20"/>
                <w:lang w:val="uk-UA"/>
              </w:rPr>
            </w:pPr>
          </w:p>
        </w:tc>
        <w:tc>
          <w:tcPr>
            <w:tcW w:w="895" w:type="dxa"/>
            <w:vMerge w:val="restart"/>
            <w:shd w:val="clear" w:color="auto" w:fill="FBD4B4" w:themeFill="accent6" w:themeFillTint="66"/>
          </w:tcPr>
          <w:p w14:paraId="304FB0F7" w14:textId="77777777" w:rsidR="003221C6" w:rsidRPr="00257F44" w:rsidRDefault="003221C6" w:rsidP="00FD2A72">
            <w:pPr>
              <w:pStyle w:val="Rowcolumntitles"/>
              <w:rPr>
                <w:rFonts w:eastAsia="Times New Roman"/>
                <w:sz w:val="20"/>
                <w:lang w:val="uk-UA"/>
              </w:rPr>
            </w:pPr>
          </w:p>
        </w:tc>
        <w:tc>
          <w:tcPr>
            <w:tcW w:w="341" w:type="dxa"/>
            <w:gridSpan w:val="3"/>
            <w:vMerge w:val="restart"/>
            <w:shd w:val="clear" w:color="auto" w:fill="CCC0D9" w:themeFill="accent4" w:themeFillTint="66"/>
          </w:tcPr>
          <w:p w14:paraId="7C44D296" w14:textId="77777777" w:rsidR="003221C6" w:rsidRPr="00257F44" w:rsidRDefault="003221C6" w:rsidP="00FD2A72">
            <w:pPr>
              <w:pStyle w:val="Rowcolumntitles"/>
              <w:rPr>
                <w:sz w:val="20"/>
                <w:lang w:val="uk-UA"/>
              </w:rPr>
            </w:pPr>
          </w:p>
        </w:tc>
        <w:tc>
          <w:tcPr>
            <w:tcW w:w="341" w:type="dxa"/>
            <w:gridSpan w:val="2"/>
            <w:vMerge w:val="restart"/>
            <w:shd w:val="clear" w:color="auto" w:fill="CCC0D9" w:themeFill="accent4" w:themeFillTint="66"/>
          </w:tcPr>
          <w:p w14:paraId="774FC30B" w14:textId="77777777" w:rsidR="003221C6" w:rsidRPr="00257F44" w:rsidRDefault="003221C6" w:rsidP="00FD2A72">
            <w:pPr>
              <w:pStyle w:val="Rowcolumntitles"/>
              <w:rPr>
                <w:rFonts w:eastAsia="Times New Roman"/>
                <w:sz w:val="20"/>
                <w:lang w:val="uk-UA"/>
              </w:rPr>
            </w:pPr>
          </w:p>
        </w:tc>
        <w:tc>
          <w:tcPr>
            <w:tcW w:w="341" w:type="dxa"/>
            <w:gridSpan w:val="2"/>
            <w:vMerge w:val="restart"/>
            <w:shd w:val="clear" w:color="auto" w:fill="CCC0D9" w:themeFill="accent4" w:themeFillTint="66"/>
          </w:tcPr>
          <w:p w14:paraId="49FA7541" w14:textId="77777777" w:rsidR="003221C6" w:rsidRPr="00257F44" w:rsidRDefault="003221C6" w:rsidP="00FD2A72">
            <w:pPr>
              <w:pStyle w:val="Rowcolumntitles"/>
              <w:rPr>
                <w:sz w:val="20"/>
                <w:lang w:val="uk-UA"/>
              </w:rPr>
            </w:pPr>
          </w:p>
        </w:tc>
        <w:tc>
          <w:tcPr>
            <w:tcW w:w="343" w:type="dxa"/>
            <w:gridSpan w:val="3"/>
            <w:vMerge w:val="restart"/>
            <w:shd w:val="clear" w:color="auto" w:fill="CCC0D9" w:themeFill="accent4" w:themeFillTint="66"/>
          </w:tcPr>
          <w:p w14:paraId="28712CFC" w14:textId="5D4983B3"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85" w:type="dxa"/>
            <w:gridSpan w:val="3"/>
            <w:shd w:val="clear" w:color="auto" w:fill="B8CCE4" w:themeFill="accent1" w:themeFillTint="66"/>
          </w:tcPr>
          <w:p w14:paraId="64A27136" w14:textId="180EF1E5" w:rsidR="003221C6" w:rsidRPr="00257F44" w:rsidRDefault="003221C6" w:rsidP="00FD2A72">
            <w:pPr>
              <w:pStyle w:val="Rowcolumntitles"/>
              <w:rPr>
                <w:rFonts w:eastAsia="Times New Roman"/>
                <w:sz w:val="20"/>
                <w:lang w:val="uk-UA"/>
              </w:rPr>
            </w:pPr>
          </w:p>
        </w:tc>
        <w:tc>
          <w:tcPr>
            <w:tcW w:w="487" w:type="dxa"/>
            <w:gridSpan w:val="2"/>
            <w:shd w:val="clear" w:color="auto" w:fill="B8CCE4" w:themeFill="accent1" w:themeFillTint="66"/>
          </w:tcPr>
          <w:p w14:paraId="46DE11F0" w14:textId="77777777" w:rsidR="003221C6" w:rsidRPr="00257F44" w:rsidRDefault="003221C6" w:rsidP="00FD2A72">
            <w:pPr>
              <w:pStyle w:val="Rowcolumntitles"/>
              <w:rPr>
                <w:rFonts w:eastAsia="Times New Roman"/>
                <w:sz w:val="20"/>
                <w:lang w:val="uk-UA"/>
              </w:rPr>
            </w:pPr>
          </w:p>
        </w:tc>
        <w:tc>
          <w:tcPr>
            <w:tcW w:w="487" w:type="dxa"/>
            <w:gridSpan w:val="4"/>
            <w:shd w:val="clear" w:color="auto" w:fill="B8CCE4" w:themeFill="accent1" w:themeFillTint="66"/>
          </w:tcPr>
          <w:p w14:paraId="5062FE8D" w14:textId="77777777" w:rsidR="003221C6" w:rsidRPr="00257F44" w:rsidRDefault="003221C6" w:rsidP="00FD2A72">
            <w:pPr>
              <w:pStyle w:val="Rowcolumntitles"/>
              <w:rPr>
                <w:rFonts w:eastAsia="Times New Roman"/>
                <w:sz w:val="20"/>
                <w:lang w:val="uk-UA"/>
              </w:rPr>
            </w:pPr>
          </w:p>
        </w:tc>
        <w:tc>
          <w:tcPr>
            <w:tcW w:w="493" w:type="dxa"/>
            <w:gridSpan w:val="3"/>
            <w:shd w:val="clear" w:color="auto" w:fill="B8CCE4" w:themeFill="accent1" w:themeFillTint="66"/>
          </w:tcPr>
          <w:p w14:paraId="66267481" w14:textId="00CC4350"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7" w:type="dxa"/>
            <w:gridSpan w:val="3"/>
            <w:vMerge w:val="restart"/>
            <w:shd w:val="clear" w:color="auto" w:fill="D99594" w:themeFill="accent2" w:themeFillTint="99"/>
          </w:tcPr>
          <w:p w14:paraId="6C5064C2" w14:textId="77777777" w:rsidR="003221C6" w:rsidRPr="00257F44" w:rsidRDefault="003221C6"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633655E5" w14:textId="77777777" w:rsidR="003221C6" w:rsidRPr="00257F44" w:rsidRDefault="003221C6"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368A0FED" w14:textId="77777777" w:rsidR="003221C6" w:rsidRPr="00257F44" w:rsidRDefault="003221C6"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6991D9DA" w14:textId="77777777" w:rsidR="003221C6" w:rsidRPr="00257F44" w:rsidRDefault="003221C6"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1B5F6979" w14:textId="663281F2"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r>
      <w:tr w:rsidR="000E0B9A" w:rsidRPr="00257F44" w14:paraId="6B51F750" w14:textId="77777777" w:rsidTr="00DB3322">
        <w:trPr>
          <w:gridAfter w:val="2"/>
          <w:wAfter w:w="24" w:type="dxa"/>
          <w:trHeight w:val="226"/>
        </w:trPr>
        <w:tc>
          <w:tcPr>
            <w:tcW w:w="1470" w:type="dxa"/>
            <w:vMerge/>
            <w:shd w:val="clear" w:color="auto" w:fill="000000" w:themeFill="text1"/>
          </w:tcPr>
          <w:p w14:paraId="687A36E5" w14:textId="77777777" w:rsidR="003221C6" w:rsidRPr="00257F44" w:rsidRDefault="003221C6" w:rsidP="00FD2A72">
            <w:pPr>
              <w:pStyle w:val="Rowcolumntitles"/>
              <w:rPr>
                <w:noProof/>
                <w:color w:val="FFFFFF" w:themeColor="background1"/>
                <w:sz w:val="20"/>
                <w:lang w:val="uk-UA"/>
              </w:rPr>
            </w:pPr>
          </w:p>
        </w:tc>
        <w:tc>
          <w:tcPr>
            <w:tcW w:w="402" w:type="dxa"/>
            <w:vMerge/>
            <w:shd w:val="clear" w:color="auto" w:fill="D6E3BC" w:themeFill="accent3" w:themeFillTint="66"/>
          </w:tcPr>
          <w:p w14:paraId="3398D95E" w14:textId="77777777" w:rsidR="003221C6" w:rsidRPr="00257F44" w:rsidRDefault="003221C6" w:rsidP="00FD2A72">
            <w:pPr>
              <w:pStyle w:val="Rowcolumntitles"/>
              <w:rPr>
                <w:sz w:val="20"/>
                <w:lang w:val="uk-UA"/>
              </w:rPr>
            </w:pPr>
          </w:p>
        </w:tc>
        <w:tc>
          <w:tcPr>
            <w:tcW w:w="388" w:type="dxa"/>
            <w:vMerge/>
            <w:shd w:val="clear" w:color="auto" w:fill="D6E3BC" w:themeFill="accent3" w:themeFillTint="66"/>
          </w:tcPr>
          <w:p w14:paraId="09D7AD64" w14:textId="77777777" w:rsidR="003221C6" w:rsidRPr="00257F44" w:rsidRDefault="003221C6" w:rsidP="00FD2A72">
            <w:pPr>
              <w:pStyle w:val="Rowcolumntitles"/>
              <w:rPr>
                <w:rFonts w:eastAsia="Times New Roman"/>
                <w:sz w:val="20"/>
                <w:lang w:val="uk-UA"/>
              </w:rPr>
            </w:pPr>
          </w:p>
        </w:tc>
        <w:tc>
          <w:tcPr>
            <w:tcW w:w="425" w:type="dxa"/>
            <w:vMerge/>
            <w:shd w:val="clear" w:color="auto" w:fill="D6E3BC" w:themeFill="accent3" w:themeFillTint="66"/>
          </w:tcPr>
          <w:p w14:paraId="32237852" w14:textId="77777777" w:rsidR="003221C6" w:rsidRPr="00257F44" w:rsidRDefault="003221C6" w:rsidP="00FD2A72">
            <w:pPr>
              <w:pStyle w:val="Rowcolumntitles"/>
              <w:rPr>
                <w:sz w:val="20"/>
                <w:lang w:val="uk-UA"/>
              </w:rPr>
            </w:pPr>
          </w:p>
        </w:tc>
        <w:tc>
          <w:tcPr>
            <w:tcW w:w="395" w:type="dxa"/>
            <w:vMerge/>
            <w:shd w:val="clear" w:color="auto" w:fill="D6E3BC" w:themeFill="accent3" w:themeFillTint="66"/>
          </w:tcPr>
          <w:p w14:paraId="15CBB4F6" w14:textId="77777777" w:rsidR="003221C6" w:rsidRPr="00257F44" w:rsidRDefault="003221C6" w:rsidP="00FD2A72">
            <w:pPr>
              <w:pStyle w:val="Rowcolumntitles"/>
              <w:rPr>
                <w:rFonts w:eastAsia="Times New Roman"/>
                <w:sz w:val="20"/>
                <w:lang w:val="uk-UA"/>
              </w:rPr>
            </w:pPr>
          </w:p>
        </w:tc>
        <w:tc>
          <w:tcPr>
            <w:tcW w:w="654" w:type="dxa"/>
            <w:gridSpan w:val="2"/>
            <w:vMerge/>
            <w:shd w:val="clear" w:color="auto" w:fill="FBD4B4" w:themeFill="accent6" w:themeFillTint="66"/>
          </w:tcPr>
          <w:p w14:paraId="27F4EB04" w14:textId="77777777" w:rsidR="003221C6" w:rsidRPr="00257F44" w:rsidRDefault="003221C6" w:rsidP="00FD2A72">
            <w:pPr>
              <w:pStyle w:val="Rowcolumntitles"/>
              <w:rPr>
                <w:rFonts w:eastAsia="Times New Roman"/>
                <w:sz w:val="20"/>
                <w:lang w:val="uk-UA"/>
              </w:rPr>
            </w:pPr>
          </w:p>
        </w:tc>
        <w:tc>
          <w:tcPr>
            <w:tcW w:w="369" w:type="dxa"/>
            <w:vMerge/>
            <w:shd w:val="clear" w:color="auto" w:fill="FBD4B4" w:themeFill="accent6" w:themeFillTint="66"/>
          </w:tcPr>
          <w:p w14:paraId="79E8CBB2" w14:textId="77777777" w:rsidR="003221C6" w:rsidRPr="00257F44" w:rsidRDefault="003221C6" w:rsidP="00FD2A72">
            <w:pPr>
              <w:pStyle w:val="Rowcolumntitles"/>
              <w:rPr>
                <w:rFonts w:eastAsia="Times New Roman"/>
                <w:sz w:val="20"/>
                <w:lang w:val="uk-UA"/>
              </w:rPr>
            </w:pPr>
          </w:p>
        </w:tc>
        <w:tc>
          <w:tcPr>
            <w:tcW w:w="404" w:type="dxa"/>
            <w:vMerge/>
            <w:shd w:val="clear" w:color="auto" w:fill="FBD4B4" w:themeFill="accent6" w:themeFillTint="66"/>
          </w:tcPr>
          <w:p w14:paraId="72DB644C" w14:textId="77777777" w:rsidR="003221C6" w:rsidRPr="00257F44" w:rsidRDefault="003221C6" w:rsidP="00FD2A72">
            <w:pPr>
              <w:pStyle w:val="Rowcolumntitles"/>
              <w:rPr>
                <w:rFonts w:eastAsia="Times New Roman"/>
                <w:sz w:val="20"/>
                <w:lang w:val="uk-UA"/>
              </w:rPr>
            </w:pPr>
          </w:p>
        </w:tc>
        <w:tc>
          <w:tcPr>
            <w:tcW w:w="895" w:type="dxa"/>
            <w:vMerge/>
            <w:shd w:val="clear" w:color="auto" w:fill="FBD4B4" w:themeFill="accent6" w:themeFillTint="66"/>
          </w:tcPr>
          <w:p w14:paraId="65A3A288" w14:textId="77777777" w:rsidR="003221C6" w:rsidRPr="00257F44" w:rsidRDefault="003221C6" w:rsidP="00FD2A72">
            <w:pPr>
              <w:pStyle w:val="Rowcolumntitles"/>
              <w:rPr>
                <w:rFonts w:eastAsia="Times New Roman"/>
                <w:sz w:val="20"/>
                <w:lang w:val="uk-UA"/>
              </w:rPr>
            </w:pPr>
          </w:p>
        </w:tc>
        <w:tc>
          <w:tcPr>
            <w:tcW w:w="341" w:type="dxa"/>
            <w:gridSpan w:val="3"/>
            <w:vMerge/>
            <w:shd w:val="clear" w:color="auto" w:fill="CCC0D9" w:themeFill="accent4" w:themeFillTint="66"/>
          </w:tcPr>
          <w:p w14:paraId="519F1D09" w14:textId="77777777" w:rsidR="003221C6" w:rsidRPr="00257F44" w:rsidRDefault="003221C6" w:rsidP="00FD2A72">
            <w:pPr>
              <w:pStyle w:val="Rowcolumntitles"/>
              <w:rPr>
                <w:sz w:val="20"/>
                <w:lang w:val="uk-UA"/>
              </w:rPr>
            </w:pPr>
          </w:p>
        </w:tc>
        <w:tc>
          <w:tcPr>
            <w:tcW w:w="341" w:type="dxa"/>
            <w:gridSpan w:val="2"/>
            <w:vMerge/>
            <w:shd w:val="clear" w:color="auto" w:fill="CCC0D9" w:themeFill="accent4" w:themeFillTint="66"/>
          </w:tcPr>
          <w:p w14:paraId="6029D61B" w14:textId="77777777" w:rsidR="003221C6" w:rsidRPr="00257F44" w:rsidRDefault="003221C6" w:rsidP="00FD2A72">
            <w:pPr>
              <w:pStyle w:val="Rowcolumntitles"/>
              <w:rPr>
                <w:rFonts w:eastAsia="Times New Roman"/>
                <w:sz w:val="20"/>
                <w:lang w:val="uk-UA"/>
              </w:rPr>
            </w:pPr>
          </w:p>
        </w:tc>
        <w:tc>
          <w:tcPr>
            <w:tcW w:w="341" w:type="dxa"/>
            <w:gridSpan w:val="2"/>
            <w:vMerge/>
            <w:shd w:val="clear" w:color="auto" w:fill="CCC0D9" w:themeFill="accent4" w:themeFillTint="66"/>
          </w:tcPr>
          <w:p w14:paraId="4007C2F8" w14:textId="77777777" w:rsidR="003221C6" w:rsidRPr="00257F44" w:rsidRDefault="003221C6" w:rsidP="00FD2A72">
            <w:pPr>
              <w:pStyle w:val="Rowcolumntitles"/>
              <w:rPr>
                <w:sz w:val="20"/>
                <w:lang w:val="uk-UA"/>
              </w:rPr>
            </w:pPr>
          </w:p>
        </w:tc>
        <w:tc>
          <w:tcPr>
            <w:tcW w:w="343" w:type="dxa"/>
            <w:gridSpan w:val="3"/>
            <w:vMerge/>
            <w:shd w:val="clear" w:color="auto" w:fill="CCC0D9" w:themeFill="accent4" w:themeFillTint="66"/>
          </w:tcPr>
          <w:p w14:paraId="04CF72EC" w14:textId="77777777" w:rsidR="003221C6" w:rsidRPr="00257F44" w:rsidRDefault="003221C6" w:rsidP="00FD2A72">
            <w:pPr>
              <w:pStyle w:val="Rowcolumntitles"/>
              <w:rPr>
                <w:rFonts w:eastAsia="Times New Roman"/>
                <w:sz w:val="20"/>
                <w:lang w:val="uk-UA"/>
              </w:rPr>
            </w:pPr>
          </w:p>
        </w:tc>
        <w:tc>
          <w:tcPr>
            <w:tcW w:w="485" w:type="dxa"/>
            <w:gridSpan w:val="3"/>
            <w:shd w:val="clear" w:color="auto" w:fill="B8CCE4" w:themeFill="accent1" w:themeFillTint="66"/>
          </w:tcPr>
          <w:p w14:paraId="26FCD678" w14:textId="1062A91F" w:rsidR="003221C6" w:rsidRPr="00257F44" w:rsidRDefault="003221C6" w:rsidP="00FD2A72">
            <w:pPr>
              <w:pStyle w:val="Rowcolumntitles"/>
              <w:rPr>
                <w:rFonts w:eastAsia="Times New Roman"/>
                <w:sz w:val="20"/>
                <w:lang w:val="uk-UA"/>
              </w:rPr>
            </w:pPr>
          </w:p>
        </w:tc>
        <w:tc>
          <w:tcPr>
            <w:tcW w:w="487" w:type="dxa"/>
            <w:gridSpan w:val="2"/>
            <w:shd w:val="clear" w:color="auto" w:fill="B8CCE4" w:themeFill="accent1" w:themeFillTint="66"/>
          </w:tcPr>
          <w:p w14:paraId="4CBC6EDE" w14:textId="77777777" w:rsidR="003221C6" w:rsidRPr="00257F44" w:rsidRDefault="003221C6" w:rsidP="00FD2A72">
            <w:pPr>
              <w:pStyle w:val="Rowcolumntitles"/>
              <w:rPr>
                <w:rFonts w:eastAsia="Times New Roman"/>
                <w:sz w:val="20"/>
                <w:lang w:val="uk-UA"/>
              </w:rPr>
            </w:pPr>
          </w:p>
        </w:tc>
        <w:tc>
          <w:tcPr>
            <w:tcW w:w="487" w:type="dxa"/>
            <w:gridSpan w:val="4"/>
            <w:shd w:val="clear" w:color="auto" w:fill="B8CCE4" w:themeFill="accent1" w:themeFillTint="66"/>
          </w:tcPr>
          <w:p w14:paraId="73F61A1B" w14:textId="77777777" w:rsidR="003221C6" w:rsidRPr="00257F44" w:rsidRDefault="003221C6" w:rsidP="00FD2A72">
            <w:pPr>
              <w:pStyle w:val="Rowcolumntitles"/>
              <w:rPr>
                <w:rFonts w:eastAsia="Times New Roman"/>
                <w:sz w:val="20"/>
                <w:lang w:val="uk-UA"/>
              </w:rPr>
            </w:pPr>
          </w:p>
        </w:tc>
        <w:tc>
          <w:tcPr>
            <w:tcW w:w="493" w:type="dxa"/>
            <w:gridSpan w:val="3"/>
            <w:shd w:val="clear" w:color="auto" w:fill="B8CCE4" w:themeFill="accent1" w:themeFillTint="66"/>
          </w:tcPr>
          <w:p w14:paraId="25787E82" w14:textId="43546762" w:rsidR="003221C6" w:rsidRPr="00257F44" w:rsidRDefault="003221C6"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7" w:type="dxa"/>
            <w:gridSpan w:val="3"/>
            <w:vMerge/>
            <w:shd w:val="clear" w:color="auto" w:fill="D99594" w:themeFill="accent2" w:themeFillTint="99"/>
          </w:tcPr>
          <w:p w14:paraId="1A9A129A" w14:textId="77777777" w:rsidR="003221C6" w:rsidRPr="00257F44" w:rsidRDefault="003221C6" w:rsidP="00FD2A72">
            <w:pPr>
              <w:pStyle w:val="Rowcolumntitles"/>
              <w:rPr>
                <w:rFonts w:eastAsia="Times New Roman"/>
                <w:sz w:val="20"/>
                <w:lang w:val="uk-UA"/>
              </w:rPr>
            </w:pPr>
          </w:p>
        </w:tc>
        <w:tc>
          <w:tcPr>
            <w:tcW w:w="318" w:type="dxa"/>
            <w:gridSpan w:val="2"/>
            <w:vMerge/>
            <w:shd w:val="clear" w:color="auto" w:fill="D99594" w:themeFill="accent2" w:themeFillTint="99"/>
          </w:tcPr>
          <w:p w14:paraId="23C85B77" w14:textId="77777777" w:rsidR="003221C6" w:rsidRPr="00257F44" w:rsidRDefault="003221C6" w:rsidP="00FD2A72">
            <w:pPr>
              <w:pStyle w:val="Rowcolumntitles"/>
              <w:rPr>
                <w:rFonts w:eastAsia="Times New Roman"/>
                <w:sz w:val="20"/>
                <w:lang w:val="uk-UA"/>
              </w:rPr>
            </w:pPr>
          </w:p>
        </w:tc>
        <w:tc>
          <w:tcPr>
            <w:tcW w:w="318" w:type="dxa"/>
            <w:gridSpan w:val="2"/>
            <w:vMerge/>
            <w:shd w:val="clear" w:color="auto" w:fill="D99594" w:themeFill="accent2" w:themeFillTint="99"/>
          </w:tcPr>
          <w:p w14:paraId="58699C93" w14:textId="77777777" w:rsidR="003221C6" w:rsidRPr="00257F44" w:rsidRDefault="003221C6" w:rsidP="00FD2A72">
            <w:pPr>
              <w:pStyle w:val="Rowcolumntitles"/>
              <w:rPr>
                <w:rFonts w:eastAsia="Times New Roman"/>
                <w:sz w:val="20"/>
                <w:lang w:val="uk-UA"/>
              </w:rPr>
            </w:pPr>
          </w:p>
        </w:tc>
        <w:tc>
          <w:tcPr>
            <w:tcW w:w="318" w:type="dxa"/>
            <w:gridSpan w:val="2"/>
            <w:vMerge/>
            <w:shd w:val="clear" w:color="auto" w:fill="D99594" w:themeFill="accent2" w:themeFillTint="99"/>
          </w:tcPr>
          <w:p w14:paraId="66A8A404" w14:textId="77777777" w:rsidR="003221C6" w:rsidRPr="00257F44" w:rsidRDefault="003221C6" w:rsidP="00FD2A72">
            <w:pPr>
              <w:pStyle w:val="Rowcolumntitles"/>
              <w:rPr>
                <w:rFonts w:eastAsia="Times New Roman"/>
                <w:sz w:val="20"/>
                <w:lang w:val="uk-UA"/>
              </w:rPr>
            </w:pPr>
          </w:p>
        </w:tc>
        <w:tc>
          <w:tcPr>
            <w:tcW w:w="388" w:type="dxa"/>
            <w:gridSpan w:val="2"/>
            <w:vMerge/>
            <w:shd w:val="clear" w:color="auto" w:fill="D99594" w:themeFill="accent2" w:themeFillTint="99"/>
          </w:tcPr>
          <w:p w14:paraId="6EA92DE1" w14:textId="77777777" w:rsidR="003221C6" w:rsidRPr="00257F44" w:rsidRDefault="003221C6" w:rsidP="00FD2A72">
            <w:pPr>
              <w:pStyle w:val="Rowcolumntitles"/>
              <w:rPr>
                <w:rFonts w:eastAsia="Times New Roman"/>
                <w:sz w:val="20"/>
                <w:lang w:val="uk-UA"/>
              </w:rPr>
            </w:pPr>
          </w:p>
        </w:tc>
      </w:tr>
      <w:tr w:rsidR="000E0B9A" w:rsidRPr="00257F44" w14:paraId="1DC83DA3" w14:textId="77777777" w:rsidTr="00DB3322">
        <w:trPr>
          <w:gridAfter w:val="2"/>
          <w:wAfter w:w="24" w:type="dxa"/>
          <w:trHeight w:val="300"/>
        </w:trPr>
        <w:tc>
          <w:tcPr>
            <w:tcW w:w="1470" w:type="dxa"/>
            <w:vMerge w:val="restart"/>
            <w:shd w:val="clear" w:color="auto" w:fill="000000" w:themeFill="text1"/>
          </w:tcPr>
          <w:p w14:paraId="79126660" w14:textId="0AD6A0BC" w:rsidR="003F1309" w:rsidRPr="00257F44" w:rsidRDefault="00163080" w:rsidP="00FD2A72">
            <w:pPr>
              <w:pStyle w:val="Rowcolumntitles"/>
              <w:rPr>
                <w:noProof/>
                <w:color w:val="FFFFFF" w:themeColor="background1"/>
                <w:sz w:val="20"/>
                <w:lang w:val="uk-UA"/>
              </w:rPr>
            </w:pPr>
            <w:r w:rsidRPr="00257F44">
              <w:rPr>
                <w:noProof/>
                <w:color w:val="FFFFFF" w:themeColor="background1"/>
                <w:sz w:val="20"/>
                <w:lang w:val="uk-UA"/>
              </w:rPr>
              <w:t>✪</w:t>
            </w:r>
            <w:r w:rsidR="003F1309" w:rsidRPr="00257F44">
              <w:rPr>
                <w:noProof/>
                <w:color w:val="FFFFFF" w:themeColor="background1"/>
                <w:sz w:val="20"/>
                <w:lang w:val="uk-UA"/>
              </w:rPr>
              <w:t xml:space="preserve">7. </w:t>
            </w:r>
            <w:r w:rsidR="00E41990" w:rsidRPr="00257F44">
              <w:rPr>
                <w:noProof/>
                <w:color w:val="FFFFFF" w:themeColor="background1"/>
                <w:sz w:val="20"/>
                <w:lang w:val="uk-UA"/>
              </w:rPr>
              <w:t>Наглядовий механізм для права на доступ до інформації</w:t>
            </w:r>
          </w:p>
        </w:tc>
        <w:tc>
          <w:tcPr>
            <w:tcW w:w="402" w:type="dxa"/>
            <w:vMerge w:val="restart"/>
            <w:shd w:val="clear" w:color="auto" w:fill="D6E3BC" w:themeFill="accent3" w:themeFillTint="66"/>
          </w:tcPr>
          <w:p w14:paraId="51EE6D98" w14:textId="77777777" w:rsidR="003F1309" w:rsidRPr="00257F44" w:rsidRDefault="003F1309" w:rsidP="00FD2A72">
            <w:pPr>
              <w:pStyle w:val="Rowcolumntitles"/>
              <w:rPr>
                <w:sz w:val="20"/>
                <w:lang w:val="uk-UA"/>
              </w:rPr>
            </w:pPr>
          </w:p>
        </w:tc>
        <w:tc>
          <w:tcPr>
            <w:tcW w:w="388" w:type="dxa"/>
            <w:vMerge w:val="restart"/>
            <w:shd w:val="clear" w:color="auto" w:fill="D6E3BC" w:themeFill="accent3" w:themeFillTint="66"/>
          </w:tcPr>
          <w:p w14:paraId="42EF3410" w14:textId="77777777" w:rsidR="003F1309" w:rsidRPr="00257F44" w:rsidRDefault="003F1309" w:rsidP="00FD2A72">
            <w:pPr>
              <w:pStyle w:val="Rowcolumntitles"/>
              <w:rPr>
                <w:rFonts w:eastAsia="Times New Roman"/>
                <w:sz w:val="20"/>
                <w:lang w:val="uk-UA"/>
              </w:rPr>
            </w:pPr>
          </w:p>
        </w:tc>
        <w:tc>
          <w:tcPr>
            <w:tcW w:w="425" w:type="dxa"/>
            <w:vMerge w:val="restart"/>
            <w:shd w:val="clear" w:color="auto" w:fill="D6E3BC" w:themeFill="accent3" w:themeFillTint="66"/>
          </w:tcPr>
          <w:p w14:paraId="6DAD2D77" w14:textId="77777777" w:rsidR="003F1309" w:rsidRPr="00257F44" w:rsidRDefault="003F1309" w:rsidP="00FD2A72">
            <w:pPr>
              <w:pStyle w:val="Rowcolumntitles"/>
              <w:rPr>
                <w:sz w:val="20"/>
                <w:lang w:val="uk-UA"/>
              </w:rPr>
            </w:pPr>
          </w:p>
        </w:tc>
        <w:tc>
          <w:tcPr>
            <w:tcW w:w="395" w:type="dxa"/>
            <w:vMerge w:val="restart"/>
            <w:shd w:val="clear" w:color="auto" w:fill="D6E3BC" w:themeFill="accent3" w:themeFillTint="66"/>
          </w:tcPr>
          <w:p w14:paraId="27B61E66" w14:textId="3FB353E4" w:rsidR="003F1309" w:rsidRPr="00257F44" w:rsidRDefault="003F130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654" w:type="dxa"/>
            <w:gridSpan w:val="2"/>
            <w:vMerge w:val="restart"/>
            <w:shd w:val="clear" w:color="auto" w:fill="FBD4B4" w:themeFill="accent6" w:themeFillTint="66"/>
          </w:tcPr>
          <w:p w14:paraId="251E504C" w14:textId="5DA63628" w:rsidR="003F1309" w:rsidRPr="00257F44" w:rsidRDefault="003F130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9" w:type="dxa"/>
            <w:vMerge w:val="restart"/>
            <w:shd w:val="clear" w:color="auto" w:fill="FBD4B4" w:themeFill="accent6" w:themeFillTint="66"/>
          </w:tcPr>
          <w:p w14:paraId="16FB3A45" w14:textId="77777777" w:rsidR="003F1309" w:rsidRPr="00257F44" w:rsidRDefault="003F1309" w:rsidP="00FD2A72">
            <w:pPr>
              <w:pStyle w:val="Rowcolumntitles"/>
              <w:rPr>
                <w:rFonts w:eastAsia="Times New Roman"/>
                <w:sz w:val="20"/>
                <w:lang w:val="uk-UA"/>
              </w:rPr>
            </w:pPr>
          </w:p>
        </w:tc>
        <w:tc>
          <w:tcPr>
            <w:tcW w:w="404" w:type="dxa"/>
            <w:vMerge w:val="restart"/>
            <w:shd w:val="clear" w:color="auto" w:fill="FBD4B4" w:themeFill="accent6" w:themeFillTint="66"/>
          </w:tcPr>
          <w:p w14:paraId="3EF7278F" w14:textId="4C787EB0" w:rsidR="003F1309" w:rsidRPr="00257F44" w:rsidRDefault="003F130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895" w:type="dxa"/>
            <w:vMerge w:val="restart"/>
            <w:shd w:val="clear" w:color="auto" w:fill="FBD4B4" w:themeFill="accent6" w:themeFillTint="66"/>
          </w:tcPr>
          <w:p w14:paraId="2AB55F29" w14:textId="77777777" w:rsidR="003F1309" w:rsidRPr="00257F44" w:rsidRDefault="003F1309" w:rsidP="00FD2A72">
            <w:pPr>
              <w:pStyle w:val="Rowcolumntitles"/>
              <w:rPr>
                <w:rFonts w:eastAsia="Times New Roman"/>
                <w:sz w:val="20"/>
                <w:lang w:val="uk-UA"/>
              </w:rPr>
            </w:pPr>
          </w:p>
        </w:tc>
        <w:tc>
          <w:tcPr>
            <w:tcW w:w="341" w:type="dxa"/>
            <w:gridSpan w:val="3"/>
            <w:vMerge w:val="restart"/>
            <w:shd w:val="clear" w:color="auto" w:fill="CCC0D9" w:themeFill="accent4" w:themeFillTint="66"/>
          </w:tcPr>
          <w:p w14:paraId="0B1062F1" w14:textId="77777777" w:rsidR="003F1309" w:rsidRPr="00257F44" w:rsidRDefault="003F1309" w:rsidP="00FD2A72">
            <w:pPr>
              <w:pStyle w:val="Rowcolumntitles"/>
              <w:rPr>
                <w:sz w:val="20"/>
                <w:lang w:val="uk-UA"/>
              </w:rPr>
            </w:pPr>
          </w:p>
        </w:tc>
        <w:tc>
          <w:tcPr>
            <w:tcW w:w="341" w:type="dxa"/>
            <w:gridSpan w:val="2"/>
            <w:vMerge w:val="restart"/>
            <w:shd w:val="clear" w:color="auto" w:fill="CCC0D9" w:themeFill="accent4" w:themeFillTint="66"/>
          </w:tcPr>
          <w:p w14:paraId="0EB07020" w14:textId="77777777" w:rsidR="003F1309" w:rsidRPr="00257F44" w:rsidRDefault="003F1309" w:rsidP="00FD2A72">
            <w:pPr>
              <w:pStyle w:val="Rowcolumntitles"/>
              <w:rPr>
                <w:rFonts w:eastAsia="Times New Roman"/>
                <w:sz w:val="20"/>
                <w:lang w:val="uk-UA"/>
              </w:rPr>
            </w:pPr>
          </w:p>
        </w:tc>
        <w:tc>
          <w:tcPr>
            <w:tcW w:w="341" w:type="dxa"/>
            <w:gridSpan w:val="2"/>
            <w:vMerge w:val="restart"/>
            <w:shd w:val="clear" w:color="auto" w:fill="CCC0D9" w:themeFill="accent4" w:themeFillTint="66"/>
          </w:tcPr>
          <w:p w14:paraId="21CA346C" w14:textId="77777777" w:rsidR="003F1309" w:rsidRPr="00257F44" w:rsidRDefault="003F1309" w:rsidP="00FD2A72">
            <w:pPr>
              <w:pStyle w:val="Rowcolumntitles"/>
              <w:rPr>
                <w:sz w:val="20"/>
                <w:lang w:val="uk-UA"/>
              </w:rPr>
            </w:pPr>
          </w:p>
        </w:tc>
        <w:tc>
          <w:tcPr>
            <w:tcW w:w="343" w:type="dxa"/>
            <w:gridSpan w:val="3"/>
            <w:vMerge w:val="restart"/>
            <w:shd w:val="clear" w:color="auto" w:fill="CCC0D9" w:themeFill="accent4" w:themeFillTint="66"/>
          </w:tcPr>
          <w:p w14:paraId="6549E0EF" w14:textId="45A0FDD4" w:rsidR="003F1309" w:rsidRPr="00257F44" w:rsidRDefault="003F130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85" w:type="dxa"/>
            <w:gridSpan w:val="3"/>
            <w:shd w:val="clear" w:color="auto" w:fill="B8CCE4" w:themeFill="accent1" w:themeFillTint="66"/>
          </w:tcPr>
          <w:p w14:paraId="4A04224A" w14:textId="4DA62DE5" w:rsidR="003F1309" w:rsidRPr="00257F44" w:rsidRDefault="003F1309" w:rsidP="00FD2A72">
            <w:pPr>
              <w:pStyle w:val="Rowcolumntitles"/>
              <w:rPr>
                <w:rFonts w:eastAsia="Times New Roman"/>
                <w:sz w:val="20"/>
                <w:lang w:val="uk-UA"/>
              </w:rPr>
            </w:pPr>
          </w:p>
        </w:tc>
        <w:tc>
          <w:tcPr>
            <w:tcW w:w="487" w:type="dxa"/>
            <w:gridSpan w:val="2"/>
            <w:shd w:val="clear" w:color="auto" w:fill="B8CCE4" w:themeFill="accent1" w:themeFillTint="66"/>
          </w:tcPr>
          <w:p w14:paraId="1BA4525E" w14:textId="77777777" w:rsidR="003F1309" w:rsidRPr="00257F44" w:rsidRDefault="003F1309" w:rsidP="00FD2A72">
            <w:pPr>
              <w:pStyle w:val="Rowcolumntitles"/>
              <w:rPr>
                <w:rFonts w:eastAsia="Times New Roman"/>
                <w:sz w:val="20"/>
                <w:lang w:val="uk-UA"/>
              </w:rPr>
            </w:pPr>
          </w:p>
        </w:tc>
        <w:tc>
          <w:tcPr>
            <w:tcW w:w="487" w:type="dxa"/>
            <w:gridSpan w:val="4"/>
            <w:shd w:val="clear" w:color="auto" w:fill="B8CCE4" w:themeFill="accent1" w:themeFillTint="66"/>
          </w:tcPr>
          <w:p w14:paraId="09F89FB1" w14:textId="0D0B5BAB" w:rsidR="003F1309" w:rsidRPr="00257F44" w:rsidRDefault="003F1309" w:rsidP="00FD2A72">
            <w:pPr>
              <w:pStyle w:val="Rowcolumntitles"/>
              <w:rPr>
                <w:rFonts w:eastAsia="Times New Roman"/>
                <w:sz w:val="20"/>
                <w:lang w:val="uk-UA"/>
              </w:rPr>
            </w:pPr>
          </w:p>
        </w:tc>
        <w:tc>
          <w:tcPr>
            <w:tcW w:w="493" w:type="dxa"/>
            <w:gridSpan w:val="3"/>
            <w:shd w:val="clear" w:color="auto" w:fill="B8CCE4" w:themeFill="accent1" w:themeFillTint="66"/>
          </w:tcPr>
          <w:p w14:paraId="5229366E" w14:textId="540FFAE5" w:rsidR="003F1309" w:rsidRPr="00257F44" w:rsidRDefault="003F130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7" w:type="dxa"/>
            <w:gridSpan w:val="3"/>
            <w:vMerge w:val="restart"/>
            <w:shd w:val="clear" w:color="auto" w:fill="D99594" w:themeFill="accent2" w:themeFillTint="99"/>
          </w:tcPr>
          <w:p w14:paraId="121A0CC1" w14:textId="77777777" w:rsidR="003F1309" w:rsidRPr="00257F44" w:rsidRDefault="003F130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0C680615" w14:textId="408B6424" w:rsidR="003F1309" w:rsidRPr="00257F44" w:rsidRDefault="003F130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18" w:type="dxa"/>
            <w:gridSpan w:val="2"/>
            <w:vMerge w:val="restart"/>
            <w:shd w:val="clear" w:color="auto" w:fill="D99594" w:themeFill="accent2" w:themeFillTint="99"/>
          </w:tcPr>
          <w:p w14:paraId="0DBE0F6D" w14:textId="77777777" w:rsidR="003F1309" w:rsidRPr="00257F44" w:rsidRDefault="003F130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4F627A20" w14:textId="77777777" w:rsidR="003F1309" w:rsidRPr="00257F44" w:rsidRDefault="003F1309"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0FF3F9F1" w14:textId="77777777" w:rsidR="003F1309" w:rsidRPr="00257F44" w:rsidRDefault="003F1309" w:rsidP="00FD2A72">
            <w:pPr>
              <w:pStyle w:val="Rowcolumntitles"/>
              <w:rPr>
                <w:rFonts w:eastAsia="Times New Roman"/>
                <w:sz w:val="20"/>
                <w:lang w:val="uk-UA"/>
              </w:rPr>
            </w:pPr>
          </w:p>
        </w:tc>
      </w:tr>
      <w:tr w:rsidR="000E0B9A" w:rsidRPr="00257F44" w14:paraId="0ED93E46" w14:textId="77777777" w:rsidTr="00DB3322">
        <w:trPr>
          <w:gridAfter w:val="2"/>
          <w:wAfter w:w="24" w:type="dxa"/>
          <w:trHeight w:val="300"/>
        </w:trPr>
        <w:tc>
          <w:tcPr>
            <w:tcW w:w="1470" w:type="dxa"/>
            <w:vMerge/>
            <w:shd w:val="clear" w:color="auto" w:fill="000000" w:themeFill="text1"/>
          </w:tcPr>
          <w:p w14:paraId="01EC66F5" w14:textId="77777777" w:rsidR="002D3389" w:rsidRPr="00257F44" w:rsidRDefault="002D3389" w:rsidP="00FD2A72">
            <w:pPr>
              <w:pStyle w:val="Rowcolumntitles"/>
              <w:rPr>
                <w:noProof/>
                <w:color w:val="FFFFFF" w:themeColor="background1"/>
                <w:sz w:val="20"/>
                <w:lang w:val="uk-UA"/>
              </w:rPr>
            </w:pPr>
          </w:p>
        </w:tc>
        <w:tc>
          <w:tcPr>
            <w:tcW w:w="402" w:type="dxa"/>
            <w:vMerge/>
            <w:shd w:val="clear" w:color="auto" w:fill="D6E3BC" w:themeFill="accent3" w:themeFillTint="66"/>
          </w:tcPr>
          <w:p w14:paraId="6536809B" w14:textId="77777777" w:rsidR="002D3389" w:rsidRPr="00257F44" w:rsidRDefault="002D3389" w:rsidP="00FD2A72">
            <w:pPr>
              <w:pStyle w:val="Rowcolumntitles"/>
              <w:rPr>
                <w:sz w:val="20"/>
                <w:lang w:val="uk-UA"/>
              </w:rPr>
            </w:pPr>
          </w:p>
        </w:tc>
        <w:tc>
          <w:tcPr>
            <w:tcW w:w="388" w:type="dxa"/>
            <w:vMerge/>
            <w:shd w:val="clear" w:color="auto" w:fill="D6E3BC" w:themeFill="accent3" w:themeFillTint="66"/>
          </w:tcPr>
          <w:p w14:paraId="76F0BA53" w14:textId="77777777" w:rsidR="002D3389" w:rsidRPr="00257F44" w:rsidRDefault="002D3389" w:rsidP="00FD2A72">
            <w:pPr>
              <w:pStyle w:val="Rowcolumntitles"/>
              <w:rPr>
                <w:rFonts w:eastAsia="Times New Roman"/>
                <w:sz w:val="20"/>
                <w:lang w:val="uk-UA"/>
              </w:rPr>
            </w:pPr>
          </w:p>
        </w:tc>
        <w:tc>
          <w:tcPr>
            <w:tcW w:w="425" w:type="dxa"/>
            <w:vMerge/>
            <w:shd w:val="clear" w:color="auto" w:fill="D6E3BC" w:themeFill="accent3" w:themeFillTint="66"/>
          </w:tcPr>
          <w:p w14:paraId="0C28EC8E" w14:textId="77777777" w:rsidR="002D3389" w:rsidRPr="00257F44" w:rsidRDefault="002D3389" w:rsidP="00FD2A72">
            <w:pPr>
              <w:pStyle w:val="Rowcolumntitles"/>
              <w:rPr>
                <w:sz w:val="20"/>
                <w:lang w:val="uk-UA"/>
              </w:rPr>
            </w:pPr>
          </w:p>
        </w:tc>
        <w:tc>
          <w:tcPr>
            <w:tcW w:w="395" w:type="dxa"/>
            <w:vMerge/>
            <w:shd w:val="clear" w:color="auto" w:fill="D6E3BC" w:themeFill="accent3" w:themeFillTint="66"/>
          </w:tcPr>
          <w:p w14:paraId="1907B45E" w14:textId="77777777" w:rsidR="002D3389" w:rsidRPr="00257F44" w:rsidRDefault="002D3389" w:rsidP="00FD2A72">
            <w:pPr>
              <w:pStyle w:val="Rowcolumntitles"/>
              <w:rPr>
                <w:rFonts w:eastAsia="Times New Roman"/>
                <w:sz w:val="20"/>
                <w:lang w:val="uk-UA"/>
              </w:rPr>
            </w:pPr>
          </w:p>
        </w:tc>
        <w:tc>
          <w:tcPr>
            <w:tcW w:w="654" w:type="dxa"/>
            <w:gridSpan w:val="2"/>
            <w:vMerge/>
            <w:shd w:val="clear" w:color="auto" w:fill="FBD4B4" w:themeFill="accent6" w:themeFillTint="66"/>
          </w:tcPr>
          <w:p w14:paraId="12133460" w14:textId="77777777" w:rsidR="002D3389" w:rsidRPr="00257F44" w:rsidRDefault="002D3389" w:rsidP="00FD2A72">
            <w:pPr>
              <w:pStyle w:val="Rowcolumntitles"/>
              <w:rPr>
                <w:rFonts w:eastAsia="Times New Roman"/>
                <w:sz w:val="20"/>
                <w:lang w:val="uk-UA"/>
              </w:rPr>
            </w:pPr>
          </w:p>
        </w:tc>
        <w:tc>
          <w:tcPr>
            <w:tcW w:w="369" w:type="dxa"/>
            <w:vMerge/>
            <w:shd w:val="clear" w:color="auto" w:fill="FBD4B4" w:themeFill="accent6" w:themeFillTint="66"/>
          </w:tcPr>
          <w:p w14:paraId="05CD079E" w14:textId="77777777" w:rsidR="002D3389" w:rsidRPr="00257F44" w:rsidRDefault="002D3389" w:rsidP="00FD2A72">
            <w:pPr>
              <w:pStyle w:val="Rowcolumntitles"/>
              <w:rPr>
                <w:rFonts w:eastAsia="Times New Roman"/>
                <w:sz w:val="20"/>
                <w:lang w:val="uk-UA"/>
              </w:rPr>
            </w:pPr>
          </w:p>
        </w:tc>
        <w:tc>
          <w:tcPr>
            <w:tcW w:w="404" w:type="dxa"/>
            <w:vMerge/>
            <w:shd w:val="clear" w:color="auto" w:fill="FBD4B4" w:themeFill="accent6" w:themeFillTint="66"/>
          </w:tcPr>
          <w:p w14:paraId="25A9E97A" w14:textId="77777777" w:rsidR="002D3389" w:rsidRPr="00257F44" w:rsidRDefault="002D3389" w:rsidP="00FD2A72">
            <w:pPr>
              <w:pStyle w:val="Rowcolumntitles"/>
              <w:rPr>
                <w:rFonts w:eastAsia="Times New Roman"/>
                <w:sz w:val="20"/>
                <w:lang w:val="uk-UA"/>
              </w:rPr>
            </w:pPr>
          </w:p>
        </w:tc>
        <w:tc>
          <w:tcPr>
            <w:tcW w:w="895" w:type="dxa"/>
            <w:vMerge/>
            <w:shd w:val="clear" w:color="auto" w:fill="FBD4B4" w:themeFill="accent6" w:themeFillTint="66"/>
          </w:tcPr>
          <w:p w14:paraId="026EC630" w14:textId="77777777" w:rsidR="002D3389" w:rsidRPr="00257F44" w:rsidRDefault="002D3389" w:rsidP="00FD2A72">
            <w:pPr>
              <w:pStyle w:val="Rowcolumntitles"/>
              <w:rPr>
                <w:rFonts w:eastAsia="Times New Roman"/>
                <w:sz w:val="20"/>
                <w:lang w:val="uk-UA"/>
              </w:rPr>
            </w:pPr>
          </w:p>
        </w:tc>
        <w:tc>
          <w:tcPr>
            <w:tcW w:w="341" w:type="dxa"/>
            <w:gridSpan w:val="3"/>
            <w:vMerge/>
            <w:shd w:val="clear" w:color="auto" w:fill="CCC0D9" w:themeFill="accent4" w:themeFillTint="66"/>
          </w:tcPr>
          <w:p w14:paraId="6EB5E33F" w14:textId="77777777" w:rsidR="002D3389" w:rsidRPr="00257F44" w:rsidRDefault="002D3389" w:rsidP="00FD2A72">
            <w:pPr>
              <w:pStyle w:val="Rowcolumntitles"/>
              <w:rPr>
                <w:sz w:val="20"/>
                <w:lang w:val="uk-UA"/>
              </w:rPr>
            </w:pPr>
          </w:p>
        </w:tc>
        <w:tc>
          <w:tcPr>
            <w:tcW w:w="341" w:type="dxa"/>
            <w:gridSpan w:val="2"/>
            <w:vMerge/>
            <w:shd w:val="clear" w:color="auto" w:fill="CCC0D9" w:themeFill="accent4" w:themeFillTint="66"/>
          </w:tcPr>
          <w:p w14:paraId="52DBD07D" w14:textId="77777777" w:rsidR="002D3389" w:rsidRPr="00257F44" w:rsidRDefault="002D3389" w:rsidP="00FD2A72">
            <w:pPr>
              <w:pStyle w:val="Rowcolumntitles"/>
              <w:rPr>
                <w:rFonts w:eastAsia="Times New Roman"/>
                <w:sz w:val="20"/>
                <w:lang w:val="uk-UA"/>
              </w:rPr>
            </w:pPr>
          </w:p>
        </w:tc>
        <w:tc>
          <w:tcPr>
            <w:tcW w:w="341" w:type="dxa"/>
            <w:gridSpan w:val="2"/>
            <w:vMerge/>
            <w:shd w:val="clear" w:color="auto" w:fill="CCC0D9" w:themeFill="accent4" w:themeFillTint="66"/>
          </w:tcPr>
          <w:p w14:paraId="55DA2BD8" w14:textId="77777777" w:rsidR="002D3389" w:rsidRPr="00257F44" w:rsidRDefault="002D3389" w:rsidP="00FD2A72">
            <w:pPr>
              <w:pStyle w:val="Rowcolumntitles"/>
              <w:rPr>
                <w:sz w:val="20"/>
                <w:lang w:val="uk-UA"/>
              </w:rPr>
            </w:pPr>
          </w:p>
        </w:tc>
        <w:tc>
          <w:tcPr>
            <w:tcW w:w="343" w:type="dxa"/>
            <w:gridSpan w:val="3"/>
            <w:vMerge/>
            <w:shd w:val="clear" w:color="auto" w:fill="CCC0D9" w:themeFill="accent4" w:themeFillTint="66"/>
          </w:tcPr>
          <w:p w14:paraId="2DD0CE8B"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74FB217F" w14:textId="6DAD3014"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61410257" w14:textId="77777777" w:rsidR="002D3389" w:rsidRPr="00257F44" w:rsidRDefault="002D3389" w:rsidP="00FD2A72">
            <w:pPr>
              <w:pStyle w:val="Rowcolumntitles"/>
              <w:rPr>
                <w:rFonts w:eastAsia="Times New Roman"/>
                <w:sz w:val="20"/>
                <w:lang w:val="uk-UA"/>
              </w:rPr>
            </w:pPr>
          </w:p>
        </w:tc>
        <w:tc>
          <w:tcPr>
            <w:tcW w:w="487" w:type="dxa"/>
            <w:gridSpan w:val="4"/>
            <w:shd w:val="clear" w:color="auto" w:fill="B8CCE4" w:themeFill="accent1" w:themeFillTint="66"/>
          </w:tcPr>
          <w:p w14:paraId="1603B187" w14:textId="04190D25" w:rsidR="002D3389" w:rsidRPr="00257F44" w:rsidRDefault="002D3389" w:rsidP="00FD2A72">
            <w:pPr>
              <w:pStyle w:val="Rowcolumntitles"/>
              <w:rPr>
                <w:rFonts w:eastAsia="Times New Roman"/>
                <w:sz w:val="20"/>
                <w:lang w:val="uk-UA"/>
              </w:rPr>
            </w:pPr>
          </w:p>
        </w:tc>
        <w:tc>
          <w:tcPr>
            <w:tcW w:w="493" w:type="dxa"/>
            <w:gridSpan w:val="3"/>
            <w:shd w:val="clear" w:color="auto" w:fill="B8CCE4" w:themeFill="accent1" w:themeFillTint="66"/>
          </w:tcPr>
          <w:p w14:paraId="3E907281" w14:textId="65BA40C2"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7" w:type="dxa"/>
            <w:gridSpan w:val="3"/>
            <w:vMerge/>
            <w:shd w:val="clear" w:color="auto" w:fill="D99594" w:themeFill="accent2" w:themeFillTint="99"/>
          </w:tcPr>
          <w:p w14:paraId="468587B2"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0BB3806C"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00527107"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75C6B916" w14:textId="77777777" w:rsidR="002D3389" w:rsidRPr="00257F44" w:rsidRDefault="002D3389" w:rsidP="00FD2A72">
            <w:pPr>
              <w:pStyle w:val="Rowcolumntitles"/>
              <w:rPr>
                <w:rFonts w:eastAsia="Times New Roman"/>
                <w:sz w:val="20"/>
                <w:lang w:val="uk-UA"/>
              </w:rPr>
            </w:pPr>
          </w:p>
        </w:tc>
        <w:tc>
          <w:tcPr>
            <w:tcW w:w="388" w:type="dxa"/>
            <w:gridSpan w:val="2"/>
            <w:vMerge/>
            <w:shd w:val="clear" w:color="auto" w:fill="D99594" w:themeFill="accent2" w:themeFillTint="99"/>
          </w:tcPr>
          <w:p w14:paraId="63B76CE3" w14:textId="77777777" w:rsidR="002D3389" w:rsidRPr="00257F44" w:rsidRDefault="002D3389" w:rsidP="00FD2A72">
            <w:pPr>
              <w:pStyle w:val="Rowcolumntitles"/>
              <w:rPr>
                <w:rFonts w:eastAsia="Times New Roman"/>
                <w:sz w:val="20"/>
                <w:lang w:val="uk-UA"/>
              </w:rPr>
            </w:pPr>
          </w:p>
        </w:tc>
      </w:tr>
      <w:tr w:rsidR="000E0B9A" w:rsidRPr="00257F44" w14:paraId="37AAA65E" w14:textId="77777777" w:rsidTr="00DB3322">
        <w:trPr>
          <w:gridAfter w:val="2"/>
          <w:wAfter w:w="24" w:type="dxa"/>
          <w:trHeight w:val="160"/>
        </w:trPr>
        <w:tc>
          <w:tcPr>
            <w:tcW w:w="1470" w:type="dxa"/>
            <w:vMerge w:val="restart"/>
            <w:shd w:val="clear" w:color="auto" w:fill="000000" w:themeFill="text1"/>
          </w:tcPr>
          <w:p w14:paraId="79B849C1" w14:textId="50F6B605" w:rsidR="002D3389" w:rsidRPr="00257F44" w:rsidRDefault="002D3389" w:rsidP="00FD2A72">
            <w:pPr>
              <w:pStyle w:val="Rowcolumntitles"/>
              <w:rPr>
                <w:noProof/>
                <w:color w:val="FFFFFF" w:themeColor="background1"/>
                <w:sz w:val="20"/>
                <w:lang w:val="uk-UA"/>
              </w:rPr>
            </w:pPr>
            <w:r w:rsidRPr="00257F44">
              <w:rPr>
                <w:noProof/>
                <w:color w:val="FFFFFF" w:themeColor="background1"/>
                <w:sz w:val="20"/>
                <w:lang w:val="uk-UA"/>
              </w:rPr>
              <w:t xml:space="preserve">8. </w:t>
            </w:r>
            <w:r w:rsidR="00E41990" w:rsidRPr="00257F44">
              <w:rPr>
                <w:noProof/>
                <w:color w:val="FFFFFF" w:themeColor="background1"/>
                <w:sz w:val="20"/>
                <w:lang w:val="uk-UA"/>
              </w:rPr>
              <w:t>Відповід</w:t>
            </w:r>
            <w:r w:rsidR="00704C64" w:rsidRPr="00257F44">
              <w:rPr>
                <w:noProof/>
                <w:color w:val="FFFFFF" w:themeColor="background1"/>
                <w:sz w:val="20"/>
                <w:lang w:val="uk-UA"/>
              </w:rPr>
              <w:t>-</w:t>
            </w:r>
            <w:r w:rsidR="00E41990" w:rsidRPr="00257F44">
              <w:rPr>
                <w:noProof/>
                <w:color w:val="FFFFFF" w:themeColor="background1"/>
                <w:sz w:val="20"/>
                <w:lang w:val="uk-UA"/>
              </w:rPr>
              <w:t>ність стандартам ІПВГ</w:t>
            </w:r>
          </w:p>
        </w:tc>
        <w:tc>
          <w:tcPr>
            <w:tcW w:w="402" w:type="dxa"/>
            <w:vMerge w:val="restart"/>
            <w:shd w:val="clear" w:color="auto" w:fill="D6E3BC" w:themeFill="accent3" w:themeFillTint="66"/>
          </w:tcPr>
          <w:p w14:paraId="2DF26FD2" w14:textId="77777777" w:rsidR="002D3389" w:rsidRPr="00257F44" w:rsidRDefault="002D3389" w:rsidP="00FD2A72">
            <w:pPr>
              <w:pStyle w:val="Rowcolumntitles"/>
              <w:rPr>
                <w:sz w:val="20"/>
                <w:lang w:val="uk-UA"/>
              </w:rPr>
            </w:pPr>
          </w:p>
        </w:tc>
        <w:tc>
          <w:tcPr>
            <w:tcW w:w="388" w:type="dxa"/>
            <w:vMerge w:val="restart"/>
            <w:shd w:val="clear" w:color="auto" w:fill="D6E3BC" w:themeFill="accent3" w:themeFillTint="66"/>
          </w:tcPr>
          <w:p w14:paraId="48B884C2" w14:textId="77777777" w:rsidR="002D3389" w:rsidRPr="00257F44" w:rsidRDefault="002D3389" w:rsidP="00FD2A72">
            <w:pPr>
              <w:pStyle w:val="Rowcolumntitles"/>
              <w:rPr>
                <w:rFonts w:eastAsia="Times New Roman"/>
                <w:sz w:val="20"/>
                <w:lang w:val="uk-UA"/>
              </w:rPr>
            </w:pPr>
          </w:p>
        </w:tc>
        <w:tc>
          <w:tcPr>
            <w:tcW w:w="425" w:type="dxa"/>
            <w:vMerge w:val="restart"/>
            <w:shd w:val="clear" w:color="auto" w:fill="D6E3BC" w:themeFill="accent3" w:themeFillTint="66"/>
          </w:tcPr>
          <w:p w14:paraId="69C9EC87" w14:textId="61FC01BA" w:rsidR="002D3389" w:rsidRPr="00257F44" w:rsidRDefault="002D3389" w:rsidP="00FD2A72">
            <w:pPr>
              <w:pStyle w:val="Rowcolumntitles"/>
              <w:rPr>
                <w:sz w:val="20"/>
                <w:lang w:val="uk-UA"/>
              </w:rPr>
            </w:pPr>
            <w:r w:rsidRPr="00257F44">
              <w:rPr>
                <w:rFonts w:ascii="MS Mincho" w:eastAsia="MS Mincho" w:hAnsi="MS Mincho" w:cs="MS Mincho"/>
                <w:noProof/>
                <w:sz w:val="20"/>
                <w:lang w:val="uk-UA"/>
              </w:rPr>
              <w:t>✔</w:t>
            </w:r>
          </w:p>
        </w:tc>
        <w:tc>
          <w:tcPr>
            <w:tcW w:w="395" w:type="dxa"/>
            <w:vMerge w:val="restart"/>
            <w:shd w:val="clear" w:color="auto" w:fill="D6E3BC" w:themeFill="accent3" w:themeFillTint="66"/>
          </w:tcPr>
          <w:p w14:paraId="0283E006" w14:textId="77777777" w:rsidR="002D3389" w:rsidRPr="00257F44" w:rsidRDefault="002D3389" w:rsidP="00FD2A72">
            <w:pPr>
              <w:pStyle w:val="Rowcolumntitles"/>
              <w:rPr>
                <w:rFonts w:eastAsia="Times New Roman"/>
                <w:sz w:val="20"/>
                <w:lang w:val="uk-UA"/>
              </w:rPr>
            </w:pPr>
          </w:p>
        </w:tc>
        <w:tc>
          <w:tcPr>
            <w:tcW w:w="654" w:type="dxa"/>
            <w:gridSpan w:val="2"/>
            <w:vMerge w:val="restart"/>
            <w:shd w:val="clear" w:color="auto" w:fill="FBD4B4" w:themeFill="accent6" w:themeFillTint="66"/>
          </w:tcPr>
          <w:p w14:paraId="66B7F63C" w14:textId="1BDB31D6"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9" w:type="dxa"/>
            <w:vMerge w:val="restart"/>
            <w:shd w:val="clear" w:color="auto" w:fill="FBD4B4" w:themeFill="accent6" w:themeFillTint="66"/>
          </w:tcPr>
          <w:p w14:paraId="3A6E3FFA" w14:textId="43139C7C"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04" w:type="dxa"/>
            <w:vMerge w:val="restart"/>
            <w:shd w:val="clear" w:color="auto" w:fill="FBD4B4" w:themeFill="accent6" w:themeFillTint="66"/>
          </w:tcPr>
          <w:p w14:paraId="32992E0A" w14:textId="62670E4C"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895" w:type="dxa"/>
            <w:vMerge w:val="restart"/>
            <w:shd w:val="clear" w:color="auto" w:fill="FBD4B4" w:themeFill="accent6" w:themeFillTint="66"/>
          </w:tcPr>
          <w:p w14:paraId="398815C4" w14:textId="77777777" w:rsidR="002D3389" w:rsidRPr="00257F44" w:rsidRDefault="002D3389" w:rsidP="00FD2A72">
            <w:pPr>
              <w:pStyle w:val="Rowcolumntitles"/>
              <w:rPr>
                <w:rFonts w:eastAsia="Times New Roman"/>
                <w:sz w:val="20"/>
                <w:lang w:val="uk-UA"/>
              </w:rPr>
            </w:pPr>
          </w:p>
        </w:tc>
        <w:tc>
          <w:tcPr>
            <w:tcW w:w="341" w:type="dxa"/>
            <w:gridSpan w:val="3"/>
            <w:vMerge w:val="restart"/>
            <w:shd w:val="clear" w:color="auto" w:fill="CCC0D9" w:themeFill="accent4" w:themeFillTint="66"/>
          </w:tcPr>
          <w:p w14:paraId="34B7DBC4" w14:textId="77777777" w:rsidR="002D3389" w:rsidRPr="00257F44" w:rsidRDefault="002D3389" w:rsidP="00FD2A72">
            <w:pPr>
              <w:pStyle w:val="Rowcolumntitles"/>
              <w:rPr>
                <w:sz w:val="20"/>
                <w:lang w:val="uk-UA"/>
              </w:rPr>
            </w:pPr>
          </w:p>
        </w:tc>
        <w:tc>
          <w:tcPr>
            <w:tcW w:w="341" w:type="dxa"/>
            <w:gridSpan w:val="2"/>
            <w:vMerge w:val="restart"/>
            <w:shd w:val="clear" w:color="auto" w:fill="CCC0D9" w:themeFill="accent4" w:themeFillTint="66"/>
          </w:tcPr>
          <w:p w14:paraId="0C76C6B2" w14:textId="77777777" w:rsidR="002D3389" w:rsidRPr="00257F44" w:rsidRDefault="002D3389" w:rsidP="00FD2A72">
            <w:pPr>
              <w:pStyle w:val="Rowcolumntitles"/>
              <w:rPr>
                <w:rFonts w:eastAsia="Times New Roman"/>
                <w:sz w:val="20"/>
                <w:lang w:val="uk-UA"/>
              </w:rPr>
            </w:pPr>
          </w:p>
        </w:tc>
        <w:tc>
          <w:tcPr>
            <w:tcW w:w="341" w:type="dxa"/>
            <w:gridSpan w:val="2"/>
            <w:vMerge w:val="restart"/>
            <w:shd w:val="clear" w:color="auto" w:fill="CCC0D9" w:themeFill="accent4" w:themeFillTint="66"/>
          </w:tcPr>
          <w:p w14:paraId="43B161FF" w14:textId="269C5DDE" w:rsidR="002D3389" w:rsidRPr="00257F44" w:rsidRDefault="002D3389" w:rsidP="00FD2A72">
            <w:pPr>
              <w:pStyle w:val="Rowcolumntitles"/>
              <w:rPr>
                <w:sz w:val="20"/>
                <w:lang w:val="uk-UA"/>
              </w:rPr>
            </w:pPr>
            <w:r w:rsidRPr="00257F44">
              <w:rPr>
                <w:rFonts w:ascii="MS Mincho" w:eastAsia="MS Mincho" w:hAnsi="MS Mincho" w:cs="MS Mincho"/>
                <w:noProof/>
                <w:sz w:val="20"/>
                <w:lang w:val="uk-UA"/>
              </w:rPr>
              <w:t>✔</w:t>
            </w:r>
          </w:p>
        </w:tc>
        <w:tc>
          <w:tcPr>
            <w:tcW w:w="343" w:type="dxa"/>
            <w:gridSpan w:val="3"/>
            <w:vMerge w:val="restart"/>
            <w:shd w:val="clear" w:color="auto" w:fill="CCC0D9" w:themeFill="accent4" w:themeFillTint="66"/>
          </w:tcPr>
          <w:p w14:paraId="07094A7B"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5F0B8AF0" w14:textId="28B646AE"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58DDF4C0" w14:textId="77777777" w:rsidR="002D3389" w:rsidRPr="00257F44" w:rsidRDefault="002D3389" w:rsidP="00FD2A72">
            <w:pPr>
              <w:pStyle w:val="Rowcolumntitles"/>
              <w:rPr>
                <w:rFonts w:eastAsia="Times New Roman"/>
                <w:sz w:val="20"/>
                <w:lang w:val="uk-UA"/>
              </w:rPr>
            </w:pPr>
          </w:p>
        </w:tc>
        <w:tc>
          <w:tcPr>
            <w:tcW w:w="487" w:type="dxa"/>
            <w:gridSpan w:val="4"/>
            <w:shd w:val="clear" w:color="auto" w:fill="B8CCE4" w:themeFill="accent1" w:themeFillTint="66"/>
          </w:tcPr>
          <w:p w14:paraId="5603423D" w14:textId="56110BDB"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93" w:type="dxa"/>
            <w:gridSpan w:val="3"/>
            <w:shd w:val="clear" w:color="auto" w:fill="B8CCE4" w:themeFill="accent1" w:themeFillTint="66"/>
          </w:tcPr>
          <w:p w14:paraId="7036FE89" w14:textId="553B4D26" w:rsidR="002D3389" w:rsidRPr="00257F44" w:rsidRDefault="002D3389" w:rsidP="00FD2A72">
            <w:pPr>
              <w:pStyle w:val="Rowcolumntitles"/>
              <w:rPr>
                <w:rFonts w:eastAsia="Times New Roman"/>
                <w:sz w:val="20"/>
                <w:lang w:val="uk-UA"/>
              </w:rPr>
            </w:pPr>
          </w:p>
        </w:tc>
        <w:tc>
          <w:tcPr>
            <w:tcW w:w="367" w:type="dxa"/>
            <w:gridSpan w:val="3"/>
            <w:vMerge w:val="restart"/>
            <w:shd w:val="clear" w:color="auto" w:fill="D99594" w:themeFill="accent2" w:themeFillTint="99"/>
          </w:tcPr>
          <w:p w14:paraId="08CFD2B2"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27D2B322"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592EE93B"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77B65A04" w14:textId="3E8D7E89"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88" w:type="dxa"/>
            <w:gridSpan w:val="2"/>
            <w:vMerge w:val="restart"/>
            <w:shd w:val="clear" w:color="auto" w:fill="D99594" w:themeFill="accent2" w:themeFillTint="99"/>
          </w:tcPr>
          <w:p w14:paraId="29A846A3" w14:textId="77777777" w:rsidR="002D3389" w:rsidRPr="00257F44" w:rsidRDefault="002D3389" w:rsidP="00FD2A72">
            <w:pPr>
              <w:pStyle w:val="Rowcolumntitles"/>
              <w:rPr>
                <w:rFonts w:eastAsia="Times New Roman"/>
                <w:sz w:val="20"/>
                <w:lang w:val="uk-UA"/>
              </w:rPr>
            </w:pPr>
          </w:p>
        </w:tc>
      </w:tr>
      <w:tr w:rsidR="000E0B9A" w:rsidRPr="00257F44" w14:paraId="7D30BE80" w14:textId="77777777" w:rsidTr="00DB3322">
        <w:trPr>
          <w:gridAfter w:val="2"/>
          <w:wAfter w:w="24" w:type="dxa"/>
          <w:trHeight w:val="160"/>
        </w:trPr>
        <w:tc>
          <w:tcPr>
            <w:tcW w:w="1470" w:type="dxa"/>
            <w:vMerge/>
            <w:shd w:val="clear" w:color="auto" w:fill="000000" w:themeFill="text1"/>
          </w:tcPr>
          <w:p w14:paraId="0B854C5F" w14:textId="77777777" w:rsidR="002D3389" w:rsidRPr="00257F44" w:rsidRDefault="002D3389" w:rsidP="00FD2A72">
            <w:pPr>
              <w:pStyle w:val="Rowcolumntitles"/>
              <w:rPr>
                <w:noProof/>
                <w:color w:val="FFFFFF" w:themeColor="background1"/>
                <w:sz w:val="20"/>
                <w:lang w:val="uk-UA"/>
              </w:rPr>
            </w:pPr>
          </w:p>
        </w:tc>
        <w:tc>
          <w:tcPr>
            <w:tcW w:w="402" w:type="dxa"/>
            <w:vMerge/>
            <w:shd w:val="clear" w:color="auto" w:fill="D6E3BC" w:themeFill="accent3" w:themeFillTint="66"/>
          </w:tcPr>
          <w:p w14:paraId="13CF94D5" w14:textId="77777777" w:rsidR="002D3389" w:rsidRPr="00257F44" w:rsidRDefault="002D3389" w:rsidP="00FD2A72">
            <w:pPr>
              <w:pStyle w:val="Rowcolumntitles"/>
              <w:rPr>
                <w:sz w:val="20"/>
                <w:lang w:val="uk-UA"/>
              </w:rPr>
            </w:pPr>
          </w:p>
        </w:tc>
        <w:tc>
          <w:tcPr>
            <w:tcW w:w="388" w:type="dxa"/>
            <w:vMerge/>
            <w:shd w:val="clear" w:color="auto" w:fill="D6E3BC" w:themeFill="accent3" w:themeFillTint="66"/>
          </w:tcPr>
          <w:p w14:paraId="1D8D6B53" w14:textId="77777777" w:rsidR="002D3389" w:rsidRPr="00257F44" w:rsidRDefault="002D3389" w:rsidP="00FD2A72">
            <w:pPr>
              <w:pStyle w:val="Rowcolumntitles"/>
              <w:rPr>
                <w:rFonts w:eastAsia="Times New Roman"/>
                <w:sz w:val="20"/>
                <w:lang w:val="uk-UA"/>
              </w:rPr>
            </w:pPr>
          </w:p>
        </w:tc>
        <w:tc>
          <w:tcPr>
            <w:tcW w:w="425" w:type="dxa"/>
            <w:vMerge/>
            <w:shd w:val="clear" w:color="auto" w:fill="D6E3BC" w:themeFill="accent3" w:themeFillTint="66"/>
          </w:tcPr>
          <w:p w14:paraId="555B0E9E" w14:textId="77777777" w:rsidR="002D3389" w:rsidRPr="00257F44" w:rsidRDefault="002D3389" w:rsidP="00FD2A72">
            <w:pPr>
              <w:pStyle w:val="Rowcolumntitles"/>
              <w:rPr>
                <w:sz w:val="20"/>
                <w:lang w:val="uk-UA"/>
              </w:rPr>
            </w:pPr>
          </w:p>
        </w:tc>
        <w:tc>
          <w:tcPr>
            <w:tcW w:w="395" w:type="dxa"/>
            <w:vMerge/>
            <w:shd w:val="clear" w:color="auto" w:fill="D6E3BC" w:themeFill="accent3" w:themeFillTint="66"/>
          </w:tcPr>
          <w:p w14:paraId="214C9778" w14:textId="77777777" w:rsidR="002D3389" w:rsidRPr="00257F44" w:rsidRDefault="002D3389" w:rsidP="00FD2A72">
            <w:pPr>
              <w:pStyle w:val="Rowcolumntitles"/>
              <w:rPr>
                <w:rFonts w:eastAsia="Times New Roman"/>
                <w:sz w:val="20"/>
                <w:lang w:val="uk-UA"/>
              </w:rPr>
            </w:pPr>
          </w:p>
        </w:tc>
        <w:tc>
          <w:tcPr>
            <w:tcW w:w="654" w:type="dxa"/>
            <w:gridSpan w:val="2"/>
            <w:vMerge/>
            <w:shd w:val="clear" w:color="auto" w:fill="FBD4B4" w:themeFill="accent6" w:themeFillTint="66"/>
          </w:tcPr>
          <w:p w14:paraId="61673130" w14:textId="77777777" w:rsidR="002D3389" w:rsidRPr="00257F44" w:rsidRDefault="002D3389" w:rsidP="00FD2A72">
            <w:pPr>
              <w:pStyle w:val="Rowcolumntitles"/>
              <w:rPr>
                <w:rFonts w:eastAsia="Times New Roman"/>
                <w:sz w:val="20"/>
                <w:lang w:val="uk-UA"/>
              </w:rPr>
            </w:pPr>
          </w:p>
        </w:tc>
        <w:tc>
          <w:tcPr>
            <w:tcW w:w="369" w:type="dxa"/>
            <w:vMerge/>
            <w:shd w:val="clear" w:color="auto" w:fill="FBD4B4" w:themeFill="accent6" w:themeFillTint="66"/>
          </w:tcPr>
          <w:p w14:paraId="4ED6D62E" w14:textId="77777777" w:rsidR="002D3389" w:rsidRPr="00257F44" w:rsidRDefault="002D3389" w:rsidP="00FD2A72">
            <w:pPr>
              <w:pStyle w:val="Rowcolumntitles"/>
              <w:rPr>
                <w:rFonts w:eastAsia="Times New Roman"/>
                <w:sz w:val="20"/>
                <w:lang w:val="uk-UA"/>
              </w:rPr>
            </w:pPr>
          </w:p>
        </w:tc>
        <w:tc>
          <w:tcPr>
            <w:tcW w:w="404" w:type="dxa"/>
            <w:vMerge/>
            <w:shd w:val="clear" w:color="auto" w:fill="FBD4B4" w:themeFill="accent6" w:themeFillTint="66"/>
          </w:tcPr>
          <w:p w14:paraId="22E37117" w14:textId="77777777" w:rsidR="002D3389" w:rsidRPr="00257F44" w:rsidRDefault="002D3389" w:rsidP="00FD2A72">
            <w:pPr>
              <w:pStyle w:val="Rowcolumntitles"/>
              <w:rPr>
                <w:rFonts w:eastAsia="Times New Roman"/>
                <w:sz w:val="20"/>
                <w:lang w:val="uk-UA"/>
              </w:rPr>
            </w:pPr>
          </w:p>
        </w:tc>
        <w:tc>
          <w:tcPr>
            <w:tcW w:w="895" w:type="dxa"/>
            <w:vMerge/>
            <w:shd w:val="clear" w:color="auto" w:fill="FBD4B4" w:themeFill="accent6" w:themeFillTint="66"/>
          </w:tcPr>
          <w:p w14:paraId="0A7632AF" w14:textId="77777777" w:rsidR="002D3389" w:rsidRPr="00257F44" w:rsidRDefault="002D3389" w:rsidP="00FD2A72">
            <w:pPr>
              <w:pStyle w:val="Rowcolumntitles"/>
              <w:rPr>
                <w:rFonts w:eastAsia="Times New Roman"/>
                <w:sz w:val="20"/>
                <w:lang w:val="uk-UA"/>
              </w:rPr>
            </w:pPr>
          </w:p>
        </w:tc>
        <w:tc>
          <w:tcPr>
            <w:tcW w:w="341" w:type="dxa"/>
            <w:gridSpan w:val="3"/>
            <w:vMerge/>
            <w:shd w:val="clear" w:color="auto" w:fill="CCC0D9" w:themeFill="accent4" w:themeFillTint="66"/>
          </w:tcPr>
          <w:p w14:paraId="7383274E" w14:textId="77777777" w:rsidR="002D3389" w:rsidRPr="00257F44" w:rsidRDefault="002D3389" w:rsidP="00FD2A72">
            <w:pPr>
              <w:pStyle w:val="Rowcolumntitles"/>
              <w:rPr>
                <w:sz w:val="20"/>
                <w:lang w:val="uk-UA"/>
              </w:rPr>
            </w:pPr>
          </w:p>
        </w:tc>
        <w:tc>
          <w:tcPr>
            <w:tcW w:w="341" w:type="dxa"/>
            <w:gridSpan w:val="2"/>
            <w:vMerge/>
            <w:shd w:val="clear" w:color="auto" w:fill="CCC0D9" w:themeFill="accent4" w:themeFillTint="66"/>
          </w:tcPr>
          <w:p w14:paraId="0987E356" w14:textId="77777777" w:rsidR="002D3389" w:rsidRPr="00257F44" w:rsidRDefault="002D3389" w:rsidP="00FD2A72">
            <w:pPr>
              <w:pStyle w:val="Rowcolumntitles"/>
              <w:rPr>
                <w:rFonts w:eastAsia="Times New Roman"/>
                <w:sz w:val="20"/>
                <w:lang w:val="uk-UA"/>
              </w:rPr>
            </w:pPr>
          </w:p>
        </w:tc>
        <w:tc>
          <w:tcPr>
            <w:tcW w:w="341" w:type="dxa"/>
            <w:gridSpan w:val="2"/>
            <w:vMerge/>
            <w:shd w:val="clear" w:color="auto" w:fill="CCC0D9" w:themeFill="accent4" w:themeFillTint="66"/>
          </w:tcPr>
          <w:p w14:paraId="3D29016E" w14:textId="77777777" w:rsidR="002D3389" w:rsidRPr="00257F44" w:rsidRDefault="002D3389" w:rsidP="00FD2A72">
            <w:pPr>
              <w:pStyle w:val="Rowcolumntitles"/>
              <w:rPr>
                <w:sz w:val="20"/>
                <w:lang w:val="uk-UA"/>
              </w:rPr>
            </w:pPr>
          </w:p>
        </w:tc>
        <w:tc>
          <w:tcPr>
            <w:tcW w:w="343" w:type="dxa"/>
            <w:gridSpan w:val="3"/>
            <w:vMerge/>
            <w:shd w:val="clear" w:color="auto" w:fill="CCC0D9" w:themeFill="accent4" w:themeFillTint="66"/>
          </w:tcPr>
          <w:p w14:paraId="6928B2B9"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1D76292E" w14:textId="579921E6" w:rsidR="002D3389" w:rsidRPr="00257F44" w:rsidRDefault="002D3389" w:rsidP="00FD2A72">
            <w:pPr>
              <w:pStyle w:val="Rowcolumntitles"/>
              <w:tabs>
                <w:tab w:val="left" w:pos="4860"/>
              </w:tabs>
              <w:rPr>
                <w:rFonts w:eastAsia="Times New Roman"/>
                <w:sz w:val="20"/>
                <w:lang w:val="uk-UA"/>
              </w:rPr>
            </w:pPr>
          </w:p>
        </w:tc>
        <w:tc>
          <w:tcPr>
            <w:tcW w:w="487" w:type="dxa"/>
            <w:gridSpan w:val="2"/>
            <w:shd w:val="clear" w:color="auto" w:fill="B8CCE4" w:themeFill="accent1" w:themeFillTint="66"/>
          </w:tcPr>
          <w:p w14:paraId="59168608" w14:textId="77777777" w:rsidR="002D3389" w:rsidRPr="00257F44" w:rsidRDefault="002D3389" w:rsidP="00FD2A72">
            <w:pPr>
              <w:pStyle w:val="Rowcolumntitles"/>
              <w:tabs>
                <w:tab w:val="left" w:pos="4860"/>
              </w:tabs>
              <w:rPr>
                <w:rFonts w:eastAsia="Times New Roman"/>
                <w:sz w:val="20"/>
                <w:lang w:val="uk-UA"/>
              </w:rPr>
            </w:pPr>
          </w:p>
        </w:tc>
        <w:tc>
          <w:tcPr>
            <w:tcW w:w="487" w:type="dxa"/>
            <w:gridSpan w:val="4"/>
            <w:shd w:val="clear" w:color="auto" w:fill="B8CCE4" w:themeFill="accent1" w:themeFillTint="66"/>
          </w:tcPr>
          <w:p w14:paraId="5020B3DA" w14:textId="11A08EF6" w:rsidR="002D3389" w:rsidRPr="00257F44" w:rsidRDefault="002D3389" w:rsidP="00FD2A72">
            <w:pPr>
              <w:pStyle w:val="Rowcolumntitles"/>
              <w:tabs>
                <w:tab w:val="left" w:pos="4860"/>
              </w:tabs>
              <w:rPr>
                <w:rFonts w:eastAsia="Times New Roman"/>
                <w:sz w:val="20"/>
                <w:lang w:val="uk-UA"/>
              </w:rPr>
            </w:pPr>
            <w:r w:rsidRPr="00257F44">
              <w:rPr>
                <w:rFonts w:ascii="MS Mincho" w:eastAsia="MS Mincho" w:hAnsi="MS Mincho" w:cs="MS Mincho"/>
                <w:noProof/>
                <w:sz w:val="20"/>
                <w:lang w:val="uk-UA"/>
              </w:rPr>
              <w:t>✔</w:t>
            </w:r>
          </w:p>
        </w:tc>
        <w:tc>
          <w:tcPr>
            <w:tcW w:w="493" w:type="dxa"/>
            <w:gridSpan w:val="3"/>
            <w:shd w:val="clear" w:color="auto" w:fill="B8CCE4" w:themeFill="accent1" w:themeFillTint="66"/>
          </w:tcPr>
          <w:p w14:paraId="595D5446" w14:textId="030CCF37" w:rsidR="002D3389" w:rsidRPr="00257F44" w:rsidRDefault="002D3389" w:rsidP="00FD2A72">
            <w:pPr>
              <w:pStyle w:val="Rowcolumntitles"/>
              <w:tabs>
                <w:tab w:val="left" w:pos="4860"/>
              </w:tabs>
              <w:rPr>
                <w:rFonts w:eastAsia="Times New Roman"/>
                <w:sz w:val="20"/>
                <w:lang w:val="uk-UA"/>
              </w:rPr>
            </w:pPr>
          </w:p>
        </w:tc>
        <w:tc>
          <w:tcPr>
            <w:tcW w:w="367" w:type="dxa"/>
            <w:gridSpan w:val="3"/>
            <w:vMerge/>
            <w:shd w:val="clear" w:color="auto" w:fill="D99594" w:themeFill="accent2" w:themeFillTint="99"/>
          </w:tcPr>
          <w:p w14:paraId="6C76DEF0"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27539167"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4BFDEBC4"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674AA5C0" w14:textId="77777777" w:rsidR="002D3389" w:rsidRPr="00257F44" w:rsidRDefault="002D3389" w:rsidP="00FD2A72">
            <w:pPr>
              <w:pStyle w:val="Rowcolumntitles"/>
              <w:rPr>
                <w:rFonts w:eastAsia="Times New Roman"/>
                <w:sz w:val="20"/>
                <w:lang w:val="uk-UA"/>
              </w:rPr>
            </w:pPr>
          </w:p>
        </w:tc>
        <w:tc>
          <w:tcPr>
            <w:tcW w:w="388" w:type="dxa"/>
            <w:gridSpan w:val="2"/>
            <w:vMerge/>
            <w:shd w:val="clear" w:color="auto" w:fill="D99594" w:themeFill="accent2" w:themeFillTint="99"/>
          </w:tcPr>
          <w:p w14:paraId="35C5B801" w14:textId="77777777" w:rsidR="002D3389" w:rsidRPr="00257F44" w:rsidRDefault="002D3389" w:rsidP="00FD2A72">
            <w:pPr>
              <w:pStyle w:val="Rowcolumntitles"/>
              <w:rPr>
                <w:rFonts w:eastAsia="Times New Roman"/>
                <w:sz w:val="20"/>
                <w:lang w:val="uk-UA"/>
              </w:rPr>
            </w:pPr>
          </w:p>
        </w:tc>
      </w:tr>
      <w:tr w:rsidR="002D3389" w:rsidRPr="00257F44" w14:paraId="733E171F" w14:textId="77777777" w:rsidTr="00DB3322">
        <w:trPr>
          <w:trHeight w:val="486"/>
        </w:trPr>
        <w:tc>
          <w:tcPr>
            <w:tcW w:w="10453" w:type="dxa"/>
            <w:gridSpan w:val="45"/>
            <w:shd w:val="clear" w:color="auto" w:fill="000000" w:themeFill="text1"/>
          </w:tcPr>
          <w:p w14:paraId="6B95F753" w14:textId="4CA12CA1" w:rsidR="002D3389" w:rsidRPr="00257F44" w:rsidRDefault="00F55484" w:rsidP="00FD2A72">
            <w:pPr>
              <w:pStyle w:val="Rowcolumntitles"/>
              <w:rPr>
                <w:b/>
                <w:noProof/>
                <w:color w:val="FFFFFF" w:themeColor="background1"/>
                <w:sz w:val="20"/>
                <w:lang w:val="uk-UA"/>
              </w:rPr>
            </w:pPr>
            <w:r w:rsidRPr="00257F44">
              <w:rPr>
                <w:b/>
                <w:noProof/>
                <w:color w:val="FFFFFF" w:themeColor="background1"/>
                <w:sz w:val="20"/>
                <w:lang w:val="uk-UA"/>
              </w:rPr>
              <w:lastRenderedPageBreak/>
              <w:t>Тема 3: Запобігання та протидія корупції</w:t>
            </w:r>
          </w:p>
        </w:tc>
      </w:tr>
      <w:tr w:rsidR="000E0B9A" w:rsidRPr="00257F44" w14:paraId="2F52C9B4" w14:textId="77777777" w:rsidTr="00DB3322">
        <w:trPr>
          <w:gridAfter w:val="2"/>
          <w:wAfter w:w="24" w:type="dxa"/>
          <w:trHeight w:val="227"/>
        </w:trPr>
        <w:tc>
          <w:tcPr>
            <w:tcW w:w="1470" w:type="dxa"/>
            <w:vMerge w:val="restart"/>
            <w:shd w:val="clear" w:color="auto" w:fill="000000" w:themeFill="text1"/>
          </w:tcPr>
          <w:p w14:paraId="1D697296" w14:textId="457AAB50" w:rsidR="002D3389" w:rsidRPr="00257F44" w:rsidRDefault="002D3389" w:rsidP="00FD2A72">
            <w:pPr>
              <w:pStyle w:val="Rowcolumntitles"/>
              <w:rPr>
                <w:color w:val="FFFFFF" w:themeColor="background1"/>
                <w:sz w:val="20"/>
                <w:lang w:val="uk-UA"/>
              </w:rPr>
            </w:pPr>
            <w:r w:rsidRPr="00257F44">
              <w:rPr>
                <w:color w:val="FFFFFF" w:themeColor="background1"/>
                <w:sz w:val="20"/>
                <w:lang w:val="uk-UA"/>
              </w:rPr>
              <w:t xml:space="preserve">9. </w:t>
            </w:r>
            <w:r w:rsidR="00704C64" w:rsidRPr="00257F44">
              <w:rPr>
                <w:color w:val="FFFFFF" w:themeColor="background1"/>
                <w:sz w:val="20"/>
                <w:lang w:val="uk-UA"/>
              </w:rPr>
              <w:t>Моніторинг інфраструк-турних проектів</w:t>
            </w:r>
          </w:p>
        </w:tc>
        <w:tc>
          <w:tcPr>
            <w:tcW w:w="402" w:type="dxa"/>
            <w:vMerge w:val="restart"/>
            <w:shd w:val="clear" w:color="auto" w:fill="D6E3BC" w:themeFill="accent3" w:themeFillTint="66"/>
          </w:tcPr>
          <w:p w14:paraId="715D9BC9" w14:textId="77777777" w:rsidR="002D3389" w:rsidRPr="00257F44" w:rsidRDefault="002D3389" w:rsidP="00FD2A72">
            <w:pPr>
              <w:pStyle w:val="Rowcolumntitles"/>
              <w:rPr>
                <w:sz w:val="20"/>
                <w:lang w:val="uk-UA"/>
              </w:rPr>
            </w:pPr>
          </w:p>
        </w:tc>
        <w:tc>
          <w:tcPr>
            <w:tcW w:w="388" w:type="dxa"/>
            <w:vMerge w:val="restart"/>
            <w:shd w:val="clear" w:color="auto" w:fill="D6E3BC" w:themeFill="accent3" w:themeFillTint="66"/>
          </w:tcPr>
          <w:p w14:paraId="2F2E702C" w14:textId="77777777" w:rsidR="002D3389" w:rsidRPr="00257F44" w:rsidRDefault="002D3389" w:rsidP="00FD2A72">
            <w:pPr>
              <w:pStyle w:val="Rowcolumntitles"/>
              <w:rPr>
                <w:rFonts w:eastAsia="Times New Roman"/>
                <w:sz w:val="20"/>
                <w:lang w:val="uk-UA"/>
              </w:rPr>
            </w:pPr>
          </w:p>
        </w:tc>
        <w:tc>
          <w:tcPr>
            <w:tcW w:w="425" w:type="dxa"/>
            <w:vMerge w:val="restart"/>
            <w:shd w:val="clear" w:color="auto" w:fill="D6E3BC" w:themeFill="accent3" w:themeFillTint="66"/>
          </w:tcPr>
          <w:p w14:paraId="23920F18" w14:textId="362E5DD6" w:rsidR="002D3389" w:rsidRPr="00257F44" w:rsidRDefault="002D3389" w:rsidP="00FD2A72">
            <w:pPr>
              <w:pStyle w:val="Rowcolumntitles"/>
              <w:rPr>
                <w:sz w:val="20"/>
                <w:lang w:val="uk-UA"/>
              </w:rPr>
            </w:pPr>
            <w:r w:rsidRPr="00257F44">
              <w:rPr>
                <w:rFonts w:ascii="MS Mincho" w:eastAsia="MS Mincho" w:hAnsi="MS Mincho" w:cs="MS Mincho"/>
                <w:noProof/>
                <w:sz w:val="20"/>
                <w:lang w:val="uk-UA"/>
              </w:rPr>
              <w:t>✔</w:t>
            </w:r>
          </w:p>
        </w:tc>
        <w:tc>
          <w:tcPr>
            <w:tcW w:w="395" w:type="dxa"/>
            <w:vMerge w:val="restart"/>
            <w:shd w:val="clear" w:color="auto" w:fill="D6E3BC" w:themeFill="accent3" w:themeFillTint="66"/>
          </w:tcPr>
          <w:p w14:paraId="3559CDA8" w14:textId="77777777" w:rsidR="002D3389" w:rsidRPr="00257F44" w:rsidRDefault="002D3389" w:rsidP="00FD2A72">
            <w:pPr>
              <w:pStyle w:val="Rowcolumntitles"/>
              <w:rPr>
                <w:rFonts w:eastAsia="Times New Roman"/>
                <w:sz w:val="20"/>
                <w:lang w:val="uk-UA"/>
              </w:rPr>
            </w:pPr>
          </w:p>
        </w:tc>
        <w:tc>
          <w:tcPr>
            <w:tcW w:w="654" w:type="dxa"/>
            <w:gridSpan w:val="2"/>
            <w:vMerge w:val="restart"/>
            <w:shd w:val="clear" w:color="auto" w:fill="FBD4B4" w:themeFill="accent6" w:themeFillTint="66"/>
          </w:tcPr>
          <w:p w14:paraId="3ED76A08" w14:textId="77777777" w:rsidR="002D3389" w:rsidRPr="00257F44" w:rsidRDefault="002D3389" w:rsidP="00FD2A72">
            <w:pPr>
              <w:pStyle w:val="Rowcolumntitles"/>
              <w:rPr>
                <w:rFonts w:eastAsia="Times New Roman"/>
                <w:sz w:val="20"/>
                <w:lang w:val="uk-UA"/>
              </w:rPr>
            </w:pPr>
          </w:p>
        </w:tc>
        <w:tc>
          <w:tcPr>
            <w:tcW w:w="369" w:type="dxa"/>
            <w:vMerge w:val="restart"/>
            <w:shd w:val="clear" w:color="auto" w:fill="FBD4B4" w:themeFill="accent6" w:themeFillTint="66"/>
          </w:tcPr>
          <w:p w14:paraId="690B7EB5" w14:textId="2BD2B75B"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04" w:type="dxa"/>
            <w:vMerge w:val="restart"/>
            <w:shd w:val="clear" w:color="auto" w:fill="FBD4B4" w:themeFill="accent6" w:themeFillTint="66"/>
          </w:tcPr>
          <w:p w14:paraId="7908E2BB" w14:textId="4DD0E504"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895" w:type="dxa"/>
            <w:vMerge w:val="restart"/>
            <w:shd w:val="clear" w:color="auto" w:fill="FBD4B4" w:themeFill="accent6" w:themeFillTint="66"/>
          </w:tcPr>
          <w:p w14:paraId="64EF1F3C" w14:textId="77777777" w:rsidR="002D3389" w:rsidRPr="00257F44" w:rsidRDefault="002D3389" w:rsidP="00FD2A72">
            <w:pPr>
              <w:pStyle w:val="Rowcolumntitles"/>
              <w:rPr>
                <w:rFonts w:eastAsia="Times New Roman"/>
                <w:sz w:val="20"/>
                <w:lang w:val="uk-UA"/>
              </w:rPr>
            </w:pPr>
          </w:p>
        </w:tc>
        <w:tc>
          <w:tcPr>
            <w:tcW w:w="341" w:type="dxa"/>
            <w:gridSpan w:val="3"/>
            <w:vMerge w:val="restart"/>
            <w:shd w:val="clear" w:color="auto" w:fill="CCC0D9" w:themeFill="accent4" w:themeFillTint="66"/>
          </w:tcPr>
          <w:p w14:paraId="448E3203" w14:textId="77777777" w:rsidR="002D3389" w:rsidRPr="00257F44" w:rsidRDefault="002D3389" w:rsidP="00FD2A72">
            <w:pPr>
              <w:pStyle w:val="Rowcolumntitles"/>
              <w:rPr>
                <w:sz w:val="20"/>
                <w:lang w:val="uk-UA"/>
              </w:rPr>
            </w:pPr>
          </w:p>
        </w:tc>
        <w:tc>
          <w:tcPr>
            <w:tcW w:w="341" w:type="dxa"/>
            <w:gridSpan w:val="2"/>
            <w:vMerge w:val="restart"/>
            <w:shd w:val="clear" w:color="auto" w:fill="CCC0D9" w:themeFill="accent4" w:themeFillTint="66"/>
          </w:tcPr>
          <w:p w14:paraId="1E21888A" w14:textId="77777777" w:rsidR="002D3389" w:rsidRPr="00257F44" w:rsidRDefault="002D3389" w:rsidP="00FD2A72">
            <w:pPr>
              <w:pStyle w:val="Rowcolumntitles"/>
              <w:rPr>
                <w:rFonts w:eastAsia="Times New Roman"/>
                <w:sz w:val="20"/>
                <w:lang w:val="uk-UA"/>
              </w:rPr>
            </w:pPr>
          </w:p>
        </w:tc>
        <w:tc>
          <w:tcPr>
            <w:tcW w:w="341" w:type="dxa"/>
            <w:gridSpan w:val="2"/>
            <w:vMerge w:val="restart"/>
            <w:shd w:val="clear" w:color="auto" w:fill="CCC0D9" w:themeFill="accent4" w:themeFillTint="66"/>
          </w:tcPr>
          <w:p w14:paraId="077FDBBF" w14:textId="61EEA4D1" w:rsidR="002D3389" w:rsidRPr="00257F44" w:rsidRDefault="002D3389" w:rsidP="00FD2A72">
            <w:pPr>
              <w:pStyle w:val="Rowcolumntitles"/>
              <w:rPr>
                <w:sz w:val="20"/>
                <w:lang w:val="uk-UA"/>
              </w:rPr>
            </w:pPr>
            <w:r w:rsidRPr="00257F44">
              <w:rPr>
                <w:rFonts w:ascii="MS Mincho" w:eastAsia="MS Mincho" w:hAnsi="MS Mincho" w:cs="MS Mincho"/>
                <w:noProof/>
                <w:sz w:val="20"/>
                <w:lang w:val="uk-UA"/>
              </w:rPr>
              <w:t>✔</w:t>
            </w:r>
          </w:p>
        </w:tc>
        <w:tc>
          <w:tcPr>
            <w:tcW w:w="322" w:type="dxa"/>
            <w:gridSpan w:val="2"/>
            <w:vMerge w:val="restart"/>
            <w:shd w:val="clear" w:color="auto" w:fill="CCC0D9" w:themeFill="accent4" w:themeFillTint="66"/>
          </w:tcPr>
          <w:p w14:paraId="4F1DD80C" w14:textId="77777777" w:rsidR="002D3389" w:rsidRPr="00257F44" w:rsidRDefault="002D3389" w:rsidP="00FD2A72">
            <w:pPr>
              <w:pStyle w:val="Rowcolumntitles"/>
              <w:rPr>
                <w:rFonts w:eastAsia="Times New Roman"/>
                <w:sz w:val="20"/>
                <w:lang w:val="uk-UA"/>
              </w:rPr>
            </w:pPr>
          </w:p>
        </w:tc>
        <w:tc>
          <w:tcPr>
            <w:tcW w:w="506" w:type="dxa"/>
            <w:gridSpan w:val="4"/>
            <w:shd w:val="clear" w:color="auto" w:fill="B8CCE4" w:themeFill="accent1" w:themeFillTint="66"/>
          </w:tcPr>
          <w:p w14:paraId="6B517A7F" w14:textId="092133C6"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2FD5498E" w14:textId="77777777" w:rsidR="002D3389" w:rsidRPr="00257F44" w:rsidRDefault="002D3389" w:rsidP="00FD2A72">
            <w:pPr>
              <w:pStyle w:val="Rowcolumntitles"/>
              <w:rPr>
                <w:rFonts w:eastAsia="Times New Roman"/>
                <w:sz w:val="20"/>
                <w:lang w:val="uk-UA"/>
              </w:rPr>
            </w:pPr>
          </w:p>
        </w:tc>
        <w:tc>
          <w:tcPr>
            <w:tcW w:w="487" w:type="dxa"/>
            <w:gridSpan w:val="4"/>
            <w:shd w:val="clear" w:color="auto" w:fill="B8CCE4" w:themeFill="accent1" w:themeFillTint="66"/>
          </w:tcPr>
          <w:p w14:paraId="2473AA53" w14:textId="0459EE8C"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93" w:type="dxa"/>
            <w:gridSpan w:val="3"/>
            <w:shd w:val="clear" w:color="auto" w:fill="B8CCE4" w:themeFill="accent1" w:themeFillTint="66"/>
          </w:tcPr>
          <w:p w14:paraId="3B6B69DC" w14:textId="18C57CCD" w:rsidR="002D3389" w:rsidRPr="00257F44" w:rsidRDefault="002D3389" w:rsidP="00FD2A72">
            <w:pPr>
              <w:pStyle w:val="Rowcolumntitles"/>
              <w:rPr>
                <w:rFonts w:eastAsia="Times New Roman"/>
                <w:sz w:val="20"/>
                <w:lang w:val="uk-UA"/>
              </w:rPr>
            </w:pPr>
          </w:p>
        </w:tc>
        <w:tc>
          <w:tcPr>
            <w:tcW w:w="367" w:type="dxa"/>
            <w:gridSpan w:val="3"/>
            <w:vMerge w:val="restart"/>
            <w:shd w:val="clear" w:color="auto" w:fill="D99594" w:themeFill="accent2" w:themeFillTint="99"/>
          </w:tcPr>
          <w:p w14:paraId="22C8FDBB"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13BABC7D" w14:textId="3F799860"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18" w:type="dxa"/>
            <w:gridSpan w:val="2"/>
            <w:vMerge w:val="restart"/>
            <w:shd w:val="clear" w:color="auto" w:fill="D99594" w:themeFill="accent2" w:themeFillTint="99"/>
          </w:tcPr>
          <w:p w14:paraId="7DDDBACF"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3E548844" w14:textId="77777777" w:rsidR="002D3389" w:rsidRPr="00257F44" w:rsidRDefault="002D3389"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4BFC764A" w14:textId="77777777" w:rsidR="002D3389" w:rsidRPr="00257F44" w:rsidRDefault="002D3389" w:rsidP="00FD2A72">
            <w:pPr>
              <w:pStyle w:val="Rowcolumntitles"/>
              <w:rPr>
                <w:rFonts w:eastAsia="Times New Roman"/>
                <w:sz w:val="20"/>
                <w:lang w:val="uk-UA"/>
              </w:rPr>
            </w:pPr>
          </w:p>
        </w:tc>
      </w:tr>
      <w:tr w:rsidR="000E0B9A" w:rsidRPr="00257F44" w14:paraId="233A6714" w14:textId="77777777" w:rsidTr="00DB3322">
        <w:trPr>
          <w:gridAfter w:val="2"/>
          <w:wAfter w:w="24" w:type="dxa"/>
          <w:trHeight w:val="226"/>
        </w:trPr>
        <w:tc>
          <w:tcPr>
            <w:tcW w:w="1470" w:type="dxa"/>
            <w:vMerge/>
            <w:shd w:val="clear" w:color="auto" w:fill="000000" w:themeFill="text1"/>
          </w:tcPr>
          <w:p w14:paraId="648BAF78" w14:textId="77777777" w:rsidR="002D3389" w:rsidRPr="00257F44" w:rsidRDefault="002D3389" w:rsidP="00FD2A72">
            <w:pPr>
              <w:pStyle w:val="Rowcolumntitles"/>
              <w:rPr>
                <w:color w:val="FFFFFF" w:themeColor="background1"/>
                <w:sz w:val="20"/>
                <w:lang w:val="uk-UA"/>
              </w:rPr>
            </w:pPr>
          </w:p>
        </w:tc>
        <w:tc>
          <w:tcPr>
            <w:tcW w:w="402" w:type="dxa"/>
            <w:vMerge/>
            <w:shd w:val="clear" w:color="auto" w:fill="D6E3BC" w:themeFill="accent3" w:themeFillTint="66"/>
          </w:tcPr>
          <w:p w14:paraId="5DD77BFD" w14:textId="77777777" w:rsidR="002D3389" w:rsidRPr="00257F44" w:rsidRDefault="002D3389" w:rsidP="00FD2A72">
            <w:pPr>
              <w:pStyle w:val="Rowcolumntitles"/>
              <w:rPr>
                <w:sz w:val="20"/>
                <w:lang w:val="uk-UA"/>
              </w:rPr>
            </w:pPr>
          </w:p>
        </w:tc>
        <w:tc>
          <w:tcPr>
            <w:tcW w:w="388" w:type="dxa"/>
            <w:vMerge/>
            <w:shd w:val="clear" w:color="auto" w:fill="D6E3BC" w:themeFill="accent3" w:themeFillTint="66"/>
          </w:tcPr>
          <w:p w14:paraId="2EBC7A3E" w14:textId="77777777" w:rsidR="002D3389" w:rsidRPr="00257F44" w:rsidRDefault="002D3389" w:rsidP="00FD2A72">
            <w:pPr>
              <w:pStyle w:val="Rowcolumntitles"/>
              <w:rPr>
                <w:rFonts w:eastAsia="Times New Roman"/>
                <w:sz w:val="20"/>
                <w:lang w:val="uk-UA"/>
              </w:rPr>
            </w:pPr>
          </w:p>
        </w:tc>
        <w:tc>
          <w:tcPr>
            <w:tcW w:w="425" w:type="dxa"/>
            <w:vMerge/>
            <w:shd w:val="clear" w:color="auto" w:fill="D6E3BC" w:themeFill="accent3" w:themeFillTint="66"/>
          </w:tcPr>
          <w:p w14:paraId="0FAA747E" w14:textId="77777777" w:rsidR="002D3389" w:rsidRPr="00257F44" w:rsidRDefault="002D3389" w:rsidP="00FD2A72">
            <w:pPr>
              <w:pStyle w:val="Rowcolumntitles"/>
              <w:rPr>
                <w:noProof/>
                <w:sz w:val="20"/>
                <w:lang w:val="uk-UA"/>
              </w:rPr>
            </w:pPr>
          </w:p>
        </w:tc>
        <w:tc>
          <w:tcPr>
            <w:tcW w:w="395" w:type="dxa"/>
            <w:vMerge/>
            <w:shd w:val="clear" w:color="auto" w:fill="D6E3BC" w:themeFill="accent3" w:themeFillTint="66"/>
          </w:tcPr>
          <w:p w14:paraId="1943C2B1" w14:textId="77777777" w:rsidR="002D3389" w:rsidRPr="00257F44" w:rsidRDefault="002D3389" w:rsidP="00FD2A72">
            <w:pPr>
              <w:pStyle w:val="Rowcolumntitles"/>
              <w:rPr>
                <w:rFonts w:eastAsia="Times New Roman"/>
                <w:sz w:val="20"/>
                <w:lang w:val="uk-UA"/>
              </w:rPr>
            </w:pPr>
          </w:p>
        </w:tc>
        <w:tc>
          <w:tcPr>
            <w:tcW w:w="654" w:type="dxa"/>
            <w:gridSpan w:val="2"/>
            <w:vMerge/>
            <w:shd w:val="clear" w:color="auto" w:fill="FBD4B4" w:themeFill="accent6" w:themeFillTint="66"/>
          </w:tcPr>
          <w:p w14:paraId="692D5E58" w14:textId="77777777" w:rsidR="002D3389" w:rsidRPr="00257F44" w:rsidRDefault="002D3389" w:rsidP="00FD2A72">
            <w:pPr>
              <w:pStyle w:val="Rowcolumntitles"/>
              <w:rPr>
                <w:rFonts w:eastAsia="Times New Roman"/>
                <w:sz w:val="20"/>
                <w:lang w:val="uk-UA"/>
              </w:rPr>
            </w:pPr>
          </w:p>
        </w:tc>
        <w:tc>
          <w:tcPr>
            <w:tcW w:w="369" w:type="dxa"/>
            <w:vMerge/>
            <w:shd w:val="clear" w:color="auto" w:fill="FBD4B4" w:themeFill="accent6" w:themeFillTint="66"/>
          </w:tcPr>
          <w:p w14:paraId="0C895367" w14:textId="77777777" w:rsidR="002D3389" w:rsidRPr="00257F44" w:rsidRDefault="002D3389" w:rsidP="00FD2A72">
            <w:pPr>
              <w:pStyle w:val="Rowcolumntitles"/>
              <w:rPr>
                <w:noProof/>
                <w:sz w:val="20"/>
                <w:lang w:val="uk-UA"/>
              </w:rPr>
            </w:pPr>
          </w:p>
        </w:tc>
        <w:tc>
          <w:tcPr>
            <w:tcW w:w="404" w:type="dxa"/>
            <w:vMerge/>
            <w:shd w:val="clear" w:color="auto" w:fill="FBD4B4" w:themeFill="accent6" w:themeFillTint="66"/>
          </w:tcPr>
          <w:p w14:paraId="0B514C72" w14:textId="77777777" w:rsidR="002D3389" w:rsidRPr="00257F44" w:rsidRDefault="002D3389" w:rsidP="00FD2A72">
            <w:pPr>
              <w:pStyle w:val="Rowcolumntitles"/>
              <w:rPr>
                <w:noProof/>
                <w:sz w:val="20"/>
                <w:lang w:val="uk-UA"/>
              </w:rPr>
            </w:pPr>
          </w:p>
        </w:tc>
        <w:tc>
          <w:tcPr>
            <w:tcW w:w="895" w:type="dxa"/>
            <w:vMerge/>
            <w:shd w:val="clear" w:color="auto" w:fill="FBD4B4" w:themeFill="accent6" w:themeFillTint="66"/>
          </w:tcPr>
          <w:p w14:paraId="48EE6377" w14:textId="77777777" w:rsidR="002D3389" w:rsidRPr="00257F44" w:rsidRDefault="002D3389" w:rsidP="00FD2A72">
            <w:pPr>
              <w:pStyle w:val="Rowcolumntitles"/>
              <w:rPr>
                <w:rFonts w:eastAsia="Times New Roman"/>
                <w:sz w:val="20"/>
                <w:lang w:val="uk-UA"/>
              </w:rPr>
            </w:pPr>
          </w:p>
        </w:tc>
        <w:tc>
          <w:tcPr>
            <w:tcW w:w="341" w:type="dxa"/>
            <w:gridSpan w:val="3"/>
            <w:vMerge/>
            <w:shd w:val="clear" w:color="auto" w:fill="CCC0D9" w:themeFill="accent4" w:themeFillTint="66"/>
          </w:tcPr>
          <w:p w14:paraId="7C6AB2F4" w14:textId="77777777" w:rsidR="002D3389" w:rsidRPr="00257F44" w:rsidRDefault="002D3389" w:rsidP="00FD2A72">
            <w:pPr>
              <w:pStyle w:val="Rowcolumntitles"/>
              <w:rPr>
                <w:sz w:val="20"/>
                <w:lang w:val="uk-UA"/>
              </w:rPr>
            </w:pPr>
          </w:p>
        </w:tc>
        <w:tc>
          <w:tcPr>
            <w:tcW w:w="341" w:type="dxa"/>
            <w:gridSpan w:val="2"/>
            <w:vMerge/>
            <w:shd w:val="clear" w:color="auto" w:fill="CCC0D9" w:themeFill="accent4" w:themeFillTint="66"/>
          </w:tcPr>
          <w:p w14:paraId="24603BF8" w14:textId="77777777" w:rsidR="002D3389" w:rsidRPr="00257F44" w:rsidRDefault="002D3389" w:rsidP="00FD2A72">
            <w:pPr>
              <w:pStyle w:val="Rowcolumntitles"/>
              <w:rPr>
                <w:rFonts w:eastAsia="Times New Roman"/>
                <w:sz w:val="20"/>
                <w:lang w:val="uk-UA"/>
              </w:rPr>
            </w:pPr>
          </w:p>
        </w:tc>
        <w:tc>
          <w:tcPr>
            <w:tcW w:w="341" w:type="dxa"/>
            <w:gridSpan w:val="2"/>
            <w:vMerge/>
            <w:shd w:val="clear" w:color="auto" w:fill="CCC0D9" w:themeFill="accent4" w:themeFillTint="66"/>
          </w:tcPr>
          <w:p w14:paraId="1AE9605A" w14:textId="77777777" w:rsidR="002D3389" w:rsidRPr="00257F44" w:rsidRDefault="002D3389" w:rsidP="00FD2A72">
            <w:pPr>
              <w:pStyle w:val="Rowcolumntitles"/>
              <w:rPr>
                <w:noProof/>
                <w:sz w:val="20"/>
                <w:lang w:val="uk-UA"/>
              </w:rPr>
            </w:pPr>
          </w:p>
        </w:tc>
        <w:tc>
          <w:tcPr>
            <w:tcW w:w="322" w:type="dxa"/>
            <w:gridSpan w:val="2"/>
            <w:vMerge/>
            <w:shd w:val="clear" w:color="auto" w:fill="CCC0D9" w:themeFill="accent4" w:themeFillTint="66"/>
          </w:tcPr>
          <w:p w14:paraId="06222C93" w14:textId="77777777" w:rsidR="002D3389" w:rsidRPr="00257F44" w:rsidRDefault="002D3389" w:rsidP="00FD2A72">
            <w:pPr>
              <w:pStyle w:val="Rowcolumntitles"/>
              <w:rPr>
                <w:rFonts w:eastAsia="Times New Roman"/>
                <w:sz w:val="20"/>
                <w:lang w:val="uk-UA"/>
              </w:rPr>
            </w:pPr>
          </w:p>
        </w:tc>
        <w:tc>
          <w:tcPr>
            <w:tcW w:w="506" w:type="dxa"/>
            <w:gridSpan w:val="4"/>
            <w:shd w:val="clear" w:color="auto" w:fill="B8CCE4" w:themeFill="accent1" w:themeFillTint="66"/>
          </w:tcPr>
          <w:p w14:paraId="4D82E83E" w14:textId="229043E4"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3214791A" w14:textId="21039C4F"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87" w:type="dxa"/>
            <w:gridSpan w:val="4"/>
            <w:shd w:val="clear" w:color="auto" w:fill="B8CCE4" w:themeFill="accent1" w:themeFillTint="66"/>
          </w:tcPr>
          <w:p w14:paraId="5676A778" w14:textId="77777777" w:rsidR="002D3389" w:rsidRPr="00257F44" w:rsidRDefault="002D3389" w:rsidP="00FD2A72">
            <w:pPr>
              <w:pStyle w:val="Rowcolumntitles"/>
              <w:rPr>
                <w:rFonts w:eastAsia="Times New Roman"/>
                <w:sz w:val="20"/>
                <w:lang w:val="uk-UA"/>
              </w:rPr>
            </w:pPr>
          </w:p>
        </w:tc>
        <w:tc>
          <w:tcPr>
            <w:tcW w:w="493" w:type="dxa"/>
            <w:gridSpan w:val="3"/>
            <w:shd w:val="clear" w:color="auto" w:fill="B8CCE4" w:themeFill="accent1" w:themeFillTint="66"/>
          </w:tcPr>
          <w:p w14:paraId="6814A8A4" w14:textId="727D5716" w:rsidR="002D3389" w:rsidRPr="00257F44" w:rsidRDefault="002D3389" w:rsidP="00FD2A72">
            <w:pPr>
              <w:pStyle w:val="Rowcolumntitles"/>
              <w:rPr>
                <w:rFonts w:eastAsia="Times New Roman"/>
                <w:sz w:val="20"/>
                <w:lang w:val="uk-UA"/>
              </w:rPr>
            </w:pPr>
          </w:p>
        </w:tc>
        <w:tc>
          <w:tcPr>
            <w:tcW w:w="367" w:type="dxa"/>
            <w:gridSpan w:val="3"/>
            <w:vMerge/>
            <w:shd w:val="clear" w:color="auto" w:fill="D99594" w:themeFill="accent2" w:themeFillTint="99"/>
          </w:tcPr>
          <w:p w14:paraId="7B967FFB"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57B8A94F"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62440F8B"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68152B26" w14:textId="77777777" w:rsidR="002D3389" w:rsidRPr="00257F44" w:rsidRDefault="002D3389" w:rsidP="00FD2A72">
            <w:pPr>
              <w:pStyle w:val="Rowcolumntitles"/>
              <w:rPr>
                <w:rFonts w:eastAsia="Times New Roman"/>
                <w:sz w:val="20"/>
                <w:lang w:val="uk-UA"/>
              </w:rPr>
            </w:pPr>
          </w:p>
        </w:tc>
        <w:tc>
          <w:tcPr>
            <w:tcW w:w="388" w:type="dxa"/>
            <w:gridSpan w:val="2"/>
            <w:vMerge/>
            <w:shd w:val="clear" w:color="auto" w:fill="D99594" w:themeFill="accent2" w:themeFillTint="99"/>
          </w:tcPr>
          <w:p w14:paraId="0F2540FA" w14:textId="77777777" w:rsidR="002D3389" w:rsidRPr="00257F44" w:rsidRDefault="002D3389" w:rsidP="00FD2A72">
            <w:pPr>
              <w:pStyle w:val="Rowcolumntitles"/>
              <w:rPr>
                <w:rFonts w:eastAsia="Times New Roman"/>
                <w:sz w:val="20"/>
                <w:lang w:val="uk-UA"/>
              </w:rPr>
            </w:pPr>
          </w:p>
        </w:tc>
      </w:tr>
      <w:tr w:rsidR="000E0B9A" w:rsidRPr="00257F44" w14:paraId="21814869" w14:textId="77777777" w:rsidTr="00DB3322">
        <w:trPr>
          <w:gridAfter w:val="2"/>
          <w:wAfter w:w="24" w:type="dxa"/>
          <w:trHeight w:val="300"/>
        </w:trPr>
        <w:tc>
          <w:tcPr>
            <w:tcW w:w="1470" w:type="dxa"/>
            <w:vMerge w:val="restart"/>
            <w:shd w:val="clear" w:color="auto" w:fill="000000" w:themeFill="text1"/>
          </w:tcPr>
          <w:p w14:paraId="15888719" w14:textId="245E4E07" w:rsidR="002D3389" w:rsidRPr="00257F44" w:rsidRDefault="002D3389" w:rsidP="00FD2A72">
            <w:pPr>
              <w:pStyle w:val="Rowcolumntitles"/>
              <w:rPr>
                <w:color w:val="FFFFFF" w:themeColor="background1"/>
                <w:sz w:val="20"/>
                <w:lang w:val="uk-UA"/>
              </w:rPr>
            </w:pPr>
            <w:r w:rsidRPr="00257F44">
              <w:rPr>
                <w:color w:val="FFFFFF" w:themeColor="background1"/>
                <w:sz w:val="20"/>
                <w:lang w:val="uk-UA"/>
              </w:rPr>
              <w:t xml:space="preserve">10.  </w:t>
            </w:r>
            <w:r w:rsidR="00704C64" w:rsidRPr="00257F44">
              <w:rPr>
                <w:color w:val="FFFFFF" w:themeColor="background1"/>
                <w:sz w:val="20"/>
                <w:lang w:val="uk-UA"/>
              </w:rPr>
              <w:t>Ухвалити регіональні антикоруп</w:t>
            </w:r>
            <w:r w:rsidR="00B01E82" w:rsidRPr="00257F44">
              <w:rPr>
                <w:color w:val="FFFFFF" w:themeColor="background1"/>
                <w:sz w:val="20"/>
                <w:lang w:val="uk-UA"/>
              </w:rPr>
              <w:t>-</w:t>
            </w:r>
            <w:r w:rsidR="00704C64" w:rsidRPr="00257F44">
              <w:rPr>
                <w:color w:val="FFFFFF" w:themeColor="background1"/>
                <w:sz w:val="20"/>
                <w:lang w:val="uk-UA"/>
              </w:rPr>
              <w:t>ційні програми</w:t>
            </w:r>
          </w:p>
        </w:tc>
        <w:tc>
          <w:tcPr>
            <w:tcW w:w="402" w:type="dxa"/>
            <w:vMerge w:val="restart"/>
            <w:shd w:val="clear" w:color="auto" w:fill="D6E3BC" w:themeFill="accent3" w:themeFillTint="66"/>
          </w:tcPr>
          <w:p w14:paraId="31B39922" w14:textId="77777777" w:rsidR="002D3389" w:rsidRPr="00257F44" w:rsidRDefault="002D3389" w:rsidP="00FD2A72">
            <w:pPr>
              <w:pStyle w:val="Rowcolumntitles"/>
              <w:rPr>
                <w:sz w:val="20"/>
                <w:lang w:val="uk-UA"/>
              </w:rPr>
            </w:pPr>
          </w:p>
        </w:tc>
        <w:tc>
          <w:tcPr>
            <w:tcW w:w="388" w:type="dxa"/>
            <w:vMerge w:val="restart"/>
            <w:shd w:val="clear" w:color="auto" w:fill="D6E3BC" w:themeFill="accent3" w:themeFillTint="66"/>
          </w:tcPr>
          <w:p w14:paraId="52067907" w14:textId="12FA28E7"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25" w:type="dxa"/>
            <w:vMerge w:val="restart"/>
            <w:shd w:val="clear" w:color="auto" w:fill="D6E3BC" w:themeFill="accent3" w:themeFillTint="66"/>
          </w:tcPr>
          <w:p w14:paraId="5D5DECEA" w14:textId="77777777" w:rsidR="002D3389" w:rsidRPr="00257F44" w:rsidRDefault="002D3389" w:rsidP="00FD2A72">
            <w:pPr>
              <w:pStyle w:val="Rowcolumntitles"/>
              <w:rPr>
                <w:sz w:val="20"/>
                <w:lang w:val="uk-UA"/>
              </w:rPr>
            </w:pPr>
          </w:p>
        </w:tc>
        <w:tc>
          <w:tcPr>
            <w:tcW w:w="395" w:type="dxa"/>
            <w:vMerge w:val="restart"/>
            <w:shd w:val="clear" w:color="auto" w:fill="D6E3BC" w:themeFill="accent3" w:themeFillTint="66"/>
          </w:tcPr>
          <w:p w14:paraId="7756B202" w14:textId="77777777" w:rsidR="002D3389" w:rsidRPr="00257F44" w:rsidRDefault="002D3389" w:rsidP="00FD2A72">
            <w:pPr>
              <w:pStyle w:val="Rowcolumntitles"/>
              <w:rPr>
                <w:rFonts w:eastAsia="Times New Roman"/>
                <w:sz w:val="20"/>
                <w:lang w:val="uk-UA"/>
              </w:rPr>
            </w:pPr>
          </w:p>
        </w:tc>
        <w:tc>
          <w:tcPr>
            <w:tcW w:w="654" w:type="dxa"/>
            <w:gridSpan w:val="2"/>
            <w:vMerge w:val="restart"/>
            <w:shd w:val="clear" w:color="auto" w:fill="FBD4B4" w:themeFill="accent6" w:themeFillTint="66"/>
          </w:tcPr>
          <w:p w14:paraId="69EE6409" w14:textId="77777777" w:rsidR="002D3389" w:rsidRPr="00257F44" w:rsidRDefault="002D3389" w:rsidP="00FD2A72">
            <w:pPr>
              <w:pStyle w:val="Rowcolumntitles"/>
              <w:rPr>
                <w:rFonts w:eastAsia="Times New Roman"/>
                <w:sz w:val="20"/>
                <w:lang w:val="uk-UA"/>
              </w:rPr>
            </w:pPr>
          </w:p>
        </w:tc>
        <w:tc>
          <w:tcPr>
            <w:tcW w:w="369" w:type="dxa"/>
            <w:vMerge w:val="restart"/>
            <w:shd w:val="clear" w:color="auto" w:fill="FBD4B4" w:themeFill="accent6" w:themeFillTint="66"/>
          </w:tcPr>
          <w:p w14:paraId="798093EB" w14:textId="0E5456AB"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04" w:type="dxa"/>
            <w:vMerge w:val="restart"/>
            <w:shd w:val="clear" w:color="auto" w:fill="FBD4B4" w:themeFill="accent6" w:themeFillTint="66"/>
          </w:tcPr>
          <w:p w14:paraId="54B798BA" w14:textId="548D9CD6"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895" w:type="dxa"/>
            <w:vMerge w:val="restart"/>
            <w:shd w:val="clear" w:color="auto" w:fill="FBD4B4" w:themeFill="accent6" w:themeFillTint="66"/>
          </w:tcPr>
          <w:p w14:paraId="226B093D" w14:textId="77777777" w:rsidR="002D3389" w:rsidRPr="00257F44" w:rsidRDefault="002D3389" w:rsidP="00FD2A72">
            <w:pPr>
              <w:pStyle w:val="Rowcolumntitles"/>
              <w:rPr>
                <w:rFonts w:eastAsia="Times New Roman"/>
                <w:sz w:val="20"/>
                <w:lang w:val="uk-UA"/>
              </w:rPr>
            </w:pPr>
          </w:p>
        </w:tc>
        <w:tc>
          <w:tcPr>
            <w:tcW w:w="341" w:type="dxa"/>
            <w:gridSpan w:val="3"/>
            <w:vMerge w:val="restart"/>
            <w:shd w:val="clear" w:color="auto" w:fill="CCC0D9" w:themeFill="accent4" w:themeFillTint="66"/>
          </w:tcPr>
          <w:p w14:paraId="7F4E31B0" w14:textId="77777777" w:rsidR="002D3389" w:rsidRPr="00257F44" w:rsidRDefault="002D3389" w:rsidP="00FD2A72">
            <w:pPr>
              <w:pStyle w:val="Rowcolumntitles"/>
              <w:rPr>
                <w:sz w:val="20"/>
                <w:lang w:val="uk-UA"/>
              </w:rPr>
            </w:pPr>
          </w:p>
        </w:tc>
        <w:tc>
          <w:tcPr>
            <w:tcW w:w="341" w:type="dxa"/>
            <w:gridSpan w:val="2"/>
            <w:vMerge w:val="restart"/>
            <w:shd w:val="clear" w:color="auto" w:fill="CCC0D9" w:themeFill="accent4" w:themeFillTint="66"/>
          </w:tcPr>
          <w:p w14:paraId="75D5268B" w14:textId="57C698DB"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41" w:type="dxa"/>
            <w:gridSpan w:val="2"/>
            <w:vMerge w:val="restart"/>
            <w:shd w:val="clear" w:color="auto" w:fill="CCC0D9" w:themeFill="accent4" w:themeFillTint="66"/>
          </w:tcPr>
          <w:p w14:paraId="0D349B36" w14:textId="77777777" w:rsidR="002D3389" w:rsidRPr="00257F44" w:rsidRDefault="002D3389" w:rsidP="00FD2A72">
            <w:pPr>
              <w:pStyle w:val="Rowcolumntitles"/>
              <w:rPr>
                <w:sz w:val="20"/>
                <w:lang w:val="uk-UA"/>
              </w:rPr>
            </w:pPr>
          </w:p>
        </w:tc>
        <w:tc>
          <w:tcPr>
            <w:tcW w:w="322" w:type="dxa"/>
            <w:gridSpan w:val="2"/>
            <w:vMerge w:val="restart"/>
            <w:shd w:val="clear" w:color="auto" w:fill="CCC0D9" w:themeFill="accent4" w:themeFillTint="66"/>
          </w:tcPr>
          <w:p w14:paraId="36330BB5" w14:textId="77777777" w:rsidR="002D3389" w:rsidRPr="00257F44" w:rsidRDefault="002D3389" w:rsidP="00FD2A72">
            <w:pPr>
              <w:pStyle w:val="Rowcolumntitles"/>
              <w:rPr>
                <w:rFonts w:eastAsia="Times New Roman"/>
                <w:sz w:val="20"/>
                <w:lang w:val="uk-UA"/>
              </w:rPr>
            </w:pPr>
          </w:p>
        </w:tc>
        <w:tc>
          <w:tcPr>
            <w:tcW w:w="506" w:type="dxa"/>
            <w:gridSpan w:val="4"/>
            <w:shd w:val="clear" w:color="auto" w:fill="B8CCE4" w:themeFill="accent1" w:themeFillTint="66"/>
          </w:tcPr>
          <w:p w14:paraId="35233EE8" w14:textId="7E8699AA"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24311F07" w14:textId="1273C62E"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87" w:type="dxa"/>
            <w:gridSpan w:val="4"/>
            <w:shd w:val="clear" w:color="auto" w:fill="B8CCE4" w:themeFill="accent1" w:themeFillTint="66"/>
          </w:tcPr>
          <w:p w14:paraId="0B8013BB" w14:textId="77777777" w:rsidR="002D3389" w:rsidRPr="00257F44" w:rsidRDefault="002D3389" w:rsidP="00FD2A72">
            <w:pPr>
              <w:pStyle w:val="Rowcolumntitles"/>
              <w:rPr>
                <w:rFonts w:eastAsia="Times New Roman"/>
                <w:sz w:val="20"/>
                <w:lang w:val="uk-UA"/>
              </w:rPr>
            </w:pPr>
          </w:p>
        </w:tc>
        <w:tc>
          <w:tcPr>
            <w:tcW w:w="493" w:type="dxa"/>
            <w:gridSpan w:val="3"/>
            <w:shd w:val="clear" w:color="auto" w:fill="B8CCE4" w:themeFill="accent1" w:themeFillTint="66"/>
          </w:tcPr>
          <w:p w14:paraId="05EABD73" w14:textId="4556FC8B" w:rsidR="002D3389" w:rsidRPr="00257F44" w:rsidRDefault="002D3389" w:rsidP="00FD2A72">
            <w:pPr>
              <w:pStyle w:val="Rowcolumntitles"/>
              <w:rPr>
                <w:rFonts w:eastAsia="Times New Roman"/>
                <w:sz w:val="20"/>
                <w:lang w:val="uk-UA"/>
              </w:rPr>
            </w:pPr>
          </w:p>
        </w:tc>
        <w:tc>
          <w:tcPr>
            <w:tcW w:w="367" w:type="dxa"/>
            <w:gridSpan w:val="3"/>
            <w:vMerge w:val="restart"/>
            <w:shd w:val="clear" w:color="auto" w:fill="D99594" w:themeFill="accent2" w:themeFillTint="99"/>
          </w:tcPr>
          <w:p w14:paraId="19728F44"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38A097BF" w14:textId="77777777" w:rsidR="002D3389" w:rsidRPr="00257F44" w:rsidRDefault="002D3389" w:rsidP="00FD2A72">
            <w:pPr>
              <w:pStyle w:val="Rowcolumntitles"/>
              <w:rPr>
                <w:noProof/>
                <w:sz w:val="20"/>
                <w:lang w:val="uk-UA"/>
              </w:rPr>
            </w:pPr>
            <w:r w:rsidRPr="00257F44">
              <w:rPr>
                <w:rFonts w:ascii="MS Mincho" w:eastAsia="MS Mincho" w:hAnsi="MS Mincho" w:cs="MS Mincho"/>
                <w:noProof/>
                <w:sz w:val="20"/>
                <w:lang w:val="uk-UA"/>
              </w:rPr>
              <w:t>✔</w:t>
            </w:r>
          </w:p>
          <w:p w14:paraId="03EA5D72" w14:textId="77777777" w:rsidR="002D3389" w:rsidRPr="00257F44" w:rsidRDefault="002D3389" w:rsidP="00FD2A72">
            <w:pPr>
              <w:pStyle w:val="Rowcolumntitles"/>
              <w:rPr>
                <w:noProof/>
                <w:sz w:val="20"/>
                <w:lang w:val="uk-UA"/>
              </w:rPr>
            </w:pPr>
          </w:p>
          <w:p w14:paraId="5AEED6CE" w14:textId="3F85C13B"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17B37208" w14:textId="23423F5E"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5A2A6489" w14:textId="77777777" w:rsidR="002D3389" w:rsidRPr="00257F44" w:rsidRDefault="002D3389"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275FCE7D" w14:textId="77777777" w:rsidR="002D3389" w:rsidRPr="00257F44" w:rsidRDefault="002D3389" w:rsidP="00FD2A72">
            <w:pPr>
              <w:pStyle w:val="Rowcolumntitles"/>
              <w:rPr>
                <w:rFonts w:eastAsia="Times New Roman"/>
                <w:sz w:val="20"/>
                <w:lang w:val="uk-UA"/>
              </w:rPr>
            </w:pPr>
          </w:p>
        </w:tc>
      </w:tr>
      <w:tr w:rsidR="000E0B9A" w:rsidRPr="00257F44" w14:paraId="3E564064" w14:textId="77777777" w:rsidTr="00DB3322">
        <w:trPr>
          <w:gridAfter w:val="2"/>
          <w:wAfter w:w="24" w:type="dxa"/>
          <w:trHeight w:val="698"/>
        </w:trPr>
        <w:tc>
          <w:tcPr>
            <w:tcW w:w="1470" w:type="dxa"/>
            <w:vMerge/>
            <w:shd w:val="clear" w:color="auto" w:fill="000000" w:themeFill="text1"/>
          </w:tcPr>
          <w:p w14:paraId="2026A4FF" w14:textId="77777777" w:rsidR="002D3389" w:rsidRPr="00257F44" w:rsidRDefault="002D3389" w:rsidP="00FD2A72">
            <w:pPr>
              <w:pStyle w:val="Rowcolumntitles"/>
              <w:rPr>
                <w:color w:val="FFFFFF" w:themeColor="background1"/>
                <w:sz w:val="20"/>
                <w:lang w:val="uk-UA"/>
              </w:rPr>
            </w:pPr>
          </w:p>
        </w:tc>
        <w:tc>
          <w:tcPr>
            <w:tcW w:w="402" w:type="dxa"/>
            <w:vMerge/>
            <w:shd w:val="clear" w:color="auto" w:fill="D6E3BC" w:themeFill="accent3" w:themeFillTint="66"/>
          </w:tcPr>
          <w:p w14:paraId="05947F9D" w14:textId="77777777" w:rsidR="002D3389" w:rsidRPr="00257F44" w:rsidRDefault="002D3389" w:rsidP="00FD2A72">
            <w:pPr>
              <w:pStyle w:val="Rowcolumntitles"/>
              <w:rPr>
                <w:sz w:val="20"/>
                <w:lang w:val="uk-UA"/>
              </w:rPr>
            </w:pPr>
          </w:p>
        </w:tc>
        <w:tc>
          <w:tcPr>
            <w:tcW w:w="388" w:type="dxa"/>
            <w:vMerge/>
            <w:shd w:val="clear" w:color="auto" w:fill="D6E3BC" w:themeFill="accent3" w:themeFillTint="66"/>
          </w:tcPr>
          <w:p w14:paraId="2CF06D9F" w14:textId="77777777" w:rsidR="002D3389" w:rsidRPr="00257F44" w:rsidRDefault="002D3389" w:rsidP="00FD2A72">
            <w:pPr>
              <w:pStyle w:val="Rowcolumntitles"/>
              <w:rPr>
                <w:rFonts w:eastAsia="Times New Roman"/>
                <w:sz w:val="20"/>
                <w:lang w:val="uk-UA"/>
              </w:rPr>
            </w:pPr>
          </w:p>
        </w:tc>
        <w:tc>
          <w:tcPr>
            <w:tcW w:w="425" w:type="dxa"/>
            <w:vMerge/>
            <w:shd w:val="clear" w:color="auto" w:fill="D6E3BC" w:themeFill="accent3" w:themeFillTint="66"/>
          </w:tcPr>
          <w:p w14:paraId="1EAA4075" w14:textId="77777777" w:rsidR="002D3389" w:rsidRPr="00257F44" w:rsidRDefault="002D3389" w:rsidP="00FD2A72">
            <w:pPr>
              <w:pStyle w:val="Rowcolumntitles"/>
              <w:rPr>
                <w:sz w:val="20"/>
                <w:lang w:val="uk-UA"/>
              </w:rPr>
            </w:pPr>
          </w:p>
        </w:tc>
        <w:tc>
          <w:tcPr>
            <w:tcW w:w="395" w:type="dxa"/>
            <w:vMerge/>
            <w:shd w:val="clear" w:color="auto" w:fill="D6E3BC" w:themeFill="accent3" w:themeFillTint="66"/>
          </w:tcPr>
          <w:p w14:paraId="04779E3A" w14:textId="77777777" w:rsidR="002D3389" w:rsidRPr="00257F44" w:rsidRDefault="002D3389" w:rsidP="00FD2A72">
            <w:pPr>
              <w:pStyle w:val="Rowcolumntitles"/>
              <w:rPr>
                <w:rFonts w:eastAsia="Times New Roman"/>
                <w:sz w:val="20"/>
                <w:lang w:val="uk-UA"/>
              </w:rPr>
            </w:pPr>
          </w:p>
        </w:tc>
        <w:tc>
          <w:tcPr>
            <w:tcW w:w="654" w:type="dxa"/>
            <w:gridSpan w:val="2"/>
            <w:vMerge/>
            <w:shd w:val="clear" w:color="auto" w:fill="FBD4B4" w:themeFill="accent6" w:themeFillTint="66"/>
          </w:tcPr>
          <w:p w14:paraId="51253BFB" w14:textId="77777777" w:rsidR="002D3389" w:rsidRPr="00257F44" w:rsidRDefault="002D3389" w:rsidP="00FD2A72">
            <w:pPr>
              <w:pStyle w:val="Rowcolumntitles"/>
              <w:rPr>
                <w:rFonts w:eastAsia="Times New Roman"/>
                <w:sz w:val="20"/>
                <w:lang w:val="uk-UA"/>
              </w:rPr>
            </w:pPr>
          </w:p>
        </w:tc>
        <w:tc>
          <w:tcPr>
            <w:tcW w:w="369" w:type="dxa"/>
            <w:vMerge/>
            <w:shd w:val="clear" w:color="auto" w:fill="FBD4B4" w:themeFill="accent6" w:themeFillTint="66"/>
          </w:tcPr>
          <w:p w14:paraId="1C7AEC52" w14:textId="77777777" w:rsidR="002D3389" w:rsidRPr="00257F44" w:rsidRDefault="002D3389" w:rsidP="00FD2A72">
            <w:pPr>
              <w:pStyle w:val="Rowcolumntitles"/>
              <w:rPr>
                <w:rFonts w:eastAsia="Times New Roman"/>
                <w:sz w:val="20"/>
                <w:lang w:val="uk-UA"/>
              </w:rPr>
            </w:pPr>
          </w:p>
        </w:tc>
        <w:tc>
          <w:tcPr>
            <w:tcW w:w="404" w:type="dxa"/>
            <w:vMerge/>
            <w:shd w:val="clear" w:color="auto" w:fill="FBD4B4" w:themeFill="accent6" w:themeFillTint="66"/>
          </w:tcPr>
          <w:p w14:paraId="32C8BAFD" w14:textId="77777777" w:rsidR="002D3389" w:rsidRPr="00257F44" w:rsidRDefault="002D3389" w:rsidP="00FD2A72">
            <w:pPr>
              <w:pStyle w:val="Rowcolumntitles"/>
              <w:rPr>
                <w:rFonts w:eastAsia="Times New Roman"/>
                <w:sz w:val="20"/>
                <w:lang w:val="uk-UA"/>
              </w:rPr>
            </w:pPr>
          </w:p>
        </w:tc>
        <w:tc>
          <w:tcPr>
            <w:tcW w:w="895" w:type="dxa"/>
            <w:vMerge/>
            <w:shd w:val="clear" w:color="auto" w:fill="FBD4B4" w:themeFill="accent6" w:themeFillTint="66"/>
          </w:tcPr>
          <w:p w14:paraId="59BA5466" w14:textId="77777777" w:rsidR="002D3389" w:rsidRPr="00257F44" w:rsidRDefault="002D3389" w:rsidP="00FD2A72">
            <w:pPr>
              <w:pStyle w:val="Rowcolumntitles"/>
              <w:rPr>
                <w:rFonts w:eastAsia="Times New Roman"/>
                <w:sz w:val="20"/>
                <w:lang w:val="uk-UA"/>
              </w:rPr>
            </w:pPr>
          </w:p>
        </w:tc>
        <w:tc>
          <w:tcPr>
            <w:tcW w:w="341" w:type="dxa"/>
            <w:gridSpan w:val="3"/>
            <w:vMerge/>
            <w:shd w:val="clear" w:color="auto" w:fill="CCC0D9" w:themeFill="accent4" w:themeFillTint="66"/>
          </w:tcPr>
          <w:p w14:paraId="5C44BAC0" w14:textId="77777777" w:rsidR="002D3389" w:rsidRPr="00257F44" w:rsidRDefault="002D3389" w:rsidP="00FD2A72">
            <w:pPr>
              <w:pStyle w:val="Rowcolumntitles"/>
              <w:rPr>
                <w:sz w:val="20"/>
                <w:lang w:val="uk-UA"/>
              </w:rPr>
            </w:pPr>
          </w:p>
        </w:tc>
        <w:tc>
          <w:tcPr>
            <w:tcW w:w="341" w:type="dxa"/>
            <w:gridSpan w:val="2"/>
            <w:vMerge/>
            <w:shd w:val="clear" w:color="auto" w:fill="CCC0D9" w:themeFill="accent4" w:themeFillTint="66"/>
          </w:tcPr>
          <w:p w14:paraId="53BD2E97" w14:textId="77777777" w:rsidR="002D3389" w:rsidRPr="00257F44" w:rsidRDefault="002D3389" w:rsidP="00FD2A72">
            <w:pPr>
              <w:pStyle w:val="Rowcolumntitles"/>
              <w:rPr>
                <w:rFonts w:eastAsia="Times New Roman"/>
                <w:sz w:val="20"/>
                <w:lang w:val="uk-UA"/>
              </w:rPr>
            </w:pPr>
          </w:p>
        </w:tc>
        <w:tc>
          <w:tcPr>
            <w:tcW w:w="341" w:type="dxa"/>
            <w:gridSpan w:val="2"/>
            <w:vMerge/>
            <w:shd w:val="clear" w:color="auto" w:fill="CCC0D9" w:themeFill="accent4" w:themeFillTint="66"/>
          </w:tcPr>
          <w:p w14:paraId="1BB144B4" w14:textId="77777777" w:rsidR="002D3389" w:rsidRPr="00257F44" w:rsidRDefault="002D3389" w:rsidP="00FD2A72">
            <w:pPr>
              <w:pStyle w:val="Rowcolumntitles"/>
              <w:rPr>
                <w:sz w:val="20"/>
                <w:lang w:val="uk-UA"/>
              </w:rPr>
            </w:pPr>
          </w:p>
        </w:tc>
        <w:tc>
          <w:tcPr>
            <w:tcW w:w="322" w:type="dxa"/>
            <w:gridSpan w:val="2"/>
            <w:vMerge/>
            <w:shd w:val="clear" w:color="auto" w:fill="CCC0D9" w:themeFill="accent4" w:themeFillTint="66"/>
          </w:tcPr>
          <w:p w14:paraId="7AA56BCD" w14:textId="77777777" w:rsidR="002D3389" w:rsidRPr="00257F44" w:rsidRDefault="002D3389" w:rsidP="00FD2A72">
            <w:pPr>
              <w:pStyle w:val="Rowcolumntitles"/>
              <w:rPr>
                <w:rFonts w:eastAsia="Times New Roman"/>
                <w:sz w:val="20"/>
                <w:lang w:val="uk-UA"/>
              </w:rPr>
            </w:pPr>
          </w:p>
        </w:tc>
        <w:tc>
          <w:tcPr>
            <w:tcW w:w="506" w:type="dxa"/>
            <w:gridSpan w:val="4"/>
            <w:shd w:val="clear" w:color="auto" w:fill="B8CCE4" w:themeFill="accent1" w:themeFillTint="66"/>
          </w:tcPr>
          <w:p w14:paraId="5941F9D5" w14:textId="651443F7"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531A3C2A" w14:textId="1AE5C89F" w:rsidR="002D3389" w:rsidRPr="00257F44" w:rsidRDefault="002D3389" w:rsidP="00FD2A72">
            <w:pPr>
              <w:pStyle w:val="Rowcolumntitles"/>
              <w:rPr>
                <w:rFonts w:eastAsia="Times New Roman"/>
                <w:sz w:val="20"/>
                <w:lang w:val="uk-UA"/>
              </w:rPr>
            </w:pPr>
          </w:p>
        </w:tc>
        <w:tc>
          <w:tcPr>
            <w:tcW w:w="487" w:type="dxa"/>
            <w:gridSpan w:val="4"/>
            <w:shd w:val="clear" w:color="auto" w:fill="B8CCE4" w:themeFill="accent1" w:themeFillTint="66"/>
          </w:tcPr>
          <w:p w14:paraId="308304A8" w14:textId="37216543"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93" w:type="dxa"/>
            <w:gridSpan w:val="3"/>
            <w:shd w:val="clear" w:color="auto" w:fill="B8CCE4" w:themeFill="accent1" w:themeFillTint="66"/>
          </w:tcPr>
          <w:p w14:paraId="3725A371" w14:textId="3D860386" w:rsidR="002D3389" w:rsidRPr="00257F44" w:rsidRDefault="002D3389" w:rsidP="00FD2A72">
            <w:pPr>
              <w:pStyle w:val="Rowcolumntitles"/>
              <w:rPr>
                <w:rFonts w:eastAsia="Times New Roman"/>
                <w:sz w:val="20"/>
                <w:lang w:val="uk-UA"/>
              </w:rPr>
            </w:pPr>
          </w:p>
        </w:tc>
        <w:tc>
          <w:tcPr>
            <w:tcW w:w="367" w:type="dxa"/>
            <w:gridSpan w:val="3"/>
            <w:vMerge/>
            <w:shd w:val="clear" w:color="auto" w:fill="D99594" w:themeFill="accent2" w:themeFillTint="99"/>
          </w:tcPr>
          <w:p w14:paraId="39FBE537"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0F954D8B"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6DCC89D0"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5ACFD2DE" w14:textId="77777777" w:rsidR="002D3389" w:rsidRPr="00257F44" w:rsidRDefault="002D3389" w:rsidP="00FD2A72">
            <w:pPr>
              <w:pStyle w:val="Rowcolumntitles"/>
              <w:rPr>
                <w:rFonts w:eastAsia="Times New Roman"/>
                <w:sz w:val="20"/>
                <w:lang w:val="uk-UA"/>
              </w:rPr>
            </w:pPr>
          </w:p>
        </w:tc>
        <w:tc>
          <w:tcPr>
            <w:tcW w:w="388" w:type="dxa"/>
            <w:gridSpan w:val="2"/>
            <w:vMerge/>
            <w:shd w:val="clear" w:color="auto" w:fill="D99594" w:themeFill="accent2" w:themeFillTint="99"/>
          </w:tcPr>
          <w:p w14:paraId="71D97479" w14:textId="77777777" w:rsidR="002D3389" w:rsidRPr="00257F44" w:rsidRDefault="002D3389" w:rsidP="00FD2A72">
            <w:pPr>
              <w:pStyle w:val="Rowcolumntitles"/>
              <w:rPr>
                <w:rFonts w:eastAsia="Times New Roman"/>
                <w:sz w:val="20"/>
                <w:lang w:val="uk-UA"/>
              </w:rPr>
            </w:pPr>
          </w:p>
        </w:tc>
      </w:tr>
      <w:tr w:rsidR="000E0B9A" w:rsidRPr="00257F44" w14:paraId="38BE46A4" w14:textId="77777777" w:rsidTr="00DB3322">
        <w:trPr>
          <w:gridAfter w:val="2"/>
          <w:wAfter w:w="24" w:type="dxa"/>
          <w:trHeight w:val="469"/>
        </w:trPr>
        <w:tc>
          <w:tcPr>
            <w:tcW w:w="1470" w:type="dxa"/>
            <w:vMerge w:val="restart"/>
            <w:shd w:val="clear" w:color="auto" w:fill="000000" w:themeFill="text1"/>
          </w:tcPr>
          <w:p w14:paraId="0BB24F23" w14:textId="5FC538C3" w:rsidR="002D3389" w:rsidRPr="00257F44" w:rsidRDefault="002D3389" w:rsidP="00FD2A72">
            <w:pPr>
              <w:pStyle w:val="Rowcolumntitles"/>
              <w:rPr>
                <w:color w:val="FFFFFF" w:themeColor="background1"/>
                <w:sz w:val="20"/>
                <w:lang w:val="uk-UA"/>
              </w:rPr>
            </w:pPr>
            <w:r w:rsidRPr="00257F44">
              <w:rPr>
                <w:color w:val="FFFFFF" w:themeColor="background1"/>
                <w:sz w:val="20"/>
                <w:lang w:val="uk-UA"/>
              </w:rPr>
              <w:t xml:space="preserve">11. </w:t>
            </w:r>
            <w:r w:rsidR="00704C64" w:rsidRPr="00257F44">
              <w:rPr>
                <w:color w:val="FFFFFF" w:themeColor="background1"/>
                <w:sz w:val="20"/>
                <w:lang w:val="uk-UA"/>
              </w:rPr>
              <w:t>Методологія оцінювання корупційних ризиків</w:t>
            </w:r>
          </w:p>
        </w:tc>
        <w:tc>
          <w:tcPr>
            <w:tcW w:w="402" w:type="dxa"/>
            <w:vMerge w:val="restart"/>
            <w:shd w:val="clear" w:color="auto" w:fill="D6E3BC" w:themeFill="accent3" w:themeFillTint="66"/>
          </w:tcPr>
          <w:p w14:paraId="5292A0C5" w14:textId="77777777" w:rsidR="002D3389" w:rsidRPr="00257F44" w:rsidRDefault="002D3389" w:rsidP="00FD2A72">
            <w:pPr>
              <w:pStyle w:val="Rowcolumntitles"/>
              <w:rPr>
                <w:sz w:val="20"/>
                <w:lang w:val="uk-UA"/>
              </w:rPr>
            </w:pPr>
          </w:p>
        </w:tc>
        <w:tc>
          <w:tcPr>
            <w:tcW w:w="388" w:type="dxa"/>
            <w:vMerge w:val="restart"/>
            <w:shd w:val="clear" w:color="auto" w:fill="D6E3BC" w:themeFill="accent3" w:themeFillTint="66"/>
          </w:tcPr>
          <w:p w14:paraId="5E2E821A" w14:textId="77777777" w:rsidR="002D3389" w:rsidRPr="00257F44" w:rsidRDefault="002D3389" w:rsidP="00FD2A72">
            <w:pPr>
              <w:pStyle w:val="Rowcolumntitles"/>
              <w:rPr>
                <w:rFonts w:eastAsia="Times New Roman"/>
                <w:sz w:val="20"/>
                <w:lang w:val="uk-UA"/>
              </w:rPr>
            </w:pPr>
          </w:p>
        </w:tc>
        <w:tc>
          <w:tcPr>
            <w:tcW w:w="425" w:type="dxa"/>
            <w:vMerge w:val="restart"/>
            <w:shd w:val="clear" w:color="auto" w:fill="D6E3BC" w:themeFill="accent3" w:themeFillTint="66"/>
          </w:tcPr>
          <w:p w14:paraId="394205CC" w14:textId="77777777" w:rsidR="002D3389" w:rsidRPr="00257F44" w:rsidRDefault="002D3389" w:rsidP="00FD2A72">
            <w:pPr>
              <w:pStyle w:val="Rowcolumntitles"/>
              <w:rPr>
                <w:sz w:val="20"/>
                <w:lang w:val="uk-UA"/>
              </w:rPr>
            </w:pPr>
          </w:p>
        </w:tc>
        <w:tc>
          <w:tcPr>
            <w:tcW w:w="395" w:type="dxa"/>
            <w:vMerge w:val="restart"/>
            <w:shd w:val="clear" w:color="auto" w:fill="D6E3BC" w:themeFill="accent3" w:themeFillTint="66"/>
          </w:tcPr>
          <w:p w14:paraId="34E54198" w14:textId="161459C0"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654" w:type="dxa"/>
            <w:gridSpan w:val="2"/>
            <w:vMerge w:val="restart"/>
            <w:shd w:val="clear" w:color="auto" w:fill="FBD4B4" w:themeFill="accent6" w:themeFillTint="66"/>
          </w:tcPr>
          <w:p w14:paraId="092B73E4" w14:textId="77777777" w:rsidR="002D3389" w:rsidRPr="00257F44" w:rsidRDefault="002D3389" w:rsidP="00FD2A72">
            <w:pPr>
              <w:pStyle w:val="Rowcolumntitles"/>
              <w:rPr>
                <w:rFonts w:eastAsia="Times New Roman"/>
                <w:sz w:val="20"/>
                <w:lang w:val="uk-UA"/>
              </w:rPr>
            </w:pPr>
          </w:p>
        </w:tc>
        <w:tc>
          <w:tcPr>
            <w:tcW w:w="369" w:type="dxa"/>
            <w:vMerge w:val="restart"/>
            <w:shd w:val="clear" w:color="auto" w:fill="FBD4B4" w:themeFill="accent6" w:themeFillTint="66"/>
          </w:tcPr>
          <w:p w14:paraId="6309B0EA" w14:textId="21FFECE1"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04" w:type="dxa"/>
            <w:vMerge w:val="restart"/>
            <w:shd w:val="clear" w:color="auto" w:fill="FBD4B4" w:themeFill="accent6" w:themeFillTint="66"/>
          </w:tcPr>
          <w:p w14:paraId="05D4FEF7" w14:textId="722F27BC"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895" w:type="dxa"/>
            <w:vMerge w:val="restart"/>
            <w:shd w:val="clear" w:color="auto" w:fill="FBD4B4" w:themeFill="accent6" w:themeFillTint="66"/>
          </w:tcPr>
          <w:p w14:paraId="57460A2B" w14:textId="77777777" w:rsidR="002D3389" w:rsidRPr="00257F44" w:rsidRDefault="002D3389" w:rsidP="00FD2A72">
            <w:pPr>
              <w:pStyle w:val="Rowcolumntitles"/>
              <w:rPr>
                <w:rFonts w:eastAsia="Times New Roman"/>
                <w:sz w:val="20"/>
                <w:lang w:val="uk-UA"/>
              </w:rPr>
            </w:pPr>
          </w:p>
        </w:tc>
        <w:tc>
          <w:tcPr>
            <w:tcW w:w="341" w:type="dxa"/>
            <w:gridSpan w:val="3"/>
            <w:vMerge w:val="restart"/>
            <w:shd w:val="clear" w:color="auto" w:fill="CCC0D9" w:themeFill="accent4" w:themeFillTint="66"/>
          </w:tcPr>
          <w:p w14:paraId="3500F58E" w14:textId="77777777" w:rsidR="002D3389" w:rsidRPr="00257F44" w:rsidRDefault="002D3389" w:rsidP="00FD2A72">
            <w:pPr>
              <w:pStyle w:val="Rowcolumntitles"/>
              <w:rPr>
                <w:sz w:val="20"/>
                <w:lang w:val="uk-UA"/>
              </w:rPr>
            </w:pPr>
          </w:p>
        </w:tc>
        <w:tc>
          <w:tcPr>
            <w:tcW w:w="341" w:type="dxa"/>
            <w:gridSpan w:val="2"/>
            <w:vMerge w:val="restart"/>
            <w:shd w:val="clear" w:color="auto" w:fill="CCC0D9" w:themeFill="accent4" w:themeFillTint="66"/>
          </w:tcPr>
          <w:p w14:paraId="00D90B93" w14:textId="25C3D75E"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41" w:type="dxa"/>
            <w:gridSpan w:val="2"/>
            <w:vMerge w:val="restart"/>
            <w:shd w:val="clear" w:color="auto" w:fill="CCC0D9" w:themeFill="accent4" w:themeFillTint="66"/>
          </w:tcPr>
          <w:p w14:paraId="219DC8B7" w14:textId="77777777" w:rsidR="002D3389" w:rsidRPr="00257F44" w:rsidRDefault="002D3389" w:rsidP="00FD2A72">
            <w:pPr>
              <w:pStyle w:val="Rowcolumntitles"/>
              <w:rPr>
                <w:sz w:val="20"/>
                <w:lang w:val="uk-UA"/>
              </w:rPr>
            </w:pPr>
          </w:p>
        </w:tc>
        <w:tc>
          <w:tcPr>
            <w:tcW w:w="322" w:type="dxa"/>
            <w:gridSpan w:val="2"/>
            <w:vMerge w:val="restart"/>
            <w:shd w:val="clear" w:color="auto" w:fill="CCC0D9" w:themeFill="accent4" w:themeFillTint="66"/>
          </w:tcPr>
          <w:p w14:paraId="3D29E4CE" w14:textId="77777777" w:rsidR="002D3389" w:rsidRPr="00257F44" w:rsidRDefault="002D3389" w:rsidP="00FD2A72">
            <w:pPr>
              <w:pStyle w:val="Rowcolumntitles"/>
              <w:rPr>
                <w:rFonts w:eastAsia="Times New Roman"/>
                <w:sz w:val="20"/>
                <w:lang w:val="uk-UA"/>
              </w:rPr>
            </w:pPr>
          </w:p>
        </w:tc>
        <w:tc>
          <w:tcPr>
            <w:tcW w:w="506" w:type="dxa"/>
            <w:gridSpan w:val="4"/>
            <w:shd w:val="clear" w:color="auto" w:fill="B8CCE4" w:themeFill="accent1" w:themeFillTint="66"/>
          </w:tcPr>
          <w:p w14:paraId="1B3E8633" w14:textId="7C50B10C"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48AF119E" w14:textId="77777777" w:rsidR="002D3389" w:rsidRPr="00257F44" w:rsidRDefault="002D3389" w:rsidP="00FD2A72">
            <w:pPr>
              <w:pStyle w:val="Rowcolumntitles"/>
              <w:rPr>
                <w:rFonts w:eastAsia="Times New Roman"/>
                <w:sz w:val="20"/>
                <w:lang w:val="uk-UA"/>
              </w:rPr>
            </w:pPr>
          </w:p>
        </w:tc>
        <w:tc>
          <w:tcPr>
            <w:tcW w:w="487" w:type="dxa"/>
            <w:gridSpan w:val="4"/>
            <w:shd w:val="clear" w:color="auto" w:fill="B8CCE4" w:themeFill="accent1" w:themeFillTint="66"/>
          </w:tcPr>
          <w:p w14:paraId="7F43B1FC" w14:textId="63101DB6"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93" w:type="dxa"/>
            <w:gridSpan w:val="3"/>
            <w:shd w:val="clear" w:color="auto" w:fill="B8CCE4" w:themeFill="accent1" w:themeFillTint="66"/>
          </w:tcPr>
          <w:p w14:paraId="394D51DA" w14:textId="518FF889" w:rsidR="002D3389" w:rsidRPr="00257F44" w:rsidRDefault="002D3389" w:rsidP="00FD2A72">
            <w:pPr>
              <w:pStyle w:val="Rowcolumntitles"/>
              <w:rPr>
                <w:rFonts w:eastAsia="Times New Roman"/>
                <w:sz w:val="20"/>
                <w:lang w:val="uk-UA"/>
              </w:rPr>
            </w:pPr>
          </w:p>
        </w:tc>
        <w:tc>
          <w:tcPr>
            <w:tcW w:w="367" w:type="dxa"/>
            <w:gridSpan w:val="3"/>
            <w:vMerge w:val="restart"/>
            <w:shd w:val="clear" w:color="auto" w:fill="D99594" w:themeFill="accent2" w:themeFillTint="99"/>
          </w:tcPr>
          <w:p w14:paraId="6649E90A"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3C7E2476" w14:textId="11BE8E2F"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18" w:type="dxa"/>
            <w:gridSpan w:val="2"/>
            <w:vMerge w:val="restart"/>
            <w:shd w:val="clear" w:color="auto" w:fill="D99594" w:themeFill="accent2" w:themeFillTint="99"/>
          </w:tcPr>
          <w:p w14:paraId="4E49980F"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785B6571" w14:textId="77777777" w:rsidR="002D3389" w:rsidRPr="00257F44" w:rsidRDefault="002D3389"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654F92C4" w14:textId="77777777" w:rsidR="002D3389" w:rsidRPr="00257F44" w:rsidRDefault="002D3389" w:rsidP="00FD2A72">
            <w:pPr>
              <w:pStyle w:val="Rowcolumntitles"/>
              <w:rPr>
                <w:rFonts w:eastAsia="Times New Roman"/>
                <w:sz w:val="20"/>
                <w:lang w:val="uk-UA"/>
              </w:rPr>
            </w:pPr>
          </w:p>
        </w:tc>
      </w:tr>
      <w:tr w:rsidR="000E0B9A" w:rsidRPr="00257F44" w14:paraId="0C931230" w14:textId="77777777" w:rsidTr="00DB3322">
        <w:trPr>
          <w:gridAfter w:val="2"/>
          <w:wAfter w:w="24" w:type="dxa"/>
          <w:trHeight w:val="478"/>
        </w:trPr>
        <w:tc>
          <w:tcPr>
            <w:tcW w:w="1470" w:type="dxa"/>
            <w:vMerge/>
            <w:shd w:val="clear" w:color="auto" w:fill="000000" w:themeFill="text1"/>
          </w:tcPr>
          <w:p w14:paraId="31F6469F" w14:textId="77777777" w:rsidR="002D3389" w:rsidRPr="00257F44" w:rsidRDefault="002D3389" w:rsidP="00FD2A72">
            <w:pPr>
              <w:pStyle w:val="Rowcolumntitles"/>
              <w:rPr>
                <w:color w:val="FFFFFF" w:themeColor="background1"/>
                <w:sz w:val="20"/>
                <w:lang w:val="uk-UA"/>
              </w:rPr>
            </w:pPr>
          </w:p>
        </w:tc>
        <w:tc>
          <w:tcPr>
            <w:tcW w:w="402" w:type="dxa"/>
            <w:vMerge/>
            <w:shd w:val="clear" w:color="auto" w:fill="D6E3BC" w:themeFill="accent3" w:themeFillTint="66"/>
          </w:tcPr>
          <w:p w14:paraId="500017EE" w14:textId="77777777" w:rsidR="002D3389" w:rsidRPr="00257F44" w:rsidRDefault="002D3389" w:rsidP="00FD2A72">
            <w:pPr>
              <w:pStyle w:val="Rowcolumntitles"/>
              <w:rPr>
                <w:sz w:val="20"/>
                <w:lang w:val="uk-UA"/>
              </w:rPr>
            </w:pPr>
          </w:p>
        </w:tc>
        <w:tc>
          <w:tcPr>
            <w:tcW w:w="388" w:type="dxa"/>
            <w:vMerge/>
            <w:shd w:val="clear" w:color="auto" w:fill="D6E3BC" w:themeFill="accent3" w:themeFillTint="66"/>
          </w:tcPr>
          <w:p w14:paraId="2EA2DAF5" w14:textId="77777777" w:rsidR="002D3389" w:rsidRPr="00257F44" w:rsidRDefault="002D3389" w:rsidP="00FD2A72">
            <w:pPr>
              <w:pStyle w:val="Rowcolumntitles"/>
              <w:rPr>
                <w:rFonts w:eastAsia="Times New Roman"/>
                <w:sz w:val="20"/>
                <w:lang w:val="uk-UA"/>
              </w:rPr>
            </w:pPr>
          </w:p>
        </w:tc>
        <w:tc>
          <w:tcPr>
            <w:tcW w:w="425" w:type="dxa"/>
            <w:vMerge/>
            <w:shd w:val="clear" w:color="auto" w:fill="D6E3BC" w:themeFill="accent3" w:themeFillTint="66"/>
          </w:tcPr>
          <w:p w14:paraId="38B6A625" w14:textId="77777777" w:rsidR="002D3389" w:rsidRPr="00257F44" w:rsidRDefault="002D3389" w:rsidP="00FD2A72">
            <w:pPr>
              <w:pStyle w:val="Rowcolumntitles"/>
              <w:rPr>
                <w:sz w:val="20"/>
                <w:lang w:val="uk-UA"/>
              </w:rPr>
            </w:pPr>
          </w:p>
        </w:tc>
        <w:tc>
          <w:tcPr>
            <w:tcW w:w="395" w:type="dxa"/>
            <w:vMerge/>
            <w:shd w:val="clear" w:color="auto" w:fill="D6E3BC" w:themeFill="accent3" w:themeFillTint="66"/>
          </w:tcPr>
          <w:p w14:paraId="5210BBAC" w14:textId="77777777" w:rsidR="002D3389" w:rsidRPr="00257F44" w:rsidRDefault="002D3389" w:rsidP="00FD2A72">
            <w:pPr>
              <w:pStyle w:val="Rowcolumntitles"/>
              <w:rPr>
                <w:rFonts w:eastAsia="Times New Roman"/>
                <w:sz w:val="20"/>
                <w:lang w:val="uk-UA"/>
              </w:rPr>
            </w:pPr>
          </w:p>
        </w:tc>
        <w:tc>
          <w:tcPr>
            <w:tcW w:w="654" w:type="dxa"/>
            <w:gridSpan w:val="2"/>
            <w:vMerge/>
            <w:shd w:val="clear" w:color="auto" w:fill="FBD4B4" w:themeFill="accent6" w:themeFillTint="66"/>
          </w:tcPr>
          <w:p w14:paraId="02D3CC2A" w14:textId="77777777" w:rsidR="002D3389" w:rsidRPr="00257F44" w:rsidRDefault="002D3389" w:rsidP="00FD2A72">
            <w:pPr>
              <w:pStyle w:val="Rowcolumntitles"/>
              <w:rPr>
                <w:rFonts w:eastAsia="Times New Roman"/>
                <w:sz w:val="20"/>
                <w:lang w:val="uk-UA"/>
              </w:rPr>
            </w:pPr>
          </w:p>
        </w:tc>
        <w:tc>
          <w:tcPr>
            <w:tcW w:w="369" w:type="dxa"/>
            <w:vMerge/>
            <w:shd w:val="clear" w:color="auto" w:fill="FBD4B4" w:themeFill="accent6" w:themeFillTint="66"/>
          </w:tcPr>
          <w:p w14:paraId="124C12B8" w14:textId="77777777" w:rsidR="002D3389" w:rsidRPr="00257F44" w:rsidRDefault="002D3389" w:rsidP="00FD2A72">
            <w:pPr>
              <w:pStyle w:val="Rowcolumntitles"/>
              <w:rPr>
                <w:rFonts w:eastAsia="Times New Roman"/>
                <w:sz w:val="20"/>
                <w:lang w:val="uk-UA"/>
              </w:rPr>
            </w:pPr>
          </w:p>
        </w:tc>
        <w:tc>
          <w:tcPr>
            <w:tcW w:w="404" w:type="dxa"/>
            <w:vMerge/>
            <w:shd w:val="clear" w:color="auto" w:fill="FBD4B4" w:themeFill="accent6" w:themeFillTint="66"/>
          </w:tcPr>
          <w:p w14:paraId="0B76DDD0" w14:textId="77777777" w:rsidR="002D3389" w:rsidRPr="00257F44" w:rsidRDefault="002D3389" w:rsidP="00FD2A72">
            <w:pPr>
              <w:pStyle w:val="Rowcolumntitles"/>
              <w:rPr>
                <w:rFonts w:eastAsia="Times New Roman"/>
                <w:sz w:val="20"/>
                <w:lang w:val="uk-UA"/>
              </w:rPr>
            </w:pPr>
          </w:p>
        </w:tc>
        <w:tc>
          <w:tcPr>
            <w:tcW w:w="895" w:type="dxa"/>
            <w:vMerge/>
            <w:shd w:val="clear" w:color="auto" w:fill="FBD4B4" w:themeFill="accent6" w:themeFillTint="66"/>
          </w:tcPr>
          <w:p w14:paraId="6A282B2F" w14:textId="77777777" w:rsidR="002D3389" w:rsidRPr="00257F44" w:rsidRDefault="002D3389" w:rsidP="00FD2A72">
            <w:pPr>
              <w:pStyle w:val="Rowcolumntitles"/>
              <w:rPr>
                <w:rFonts w:eastAsia="Times New Roman"/>
                <w:sz w:val="20"/>
                <w:lang w:val="uk-UA"/>
              </w:rPr>
            </w:pPr>
          </w:p>
        </w:tc>
        <w:tc>
          <w:tcPr>
            <w:tcW w:w="341" w:type="dxa"/>
            <w:gridSpan w:val="3"/>
            <w:vMerge/>
            <w:shd w:val="clear" w:color="auto" w:fill="CCC0D9" w:themeFill="accent4" w:themeFillTint="66"/>
          </w:tcPr>
          <w:p w14:paraId="220D93E0" w14:textId="77777777" w:rsidR="002D3389" w:rsidRPr="00257F44" w:rsidRDefault="002D3389" w:rsidP="00FD2A72">
            <w:pPr>
              <w:pStyle w:val="Rowcolumntitles"/>
              <w:rPr>
                <w:sz w:val="20"/>
                <w:lang w:val="uk-UA"/>
              </w:rPr>
            </w:pPr>
          </w:p>
        </w:tc>
        <w:tc>
          <w:tcPr>
            <w:tcW w:w="341" w:type="dxa"/>
            <w:gridSpan w:val="2"/>
            <w:vMerge/>
            <w:shd w:val="clear" w:color="auto" w:fill="CCC0D9" w:themeFill="accent4" w:themeFillTint="66"/>
          </w:tcPr>
          <w:p w14:paraId="7DEEBE21" w14:textId="77777777" w:rsidR="002D3389" w:rsidRPr="00257F44" w:rsidRDefault="002D3389" w:rsidP="00FD2A72">
            <w:pPr>
              <w:pStyle w:val="Rowcolumntitles"/>
              <w:rPr>
                <w:rFonts w:eastAsia="Times New Roman"/>
                <w:sz w:val="20"/>
                <w:lang w:val="uk-UA"/>
              </w:rPr>
            </w:pPr>
          </w:p>
        </w:tc>
        <w:tc>
          <w:tcPr>
            <w:tcW w:w="341" w:type="dxa"/>
            <w:gridSpan w:val="2"/>
            <w:vMerge/>
            <w:shd w:val="clear" w:color="auto" w:fill="CCC0D9" w:themeFill="accent4" w:themeFillTint="66"/>
          </w:tcPr>
          <w:p w14:paraId="4B00FC50" w14:textId="77777777" w:rsidR="002D3389" w:rsidRPr="00257F44" w:rsidRDefault="002D3389" w:rsidP="00FD2A72">
            <w:pPr>
              <w:pStyle w:val="Rowcolumntitles"/>
              <w:rPr>
                <w:sz w:val="20"/>
                <w:lang w:val="uk-UA"/>
              </w:rPr>
            </w:pPr>
          </w:p>
        </w:tc>
        <w:tc>
          <w:tcPr>
            <w:tcW w:w="322" w:type="dxa"/>
            <w:gridSpan w:val="2"/>
            <w:vMerge/>
            <w:shd w:val="clear" w:color="auto" w:fill="CCC0D9" w:themeFill="accent4" w:themeFillTint="66"/>
          </w:tcPr>
          <w:p w14:paraId="7FDC5A82" w14:textId="77777777" w:rsidR="002D3389" w:rsidRPr="00257F44" w:rsidRDefault="002D3389" w:rsidP="00FD2A72">
            <w:pPr>
              <w:pStyle w:val="Rowcolumntitles"/>
              <w:rPr>
                <w:rFonts w:eastAsia="Times New Roman"/>
                <w:sz w:val="20"/>
                <w:lang w:val="uk-UA"/>
              </w:rPr>
            </w:pPr>
          </w:p>
        </w:tc>
        <w:tc>
          <w:tcPr>
            <w:tcW w:w="506" w:type="dxa"/>
            <w:gridSpan w:val="4"/>
            <w:shd w:val="clear" w:color="auto" w:fill="B8CCE4" w:themeFill="accent1" w:themeFillTint="66"/>
          </w:tcPr>
          <w:p w14:paraId="56465797" w14:textId="18F47E96"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639B1E02" w14:textId="77777777" w:rsidR="002D3389" w:rsidRPr="00257F44" w:rsidRDefault="002D3389" w:rsidP="00FD2A72">
            <w:pPr>
              <w:pStyle w:val="Rowcolumntitles"/>
              <w:rPr>
                <w:rFonts w:eastAsia="Times New Roman"/>
                <w:sz w:val="20"/>
                <w:lang w:val="uk-UA"/>
              </w:rPr>
            </w:pPr>
          </w:p>
        </w:tc>
        <w:tc>
          <w:tcPr>
            <w:tcW w:w="487" w:type="dxa"/>
            <w:gridSpan w:val="4"/>
            <w:shd w:val="clear" w:color="auto" w:fill="B8CCE4" w:themeFill="accent1" w:themeFillTint="66"/>
          </w:tcPr>
          <w:p w14:paraId="50DB30FB" w14:textId="03F2E980"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93" w:type="dxa"/>
            <w:gridSpan w:val="3"/>
            <w:shd w:val="clear" w:color="auto" w:fill="B8CCE4" w:themeFill="accent1" w:themeFillTint="66"/>
          </w:tcPr>
          <w:p w14:paraId="43891813" w14:textId="4D5F261F" w:rsidR="002D3389" w:rsidRPr="00257F44" w:rsidRDefault="002D3389" w:rsidP="00FD2A72">
            <w:pPr>
              <w:pStyle w:val="Rowcolumntitles"/>
              <w:rPr>
                <w:rFonts w:eastAsia="Times New Roman"/>
                <w:sz w:val="20"/>
                <w:lang w:val="uk-UA"/>
              </w:rPr>
            </w:pPr>
          </w:p>
        </w:tc>
        <w:tc>
          <w:tcPr>
            <w:tcW w:w="367" w:type="dxa"/>
            <w:gridSpan w:val="3"/>
            <w:vMerge/>
            <w:shd w:val="clear" w:color="auto" w:fill="D99594" w:themeFill="accent2" w:themeFillTint="99"/>
          </w:tcPr>
          <w:p w14:paraId="7D6D6BA3"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69C74B24"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1D9A98E5"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4EE8437C" w14:textId="77777777" w:rsidR="002D3389" w:rsidRPr="00257F44" w:rsidRDefault="002D3389" w:rsidP="00FD2A72">
            <w:pPr>
              <w:pStyle w:val="Rowcolumntitles"/>
              <w:rPr>
                <w:rFonts w:eastAsia="Times New Roman"/>
                <w:sz w:val="20"/>
                <w:lang w:val="uk-UA"/>
              </w:rPr>
            </w:pPr>
          </w:p>
        </w:tc>
        <w:tc>
          <w:tcPr>
            <w:tcW w:w="388" w:type="dxa"/>
            <w:gridSpan w:val="2"/>
            <w:vMerge/>
            <w:shd w:val="clear" w:color="auto" w:fill="D99594" w:themeFill="accent2" w:themeFillTint="99"/>
          </w:tcPr>
          <w:p w14:paraId="3F71D206" w14:textId="77777777" w:rsidR="002D3389" w:rsidRPr="00257F44" w:rsidRDefault="002D3389" w:rsidP="00FD2A72">
            <w:pPr>
              <w:pStyle w:val="Rowcolumntitles"/>
              <w:rPr>
                <w:rFonts w:eastAsia="Times New Roman"/>
                <w:sz w:val="20"/>
                <w:lang w:val="uk-UA"/>
              </w:rPr>
            </w:pPr>
          </w:p>
        </w:tc>
      </w:tr>
      <w:tr w:rsidR="000E0B9A" w:rsidRPr="00257F44" w14:paraId="43C9EB16" w14:textId="77777777" w:rsidTr="00DB3322">
        <w:trPr>
          <w:gridAfter w:val="2"/>
          <w:wAfter w:w="24" w:type="dxa"/>
          <w:trHeight w:val="530"/>
        </w:trPr>
        <w:tc>
          <w:tcPr>
            <w:tcW w:w="1470" w:type="dxa"/>
            <w:vMerge w:val="restart"/>
            <w:shd w:val="clear" w:color="auto" w:fill="000000" w:themeFill="text1"/>
          </w:tcPr>
          <w:p w14:paraId="47BDD44B" w14:textId="2DADEDA1" w:rsidR="002D3389" w:rsidRPr="00257F44" w:rsidRDefault="00163080" w:rsidP="00FD2A72">
            <w:pPr>
              <w:pStyle w:val="Rowcolumntitles"/>
              <w:rPr>
                <w:color w:val="FFFFFF" w:themeColor="background1"/>
                <w:sz w:val="20"/>
                <w:lang w:val="uk-UA"/>
              </w:rPr>
            </w:pPr>
            <w:r w:rsidRPr="00257F44">
              <w:rPr>
                <w:color w:val="FFFFFF" w:themeColor="background1"/>
                <w:sz w:val="20"/>
                <w:lang w:val="uk-UA"/>
              </w:rPr>
              <w:t>✪</w:t>
            </w:r>
            <w:r w:rsidR="002D3389" w:rsidRPr="00257F44">
              <w:rPr>
                <w:color w:val="FFFFFF" w:themeColor="background1"/>
                <w:sz w:val="20"/>
                <w:lang w:val="uk-UA"/>
              </w:rPr>
              <w:t xml:space="preserve">12. </w:t>
            </w:r>
            <w:r w:rsidR="00704C64" w:rsidRPr="00257F44">
              <w:rPr>
                <w:color w:val="FFFFFF" w:themeColor="background1"/>
                <w:sz w:val="20"/>
                <w:lang w:val="uk-UA"/>
              </w:rPr>
              <w:t>Розкриття активів на єдиному веб-порталі</w:t>
            </w:r>
          </w:p>
        </w:tc>
        <w:tc>
          <w:tcPr>
            <w:tcW w:w="402" w:type="dxa"/>
            <w:vMerge w:val="restart"/>
            <w:shd w:val="clear" w:color="auto" w:fill="D6E3BC" w:themeFill="accent3" w:themeFillTint="66"/>
          </w:tcPr>
          <w:p w14:paraId="58861790" w14:textId="77777777" w:rsidR="002D3389" w:rsidRPr="00257F44" w:rsidRDefault="002D3389" w:rsidP="00FD2A72">
            <w:pPr>
              <w:pStyle w:val="Rowcolumntitles"/>
              <w:rPr>
                <w:sz w:val="20"/>
                <w:lang w:val="uk-UA"/>
              </w:rPr>
            </w:pPr>
          </w:p>
        </w:tc>
        <w:tc>
          <w:tcPr>
            <w:tcW w:w="388" w:type="dxa"/>
            <w:vMerge w:val="restart"/>
            <w:shd w:val="clear" w:color="auto" w:fill="D6E3BC" w:themeFill="accent3" w:themeFillTint="66"/>
          </w:tcPr>
          <w:p w14:paraId="2B42D2BE" w14:textId="77777777" w:rsidR="002D3389" w:rsidRPr="00257F44" w:rsidRDefault="002D3389" w:rsidP="00FD2A72">
            <w:pPr>
              <w:pStyle w:val="Rowcolumntitles"/>
              <w:rPr>
                <w:rFonts w:eastAsia="Times New Roman"/>
                <w:sz w:val="20"/>
                <w:lang w:val="uk-UA"/>
              </w:rPr>
            </w:pPr>
          </w:p>
        </w:tc>
        <w:tc>
          <w:tcPr>
            <w:tcW w:w="425" w:type="dxa"/>
            <w:vMerge w:val="restart"/>
            <w:shd w:val="clear" w:color="auto" w:fill="D6E3BC" w:themeFill="accent3" w:themeFillTint="66"/>
          </w:tcPr>
          <w:p w14:paraId="3D9B9E49" w14:textId="77777777" w:rsidR="002D3389" w:rsidRPr="00257F44" w:rsidRDefault="002D3389" w:rsidP="00FD2A72">
            <w:pPr>
              <w:pStyle w:val="Rowcolumntitles"/>
              <w:rPr>
                <w:sz w:val="20"/>
                <w:lang w:val="uk-UA"/>
              </w:rPr>
            </w:pPr>
          </w:p>
        </w:tc>
        <w:tc>
          <w:tcPr>
            <w:tcW w:w="395" w:type="dxa"/>
            <w:vMerge w:val="restart"/>
            <w:shd w:val="clear" w:color="auto" w:fill="D6E3BC" w:themeFill="accent3" w:themeFillTint="66"/>
          </w:tcPr>
          <w:p w14:paraId="16143981" w14:textId="00E7E301"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654" w:type="dxa"/>
            <w:gridSpan w:val="2"/>
            <w:vMerge w:val="restart"/>
            <w:shd w:val="clear" w:color="auto" w:fill="FBD4B4" w:themeFill="accent6" w:themeFillTint="66"/>
          </w:tcPr>
          <w:p w14:paraId="0194E7C6" w14:textId="5AFC564F"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9" w:type="dxa"/>
            <w:vMerge w:val="restart"/>
            <w:shd w:val="clear" w:color="auto" w:fill="FBD4B4" w:themeFill="accent6" w:themeFillTint="66"/>
          </w:tcPr>
          <w:p w14:paraId="488C4622" w14:textId="77777777" w:rsidR="002D3389" w:rsidRPr="00257F44" w:rsidRDefault="002D3389" w:rsidP="00FD2A72">
            <w:pPr>
              <w:pStyle w:val="Rowcolumntitles"/>
              <w:rPr>
                <w:rFonts w:eastAsia="Times New Roman"/>
                <w:sz w:val="20"/>
                <w:lang w:val="uk-UA"/>
              </w:rPr>
            </w:pPr>
          </w:p>
        </w:tc>
        <w:tc>
          <w:tcPr>
            <w:tcW w:w="404" w:type="dxa"/>
            <w:vMerge w:val="restart"/>
            <w:shd w:val="clear" w:color="auto" w:fill="FBD4B4" w:themeFill="accent6" w:themeFillTint="66"/>
          </w:tcPr>
          <w:p w14:paraId="486B70D3" w14:textId="1D87F057"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895" w:type="dxa"/>
            <w:vMerge w:val="restart"/>
            <w:shd w:val="clear" w:color="auto" w:fill="FBD4B4" w:themeFill="accent6" w:themeFillTint="66"/>
          </w:tcPr>
          <w:p w14:paraId="5CD4383A" w14:textId="031BFE2B"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41" w:type="dxa"/>
            <w:gridSpan w:val="3"/>
            <w:vMerge w:val="restart"/>
            <w:shd w:val="clear" w:color="auto" w:fill="CCC0D9" w:themeFill="accent4" w:themeFillTint="66"/>
          </w:tcPr>
          <w:p w14:paraId="547DE049" w14:textId="77777777" w:rsidR="002D3389" w:rsidRPr="00257F44" w:rsidRDefault="002D3389" w:rsidP="00FD2A72">
            <w:pPr>
              <w:pStyle w:val="Rowcolumntitles"/>
              <w:rPr>
                <w:sz w:val="20"/>
                <w:lang w:val="uk-UA"/>
              </w:rPr>
            </w:pPr>
          </w:p>
        </w:tc>
        <w:tc>
          <w:tcPr>
            <w:tcW w:w="341" w:type="dxa"/>
            <w:gridSpan w:val="2"/>
            <w:vMerge w:val="restart"/>
            <w:shd w:val="clear" w:color="auto" w:fill="CCC0D9" w:themeFill="accent4" w:themeFillTint="66"/>
          </w:tcPr>
          <w:p w14:paraId="7C123AD7" w14:textId="77777777" w:rsidR="002D3389" w:rsidRPr="00257F44" w:rsidRDefault="002D3389" w:rsidP="00FD2A72">
            <w:pPr>
              <w:pStyle w:val="Rowcolumntitles"/>
              <w:rPr>
                <w:rFonts w:eastAsia="Times New Roman"/>
                <w:sz w:val="20"/>
                <w:lang w:val="uk-UA"/>
              </w:rPr>
            </w:pPr>
          </w:p>
        </w:tc>
        <w:tc>
          <w:tcPr>
            <w:tcW w:w="341" w:type="dxa"/>
            <w:gridSpan w:val="2"/>
            <w:vMerge w:val="restart"/>
            <w:shd w:val="clear" w:color="auto" w:fill="CCC0D9" w:themeFill="accent4" w:themeFillTint="66"/>
          </w:tcPr>
          <w:p w14:paraId="626840A4" w14:textId="77777777" w:rsidR="002D3389" w:rsidRPr="00257F44" w:rsidRDefault="002D3389" w:rsidP="00FD2A72">
            <w:pPr>
              <w:pStyle w:val="Rowcolumntitles"/>
              <w:rPr>
                <w:sz w:val="20"/>
                <w:lang w:val="uk-UA"/>
              </w:rPr>
            </w:pPr>
          </w:p>
        </w:tc>
        <w:tc>
          <w:tcPr>
            <w:tcW w:w="322" w:type="dxa"/>
            <w:gridSpan w:val="2"/>
            <w:vMerge w:val="restart"/>
            <w:shd w:val="clear" w:color="auto" w:fill="CCC0D9" w:themeFill="accent4" w:themeFillTint="66"/>
          </w:tcPr>
          <w:p w14:paraId="5484BB34" w14:textId="63F272D0"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506" w:type="dxa"/>
            <w:gridSpan w:val="4"/>
            <w:shd w:val="clear" w:color="auto" w:fill="B8CCE4" w:themeFill="accent1" w:themeFillTint="66"/>
          </w:tcPr>
          <w:p w14:paraId="4B799590" w14:textId="3416B19D"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126B95E6" w14:textId="0AD1F7A8"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87" w:type="dxa"/>
            <w:gridSpan w:val="4"/>
            <w:shd w:val="clear" w:color="auto" w:fill="B8CCE4" w:themeFill="accent1" w:themeFillTint="66"/>
          </w:tcPr>
          <w:p w14:paraId="44625133" w14:textId="77777777" w:rsidR="002D3389" w:rsidRPr="00257F44" w:rsidRDefault="002D3389" w:rsidP="00FD2A72">
            <w:pPr>
              <w:pStyle w:val="Rowcolumntitles"/>
              <w:rPr>
                <w:rFonts w:eastAsia="Times New Roman"/>
                <w:sz w:val="20"/>
                <w:lang w:val="uk-UA"/>
              </w:rPr>
            </w:pPr>
          </w:p>
        </w:tc>
        <w:tc>
          <w:tcPr>
            <w:tcW w:w="493" w:type="dxa"/>
            <w:gridSpan w:val="3"/>
            <w:shd w:val="clear" w:color="auto" w:fill="B8CCE4" w:themeFill="accent1" w:themeFillTint="66"/>
          </w:tcPr>
          <w:p w14:paraId="30E6D2F4" w14:textId="0451A6D3" w:rsidR="002D3389" w:rsidRPr="00257F44" w:rsidRDefault="002D3389" w:rsidP="00FD2A72">
            <w:pPr>
              <w:pStyle w:val="Rowcolumntitles"/>
              <w:rPr>
                <w:rFonts w:eastAsia="Times New Roman"/>
                <w:sz w:val="20"/>
                <w:lang w:val="uk-UA"/>
              </w:rPr>
            </w:pPr>
          </w:p>
        </w:tc>
        <w:tc>
          <w:tcPr>
            <w:tcW w:w="367" w:type="dxa"/>
            <w:gridSpan w:val="3"/>
            <w:vMerge w:val="restart"/>
            <w:shd w:val="clear" w:color="auto" w:fill="D99594" w:themeFill="accent2" w:themeFillTint="99"/>
          </w:tcPr>
          <w:p w14:paraId="2237A44C"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4BA6C04A"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572BB810"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43412E34" w14:textId="77777777" w:rsidR="002D3389" w:rsidRPr="00257F44" w:rsidRDefault="002D3389"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36966C6A" w14:textId="535090A4"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r>
      <w:tr w:rsidR="000E0B9A" w:rsidRPr="00257F44" w14:paraId="50A224C8" w14:textId="77777777" w:rsidTr="00DB3322">
        <w:trPr>
          <w:gridAfter w:val="2"/>
          <w:wAfter w:w="24" w:type="dxa"/>
          <w:trHeight w:val="620"/>
        </w:trPr>
        <w:tc>
          <w:tcPr>
            <w:tcW w:w="1470" w:type="dxa"/>
            <w:vMerge/>
            <w:shd w:val="clear" w:color="auto" w:fill="000000" w:themeFill="text1"/>
          </w:tcPr>
          <w:p w14:paraId="716A302C" w14:textId="77777777" w:rsidR="002D3389" w:rsidRPr="00257F44" w:rsidRDefault="002D3389" w:rsidP="00FD2A72">
            <w:pPr>
              <w:pStyle w:val="Rowcolumntitles"/>
              <w:rPr>
                <w:color w:val="FFFFFF" w:themeColor="background1"/>
                <w:sz w:val="20"/>
                <w:lang w:val="uk-UA"/>
              </w:rPr>
            </w:pPr>
          </w:p>
        </w:tc>
        <w:tc>
          <w:tcPr>
            <w:tcW w:w="402" w:type="dxa"/>
            <w:vMerge/>
            <w:shd w:val="clear" w:color="auto" w:fill="D6E3BC" w:themeFill="accent3" w:themeFillTint="66"/>
          </w:tcPr>
          <w:p w14:paraId="11C704F8" w14:textId="77777777" w:rsidR="002D3389" w:rsidRPr="00257F44" w:rsidRDefault="002D3389" w:rsidP="00FD2A72">
            <w:pPr>
              <w:pStyle w:val="Rowcolumntitles"/>
              <w:rPr>
                <w:sz w:val="20"/>
                <w:lang w:val="uk-UA"/>
              </w:rPr>
            </w:pPr>
          </w:p>
        </w:tc>
        <w:tc>
          <w:tcPr>
            <w:tcW w:w="388" w:type="dxa"/>
            <w:vMerge/>
            <w:shd w:val="clear" w:color="auto" w:fill="D6E3BC" w:themeFill="accent3" w:themeFillTint="66"/>
          </w:tcPr>
          <w:p w14:paraId="1B1650AC" w14:textId="77777777" w:rsidR="002D3389" w:rsidRPr="00257F44" w:rsidRDefault="002D3389" w:rsidP="00FD2A72">
            <w:pPr>
              <w:pStyle w:val="Rowcolumntitles"/>
              <w:rPr>
                <w:rFonts w:eastAsia="Times New Roman"/>
                <w:sz w:val="20"/>
                <w:lang w:val="uk-UA"/>
              </w:rPr>
            </w:pPr>
          </w:p>
        </w:tc>
        <w:tc>
          <w:tcPr>
            <w:tcW w:w="425" w:type="dxa"/>
            <w:vMerge/>
            <w:shd w:val="clear" w:color="auto" w:fill="D6E3BC" w:themeFill="accent3" w:themeFillTint="66"/>
          </w:tcPr>
          <w:p w14:paraId="4221A143" w14:textId="77777777" w:rsidR="002D3389" w:rsidRPr="00257F44" w:rsidRDefault="002D3389" w:rsidP="00FD2A72">
            <w:pPr>
              <w:pStyle w:val="Rowcolumntitles"/>
              <w:rPr>
                <w:sz w:val="20"/>
                <w:lang w:val="uk-UA"/>
              </w:rPr>
            </w:pPr>
          </w:p>
        </w:tc>
        <w:tc>
          <w:tcPr>
            <w:tcW w:w="395" w:type="dxa"/>
            <w:vMerge/>
            <w:shd w:val="clear" w:color="auto" w:fill="D6E3BC" w:themeFill="accent3" w:themeFillTint="66"/>
          </w:tcPr>
          <w:p w14:paraId="1F346BD2" w14:textId="77777777" w:rsidR="002D3389" w:rsidRPr="00257F44" w:rsidRDefault="002D3389" w:rsidP="00FD2A72">
            <w:pPr>
              <w:pStyle w:val="Rowcolumntitles"/>
              <w:rPr>
                <w:rFonts w:eastAsia="Times New Roman"/>
                <w:sz w:val="20"/>
                <w:lang w:val="uk-UA"/>
              </w:rPr>
            </w:pPr>
          </w:p>
        </w:tc>
        <w:tc>
          <w:tcPr>
            <w:tcW w:w="654" w:type="dxa"/>
            <w:gridSpan w:val="2"/>
            <w:vMerge/>
            <w:shd w:val="clear" w:color="auto" w:fill="FBD4B4" w:themeFill="accent6" w:themeFillTint="66"/>
          </w:tcPr>
          <w:p w14:paraId="14148C78" w14:textId="77777777" w:rsidR="002D3389" w:rsidRPr="00257F44" w:rsidRDefault="002D3389" w:rsidP="00FD2A72">
            <w:pPr>
              <w:pStyle w:val="Rowcolumntitles"/>
              <w:rPr>
                <w:rFonts w:eastAsia="Times New Roman"/>
                <w:sz w:val="20"/>
                <w:lang w:val="uk-UA"/>
              </w:rPr>
            </w:pPr>
          </w:p>
        </w:tc>
        <w:tc>
          <w:tcPr>
            <w:tcW w:w="369" w:type="dxa"/>
            <w:vMerge/>
            <w:shd w:val="clear" w:color="auto" w:fill="FBD4B4" w:themeFill="accent6" w:themeFillTint="66"/>
          </w:tcPr>
          <w:p w14:paraId="735D8E4A" w14:textId="77777777" w:rsidR="002D3389" w:rsidRPr="00257F44" w:rsidRDefault="002D3389" w:rsidP="00FD2A72">
            <w:pPr>
              <w:pStyle w:val="Rowcolumntitles"/>
              <w:rPr>
                <w:rFonts w:eastAsia="Times New Roman"/>
                <w:sz w:val="20"/>
                <w:lang w:val="uk-UA"/>
              </w:rPr>
            </w:pPr>
          </w:p>
        </w:tc>
        <w:tc>
          <w:tcPr>
            <w:tcW w:w="404" w:type="dxa"/>
            <w:vMerge/>
            <w:shd w:val="clear" w:color="auto" w:fill="FBD4B4" w:themeFill="accent6" w:themeFillTint="66"/>
          </w:tcPr>
          <w:p w14:paraId="67289DA6" w14:textId="77777777" w:rsidR="002D3389" w:rsidRPr="00257F44" w:rsidRDefault="002D3389" w:rsidP="00FD2A72">
            <w:pPr>
              <w:pStyle w:val="Rowcolumntitles"/>
              <w:rPr>
                <w:rFonts w:eastAsia="Times New Roman"/>
                <w:sz w:val="20"/>
                <w:lang w:val="uk-UA"/>
              </w:rPr>
            </w:pPr>
          </w:p>
        </w:tc>
        <w:tc>
          <w:tcPr>
            <w:tcW w:w="895" w:type="dxa"/>
            <w:vMerge/>
            <w:shd w:val="clear" w:color="auto" w:fill="FBD4B4" w:themeFill="accent6" w:themeFillTint="66"/>
          </w:tcPr>
          <w:p w14:paraId="1C34D162" w14:textId="77777777" w:rsidR="002D3389" w:rsidRPr="00257F44" w:rsidRDefault="002D3389" w:rsidP="00FD2A72">
            <w:pPr>
              <w:pStyle w:val="Rowcolumntitles"/>
              <w:rPr>
                <w:rFonts w:eastAsia="Times New Roman"/>
                <w:sz w:val="20"/>
                <w:lang w:val="uk-UA"/>
              </w:rPr>
            </w:pPr>
          </w:p>
        </w:tc>
        <w:tc>
          <w:tcPr>
            <w:tcW w:w="341" w:type="dxa"/>
            <w:gridSpan w:val="3"/>
            <w:vMerge/>
            <w:shd w:val="clear" w:color="auto" w:fill="CCC0D9" w:themeFill="accent4" w:themeFillTint="66"/>
          </w:tcPr>
          <w:p w14:paraId="31515B8B" w14:textId="77777777" w:rsidR="002D3389" w:rsidRPr="00257F44" w:rsidRDefault="002D3389" w:rsidP="00FD2A72">
            <w:pPr>
              <w:pStyle w:val="Rowcolumntitles"/>
              <w:rPr>
                <w:sz w:val="20"/>
                <w:lang w:val="uk-UA"/>
              </w:rPr>
            </w:pPr>
          </w:p>
        </w:tc>
        <w:tc>
          <w:tcPr>
            <w:tcW w:w="341" w:type="dxa"/>
            <w:gridSpan w:val="2"/>
            <w:vMerge/>
            <w:shd w:val="clear" w:color="auto" w:fill="CCC0D9" w:themeFill="accent4" w:themeFillTint="66"/>
          </w:tcPr>
          <w:p w14:paraId="1931AD27" w14:textId="77777777" w:rsidR="002D3389" w:rsidRPr="00257F44" w:rsidRDefault="002D3389" w:rsidP="00FD2A72">
            <w:pPr>
              <w:pStyle w:val="Rowcolumntitles"/>
              <w:rPr>
                <w:rFonts w:eastAsia="Times New Roman"/>
                <w:sz w:val="20"/>
                <w:lang w:val="uk-UA"/>
              </w:rPr>
            </w:pPr>
          </w:p>
        </w:tc>
        <w:tc>
          <w:tcPr>
            <w:tcW w:w="341" w:type="dxa"/>
            <w:gridSpan w:val="2"/>
            <w:vMerge/>
            <w:shd w:val="clear" w:color="auto" w:fill="CCC0D9" w:themeFill="accent4" w:themeFillTint="66"/>
          </w:tcPr>
          <w:p w14:paraId="21CC79DA" w14:textId="77777777" w:rsidR="002D3389" w:rsidRPr="00257F44" w:rsidRDefault="002D3389" w:rsidP="00FD2A72">
            <w:pPr>
              <w:pStyle w:val="Rowcolumntitles"/>
              <w:rPr>
                <w:sz w:val="20"/>
                <w:lang w:val="uk-UA"/>
              </w:rPr>
            </w:pPr>
          </w:p>
        </w:tc>
        <w:tc>
          <w:tcPr>
            <w:tcW w:w="322" w:type="dxa"/>
            <w:gridSpan w:val="2"/>
            <w:vMerge/>
            <w:shd w:val="clear" w:color="auto" w:fill="CCC0D9" w:themeFill="accent4" w:themeFillTint="66"/>
          </w:tcPr>
          <w:p w14:paraId="3C6B5B04" w14:textId="77777777" w:rsidR="002D3389" w:rsidRPr="00257F44" w:rsidRDefault="002D3389" w:rsidP="00FD2A72">
            <w:pPr>
              <w:pStyle w:val="Rowcolumntitles"/>
              <w:rPr>
                <w:rFonts w:eastAsia="Times New Roman"/>
                <w:sz w:val="20"/>
                <w:lang w:val="uk-UA"/>
              </w:rPr>
            </w:pPr>
          </w:p>
        </w:tc>
        <w:tc>
          <w:tcPr>
            <w:tcW w:w="506" w:type="dxa"/>
            <w:gridSpan w:val="4"/>
            <w:shd w:val="clear" w:color="auto" w:fill="B8CCE4" w:themeFill="accent1" w:themeFillTint="66"/>
          </w:tcPr>
          <w:p w14:paraId="57D54581" w14:textId="1EE109F9"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2BD85163" w14:textId="77777777" w:rsidR="002D3389" w:rsidRPr="00257F44" w:rsidRDefault="002D3389" w:rsidP="00FD2A72">
            <w:pPr>
              <w:pStyle w:val="Rowcolumntitles"/>
              <w:rPr>
                <w:rFonts w:eastAsia="Times New Roman"/>
                <w:sz w:val="20"/>
                <w:lang w:val="uk-UA"/>
              </w:rPr>
            </w:pPr>
          </w:p>
        </w:tc>
        <w:tc>
          <w:tcPr>
            <w:tcW w:w="487" w:type="dxa"/>
            <w:gridSpan w:val="4"/>
            <w:shd w:val="clear" w:color="auto" w:fill="B8CCE4" w:themeFill="accent1" w:themeFillTint="66"/>
          </w:tcPr>
          <w:p w14:paraId="24B70F8B" w14:textId="77777777" w:rsidR="002D3389" w:rsidRPr="00257F44" w:rsidRDefault="002D3389" w:rsidP="00FD2A72">
            <w:pPr>
              <w:pStyle w:val="Rowcolumntitles"/>
              <w:rPr>
                <w:rFonts w:eastAsia="Times New Roman"/>
                <w:sz w:val="20"/>
                <w:lang w:val="uk-UA"/>
              </w:rPr>
            </w:pPr>
          </w:p>
        </w:tc>
        <w:tc>
          <w:tcPr>
            <w:tcW w:w="493" w:type="dxa"/>
            <w:gridSpan w:val="3"/>
            <w:shd w:val="clear" w:color="auto" w:fill="B8CCE4" w:themeFill="accent1" w:themeFillTint="66"/>
          </w:tcPr>
          <w:p w14:paraId="7D8F727B" w14:textId="1DDC1367"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7" w:type="dxa"/>
            <w:gridSpan w:val="3"/>
            <w:vMerge/>
            <w:shd w:val="clear" w:color="auto" w:fill="D99594" w:themeFill="accent2" w:themeFillTint="99"/>
          </w:tcPr>
          <w:p w14:paraId="0327C436"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279EF1E8"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17B32428"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4E7ED8F7" w14:textId="77777777" w:rsidR="002D3389" w:rsidRPr="00257F44" w:rsidRDefault="002D3389" w:rsidP="00FD2A72">
            <w:pPr>
              <w:pStyle w:val="Rowcolumntitles"/>
              <w:rPr>
                <w:rFonts w:eastAsia="Times New Roman"/>
                <w:sz w:val="20"/>
                <w:lang w:val="uk-UA"/>
              </w:rPr>
            </w:pPr>
          </w:p>
        </w:tc>
        <w:tc>
          <w:tcPr>
            <w:tcW w:w="388" w:type="dxa"/>
            <w:gridSpan w:val="2"/>
            <w:vMerge/>
            <w:shd w:val="clear" w:color="auto" w:fill="D99594" w:themeFill="accent2" w:themeFillTint="99"/>
          </w:tcPr>
          <w:p w14:paraId="73564BAD" w14:textId="77777777" w:rsidR="002D3389" w:rsidRPr="00257F44" w:rsidRDefault="002D3389" w:rsidP="00FD2A72">
            <w:pPr>
              <w:pStyle w:val="Rowcolumntitles"/>
              <w:rPr>
                <w:rFonts w:eastAsia="Times New Roman"/>
                <w:sz w:val="20"/>
                <w:lang w:val="uk-UA"/>
              </w:rPr>
            </w:pPr>
          </w:p>
        </w:tc>
      </w:tr>
      <w:tr w:rsidR="002D3389" w:rsidRPr="00257F44" w14:paraId="6F65719C" w14:textId="77777777" w:rsidTr="00DB3322">
        <w:trPr>
          <w:trHeight w:val="486"/>
        </w:trPr>
        <w:tc>
          <w:tcPr>
            <w:tcW w:w="10453" w:type="dxa"/>
            <w:gridSpan w:val="45"/>
            <w:shd w:val="clear" w:color="auto" w:fill="000000" w:themeFill="text1"/>
          </w:tcPr>
          <w:p w14:paraId="4962D3D5" w14:textId="7A31ED6F" w:rsidR="002D3389" w:rsidRPr="00257F44" w:rsidRDefault="00F55484" w:rsidP="00FD2A72">
            <w:pPr>
              <w:pStyle w:val="Rowcolumntitles"/>
              <w:rPr>
                <w:b/>
                <w:color w:val="FFFFFF" w:themeColor="background1"/>
                <w:sz w:val="20"/>
                <w:lang w:val="uk-UA"/>
              </w:rPr>
            </w:pPr>
            <w:r w:rsidRPr="00257F44">
              <w:rPr>
                <w:b/>
                <w:color w:val="FFFFFF" w:themeColor="background1"/>
                <w:sz w:val="20"/>
                <w:lang w:val="uk-UA"/>
              </w:rPr>
              <w:t>Тема 4: Надання адміністративних та соціальних послуг</w:t>
            </w:r>
          </w:p>
        </w:tc>
      </w:tr>
      <w:tr w:rsidR="000E0B9A" w:rsidRPr="00257F44" w14:paraId="4004471E" w14:textId="77777777" w:rsidTr="00DB3322">
        <w:trPr>
          <w:gridAfter w:val="2"/>
          <w:wAfter w:w="24" w:type="dxa"/>
          <w:trHeight w:val="227"/>
        </w:trPr>
        <w:tc>
          <w:tcPr>
            <w:tcW w:w="1470" w:type="dxa"/>
            <w:vMerge w:val="restart"/>
            <w:shd w:val="clear" w:color="auto" w:fill="000000" w:themeFill="text1"/>
          </w:tcPr>
          <w:p w14:paraId="00C31D51" w14:textId="22AB971F" w:rsidR="002D3389" w:rsidRPr="00257F44" w:rsidRDefault="002D3389" w:rsidP="00FD2A72">
            <w:pPr>
              <w:pStyle w:val="Rowcolumntitles"/>
              <w:rPr>
                <w:color w:val="FFFFFF" w:themeColor="background1"/>
                <w:sz w:val="20"/>
                <w:lang w:val="uk-UA"/>
              </w:rPr>
            </w:pPr>
            <w:r w:rsidRPr="00257F44">
              <w:rPr>
                <w:color w:val="FFFFFF" w:themeColor="background1"/>
                <w:sz w:val="20"/>
                <w:lang w:val="uk-UA"/>
              </w:rPr>
              <w:t>13</w:t>
            </w:r>
            <w:r w:rsidR="00F37D41" w:rsidRPr="00257F44">
              <w:rPr>
                <w:color w:val="FFFFFF" w:themeColor="background1"/>
                <w:sz w:val="20"/>
                <w:lang w:val="uk-UA"/>
              </w:rPr>
              <w:t xml:space="preserve"> Закон про адміністра</w:t>
            </w:r>
            <w:r w:rsidR="00881CF9" w:rsidRPr="00257F44">
              <w:rPr>
                <w:color w:val="FFFFFF" w:themeColor="background1"/>
                <w:sz w:val="20"/>
                <w:lang w:val="uk-UA"/>
              </w:rPr>
              <w:t>-</w:t>
            </w:r>
            <w:r w:rsidR="00F37D41" w:rsidRPr="00257F44">
              <w:rPr>
                <w:color w:val="FFFFFF" w:themeColor="background1"/>
                <w:sz w:val="20"/>
                <w:lang w:val="uk-UA"/>
              </w:rPr>
              <w:t>тивну процедуру</w:t>
            </w:r>
          </w:p>
        </w:tc>
        <w:tc>
          <w:tcPr>
            <w:tcW w:w="402" w:type="dxa"/>
            <w:vMerge w:val="restart"/>
            <w:shd w:val="clear" w:color="auto" w:fill="D6E3BC" w:themeFill="accent3" w:themeFillTint="66"/>
          </w:tcPr>
          <w:p w14:paraId="58484D65" w14:textId="77777777" w:rsidR="002D3389" w:rsidRPr="00257F44" w:rsidRDefault="002D3389" w:rsidP="00FD2A72">
            <w:pPr>
              <w:pStyle w:val="Rowcolumntitles"/>
              <w:rPr>
                <w:sz w:val="20"/>
                <w:lang w:val="uk-UA"/>
              </w:rPr>
            </w:pPr>
          </w:p>
        </w:tc>
        <w:tc>
          <w:tcPr>
            <w:tcW w:w="388" w:type="dxa"/>
            <w:vMerge w:val="restart"/>
            <w:shd w:val="clear" w:color="auto" w:fill="D6E3BC" w:themeFill="accent3" w:themeFillTint="66"/>
          </w:tcPr>
          <w:p w14:paraId="68CDF288" w14:textId="77777777" w:rsidR="002D3389" w:rsidRPr="00257F44" w:rsidRDefault="002D3389" w:rsidP="00FD2A72">
            <w:pPr>
              <w:pStyle w:val="Rowcolumntitles"/>
              <w:rPr>
                <w:rFonts w:eastAsia="Times New Roman"/>
                <w:sz w:val="20"/>
                <w:lang w:val="uk-UA"/>
              </w:rPr>
            </w:pPr>
          </w:p>
        </w:tc>
        <w:tc>
          <w:tcPr>
            <w:tcW w:w="425" w:type="dxa"/>
            <w:vMerge w:val="restart"/>
            <w:shd w:val="clear" w:color="auto" w:fill="D6E3BC" w:themeFill="accent3" w:themeFillTint="66"/>
          </w:tcPr>
          <w:p w14:paraId="3FDE44B7" w14:textId="77777777" w:rsidR="002D3389" w:rsidRPr="00257F44" w:rsidRDefault="002D3389" w:rsidP="00FD2A72">
            <w:pPr>
              <w:pStyle w:val="Rowcolumntitles"/>
              <w:rPr>
                <w:sz w:val="20"/>
                <w:lang w:val="uk-UA"/>
              </w:rPr>
            </w:pPr>
          </w:p>
        </w:tc>
        <w:tc>
          <w:tcPr>
            <w:tcW w:w="395" w:type="dxa"/>
            <w:vMerge w:val="restart"/>
            <w:shd w:val="clear" w:color="auto" w:fill="D6E3BC" w:themeFill="accent3" w:themeFillTint="66"/>
          </w:tcPr>
          <w:p w14:paraId="4CFEFD3E" w14:textId="5F8AA065"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654" w:type="dxa"/>
            <w:gridSpan w:val="2"/>
            <w:vMerge w:val="restart"/>
            <w:shd w:val="clear" w:color="auto" w:fill="FBD4B4" w:themeFill="accent6" w:themeFillTint="66"/>
          </w:tcPr>
          <w:p w14:paraId="32BDC2FE" w14:textId="64381AA8"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9" w:type="dxa"/>
            <w:vMerge w:val="restart"/>
            <w:shd w:val="clear" w:color="auto" w:fill="FBD4B4" w:themeFill="accent6" w:themeFillTint="66"/>
          </w:tcPr>
          <w:p w14:paraId="34EE671C" w14:textId="77777777" w:rsidR="002D3389" w:rsidRPr="00257F44" w:rsidRDefault="002D3389" w:rsidP="00FD2A72">
            <w:pPr>
              <w:pStyle w:val="Rowcolumntitles"/>
              <w:rPr>
                <w:rFonts w:eastAsia="Times New Roman"/>
                <w:sz w:val="20"/>
                <w:lang w:val="uk-UA"/>
              </w:rPr>
            </w:pPr>
          </w:p>
        </w:tc>
        <w:tc>
          <w:tcPr>
            <w:tcW w:w="404" w:type="dxa"/>
            <w:vMerge w:val="restart"/>
            <w:shd w:val="clear" w:color="auto" w:fill="FBD4B4" w:themeFill="accent6" w:themeFillTint="66"/>
          </w:tcPr>
          <w:p w14:paraId="38F67909" w14:textId="5763824F"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895" w:type="dxa"/>
            <w:vMerge w:val="restart"/>
            <w:shd w:val="clear" w:color="auto" w:fill="FBD4B4" w:themeFill="accent6" w:themeFillTint="66"/>
          </w:tcPr>
          <w:p w14:paraId="628E1C45" w14:textId="77777777" w:rsidR="002D3389" w:rsidRPr="00257F44" w:rsidRDefault="002D3389" w:rsidP="00FD2A72">
            <w:pPr>
              <w:pStyle w:val="Rowcolumntitles"/>
              <w:rPr>
                <w:rFonts w:eastAsia="Times New Roman"/>
                <w:sz w:val="20"/>
                <w:lang w:val="uk-UA"/>
              </w:rPr>
            </w:pPr>
          </w:p>
        </w:tc>
        <w:tc>
          <w:tcPr>
            <w:tcW w:w="341" w:type="dxa"/>
            <w:gridSpan w:val="3"/>
            <w:vMerge w:val="restart"/>
            <w:shd w:val="clear" w:color="auto" w:fill="CCC0D9" w:themeFill="accent4" w:themeFillTint="66"/>
          </w:tcPr>
          <w:p w14:paraId="00DF6048" w14:textId="77777777" w:rsidR="002D3389" w:rsidRPr="00257F44" w:rsidRDefault="002D3389" w:rsidP="00FD2A72">
            <w:pPr>
              <w:pStyle w:val="Rowcolumntitles"/>
              <w:rPr>
                <w:sz w:val="20"/>
                <w:lang w:val="uk-UA"/>
              </w:rPr>
            </w:pPr>
          </w:p>
        </w:tc>
        <w:tc>
          <w:tcPr>
            <w:tcW w:w="341" w:type="dxa"/>
            <w:gridSpan w:val="2"/>
            <w:vMerge w:val="restart"/>
            <w:shd w:val="clear" w:color="auto" w:fill="CCC0D9" w:themeFill="accent4" w:themeFillTint="66"/>
          </w:tcPr>
          <w:p w14:paraId="147D5C23" w14:textId="77777777" w:rsidR="002D3389" w:rsidRPr="00257F44" w:rsidRDefault="002D3389" w:rsidP="00FD2A72">
            <w:pPr>
              <w:pStyle w:val="Rowcolumntitles"/>
              <w:rPr>
                <w:rFonts w:eastAsia="Times New Roman"/>
                <w:sz w:val="20"/>
                <w:lang w:val="uk-UA"/>
              </w:rPr>
            </w:pPr>
          </w:p>
        </w:tc>
        <w:tc>
          <w:tcPr>
            <w:tcW w:w="341" w:type="dxa"/>
            <w:gridSpan w:val="2"/>
            <w:vMerge w:val="restart"/>
            <w:shd w:val="clear" w:color="auto" w:fill="CCC0D9" w:themeFill="accent4" w:themeFillTint="66"/>
          </w:tcPr>
          <w:p w14:paraId="2844641D" w14:textId="77777777" w:rsidR="002D3389" w:rsidRPr="00257F44" w:rsidRDefault="002D3389" w:rsidP="00FD2A72">
            <w:pPr>
              <w:pStyle w:val="Rowcolumntitles"/>
              <w:rPr>
                <w:sz w:val="20"/>
                <w:lang w:val="uk-UA"/>
              </w:rPr>
            </w:pPr>
          </w:p>
        </w:tc>
        <w:tc>
          <w:tcPr>
            <w:tcW w:w="343" w:type="dxa"/>
            <w:gridSpan w:val="3"/>
            <w:vMerge w:val="restart"/>
            <w:shd w:val="clear" w:color="auto" w:fill="CCC0D9" w:themeFill="accent4" w:themeFillTint="66"/>
          </w:tcPr>
          <w:p w14:paraId="62C170C1" w14:textId="1F8B0464"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85" w:type="dxa"/>
            <w:gridSpan w:val="3"/>
            <w:shd w:val="clear" w:color="auto" w:fill="B8CCE4" w:themeFill="accent1" w:themeFillTint="66"/>
          </w:tcPr>
          <w:p w14:paraId="26574810" w14:textId="30252DFE"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7D74518B" w14:textId="4C353453"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87" w:type="dxa"/>
            <w:gridSpan w:val="4"/>
            <w:shd w:val="clear" w:color="auto" w:fill="B8CCE4" w:themeFill="accent1" w:themeFillTint="66"/>
          </w:tcPr>
          <w:p w14:paraId="7269497D" w14:textId="77777777" w:rsidR="002D3389" w:rsidRPr="00257F44" w:rsidRDefault="002D3389" w:rsidP="00FD2A72">
            <w:pPr>
              <w:pStyle w:val="Rowcolumntitles"/>
              <w:rPr>
                <w:rFonts w:eastAsia="Times New Roman"/>
                <w:sz w:val="20"/>
                <w:lang w:val="uk-UA"/>
              </w:rPr>
            </w:pPr>
          </w:p>
        </w:tc>
        <w:tc>
          <w:tcPr>
            <w:tcW w:w="493" w:type="dxa"/>
            <w:gridSpan w:val="3"/>
            <w:shd w:val="clear" w:color="auto" w:fill="B8CCE4" w:themeFill="accent1" w:themeFillTint="66"/>
          </w:tcPr>
          <w:p w14:paraId="69FDB82C" w14:textId="5E02A3EB" w:rsidR="002D3389" w:rsidRPr="00257F44" w:rsidRDefault="002D3389" w:rsidP="00FD2A72">
            <w:pPr>
              <w:pStyle w:val="Rowcolumntitles"/>
              <w:rPr>
                <w:rFonts w:eastAsia="Times New Roman"/>
                <w:sz w:val="20"/>
                <w:lang w:val="uk-UA"/>
              </w:rPr>
            </w:pPr>
          </w:p>
        </w:tc>
        <w:tc>
          <w:tcPr>
            <w:tcW w:w="367" w:type="dxa"/>
            <w:gridSpan w:val="3"/>
            <w:vMerge w:val="restart"/>
            <w:shd w:val="clear" w:color="auto" w:fill="D99594" w:themeFill="accent2" w:themeFillTint="99"/>
          </w:tcPr>
          <w:p w14:paraId="458F4D45"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25942F61" w14:textId="54C9C0B7"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18" w:type="dxa"/>
            <w:gridSpan w:val="2"/>
            <w:vMerge w:val="restart"/>
            <w:shd w:val="clear" w:color="auto" w:fill="D99594" w:themeFill="accent2" w:themeFillTint="99"/>
          </w:tcPr>
          <w:p w14:paraId="40EA5183"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7845EE0C" w14:textId="77777777" w:rsidR="002D3389" w:rsidRPr="00257F44" w:rsidRDefault="002D3389"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2DCA2BEF" w14:textId="77777777" w:rsidR="002D3389" w:rsidRPr="00257F44" w:rsidRDefault="002D3389" w:rsidP="00FD2A72">
            <w:pPr>
              <w:pStyle w:val="Rowcolumntitles"/>
              <w:rPr>
                <w:rFonts w:eastAsia="Times New Roman"/>
                <w:sz w:val="20"/>
                <w:lang w:val="uk-UA"/>
              </w:rPr>
            </w:pPr>
          </w:p>
        </w:tc>
      </w:tr>
      <w:tr w:rsidR="000E0B9A" w:rsidRPr="00257F44" w14:paraId="5FB5EB2D" w14:textId="77777777" w:rsidTr="00DB3322">
        <w:trPr>
          <w:gridAfter w:val="2"/>
          <w:wAfter w:w="24" w:type="dxa"/>
          <w:trHeight w:val="226"/>
        </w:trPr>
        <w:tc>
          <w:tcPr>
            <w:tcW w:w="1470" w:type="dxa"/>
            <w:vMerge/>
            <w:shd w:val="clear" w:color="auto" w:fill="000000" w:themeFill="text1"/>
          </w:tcPr>
          <w:p w14:paraId="7B0EE2F0" w14:textId="77777777" w:rsidR="002D3389" w:rsidRPr="00257F44" w:rsidRDefault="002D3389" w:rsidP="00FD2A72">
            <w:pPr>
              <w:pStyle w:val="Rowcolumntitles"/>
              <w:rPr>
                <w:color w:val="FFFFFF" w:themeColor="background1"/>
                <w:sz w:val="20"/>
                <w:lang w:val="uk-UA"/>
              </w:rPr>
            </w:pPr>
          </w:p>
        </w:tc>
        <w:tc>
          <w:tcPr>
            <w:tcW w:w="402" w:type="dxa"/>
            <w:vMerge/>
            <w:shd w:val="clear" w:color="auto" w:fill="D6E3BC" w:themeFill="accent3" w:themeFillTint="66"/>
          </w:tcPr>
          <w:p w14:paraId="05250CE6" w14:textId="77777777" w:rsidR="002D3389" w:rsidRPr="00257F44" w:rsidRDefault="002D3389" w:rsidP="00FD2A72">
            <w:pPr>
              <w:pStyle w:val="Rowcolumntitles"/>
              <w:rPr>
                <w:sz w:val="20"/>
                <w:lang w:val="uk-UA"/>
              </w:rPr>
            </w:pPr>
          </w:p>
        </w:tc>
        <w:tc>
          <w:tcPr>
            <w:tcW w:w="388" w:type="dxa"/>
            <w:vMerge/>
            <w:shd w:val="clear" w:color="auto" w:fill="D6E3BC" w:themeFill="accent3" w:themeFillTint="66"/>
          </w:tcPr>
          <w:p w14:paraId="796C82D5" w14:textId="77777777" w:rsidR="002D3389" w:rsidRPr="00257F44" w:rsidRDefault="002D3389" w:rsidP="00FD2A72">
            <w:pPr>
              <w:pStyle w:val="Rowcolumntitles"/>
              <w:rPr>
                <w:rFonts w:eastAsia="Times New Roman"/>
                <w:sz w:val="20"/>
                <w:lang w:val="uk-UA"/>
              </w:rPr>
            </w:pPr>
          </w:p>
        </w:tc>
        <w:tc>
          <w:tcPr>
            <w:tcW w:w="425" w:type="dxa"/>
            <w:vMerge/>
            <w:shd w:val="clear" w:color="auto" w:fill="D6E3BC" w:themeFill="accent3" w:themeFillTint="66"/>
          </w:tcPr>
          <w:p w14:paraId="52E416D2" w14:textId="77777777" w:rsidR="002D3389" w:rsidRPr="00257F44" w:rsidRDefault="002D3389" w:rsidP="00FD2A72">
            <w:pPr>
              <w:pStyle w:val="Rowcolumntitles"/>
              <w:rPr>
                <w:sz w:val="20"/>
                <w:lang w:val="uk-UA"/>
              </w:rPr>
            </w:pPr>
          </w:p>
        </w:tc>
        <w:tc>
          <w:tcPr>
            <w:tcW w:w="395" w:type="dxa"/>
            <w:vMerge/>
            <w:shd w:val="clear" w:color="auto" w:fill="D6E3BC" w:themeFill="accent3" w:themeFillTint="66"/>
          </w:tcPr>
          <w:p w14:paraId="134C506E" w14:textId="77777777" w:rsidR="002D3389" w:rsidRPr="00257F44" w:rsidRDefault="002D3389" w:rsidP="00FD2A72">
            <w:pPr>
              <w:pStyle w:val="Rowcolumntitles"/>
              <w:rPr>
                <w:rFonts w:eastAsia="Times New Roman"/>
                <w:sz w:val="20"/>
                <w:lang w:val="uk-UA"/>
              </w:rPr>
            </w:pPr>
          </w:p>
        </w:tc>
        <w:tc>
          <w:tcPr>
            <w:tcW w:w="654" w:type="dxa"/>
            <w:gridSpan w:val="2"/>
            <w:vMerge/>
            <w:shd w:val="clear" w:color="auto" w:fill="FBD4B4" w:themeFill="accent6" w:themeFillTint="66"/>
          </w:tcPr>
          <w:p w14:paraId="7AA07B58" w14:textId="77777777" w:rsidR="002D3389" w:rsidRPr="00257F44" w:rsidRDefault="002D3389" w:rsidP="00FD2A72">
            <w:pPr>
              <w:pStyle w:val="Rowcolumntitles"/>
              <w:rPr>
                <w:rFonts w:eastAsia="Times New Roman"/>
                <w:sz w:val="20"/>
                <w:lang w:val="uk-UA"/>
              </w:rPr>
            </w:pPr>
          </w:p>
        </w:tc>
        <w:tc>
          <w:tcPr>
            <w:tcW w:w="369" w:type="dxa"/>
            <w:vMerge/>
            <w:shd w:val="clear" w:color="auto" w:fill="FBD4B4" w:themeFill="accent6" w:themeFillTint="66"/>
          </w:tcPr>
          <w:p w14:paraId="79A8D521" w14:textId="77777777" w:rsidR="002D3389" w:rsidRPr="00257F44" w:rsidRDefault="002D3389" w:rsidP="00FD2A72">
            <w:pPr>
              <w:pStyle w:val="Rowcolumntitles"/>
              <w:rPr>
                <w:rFonts w:eastAsia="Times New Roman"/>
                <w:sz w:val="20"/>
                <w:lang w:val="uk-UA"/>
              </w:rPr>
            </w:pPr>
          </w:p>
        </w:tc>
        <w:tc>
          <w:tcPr>
            <w:tcW w:w="404" w:type="dxa"/>
            <w:vMerge/>
            <w:shd w:val="clear" w:color="auto" w:fill="FBD4B4" w:themeFill="accent6" w:themeFillTint="66"/>
          </w:tcPr>
          <w:p w14:paraId="5D053E0F" w14:textId="77777777" w:rsidR="002D3389" w:rsidRPr="00257F44" w:rsidRDefault="002D3389" w:rsidP="00FD2A72">
            <w:pPr>
              <w:pStyle w:val="Rowcolumntitles"/>
              <w:rPr>
                <w:rFonts w:eastAsia="Times New Roman"/>
                <w:sz w:val="20"/>
                <w:lang w:val="uk-UA"/>
              </w:rPr>
            </w:pPr>
          </w:p>
        </w:tc>
        <w:tc>
          <w:tcPr>
            <w:tcW w:w="895" w:type="dxa"/>
            <w:vMerge/>
            <w:shd w:val="clear" w:color="auto" w:fill="FBD4B4" w:themeFill="accent6" w:themeFillTint="66"/>
          </w:tcPr>
          <w:p w14:paraId="2D2AB505" w14:textId="77777777" w:rsidR="002D3389" w:rsidRPr="00257F44" w:rsidRDefault="002D3389" w:rsidP="00FD2A72">
            <w:pPr>
              <w:pStyle w:val="Rowcolumntitles"/>
              <w:rPr>
                <w:rFonts w:eastAsia="Times New Roman"/>
                <w:sz w:val="20"/>
                <w:lang w:val="uk-UA"/>
              </w:rPr>
            </w:pPr>
          </w:p>
        </w:tc>
        <w:tc>
          <w:tcPr>
            <w:tcW w:w="341" w:type="dxa"/>
            <w:gridSpan w:val="3"/>
            <w:vMerge/>
            <w:shd w:val="clear" w:color="auto" w:fill="CCC0D9" w:themeFill="accent4" w:themeFillTint="66"/>
          </w:tcPr>
          <w:p w14:paraId="5A6F460D" w14:textId="77777777" w:rsidR="002D3389" w:rsidRPr="00257F44" w:rsidRDefault="002D3389" w:rsidP="00FD2A72">
            <w:pPr>
              <w:pStyle w:val="Rowcolumntitles"/>
              <w:rPr>
                <w:sz w:val="20"/>
                <w:lang w:val="uk-UA"/>
              </w:rPr>
            </w:pPr>
          </w:p>
        </w:tc>
        <w:tc>
          <w:tcPr>
            <w:tcW w:w="341" w:type="dxa"/>
            <w:gridSpan w:val="2"/>
            <w:vMerge/>
            <w:shd w:val="clear" w:color="auto" w:fill="CCC0D9" w:themeFill="accent4" w:themeFillTint="66"/>
          </w:tcPr>
          <w:p w14:paraId="79DF3444" w14:textId="77777777" w:rsidR="002D3389" w:rsidRPr="00257F44" w:rsidRDefault="002D3389" w:rsidP="00FD2A72">
            <w:pPr>
              <w:pStyle w:val="Rowcolumntitles"/>
              <w:rPr>
                <w:rFonts w:eastAsia="Times New Roman"/>
                <w:sz w:val="20"/>
                <w:lang w:val="uk-UA"/>
              </w:rPr>
            </w:pPr>
          </w:p>
        </w:tc>
        <w:tc>
          <w:tcPr>
            <w:tcW w:w="341" w:type="dxa"/>
            <w:gridSpan w:val="2"/>
            <w:vMerge/>
            <w:shd w:val="clear" w:color="auto" w:fill="CCC0D9" w:themeFill="accent4" w:themeFillTint="66"/>
          </w:tcPr>
          <w:p w14:paraId="02E502DA" w14:textId="77777777" w:rsidR="002D3389" w:rsidRPr="00257F44" w:rsidRDefault="002D3389" w:rsidP="00FD2A72">
            <w:pPr>
              <w:pStyle w:val="Rowcolumntitles"/>
              <w:rPr>
                <w:sz w:val="20"/>
                <w:lang w:val="uk-UA"/>
              </w:rPr>
            </w:pPr>
          </w:p>
        </w:tc>
        <w:tc>
          <w:tcPr>
            <w:tcW w:w="343" w:type="dxa"/>
            <w:gridSpan w:val="3"/>
            <w:vMerge/>
            <w:shd w:val="clear" w:color="auto" w:fill="CCC0D9" w:themeFill="accent4" w:themeFillTint="66"/>
          </w:tcPr>
          <w:p w14:paraId="26AB1946"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61C8E633" w14:textId="57EF00B2"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7334150E" w14:textId="3EDDA425"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87" w:type="dxa"/>
            <w:gridSpan w:val="4"/>
            <w:shd w:val="clear" w:color="auto" w:fill="B8CCE4" w:themeFill="accent1" w:themeFillTint="66"/>
          </w:tcPr>
          <w:p w14:paraId="3018B4D2" w14:textId="77777777" w:rsidR="002D3389" w:rsidRPr="00257F44" w:rsidRDefault="002D3389" w:rsidP="00FD2A72">
            <w:pPr>
              <w:pStyle w:val="Rowcolumntitles"/>
              <w:rPr>
                <w:rFonts w:eastAsia="Times New Roman"/>
                <w:sz w:val="20"/>
                <w:lang w:val="uk-UA"/>
              </w:rPr>
            </w:pPr>
          </w:p>
        </w:tc>
        <w:tc>
          <w:tcPr>
            <w:tcW w:w="493" w:type="dxa"/>
            <w:gridSpan w:val="3"/>
            <w:shd w:val="clear" w:color="auto" w:fill="B8CCE4" w:themeFill="accent1" w:themeFillTint="66"/>
          </w:tcPr>
          <w:p w14:paraId="0CF54F21" w14:textId="7E321126" w:rsidR="002D3389" w:rsidRPr="00257F44" w:rsidRDefault="002D3389" w:rsidP="00FD2A72">
            <w:pPr>
              <w:pStyle w:val="Rowcolumntitles"/>
              <w:rPr>
                <w:rFonts w:eastAsia="Times New Roman"/>
                <w:sz w:val="20"/>
                <w:lang w:val="uk-UA"/>
              </w:rPr>
            </w:pPr>
          </w:p>
        </w:tc>
        <w:tc>
          <w:tcPr>
            <w:tcW w:w="367" w:type="dxa"/>
            <w:gridSpan w:val="3"/>
            <w:vMerge/>
            <w:shd w:val="clear" w:color="auto" w:fill="D99594" w:themeFill="accent2" w:themeFillTint="99"/>
          </w:tcPr>
          <w:p w14:paraId="39E94E0D"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466410E1"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07E85E82"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787E61BD" w14:textId="77777777" w:rsidR="002D3389" w:rsidRPr="00257F44" w:rsidRDefault="002D3389" w:rsidP="00FD2A72">
            <w:pPr>
              <w:pStyle w:val="Rowcolumntitles"/>
              <w:rPr>
                <w:rFonts w:eastAsia="Times New Roman"/>
                <w:sz w:val="20"/>
                <w:lang w:val="uk-UA"/>
              </w:rPr>
            </w:pPr>
          </w:p>
        </w:tc>
        <w:tc>
          <w:tcPr>
            <w:tcW w:w="388" w:type="dxa"/>
            <w:gridSpan w:val="2"/>
            <w:vMerge/>
            <w:shd w:val="clear" w:color="auto" w:fill="D99594" w:themeFill="accent2" w:themeFillTint="99"/>
          </w:tcPr>
          <w:p w14:paraId="23787890" w14:textId="77777777" w:rsidR="002D3389" w:rsidRPr="00257F44" w:rsidRDefault="002D3389" w:rsidP="00FD2A72">
            <w:pPr>
              <w:pStyle w:val="Rowcolumntitles"/>
              <w:rPr>
                <w:rFonts w:eastAsia="Times New Roman"/>
                <w:sz w:val="20"/>
                <w:lang w:val="uk-UA"/>
              </w:rPr>
            </w:pPr>
          </w:p>
        </w:tc>
      </w:tr>
      <w:tr w:rsidR="00B017F8" w:rsidRPr="00257F44" w14:paraId="789B4B3F" w14:textId="77777777" w:rsidTr="00DB3322">
        <w:trPr>
          <w:gridAfter w:val="1"/>
          <w:wAfter w:w="12" w:type="dxa"/>
          <w:trHeight w:val="374"/>
        </w:trPr>
        <w:tc>
          <w:tcPr>
            <w:tcW w:w="1470" w:type="dxa"/>
            <w:vMerge w:val="restart"/>
            <w:shd w:val="clear" w:color="auto" w:fill="000000" w:themeFill="text1"/>
          </w:tcPr>
          <w:p w14:paraId="4CFD039C" w14:textId="7EA86B07" w:rsidR="002D3389" w:rsidRPr="00257F44" w:rsidRDefault="002D3389" w:rsidP="00FD2A72">
            <w:pPr>
              <w:pStyle w:val="Rowcolumntitles"/>
              <w:rPr>
                <w:color w:val="FFFFFF" w:themeColor="background1"/>
                <w:sz w:val="20"/>
                <w:lang w:val="uk-UA"/>
              </w:rPr>
            </w:pPr>
            <w:r w:rsidRPr="00257F44">
              <w:rPr>
                <w:color w:val="FFFFFF" w:themeColor="background1"/>
                <w:sz w:val="20"/>
                <w:lang w:val="uk-UA"/>
              </w:rPr>
              <w:t xml:space="preserve">14. </w:t>
            </w:r>
            <w:r w:rsidR="00F37D41" w:rsidRPr="00257F44">
              <w:rPr>
                <w:color w:val="FFFFFF" w:themeColor="background1"/>
                <w:sz w:val="20"/>
                <w:lang w:val="uk-UA"/>
              </w:rPr>
              <w:t>Проект закону про впорядкування плати за надання адміністр</w:t>
            </w:r>
            <w:r w:rsidR="000417D7" w:rsidRPr="00257F44">
              <w:rPr>
                <w:color w:val="FFFFFF" w:themeColor="background1"/>
                <w:sz w:val="20"/>
                <w:lang w:val="uk-UA"/>
              </w:rPr>
              <w:t>-</w:t>
            </w:r>
            <w:r w:rsidR="00F37D41" w:rsidRPr="00257F44">
              <w:rPr>
                <w:color w:val="FFFFFF" w:themeColor="background1"/>
                <w:sz w:val="20"/>
                <w:lang w:val="uk-UA"/>
              </w:rPr>
              <w:t>ативних послуг</w:t>
            </w:r>
          </w:p>
        </w:tc>
        <w:tc>
          <w:tcPr>
            <w:tcW w:w="402" w:type="dxa"/>
            <w:vMerge w:val="restart"/>
            <w:shd w:val="clear" w:color="auto" w:fill="D6E3BC" w:themeFill="accent3" w:themeFillTint="66"/>
          </w:tcPr>
          <w:p w14:paraId="2180636C" w14:textId="77777777" w:rsidR="002D3389" w:rsidRPr="00257F44" w:rsidRDefault="002D3389" w:rsidP="00FD2A72">
            <w:pPr>
              <w:pStyle w:val="Rowcolumntitles"/>
              <w:rPr>
                <w:sz w:val="20"/>
                <w:lang w:val="uk-UA"/>
              </w:rPr>
            </w:pPr>
          </w:p>
        </w:tc>
        <w:tc>
          <w:tcPr>
            <w:tcW w:w="388" w:type="dxa"/>
            <w:vMerge w:val="restart"/>
            <w:shd w:val="clear" w:color="auto" w:fill="D6E3BC" w:themeFill="accent3" w:themeFillTint="66"/>
          </w:tcPr>
          <w:p w14:paraId="5572ECD1" w14:textId="77777777" w:rsidR="002D3389" w:rsidRPr="00257F44" w:rsidRDefault="002D3389" w:rsidP="00FD2A72">
            <w:pPr>
              <w:pStyle w:val="Rowcolumntitles"/>
              <w:rPr>
                <w:rFonts w:eastAsia="Times New Roman"/>
                <w:sz w:val="20"/>
                <w:lang w:val="uk-UA"/>
              </w:rPr>
            </w:pPr>
          </w:p>
        </w:tc>
        <w:tc>
          <w:tcPr>
            <w:tcW w:w="425" w:type="dxa"/>
            <w:vMerge w:val="restart"/>
            <w:shd w:val="clear" w:color="auto" w:fill="D6E3BC" w:themeFill="accent3" w:themeFillTint="66"/>
          </w:tcPr>
          <w:p w14:paraId="34F3EBD0" w14:textId="77777777" w:rsidR="002D3389" w:rsidRPr="00257F44" w:rsidRDefault="002D3389" w:rsidP="00FD2A72">
            <w:pPr>
              <w:pStyle w:val="Rowcolumntitles"/>
              <w:rPr>
                <w:sz w:val="20"/>
                <w:lang w:val="uk-UA"/>
              </w:rPr>
            </w:pPr>
          </w:p>
        </w:tc>
        <w:tc>
          <w:tcPr>
            <w:tcW w:w="395" w:type="dxa"/>
            <w:vMerge w:val="restart"/>
            <w:shd w:val="clear" w:color="auto" w:fill="D6E3BC" w:themeFill="accent3" w:themeFillTint="66"/>
          </w:tcPr>
          <w:p w14:paraId="0CAA54E5" w14:textId="77E33CE3"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2334" w:type="dxa"/>
            <w:gridSpan w:val="6"/>
            <w:vMerge w:val="restart"/>
            <w:shd w:val="clear" w:color="auto" w:fill="FBD4B4" w:themeFill="accent6" w:themeFillTint="66"/>
          </w:tcPr>
          <w:p w14:paraId="6FB54681" w14:textId="171D957F" w:rsidR="002D3389" w:rsidRPr="00257F44" w:rsidRDefault="000417D7" w:rsidP="00FD2A72">
            <w:pPr>
              <w:pStyle w:val="Rowcolumntitles"/>
              <w:jc w:val="center"/>
              <w:rPr>
                <w:rFonts w:eastAsia="Times New Roman"/>
                <w:sz w:val="20"/>
                <w:lang w:val="uk-UA"/>
              </w:rPr>
            </w:pPr>
            <w:r w:rsidRPr="00257F44">
              <w:rPr>
                <w:noProof/>
                <w:sz w:val="20"/>
                <w:lang w:val="uk-UA"/>
              </w:rPr>
              <w:t>Не зрозуміло</w:t>
            </w:r>
          </w:p>
        </w:tc>
        <w:tc>
          <w:tcPr>
            <w:tcW w:w="341" w:type="dxa"/>
            <w:gridSpan w:val="3"/>
            <w:vMerge w:val="restart"/>
            <w:shd w:val="clear" w:color="auto" w:fill="CCC0D9" w:themeFill="accent4" w:themeFillTint="66"/>
          </w:tcPr>
          <w:p w14:paraId="185EC6BD" w14:textId="77777777" w:rsidR="002D3389" w:rsidRPr="00257F44" w:rsidRDefault="002D3389" w:rsidP="00FD2A72">
            <w:pPr>
              <w:pStyle w:val="Rowcolumntitles"/>
              <w:rPr>
                <w:sz w:val="20"/>
                <w:lang w:val="uk-UA"/>
              </w:rPr>
            </w:pPr>
          </w:p>
        </w:tc>
        <w:tc>
          <w:tcPr>
            <w:tcW w:w="341" w:type="dxa"/>
            <w:gridSpan w:val="2"/>
            <w:vMerge w:val="restart"/>
            <w:shd w:val="clear" w:color="auto" w:fill="CCC0D9" w:themeFill="accent4" w:themeFillTint="66"/>
          </w:tcPr>
          <w:p w14:paraId="06FB0E84" w14:textId="5E78776B"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41" w:type="dxa"/>
            <w:gridSpan w:val="2"/>
            <w:vMerge w:val="restart"/>
            <w:shd w:val="clear" w:color="auto" w:fill="CCC0D9" w:themeFill="accent4" w:themeFillTint="66"/>
          </w:tcPr>
          <w:p w14:paraId="686886DD" w14:textId="77777777" w:rsidR="002D3389" w:rsidRPr="00257F44" w:rsidRDefault="002D3389" w:rsidP="00FD2A72">
            <w:pPr>
              <w:pStyle w:val="Rowcolumntitles"/>
              <w:rPr>
                <w:sz w:val="20"/>
                <w:lang w:val="uk-UA"/>
              </w:rPr>
            </w:pPr>
          </w:p>
        </w:tc>
        <w:tc>
          <w:tcPr>
            <w:tcW w:w="343" w:type="dxa"/>
            <w:gridSpan w:val="3"/>
            <w:vMerge w:val="restart"/>
            <w:shd w:val="clear" w:color="auto" w:fill="CCC0D9" w:themeFill="accent4" w:themeFillTint="66"/>
          </w:tcPr>
          <w:p w14:paraId="0D0AACDF"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68222F91" w14:textId="67E263FA"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0287B7B4" w14:textId="13E8DFE7"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87" w:type="dxa"/>
            <w:gridSpan w:val="4"/>
            <w:shd w:val="clear" w:color="auto" w:fill="B8CCE4" w:themeFill="accent1" w:themeFillTint="66"/>
          </w:tcPr>
          <w:p w14:paraId="2B9F28B1" w14:textId="77777777" w:rsidR="002D3389" w:rsidRPr="00257F44" w:rsidRDefault="002D3389" w:rsidP="00FD2A72">
            <w:pPr>
              <w:pStyle w:val="Rowcolumntitles"/>
              <w:rPr>
                <w:rFonts w:eastAsia="Times New Roman"/>
                <w:sz w:val="20"/>
                <w:lang w:val="uk-UA"/>
              </w:rPr>
            </w:pPr>
          </w:p>
        </w:tc>
        <w:tc>
          <w:tcPr>
            <w:tcW w:w="493" w:type="dxa"/>
            <w:gridSpan w:val="3"/>
            <w:shd w:val="clear" w:color="auto" w:fill="B8CCE4" w:themeFill="accent1" w:themeFillTint="66"/>
          </w:tcPr>
          <w:p w14:paraId="376B65E7" w14:textId="7B257C65" w:rsidR="002D3389" w:rsidRPr="00257F44" w:rsidRDefault="002D3389" w:rsidP="00FD2A72">
            <w:pPr>
              <w:pStyle w:val="Rowcolumntitles"/>
              <w:rPr>
                <w:rFonts w:eastAsia="Times New Roman"/>
                <w:sz w:val="20"/>
                <w:lang w:val="uk-UA"/>
              </w:rPr>
            </w:pPr>
          </w:p>
        </w:tc>
        <w:tc>
          <w:tcPr>
            <w:tcW w:w="367" w:type="dxa"/>
            <w:gridSpan w:val="3"/>
            <w:vMerge w:val="restart"/>
            <w:shd w:val="clear" w:color="auto" w:fill="D99594" w:themeFill="accent2" w:themeFillTint="99"/>
          </w:tcPr>
          <w:p w14:paraId="2E313040"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3014DF38" w14:textId="5AF2FDDA"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18" w:type="dxa"/>
            <w:gridSpan w:val="2"/>
            <w:vMerge w:val="restart"/>
            <w:shd w:val="clear" w:color="auto" w:fill="D99594" w:themeFill="accent2" w:themeFillTint="99"/>
          </w:tcPr>
          <w:p w14:paraId="2BC42443"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1EAFEBAB" w14:textId="77777777" w:rsidR="002D3389" w:rsidRPr="00257F44" w:rsidRDefault="002D3389"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5DF0C3FB" w14:textId="77777777" w:rsidR="002D3389" w:rsidRPr="00257F44" w:rsidRDefault="002D3389" w:rsidP="00FD2A72">
            <w:pPr>
              <w:pStyle w:val="Rowcolumntitles"/>
              <w:rPr>
                <w:rFonts w:eastAsia="Times New Roman"/>
                <w:sz w:val="20"/>
                <w:lang w:val="uk-UA"/>
              </w:rPr>
            </w:pPr>
          </w:p>
        </w:tc>
      </w:tr>
      <w:tr w:rsidR="00B017F8" w:rsidRPr="00257F44" w14:paraId="04E82BC0" w14:textId="77777777" w:rsidTr="00DB3322">
        <w:trPr>
          <w:gridAfter w:val="1"/>
          <w:wAfter w:w="12" w:type="dxa"/>
          <w:trHeight w:val="373"/>
        </w:trPr>
        <w:tc>
          <w:tcPr>
            <w:tcW w:w="1470" w:type="dxa"/>
            <w:vMerge/>
            <w:shd w:val="clear" w:color="auto" w:fill="000000" w:themeFill="text1"/>
          </w:tcPr>
          <w:p w14:paraId="51995309" w14:textId="77777777" w:rsidR="002D3389" w:rsidRPr="00257F44" w:rsidRDefault="002D3389" w:rsidP="00FD2A72">
            <w:pPr>
              <w:pStyle w:val="Rowcolumntitles"/>
              <w:rPr>
                <w:color w:val="FFFFFF" w:themeColor="background1"/>
                <w:sz w:val="20"/>
                <w:lang w:val="uk-UA"/>
              </w:rPr>
            </w:pPr>
          </w:p>
        </w:tc>
        <w:tc>
          <w:tcPr>
            <w:tcW w:w="402" w:type="dxa"/>
            <w:vMerge/>
            <w:shd w:val="clear" w:color="auto" w:fill="D6E3BC" w:themeFill="accent3" w:themeFillTint="66"/>
          </w:tcPr>
          <w:p w14:paraId="02134F2C" w14:textId="77777777" w:rsidR="002D3389" w:rsidRPr="00257F44" w:rsidRDefault="002D3389" w:rsidP="00FD2A72">
            <w:pPr>
              <w:pStyle w:val="Rowcolumntitles"/>
              <w:rPr>
                <w:sz w:val="20"/>
                <w:lang w:val="uk-UA"/>
              </w:rPr>
            </w:pPr>
          </w:p>
        </w:tc>
        <w:tc>
          <w:tcPr>
            <w:tcW w:w="388" w:type="dxa"/>
            <w:vMerge/>
            <w:shd w:val="clear" w:color="auto" w:fill="D6E3BC" w:themeFill="accent3" w:themeFillTint="66"/>
          </w:tcPr>
          <w:p w14:paraId="39D108BA" w14:textId="77777777" w:rsidR="002D3389" w:rsidRPr="00257F44" w:rsidRDefault="002D3389" w:rsidP="00FD2A72">
            <w:pPr>
              <w:pStyle w:val="Rowcolumntitles"/>
              <w:rPr>
                <w:rFonts w:eastAsia="Times New Roman"/>
                <w:sz w:val="20"/>
                <w:lang w:val="uk-UA"/>
              </w:rPr>
            </w:pPr>
          </w:p>
        </w:tc>
        <w:tc>
          <w:tcPr>
            <w:tcW w:w="425" w:type="dxa"/>
            <w:vMerge/>
            <w:shd w:val="clear" w:color="auto" w:fill="D6E3BC" w:themeFill="accent3" w:themeFillTint="66"/>
          </w:tcPr>
          <w:p w14:paraId="234894D3" w14:textId="77777777" w:rsidR="002D3389" w:rsidRPr="00257F44" w:rsidRDefault="002D3389" w:rsidP="00FD2A72">
            <w:pPr>
              <w:pStyle w:val="Rowcolumntitles"/>
              <w:rPr>
                <w:sz w:val="20"/>
                <w:lang w:val="uk-UA"/>
              </w:rPr>
            </w:pPr>
          </w:p>
        </w:tc>
        <w:tc>
          <w:tcPr>
            <w:tcW w:w="395" w:type="dxa"/>
            <w:vMerge/>
            <w:shd w:val="clear" w:color="auto" w:fill="D6E3BC" w:themeFill="accent3" w:themeFillTint="66"/>
          </w:tcPr>
          <w:p w14:paraId="3282378C" w14:textId="77777777" w:rsidR="002D3389" w:rsidRPr="00257F44" w:rsidRDefault="002D3389" w:rsidP="00FD2A72">
            <w:pPr>
              <w:pStyle w:val="Rowcolumntitles"/>
              <w:rPr>
                <w:rFonts w:eastAsia="Times New Roman"/>
                <w:sz w:val="20"/>
                <w:lang w:val="uk-UA"/>
              </w:rPr>
            </w:pPr>
          </w:p>
        </w:tc>
        <w:tc>
          <w:tcPr>
            <w:tcW w:w="2334" w:type="dxa"/>
            <w:gridSpan w:val="6"/>
            <w:vMerge/>
            <w:shd w:val="clear" w:color="auto" w:fill="FBD4B4" w:themeFill="accent6" w:themeFillTint="66"/>
          </w:tcPr>
          <w:p w14:paraId="35A13DE7" w14:textId="77777777" w:rsidR="002D3389" w:rsidRPr="00257F44" w:rsidRDefault="002D3389" w:rsidP="00FD2A72">
            <w:pPr>
              <w:pStyle w:val="Rowcolumntitles"/>
              <w:rPr>
                <w:rFonts w:eastAsia="Times New Roman"/>
                <w:sz w:val="20"/>
                <w:lang w:val="uk-UA"/>
              </w:rPr>
            </w:pPr>
          </w:p>
        </w:tc>
        <w:tc>
          <w:tcPr>
            <w:tcW w:w="341" w:type="dxa"/>
            <w:gridSpan w:val="3"/>
            <w:vMerge/>
            <w:shd w:val="clear" w:color="auto" w:fill="CCC0D9" w:themeFill="accent4" w:themeFillTint="66"/>
          </w:tcPr>
          <w:p w14:paraId="05D0A63B" w14:textId="77777777" w:rsidR="002D3389" w:rsidRPr="00257F44" w:rsidRDefault="002D3389" w:rsidP="00FD2A72">
            <w:pPr>
              <w:pStyle w:val="Rowcolumntitles"/>
              <w:rPr>
                <w:sz w:val="20"/>
                <w:lang w:val="uk-UA"/>
              </w:rPr>
            </w:pPr>
          </w:p>
        </w:tc>
        <w:tc>
          <w:tcPr>
            <w:tcW w:w="341" w:type="dxa"/>
            <w:gridSpan w:val="2"/>
            <w:vMerge/>
            <w:shd w:val="clear" w:color="auto" w:fill="CCC0D9" w:themeFill="accent4" w:themeFillTint="66"/>
          </w:tcPr>
          <w:p w14:paraId="3085DAB5" w14:textId="77777777" w:rsidR="002D3389" w:rsidRPr="00257F44" w:rsidRDefault="002D3389" w:rsidP="00FD2A72">
            <w:pPr>
              <w:pStyle w:val="Rowcolumntitles"/>
              <w:rPr>
                <w:rFonts w:eastAsia="Times New Roman"/>
                <w:sz w:val="20"/>
                <w:lang w:val="uk-UA"/>
              </w:rPr>
            </w:pPr>
          </w:p>
        </w:tc>
        <w:tc>
          <w:tcPr>
            <w:tcW w:w="341" w:type="dxa"/>
            <w:gridSpan w:val="2"/>
            <w:vMerge/>
            <w:shd w:val="clear" w:color="auto" w:fill="CCC0D9" w:themeFill="accent4" w:themeFillTint="66"/>
          </w:tcPr>
          <w:p w14:paraId="1A243137" w14:textId="77777777" w:rsidR="002D3389" w:rsidRPr="00257F44" w:rsidRDefault="002D3389" w:rsidP="00FD2A72">
            <w:pPr>
              <w:pStyle w:val="Rowcolumntitles"/>
              <w:rPr>
                <w:sz w:val="20"/>
                <w:lang w:val="uk-UA"/>
              </w:rPr>
            </w:pPr>
          </w:p>
        </w:tc>
        <w:tc>
          <w:tcPr>
            <w:tcW w:w="343" w:type="dxa"/>
            <w:gridSpan w:val="3"/>
            <w:vMerge/>
            <w:shd w:val="clear" w:color="auto" w:fill="CCC0D9" w:themeFill="accent4" w:themeFillTint="66"/>
          </w:tcPr>
          <w:p w14:paraId="7980CE30"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0E20C671" w14:textId="00C4C1E7"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1A699C12" w14:textId="53F1DD54"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87" w:type="dxa"/>
            <w:gridSpan w:val="4"/>
            <w:shd w:val="clear" w:color="auto" w:fill="B8CCE4" w:themeFill="accent1" w:themeFillTint="66"/>
          </w:tcPr>
          <w:p w14:paraId="60951FCD" w14:textId="77777777" w:rsidR="002D3389" w:rsidRPr="00257F44" w:rsidRDefault="002D3389" w:rsidP="00FD2A72">
            <w:pPr>
              <w:pStyle w:val="Rowcolumntitles"/>
              <w:rPr>
                <w:rFonts w:eastAsia="Times New Roman"/>
                <w:sz w:val="20"/>
                <w:lang w:val="uk-UA"/>
              </w:rPr>
            </w:pPr>
          </w:p>
        </w:tc>
        <w:tc>
          <w:tcPr>
            <w:tcW w:w="493" w:type="dxa"/>
            <w:gridSpan w:val="3"/>
            <w:shd w:val="clear" w:color="auto" w:fill="B8CCE4" w:themeFill="accent1" w:themeFillTint="66"/>
          </w:tcPr>
          <w:p w14:paraId="5D730504" w14:textId="02E108F1" w:rsidR="002D3389" w:rsidRPr="00257F44" w:rsidRDefault="002D3389" w:rsidP="00FD2A72">
            <w:pPr>
              <w:pStyle w:val="Rowcolumntitles"/>
              <w:rPr>
                <w:rFonts w:eastAsia="Times New Roman"/>
                <w:sz w:val="20"/>
                <w:lang w:val="uk-UA"/>
              </w:rPr>
            </w:pPr>
          </w:p>
        </w:tc>
        <w:tc>
          <w:tcPr>
            <w:tcW w:w="367" w:type="dxa"/>
            <w:gridSpan w:val="3"/>
            <w:vMerge/>
            <w:shd w:val="clear" w:color="auto" w:fill="D99594" w:themeFill="accent2" w:themeFillTint="99"/>
          </w:tcPr>
          <w:p w14:paraId="209454C7"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75852677"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10218AB6"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71D315BF" w14:textId="77777777" w:rsidR="002D3389" w:rsidRPr="00257F44" w:rsidRDefault="002D3389" w:rsidP="00FD2A72">
            <w:pPr>
              <w:pStyle w:val="Rowcolumntitles"/>
              <w:rPr>
                <w:rFonts w:eastAsia="Times New Roman"/>
                <w:sz w:val="20"/>
                <w:lang w:val="uk-UA"/>
              </w:rPr>
            </w:pPr>
          </w:p>
        </w:tc>
        <w:tc>
          <w:tcPr>
            <w:tcW w:w="388" w:type="dxa"/>
            <w:gridSpan w:val="2"/>
            <w:vMerge/>
            <w:shd w:val="clear" w:color="auto" w:fill="D99594" w:themeFill="accent2" w:themeFillTint="99"/>
          </w:tcPr>
          <w:p w14:paraId="49F631FA" w14:textId="77777777" w:rsidR="002D3389" w:rsidRPr="00257F44" w:rsidRDefault="002D3389" w:rsidP="00FD2A72">
            <w:pPr>
              <w:pStyle w:val="Rowcolumntitles"/>
              <w:rPr>
                <w:rFonts w:eastAsia="Times New Roman"/>
                <w:sz w:val="20"/>
                <w:lang w:val="uk-UA"/>
              </w:rPr>
            </w:pPr>
          </w:p>
        </w:tc>
      </w:tr>
      <w:tr w:rsidR="00B017F8" w:rsidRPr="00257F44" w14:paraId="29432F9D" w14:textId="77777777" w:rsidTr="00DB3322">
        <w:trPr>
          <w:gridAfter w:val="1"/>
          <w:wAfter w:w="12" w:type="dxa"/>
          <w:trHeight w:val="300"/>
        </w:trPr>
        <w:tc>
          <w:tcPr>
            <w:tcW w:w="1470" w:type="dxa"/>
            <w:vMerge w:val="restart"/>
            <w:shd w:val="clear" w:color="auto" w:fill="000000" w:themeFill="text1"/>
          </w:tcPr>
          <w:p w14:paraId="01B889B6" w14:textId="138F8D46" w:rsidR="002D3389" w:rsidRPr="00257F44" w:rsidRDefault="002D3389" w:rsidP="00FD2A72">
            <w:pPr>
              <w:pStyle w:val="Rowcolumntitles"/>
              <w:rPr>
                <w:color w:val="FFFFFF" w:themeColor="background1"/>
                <w:sz w:val="20"/>
                <w:lang w:val="uk-UA"/>
              </w:rPr>
            </w:pPr>
            <w:r w:rsidRPr="00257F44">
              <w:rPr>
                <w:color w:val="FFFFFF" w:themeColor="background1"/>
                <w:sz w:val="20"/>
                <w:lang w:val="uk-UA"/>
              </w:rPr>
              <w:t xml:space="preserve">16. </w:t>
            </w:r>
            <w:r w:rsidR="00F37D41" w:rsidRPr="00257F44">
              <w:rPr>
                <w:color w:val="FFFFFF" w:themeColor="background1"/>
                <w:sz w:val="20"/>
                <w:lang w:val="uk-UA"/>
              </w:rPr>
              <w:t>Проект закону про децентралі</w:t>
            </w:r>
            <w:r w:rsidR="00881CF9" w:rsidRPr="00257F44">
              <w:rPr>
                <w:color w:val="FFFFFF" w:themeColor="background1"/>
                <w:sz w:val="20"/>
                <w:lang w:val="uk-UA"/>
              </w:rPr>
              <w:t>-</w:t>
            </w:r>
            <w:r w:rsidR="00F37D41" w:rsidRPr="00257F44">
              <w:rPr>
                <w:color w:val="FFFFFF" w:themeColor="background1"/>
                <w:sz w:val="20"/>
                <w:lang w:val="uk-UA"/>
              </w:rPr>
              <w:t>зацію надання адміністра</w:t>
            </w:r>
            <w:r w:rsidR="000417D7" w:rsidRPr="00257F44">
              <w:rPr>
                <w:color w:val="FFFFFF" w:themeColor="background1"/>
                <w:sz w:val="20"/>
                <w:lang w:val="uk-UA"/>
              </w:rPr>
              <w:t>-</w:t>
            </w:r>
            <w:r w:rsidR="00F37D41" w:rsidRPr="00257F44">
              <w:rPr>
                <w:color w:val="FFFFFF" w:themeColor="background1"/>
                <w:sz w:val="20"/>
                <w:lang w:val="uk-UA"/>
              </w:rPr>
              <w:t>тивних послуг</w:t>
            </w:r>
          </w:p>
        </w:tc>
        <w:tc>
          <w:tcPr>
            <w:tcW w:w="402" w:type="dxa"/>
            <w:vMerge w:val="restart"/>
            <w:shd w:val="clear" w:color="auto" w:fill="D6E3BC" w:themeFill="accent3" w:themeFillTint="66"/>
          </w:tcPr>
          <w:p w14:paraId="1F87B2FB" w14:textId="77777777" w:rsidR="002D3389" w:rsidRPr="00257F44" w:rsidRDefault="002D3389" w:rsidP="00FD2A72">
            <w:pPr>
              <w:pStyle w:val="Rowcolumntitles"/>
              <w:rPr>
                <w:sz w:val="20"/>
                <w:lang w:val="uk-UA"/>
              </w:rPr>
            </w:pPr>
          </w:p>
        </w:tc>
        <w:tc>
          <w:tcPr>
            <w:tcW w:w="388" w:type="dxa"/>
            <w:vMerge w:val="restart"/>
            <w:shd w:val="clear" w:color="auto" w:fill="D6E3BC" w:themeFill="accent3" w:themeFillTint="66"/>
          </w:tcPr>
          <w:p w14:paraId="33EA12F1" w14:textId="77777777" w:rsidR="002D3389" w:rsidRPr="00257F44" w:rsidRDefault="002D3389" w:rsidP="00FD2A72">
            <w:pPr>
              <w:pStyle w:val="Rowcolumntitles"/>
              <w:rPr>
                <w:rFonts w:eastAsia="Times New Roman"/>
                <w:sz w:val="20"/>
                <w:lang w:val="uk-UA"/>
              </w:rPr>
            </w:pPr>
          </w:p>
        </w:tc>
        <w:tc>
          <w:tcPr>
            <w:tcW w:w="425" w:type="dxa"/>
            <w:vMerge w:val="restart"/>
            <w:shd w:val="clear" w:color="auto" w:fill="D6E3BC" w:themeFill="accent3" w:themeFillTint="66"/>
          </w:tcPr>
          <w:p w14:paraId="35E5642B" w14:textId="77777777" w:rsidR="002D3389" w:rsidRPr="00257F44" w:rsidRDefault="002D3389" w:rsidP="00FD2A72">
            <w:pPr>
              <w:pStyle w:val="Rowcolumntitles"/>
              <w:rPr>
                <w:sz w:val="20"/>
                <w:lang w:val="uk-UA"/>
              </w:rPr>
            </w:pPr>
          </w:p>
        </w:tc>
        <w:tc>
          <w:tcPr>
            <w:tcW w:w="395" w:type="dxa"/>
            <w:vMerge w:val="restart"/>
            <w:shd w:val="clear" w:color="auto" w:fill="D6E3BC" w:themeFill="accent3" w:themeFillTint="66"/>
          </w:tcPr>
          <w:p w14:paraId="3C409D70" w14:textId="63A3BDB5"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2334" w:type="dxa"/>
            <w:gridSpan w:val="6"/>
            <w:vMerge w:val="restart"/>
            <w:shd w:val="clear" w:color="auto" w:fill="FBD4B4" w:themeFill="accent6" w:themeFillTint="66"/>
          </w:tcPr>
          <w:p w14:paraId="4FB80EA5" w14:textId="0A5677B4" w:rsidR="002D3389" w:rsidRPr="00257F44" w:rsidRDefault="000417D7" w:rsidP="00FD2A72">
            <w:pPr>
              <w:pStyle w:val="Rowcolumntitles"/>
              <w:jc w:val="center"/>
              <w:rPr>
                <w:rFonts w:eastAsia="Times New Roman"/>
                <w:sz w:val="20"/>
                <w:lang w:val="uk-UA"/>
              </w:rPr>
            </w:pPr>
            <w:r w:rsidRPr="00257F44">
              <w:rPr>
                <w:noProof/>
                <w:sz w:val="20"/>
                <w:lang w:val="uk-UA"/>
              </w:rPr>
              <w:t>Не зрозуміло</w:t>
            </w:r>
          </w:p>
        </w:tc>
        <w:tc>
          <w:tcPr>
            <w:tcW w:w="341" w:type="dxa"/>
            <w:gridSpan w:val="3"/>
            <w:vMerge w:val="restart"/>
            <w:shd w:val="clear" w:color="auto" w:fill="CCC0D9" w:themeFill="accent4" w:themeFillTint="66"/>
          </w:tcPr>
          <w:p w14:paraId="6316A07D" w14:textId="77777777" w:rsidR="002D3389" w:rsidRPr="00257F44" w:rsidRDefault="002D3389" w:rsidP="00FD2A72">
            <w:pPr>
              <w:pStyle w:val="Rowcolumntitles"/>
              <w:rPr>
                <w:sz w:val="20"/>
                <w:lang w:val="uk-UA"/>
              </w:rPr>
            </w:pPr>
          </w:p>
        </w:tc>
        <w:tc>
          <w:tcPr>
            <w:tcW w:w="341" w:type="dxa"/>
            <w:gridSpan w:val="2"/>
            <w:vMerge w:val="restart"/>
            <w:shd w:val="clear" w:color="auto" w:fill="CCC0D9" w:themeFill="accent4" w:themeFillTint="66"/>
          </w:tcPr>
          <w:p w14:paraId="7617BF5D" w14:textId="77777777" w:rsidR="002D3389" w:rsidRPr="00257F44" w:rsidRDefault="002D3389" w:rsidP="00FD2A72">
            <w:pPr>
              <w:pStyle w:val="Rowcolumntitles"/>
              <w:rPr>
                <w:rFonts w:eastAsia="Times New Roman"/>
                <w:sz w:val="20"/>
                <w:lang w:val="uk-UA"/>
              </w:rPr>
            </w:pPr>
          </w:p>
        </w:tc>
        <w:tc>
          <w:tcPr>
            <w:tcW w:w="341" w:type="dxa"/>
            <w:gridSpan w:val="2"/>
            <w:vMerge w:val="restart"/>
            <w:shd w:val="clear" w:color="auto" w:fill="CCC0D9" w:themeFill="accent4" w:themeFillTint="66"/>
          </w:tcPr>
          <w:p w14:paraId="08153877" w14:textId="77777777" w:rsidR="002D3389" w:rsidRPr="00257F44" w:rsidRDefault="002D3389" w:rsidP="00FD2A72">
            <w:pPr>
              <w:pStyle w:val="Rowcolumntitles"/>
              <w:rPr>
                <w:sz w:val="20"/>
                <w:lang w:val="uk-UA"/>
              </w:rPr>
            </w:pPr>
          </w:p>
        </w:tc>
        <w:tc>
          <w:tcPr>
            <w:tcW w:w="343" w:type="dxa"/>
            <w:gridSpan w:val="3"/>
            <w:vMerge w:val="restart"/>
            <w:shd w:val="clear" w:color="auto" w:fill="CCC0D9" w:themeFill="accent4" w:themeFillTint="66"/>
          </w:tcPr>
          <w:p w14:paraId="3123F371" w14:textId="4E8A3F5A"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85" w:type="dxa"/>
            <w:gridSpan w:val="3"/>
            <w:shd w:val="clear" w:color="auto" w:fill="B8CCE4" w:themeFill="accent1" w:themeFillTint="66"/>
          </w:tcPr>
          <w:p w14:paraId="384685EC" w14:textId="041EC4E4"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048C734C" w14:textId="77777777" w:rsidR="002D3389" w:rsidRPr="00257F44" w:rsidRDefault="002D3389" w:rsidP="00FD2A72">
            <w:pPr>
              <w:pStyle w:val="Rowcolumntitles"/>
              <w:rPr>
                <w:rFonts w:eastAsia="Times New Roman"/>
                <w:sz w:val="20"/>
                <w:lang w:val="uk-UA"/>
              </w:rPr>
            </w:pPr>
          </w:p>
        </w:tc>
        <w:tc>
          <w:tcPr>
            <w:tcW w:w="487" w:type="dxa"/>
            <w:gridSpan w:val="4"/>
            <w:shd w:val="clear" w:color="auto" w:fill="B8CCE4" w:themeFill="accent1" w:themeFillTint="66"/>
          </w:tcPr>
          <w:p w14:paraId="1B2FE5CE" w14:textId="178FD659"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93" w:type="dxa"/>
            <w:gridSpan w:val="3"/>
            <w:shd w:val="clear" w:color="auto" w:fill="B8CCE4" w:themeFill="accent1" w:themeFillTint="66"/>
          </w:tcPr>
          <w:p w14:paraId="1039E7B8" w14:textId="7F353BDD" w:rsidR="002D3389" w:rsidRPr="00257F44" w:rsidRDefault="002D3389" w:rsidP="00FD2A72">
            <w:pPr>
              <w:pStyle w:val="Rowcolumntitles"/>
              <w:rPr>
                <w:rFonts w:eastAsia="Times New Roman"/>
                <w:sz w:val="20"/>
                <w:lang w:val="uk-UA"/>
              </w:rPr>
            </w:pPr>
          </w:p>
        </w:tc>
        <w:tc>
          <w:tcPr>
            <w:tcW w:w="367" w:type="dxa"/>
            <w:gridSpan w:val="3"/>
            <w:vMerge w:val="restart"/>
            <w:shd w:val="clear" w:color="auto" w:fill="D99594" w:themeFill="accent2" w:themeFillTint="99"/>
          </w:tcPr>
          <w:p w14:paraId="187B3F2F"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4B33B089" w14:textId="37017813"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18" w:type="dxa"/>
            <w:gridSpan w:val="2"/>
            <w:vMerge w:val="restart"/>
            <w:shd w:val="clear" w:color="auto" w:fill="D99594" w:themeFill="accent2" w:themeFillTint="99"/>
          </w:tcPr>
          <w:p w14:paraId="19085608"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6FD937B6" w14:textId="77777777" w:rsidR="002D3389" w:rsidRPr="00257F44" w:rsidRDefault="002D3389"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7B3B33E7" w14:textId="77777777" w:rsidR="002D3389" w:rsidRPr="00257F44" w:rsidRDefault="002D3389" w:rsidP="00FD2A72">
            <w:pPr>
              <w:pStyle w:val="Rowcolumntitles"/>
              <w:rPr>
                <w:rFonts w:eastAsia="Times New Roman"/>
                <w:sz w:val="20"/>
                <w:lang w:val="uk-UA"/>
              </w:rPr>
            </w:pPr>
          </w:p>
        </w:tc>
      </w:tr>
      <w:tr w:rsidR="00B017F8" w:rsidRPr="00257F44" w14:paraId="599A3C48" w14:textId="77777777" w:rsidTr="00DB3322">
        <w:trPr>
          <w:gridAfter w:val="1"/>
          <w:wAfter w:w="12" w:type="dxa"/>
          <w:trHeight w:val="300"/>
        </w:trPr>
        <w:tc>
          <w:tcPr>
            <w:tcW w:w="1470" w:type="dxa"/>
            <w:vMerge/>
            <w:shd w:val="clear" w:color="auto" w:fill="000000" w:themeFill="text1"/>
          </w:tcPr>
          <w:p w14:paraId="3AB045E0" w14:textId="77777777" w:rsidR="002D3389" w:rsidRPr="00257F44" w:rsidRDefault="002D3389" w:rsidP="00FD2A72">
            <w:pPr>
              <w:pStyle w:val="Rowcolumntitles"/>
              <w:rPr>
                <w:color w:val="FFFFFF" w:themeColor="background1"/>
                <w:sz w:val="20"/>
                <w:lang w:val="uk-UA"/>
              </w:rPr>
            </w:pPr>
          </w:p>
        </w:tc>
        <w:tc>
          <w:tcPr>
            <w:tcW w:w="402" w:type="dxa"/>
            <w:vMerge/>
            <w:shd w:val="clear" w:color="auto" w:fill="D6E3BC" w:themeFill="accent3" w:themeFillTint="66"/>
          </w:tcPr>
          <w:p w14:paraId="17757792" w14:textId="77777777" w:rsidR="002D3389" w:rsidRPr="00257F44" w:rsidRDefault="002D3389" w:rsidP="00FD2A72">
            <w:pPr>
              <w:pStyle w:val="Rowcolumntitles"/>
              <w:rPr>
                <w:sz w:val="20"/>
                <w:lang w:val="uk-UA"/>
              </w:rPr>
            </w:pPr>
          </w:p>
        </w:tc>
        <w:tc>
          <w:tcPr>
            <w:tcW w:w="388" w:type="dxa"/>
            <w:vMerge/>
            <w:shd w:val="clear" w:color="auto" w:fill="D6E3BC" w:themeFill="accent3" w:themeFillTint="66"/>
          </w:tcPr>
          <w:p w14:paraId="1078E3AC" w14:textId="77777777" w:rsidR="002D3389" w:rsidRPr="00257F44" w:rsidRDefault="002D3389" w:rsidP="00FD2A72">
            <w:pPr>
              <w:pStyle w:val="Rowcolumntitles"/>
              <w:rPr>
                <w:rFonts w:eastAsia="Times New Roman"/>
                <w:sz w:val="20"/>
                <w:lang w:val="uk-UA"/>
              </w:rPr>
            </w:pPr>
          </w:p>
        </w:tc>
        <w:tc>
          <w:tcPr>
            <w:tcW w:w="425" w:type="dxa"/>
            <w:vMerge/>
            <w:shd w:val="clear" w:color="auto" w:fill="D6E3BC" w:themeFill="accent3" w:themeFillTint="66"/>
          </w:tcPr>
          <w:p w14:paraId="08C309D7" w14:textId="77777777" w:rsidR="002D3389" w:rsidRPr="00257F44" w:rsidRDefault="002D3389" w:rsidP="00FD2A72">
            <w:pPr>
              <w:pStyle w:val="Rowcolumntitles"/>
              <w:rPr>
                <w:sz w:val="20"/>
                <w:lang w:val="uk-UA"/>
              </w:rPr>
            </w:pPr>
          </w:p>
        </w:tc>
        <w:tc>
          <w:tcPr>
            <w:tcW w:w="395" w:type="dxa"/>
            <w:vMerge/>
            <w:shd w:val="clear" w:color="auto" w:fill="D6E3BC" w:themeFill="accent3" w:themeFillTint="66"/>
          </w:tcPr>
          <w:p w14:paraId="3D5D341A" w14:textId="77777777" w:rsidR="002D3389" w:rsidRPr="00257F44" w:rsidRDefault="002D3389" w:rsidP="00FD2A72">
            <w:pPr>
              <w:pStyle w:val="Rowcolumntitles"/>
              <w:rPr>
                <w:rFonts w:eastAsia="Times New Roman"/>
                <w:sz w:val="20"/>
                <w:lang w:val="uk-UA"/>
              </w:rPr>
            </w:pPr>
          </w:p>
        </w:tc>
        <w:tc>
          <w:tcPr>
            <w:tcW w:w="2334" w:type="dxa"/>
            <w:gridSpan w:val="6"/>
            <w:vMerge/>
            <w:shd w:val="clear" w:color="auto" w:fill="FBD4B4" w:themeFill="accent6" w:themeFillTint="66"/>
          </w:tcPr>
          <w:p w14:paraId="415BA3B3" w14:textId="77777777" w:rsidR="002D3389" w:rsidRPr="00257F44" w:rsidRDefault="002D3389" w:rsidP="00FD2A72">
            <w:pPr>
              <w:pStyle w:val="Rowcolumntitles"/>
              <w:rPr>
                <w:rFonts w:eastAsia="Times New Roman"/>
                <w:sz w:val="20"/>
                <w:lang w:val="uk-UA"/>
              </w:rPr>
            </w:pPr>
          </w:p>
        </w:tc>
        <w:tc>
          <w:tcPr>
            <w:tcW w:w="341" w:type="dxa"/>
            <w:gridSpan w:val="3"/>
            <w:vMerge/>
            <w:shd w:val="clear" w:color="auto" w:fill="CCC0D9" w:themeFill="accent4" w:themeFillTint="66"/>
          </w:tcPr>
          <w:p w14:paraId="73A3DDCB" w14:textId="77777777" w:rsidR="002D3389" w:rsidRPr="00257F44" w:rsidRDefault="002D3389" w:rsidP="00FD2A72">
            <w:pPr>
              <w:pStyle w:val="Rowcolumntitles"/>
              <w:rPr>
                <w:sz w:val="20"/>
                <w:lang w:val="uk-UA"/>
              </w:rPr>
            </w:pPr>
          </w:p>
        </w:tc>
        <w:tc>
          <w:tcPr>
            <w:tcW w:w="341" w:type="dxa"/>
            <w:gridSpan w:val="2"/>
            <w:vMerge/>
            <w:shd w:val="clear" w:color="auto" w:fill="CCC0D9" w:themeFill="accent4" w:themeFillTint="66"/>
          </w:tcPr>
          <w:p w14:paraId="7080B7CB" w14:textId="77777777" w:rsidR="002D3389" w:rsidRPr="00257F44" w:rsidRDefault="002D3389" w:rsidP="00FD2A72">
            <w:pPr>
              <w:pStyle w:val="Rowcolumntitles"/>
              <w:rPr>
                <w:rFonts w:eastAsia="Times New Roman"/>
                <w:sz w:val="20"/>
                <w:lang w:val="uk-UA"/>
              </w:rPr>
            </w:pPr>
          </w:p>
        </w:tc>
        <w:tc>
          <w:tcPr>
            <w:tcW w:w="341" w:type="dxa"/>
            <w:gridSpan w:val="2"/>
            <w:vMerge/>
            <w:shd w:val="clear" w:color="auto" w:fill="CCC0D9" w:themeFill="accent4" w:themeFillTint="66"/>
          </w:tcPr>
          <w:p w14:paraId="1517DB1D" w14:textId="77777777" w:rsidR="002D3389" w:rsidRPr="00257F44" w:rsidRDefault="002D3389" w:rsidP="00FD2A72">
            <w:pPr>
              <w:pStyle w:val="Rowcolumntitles"/>
              <w:rPr>
                <w:sz w:val="20"/>
                <w:lang w:val="uk-UA"/>
              </w:rPr>
            </w:pPr>
          </w:p>
        </w:tc>
        <w:tc>
          <w:tcPr>
            <w:tcW w:w="343" w:type="dxa"/>
            <w:gridSpan w:val="3"/>
            <w:vMerge/>
            <w:shd w:val="clear" w:color="auto" w:fill="CCC0D9" w:themeFill="accent4" w:themeFillTint="66"/>
          </w:tcPr>
          <w:p w14:paraId="4F3D9E75"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178E7570" w14:textId="68022C7F"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4F3C1A62" w14:textId="77777777" w:rsidR="002D3389" w:rsidRPr="00257F44" w:rsidRDefault="002D3389" w:rsidP="00FD2A72">
            <w:pPr>
              <w:pStyle w:val="Rowcolumntitles"/>
              <w:rPr>
                <w:rFonts w:eastAsia="Times New Roman"/>
                <w:sz w:val="20"/>
                <w:lang w:val="uk-UA"/>
              </w:rPr>
            </w:pPr>
          </w:p>
        </w:tc>
        <w:tc>
          <w:tcPr>
            <w:tcW w:w="487" w:type="dxa"/>
            <w:gridSpan w:val="4"/>
            <w:shd w:val="clear" w:color="auto" w:fill="B8CCE4" w:themeFill="accent1" w:themeFillTint="66"/>
          </w:tcPr>
          <w:p w14:paraId="4FCD137E" w14:textId="0971A636"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93" w:type="dxa"/>
            <w:gridSpan w:val="3"/>
            <w:shd w:val="clear" w:color="auto" w:fill="B8CCE4" w:themeFill="accent1" w:themeFillTint="66"/>
          </w:tcPr>
          <w:p w14:paraId="09F4CDD1" w14:textId="1EB4C24B" w:rsidR="002D3389" w:rsidRPr="00257F44" w:rsidRDefault="002D3389" w:rsidP="00FD2A72">
            <w:pPr>
              <w:pStyle w:val="Rowcolumntitles"/>
              <w:rPr>
                <w:rFonts w:eastAsia="Times New Roman"/>
                <w:sz w:val="20"/>
                <w:lang w:val="uk-UA"/>
              </w:rPr>
            </w:pPr>
          </w:p>
        </w:tc>
        <w:tc>
          <w:tcPr>
            <w:tcW w:w="367" w:type="dxa"/>
            <w:gridSpan w:val="3"/>
            <w:vMerge/>
            <w:shd w:val="clear" w:color="auto" w:fill="D99594" w:themeFill="accent2" w:themeFillTint="99"/>
          </w:tcPr>
          <w:p w14:paraId="0F888034"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02AB03FD"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75C4C41E"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18A4B07C" w14:textId="77777777" w:rsidR="002D3389" w:rsidRPr="00257F44" w:rsidRDefault="002D3389" w:rsidP="00FD2A72">
            <w:pPr>
              <w:pStyle w:val="Rowcolumntitles"/>
              <w:rPr>
                <w:rFonts w:eastAsia="Times New Roman"/>
                <w:sz w:val="20"/>
                <w:lang w:val="uk-UA"/>
              </w:rPr>
            </w:pPr>
          </w:p>
        </w:tc>
        <w:tc>
          <w:tcPr>
            <w:tcW w:w="388" w:type="dxa"/>
            <w:gridSpan w:val="2"/>
            <w:vMerge/>
            <w:shd w:val="clear" w:color="auto" w:fill="D99594" w:themeFill="accent2" w:themeFillTint="99"/>
          </w:tcPr>
          <w:p w14:paraId="011339BA" w14:textId="77777777" w:rsidR="002D3389" w:rsidRPr="00257F44" w:rsidRDefault="002D3389" w:rsidP="00FD2A72">
            <w:pPr>
              <w:pStyle w:val="Rowcolumntitles"/>
              <w:rPr>
                <w:rFonts w:eastAsia="Times New Roman"/>
                <w:sz w:val="20"/>
                <w:lang w:val="uk-UA"/>
              </w:rPr>
            </w:pPr>
          </w:p>
        </w:tc>
      </w:tr>
      <w:tr w:rsidR="000E0B9A" w:rsidRPr="00257F44" w14:paraId="17AB9157" w14:textId="77777777" w:rsidTr="00DB3322">
        <w:trPr>
          <w:gridAfter w:val="2"/>
          <w:wAfter w:w="24" w:type="dxa"/>
          <w:trHeight w:val="227"/>
        </w:trPr>
        <w:tc>
          <w:tcPr>
            <w:tcW w:w="1470" w:type="dxa"/>
            <w:vMerge w:val="restart"/>
            <w:shd w:val="clear" w:color="auto" w:fill="000000" w:themeFill="text1"/>
          </w:tcPr>
          <w:p w14:paraId="50BBC58D" w14:textId="3D31D9C7" w:rsidR="002D3389" w:rsidRPr="00257F44" w:rsidRDefault="002D3389" w:rsidP="00FD2A72">
            <w:pPr>
              <w:pStyle w:val="Rowcolumntitles"/>
              <w:rPr>
                <w:color w:val="FFFFFF" w:themeColor="background1"/>
                <w:sz w:val="20"/>
                <w:lang w:val="uk-UA"/>
              </w:rPr>
            </w:pPr>
            <w:r w:rsidRPr="00257F44">
              <w:rPr>
                <w:color w:val="FFFFFF" w:themeColor="background1"/>
                <w:sz w:val="20"/>
                <w:lang w:val="uk-UA"/>
              </w:rPr>
              <w:t xml:space="preserve">15. </w:t>
            </w:r>
            <w:r w:rsidR="00F37D41" w:rsidRPr="00257F44">
              <w:rPr>
                <w:color w:val="FFFFFF" w:themeColor="background1"/>
                <w:sz w:val="20"/>
                <w:lang w:val="uk-UA"/>
              </w:rPr>
              <w:t>Веб-портал адміністра</w:t>
            </w:r>
            <w:r w:rsidR="000417D7" w:rsidRPr="00257F44">
              <w:rPr>
                <w:color w:val="FFFFFF" w:themeColor="background1"/>
                <w:sz w:val="20"/>
                <w:lang w:val="uk-UA"/>
              </w:rPr>
              <w:t>-</w:t>
            </w:r>
            <w:r w:rsidR="00F37D41" w:rsidRPr="00257F44">
              <w:rPr>
                <w:color w:val="FFFFFF" w:themeColor="background1"/>
                <w:sz w:val="20"/>
                <w:lang w:val="uk-UA"/>
              </w:rPr>
              <w:t>тивних послуг</w:t>
            </w:r>
          </w:p>
        </w:tc>
        <w:tc>
          <w:tcPr>
            <w:tcW w:w="402" w:type="dxa"/>
            <w:vMerge w:val="restart"/>
            <w:shd w:val="clear" w:color="auto" w:fill="D6E3BC" w:themeFill="accent3" w:themeFillTint="66"/>
          </w:tcPr>
          <w:p w14:paraId="4E969D5F" w14:textId="77777777" w:rsidR="002D3389" w:rsidRPr="00257F44" w:rsidRDefault="002D3389" w:rsidP="00FD2A72">
            <w:pPr>
              <w:pStyle w:val="Rowcolumntitles"/>
              <w:rPr>
                <w:sz w:val="20"/>
                <w:lang w:val="uk-UA"/>
              </w:rPr>
            </w:pPr>
          </w:p>
        </w:tc>
        <w:tc>
          <w:tcPr>
            <w:tcW w:w="388" w:type="dxa"/>
            <w:vMerge w:val="restart"/>
            <w:shd w:val="clear" w:color="auto" w:fill="D6E3BC" w:themeFill="accent3" w:themeFillTint="66"/>
          </w:tcPr>
          <w:p w14:paraId="0320159D" w14:textId="77777777" w:rsidR="002D3389" w:rsidRPr="00257F44" w:rsidRDefault="002D3389" w:rsidP="00FD2A72">
            <w:pPr>
              <w:pStyle w:val="Rowcolumntitles"/>
              <w:rPr>
                <w:rFonts w:eastAsia="Times New Roman"/>
                <w:sz w:val="20"/>
                <w:lang w:val="uk-UA"/>
              </w:rPr>
            </w:pPr>
          </w:p>
        </w:tc>
        <w:tc>
          <w:tcPr>
            <w:tcW w:w="425" w:type="dxa"/>
            <w:vMerge w:val="restart"/>
            <w:shd w:val="clear" w:color="auto" w:fill="D6E3BC" w:themeFill="accent3" w:themeFillTint="66"/>
          </w:tcPr>
          <w:p w14:paraId="00E9E22F" w14:textId="77777777" w:rsidR="002D3389" w:rsidRPr="00257F44" w:rsidRDefault="002D3389" w:rsidP="00FD2A72">
            <w:pPr>
              <w:pStyle w:val="Rowcolumntitles"/>
              <w:rPr>
                <w:sz w:val="20"/>
                <w:lang w:val="uk-UA"/>
              </w:rPr>
            </w:pPr>
          </w:p>
        </w:tc>
        <w:tc>
          <w:tcPr>
            <w:tcW w:w="395" w:type="dxa"/>
            <w:vMerge w:val="restart"/>
            <w:shd w:val="clear" w:color="auto" w:fill="D6E3BC" w:themeFill="accent3" w:themeFillTint="66"/>
          </w:tcPr>
          <w:p w14:paraId="2796D6C1" w14:textId="62807C49"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654" w:type="dxa"/>
            <w:gridSpan w:val="2"/>
            <w:vMerge w:val="restart"/>
            <w:shd w:val="clear" w:color="auto" w:fill="FBD4B4" w:themeFill="accent6" w:themeFillTint="66"/>
          </w:tcPr>
          <w:p w14:paraId="482FFDFF" w14:textId="762CEE69"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9" w:type="dxa"/>
            <w:vMerge w:val="restart"/>
            <w:shd w:val="clear" w:color="auto" w:fill="FBD4B4" w:themeFill="accent6" w:themeFillTint="66"/>
          </w:tcPr>
          <w:p w14:paraId="742FE937" w14:textId="77777777" w:rsidR="002D3389" w:rsidRPr="00257F44" w:rsidRDefault="002D3389" w:rsidP="00FD2A72">
            <w:pPr>
              <w:pStyle w:val="Rowcolumntitles"/>
              <w:rPr>
                <w:rFonts w:eastAsia="Times New Roman"/>
                <w:sz w:val="20"/>
                <w:lang w:val="uk-UA"/>
              </w:rPr>
            </w:pPr>
          </w:p>
        </w:tc>
        <w:tc>
          <w:tcPr>
            <w:tcW w:w="404" w:type="dxa"/>
            <w:vMerge w:val="restart"/>
            <w:shd w:val="clear" w:color="auto" w:fill="FBD4B4" w:themeFill="accent6" w:themeFillTint="66"/>
          </w:tcPr>
          <w:p w14:paraId="6D12CB0E" w14:textId="77777777" w:rsidR="002D3389" w:rsidRPr="00257F44" w:rsidRDefault="002D3389" w:rsidP="00FD2A72">
            <w:pPr>
              <w:pStyle w:val="Rowcolumntitles"/>
              <w:rPr>
                <w:rFonts w:eastAsia="Times New Roman"/>
                <w:sz w:val="20"/>
                <w:lang w:val="uk-UA"/>
              </w:rPr>
            </w:pPr>
          </w:p>
        </w:tc>
        <w:tc>
          <w:tcPr>
            <w:tcW w:w="895" w:type="dxa"/>
            <w:vMerge w:val="restart"/>
            <w:shd w:val="clear" w:color="auto" w:fill="FBD4B4" w:themeFill="accent6" w:themeFillTint="66"/>
          </w:tcPr>
          <w:p w14:paraId="0504BD78" w14:textId="34C31B0C"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41" w:type="dxa"/>
            <w:gridSpan w:val="3"/>
            <w:vMerge w:val="restart"/>
            <w:shd w:val="clear" w:color="auto" w:fill="CCC0D9" w:themeFill="accent4" w:themeFillTint="66"/>
          </w:tcPr>
          <w:p w14:paraId="21E54EEE" w14:textId="77777777" w:rsidR="002D3389" w:rsidRPr="00257F44" w:rsidRDefault="002D3389" w:rsidP="00FD2A72">
            <w:pPr>
              <w:pStyle w:val="Rowcolumntitles"/>
              <w:rPr>
                <w:sz w:val="20"/>
                <w:lang w:val="uk-UA"/>
              </w:rPr>
            </w:pPr>
          </w:p>
        </w:tc>
        <w:tc>
          <w:tcPr>
            <w:tcW w:w="341" w:type="dxa"/>
            <w:gridSpan w:val="2"/>
            <w:vMerge w:val="restart"/>
            <w:shd w:val="clear" w:color="auto" w:fill="CCC0D9" w:themeFill="accent4" w:themeFillTint="66"/>
          </w:tcPr>
          <w:p w14:paraId="7511CBFC" w14:textId="3BF15A3A"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41" w:type="dxa"/>
            <w:gridSpan w:val="2"/>
            <w:vMerge w:val="restart"/>
            <w:shd w:val="clear" w:color="auto" w:fill="CCC0D9" w:themeFill="accent4" w:themeFillTint="66"/>
          </w:tcPr>
          <w:p w14:paraId="46CB8658" w14:textId="77777777" w:rsidR="002D3389" w:rsidRPr="00257F44" w:rsidRDefault="002D3389" w:rsidP="00FD2A72">
            <w:pPr>
              <w:pStyle w:val="Rowcolumntitles"/>
              <w:rPr>
                <w:sz w:val="20"/>
                <w:lang w:val="uk-UA"/>
              </w:rPr>
            </w:pPr>
          </w:p>
        </w:tc>
        <w:tc>
          <w:tcPr>
            <w:tcW w:w="343" w:type="dxa"/>
            <w:gridSpan w:val="3"/>
            <w:vMerge w:val="restart"/>
            <w:shd w:val="clear" w:color="auto" w:fill="CCC0D9" w:themeFill="accent4" w:themeFillTint="66"/>
          </w:tcPr>
          <w:p w14:paraId="08EDCB4B"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37E16398" w14:textId="3A846A46"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5CB69775" w14:textId="77777777" w:rsidR="002D3389" w:rsidRPr="00257F44" w:rsidRDefault="002D3389" w:rsidP="00FD2A72">
            <w:pPr>
              <w:pStyle w:val="Rowcolumntitles"/>
              <w:rPr>
                <w:rFonts w:eastAsia="Times New Roman"/>
                <w:sz w:val="20"/>
                <w:lang w:val="uk-UA"/>
              </w:rPr>
            </w:pPr>
          </w:p>
        </w:tc>
        <w:tc>
          <w:tcPr>
            <w:tcW w:w="487" w:type="dxa"/>
            <w:gridSpan w:val="4"/>
            <w:shd w:val="clear" w:color="auto" w:fill="B8CCE4" w:themeFill="accent1" w:themeFillTint="66"/>
          </w:tcPr>
          <w:p w14:paraId="63DD4A27" w14:textId="77777777" w:rsidR="002D3389" w:rsidRPr="00257F44" w:rsidRDefault="002D3389" w:rsidP="00FD2A72">
            <w:pPr>
              <w:pStyle w:val="Rowcolumntitles"/>
              <w:rPr>
                <w:rFonts w:eastAsia="Times New Roman"/>
                <w:sz w:val="20"/>
                <w:lang w:val="uk-UA"/>
              </w:rPr>
            </w:pPr>
          </w:p>
        </w:tc>
        <w:tc>
          <w:tcPr>
            <w:tcW w:w="493" w:type="dxa"/>
            <w:gridSpan w:val="3"/>
            <w:shd w:val="clear" w:color="auto" w:fill="B8CCE4" w:themeFill="accent1" w:themeFillTint="66"/>
          </w:tcPr>
          <w:p w14:paraId="141663A3" w14:textId="3B72B487"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7" w:type="dxa"/>
            <w:gridSpan w:val="3"/>
            <w:vMerge w:val="restart"/>
            <w:shd w:val="clear" w:color="auto" w:fill="D99594" w:themeFill="accent2" w:themeFillTint="99"/>
          </w:tcPr>
          <w:p w14:paraId="39F91751"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2400539F"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3B94C265" w14:textId="4E684F9C"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18" w:type="dxa"/>
            <w:gridSpan w:val="2"/>
            <w:vMerge w:val="restart"/>
            <w:shd w:val="clear" w:color="auto" w:fill="D99594" w:themeFill="accent2" w:themeFillTint="99"/>
          </w:tcPr>
          <w:p w14:paraId="54F2690B" w14:textId="77777777" w:rsidR="002D3389" w:rsidRPr="00257F44" w:rsidRDefault="002D3389"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72B4A85B" w14:textId="77777777" w:rsidR="002D3389" w:rsidRPr="00257F44" w:rsidRDefault="002D3389" w:rsidP="00FD2A72">
            <w:pPr>
              <w:pStyle w:val="Rowcolumntitles"/>
              <w:rPr>
                <w:rFonts w:eastAsia="Times New Roman"/>
                <w:sz w:val="20"/>
                <w:lang w:val="uk-UA"/>
              </w:rPr>
            </w:pPr>
          </w:p>
        </w:tc>
      </w:tr>
      <w:tr w:rsidR="000E0B9A" w:rsidRPr="00257F44" w14:paraId="092B4BAC" w14:textId="77777777" w:rsidTr="00DB3322">
        <w:trPr>
          <w:gridAfter w:val="2"/>
          <w:wAfter w:w="24" w:type="dxa"/>
          <w:trHeight w:val="226"/>
        </w:trPr>
        <w:tc>
          <w:tcPr>
            <w:tcW w:w="1470" w:type="dxa"/>
            <w:vMerge/>
            <w:shd w:val="clear" w:color="auto" w:fill="000000" w:themeFill="text1"/>
          </w:tcPr>
          <w:p w14:paraId="03FBE9F5" w14:textId="77777777" w:rsidR="002D3389" w:rsidRPr="00257F44" w:rsidRDefault="002D3389" w:rsidP="00FD2A72">
            <w:pPr>
              <w:pStyle w:val="Rowcolumntitles"/>
              <w:rPr>
                <w:color w:val="FFFFFF" w:themeColor="background1"/>
                <w:sz w:val="20"/>
                <w:lang w:val="uk-UA"/>
              </w:rPr>
            </w:pPr>
          </w:p>
        </w:tc>
        <w:tc>
          <w:tcPr>
            <w:tcW w:w="402" w:type="dxa"/>
            <w:vMerge/>
            <w:shd w:val="clear" w:color="auto" w:fill="D6E3BC" w:themeFill="accent3" w:themeFillTint="66"/>
          </w:tcPr>
          <w:p w14:paraId="724B1ADE" w14:textId="77777777" w:rsidR="002D3389" w:rsidRPr="00257F44" w:rsidRDefault="002D3389" w:rsidP="00FD2A72">
            <w:pPr>
              <w:pStyle w:val="Rowcolumntitles"/>
              <w:rPr>
                <w:sz w:val="20"/>
                <w:lang w:val="uk-UA"/>
              </w:rPr>
            </w:pPr>
          </w:p>
        </w:tc>
        <w:tc>
          <w:tcPr>
            <w:tcW w:w="388" w:type="dxa"/>
            <w:vMerge/>
            <w:shd w:val="clear" w:color="auto" w:fill="D6E3BC" w:themeFill="accent3" w:themeFillTint="66"/>
          </w:tcPr>
          <w:p w14:paraId="46529FB3" w14:textId="77777777" w:rsidR="002D3389" w:rsidRPr="00257F44" w:rsidRDefault="002D3389" w:rsidP="00FD2A72">
            <w:pPr>
              <w:pStyle w:val="Rowcolumntitles"/>
              <w:rPr>
                <w:rFonts w:eastAsia="Times New Roman"/>
                <w:sz w:val="20"/>
                <w:lang w:val="uk-UA"/>
              </w:rPr>
            </w:pPr>
          </w:p>
        </w:tc>
        <w:tc>
          <w:tcPr>
            <w:tcW w:w="425" w:type="dxa"/>
            <w:vMerge/>
            <w:shd w:val="clear" w:color="auto" w:fill="D6E3BC" w:themeFill="accent3" w:themeFillTint="66"/>
          </w:tcPr>
          <w:p w14:paraId="6AC562FA" w14:textId="77777777" w:rsidR="002D3389" w:rsidRPr="00257F44" w:rsidRDefault="002D3389" w:rsidP="00FD2A72">
            <w:pPr>
              <w:pStyle w:val="Rowcolumntitles"/>
              <w:rPr>
                <w:sz w:val="20"/>
                <w:lang w:val="uk-UA"/>
              </w:rPr>
            </w:pPr>
          </w:p>
        </w:tc>
        <w:tc>
          <w:tcPr>
            <w:tcW w:w="395" w:type="dxa"/>
            <w:vMerge/>
            <w:shd w:val="clear" w:color="auto" w:fill="D6E3BC" w:themeFill="accent3" w:themeFillTint="66"/>
          </w:tcPr>
          <w:p w14:paraId="3172FF91" w14:textId="77777777" w:rsidR="002D3389" w:rsidRPr="00257F44" w:rsidRDefault="002D3389" w:rsidP="00FD2A72">
            <w:pPr>
              <w:pStyle w:val="Rowcolumntitles"/>
              <w:rPr>
                <w:rFonts w:eastAsia="Times New Roman"/>
                <w:sz w:val="20"/>
                <w:lang w:val="uk-UA"/>
              </w:rPr>
            </w:pPr>
          </w:p>
        </w:tc>
        <w:tc>
          <w:tcPr>
            <w:tcW w:w="654" w:type="dxa"/>
            <w:gridSpan w:val="2"/>
            <w:vMerge/>
            <w:shd w:val="clear" w:color="auto" w:fill="FBD4B4" w:themeFill="accent6" w:themeFillTint="66"/>
          </w:tcPr>
          <w:p w14:paraId="1027B7CE" w14:textId="77777777" w:rsidR="002D3389" w:rsidRPr="00257F44" w:rsidRDefault="002D3389" w:rsidP="00FD2A72">
            <w:pPr>
              <w:pStyle w:val="Rowcolumntitles"/>
              <w:rPr>
                <w:rFonts w:eastAsia="Times New Roman"/>
                <w:sz w:val="20"/>
                <w:lang w:val="uk-UA"/>
              </w:rPr>
            </w:pPr>
          </w:p>
        </w:tc>
        <w:tc>
          <w:tcPr>
            <w:tcW w:w="369" w:type="dxa"/>
            <w:vMerge/>
            <w:shd w:val="clear" w:color="auto" w:fill="FBD4B4" w:themeFill="accent6" w:themeFillTint="66"/>
          </w:tcPr>
          <w:p w14:paraId="5EC31541" w14:textId="77777777" w:rsidR="002D3389" w:rsidRPr="00257F44" w:rsidRDefault="002D3389" w:rsidP="00FD2A72">
            <w:pPr>
              <w:pStyle w:val="Rowcolumntitles"/>
              <w:rPr>
                <w:rFonts w:eastAsia="Times New Roman"/>
                <w:sz w:val="20"/>
                <w:lang w:val="uk-UA"/>
              </w:rPr>
            </w:pPr>
          </w:p>
        </w:tc>
        <w:tc>
          <w:tcPr>
            <w:tcW w:w="404" w:type="dxa"/>
            <w:vMerge/>
            <w:shd w:val="clear" w:color="auto" w:fill="FBD4B4" w:themeFill="accent6" w:themeFillTint="66"/>
          </w:tcPr>
          <w:p w14:paraId="7D133A06" w14:textId="77777777" w:rsidR="002D3389" w:rsidRPr="00257F44" w:rsidRDefault="002D3389" w:rsidP="00FD2A72">
            <w:pPr>
              <w:pStyle w:val="Rowcolumntitles"/>
              <w:rPr>
                <w:rFonts w:eastAsia="Times New Roman"/>
                <w:sz w:val="20"/>
                <w:lang w:val="uk-UA"/>
              </w:rPr>
            </w:pPr>
          </w:p>
        </w:tc>
        <w:tc>
          <w:tcPr>
            <w:tcW w:w="895" w:type="dxa"/>
            <w:vMerge/>
            <w:shd w:val="clear" w:color="auto" w:fill="FBD4B4" w:themeFill="accent6" w:themeFillTint="66"/>
          </w:tcPr>
          <w:p w14:paraId="65A5E918" w14:textId="77777777" w:rsidR="002D3389" w:rsidRPr="00257F44" w:rsidRDefault="002D3389" w:rsidP="00FD2A72">
            <w:pPr>
              <w:pStyle w:val="Rowcolumntitles"/>
              <w:rPr>
                <w:rFonts w:eastAsia="Times New Roman"/>
                <w:sz w:val="20"/>
                <w:lang w:val="uk-UA"/>
              </w:rPr>
            </w:pPr>
          </w:p>
        </w:tc>
        <w:tc>
          <w:tcPr>
            <w:tcW w:w="341" w:type="dxa"/>
            <w:gridSpan w:val="3"/>
            <w:vMerge/>
            <w:shd w:val="clear" w:color="auto" w:fill="CCC0D9" w:themeFill="accent4" w:themeFillTint="66"/>
          </w:tcPr>
          <w:p w14:paraId="28EC33BC" w14:textId="77777777" w:rsidR="002D3389" w:rsidRPr="00257F44" w:rsidRDefault="002D3389" w:rsidP="00FD2A72">
            <w:pPr>
              <w:pStyle w:val="Rowcolumntitles"/>
              <w:rPr>
                <w:sz w:val="20"/>
                <w:lang w:val="uk-UA"/>
              </w:rPr>
            </w:pPr>
          </w:p>
        </w:tc>
        <w:tc>
          <w:tcPr>
            <w:tcW w:w="341" w:type="dxa"/>
            <w:gridSpan w:val="2"/>
            <w:vMerge/>
            <w:shd w:val="clear" w:color="auto" w:fill="CCC0D9" w:themeFill="accent4" w:themeFillTint="66"/>
          </w:tcPr>
          <w:p w14:paraId="08896A00" w14:textId="77777777" w:rsidR="002D3389" w:rsidRPr="00257F44" w:rsidRDefault="002D3389" w:rsidP="00FD2A72">
            <w:pPr>
              <w:pStyle w:val="Rowcolumntitles"/>
              <w:rPr>
                <w:rFonts w:eastAsia="Times New Roman"/>
                <w:sz w:val="20"/>
                <w:lang w:val="uk-UA"/>
              </w:rPr>
            </w:pPr>
          </w:p>
        </w:tc>
        <w:tc>
          <w:tcPr>
            <w:tcW w:w="341" w:type="dxa"/>
            <w:gridSpan w:val="2"/>
            <w:vMerge/>
            <w:shd w:val="clear" w:color="auto" w:fill="CCC0D9" w:themeFill="accent4" w:themeFillTint="66"/>
          </w:tcPr>
          <w:p w14:paraId="1AB4260B" w14:textId="77777777" w:rsidR="002D3389" w:rsidRPr="00257F44" w:rsidRDefault="002D3389" w:rsidP="00FD2A72">
            <w:pPr>
              <w:pStyle w:val="Rowcolumntitles"/>
              <w:rPr>
                <w:sz w:val="20"/>
                <w:lang w:val="uk-UA"/>
              </w:rPr>
            </w:pPr>
          </w:p>
        </w:tc>
        <w:tc>
          <w:tcPr>
            <w:tcW w:w="343" w:type="dxa"/>
            <w:gridSpan w:val="3"/>
            <w:vMerge/>
            <w:shd w:val="clear" w:color="auto" w:fill="CCC0D9" w:themeFill="accent4" w:themeFillTint="66"/>
          </w:tcPr>
          <w:p w14:paraId="0C2435A3"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29961833" w14:textId="13CA9956"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7E2B1DF0" w14:textId="77777777" w:rsidR="002D3389" w:rsidRPr="00257F44" w:rsidRDefault="002D3389" w:rsidP="00FD2A72">
            <w:pPr>
              <w:pStyle w:val="Rowcolumntitles"/>
              <w:rPr>
                <w:rFonts w:eastAsia="Times New Roman"/>
                <w:sz w:val="20"/>
                <w:lang w:val="uk-UA"/>
              </w:rPr>
            </w:pPr>
          </w:p>
        </w:tc>
        <w:tc>
          <w:tcPr>
            <w:tcW w:w="487" w:type="dxa"/>
            <w:gridSpan w:val="4"/>
            <w:shd w:val="clear" w:color="auto" w:fill="B8CCE4" w:themeFill="accent1" w:themeFillTint="66"/>
          </w:tcPr>
          <w:p w14:paraId="57286FFB" w14:textId="77777777" w:rsidR="002D3389" w:rsidRPr="00257F44" w:rsidRDefault="002D3389" w:rsidP="00FD2A72">
            <w:pPr>
              <w:pStyle w:val="Rowcolumntitles"/>
              <w:rPr>
                <w:rFonts w:eastAsia="Times New Roman"/>
                <w:sz w:val="20"/>
                <w:lang w:val="uk-UA"/>
              </w:rPr>
            </w:pPr>
          </w:p>
        </w:tc>
        <w:tc>
          <w:tcPr>
            <w:tcW w:w="493" w:type="dxa"/>
            <w:gridSpan w:val="3"/>
            <w:shd w:val="clear" w:color="auto" w:fill="B8CCE4" w:themeFill="accent1" w:themeFillTint="66"/>
          </w:tcPr>
          <w:p w14:paraId="642A662F" w14:textId="455CCA53"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7" w:type="dxa"/>
            <w:gridSpan w:val="3"/>
            <w:vMerge/>
            <w:shd w:val="clear" w:color="auto" w:fill="D99594" w:themeFill="accent2" w:themeFillTint="99"/>
          </w:tcPr>
          <w:p w14:paraId="499F0D36"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75CABF49"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7E193838"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288EC158" w14:textId="77777777" w:rsidR="002D3389" w:rsidRPr="00257F44" w:rsidRDefault="002D3389" w:rsidP="00FD2A72">
            <w:pPr>
              <w:pStyle w:val="Rowcolumntitles"/>
              <w:rPr>
                <w:rFonts w:eastAsia="Times New Roman"/>
                <w:sz w:val="20"/>
                <w:lang w:val="uk-UA"/>
              </w:rPr>
            </w:pPr>
          </w:p>
        </w:tc>
        <w:tc>
          <w:tcPr>
            <w:tcW w:w="388" w:type="dxa"/>
            <w:gridSpan w:val="2"/>
            <w:vMerge/>
            <w:shd w:val="clear" w:color="auto" w:fill="D99594" w:themeFill="accent2" w:themeFillTint="99"/>
          </w:tcPr>
          <w:p w14:paraId="079C1055" w14:textId="77777777" w:rsidR="002D3389" w:rsidRPr="00257F44" w:rsidRDefault="002D3389" w:rsidP="00FD2A72">
            <w:pPr>
              <w:pStyle w:val="Rowcolumntitles"/>
              <w:rPr>
                <w:rFonts w:eastAsia="Times New Roman"/>
                <w:sz w:val="20"/>
                <w:lang w:val="uk-UA"/>
              </w:rPr>
            </w:pPr>
          </w:p>
        </w:tc>
      </w:tr>
      <w:tr w:rsidR="00B017F8" w:rsidRPr="00257F44" w14:paraId="0145FD3E" w14:textId="77777777" w:rsidTr="00DB3322">
        <w:trPr>
          <w:gridAfter w:val="1"/>
          <w:wAfter w:w="12" w:type="dxa"/>
          <w:trHeight w:val="160"/>
        </w:trPr>
        <w:tc>
          <w:tcPr>
            <w:tcW w:w="1470" w:type="dxa"/>
            <w:vMerge w:val="restart"/>
            <w:shd w:val="clear" w:color="auto" w:fill="000000" w:themeFill="text1"/>
          </w:tcPr>
          <w:p w14:paraId="2852412C" w14:textId="4DDBF0CD" w:rsidR="002D3389" w:rsidRPr="00257F44" w:rsidRDefault="002D3389" w:rsidP="00FD2A72">
            <w:pPr>
              <w:pStyle w:val="Rowcolumntitles"/>
              <w:rPr>
                <w:color w:val="FFFFFF" w:themeColor="background1"/>
                <w:sz w:val="20"/>
                <w:lang w:val="uk-UA"/>
              </w:rPr>
            </w:pPr>
            <w:r w:rsidRPr="00257F44">
              <w:rPr>
                <w:color w:val="FFFFFF" w:themeColor="background1"/>
                <w:sz w:val="20"/>
                <w:lang w:val="uk-UA"/>
              </w:rPr>
              <w:t xml:space="preserve">17. </w:t>
            </w:r>
            <w:r w:rsidR="00F37D41" w:rsidRPr="00257F44">
              <w:rPr>
                <w:color w:val="FFFFFF" w:themeColor="background1"/>
                <w:sz w:val="20"/>
                <w:lang w:val="uk-UA"/>
              </w:rPr>
              <w:t>Проект закону про соціальні послуги</w:t>
            </w:r>
          </w:p>
        </w:tc>
        <w:tc>
          <w:tcPr>
            <w:tcW w:w="402" w:type="dxa"/>
            <w:vMerge w:val="restart"/>
            <w:shd w:val="clear" w:color="auto" w:fill="D6E3BC" w:themeFill="accent3" w:themeFillTint="66"/>
          </w:tcPr>
          <w:p w14:paraId="769AFDF6" w14:textId="77777777" w:rsidR="002D3389" w:rsidRPr="00257F44" w:rsidRDefault="002D3389" w:rsidP="00FD2A72">
            <w:pPr>
              <w:pStyle w:val="Rowcolumntitles"/>
              <w:rPr>
                <w:sz w:val="20"/>
                <w:lang w:val="uk-UA"/>
              </w:rPr>
            </w:pPr>
          </w:p>
        </w:tc>
        <w:tc>
          <w:tcPr>
            <w:tcW w:w="388" w:type="dxa"/>
            <w:vMerge w:val="restart"/>
            <w:shd w:val="clear" w:color="auto" w:fill="D6E3BC" w:themeFill="accent3" w:themeFillTint="66"/>
          </w:tcPr>
          <w:p w14:paraId="330DC36C" w14:textId="77777777" w:rsidR="002D3389" w:rsidRPr="00257F44" w:rsidRDefault="002D3389" w:rsidP="00FD2A72">
            <w:pPr>
              <w:pStyle w:val="Rowcolumntitles"/>
              <w:rPr>
                <w:rFonts w:eastAsia="Times New Roman"/>
                <w:sz w:val="20"/>
                <w:lang w:val="uk-UA"/>
              </w:rPr>
            </w:pPr>
          </w:p>
        </w:tc>
        <w:tc>
          <w:tcPr>
            <w:tcW w:w="425" w:type="dxa"/>
            <w:vMerge w:val="restart"/>
            <w:shd w:val="clear" w:color="auto" w:fill="D6E3BC" w:themeFill="accent3" w:themeFillTint="66"/>
          </w:tcPr>
          <w:p w14:paraId="320EE638" w14:textId="77777777" w:rsidR="002D3389" w:rsidRPr="00257F44" w:rsidRDefault="002D3389" w:rsidP="00FD2A72">
            <w:pPr>
              <w:pStyle w:val="Rowcolumntitles"/>
              <w:rPr>
                <w:sz w:val="20"/>
                <w:lang w:val="uk-UA"/>
              </w:rPr>
            </w:pPr>
          </w:p>
        </w:tc>
        <w:tc>
          <w:tcPr>
            <w:tcW w:w="395" w:type="dxa"/>
            <w:vMerge w:val="restart"/>
            <w:shd w:val="clear" w:color="auto" w:fill="D6E3BC" w:themeFill="accent3" w:themeFillTint="66"/>
          </w:tcPr>
          <w:p w14:paraId="00A2BFF9" w14:textId="6CA7A51B"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2334" w:type="dxa"/>
            <w:gridSpan w:val="6"/>
            <w:vMerge w:val="restart"/>
            <w:shd w:val="clear" w:color="auto" w:fill="FBD4B4" w:themeFill="accent6" w:themeFillTint="66"/>
          </w:tcPr>
          <w:p w14:paraId="76369A13" w14:textId="0C568ADA" w:rsidR="002D3389" w:rsidRPr="00257F44" w:rsidRDefault="000417D7" w:rsidP="00FD2A72">
            <w:pPr>
              <w:pStyle w:val="Rowcolumntitles"/>
              <w:jc w:val="center"/>
              <w:rPr>
                <w:rFonts w:eastAsia="Times New Roman"/>
                <w:sz w:val="20"/>
                <w:lang w:val="uk-UA"/>
              </w:rPr>
            </w:pPr>
            <w:r w:rsidRPr="00257F44">
              <w:rPr>
                <w:noProof/>
                <w:sz w:val="20"/>
                <w:lang w:val="uk-UA"/>
              </w:rPr>
              <w:t>Не зрозуміло</w:t>
            </w:r>
          </w:p>
        </w:tc>
        <w:tc>
          <w:tcPr>
            <w:tcW w:w="341" w:type="dxa"/>
            <w:gridSpan w:val="3"/>
            <w:vMerge w:val="restart"/>
            <w:shd w:val="clear" w:color="auto" w:fill="CCC0D9" w:themeFill="accent4" w:themeFillTint="66"/>
          </w:tcPr>
          <w:p w14:paraId="27C1CEB4" w14:textId="77777777" w:rsidR="002D3389" w:rsidRPr="00257F44" w:rsidRDefault="002D3389" w:rsidP="00FD2A72">
            <w:pPr>
              <w:pStyle w:val="Rowcolumntitles"/>
              <w:rPr>
                <w:sz w:val="20"/>
                <w:lang w:val="uk-UA"/>
              </w:rPr>
            </w:pPr>
          </w:p>
        </w:tc>
        <w:tc>
          <w:tcPr>
            <w:tcW w:w="341" w:type="dxa"/>
            <w:gridSpan w:val="2"/>
            <w:vMerge w:val="restart"/>
            <w:shd w:val="clear" w:color="auto" w:fill="CCC0D9" w:themeFill="accent4" w:themeFillTint="66"/>
          </w:tcPr>
          <w:p w14:paraId="51239659" w14:textId="77777777" w:rsidR="002D3389" w:rsidRPr="00257F44" w:rsidRDefault="002D3389" w:rsidP="00FD2A72">
            <w:pPr>
              <w:pStyle w:val="Rowcolumntitles"/>
              <w:rPr>
                <w:rFonts w:eastAsia="Times New Roman"/>
                <w:sz w:val="20"/>
                <w:lang w:val="uk-UA"/>
              </w:rPr>
            </w:pPr>
          </w:p>
        </w:tc>
        <w:tc>
          <w:tcPr>
            <w:tcW w:w="341" w:type="dxa"/>
            <w:gridSpan w:val="2"/>
            <w:vMerge w:val="restart"/>
            <w:shd w:val="clear" w:color="auto" w:fill="CCC0D9" w:themeFill="accent4" w:themeFillTint="66"/>
          </w:tcPr>
          <w:p w14:paraId="5D4BAEB2" w14:textId="2627DD0B" w:rsidR="002D3389" w:rsidRPr="00257F44" w:rsidRDefault="002D3389" w:rsidP="00FD2A72">
            <w:pPr>
              <w:pStyle w:val="Rowcolumntitles"/>
              <w:rPr>
                <w:sz w:val="20"/>
                <w:lang w:val="uk-UA"/>
              </w:rPr>
            </w:pPr>
            <w:r w:rsidRPr="00257F44">
              <w:rPr>
                <w:rFonts w:ascii="MS Mincho" w:eastAsia="MS Mincho" w:hAnsi="MS Mincho" w:cs="MS Mincho"/>
                <w:noProof/>
                <w:sz w:val="20"/>
                <w:lang w:val="uk-UA"/>
              </w:rPr>
              <w:t>✔</w:t>
            </w:r>
          </w:p>
        </w:tc>
        <w:tc>
          <w:tcPr>
            <w:tcW w:w="343" w:type="dxa"/>
            <w:gridSpan w:val="3"/>
            <w:vMerge w:val="restart"/>
            <w:shd w:val="clear" w:color="auto" w:fill="CCC0D9" w:themeFill="accent4" w:themeFillTint="66"/>
          </w:tcPr>
          <w:p w14:paraId="3B79BEC0"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52234D97" w14:textId="5600D22D"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2F647964" w14:textId="77777777" w:rsidR="002D3389" w:rsidRPr="00257F44" w:rsidRDefault="002D3389" w:rsidP="00FD2A72">
            <w:pPr>
              <w:pStyle w:val="Rowcolumntitles"/>
              <w:rPr>
                <w:rFonts w:eastAsia="Times New Roman"/>
                <w:sz w:val="20"/>
                <w:lang w:val="uk-UA"/>
              </w:rPr>
            </w:pPr>
          </w:p>
        </w:tc>
        <w:tc>
          <w:tcPr>
            <w:tcW w:w="487" w:type="dxa"/>
            <w:gridSpan w:val="4"/>
            <w:shd w:val="clear" w:color="auto" w:fill="B8CCE4" w:themeFill="accent1" w:themeFillTint="66"/>
          </w:tcPr>
          <w:p w14:paraId="3C91BB82" w14:textId="3DD33D53"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93" w:type="dxa"/>
            <w:gridSpan w:val="3"/>
            <w:shd w:val="clear" w:color="auto" w:fill="B8CCE4" w:themeFill="accent1" w:themeFillTint="66"/>
          </w:tcPr>
          <w:p w14:paraId="5908583C" w14:textId="7F78A372" w:rsidR="002D3389" w:rsidRPr="00257F44" w:rsidRDefault="002D3389" w:rsidP="00FD2A72">
            <w:pPr>
              <w:pStyle w:val="Rowcolumntitles"/>
              <w:rPr>
                <w:rFonts w:eastAsia="Times New Roman"/>
                <w:sz w:val="20"/>
                <w:lang w:val="uk-UA"/>
              </w:rPr>
            </w:pPr>
          </w:p>
        </w:tc>
        <w:tc>
          <w:tcPr>
            <w:tcW w:w="367" w:type="dxa"/>
            <w:gridSpan w:val="3"/>
            <w:vMerge w:val="restart"/>
            <w:shd w:val="clear" w:color="auto" w:fill="D99594" w:themeFill="accent2" w:themeFillTint="99"/>
          </w:tcPr>
          <w:p w14:paraId="302DCB5E"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67DF9942" w14:textId="12C3044B"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18" w:type="dxa"/>
            <w:gridSpan w:val="2"/>
            <w:vMerge w:val="restart"/>
            <w:shd w:val="clear" w:color="auto" w:fill="D99594" w:themeFill="accent2" w:themeFillTint="99"/>
          </w:tcPr>
          <w:p w14:paraId="08075717"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1CA4C63B" w14:textId="77777777" w:rsidR="002D3389" w:rsidRPr="00257F44" w:rsidRDefault="002D3389"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785573BC" w14:textId="77777777" w:rsidR="002D3389" w:rsidRPr="00257F44" w:rsidRDefault="002D3389" w:rsidP="00FD2A72">
            <w:pPr>
              <w:pStyle w:val="Rowcolumntitles"/>
              <w:rPr>
                <w:rFonts w:eastAsia="Times New Roman"/>
                <w:sz w:val="20"/>
                <w:lang w:val="uk-UA"/>
              </w:rPr>
            </w:pPr>
          </w:p>
        </w:tc>
      </w:tr>
      <w:tr w:rsidR="00B017F8" w:rsidRPr="00257F44" w14:paraId="35A25EC7" w14:textId="77777777" w:rsidTr="00DB3322">
        <w:trPr>
          <w:gridAfter w:val="1"/>
          <w:wAfter w:w="12" w:type="dxa"/>
          <w:trHeight w:val="160"/>
        </w:trPr>
        <w:tc>
          <w:tcPr>
            <w:tcW w:w="1470" w:type="dxa"/>
            <w:vMerge/>
            <w:shd w:val="clear" w:color="auto" w:fill="000000" w:themeFill="text1"/>
          </w:tcPr>
          <w:p w14:paraId="6A118E07" w14:textId="77777777" w:rsidR="002D3389" w:rsidRPr="00257F44" w:rsidRDefault="002D3389" w:rsidP="00FD2A72">
            <w:pPr>
              <w:pStyle w:val="Rowcolumntitles"/>
              <w:rPr>
                <w:color w:val="FFFFFF" w:themeColor="background1"/>
                <w:sz w:val="20"/>
                <w:lang w:val="uk-UA"/>
              </w:rPr>
            </w:pPr>
          </w:p>
        </w:tc>
        <w:tc>
          <w:tcPr>
            <w:tcW w:w="402" w:type="dxa"/>
            <w:vMerge/>
            <w:shd w:val="clear" w:color="auto" w:fill="D6E3BC" w:themeFill="accent3" w:themeFillTint="66"/>
          </w:tcPr>
          <w:p w14:paraId="3E82A3A5" w14:textId="77777777" w:rsidR="002D3389" w:rsidRPr="00257F44" w:rsidRDefault="002D3389" w:rsidP="00FD2A72">
            <w:pPr>
              <w:pStyle w:val="Rowcolumntitles"/>
              <w:rPr>
                <w:sz w:val="20"/>
                <w:lang w:val="uk-UA"/>
              </w:rPr>
            </w:pPr>
          </w:p>
        </w:tc>
        <w:tc>
          <w:tcPr>
            <w:tcW w:w="388" w:type="dxa"/>
            <w:vMerge/>
            <w:shd w:val="clear" w:color="auto" w:fill="D6E3BC" w:themeFill="accent3" w:themeFillTint="66"/>
          </w:tcPr>
          <w:p w14:paraId="34CCC982" w14:textId="77777777" w:rsidR="002D3389" w:rsidRPr="00257F44" w:rsidRDefault="002D3389" w:rsidP="00FD2A72">
            <w:pPr>
              <w:pStyle w:val="Rowcolumntitles"/>
              <w:rPr>
                <w:rFonts w:eastAsia="Times New Roman"/>
                <w:sz w:val="20"/>
                <w:lang w:val="uk-UA"/>
              </w:rPr>
            </w:pPr>
          </w:p>
        </w:tc>
        <w:tc>
          <w:tcPr>
            <w:tcW w:w="425" w:type="dxa"/>
            <w:vMerge/>
            <w:shd w:val="clear" w:color="auto" w:fill="D6E3BC" w:themeFill="accent3" w:themeFillTint="66"/>
          </w:tcPr>
          <w:p w14:paraId="2F5B4E87" w14:textId="77777777" w:rsidR="002D3389" w:rsidRPr="00257F44" w:rsidRDefault="002D3389" w:rsidP="00FD2A72">
            <w:pPr>
              <w:pStyle w:val="Rowcolumntitles"/>
              <w:rPr>
                <w:sz w:val="20"/>
                <w:lang w:val="uk-UA"/>
              </w:rPr>
            </w:pPr>
          </w:p>
        </w:tc>
        <w:tc>
          <w:tcPr>
            <w:tcW w:w="395" w:type="dxa"/>
            <w:vMerge/>
            <w:shd w:val="clear" w:color="auto" w:fill="D6E3BC" w:themeFill="accent3" w:themeFillTint="66"/>
          </w:tcPr>
          <w:p w14:paraId="5CE063C3" w14:textId="77777777" w:rsidR="002D3389" w:rsidRPr="00257F44" w:rsidRDefault="002D3389" w:rsidP="00FD2A72">
            <w:pPr>
              <w:pStyle w:val="Rowcolumntitles"/>
              <w:rPr>
                <w:rFonts w:eastAsia="Times New Roman"/>
                <w:sz w:val="20"/>
                <w:lang w:val="uk-UA"/>
              </w:rPr>
            </w:pPr>
          </w:p>
        </w:tc>
        <w:tc>
          <w:tcPr>
            <w:tcW w:w="2334" w:type="dxa"/>
            <w:gridSpan w:val="6"/>
            <w:vMerge/>
            <w:shd w:val="clear" w:color="auto" w:fill="FBD4B4" w:themeFill="accent6" w:themeFillTint="66"/>
          </w:tcPr>
          <w:p w14:paraId="51460C1E" w14:textId="77777777" w:rsidR="002D3389" w:rsidRPr="00257F44" w:rsidRDefault="002D3389" w:rsidP="00FD2A72">
            <w:pPr>
              <w:pStyle w:val="Rowcolumntitles"/>
              <w:rPr>
                <w:rFonts w:eastAsia="Times New Roman"/>
                <w:sz w:val="20"/>
                <w:lang w:val="uk-UA"/>
              </w:rPr>
            </w:pPr>
          </w:p>
        </w:tc>
        <w:tc>
          <w:tcPr>
            <w:tcW w:w="341" w:type="dxa"/>
            <w:gridSpan w:val="3"/>
            <w:vMerge/>
            <w:shd w:val="clear" w:color="auto" w:fill="CCC0D9" w:themeFill="accent4" w:themeFillTint="66"/>
          </w:tcPr>
          <w:p w14:paraId="074BC9A5" w14:textId="77777777" w:rsidR="002D3389" w:rsidRPr="00257F44" w:rsidRDefault="002D3389" w:rsidP="00FD2A72">
            <w:pPr>
              <w:pStyle w:val="Rowcolumntitles"/>
              <w:rPr>
                <w:sz w:val="20"/>
                <w:lang w:val="uk-UA"/>
              </w:rPr>
            </w:pPr>
          </w:p>
        </w:tc>
        <w:tc>
          <w:tcPr>
            <w:tcW w:w="341" w:type="dxa"/>
            <w:gridSpan w:val="2"/>
            <w:vMerge/>
            <w:shd w:val="clear" w:color="auto" w:fill="CCC0D9" w:themeFill="accent4" w:themeFillTint="66"/>
          </w:tcPr>
          <w:p w14:paraId="01838441" w14:textId="77777777" w:rsidR="002D3389" w:rsidRPr="00257F44" w:rsidRDefault="002D3389" w:rsidP="00FD2A72">
            <w:pPr>
              <w:pStyle w:val="Rowcolumntitles"/>
              <w:rPr>
                <w:rFonts w:eastAsia="Times New Roman"/>
                <w:sz w:val="20"/>
                <w:lang w:val="uk-UA"/>
              </w:rPr>
            </w:pPr>
          </w:p>
        </w:tc>
        <w:tc>
          <w:tcPr>
            <w:tcW w:w="341" w:type="dxa"/>
            <w:gridSpan w:val="2"/>
            <w:vMerge/>
            <w:shd w:val="clear" w:color="auto" w:fill="CCC0D9" w:themeFill="accent4" w:themeFillTint="66"/>
          </w:tcPr>
          <w:p w14:paraId="2D7565C4" w14:textId="77777777" w:rsidR="002D3389" w:rsidRPr="00257F44" w:rsidRDefault="002D3389" w:rsidP="00FD2A72">
            <w:pPr>
              <w:pStyle w:val="Rowcolumntitles"/>
              <w:rPr>
                <w:sz w:val="20"/>
                <w:lang w:val="uk-UA"/>
              </w:rPr>
            </w:pPr>
          </w:p>
        </w:tc>
        <w:tc>
          <w:tcPr>
            <w:tcW w:w="343" w:type="dxa"/>
            <w:gridSpan w:val="3"/>
            <w:vMerge/>
            <w:shd w:val="clear" w:color="auto" w:fill="CCC0D9" w:themeFill="accent4" w:themeFillTint="66"/>
          </w:tcPr>
          <w:p w14:paraId="0BCDD3DE"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03984036" w14:textId="788BF66A"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02E40E18" w14:textId="77777777" w:rsidR="002D3389" w:rsidRPr="00257F44" w:rsidRDefault="002D3389" w:rsidP="00FD2A72">
            <w:pPr>
              <w:pStyle w:val="Rowcolumntitles"/>
              <w:rPr>
                <w:rFonts w:eastAsia="Times New Roman"/>
                <w:sz w:val="20"/>
                <w:lang w:val="uk-UA"/>
              </w:rPr>
            </w:pPr>
          </w:p>
        </w:tc>
        <w:tc>
          <w:tcPr>
            <w:tcW w:w="487" w:type="dxa"/>
            <w:gridSpan w:val="4"/>
            <w:shd w:val="clear" w:color="auto" w:fill="B8CCE4" w:themeFill="accent1" w:themeFillTint="66"/>
          </w:tcPr>
          <w:p w14:paraId="01FD6439" w14:textId="70FA8658"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93" w:type="dxa"/>
            <w:gridSpan w:val="3"/>
            <w:shd w:val="clear" w:color="auto" w:fill="B8CCE4" w:themeFill="accent1" w:themeFillTint="66"/>
          </w:tcPr>
          <w:p w14:paraId="7245AB72" w14:textId="4ECF590E" w:rsidR="002D3389" w:rsidRPr="00257F44" w:rsidRDefault="002D3389" w:rsidP="00FD2A72">
            <w:pPr>
              <w:pStyle w:val="Rowcolumntitles"/>
              <w:rPr>
                <w:rFonts w:eastAsia="Times New Roman"/>
                <w:sz w:val="20"/>
                <w:lang w:val="uk-UA"/>
              </w:rPr>
            </w:pPr>
          </w:p>
        </w:tc>
        <w:tc>
          <w:tcPr>
            <w:tcW w:w="367" w:type="dxa"/>
            <w:gridSpan w:val="3"/>
            <w:vMerge/>
            <w:shd w:val="clear" w:color="auto" w:fill="D99594" w:themeFill="accent2" w:themeFillTint="99"/>
          </w:tcPr>
          <w:p w14:paraId="75CF3B05"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2A182821"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7BC83075"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49F7FABB" w14:textId="77777777" w:rsidR="002D3389" w:rsidRPr="00257F44" w:rsidRDefault="002D3389" w:rsidP="00FD2A72">
            <w:pPr>
              <w:pStyle w:val="Rowcolumntitles"/>
              <w:rPr>
                <w:rFonts w:eastAsia="Times New Roman"/>
                <w:sz w:val="20"/>
                <w:lang w:val="uk-UA"/>
              </w:rPr>
            </w:pPr>
          </w:p>
        </w:tc>
        <w:tc>
          <w:tcPr>
            <w:tcW w:w="388" w:type="dxa"/>
            <w:gridSpan w:val="2"/>
            <w:vMerge/>
            <w:shd w:val="clear" w:color="auto" w:fill="D99594" w:themeFill="accent2" w:themeFillTint="99"/>
          </w:tcPr>
          <w:p w14:paraId="495AA615" w14:textId="77777777" w:rsidR="002D3389" w:rsidRPr="00257F44" w:rsidRDefault="002D3389" w:rsidP="00FD2A72">
            <w:pPr>
              <w:pStyle w:val="Rowcolumntitles"/>
              <w:rPr>
                <w:rFonts w:eastAsia="Times New Roman"/>
                <w:sz w:val="20"/>
                <w:lang w:val="uk-UA"/>
              </w:rPr>
            </w:pPr>
          </w:p>
        </w:tc>
      </w:tr>
      <w:tr w:rsidR="002D3389" w:rsidRPr="00257F44" w14:paraId="49CF904D" w14:textId="77777777" w:rsidTr="00DB3322">
        <w:trPr>
          <w:trHeight w:val="486"/>
        </w:trPr>
        <w:tc>
          <w:tcPr>
            <w:tcW w:w="10453" w:type="dxa"/>
            <w:gridSpan w:val="45"/>
            <w:shd w:val="clear" w:color="auto" w:fill="000000" w:themeFill="text1"/>
          </w:tcPr>
          <w:p w14:paraId="4A5F6C6E" w14:textId="227B2693" w:rsidR="002D3389" w:rsidRPr="00257F44" w:rsidRDefault="00F55484" w:rsidP="00FD2A72">
            <w:pPr>
              <w:pStyle w:val="Rowcolumntitles"/>
              <w:rPr>
                <w:b/>
                <w:color w:val="FFFFFF" w:themeColor="background1"/>
                <w:sz w:val="20"/>
                <w:lang w:val="uk-UA"/>
              </w:rPr>
            </w:pPr>
            <w:r w:rsidRPr="00257F44">
              <w:rPr>
                <w:b/>
                <w:color w:val="FFFFFF" w:themeColor="background1"/>
                <w:sz w:val="20"/>
                <w:lang w:val="uk-UA"/>
              </w:rPr>
              <w:t>Тема 5: Технології електронного урядування для розвитку електронної демократії</w:t>
            </w:r>
          </w:p>
        </w:tc>
      </w:tr>
      <w:tr w:rsidR="000E0B9A" w:rsidRPr="00257F44" w14:paraId="663BA016" w14:textId="77777777" w:rsidTr="00DB3322">
        <w:trPr>
          <w:gridAfter w:val="2"/>
          <w:wAfter w:w="24" w:type="dxa"/>
          <w:trHeight w:val="174"/>
        </w:trPr>
        <w:tc>
          <w:tcPr>
            <w:tcW w:w="1470" w:type="dxa"/>
            <w:vMerge w:val="restart"/>
            <w:shd w:val="clear" w:color="auto" w:fill="000000" w:themeFill="text1"/>
          </w:tcPr>
          <w:p w14:paraId="5B7DF2B4" w14:textId="23616CFF" w:rsidR="002D3389" w:rsidRPr="00257F44" w:rsidRDefault="002D3389" w:rsidP="00FD2A72">
            <w:pPr>
              <w:pStyle w:val="Rowcolumntitles"/>
              <w:rPr>
                <w:color w:val="FFFFFF" w:themeColor="background1"/>
                <w:sz w:val="20"/>
                <w:lang w:val="uk-UA"/>
              </w:rPr>
            </w:pPr>
            <w:r w:rsidRPr="00257F44">
              <w:rPr>
                <w:color w:val="FFFFFF" w:themeColor="background1"/>
                <w:sz w:val="20"/>
                <w:lang w:val="uk-UA"/>
              </w:rPr>
              <w:t xml:space="preserve">18. </w:t>
            </w:r>
            <w:r w:rsidR="00881CF9" w:rsidRPr="00257F44">
              <w:rPr>
                <w:color w:val="FFFFFF" w:themeColor="background1"/>
                <w:sz w:val="20"/>
                <w:lang w:val="uk-UA"/>
              </w:rPr>
              <w:t>Закони з питань електронного урядування</w:t>
            </w:r>
          </w:p>
        </w:tc>
        <w:tc>
          <w:tcPr>
            <w:tcW w:w="402" w:type="dxa"/>
            <w:vMerge w:val="restart"/>
            <w:shd w:val="clear" w:color="auto" w:fill="D6E3BC" w:themeFill="accent3" w:themeFillTint="66"/>
          </w:tcPr>
          <w:p w14:paraId="09D4C1CE" w14:textId="77777777" w:rsidR="002D3389" w:rsidRPr="00257F44" w:rsidRDefault="002D3389" w:rsidP="00FD2A72">
            <w:pPr>
              <w:pStyle w:val="Rowcolumntitles"/>
              <w:rPr>
                <w:sz w:val="20"/>
                <w:lang w:val="uk-UA"/>
              </w:rPr>
            </w:pPr>
          </w:p>
        </w:tc>
        <w:tc>
          <w:tcPr>
            <w:tcW w:w="388" w:type="dxa"/>
            <w:vMerge w:val="restart"/>
            <w:shd w:val="clear" w:color="auto" w:fill="D6E3BC" w:themeFill="accent3" w:themeFillTint="66"/>
          </w:tcPr>
          <w:p w14:paraId="421BAA37" w14:textId="77777777" w:rsidR="002D3389" w:rsidRPr="00257F44" w:rsidRDefault="002D3389" w:rsidP="00FD2A72">
            <w:pPr>
              <w:pStyle w:val="Rowcolumntitles"/>
              <w:rPr>
                <w:rFonts w:eastAsia="Times New Roman"/>
                <w:sz w:val="20"/>
                <w:lang w:val="uk-UA"/>
              </w:rPr>
            </w:pPr>
          </w:p>
        </w:tc>
        <w:tc>
          <w:tcPr>
            <w:tcW w:w="425" w:type="dxa"/>
            <w:vMerge w:val="restart"/>
            <w:shd w:val="clear" w:color="auto" w:fill="D6E3BC" w:themeFill="accent3" w:themeFillTint="66"/>
          </w:tcPr>
          <w:p w14:paraId="3A5DEA87" w14:textId="77777777" w:rsidR="002D3389" w:rsidRPr="00257F44" w:rsidRDefault="002D3389" w:rsidP="00FD2A72">
            <w:pPr>
              <w:pStyle w:val="Rowcolumntitles"/>
              <w:rPr>
                <w:sz w:val="20"/>
                <w:lang w:val="uk-UA"/>
              </w:rPr>
            </w:pPr>
          </w:p>
        </w:tc>
        <w:tc>
          <w:tcPr>
            <w:tcW w:w="395" w:type="dxa"/>
            <w:vMerge w:val="restart"/>
            <w:shd w:val="clear" w:color="auto" w:fill="D6E3BC" w:themeFill="accent3" w:themeFillTint="66"/>
          </w:tcPr>
          <w:p w14:paraId="3FFB221F" w14:textId="679796DD"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654" w:type="dxa"/>
            <w:gridSpan w:val="2"/>
            <w:vMerge w:val="restart"/>
            <w:shd w:val="clear" w:color="auto" w:fill="FBD4B4" w:themeFill="accent6" w:themeFillTint="66"/>
          </w:tcPr>
          <w:p w14:paraId="0BBE69EC" w14:textId="77777777" w:rsidR="002D3389" w:rsidRPr="00257F44" w:rsidRDefault="002D3389" w:rsidP="00FD2A72">
            <w:pPr>
              <w:pStyle w:val="Rowcolumntitles"/>
              <w:rPr>
                <w:rFonts w:eastAsia="Times New Roman"/>
                <w:sz w:val="20"/>
                <w:lang w:val="uk-UA"/>
              </w:rPr>
            </w:pPr>
          </w:p>
        </w:tc>
        <w:tc>
          <w:tcPr>
            <w:tcW w:w="369" w:type="dxa"/>
            <w:vMerge w:val="restart"/>
            <w:shd w:val="clear" w:color="auto" w:fill="FBD4B4" w:themeFill="accent6" w:themeFillTint="66"/>
          </w:tcPr>
          <w:p w14:paraId="22F23C6E" w14:textId="3D837EF7"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04" w:type="dxa"/>
            <w:vMerge w:val="restart"/>
            <w:shd w:val="clear" w:color="auto" w:fill="FBD4B4" w:themeFill="accent6" w:themeFillTint="66"/>
          </w:tcPr>
          <w:p w14:paraId="42051C8E" w14:textId="77777777" w:rsidR="002D3389" w:rsidRPr="00257F44" w:rsidRDefault="002D3389" w:rsidP="00FD2A72">
            <w:pPr>
              <w:pStyle w:val="Rowcolumntitles"/>
              <w:rPr>
                <w:rFonts w:eastAsia="Times New Roman"/>
                <w:sz w:val="20"/>
                <w:lang w:val="uk-UA"/>
              </w:rPr>
            </w:pPr>
          </w:p>
        </w:tc>
        <w:tc>
          <w:tcPr>
            <w:tcW w:w="895" w:type="dxa"/>
            <w:vMerge w:val="restart"/>
            <w:shd w:val="clear" w:color="auto" w:fill="FBD4B4" w:themeFill="accent6" w:themeFillTint="66"/>
          </w:tcPr>
          <w:p w14:paraId="59255032" w14:textId="78AAAC09"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41" w:type="dxa"/>
            <w:gridSpan w:val="3"/>
            <w:vMerge w:val="restart"/>
            <w:shd w:val="clear" w:color="auto" w:fill="CCC0D9" w:themeFill="accent4" w:themeFillTint="66"/>
          </w:tcPr>
          <w:p w14:paraId="07827B7D" w14:textId="77777777" w:rsidR="002D3389" w:rsidRPr="00257F44" w:rsidRDefault="002D3389" w:rsidP="00FD2A72">
            <w:pPr>
              <w:pStyle w:val="Rowcolumntitles"/>
              <w:rPr>
                <w:sz w:val="20"/>
                <w:lang w:val="uk-UA"/>
              </w:rPr>
            </w:pPr>
          </w:p>
        </w:tc>
        <w:tc>
          <w:tcPr>
            <w:tcW w:w="341" w:type="dxa"/>
            <w:gridSpan w:val="2"/>
            <w:vMerge w:val="restart"/>
            <w:shd w:val="clear" w:color="auto" w:fill="CCC0D9" w:themeFill="accent4" w:themeFillTint="66"/>
          </w:tcPr>
          <w:p w14:paraId="33C81E69" w14:textId="4696BB19"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41" w:type="dxa"/>
            <w:gridSpan w:val="2"/>
            <w:vMerge w:val="restart"/>
            <w:shd w:val="clear" w:color="auto" w:fill="CCC0D9" w:themeFill="accent4" w:themeFillTint="66"/>
          </w:tcPr>
          <w:p w14:paraId="1F437E3C" w14:textId="77777777" w:rsidR="002D3389" w:rsidRPr="00257F44" w:rsidRDefault="002D3389" w:rsidP="00FD2A72">
            <w:pPr>
              <w:pStyle w:val="Rowcolumntitles"/>
              <w:rPr>
                <w:sz w:val="20"/>
                <w:lang w:val="uk-UA"/>
              </w:rPr>
            </w:pPr>
          </w:p>
        </w:tc>
        <w:tc>
          <w:tcPr>
            <w:tcW w:w="343" w:type="dxa"/>
            <w:gridSpan w:val="3"/>
            <w:vMerge w:val="restart"/>
            <w:shd w:val="clear" w:color="auto" w:fill="CCC0D9" w:themeFill="accent4" w:themeFillTint="66"/>
          </w:tcPr>
          <w:p w14:paraId="7B4E8056"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52E52161" w14:textId="47DC49D6"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0A4BB05B" w14:textId="5B8CE93A" w:rsidR="002D3389" w:rsidRPr="00257F44" w:rsidRDefault="002D3389" w:rsidP="00FD2A72">
            <w:pPr>
              <w:pStyle w:val="Rowcolumntitles"/>
              <w:rPr>
                <w:rFonts w:eastAsia="Times New Roman"/>
                <w:sz w:val="20"/>
                <w:lang w:val="uk-UA"/>
              </w:rPr>
            </w:pPr>
          </w:p>
        </w:tc>
        <w:tc>
          <w:tcPr>
            <w:tcW w:w="487" w:type="dxa"/>
            <w:gridSpan w:val="4"/>
            <w:shd w:val="clear" w:color="auto" w:fill="B8CCE4" w:themeFill="accent1" w:themeFillTint="66"/>
          </w:tcPr>
          <w:p w14:paraId="14B94D6E" w14:textId="3B3E76EE"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93" w:type="dxa"/>
            <w:gridSpan w:val="3"/>
            <w:shd w:val="clear" w:color="auto" w:fill="B8CCE4" w:themeFill="accent1" w:themeFillTint="66"/>
          </w:tcPr>
          <w:p w14:paraId="096D0E64" w14:textId="54638E01" w:rsidR="002D3389" w:rsidRPr="00257F44" w:rsidRDefault="002D3389" w:rsidP="00FD2A72">
            <w:pPr>
              <w:pStyle w:val="Rowcolumntitles"/>
              <w:rPr>
                <w:rFonts w:eastAsia="Times New Roman"/>
                <w:sz w:val="20"/>
                <w:lang w:val="uk-UA"/>
              </w:rPr>
            </w:pPr>
          </w:p>
        </w:tc>
        <w:tc>
          <w:tcPr>
            <w:tcW w:w="367" w:type="dxa"/>
            <w:gridSpan w:val="3"/>
            <w:vMerge w:val="restart"/>
            <w:shd w:val="clear" w:color="auto" w:fill="D99594" w:themeFill="accent2" w:themeFillTint="99"/>
          </w:tcPr>
          <w:p w14:paraId="37CDB8B1"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6A333823"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49FD8EC0"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1F5A3524" w14:textId="77777777" w:rsidR="002D3389" w:rsidRPr="00257F44" w:rsidRDefault="002D3389"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62B5744D" w14:textId="5E8864F2"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r>
      <w:tr w:rsidR="000E0B9A" w:rsidRPr="00257F44" w14:paraId="5EFE367F" w14:textId="77777777" w:rsidTr="00DB3322">
        <w:trPr>
          <w:gridAfter w:val="2"/>
          <w:wAfter w:w="24" w:type="dxa"/>
          <w:trHeight w:val="173"/>
        </w:trPr>
        <w:tc>
          <w:tcPr>
            <w:tcW w:w="1470" w:type="dxa"/>
            <w:vMerge/>
            <w:shd w:val="clear" w:color="auto" w:fill="000000" w:themeFill="text1"/>
          </w:tcPr>
          <w:p w14:paraId="594A27CE" w14:textId="77777777" w:rsidR="002D3389" w:rsidRPr="00257F44" w:rsidRDefault="002D3389" w:rsidP="00FD2A72">
            <w:pPr>
              <w:pStyle w:val="Rowcolumntitles"/>
              <w:rPr>
                <w:color w:val="FFFFFF" w:themeColor="background1"/>
                <w:sz w:val="20"/>
                <w:lang w:val="uk-UA"/>
              </w:rPr>
            </w:pPr>
          </w:p>
        </w:tc>
        <w:tc>
          <w:tcPr>
            <w:tcW w:w="402" w:type="dxa"/>
            <w:vMerge/>
            <w:shd w:val="clear" w:color="auto" w:fill="D6E3BC" w:themeFill="accent3" w:themeFillTint="66"/>
          </w:tcPr>
          <w:p w14:paraId="0CE5F2F7" w14:textId="77777777" w:rsidR="002D3389" w:rsidRPr="00257F44" w:rsidRDefault="002D3389" w:rsidP="00FD2A72">
            <w:pPr>
              <w:pStyle w:val="Rowcolumntitles"/>
              <w:rPr>
                <w:sz w:val="20"/>
                <w:lang w:val="uk-UA"/>
              </w:rPr>
            </w:pPr>
          </w:p>
        </w:tc>
        <w:tc>
          <w:tcPr>
            <w:tcW w:w="388" w:type="dxa"/>
            <w:vMerge/>
            <w:shd w:val="clear" w:color="auto" w:fill="D6E3BC" w:themeFill="accent3" w:themeFillTint="66"/>
          </w:tcPr>
          <w:p w14:paraId="6CA69B22" w14:textId="77777777" w:rsidR="002D3389" w:rsidRPr="00257F44" w:rsidRDefault="002D3389" w:rsidP="00FD2A72">
            <w:pPr>
              <w:pStyle w:val="Rowcolumntitles"/>
              <w:rPr>
                <w:rFonts w:eastAsia="Times New Roman"/>
                <w:sz w:val="20"/>
                <w:lang w:val="uk-UA"/>
              </w:rPr>
            </w:pPr>
          </w:p>
        </w:tc>
        <w:tc>
          <w:tcPr>
            <w:tcW w:w="425" w:type="dxa"/>
            <w:vMerge/>
            <w:shd w:val="clear" w:color="auto" w:fill="D6E3BC" w:themeFill="accent3" w:themeFillTint="66"/>
          </w:tcPr>
          <w:p w14:paraId="4E9A6A67" w14:textId="77777777" w:rsidR="002D3389" w:rsidRPr="00257F44" w:rsidRDefault="002D3389" w:rsidP="00FD2A72">
            <w:pPr>
              <w:pStyle w:val="Rowcolumntitles"/>
              <w:rPr>
                <w:sz w:val="20"/>
                <w:lang w:val="uk-UA"/>
              </w:rPr>
            </w:pPr>
          </w:p>
        </w:tc>
        <w:tc>
          <w:tcPr>
            <w:tcW w:w="395" w:type="dxa"/>
            <w:vMerge/>
            <w:shd w:val="clear" w:color="auto" w:fill="D6E3BC" w:themeFill="accent3" w:themeFillTint="66"/>
          </w:tcPr>
          <w:p w14:paraId="14F0BF6C" w14:textId="77777777" w:rsidR="002D3389" w:rsidRPr="00257F44" w:rsidRDefault="002D3389" w:rsidP="00FD2A72">
            <w:pPr>
              <w:pStyle w:val="Rowcolumntitles"/>
              <w:rPr>
                <w:noProof/>
                <w:sz w:val="20"/>
                <w:lang w:val="uk-UA"/>
              </w:rPr>
            </w:pPr>
          </w:p>
        </w:tc>
        <w:tc>
          <w:tcPr>
            <w:tcW w:w="654" w:type="dxa"/>
            <w:gridSpan w:val="2"/>
            <w:vMerge/>
            <w:shd w:val="clear" w:color="auto" w:fill="FBD4B4" w:themeFill="accent6" w:themeFillTint="66"/>
          </w:tcPr>
          <w:p w14:paraId="6DBC82F8" w14:textId="77777777" w:rsidR="002D3389" w:rsidRPr="00257F44" w:rsidRDefault="002D3389" w:rsidP="00FD2A72">
            <w:pPr>
              <w:pStyle w:val="Rowcolumntitles"/>
              <w:rPr>
                <w:rFonts w:eastAsia="Times New Roman"/>
                <w:sz w:val="20"/>
                <w:lang w:val="uk-UA"/>
              </w:rPr>
            </w:pPr>
          </w:p>
        </w:tc>
        <w:tc>
          <w:tcPr>
            <w:tcW w:w="369" w:type="dxa"/>
            <w:vMerge/>
            <w:shd w:val="clear" w:color="auto" w:fill="FBD4B4" w:themeFill="accent6" w:themeFillTint="66"/>
          </w:tcPr>
          <w:p w14:paraId="73F943ED" w14:textId="77777777" w:rsidR="002D3389" w:rsidRPr="00257F44" w:rsidRDefault="002D3389" w:rsidP="00FD2A72">
            <w:pPr>
              <w:pStyle w:val="Rowcolumntitles"/>
              <w:rPr>
                <w:noProof/>
                <w:sz w:val="20"/>
                <w:lang w:val="uk-UA"/>
              </w:rPr>
            </w:pPr>
          </w:p>
        </w:tc>
        <w:tc>
          <w:tcPr>
            <w:tcW w:w="404" w:type="dxa"/>
            <w:vMerge/>
            <w:shd w:val="clear" w:color="auto" w:fill="FBD4B4" w:themeFill="accent6" w:themeFillTint="66"/>
          </w:tcPr>
          <w:p w14:paraId="3CAFC13A" w14:textId="77777777" w:rsidR="002D3389" w:rsidRPr="00257F44" w:rsidRDefault="002D3389" w:rsidP="00FD2A72">
            <w:pPr>
              <w:pStyle w:val="Rowcolumntitles"/>
              <w:rPr>
                <w:rFonts w:eastAsia="Times New Roman"/>
                <w:sz w:val="20"/>
                <w:lang w:val="uk-UA"/>
              </w:rPr>
            </w:pPr>
          </w:p>
        </w:tc>
        <w:tc>
          <w:tcPr>
            <w:tcW w:w="895" w:type="dxa"/>
            <w:vMerge/>
            <w:shd w:val="clear" w:color="auto" w:fill="FBD4B4" w:themeFill="accent6" w:themeFillTint="66"/>
          </w:tcPr>
          <w:p w14:paraId="3D9497BA" w14:textId="77777777" w:rsidR="002D3389" w:rsidRPr="00257F44" w:rsidRDefault="002D3389" w:rsidP="00FD2A72">
            <w:pPr>
              <w:pStyle w:val="Rowcolumntitles"/>
              <w:rPr>
                <w:noProof/>
                <w:sz w:val="20"/>
                <w:lang w:val="uk-UA"/>
              </w:rPr>
            </w:pPr>
          </w:p>
        </w:tc>
        <w:tc>
          <w:tcPr>
            <w:tcW w:w="341" w:type="dxa"/>
            <w:gridSpan w:val="3"/>
            <w:vMerge/>
            <w:shd w:val="clear" w:color="auto" w:fill="CCC0D9" w:themeFill="accent4" w:themeFillTint="66"/>
          </w:tcPr>
          <w:p w14:paraId="088D8341" w14:textId="77777777" w:rsidR="002D3389" w:rsidRPr="00257F44" w:rsidRDefault="002D3389" w:rsidP="00FD2A72">
            <w:pPr>
              <w:pStyle w:val="Rowcolumntitles"/>
              <w:rPr>
                <w:sz w:val="20"/>
                <w:lang w:val="uk-UA"/>
              </w:rPr>
            </w:pPr>
          </w:p>
        </w:tc>
        <w:tc>
          <w:tcPr>
            <w:tcW w:w="341" w:type="dxa"/>
            <w:gridSpan w:val="2"/>
            <w:vMerge/>
            <w:shd w:val="clear" w:color="auto" w:fill="CCC0D9" w:themeFill="accent4" w:themeFillTint="66"/>
          </w:tcPr>
          <w:p w14:paraId="37F10F6F" w14:textId="77777777" w:rsidR="002D3389" w:rsidRPr="00257F44" w:rsidRDefault="002D3389" w:rsidP="00FD2A72">
            <w:pPr>
              <w:pStyle w:val="Rowcolumntitles"/>
              <w:rPr>
                <w:noProof/>
                <w:sz w:val="20"/>
                <w:lang w:val="uk-UA"/>
              </w:rPr>
            </w:pPr>
          </w:p>
        </w:tc>
        <w:tc>
          <w:tcPr>
            <w:tcW w:w="341" w:type="dxa"/>
            <w:gridSpan w:val="2"/>
            <w:vMerge/>
            <w:shd w:val="clear" w:color="auto" w:fill="CCC0D9" w:themeFill="accent4" w:themeFillTint="66"/>
          </w:tcPr>
          <w:p w14:paraId="35E9DF5B" w14:textId="77777777" w:rsidR="002D3389" w:rsidRPr="00257F44" w:rsidRDefault="002D3389" w:rsidP="00FD2A72">
            <w:pPr>
              <w:pStyle w:val="Rowcolumntitles"/>
              <w:rPr>
                <w:sz w:val="20"/>
                <w:lang w:val="uk-UA"/>
              </w:rPr>
            </w:pPr>
          </w:p>
        </w:tc>
        <w:tc>
          <w:tcPr>
            <w:tcW w:w="343" w:type="dxa"/>
            <w:gridSpan w:val="3"/>
            <w:vMerge/>
            <w:shd w:val="clear" w:color="auto" w:fill="CCC0D9" w:themeFill="accent4" w:themeFillTint="66"/>
          </w:tcPr>
          <w:p w14:paraId="682A6B37"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01DE2E9A" w14:textId="77777777" w:rsidR="002D3389" w:rsidRPr="00257F44" w:rsidRDefault="002D3389" w:rsidP="00FD2A72">
            <w:pPr>
              <w:pStyle w:val="Rowcolumntitles"/>
              <w:rPr>
                <w:sz w:val="20"/>
                <w:lang w:val="uk-UA"/>
              </w:rPr>
            </w:pPr>
          </w:p>
        </w:tc>
        <w:tc>
          <w:tcPr>
            <w:tcW w:w="487" w:type="dxa"/>
            <w:gridSpan w:val="2"/>
            <w:shd w:val="clear" w:color="auto" w:fill="B8CCE4" w:themeFill="accent1" w:themeFillTint="66"/>
          </w:tcPr>
          <w:p w14:paraId="43AE86CA" w14:textId="77777777" w:rsidR="002D3389" w:rsidRPr="00257F44" w:rsidRDefault="002D3389" w:rsidP="00FD2A72">
            <w:pPr>
              <w:pStyle w:val="Rowcolumntitles"/>
              <w:rPr>
                <w:sz w:val="20"/>
                <w:lang w:val="uk-UA"/>
              </w:rPr>
            </w:pPr>
          </w:p>
        </w:tc>
        <w:tc>
          <w:tcPr>
            <w:tcW w:w="487" w:type="dxa"/>
            <w:gridSpan w:val="4"/>
            <w:shd w:val="clear" w:color="auto" w:fill="B8CCE4" w:themeFill="accent1" w:themeFillTint="66"/>
          </w:tcPr>
          <w:p w14:paraId="1975B9BF" w14:textId="6665697E" w:rsidR="002D3389" w:rsidRPr="00257F44" w:rsidRDefault="002D3389" w:rsidP="00FD2A72">
            <w:pPr>
              <w:pStyle w:val="Rowcolumntitles"/>
              <w:rPr>
                <w:sz w:val="20"/>
                <w:lang w:val="uk-UA"/>
              </w:rPr>
            </w:pPr>
            <w:r w:rsidRPr="00257F44">
              <w:rPr>
                <w:rFonts w:ascii="MS Mincho" w:eastAsia="MS Mincho" w:hAnsi="MS Mincho" w:cs="MS Mincho"/>
                <w:noProof/>
                <w:sz w:val="20"/>
                <w:lang w:val="uk-UA"/>
              </w:rPr>
              <w:t>✔</w:t>
            </w:r>
          </w:p>
        </w:tc>
        <w:tc>
          <w:tcPr>
            <w:tcW w:w="493" w:type="dxa"/>
            <w:gridSpan w:val="3"/>
            <w:shd w:val="clear" w:color="auto" w:fill="B8CCE4" w:themeFill="accent1" w:themeFillTint="66"/>
          </w:tcPr>
          <w:p w14:paraId="3E600FEC" w14:textId="2559D21B" w:rsidR="002D3389" w:rsidRPr="00257F44" w:rsidRDefault="002D3389" w:rsidP="00FD2A72">
            <w:pPr>
              <w:pStyle w:val="Rowcolumntitles"/>
              <w:rPr>
                <w:sz w:val="20"/>
                <w:lang w:val="uk-UA"/>
              </w:rPr>
            </w:pPr>
          </w:p>
        </w:tc>
        <w:tc>
          <w:tcPr>
            <w:tcW w:w="367" w:type="dxa"/>
            <w:gridSpan w:val="3"/>
            <w:vMerge/>
            <w:shd w:val="clear" w:color="auto" w:fill="D99594" w:themeFill="accent2" w:themeFillTint="99"/>
          </w:tcPr>
          <w:p w14:paraId="064F9CA4"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3738F321"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1ED411A1"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48B522C2" w14:textId="77777777" w:rsidR="002D3389" w:rsidRPr="00257F44" w:rsidRDefault="002D3389" w:rsidP="00FD2A72">
            <w:pPr>
              <w:pStyle w:val="Rowcolumntitles"/>
              <w:rPr>
                <w:rFonts w:eastAsia="Times New Roman"/>
                <w:sz w:val="20"/>
                <w:lang w:val="uk-UA"/>
              </w:rPr>
            </w:pPr>
          </w:p>
        </w:tc>
        <w:tc>
          <w:tcPr>
            <w:tcW w:w="388" w:type="dxa"/>
            <w:gridSpan w:val="2"/>
            <w:vMerge/>
            <w:shd w:val="clear" w:color="auto" w:fill="D99594" w:themeFill="accent2" w:themeFillTint="99"/>
          </w:tcPr>
          <w:p w14:paraId="68033B13" w14:textId="77777777" w:rsidR="002D3389" w:rsidRPr="00257F44" w:rsidRDefault="002D3389" w:rsidP="00FD2A72">
            <w:pPr>
              <w:pStyle w:val="Rowcolumntitles"/>
              <w:rPr>
                <w:noProof/>
                <w:sz w:val="20"/>
                <w:lang w:val="uk-UA"/>
              </w:rPr>
            </w:pPr>
          </w:p>
        </w:tc>
      </w:tr>
      <w:tr w:rsidR="00B017F8" w:rsidRPr="00257F44" w14:paraId="3A108FA2" w14:textId="77777777" w:rsidTr="00DB3322">
        <w:trPr>
          <w:gridAfter w:val="1"/>
          <w:wAfter w:w="12" w:type="dxa"/>
          <w:trHeight w:val="227"/>
        </w:trPr>
        <w:tc>
          <w:tcPr>
            <w:tcW w:w="1470" w:type="dxa"/>
            <w:vMerge w:val="restart"/>
            <w:shd w:val="clear" w:color="auto" w:fill="000000" w:themeFill="text1"/>
          </w:tcPr>
          <w:p w14:paraId="6A86D8DB" w14:textId="77777777" w:rsidR="002D3389" w:rsidRPr="00257F44" w:rsidRDefault="002D3389" w:rsidP="00FD2A72">
            <w:pPr>
              <w:pStyle w:val="Rowcolumntitles"/>
              <w:rPr>
                <w:color w:val="FFFFFF" w:themeColor="background1"/>
                <w:sz w:val="20"/>
                <w:lang w:val="uk-UA"/>
              </w:rPr>
            </w:pPr>
            <w:r w:rsidRPr="00257F44">
              <w:rPr>
                <w:color w:val="FFFFFF" w:themeColor="background1"/>
                <w:sz w:val="20"/>
                <w:lang w:val="uk-UA"/>
              </w:rPr>
              <w:t xml:space="preserve">19. </w:t>
            </w:r>
            <w:r w:rsidR="00881CF9" w:rsidRPr="00257F44">
              <w:rPr>
                <w:color w:val="FFFFFF" w:themeColor="background1"/>
                <w:sz w:val="20"/>
                <w:lang w:val="uk-UA"/>
              </w:rPr>
              <w:t>Оцінка електронної готовності</w:t>
            </w:r>
          </w:p>
          <w:p w14:paraId="14386BC8" w14:textId="6C41AFB2" w:rsidR="008757D2" w:rsidRPr="00257F44" w:rsidRDefault="008757D2" w:rsidP="00FD2A72">
            <w:pPr>
              <w:pStyle w:val="Rowcolumntitles"/>
              <w:rPr>
                <w:color w:val="FFFFFF" w:themeColor="background1"/>
                <w:sz w:val="20"/>
                <w:lang w:val="uk-UA"/>
              </w:rPr>
            </w:pPr>
          </w:p>
        </w:tc>
        <w:tc>
          <w:tcPr>
            <w:tcW w:w="402" w:type="dxa"/>
            <w:vMerge w:val="restart"/>
            <w:shd w:val="clear" w:color="auto" w:fill="D6E3BC" w:themeFill="accent3" w:themeFillTint="66"/>
          </w:tcPr>
          <w:p w14:paraId="538B86A3" w14:textId="77777777" w:rsidR="002D3389" w:rsidRPr="00257F44" w:rsidRDefault="002D3389" w:rsidP="00FD2A72">
            <w:pPr>
              <w:pStyle w:val="Rowcolumntitles"/>
              <w:rPr>
                <w:sz w:val="20"/>
                <w:lang w:val="uk-UA"/>
              </w:rPr>
            </w:pPr>
          </w:p>
        </w:tc>
        <w:tc>
          <w:tcPr>
            <w:tcW w:w="388" w:type="dxa"/>
            <w:vMerge w:val="restart"/>
            <w:shd w:val="clear" w:color="auto" w:fill="D6E3BC" w:themeFill="accent3" w:themeFillTint="66"/>
          </w:tcPr>
          <w:p w14:paraId="2AB8F0C9" w14:textId="7B414294"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25" w:type="dxa"/>
            <w:vMerge w:val="restart"/>
            <w:shd w:val="clear" w:color="auto" w:fill="D6E3BC" w:themeFill="accent3" w:themeFillTint="66"/>
          </w:tcPr>
          <w:p w14:paraId="13FA1322" w14:textId="77777777" w:rsidR="002D3389" w:rsidRPr="00257F44" w:rsidRDefault="002D3389" w:rsidP="00FD2A72">
            <w:pPr>
              <w:pStyle w:val="Rowcolumntitles"/>
              <w:rPr>
                <w:sz w:val="20"/>
                <w:lang w:val="uk-UA"/>
              </w:rPr>
            </w:pPr>
          </w:p>
        </w:tc>
        <w:tc>
          <w:tcPr>
            <w:tcW w:w="395" w:type="dxa"/>
            <w:vMerge w:val="restart"/>
            <w:shd w:val="clear" w:color="auto" w:fill="D6E3BC" w:themeFill="accent3" w:themeFillTint="66"/>
          </w:tcPr>
          <w:p w14:paraId="7BBCB718" w14:textId="77777777" w:rsidR="002D3389" w:rsidRPr="00257F44" w:rsidRDefault="002D3389" w:rsidP="00FD2A72">
            <w:pPr>
              <w:pStyle w:val="Rowcolumntitles"/>
              <w:rPr>
                <w:rFonts w:eastAsia="Times New Roman"/>
                <w:sz w:val="20"/>
                <w:lang w:val="uk-UA"/>
              </w:rPr>
            </w:pPr>
          </w:p>
        </w:tc>
        <w:tc>
          <w:tcPr>
            <w:tcW w:w="2334" w:type="dxa"/>
            <w:gridSpan w:val="6"/>
            <w:vMerge w:val="restart"/>
            <w:shd w:val="clear" w:color="auto" w:fill="FBD4B4" w:themeFill="accent6" w:themeFillTint="66"/>
          </w:tcPr>
          <w:p w14:paraId="009028E3" w14:textId="5BECF444" w:rsidR="002D3389" w:rsidRPr="00257F44" w:rsidRDefault="000417D7" w:rsidP="00FD2A72">
            <w:pPr>
              <w:pStyle w:val="Rowcolumntitles"/>
              <w:jc w:val="center"/>
              <w:rPr>
                <w:rFonts w:eastAsia="Times New Roman"/>
                <w:sz w:val="20"/>
                <w:lang w:val="uk-UA"/>
              </w:rPr>
            </w:pPr>
            <w:r w:rsidRPr="00257F44">
              <w:rPr>
                <w:noProof/>
                <w:sz w:val="20"/>
                <w:lang w:val="uk-UA"/>
              </w:rPr>
              <w:t>Не зрозуміло</w:t>
            </w:r>
          </w:p>
        </w:tc>
        <w:tc>
          <w:tcPr>
            <w:tcW w:w="341" w:type="dxa"/>
            <w:gridSpan w:val="3"/>
            <w:vMerge w:val="restart"/>
            <w:shd w:val="clear" w:color="auto" w:fill="CCC0D9" w:themeFill="accent4" w:themeFillTint="66"/>
          </w:tcPr>
          <w:p w14:paraId="357D32E7" w14:textId="5F791F77" w:rsidR="002D3389" w:rsidRPr="00257F44" w:rsidRDefault="002D3389" w:rsidP="00FD2A72">
            <w:pPr>
              <w:pStyle w:val="Rowcolumntitles"/>
              <w:rPr>
                <w:sz w:val="20"/>
                <w:lang w:val="uk-UA"/>
              </w:rPr>
            </w:pPr>
            <w:r w:rsidRPr="00257F44">
              <w:rPr>
                <w:rFonts w:ascii="MS Mincho" w:eastAsia="MS Mincho" w:hAnsi="MS Mincho" w:cs="MS Mincho"/>
                <w:noProof/>
                <w:sz w:val="20"/>
                <w:lang w:val="uk-UA"/>
              </w:rPr>
              <w:t>✔</w:t>
            </w:r>
          </w:p>
        </w:tc>
        <w:tc>
          <w:tcPr>
            <w:tcW w:w="341" w:type="dxa"/>
            <w:gridSpan w:val="2"/>
            <w:vMerge w:val="restart"/>
            <w:shd w:val="clear" w:color="auto" w:fill="CCC0D9" w:themeFill="accent4" w:themeFillTint="66"/>
          </w:tcPr>
          <w:p w14:paraId="1F16A8BB" w14:textId="77777777" w:rsidR="002D3389" w:rsidRPr="00257F44" w:rsidRDefault="002D3389" w:rsidP="00FD2A72">
            <w:pPr>
              <w:pStyle w:val="Rowcolumntitles"/>
              <w:rPr>
                <w:rFonts w:eastAsia="Times New Roman"/>
                <w:sz w:val="20"/>
                <w:lang w:val="uk-UA"/>
              </w:rPr>
            </w:pPr>
          </w:p>
        </w:tc>
        <w:tc>
          <w:tcPr>
            <w:tcW w:w="341" w:type="dxa"/>
            <w:gridSpan w:val="2"/>
            <w:vMerge w:val="restart"/>
            <w:shd w:val="clear" w:color="auto" w:fill="CCC0D9" w:themeFill="accent4" w:themeFillTint="66"/>
          </w:tcPr>
          <w:p w14:paraId="4353C096" w14:textId="77777777" w:rsidR="002D3389" w:rsidRPr="00257F44" w:rsidRDefault="002D3389" w:rsidP="00FD2A72">
            <w:pPr>
              <w:pStyle w:val="Rowcolumntitles"/>
              <w:rPr>
                <w:sz w:val="20"/>
                <w:lang w:val="uk-UA"/>
              </w:rPr>
            </w:pPr>
          </w:p>
        </w:tc>
        <w:tc>
          <w:tcPr>
            <w:tcW w:w="343" w:type="dxa"/>
            <w:gridSpan w:val="3"/>
            <w:vMerge w:val="restart"/>
            <w:shd w:val="clear" w:color="auto" w:fill="CCC0D9" w:themeFill="accent4" w:themeFillTint="66"/>
          </w:tcPr>
          <w:p w14:paraId="7F100C3C"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35B4A9B9" w14:textId="5EC7A825"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7942D683" w14:textId="2C8A71DA" w:rsidR="002D3389" w:rsidRPr="00257F44" w:rsidRDefault="002D3389" w:rsidP="00FD2A72">
            <w:pPr>
              <w:pStyle w:val="Rowcolumntitles"/>
              <w:rPr>
                <w:rFonts w:eastAsia="Times New Roman"/>
                <w:sz w:val="20"/>
                <w:lang w:val="uk-UA"/>
              </w:rPr>
            </w:pPr>
          </w:p>
        </w:tc>
        <w:tc>
          <w:tcPr>
            <w:tcW w:w="487" w:type="dxa"/>
            <w:gridSpan w:val="4"/>
            <w:shd w:val="clear" w:color="auto" w:fill="B8CCE4" w:themeFill="accent1" w:themeFillTint="66"/>
          </w:tcPr>
          <w:p w14:paraId="142C57DA" w14:textId="6EDFE6F6"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93" w:type="dxa"/>
            <w:gridSpan w:val="3"/>
            <w:shd w:val="clear" w:color="auto" w:fill="B8CCE4" w:themeFill="accent1" w:themeFillTint="66"/>
          </w:tcPr>
          <w:p w14:paraId="12751306" w14:textId="5956FD5E" w:rsidR="002D3389" w:rsidRPr="00257F44" w:rsidRDefault="002D3389" w:rsidP="00FD2A72">
            <w:pPr>
              <w:pStyle w:val="Rowcolumntitles"/>
              <w:rPr>
                <w:rFonts w:eastAsia="Times New Roman"/>
                <w:sz w:val="20"/>
                <w:lang w:val="uk-UA"/>
              </w:rPr>
            </w:pPr>
          </w:p>
        </w:tc>
        <w:tc>
          <w:tcPr>
            <w:tcW w:w="367" w:type="dxa"/>
            <w:gridSpan w:val="3"/>
            <w:vMerge w:val="restart"/>
            <w:shd w:val="clear" w:color="auto" w:fill="D99594" w:themeFill="accent2" w:themeFillTint="99"/>
          </w:tcPr>
          <w:p w14:paraId="30679A35"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1193B29B" w14:textId="31957E7E"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18" w:type="dxa"/>
            <w:gridSpan w:val="2"/>
            <w:vMerge w:val="restart"/>
            <w:shd w:val="clear" w:color="auto" w:fill="D99594" w:themeFill="accent2" w:themeFillTint="99"/>
          </w:tcPr>
          <w:p w14:paraId="6A37A57E"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73D4D406" w14:textId="77777777" w:rsidR="002D3389" w:rsidRPr="00257F44" w:rsidRDefault="002D3389"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46D6D0AE" w14:textId="77777777" w:rsidR="002D3389" w:rsidRPr="00257F44" w:rsidRDefault="002D3389" w:rsidP="00FD2A72">
            <w:pPr>
              <w:pStyle w:val="Rowcolumntitles"/>
              <w:rPr>
                <w:rFonts w:eastAsia="Times New Roman"/>
                <w:sz w:val="20"/>
                <w:lang w:val="uk-UA"/>
              </w:rPr>
            </w:pPr>
          </w:p>
        </w:tc>
      </w:tr>
      <w:tr w:rsidR="00B017F8" w:rsidRPr="00257F44" w14:paraId="083ABA8F" w14:textId="77777777" w:rsidTr="00DB3322">
        <w:trPr>
          <w:gridAfter w:val="1"/>
          <w:wAfter w:w="12" w:type="dxa"/>
          <w:trHeight w:val="226"/>
        </w:trPr>
        <w:tc>
          <w:tcPr>
            <w:tcW w:w="1470" w:type="dxa"/>
            <w:vMerge/>
            <w:shd w:val="clear" w:color="auto" w:fill="000000" w:themeFill="text1"/>
          </w:tcPr>
          <w:p w14:paraId="24922103" w14:textId="77777777" w:rsidR="002D3389" w:rsidRPr="00257F44" w:rsidRDefault="002D3389" w:rsidP="00FD2A72">
            <w:pPr>
              <w:pStyle w:val="Rowcolumntitles"/>
              <w:rPr>
                <w:color w:val="FFFFFF" w:themeColor="background1"/>
                <w:sz w:val="20"/>
                <w:lang w:val="uk-UA"/>
              </w:rPr>
            </w:pPr>
          </w:p>
        </w:tc>
        <w:tc>
          <w:tcPr>
            <w:tcW w:w="402" w:type="dxa"/>
            <w:vMerge/>
            <w:shd w:val="clear" w:color="auto" w:fill="D6E3BC" w:themeFill="accent3" w:themeFillTint="66"/>
          </w:tcPr>
          <w:p w14:paraId="15092D76" w14:textId="77777777" w:rsidR="002D3389" w:rsidRPr="00257F44" w:rsidRDefault="002D3389" w:rsidP="00FD2A72">
            <w:pPr>
              <w:pStyle w:val="Rowcolumntitles"/>
              <w:rPr>
                <w:sz w:val="20"/>
                <w:lang w:val="uk-UA"/>
              </w:rPr>
            </w:pPr>
          </w:p>
        </w:tc>
        <w:tc>
          <w:tcPr>
            <w:tcW w:w="388" w:type="dxa"/>
            <w:vMerge/>
            <w:shd w:val="clear" w:color="auto" w:fill="D6E3BC" w:themeFill="accent3" w:themeFillTint="66"/>
          </w:tcPr>
          <w:p w14:paraId="1C21B247" w14:textId="77777777" w:rsidR="002D3389" w:rsidRPr="00257F44" w:rsidRDefault="002D3389" w:rsidP="00FD2A72">
            <w:pPr>
              <w:pStyle w:val="Rowcolumntitles"/>
              <w:rPr>
                <w:noProof/>
                <w:sz w:val="20"/>
                <w:lang w:val="uk-UA"/>
              </w:rPr>
            </w:pPr>
          </w:p>
        </w:tc>
        <w:tc>
          <w:tcPr>
            <w:tcW w:w="425" w:type="dxa"/>
            <w:vMerge/>
            <w:shd w:val="clear" w:color="auto" w:fill="D6E3BC" w:themeFill="accent3" w:themeFillTint="66"/>
          </w:tcPr>
          <w:p w14:paraId="53C1204A" w14:textId="77777777" w:rsidR="002D3389" w:rsidRPr="00257F44" w:rsidRDefault="002D3389" w:rsidP="00FD2A72">
            <w:pPr>
              <w:pStyle w:val="Rowcolumntitles"/>
              <w:rPr>
                <w:sz w:val="20"/>
                <w:lang w:val="uk-UA"/>
              </w:rPr>
            </w:pPr>
          </w:p>
        </w:tc>
        <w:tc>
          <w:tcPr>
            <w:tcW w:w="395" w:type="dxa"/>
            <w:vMerge/>
            <w:shd w:val="clear" w:color="auto" w:fill="D6E3BC" w:themeFill="accent3" w:themeFillTint="66"/>
          </w:tcPr>
          <w:p w14:paraId="33009033" w14:textId="77777777" w:rsidR="002D3389" w:rsidRPr="00257F44" w:rsidRDefault="002D3389" w:rsidP="00FD2A72">
            <w:pPr>
              <w:pStyle w:val="Rowcolumntitles"/>
              <w:rPr>
                <w:rFonts w:eastAsia="Times New Roman"/>
                <w:sz w:val="20"/>
                <w:lang w:val="uk-UA"/>
              </w:rPr>
            </w:pPr>
          </w:p>
        </w:tc>
        <w:tc>
          <w:tcPr>
            <w:tcW w:w="2334" w:type="dxa"/>
            <w:gridSpan w:val="6"/>
            <w:vMerge/>
            <w:shd w:val="clear" w:color="auto" w:fill="FBD4B4" w:themeFill="accent6" w:themeFillTint="66"/>
          </w:tcPr>
          <w:p w14:paraId="5B1BF7EE" w14:textId="77777777" w:rsidR="002D3389" w:rsidRPr="00257F44" w:rsidRDefault="002D3389" w:rsidP="00FD2A72">
            <w:pPr>
              <w:pStyle w:val="Rowcolumntitles"/>
              <w:rPr>
                <w:rFonts w:eastAsia="Times New Roman"/>
                <w:sz w:val="20"/>
                <w:lang w:val="uk-UA"/>
              </w:rPr>
            </w:pPr>
          </w:p>
        </w:tc>
        <w:tc>
          <w:tcPr>
            <w:tcW w:w="341" w:type="dxa"/>
            <w:gridSpan w:val="3"/>
            <w:vMerge/>
            <w:shd w:val="clear" w:color="auto" w:fill="CCC0D9" w:themeFill="accent4" w:themeFillTint="66"/>
          </w:tcPr>
          <w:p w14:paraId="5B03393B" w14:textId="77777777" w:rsidR="002D3389" w:rsidRPr="00257F44" w:rsidRDefault="002D3389" w:rsidP="00FD2A72">
            <w:pPr>
              <w:pStyle w:val="Rowcolumntitles"/>
              <w:rPr>
                <w:noProof/>
                <w:sz w:val="20"/>
                <w:lang w:val="uk-UA"/>
              </w:rPr>
            </w:pPr>
          </w:p>
        </w:tc>
        <w:tc>
          <w:tcPr>
            <w:tcW w:w="341" w:type="dxa"/>
            <w:gridSpan w:val="2"/>
            <w:vMerge/>
            <w:shd w:val="clear" w:color="auto" w:fill="CCC0D9" w:themeFill="accent4" w:themeFillTint="66"/>
          </w:tcPr>
          <w:p w14:paraId="25B7691F" w14:textId="77777777" w:rsidR="002D3389" w:rsidRPr="00257F44" w:rsidRDefault="002D3389" w:rsidP="00FD2A72">
            <w:pPr>
              <w:pStyle w:val="Rowcolumntitles"/>
              <w:rPr>
                <w:rFonts w:eastAsia="Times New Roman"/>
                <w:sz w:val="20"/>
                <w:lang w:val="uk-UA"/>
              </w:rPr>
            </w:pPr>
          </w:p>
        </w:tc>
        <w:tc>
          <w:tcPr>
            <w:tcW w:w="341" w:type="dxa"/>
            <w:gridSpan w:val="2"/>
            <w:vMerge/>
            <w:shd w:val="clear" w:color="auto" w:fill="CCC0D9" w:themeFill="accent4" w:themeFillTint="66"/>
          </w:tcPr>
          <w:p w14:paraId="08489831" w14:textId="77777777" w:rsidR="002D3389" w:rsidRPr="00257F44" w:rsidRDefault="002D3389" w:rsidP="00FD2A72">
            <w:pPr>
              <w:pStyle w:val="Rowcolumntitles"/>
              <w:rPr>
                <w:sz w:val="20"/>
                <w:lang w:val="uk-UA"/>
              </w:rPr>
            </w:pPr>
          </w:p>
        </w:tc>
        <w:tc>
          <w:tcPr>
            <w:tcW w:w="343" w:type="dxa"/>
            <w:gridSpan w:val="3"/>
            <w:vMerge/>
            <w:shd w:val="clear" w:color="auto" w:fill="CCC0D9" w:themeFill="accent4" w:themeFillTint="66"/>
          </w:tcPr>
          <w:p w14:paraId="64033FAE"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62BC2307" w14:textId="77777777" w:rsidR="002D3389" w:rsidRPr="00257F44" w:rsidRDefault="002D3389" w:rsidP="00FD2A72">
            <w:pPr>
              <w:pStyle w:val="Rowcolumntitles"/>
              <w:rPr>
                <w:sz w:val="20"/>
                <w:lang w:val="uk-UA"/>
              </w:rPr>
            </w:pPr>
          </w:p>
        </w:tc>
        <w:tc>
          <w:tcPr>
            <w:tcW w:w="487" w:type="dxa"/>
            <w:gridSpan w:val="2"/>
            <w:shd w:val="clear" w:color="auto" w:fill="B8CCE4" w:themeFill="accent1" w:themeFillTint="66"/>
          </w:tcPr>
          <w:p w14:paraId="6698BDE6" w14:textId="77777777" w:rsidR="002D3389" w:rsidRPr="00257F44" w:rsidRDefault="002D3389" w:rsidP="00FD2A72">
            <w:pPr>
              <w:pStyle w:val="Rowcolumntitles"/>
              <w:rPr>
                <w:sz w:val="20"/>
                <w:lang w:val="uk-UA"/>
              </w:rPr>
            </w:pPr>
          </w:p>
        </w:tc>
        <w:tc>
          <w:tcPr>
            <w:tcW w:w="487" w:type="dxa"/>
            <w:gridSpan w:val="4"/>
            <w:shd w:val="clear" w:color="auto" w:fill="B8CCE4" w:themeFill="accent1" w:themeFillTint="66"/>
          </w:tcPr>
          <w:p w14:paraId="0CBA1226" w14:textId="1EAC5385" w:rsidR="002D3389" w:rsidRPr="00257F44" w:rsidRDefault="002D3389" w:rsidP="00FD2A72">
            <w:pPr>
              <w:pStyle w:val="Rowcolumntitles"/>
              <w:rPr>
                <w:sz w:val="20"/>
                <w:lang w:val="uk-UA"/>
              </w:rPr>
            </w:pPr>
            <w:r w:rsidRPr="00257F44">
              <w:rPr>
                <w:rFonts w:ascii="MS Mincho" w:eastAsia="MS Mincho" w:hAnsi="MS Mincho" w:cs="MS Mincho"/>
                <w:noProof/>
                <w:sz w:val="20"/>
                <w:lang w:val="uk-UA"/>
              </w:rPr>
              <w:t>✔</w:t>
            </w:r>
          </w:p>
        </w:tc>
        <w:tc>
          <w:tcPr>
            <w:tcW w:w="493" w:type="dxa"/>
            <w:gridSpan w:val="3"/>
            <w:shd w:val="clear" w:color="auto" w:fill="B8CCE4" w:themeFill="accent1" w:themeFillTint="66"/>
          </w:tcPr>
          <w:p w14:paraId="6BAED2AC" w14:textId="661585D5" w:rsidR="002D3389" w:rsidRPr="00257F44" w:rsidRDefault="002D3389" w:rsidP="00FD2A72">
            <w:pPr>
              <w:pStyle w:val="Rowcolumntitles"/>
              <w:rPr>
                <w:sz w:val="20"/>
                <w:lang w:val="uk-UA"/>
              </w:rPr>
            </w:pPr>
          </w:p>
        </w:tc>
        <w:tc>
          <w:tcPr>
            <w:tcW w:w="367" w:type="dxa"/>
            <w:gridSpan w:val="3"/>
            <w:vMerge/>
            <w:shd w:val="clear" w:color="auto" w:fill="D99594" w:themeFill="accent2" w:themeFillTint="99"/>
          </w:tcPr>
          <w:p w14:paraId="2CD4EFDF"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0002FA55" w14:textId="77777777" w:rsidR="002D3389" w:rsidRPr="00257F44" w:rsidRDefault="002D3389" w:rsidP="00FD2A72">
            <w:pPr>
              <w:pStyle w:val="Rowcolumntitles"/>
              <w:rPr>
                <w:noProof/>
                <w:sz w:val="20"/>
                <w:lang w:val="uk-UA"/>
              </w:rPr>
            </w:pPr>
          </w:p>
        </w:tc>
        <w:tc>
          <w:tcPr>
            <w:tcW w:w="318" w:type="dxa"/>
            <w:gridSpan w:val="2"/>
            <w:vMerge/>
            <w:shd w:val="clear" w:color="auto" w:fill="D99594" w:themeFill="accent2" w:themeFillTint="99"/>
          </w:tcPr>
          <w:p w14:paraId="0D4A4AD3"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7625401D" w14:textId="77777777" w:rsidR="002D3389" w:rsidRPr="00257F44" w:rsidRDefault="002D3389" w:rsidP="00FD2A72">
            <w:pPr>
              <w:pStyle w:val="Rowcolumntitles"/>
              <w:rPr>
                <w:rFonts w:eastAsia="Times New Roman"/>
                <w:sz w:val="20"/>
                <w:lang w:val="uk-UA"/>
              </w:rPr>
            </w:pPr>
          </w:p>
        </w:tc>
        <w:tc>
          <w:tcPr>
            <w:tcW w:w="388" w:type="dxa"/>
            <w:gridSpan w:val="2"/>
            <w:vMerge/>
            <w:shd w:val="clear" w:color="auto" w:fill="D99594" w:themeFill="accent2" w:themeFillTint="99"/>
          </w:tcPr>
          <w:p w14:paraId="0E19A0CE" w14:textId="77777777" w:rsidR="002D3389" w:rsidRPr="00257F44" w:rsidRDefault="002D3389" w:rsidP="00FD2A72">
            <w:pPr>
              <w:pStyle w:val="Rowcolumntitles"/>
              <w:rPr>
                <w:rFonts w:eastAsia="Times New Roman"/>
                <w:sz w:val="20"/>
                <w:lang w:val="uk-UA"/>
              </w:rPr>
            </w:pPr>
          </w:p>
        </w:tc>
      </w:tr>
      <w:tr w:rsidR="000E0B9A" w:rsidRPr="00257F44" w14:paraId="06391B88" w14:textId="77777777" w:rsidTr="00DB3322">
        <w:trPr>
          <w:gridAfter w:val="2"/>
          <w:wAfter w:w="24" w:type="dxa"/>
          <w:trHeight w:val="174"/>
        </w:trPr>
        <w:tc>
          <w:tcPr>
            <w:tcW w:w="1470" w:type="dxa"/>
            <w:vMerge w:val="restart"/>
            <w:shd w:val="clear" w:color="auto" w:fill="000000" w:themeFill="text1"/>
          </w:tcPr>
          <w:p w14:paraId="68329EDE" w14:textId="6D7E1F42" w:rsidR="002D3389" w:rsidRPr="00257F44" w:rsidRDefault="00163080" w:rsidP="00FD2A72">
            <w:pPr>
              <w:pStyle w:val="Rowcolumntitles"/>
              <w:rPr>
                <w:color w:val="FFFFFF" w:themeColor="background1"/>
                <w:sz w:val="20"/>
                <w:lang w:val="uk-UA"/>
              </w:rPr>
            </w:pPr>
            <w:r w:rsidRPr="00257F44">
              <w:rPr>
                <w:color w:val="FFFFFF" w:themeColor="background1"/>
                <w:sz w:val="20"/>
                <w:lang w:val="uk-UA"/>
              </w:rPr>
              <w:lastRenderedPageBreak/>
              <w:t>✪</w:t>
            </w:r>
            <w:r w:rsidR="002D3389" w:rsidRPr="00257F44">
              <w:rPr>
                <w:color w:val="FFFFFF" w:themeColor="background1"/>
                <w:sz w:val="20"/>
                <w:lang w:val="uk-UA"/>
              </w:rPr>
              <w:t xml:space="preserve">6: </w:t>
            </w:r>
            <w:r w:rsidR="00881CF9" w:rsidRPr="00257F44">
              <w:rPr>
                <w:color w:val="FFFFFF" w:themeColor="background1"/>
                <w:sz w:val="20"/>
                <w:lang w:val="uk-UA"/>
              </w:rPr>
              <w:t>Проект закону про відкриті дані</w:t>
            </w:r>
          </w:p>
        </w:tc>
        <w:tc>
          <w:tcPr>
            <w:tcW w:w="402" w:type="dxa"/>
            <w:vMerge w:val="restart"/>
            <w:shd w:val="clear" w:color="auto" w:fill="D6E3BC" w:themeFill="accent3" w:themeFillTint="66"/>
          </w:tcPr>
          <w:p w14:paraId="79059B0A" w14:textId="77777777" w:rsidR="002D3389" w:rsidRPr="00257F44" w:rsidRDefault="002D3389" w:rsidP="00FD2A72">
            <w:pPr>
              <w:pStyle w:val="Rowcolumntitles"/>
              <w:rPr>
                <w:sz w:val="20"/>
                <w:lang w:val="uk-UA"/>
              </w:rPr>
            </w:pPr>
          </w:p>
        </w:tc>
        <w:tc>
          <w:tcPr>
            <w:tcW w:w="388" w:type="dxa"/>
            <w:vMerge w:val="restart"/>
            <w:shd w:val="clear" w:color="auto" w:fill="D6E3BC" w:themeFill="accent3" w:themeFillTint="66"/>
          </w:tcPr>
          <w:p w14:paraId="6719BA27" w14:textId="77777777" w:rsidR="002D3389" w:rsidRPr="00257F44" w:rsidRDefault="002D3389" w:rsidP="00FD2A72">
            <w:pPr>
              <w:pStyle w:val="Rowcolumntitles"/>
              <w:rPr>
                <w:rFonts w:eastAsia="Times New Roman"/>
                <w:sz w:val="20"/>
                <w:lang w:val="uk-UA"/>
              </w:rPr>
            </w:pPr>
          </w:p>
        </w:tc>
        <w:tc>
          <w:tcPr>
            <w:tcW w:w="425" w:type="dxa"/>
            <w:vMerge w:val="restart"/>
            <w:shd w:val="clear" w:color="auto" w:fill="D6E3BC" w:themeFill="accent3" w:themeFillTint="66"/>
          </w:tcPr>
          <w:p w14:paraId="61075D2E" w14:textId="77777777" w:rsidR="002D3389" w:rsidRPr="00257F44" w:rsidRDefault="002D3389" w:rsidP="00FD2A72">
            <w:pPr>
              <w:pStyle w:val="Rowcolumntitles"/>
              <w:rPr>
                <w:sz w:val="20"/>
                <w:lang w:val="uk-UA"/>
              </w:rPr>
            </w:pPr>
          </w:p>
        </w:tc>
        <w:tc>
          <w:tcPr>
            <w:tcW w:w="395" w:type="dxa"/>
            <w:vMerge w:val="restart"/>
            <w:shd w:val="clear" w:color="auto" w:fill="D6E3BC" w:themeFill="accent3" w:themeFillTint="66"/>
          </w:tcPr>
          <w:p w14:paraId="728EA6F1" w14:textId="137FD247"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654" w:type="dxa"/>
            <w:gridSpan w:val="2"/>
            <w:vMerge w:val="restart"/>
            <w:shd w:val="clear" w:color="auto" w:fill="FBD4B4" w:themeFill="accent6" w:themeFillTint="66"/>
          </w:tcPr>
          <w:p w14:paraId="624263D8" w14:textId="48B8B982"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9" w:type="dxa"/>
            <w:vMerge w:val="restart"/>
            <w:shd w:val="clear" w:color="auto" w:fill="FBD4B4" w:themeFill="accent6" w:themeFillTint="66"/>
          </w:tcPr>
          <w:p w14:paraId="27FD2E30" w14:textId="77777777" w:rsidR="002D3389" w:rsidRPr="00257F44" w:rsidRDefault="002D3389" w:rsidP="00FD2A72">
            <w:pPr>
              <w:pStyle w:val="Rowcolumntitles"/>
              <w:rPr>
                <w:rFonts w:eastAsia="Times New Roman"/>
                <w:sz w:val="20"/>
                <w:lang w:val="uk-UA"/>
              </w:rPr>
            </w:pPr>
          </w:p>
        </w:tc>
        <w:tc>
          <w:tcPr>
            <w:tcW w:w="404" w:type="dxa"/>
            <w:vMerge w:val="restart"/>
            <w:shd w:val="clear" w:color="auto" w:fill="FBD4B4" w:themeFill="accent6" w:themeFillTint="66"/>
          </w:tcPr>
          <w:p w14:paraId="36E19D50" w14:textId="77777777" w:rsidR="002D3389" w:rsidRPr="00257F44" w:rsidRDefault="002D3389" w:rsidP="00FD2A72">
            <w:pPr>
              <w:pStyle w:val="Rowcolumntitles"/>
              <w:rPr>
                <w:rFonts w:eastAsia="Times New Roman"/>
                <w:sz w:val="20"/>
                <w:lang w:val="uk-UA"/>
              </w:rPr>
            </w:pPr>
          </w:p>
        </w:tc>
        <w:tc>
          <w:tcPr>
            <w:tcW w:w="895" w:type="dxa"/>
            <w:vMerge w:val="restart"/>
            <w:shd w:val="clear" w:color="auto" w:fill="FBD4B4" w:themeFill="accent6" w:themeFillTint="66"/>
          </w:tcPr>
          <w:p w14:paraId="085CD08C" w14:textId="447A6F4B"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41" w:type="dxa"/>
            <w:gridSpan w:val="3"/>
            <w:vMerge w:val="restart"/>
            <w:shd w:val="clear" w:color="auto" w:fill="CCC0D9" w:themeFill="accent4" w:themeFillTint="66"/>
          </w:tcPr>
          <w:p w14:paraId="6BB92D19" w14:textId="77777777" w:rsidR="002D3389" w:rsidRPr="00257F44" w:rsidRDefault="002D3389" w:rsidP="00FD2A72">
            <w:pPr>
              <w:pStyle w:val="Rowcolumntitles"/>
              <w:rPr>
                <w:sz w:val="20"/>
                <w:lang w:val="uk-UA"/>
              </w:rPr>
            </w:pPr>
          </w:p>
        </w:tc>
        <w:tc>
          <w:tcPr>
            <w:tcW w:w="341" w:type="dxa"/>
            <w:gridSpan w:val="2"/>
            <w:vMerge w:val="restart"/>
            <w:shd w:val="clear" w:color="auto" w:fill="CCC0D9" w:themeFill="accent4" w:themeFillTint="66"/>
          </w:tcPr>
          <w:p w14:paraId="3A0418A9" w14:textId="77777777" w:rsidR="002D3389" w:rsidRPr="00257F44" w:rsidRDefault="002D3389" w:rsidP="00FD2A72">
            <w:pPr>
              <w:pStyle w:val="Rowcolumntitles"/>
              <w:rPr>
                <w:rFonts w:eastAsia="Times New Roman"/>
                <w:sz w:val="20"/>
                <w:lang w:val="uk-UA"/>
              </w:rPr>
            </w:pPr>
          </w:p>
        </w:tc>
        <w:tc>
          <w:tcPr>
            <w:tcW w:w="341" w:type="dxa"/>
            <w:gridSpan w:val="2"/>
            <w:vMerge w:val="restart"/>
            <w:shd w:val="clear" w:color="auto" w:fill="CCC0D9" w:themeFill="accent4" w:themeFillTint="66"/>
          </w:tcPr>
          <w:p w14:paraId="4A32D98B" w14:textId="77777777" w:rsidR="002D3389" w:rsidRPr="00257F44" w:rsidRDefault="002D3389" w:rsidP="00FD2A72">
            <w:pPr>
              <w:pStyle w:val="Rowcolumntitles"/>
              <w:rPr>
                <w:sz w:val="20"/>
                <w:lang w:val="uk-UA"/>
              </w:rPr>
            </w:pPr>
          </w:p>
        </w:tc>
        <w:tc>
          <w:tcPr>
            <w:tcW w:w="343" w:type="dxa"/>
            <w:gridSpan w:val="3"/>
            <w:vMerge w:val="restart"/>
            <w:shd w:val="clear" w:color="auto" w:fill="CCC0D9" w:themeFill="accent4" w:themeFillTint="66"/>
          </w:tcPr>
          <w:p w14:paraId="1BD094A5" w14:textId="00B30FA2"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85" w:type="dxa"/>
            <w:gridSpan w:val="3"/>
            <w:shd w:val="clear" w:color="auto" w:fill="B8CCE4" w:themeFill="accent1" w:themeFillTint="66"/>
          </w:tcPr>
          <w:p w14:paraId="763C929D" w14:textId="65EB55DB"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7B3EFABA" w14:textId="51F60359" w:rsidR="002D3389" w:rsidRPr="00257F44" w:rsidRDefault="002D3389" w:rsidP="00FD2A72">
            <w:pPr>
              <w:pStyle w:val="Rowcolumntitles"/>
              <w:rPr>
                <w:rFonts w:eastAsia="Times New Roman"/>
                <w:sz w:val="20"/>
                <w:lang w:val="uk-UA"/>
              </w:rPr>
            </w:pPr>
          </w:p>
        </w:tc>
        <w:tc>
          <w:tcPr>
            <w:tcW w:w="487" w:type="dxa"/>
            <w:gridSpan w:val="4"/>
            <w:shd w:val="clear" w:color="auto" w:fill="B8CCE4" w:themeFill="accent1" w:themeFillTint="66"/>
          </w:tcPr>
          <w:p w14:paraId="3A25A303" w14:textId="77777777" w:rsidR="002D3389" w:rsidRPr="00257F44" w:rsidRDefault="002D3389" w:rsidP="00FD2A72">
            <w:pPr>
              <w:pStyle w:val="Rowcolumntitles"/>
              <w:rPr>
                <w:rFonts w:eastAsia="Times New Roman"/>
                <w:sz w:val="20"/>
                <w:lang w:val="uk-UA"/>
              </w:rPr>
            </w:pPr>
          </w:p>
        </w:tc>
        <w:tc>
          <w:tcPr>
            <w:tcW w:w="493" w:type="dxa"/>
            <w:gridSpan w:val="3"/>
            <w:shd w:val="clear" w:color="auto" w:fill="B8CCE4" w:themeFill="accent1" w:themeFillTint="66"/>
          </w:tcPr>
          <w:p w14:paraId="5B497825" w14:textId="0CD1804F"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7" w:type="dxa"/>
            <w:gridSpan w:val="3"/>
            <w:vMerge w:val="restart"/>
            <w:shd w:val="clear" w:color="auto" w:fill="D99594" w:themeFill="accent2" w:themeFillTint="99"/>
          </w:tcPr>
          <w:p w14:paraId="2C931303"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214D1F53"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26B786B3"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69B748CE" w14:textId="77777777" w:rsidR="002D3389" w:rsidRPr="00257F44" w:rsidRDefault="002D3389"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3771077D" w14:textId="31CE8692"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r>
      <w:tr w:rsidR="000E0B9A" w:rsidRPr="00257F44" w14:paraId="34DC5567" w14:textId="77777777" w:rsidTr="00DB3322">
        <w:trPr>
          <w:gridAfter w:val="2"/>
          <w:wAfter w:w="24" w:type="dxa"/>
          <w:trHeight w:val="173"/>
        </w:trPr>
        <w:tc>
          <w:tcPr>
            <w:tcW w:w="1470" w:type="dxa"/>
            <w:vMerge/>
            <w:shd w:val="clear" w:color="auto" w:fill="000000" w:themeFill="text1"/>
          </w:tcPr>
          <w:p w14:paraId="056CDB4D" w14:textId="77777777" w:rsidR="002D3389" w:rsidRPr="00257F44" w:rsidRDefault="002D3389" w:rsidP="00FD2A72">
            <w:pPr>
              <w:pStyle w:val="Rowcolumntitles"/>
              <w:rPr>
                <w:color w:val="FFFFFF" w:themeColor="background1"/>
                <w:sz w:val="20"/>
                <w:lang w:val="uk-UA"/>
              </w:rPr>
            </w:pPr>
          </w:p>
        </w:tc>
        <w:tc>
          <w:tcPr>
            <w:tcW w:w="402" w:type="dxa"/>
            <w:vMerge/>
            <w:shd w:val="clear" w:color="auto" w:fill="D6E3BC" w:themeFill="accent3" w:themeFillTint="66"/>
          </w:tcPr>
          <w:p w14:paraId="3C25D06C" w14:textId="77777777" w:rsidR="002D3389" w:rsidRPr="00257F44" w:rsidRDefault="002D3389" w:rsidP="00FD2A72">
            <w:pPr>
              <w:pStyle w:val="Rowcolumntitles"/>
              <w:rPr>
                <w:sz w:val="20"/>
                <w:lang w:val="uk-UA"/>
              </w:rPr>
            </w:pPr>
          </w:p>
        </w:tc>
        <w:tc>
          <w:tcPr>
            <w:tcW w:w="388" w:type="dxa"/>
            <w:vMerge/>
            <w:shd w:val="clear" w:color="auto" w:fill="D6E3BC" w:themeFill="accent3" w:themeFillTint="66"/>
          </w:tcPr>
          <w:p w14:paraId="11B98299" w14:textId="77777777" w:rsidR="002D3389" w:rsidRPr="00257F44" w:rsidRDefault="002D3389" w:rsidP="00FD2A72">
            <w:pPr>
              <w:pStyle w:val="Rowcolumntitles"/>
              <w:rPr>
                <w:rFonts w:eastAsia="Times New Roman"/>
                <w:sz w:val="20"/>
                <w:lang w:val="uk-UA"/>
              </w:rPr>
            </w:pPr>
          </w:p>
        </w:tc>
        <w:tc>
          <w:tcPr>
            <w:tcW w:w="425" w:type="dxa"/>
            <w:vMerge/>
            <w:shd w:val="clear" w:color="auto" w:fill="D6E3BC" w:themeFill="accent3" w:themeFillTint="66"/>
          </w:tcPr>
          <w:p w14:paraId="14D3E660" w14:textId="77777777" w:rsidR="002D3389" w:rsidRPr="00257F44" w:rsidRDefault="002D3389" w:rsidP="00FD2A72">
            <w:pPr>
              <w:pStyle w:val="Rowcolumntitles"/>
              <w:rPr>
                <w:sz w:val="20"/>
                <w:lang w:val="uk-UA"/>
              </w:rPr>
            </w:pPr>
          </w:p>
        </w:tc>
        <w:tc>
          <w:tcPr>
            <w:tcW w:w="395" w:type="dxa"/>
            <w:vMerge/>
            <w:shd w:val="clear" w:color="auto" w:fill="D6E3BC" w:themeFill="accent3" w:themeFillTint="66"/>
          </w:tcPr>
          <w:p w14:paraId="2039AC98" w14:textId="77777777" w:rsidR="002D3389" w:rsidRPr="00257F44" w:rsidRDefault="002D3389" w:rsidP="00FD2A72">
            <w:pPr>
              <w:pStyle w:val="Rowcolumntitles"/>
              <w:rPr>
                <w:noProof/>
                <w:sz w:val="20"/>
                <w:lang w:val="uk-UA"/>
              </w:rPr>
            </w:pPr>
          </w:p>
        </w:tc>
        <w:tc>
          <w:tcPr>
            <w:tcW w:w="654" w:type="dxa"/>
            <w:gridSpan w:val="2"/>
            <w:vMerge/>
            <w:shd w:val="clear" w:color="auto" w:fill="FBD4B4" w:themeFill="accent6" w:themeFillTint="66"/>
          </w:tcPr>
          <w:p w14:paraId="74D48982" w14:textId="77777777" w:rsidR="002D3389" w:rsidRPr="00257F44" w:rsidRDefault="002D3389" w:rsidP="00FD2A72">
            <w:pPr>
              <w:pStyle w:val="Rowcolumntitles"/>
              <w:rPr>
                <w:noProof/>
                <w:sz w:val="20"/>
                <w:lang w:val="uk-UA"/>
              </w:rPr>
            </w:pPr>
          </w:p>
        </w:tc>
        <w:tc>
          <w:tcPr>
            <w:tcW w:w="369" w:type="dxa"/>
            <w:vMerge/>
            <w:shd w:val="clear" w:color="auto" w:fill="FBD4B4" w:themeFill="accent6" w:themeFillTint="66"/>
          </w:tcPr>
          <w:p w14:paraId="18AC37AA" w14:textId="77777777" w:rsidR="002D3389" w:rsidRPr="00257F44" w:rsidRDefault="002D3389" w:rsidP="00FD2A72">
            <w:pPr>
              <w:pStyle w:val="Rowcolumntitles"/>
              <w:rPr>
                <w:rFonts w:eastAsia="Times New Roman"/>
                <w:sz w:val="20"/>
                <w:lang w:val="uk-UA"/>
              </w:rPr>
            </w:pPr>
          </w:p>
        </w:tc>
        <w:tc>
          <w:tcPr>
            <w:tcW w:w="404" w:type="dxa"/>
            <w:vMerge/>
            <w:shd w:val="clear" w:color="auto" w:fill="FBD4B4" w:themeFill="accent6" w:themeFillTint="66"/>
          </w:tcPr>
          <w:p w14:paraId="21E03CEA" w14:textId="77777777" w:rsidR="002D3389" w:rsidRPr="00257F44" w:rsidRDefault="002D3389" w:rsidP="00FD2A72">
            <w:pPr>
              <w:pStyle w:val="Rowcolumntitles"/>
              <w:rPr>
                <w:rFonts w:eastAsia="Times New Roman"/>
                <w:sz w:val="20"/>
                <w:lang w:val="uk-UA"/>
              </w:rPr>
            </w:pPr>
          </w:p>
        </w:tc>
        <w:tc>
          <w:tcPr>
            <w:tcW w:w="895" w:type="dxa"/>
            <w:vMerge/>
            <w:shd w:val="clear" w:color="auto" w:fill="FBD4B4" w:themeFill="accent6" w:themeFillTint="66"/>
          </w:tcPr>
          <w:p w14:paraId="328DB3C7" w14:textId="77777777" w:rsidR="002D3389" w:rsidRPr="00257F44" w:rsidRDefault="002D3389" w:rsidP="00FD2A72">
            <w:pPr>
              <w:pStyle w:val="Rowcolumntitles"/>
              <w:rPr>
                <w:noProof/>
                <w:sz w:val="20"/>
                <w:lang w:val="uk-UA"/>
              </w:rPr>
            </w:pPr>
          </w:p>
        </w:tc>
        <w:tc>
          <w:tcPr>
            <w:tcW w:w="341" w:type="dxa"/>
            <w:gridSpan w:val="3"/>
            <w:vMerge/>
            <w:shd w:val="clear" w:color="auto" w:fill="CCC0D9" w:themeFill="accent4" w:themeFillTint="66"/>
          </w:tcPr>
          <w:p w14:paraId="013699CF" w14:textId="77777777" w:rsidR="002D3389" w:rsidRPr="00257F44" w:rsidRDefault="002D3389" w:rsidP="00FD2A72">
            <w:pPr>
              <w:pStyle w:val="Rowcolumntitles"/>
              <w:rPr>
                <w:sz w:val="20"/>
                <w:lang w:val="uk-UA"/>
              </w:rPr>
            </w:pPr>
          </w:p>
        </w:tc>
        <w:tc>
          <w:tcPr>
            <w:tcW w:w="341" w:type="dxa"/>
            <w:gridSpan w:val="2"/>
            <w:vMerge/>
            <w:shd w:val="clear" w:color="auto" w:fill="CCC0D9" w:themeFill="accent4" w:themeFillTint="66"/>
          </w:tcPr>
          <w:p w14:paraId="26B75CBD" w14:textId="77777777" w:rsidR="002D3389" w:rsidRPr="00257F44" w:rsidRDefault="002D3389" w:rsidP="00FD2A72">
            <w:pPr>
              <w:pStyle w:val="Rowcolumntitles"/>
              <w:rPr>
                <w:rFonts w:eastAsia="Times New Roman"/>
                <w:sz w:val="20"/>
                <w:lang w:val="uk-UA"/>
              </w:rPr>
            </w:pPr>
          </w:p>
        </w:tc>
        <w:tc>
          <w:tcPr>
            <w:tcW w:w="341" w:type="dxa"/>
            <w:gridSpan w:val="2"/>
            <w:vMerge/>
            <w:shd w:val="clear" w:color="auto" w:fill="CCC0D9" w:themeFill="accent4" w:themeFillTint="66"/>
          </w:tcPr>
          <w:p w14:paraId="636D7D86" w14:textId="77777777" w:rsidR="002D3389" w:rsidRPr="00257F44" w:rsidRDefault="002D3389" w:rsidP="00FD2A72">
            <w:pPr>
              <w:pStyle w:val="Rowcolumntitles"/>
              <w:rPr>
                <w:sz w:val="20"/>
                <w:lang w:val="uk-UA"/>
              </w:rPr>
            </w:pPr>
          </w:p>
        </w:tc>
        <w:tc>
          <w:tcPr>
            <w:tcW w:w="343" w:type="dxa"/>
            <w:gridSpan w:val="3"/>
            <w:vMerge/>
            <w:shd w:val="clear" w:color="auto" w:fill="CCC0D9" w:themeFill="accent4" w:themeFillTint="66"/>
          </w:tcPr>
          <w:p w14:paraId="7A75723A" w14:textId="77777777" w:rsidR="002D3389" w:rsidRPr="00257F44" w:rsidRDefault="002D3389" w:rsidP="00FD2A72">
            <w:pPr>
              <w:pStyle w:val="Rowcolumntitles"/>
              <w:rPr>
                <w:noProof/>
                <w:sz w:val="20"/>
                <w:lang w:val="uk-UA"/>
              </w:rPr>
            </w:pPr>
          </w:p>
        </w:tc>
        <w:tc>
          <w:tcPr>
            <w:tcW w:w="485" w:type="dxa"/>
            <w:gridSpan w:val="3"/>
            <w:shd w:val="clear" w:color="auto" w:fill="B8CCE4" w:themeFill="accent1" w:themeFillTint="66"/>
          </w:tcPr>
          <w:p w14:paraId="7A4170B1" w14:textId="77777777" w:rsidR="002D3389" w:rsidRPr="00257F44" w:rsidRDefault="002D3389" w:rsidP="00FD2A72">
            <w:pPr>
              <w:pStyle w:val="Rowcolumntitles"/>
              <w:rPr>
                <w:sz w:val="20"/>
                <w:lang w:val="uk-UA"/>
              </w:rPr>
            </w:pPr>
          </w:p>
        </w:tc>
        <w:tc>
          <w:tcPr>
            <w:tcW w:w="487" w:type="dxa"/>
            <w:gridSpan w:val="2"/>
            <w:shd w:val="clear" w:color="auto" w:fill="B8CCE4" w:themeFill="accent1" w:themeFillTint="66"/>
          </w:tcPr>
          <w:p w14:paraId="3B8D2977" w14:textId="77777777" w:rsidR="002D3389" w:rsidRPr="00257F44" w:rsidRDefault="002D3389" w:rsidP="00FD2A72">
            <w:pPr>
              <w:pStyle w:val="Rowcolumntitles"/>
              <w:rPr>
                <w:sz w:val="20"/>
                <w:lang w:val="uk-UA"/>
              </w:rPr>
            </w:pPr>
          </w:p>
        </w:tc>
        <w:tc>
          <w:tcPr>
            <w:tcW w:w="487" w:type="dxa"/>
            <w:gridSpan w:val="4"/>
            <w:shd w:val="clear" w:color="auto" w:fill="B8CCE4" w:themeFill="accent1" w:themeFillTint="66"/>
          </w:tcPr>
          <w:p w14:paraId="317C9B1D" w14:textId="77777777" w:rsidR="002D3389" w:rsidRPr="00257F44" w:rsidRDefault="002D3389" w:rsidP="00FD2A72">
            <w:pPr>
              <w:pStyle w:val="Rowcolumntitles"/>
              <w:rPr>
                <w:sz w:val="20"/>
                <w:lang w:val="uk-UA"/>
              </w:rPr>
            </w:pPr>
          </w:p>
        </w:tc>
        <w:tc>
          <w:tcPr>
            <w:tcW w:w="493" w:type="dxa"/>
            <w:gridSpan w:val="3"/>
            <w:shd w:val="clear" w:color="auto" w:fill="B8CCE4" w:themeFill="accent1" w:themeFillTint="66"/>
          </w:tcPr>
          <w:p w14:paraId="06AC1CDA" w14:textId="5C340022" w:rsidR="002D3389" w:rsidRPr="00257F44" w:rsidRDefault="002D3389" w:rsidP="00FD2A72">
            <w:pPr>
              <w:pStyle w:val="Rowcolumntitles"/>
              <w:rPr>
                <w:sz w:val="20"/>
                <w:lang w:val="uk-UA"/>
              </w:rPr>
            </w:pPr>
            <w:r w:rsidRPr="00257F44">
              <w:rPr>
                <w:rFonts w:ascii="MS Mincho" w:eastAsia="MS Mincho" w:hAnsi="MS Mincho" w:cs="MS Mincho"/>
                <w:noProof/>
                <w:sz w:val="20"/>
                <w:lang w:val="uk-UA"/>
              </w:rPr>
              <w:t>✔</w:t>
            </w:r>
          </w:p>
        </w:tc>
        <w:tc>
          <w:tcPr>
            <w:tcW w:w="367" w:type="dxa"/>
            <w:gridSpan w:val="3"/>
            <w:vMerge/>
            <w:shd w:val="clear" w:color="auto" w:fill="D99594" w:themeFill="accent2" w:themeFillTint="99"/>
          </w:tcPr>
          <w:p w14:paraId="13DB7B64"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66195489"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74CD0839"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78C16798" w14:textId="77777777" w:rsidR="002D3389" w:rsidRPr="00257F44" w:rsidRDefault="002D3389" w:rsidP="00FD2A72">
            <w:pPr>
              <w:pStyle w:val="Rowcolumntitles"/>
              <w:rPr>
                <w:rFonts w:eastAsia="Times New Roman"/>
                <w:sz w:val="20"/>
                <w:lang w:val="uk-UA"/>
              </w:rPr>
            </w:pPr>
          </w:p>
        </w:tc>
        <w:tc>
          <w:tcPr>
            <w:tcW w:w="388" w:type="dxa"/>
            <w:gridSpan w:val="2"/>
            <w:vMerge/>
            <w:shd w:val="clear" w:color="auto" w:fill="D99594" w:themeFill="accent2" w:themeFillTint="99"/>
          </w:tcPr>
          <w:p w14:paraId="2EB019D9" w14:textId="77777777" w:rsidR="002D3389" w:rsidRPr="00257F44" w:rsidRDefault="002D3389" w:rsidP="00FD2A72">
            <w:pPr>
              <w:pStyle w:val="Rowcolumntitles"/>
              <w:rPr>
                <w:noProof/>
                <w:sz w:val="20"/>
                <w:lang w:val="uk-UA"/>
              </w:rPr>
            </w:pPr>
          </w:p>
        </w:tc>
      </w:tr>
      <w:tr w:rsidR="000E0B9A" w:rsidRPr="00257F44" w14:paraId="62AD68E1" w14:textId="77777777" w:rsidTr="00DB3322">
        <w:trPr>
          <w:gridAfter w:val="2"/>
          <w:wAfter w:w="24" w:type="dxa"/>
          <w:trHeight w:val="227"/>
        </w:trPr>
        <w:tc>
          <w:tcPr>
            <w:tcW w:w="1470" w:type="dxa"/>
            <w:vMerge w:val="restart"/>
            <w:shd w:val="clear" w:color="auto" w:fill="000000" w:themeFill="text1"/>
          </w:tcPr>
          <w:p w14:paraId="773A129A" w14:textId="434B7301" w:rsidR="002D3389" w:rsidRPr="00257F44" w:rsidRDefault="002D3389" w:rsidP="00FD2A72">
            <w:pPr>
              <w:pStyle w:val="Rowcolumntitles"/>
              <w:rPr>
                <w:color w:val="FFFFFF" w:themeColor="background1"/>
                <w:sz w:val="20"/>
                <w:lang w:val="uk-UA"/>
              </w:rPr>
            </w:pPr>
            <w:r w:rsidRPr="00257F44">
              <w:rPr>
                <w:color w:val="FFFFFF" w:themeColor="background1"/>
                <w:sz w:val="20"/>
                <w:lang w:val="uk-UA"/>
              </w:rPr>
              <w:t xml:space="preserve">20. </w:t>
            </w:r>
            <w:r w:rsidR="00881CF9" w:rsidRPr="00257F44">
              <w:rPr>
                <w:color w:val="FFFFFF" w:themeColor="background1"/>
                <w:sz w:val="20"/>
                <w:lang w:val="uk-UA"/>
              </w:rPr>
              <w:t>Постанова Уряду про відкриті дані</w:t>
            </w:r>
          </w:p>
        </w:tc>
        <w:tc>
          <w:tcPr>
            <w:tcW w:w="402" w:type="dxa"/>
            <w:vMerge w:val="restart"/>
            <w:shd w:val="clear" w:color="auto" w:fill="D6E3BC" w:themeFill="accent3" w:themeFillTint="66"/>
          </w:tcPr>
          <w:p w14:paraId="09E89802" w14:textId="77777777" w:rsidR="002D3389" w:rsidRPr="00257F44" w:rsidRDefault="002D3389" w:rsidP="00FD2A72">
            <w:pPr>
              <w:pStyle w:val="Rowcolumntitles"/>
              <w:rPr>
                <w:sz w:val="20"/>
                <w:lang w:val="uk-UA"/>
              </w:rPr>
            </w:pPr>
          </w:p>
        </w:tc>
        <w:tc>
          <w:tcPr>
            <w:tcW w:w="388" w:type="dxa"/>
            <w:vMerge w:val="restart"/>
            <w:shd w:val="clear" w:color="auto" w:fill="D6E3BC" w:themeFill="accent3" w:themeFillTint="66"/>
          </w:tcPr>
          <w:p w14:paraId="3B1C3428" w14:textId="29B2BAE5"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25" w:type="dxa"/>
            <w:vMerge w:val="restart"/>
            <w:shd w:val="clear" w:color="auto" w:fill="D6E3BC" w:themeFill="accent3" w:themeFillTint="66"/>
          </w:tcPr>
          <w:p w14:paraId="4409BB8C" w14:textId="77777777" w:rsidR="002D3389" w:rsidRPr="00257F44" w:rsidRDefault="002D3389" w:rsidP="00FD2A72">
            <w:pPr>
              <w:pStyle w:val="Rowcolumntitles"/>
              <w:rPr>
                <w:sz w:val="20"/>
                <w:lang w:val="uk-UA"/>
              </w:rPr>
            </w:pPr>
          </w:p>
        </w:tc>
        <w:tc>
          <w:tcPr>
            <w:tcW w:w="395" w:type="dxa"/>
            <w:vMerge w:val="restart"/>
            <w:shd w:val="clear" w:color="auto" w:fill="D6E3BC" w:themeFill="accent3" w:themeFillTint="66"/>
          </w:tcPr>
          <w:p w14:paraId="446CBB9B" w14:textId="77777777" w:rsidR="002D3389" w:rsidRPr="00257F44" w:rsidRDefault="002D3389" w:rsidP="00FD2A72">
            <w:pPr>
              <w:pStyle w:val="Rowcolumntitles"/>
              <w:rPr>
                <w:rFonts w:eastAsia="Times New Roman"/>
                <w:sz w:val="20"/>
                <w:lang w:val="uk-UA"/>
              </w:rPr>
            </w:pPr>
          </w:p>
        </w:tc>
        <w:tc>
          <w:tcPr>
            <w:tcW w:w="654" w:type="dxa"/>
            <w:gridSpan w:val="2"/>
            <w:vMerge w:val="restart"/>
            <w:shd w:val="clear" w:color="auto" w:fill="FBD4B4" w:themeFill="accent6" w:themeFillTint="66"/>
          </w:tcPr>
          <w:p w14:paraId="578DAF39" w14:textId="71B193A7"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9" w:type="dxa"/>
            <w:vMerge w:val="restart"/>
            <w:shd w:val="clear" w:color="auto" w:fill="FBD4B4" w:themeFill="accent6" w:themeFillTint="66"/>
          </w:tcPr>
          <w:p w14:paraId="71881032" w14:textId="77777777" w:rsidR="002D3389" w:rsidRPr="00257F44" w:rsidRDefault="002D3389" w:rsidP="00FD2A72">
            <w:pPr>
              <w:pStyle w:val="Rowcolumntitles"/>
              <w:rPr>
                <w:rFonts w:eastAsia="Times New Roman"/>
                <w:sz w:val="20"/>
                <w:lang w:val="uk-UA"/>
              </w:rPr>
            </w:pPr>
          </w:p>
        </w:tc>
        <w:tc>
          <w:tcPr>
            <w:tcW w:w="404" w:type="dxa"/>
            <w:vMerge w:val="restart"/>
            <w:shd w:val="clear" w:color="auto" w:fill="FBD4B4" w:themeFill="accent6" w:themeFillTint="66"/>
          </w:tcPr>
          <w:p w14:paraId="0BE23CFD" w14:textId="77777777" w:rsidR="002D3389" w:rsidRPr="00257F44" w:rsidRDefault="002D3389" w:rsidP="00FD2A72">
            <w:pPr>
              <w:pStyle w:val="Rowcolumntitles"/>
              <w:rPr>
                <w:rFonts w:eastAsia="Times New Roman"/>
                <w:sz w:val="20"/>
                <w:lang w:val="uk-UA"/>
              </w:rPr>
            </w:pPr>
          </w:p>
        </w:tc>
        <w:tc>
          <w:tcPr>
            <w:tcW w:w="895" w:type="dxa"/>
            <w:vMerge w:val="restart"/>
            <w:shd w:val="clear" w:color="auto" w:fill="FBD4B4" w:themeFill="accent6" w:themeFillTint="66"/>
          </w:tcPr>
          <w:p w14:paraId="014A5BE7" w14:textId="280C7361"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41" w:type="dxa"/>
            <w:gridSpan w:val="3"/>
            <w:vMerge w:val="restart"/>
            <w:shd w:val="clear" w:color="auto" w:fill="CCC0D9" w:themeFill="accent4" w:themeFillTint="66"/>
          </w:tcPr>
          <w:p w14:paraId="1CB463EB" w14:textId="77777777" w:rsidR="002D3389" w:rsidRPr="00257F44" w:rsidRDefault="002D3389" w:rsidP="00FD2A72">
            <w:pPr>
              <w:pStyle w:val="Rowcolumntitles"/>
              <w:rPr>
                <w:sz w:val="20"/>
                <w:lang w:val="uk-UA"/>
              </w:rPr>
            </w:pPr>
          </w:p>
        </w:tc>
        <w:tc>
          <w:tcPr>
            <w:tcW w:w="341" w:type="dxa"/>
            <w:gridSpan w:val="2"/>
            <w:vMerge w:val="restart"/>
            <w:shd w:val="clear" w:color="auto" w:fill="CCC0D9" w:themeFill="accent4" w:themeFillTint="66"/>
          </w:tcPr>
          <w:p w14:paraId="4F69EE49" w14:textId="77777777" w:rsidR="002D3389" w:rsidRPr="00257F44" w:rsidRDefault="002D3389" w:rsidP="00FD2A72">
            <w:pPr>
              <w:pStyle w:val="Rowcolumntitles"/>
              <w:rPr>
                <w:rFonts w:eastAsia="Times New Roman"/>
                <w:sz w:val="20"/>
                <w:lang w:val="uk-UA"/>
              </w:rPr>
            </w:pPr>
          </w:p>
        </w:tc>
        <w:tc>
          <w:tcPr>
            <w:tcW w:w="341" w:type="dxa"/>
            <w:gridSpan w:val="2"/>
            <w:vMerge w:val="restart"/>
            <w:shd w:val="clear" w:color="auto" w:fill="CCC0D9" w:themeFill="accent4" w:themeFillTint="66"/>
          </w:tcPr>
          <w:p w14:paraId="2DE7498A" w14:textId="706B6096" w:rsidR="002D3389" w:rsidRPr="00257F44" w:rsidRDefault="002D3389" w:rsidP="00FD2A72">
            <w:pPr>
              <w:pStyle w:val="Rowcolumntitles"/>
              <w:rPr>
                <w:sz w:val="20"/>
                <w:lang w:val="uk-UA"/>
              </w:rPr>
            </w:pPr>
            <w:r w:rsidRPr="00257F44">
              <w:rPr>
                <w:rFonts w:ascii="MS Mincho" w:eastAsia="MS Mincho" w:hAnsi="MS Mincho" w:cs="MS Mincho"/>
                <w:noProof/>
                <w:sz w:val="20"/>
                <w:lang w:val="uk-UA"/>
              </w:rPr>
              <w:t>✔</w:t>
            </w:r>
          </w:p>
        </w:tc>
        <w:tc>
          <w:tcPr>
            <w:tcW w:w="343" w:type="dxa"/>
            <w:gridSpan w:val="3"/>
            <w:vMerge w:val="restart"/>
            <w:shd w:val="clear" w:color="auto" w:fill="CCC0D9" w:themeFill="accent4" w:themeFillTint="66"/>
          </w:tcPr>
          <w:p w14:paraId="1CFCFB37"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0F5FD9D2" w14:textId="3B6EB54A"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6B33FD04" w14:textId="77777777" w:rsidR="002D3389" w:rsidRPr="00257F44" w:rsidRDefault="002D3389" w:rsidP="00FD2A72">
            <w:pPr>
              <w:pStyle w:val="Rowcolumntitles"/>
              <w:rPr>
                <w:rFonts w:eastAsia="Times New Roman"/>
                <w:sz w:val="20"/>
                <w:lang w:val="uk-UA"/>
              </w:rPr>
            </w:pPr>
          </w:p>
        </w:tc>
        <w:tc>
          <w:tcPr>
            <w:tcW w:w="487" w:type="dxa"/>
            <w:gridSpan w:val="4"/>
            <w:shd w:val="clear" w:color="auto" w:fill="B8CCE4" w:themeFill="accent1" w:themeFillTint="66"/>
          </w:tcPr>
          <w:p w14:paraId="447E7757" w14:textId="42B52C3B"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93" w:type="dxa"/>
            <w:gridSpan w:val="3"/>
            <w:shd w:val="clear" w:color="auto" w:fill="B8CCE4" w:themeFill="accent1" w:themeFillTint="66"/>
          </w:tcPr>
          <w:p w14:paraId="6BDCB287" w14:textId="7AA46266" w:rsidR="002D3389" w:rsidRPr="00257F44" w:rsidRDefault="002D3389" w:rsidP="00FD2A72">
            <w:pPr>
              <w:pStyle w:val="Rowcolumntitles"/>
              <w:rPr>
                <w:rFonts w:eastAsia="Times New Roman"/>
                <w:sz w:val="20"/>
                <w:lang w:val="uk-UA"/>
              </w:rPr>
            </w:pPr>
          </w:p>
        </w:tc>
        <w:tc>
          <w:tcPr>
            <w:tcW w:w="367" w:type="dxa"/>
            <w:gridSpan w:val="3"/>
            <w:vMerge w:val="restart"/>
            <w:shd w:val="clear" w:color="auto" w:fill="D99594" w:themeFill="accent2" w:themeFillTint="99"/>
          </w:tcPr>
          <w:p w14:paraId="0CB9E2B4"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523AB808"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31B2DDEE"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35F8B0D4" w14:textId="77777777" w:rsidR="002D3389" w:rsidRPr="00257F44" w:rsidRDefault="002D3389"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20A485CA" w14:textId="0DC3C15A"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r>
      <w:tr w:rsidR="000E0B9A" w:rsidRPr="00257F44" w14:paraId="6E32DC5D" w14:textId="77777777" w:rsidTr="00DB3322">
        <w:trPr>
          <w:gridAfter w:val="2"/>
          <w:wAfter w:w="24" w:type="dxa"/>
          <w:trHeight w:val="226"/>
        </w:trPr>
        <w:tc>
          <w:tcPr>
            <w:tcW w:w="1470" w:type="dxa"/>
            <w:vMerge/>
            <w:shd w:val="clear" w:color="auto" w:fill="000000" w:themeFill="text1"/>
          </w:tcPr>
          <w:p w14:paraId="607E50FA" w14:textId="77777777" w:rsidR="002D3389" w:rsidRPr="00257F44" w:rsidRDefault="002D3389" w:rsidP="00FD2A72">
            <w:pPr>
              <w:pStyle w:val="Rowcolumntitles"/>
              <w:rPr>
                <w:color w:val="FFFFFF" w:themeColor="background1"/>
                <w:sz w:val="20"/>
                <w:lang w:val="uk-UA"/>
              </w:rPr>
            </w:pPr>
          </w:p>
        </w:tc>
        <w:tc>
          <w:tcPr>
            <w:tcW w:w="402" w:type="dxa"/>
            <w:vMerge/>
            <w:shd w:val="clear" w:color="auto" w:fill="D6E3BC" w:themeFill="accent3" w:themeFillTint="66"/>
          </w:tcPr>
          <w:p w14:paraId="68F5812D" w14:textId="77777777" w:rsidR="002D3389" w:rsidRPr="00257F44" w:rsidRDefault="002D3389" w:rsidP="00FD2A72">
            <w:pPr>
              <w:pStyle w:val="Rowcolumntitles"/>
              <w:rPr>
                <w:sz w:val="20"/>
                <w:lang w:val="uk-UA"/>
              </w:rPr>
            </w:pPr>
          </w:p>
        </w:tc>
        <w:tc>
          <w:tcPr>
            <w:tcW w:w="388" w:type="dxa"/>
            <w:vMerge/>
            <w:shd w:val="clear" w:color="auto" w:fill="D6E3BC" w:themeFill="accent3" w:themeFillTint="66"/>
          </w:tcPr>
          <w:p w14:paraId="2D698CF1" w14:textId="77777777" w:rsidR="002D3389" w:rsidRPr="00257F44" w:rsidRDefault="002D3389" w:rsidP="00FD2A72">
            <w:pPr>
              <w:pStyle w:val="Rowcolumntitles"/>
              <w:rPr>
                <w:noProof/>
                <w:sz w:val="20"/>
                <w:lang w:val="uk-UA"/>
              </w:rPr>
            </w:pPr>
          </w:p>
        </w:tc>
        <w:tc>
          <w:tcPr>
            <w:tcW w:w="425" w:type="dxa"/>
            <w:vMerge/>
            <w:shd w:val="clear" w:color="auto" w:fill="D6E3BC" w:themeFill="accent3" w:themeFillTint="66"/>
          </w:tcPr>
          <w:p w14:paraId="4550BB1D" w14:textId="77777777" w:rsidR="002D3389" w:rsidRPr="00257F44" w:rsidRDefault="002D3389" w:rsidP="00FD2A72">
            <w:pPr>
              <w:pStyle w:val="Rowcolumntitles"/>
              <w:rPr>
                <w:sz w:val="20"/>
                <w:lang w:val="uk-UA"/>
              </w:rPr>
            </w:pPr>
          </w:p>
        </w:tc>
        <w:tc>
          <w:tcPr>
            <w:tcW w:w="395" w:type="dxa"/>
            <w:vMerge/>
            <w:shd w:val="clear" w:color="auto" w:fill="D6E3BC" w:themeFill="accent3" w:themeFillTint="66"/>
          </w:tcPr>
          <w:p w14:paraId="45271EE7" w14:textId="77777777" w:rsidR="002D3389" w:rsidRPr="00257F44" w:rsidRDefault="002D3389" w:rsidP="00FD2A72">
            <w:pPr>
              <w:pStyle w:val="Rowcolumntitles"/>
              <w:rPr>
                <w:rFonts w:eastAsia="Times New Roman"/>
                <w:sz w:val="20"/>
                <w:lang w:val="uk-UA"/>
              </w:rPr>
            </w:pPr>
          </w:p>
        </w:tc>
        <w:tc>
          <w:tcPr>
            <w:tcW w:w="654" w:type="dxa"/>
            <w:gridSpan w:val="2"/>
            <w:vMerge/>
            <w:shd w:val="clear" w:color="auto" w:fill="FBD4B4" w:themeFill="accent6" w:themeFillTint="66"/>
          </w:tcPr>
          <w:p w14:paraId="14BDFADC" w14:textId="77777777" w:rsidR="002D3389" w:rsidRPr="00257F44" w:rsidRDefault="002D3389" w:rsidP="00FD2A72">
            <w:pPr>
              <w:pStyle w:val="Rowcolumntitles"/>
              <w:rPr>
                <w:noProof/>
                <w:sz w:val="20"/>
                <w:lang w:val="uk-UA"/>
              </w:rPr>
            </w:pPr>
          </w:p>
        </w:tc>
        <w:tc>
          <w:tcPr>
            <w:tcW w:w="369" w:type="dxa"/>
            <w:vMerge/>
            <w:shd w:val="clear" w:color="auto" w:fill="FBD4B4" w:themeFill="accent6" w:themeFillTint="66"/>
          </w:tcPr>
          <w:p w14:paraId="574D8BC8" w14:textId="77777777" w:rsidR="002D3389" w:rsidRPr="00257F44" w:rsidRDefault="002D3389" w:rsidP="00FD2A72">
            <w:pPr>
              <w:pStyle w:val="Rowcolumntitles"/>
              <w:rPr>
                <w:rFonts w:eastAsia="Times New Roman"/>
                <w:sz w:val="20"/>
                <w:lang w:val="uk-UA"/>
              </w:rPr>
            </w:pPr>
          </w:p>
        </w:tc>
        <w:tc>
          <w:tcPr>
            <w:tcW w:w="404" w:type="dxa"/>
            <w:vMerge/>
            <w:shd w:val="clear" w:color="auto" w:fill="FBD4B4" w:themeFill="accent6" w:themeFillTint="66"/>
          </w:tcPr>
          <w:p w14:paraId="54F86AE5" w14:textId="77777777" w:rsidR="002D3389" w:rsidRPr="00257F44" w:rsidRDefault="002D3389" w:rsidP="00FD2A72">
            <w:pPr>
              <w:pStyle w:val="Rowcolumntitles"/>
              <w:rPr>
                <w:rFonts w:eastAsia="Times New Roman"/>
                <w:sz w:val="20"/>
                <w:lang w:val="uk-UA"/>
              </w:rPr>
            </w:pPr>
          </w:p>
        </w:tc>
        <w:tc>
          <w:tcPr>
            <w:tcW w:w="895" w:type="dxa"/>
            <w:vMerge/>
            <w:shd w:val="clear" w:color="auto" w:fill="FBD4B4" w:themeFill="accent6" w:themeFillTint="66"/>
          </w:tcPr>
          <w:p w14:paraId="5929BAF7" w14:textId="77777777" w:rsidR="002D3389" w:rsidRPr="00257F44" w:rsidRDefault="002D3389" w:rsidP="00FD2A72">
            <w:pPr>
              <w:pStyle w:val="Rowcolumntitles"/>
              <w:rPr>
                <w:noProof/>
                <w:sz w:val="20"/>
                <w:lang w:val="uk-UA"/>
              </w:rPr>
            </w:pPr>
          </w:p>
        </w:tc>
        <w:tc>
          <w:tcPr>
            <w:tcW w:w="341" w:type="dxa"/>
            <w:gridSpan w:val="3"/>
            <w:vMerge/>
            <w:shd w:val="clear" w:color="auto" w:fill="CCC0D9" w:themeFill="accent4" w:themeFillTint="66"/>
          </w:tcPr>
          <w:p w14:paraId="30F68586" w14:textId="77777777" w:rsidR="002D3389" w:rsidRPr="00257F44" w:rsidRDefault="002D3389" w:rsidP="00FD2A72">
            <w:pPr>
              <w:pStyle w:val="Rowcolumntitles"/>
              <w:rPr>
                <w:sz w:val="20"/>
                <w:lang w:val="uk-UA"/>
              </w:rPr>
            </w:pPr>
          </w:p>
        </w:tc>
        <w:tc>
          <w:tcPr>
            <w:tcW w:w="341" w:type="dxa"/>
            <w:gridSpan w:val="2"/>
            <w:vMerge/>
            <w:shd w:val="clear" w:color="auto" w:fill="CCC0D9" w:themeFill="accent4" w:themeFillTint="66"/>
          </w:tcPr>
          <w:p w14:paraId="7C6D3FD1" w14:textId="77777777" w:rsidR="002D3389" w:rsidRPr="00257F44" w:rsidRDefault="002D3389" w:rsidP="00FD2A72">
            <w:pPr>
              <w:pStyle w:val="Rowcolumntitles"/>
              <w:rPr>
                <w:rFonts w:eastAsia="Times New Roman"/>
                <w:sz w:val="20"/>
                <w:lang w:val="uk-UA"/>
              </w:rPr>
            </w:pPr>
          </w:p>
        </w:tc>
        <w:tc>
          <w:tcPr>
            <w:tcW w:w="341" w:type="dxa"/>
            <w:gridSpan w:val="2"/>
            <w:vMerge/>
            <w:shd w:val="clear" w:color="auto" w:fill="CCC0D9" w:themeFill="accent4" w:themeFillTint="66"/>
          </w:tcPr>
          <w:p w14:paraId="0636227A" w14:textId="77777777" w:rsidR="002D3389" w:rsidRPr="00257F44" w:rsidRDefault="002D3389" w:rsidP="00FD2A72">
            <w:pPr>
              <w:pStyle w:val="Rowcolumntitles"/>
              <w:rPr>
                <w:noProof/>
                <w:sz w:val="20"/>
                <w:lang w:val="uk-UA"/>
              </w:rPr>
            </w:pPr>
          </w:p>
        </w:tc>
        <w:tc>
          <w:tcPr>
            <w:tcW w:w="343" w:type="dxa"/>
            <w:gridSpan w:val="3"/>
            <w:vMerge/>
            <w:shd w:val="clear" w:color="auto" w:fill="CCC0D9" w:themeFill="accent4" w:themeFillTint="66"/>
          </w:tcPr>
          <w:p w14:paraId="65D54503"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13BE6E5F" w14:textId="639BA5AB"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0B9CFF2B" w14:textId="77777777" w:rsidR="002D3389" w:rsidRPr="00257F44" w:rsidRDefault="002D3389" w:rsidP="00FD2A72">
            <w:pPr>
              <w:pStyle w:val="Rowcolumntitles"/>
              <w:rPr>
                <w:rFonts w:eastAsia="Times New Roman"/>
                <w:sz w:val="20"/>
                <w:lang w:val="uk-UA"/>
              </w:rPr>
            </w:pPr>
          </w:p>
        </w:tc>
        <w:tc>
          <w:tcPr>
            <w:tcW w:w="487" w:type="dxa"/>
            <w:gridSpan w:val="4"/>
            <w:shd w:val="clear" w:color="auto" w:fill="B8CCE4" w:themeFill="accent1" w:themeFillTint="66"/>
          </w:tcPr>
          <w:p w14:paraId="20F5C121" w14:textId="77777777" w:rsidR="002D3389" w:rsidRPr="00257F44" w:rsidRDefault="002D3389" w:rsidP="00FD2A72">
            <w:pPr>
              <w:pStyle w:val="Rowcolumntitles"/>
              <w:rPr>
                <w:rFonts w:eastAsia="Times New Roman"/>
                <w:sz w:val="20"/>
                <w:lang w:val="uk-UA"/>
              </w:rPr>
            </w:pPr>
          </w:p>
        </w:tc>
        <w:tc>
          <w:tcPr>
            <w:tcW w:w="493" w:type="dxa"/>
            <w:gridSpan w:val="3"/>
            <w:shd w:val="clear" w:color="auto" w:fill="B8CCE4" w:themeFill="accent1" w:themeFillTint="66"/>
          </w:tcPr>
          <w:p w14:paraId="41C561C0" w14:textId="0EFEE4C9"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7" w:type="dxa"/>
            <w:gridSpan w:val="3"/>
            <w:vMerge/>
            <w:shd w:val="clear" w:color="auto" w:fill="D99594" w:themeFill="accent2" w:themeFillTint="99"/>
          </w:tcPr>
          <w:p w14:paraId="4C43DE89"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62BD1B2A"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0BC7FB98"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120BA7D3" w14:textId="77777777" w:rsidR="002D3389" w:rsidRPr="00257F44" w:rsidRDefault="002D3389" w:rsidP="00FD2A72">
            <w:pPr>
              <w:pStyle w:val="Rowcolumntitles"/>
              <w:rPr>
                <w:rFonts w:eastAsia="Times New Roman"/>
                <w:sz w:val="20"/>
                <w:lang w:val="uk-UA"/>
              </w:rPr>
            </w:pPr>
          </w:p>
        </w:tc>
        <w:tc>
          <w:tcPr>
            <w:tcW w:w="388" w:type="dxa"/>
            <w:gridSpan w:val="2"/>
            <w:vMerge/>
            <w:shd w:val="clear" w:color="auto" w:fill="D99594" w:themeFill="accent2" w:themeFillTint="99"/>
          </w:tcPr>
          <w:p w14:paraId="64320691" w14:textId="77777777" w:rsidR="002D3389" w:rsidRPr="00257F44" w:rsidRDefault="002D3389" w:rsidP="00FD2A72">
            <w:pPr>
              <w:pStyle w:val="Rowcolumntitles"/>
              <w:rPr>
                <w:rFonts w:eastAsia="Times New Roman"/>
                <w:sz w:val="20"/>
                <w:lang w:val="uk-UA"/>
              </w:rPr>
            </w:pPr>
          </w:p>
        </w:tc>
      </w:tr>
      <w:tr w:rsidR="000E0B9A" w:rsidRPr="00257F44" w14:paraId="4C1CDEBA" w14:textId="77777777" w:rsidTr="00DB3322">
        <w:trPr>
          <w:gridAfter w:val="2"/>
          <w:wAfter w:w="24" w:type="dxa"/>
          <w:trHeight w:val="300"/>
        </w:trPr>
        <w:tc>
          <w:tcPr>
            <w:tcW w:w="1470" w:type="dxa"/>
            <w:vMerge w:val="restart"/>
            <w:shd w:val="clear" w:color="auto" w:fill="000000" w:themeFill="text1"/>
          </w:tcPr>
          <w:p w14:paraId="5E99D420" w14:textId="2974F5DE" w:rsidR="002D3389" w:rsidRPr="00257F44" w:rsidRDefault="002D3389" w:rsidP="00FD2A72">
            <w:pPr>
              <w:pStyle w:val="Rowcolumntitles"/>
              <w:rPr>
                <w:color w:val="FFFFFF" w:themeColor="background1"/>
                <w:sz w:val="20"/>
                <w:lang w:val="uk-UA"/>
              </w:rPr>
            </w:pPr>
            <w:r w:rsidRPr="00257F44">
              <w:rPr>
                <w:color w:val="FFFFFF" w:themeColor="background1"/>
                <w:sz w:val="20"/>
                <w:lang w:val="uk-UA"/>
              </w:rPr>
              <w:t xml:space="preserve">21. </w:t>
            </w:r>
            <w:r w:rsidR="00881CF9" w:rsidRPr="00257F44">
              <w:rPr>
                <w:color w:val="FFFFFF" w:themeColor="background1"/>
                <w:sz w:val="20"/>
                <w:lang w:val="uk-UA"/>
              </w:rPr>
              <w:t>Дорожня карта розвитку електронної демократії</w:t>
            </w:r>
          </w:p>
        </w:tc>
        <w:tc>
          <w:tcPr>
            <w:tcW w:w="402" w:type="dxa"/>
            <w:vMerge w:val="restart"/>
            <w:shd w:val="clear" w:color="auto" w:fill="D6E3BC" w:themeFill="accent3" w:themeFillTint="66"/>
          </w:tcPr>
          <w:p w14:paraId="4E6BBD05" w14:textId="77777777" w:rsidR="002D3389" w:rsidRPr="00257F44" w:rsidRDefault="002D3389" w:rsidP="00FD2A72">
            <w:pPr>
              <w:pStyle w:val="Rowcolumntitles"/>
              <w:rPr>
                <w:sz w:val="20"/>
                <w:lang w:val="uk-UA"/>
              </w:rPr>
            </w:pPr>
          </w:p>
        </w:tc>
        <w:tc>
          <w:tcPr>
            <w:tcW w:w="388" w:type="dxa"/>
            <w:vMerge w:val="restart"/>
            <w:shd w:val="clear" w:color="auto" w:fill="D6E3BC" w:themeFill="accent3" w:themeFillTint="66"/>
          </w:tcPr>
          <w:p w14:paraId="163F4A27" w14:textId="50214A71"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25" w:type="dxa"/>
            <w:vMerge w:val="restart"/>
            <w:shd w:val="clear" w:color="auto" w:fill="D6E3BC" w:themeFill="accent3" w:themeFillTint="66"/>
          </w:tcPr>
          <w:p w14:paraId="150C6BC6" w14:textId="77777777" w:rsidR="002D3389" w:rsidRPr="00257F44" w:rsidRDefault="002D3389" w:rsidP="00FD2A72">
            <w:pPr>
              <w:pStyle w:val="Rowcolumntitles"/>
              <w:rPr>
                <w:sz w:val="20"/>
                <w:lang w:val="uk-UA"/>
              </w:rPr>
            </w:pPr>
          </w:p>
        </w:tc>
        <w:tc>
          <w:tcPr>
            <w:tcW w:w="395" w:type="dxa"/>
            <w:vMerge w:val="restart"/>
            <w:shd w:val="clear" w:color="auto" w:fill="D6E3BC" w:themeFill="accent3" w:themeFillTint="66"/>
          </w:tcPr>
          <w:p w14:paraId="188F47D9" w14:textId="77777777" w:rsidR="002D3389" w:rsidRPr="00257F44" w:rsidRDefault="002D3389" w:rsidP="00FD2A72">
            <w:pPr>
              <w:pStyle w:val="Rowcolumntitles"/>
              <w:rPr>
                <w:rFonts w:eastAsia="Times New Roman"/>
                <w:sz w:val="20"/>
                <w:lang w:val="uk-UA"/>
              </w:rPr>
            </w:pPr>
          </w:p>
        </w:tc>
        <w:tc>
          <w:tcPr>
            <w:tcW w:w="654" w:type="dxa"/>
            <w:gridSpan w:val="2"/>
            <w:vMerge w:val="restart"/>
            <w:shd w:val="clear" w:color="auto" w:fill="FBD4B4" w:themeFill="accent6" w:themeFillTint="66"/>
          </w:tcPr>
          <w:p w14:paraId="3D9F72C1" w14:textId="14E8B954"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9" w:type="dxa"/>
            <w:vMerge w:val="restart"/>
            <w:shd w:val="clear" w:color="auto" w:fill="FBD4B4" w:themeFill="accent6" w:themeFillTint="66"/>
          </w:tcPr>
          <w:p w14:paraId="29022D2F" w14:textId="3F1A9984"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04" w:type="dxa"/>
            <w:vMerge w:val="restart"/>
            <w:shd w:val="clear" w:color="auto" w:fill="FBD4B4" w:themeFill="accent6" w:themeFillTint="66"/>
          </w:tcPr>
          <w:p w14:paraId="538C1A19" w14:textId="77777777" w:rsidR="002D3389" w:rsidRPr="00257F44" w:rsidRDefault="002D3389" w:rsidP="00FD2A72">
            <w:pPr>
              <w:pStyle w:val="Rowcolumntitles"/>
              <w:rPr>
                <w:rFonts w:eastAsia="Times New Roman"/>
                <w:sz w:val="20"/>
                <w:lang w:val="uk-UA"/>
              </w:rPr>
            </w:pPr>
          </w:p>
        </w:tc>
        <w:tc>
          <w:tcPr>
            <w:tcW w:w="895" w:type="dxa"/>
            <w:vMerge w:val="restart"/>
            <w:shd w:val="clear" w:color="auto" w:fill="FBD4B4" w:themeFill="accent6" w:themeFillTint="66"/>
          </w:tcPr>
          <w:p w14:paraId="40D2097F" w14:textId="7A803A29"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41" w:type="dxa"/>
            <w:gridSpan w:val="3"/>
            <w:vMerge w:val="restart"/>
            <w:shd w:val="clear" w:color="auto" w:fill="CCC0D9" w:themeFill="accent4" w:themeFillTint="66"/>
          </w:tcPr>
          <w:p w14:paraId="54C333DD" w14:textId="77777777" w:rsidR="002D3389" w:rsidRPr="00257F44" w:rsidRDefault="002D3389" w:rsidP="00FD2A72">
            <w:pPr>
              <w:pStyle w:val="Rowcolumntitles"/>
              <w:rPr>
                <w:sz w:val="20"/>
                <w:lang w:val="uk-UA"/>
              </w:rPr>
            </w:pPr>
          </w:p>
        </w:tc>
        <w:tc>
          <w:tcPr>
            <w:tcW w:w="341" w:type="dxa"/>
            <w:gridSpan w:val="2"/>
            <w:vMerge w:val="restart"/>
            <w:shd w:val="clear" w:color="auto" w:fill="CCC0D9" w:themeFill="accent4" w:themeFillTint="66"/>
          </w:tcPr>
          <w:p w14:paraId="5FA9803F" w14:textId="77777777" w:rsidR="002D3389" w:rsidRPr="00257F44" w:rsidRDefault="002D3389" w:rsidP="00FD2A72">
            <w:pPr>
              <w:pStyle w:val="Rowcolumntitles"/>
              <w:rPr>
                <w:rFonts w:eastAsia="Times New Roman"/>
                <w:sz w:val="20"/>
                <w:lang w:val="uk-UA"/>
              </w:rPr>
            </w:pPr>
          </w:p>
        </w:tc>
        <w:tc>
          <w:tcPr>
            <w:tcW w:w="341" w:type="dxa"/>
            <w:gridSpan w:val="2"/>
            <w:vMerge w:val="restart"/>
            <w:shd w:val="clear" w:color="auto" w:fill="CCC0D9" w:themeFill="accent4" w:themeFillTint="66"/>
          </w:tcPr>
          <w:p w14:paraId="04A9DE5C" w14:textId="1878FCED" w:rsidR="002D3389" w:rsidRPr="00257F44" w:rsidRDefault="002D3389" w:rsidP="00FD2A72">
            <w:pPr>
              <w:pStyle w:val="Rowcolumntitles"/>
              <w:rPr>
                <w:sz w:val="20"/>
                <w:lang w:val="uk-UA"/>
              </w:rPr>
            </w:pPr>
            <w:r w:rsidRPr="00257F44">
              <w:rPr>
                <w:rFonts w:ascii="MS Mincho" w:eastAsia="MS Mincho" w:hAnsi="MS Mincho" w:cs="MS Mincho"/>
                <w:noProof/>
                <w:sz w:val="20"/>
                <w:lang w:val="uk-UA"/>
              </w:rPr>
              <w:t>✔</w:t>
            </w:r>
          </w:p>
        </w:tc>
        <w:tc>
          <w:tcPr>
            <w:tcW w:w="343" w:type="dxa"/>
            <w:gridSpan w:val="3"/>
            <w:vMerge w:val="restart"/>
            <w:shd w:val="clear" w:color="auto" w:fill="CCC0D9" w:themeFill="accent4" w:themeFillTint="66"/>
          </w:tcPr>
          <w:p w14:paraId="03C4315D"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124DC747" w14:textId="580FCD66"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3EB9910A" w14:textId="1CC54C60" w:rsidR="002D3389" w:rsidRPr="00257F44" w:rsidRDefault="002D3389" w:rsidP="00FD2A72">
            <w:pPr>
              <w:pStyle w:val="Rowcolumntitles"/>
              <w:rPr>
                <w:rFonts w:eastAsia="Times New Roman"/>
                <w:sz w:val="20"/>
                <w:lang w:val="uk-UA"/>
              </w:rPr>
            </w:pPr>
          </w:p>
        </w:tc>
        <w:tc>
          <w:tcPr>
            <w:tcW w:w="487" w:type="dxa"/>
            <w:gridSpan w:val="4"/>
            <w:shd w:val="clear" w:color="auto" w:fill="B8CCE4" w:themeFill="accent1" w:themeFillTint="66"/>
          </w:tcPr>
          <w:p w14:paraId="6FFDFCA7" w14:textId="4CE2B959"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93" w:type="dxa"/>
            <w:gridSpan w:val="3"/>
            <w:shd w:val="clear" w:color="auto" w:fill="B8CCE4" w:themeFill="accent1" w:themeFillTint="66"/>
          </w:tcPr>
          <w:p w14:paraId="7C81B4AF" w14:textId="45AAA645" w:rsidR="002D3389" w:rsidRPr="00257F44" w:rsidRDefault="002D3389" w:rsidP="00FD2A72">
            <w:pPr>
              <w:pStyle w:val="Rowcolumntitles"/>
              <w:rPr>
                <w:rFonts w:eastAsia="Times New Roman"/>
                <w:sz w:val="20"/>
                <w:lang w:val="uk-UA"/>
              </w:rPr>
            </w:pPr>
          </w:p>
        </w:tc>
        <w:tc>
          <w:tcPr>
            <w:tcW w:w="367" w:type="dxa"/>
            <w:gridSpan w:val="3"/>
            <w:vMerge w:val="restart"/>
            <w:shd w:val="clear" w:color="auto" w:fill="D99594" w:themeFill="accent2" w:themeFillTint="99"/>
          </w:tcPr>
          <w:p w14:paraId="16FD9CE1"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1A782E98" w14:textId="5B0D6F2C"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18" w:type="dxa"/>
            <w:gridSpan w:val="2"/>
            <w:vMerge w:val="restart"/>
            <w:shd w:val="clear" w:color="auto" w:fill="D99594" w:themeFill="accent2" w:themeFillTint="99"/>
          </w:tcPr>
          <w:p w14:paraId="0FA0424E"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121C6FF3" w14:textId="77777777" w:rsidR="002D3389" w:rsidRPr="00257F44" w:rsidRDefault="002D3389"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67FF66EF" w14:textId="77777777" w:rsidR="002D3389" w:rsidRPr="00257F44" w:rsidRDefault="002D3389" w:rsidP="00FD2A72">
            <w:pPr>
              <w:pStyle w:val="Rowcolumntitles"/>
              <w:rPr>
                <w:rFonts w:eastAsia="Times New Roman"/>
                <w:sz w:val="20"/>
                <w:lang w:val="uk-UA"/>
              </w:rPr>
            </w:pPr>
          </w:p>
        </w:tc>
      </w:tr>
      <w:tr w:rsidR="000E0B9A" w:rsidRPr="00257F44" w14:paraId="22888FED" w14:textId="77777777" w:rsidTr="00DB3322">
        <w:trPr>
          <w:gridAfter w:val="2"/>
          <w:wAfter w:w="24" w:type="dxa"/>
          <w:trHeight w:val="300"/>
        </w:trPr>
        <w:tc>
          <w:tcPr>
            <w:tcW w:w="1470" w:type="dxa"/>
            <w:vMerge/>
            <w:shd w:val="clear" w:color="auto" w:fill="000000" w:themeFill="text1"/>
          </w:tcPr>
          <w:p w14:paraId="4F005D93" w14:textId="77777777" w:rsidR="002D3389" w:rsidRPr="00257F44" w:rsidRDefault="002D3389" w:rsidP="00FD2A72">
            <w:pPr>
              <w:pStyle w:val="Rowcolumntitles"/>
              <w:rPr>
                <w:color w:val="FFFFFF" w:themeColor="background1"/>
                <w:sz w:val="20"/>
                <w:lang w:val="uk-UA"/>
              </w:rPr>
            </w:pPr>
          </w:p>
        </w:tc>
        <w:tc>
          <w:tcPr>
            <w:tcW w:w="402" w:type="dxa"/>
            <w:vMerge/>
            <w:shd w:val="clear" w:color="auto" w:fill="D6E3BC" w:themeFill="accent3" w:themeFillTint="66"/>
          </w:tcPr>
          <w:p w14:paraId="5C12C0B8" w14:textId="77777777" w:rsidR="002D3389" w:rsidRPr="00257F44" w:rsidRDefault="002D3389" w:rsidP="00FD2A72">
            <w:pPr>
              <w:pStyle w:val="Rowcolumntitles"/>
              <w:rPr>
                <w:sz w:val="20"/>
                <w:lang w:val="uk-UA"/>
              </w:rPr>
            </w:pPr>
          </w:p>
        </w:tc>
        <w:tc>
          <w:tcPr>
            <w:tcW w:w="388" w:type="dxa"/>
            <w:vMerge/>
            <w:shd w:val="clear" w:color="auto" w:fill="D6E3BC" w:themeFill="accent3" w:themeFillTint="66"/>
          </w:tcPr>
          <w:p w14:paraId="56783765" w14:textId="77777777" w:rsidR="002D3389" w:rsidRPr="00257F44" w:rsidRDefault="002D3389" w:rsidP="00FD2A72">
            <w:pPr>
              <w:pStyle w:val="Rowcolumntitles"/>
              <w:rPr>
                <w:noProof/>
                <w:sz w:val="20"/>
                <w:lang w:val="uk-UA"/>
              </w:rPr>
            </w:pPr>
          </w:p>
        </w:tc>
        <w:tc>
          <w:tcPr>
            <w:tcW w:w="425" w:type="dxa"/>
            <w:vMerge/>
            <w:shd w:val="clear" w:color="auto" w:fill="D6E3BC" w:themeFill="accent3" w:themeFillTint="66"/>
          </w:tcPr>
          <w:p w14:paraId="5CF214C0" w14:textId="77777777" w:rsidR="002D3389" w:rsidRPr="00257F44" w:rsidRDefault="002D3389" w:rsidP="00FD2A72">
            <w:pPr>
              <w:pStyle w:val="Rowcolumntitles"/>
              <w:rPr>
                <w:sz w:val="20"/>
                <w:lang w:val="uk-UA"/>
              </w:rPr>
            </w:pPr>
          </w:p>
        </w:tc>
        <w:tc>
          <w:tcPr>
            <w:tcW w:w="395" w:type="dxa"/>
            <w:vMerge/>
            <w:shd w:val="clear" w:color="auto" w:fill="D6E3BC" w:themeFill="accent3" w:themeFillTint="66"/>
          </w:tcPr>
          <w:p w14:paraId="4E12FBA4" w14:textId="77777777" w:rsidR="002D3389" w:rsidRPr="00257F44" w:rsidRDefault="002D3389" w:rsidP="00FD2A72">
            <w:pPr>
              <w:pStyle w:val="Rowcolumntitles"/>
              <w:rPr>
                <w:rFonts w:eastAsia="Times New Roman"/>
                <w:sz w:val="20"/>
                <w:lang w:val="uk-UA"/>
              </w:rPr>
            </w:pPr>
          </w:p>
        </w:tc>
        <w:tc>
          <w:tcPr>
            <w:tcW w:w="654" w:type="dxa"/>
            <w:gridSpan w:val="2"/>
            <w:vMerge/>
            <w:shd w:val="clear" w:color="auto" w:fill="FBD4B4" w:themeFill="accent6" w:themeFillTint="66"/>
          </w:tcPr>
          <w:p w14:paraId="1BA38056" w14:textId="77777777" w:rsidR="002D3389" w:rsidRPr="00257F44" w:rsidRDefault="002D3389" w:rsidP="00FD2A72">
            <w:pPr>
              <w:pStyle w:val="Rowcolumntitles"/>
              <w:rPr>
                <w:noProof/>
                <w:sz w:val="20"/>
                <w:lang w:val="uk-UA"/>
              </w:rPr>
            </w:pPr>
          </w:p>
        </w:tc>
        <w:tc>
          <w:tcPr>
            <w:tcW w:w="369" w:type="dxa"/>
            <w:vMerge/>
            <w:shd w:val="clear" w:color="auto" w:fill="FBD4B4" w:themeFill="accent6" w:themeFillTint="66"/>
          </w:tcPr>
          <w:p w14:paraId="6A7F36A3" w14:textId="77777777" w:rsidR="002D3389" w:rsidRPr="00257F44" w:rsidRDefault="002D3389" w:rsidP="00FD2A72">
            <w:pPr>
              <w:pStyle w:val="Rowcolumntitles"/>
              <w:rPr>
                <w:noProof/>
                <w:sz w:val="20"/>
                <w:lang w:val="uk-UA"/>
              </w:rPr>
            </w:pPr>
          </w:p>
        </w:tc>
        <w:tc>
          <w:tcPr>
            <w:tcW w:w="404" w:type="dxa"/>
            <w:vMerge/>
            <w:shd w:val="clear" w:color="auto" w:fill="FBD4B4" w:themeFill="accent6" w:themeFillTint="66"/>
          </w:tcPr>
          <w:p w14:paraId="2D5FEB6D" w14:textId="77777777" w:rsidR="002D3389" w:rsidRPr="00257F44" w:rsidRDefault="002D3389" w:rsidP="00FD2A72">
            <w:pPr>
              <w:pStyle w:val="Rowcolumntitles"/>
              <w:rPr>
                <w:rFonts w:eastAsia="Times New Roman"/>
                <w:sz w:val="20"/>
                <w:lang w:val="uk-UA"/>
              </w:rPr>
            </w:pPr>
          </w:p>
        </w:tc>
        <w:tc>
          <w:tcPr>
            <w:tcW w:w="895" w:type="dxa"/>
            <w:vMerge/>
            <w:shd w:val="clear" w:color="auto" w:fill="FBD4B4" w:themeFill="accent6" w:themeFillTint="66"/>
          </w:tcPr>
          <w:p w14:paraId="53D770C4" w14:textId="77777777" w:rsidR="002D3389" w:rsidRPr="00257F44" w:rsidRDefault="002D3389" w:rsidP="00FD2A72">
            <w:pPr>
              <w:pStyle w:val="Rowcolumntitles"/>
              <w:rPr>
                <w:noProof/>
                <w:sz w:val="20"/>
                <w:lang w:val="uk-UA"/>
              </w:rPr>
            </w:pPr>
          </w:p>
        </w:tc>
        <w:tc>
          <w:tcPr>
            <w:tcW w:w="341" w:type="dxa"/>
            <w:gridSpan w:val="3"/>
            <w:vMerge/>
            <w:shd w:val="clear" w:color="auto" w:fill="CCC0D9" w:themeFill="accent4" w:themeFillTint="66"/>
          </w:tcPr>
          <w:p w14:paraId="0B0DE393" w14:textId="77777777" w:rsidR="002D3389" w:rsidRPr="00257F44" w:rsidRDefault="002D3389" w:rsidP="00FD2A72">
            <w:pPr>
              <w:pStyle w:val="Rowcolumntitles"/>
              <w:rPr>
                <w:sz w:val="20"/>
                <w:lang w:val="uk-UA"/>
              </w:rPr>
            </w:pPr>
          </w:p>
        </w:tc>
        <w:tc>
          <w:tcPr>
            <w:tcW w:w="341" w:type="dxa"/>
            <w:gridSpan w:val="2"/>
            <w:vMerge/>
            <w:shd w:val="clear" w:color="auto" w:fill="CCC0D9" w:themeFill="accent4" w:themeFillTint="66"/>
          </w:tcPr>
          <w:p w14:paraId="2EE0461C" w14:textId="77777777" w:rsidR="002D3389" w:rsidRPr="00257F44" w:rsidRDefault="002D3389" w:rsidP="00FD2A72">
            <w:pPr>
              <w:pStyle w:val="Rowcolumntitles"/>
              <w:rPr>
                <w:rFonts w:eastAsia="Times New Roman"/>
                <w:sz w:val="20"/>
                <w:lang w:val="uk-UA"/>
              </w:rPr>
            </w:pPr>
          </w:p>
        </w:tc>
        <w:tc>
          <w:tcPr>
            <w:tcW w:w="341" w:type="dxa"/>
            <w:gridSpan w:val="2"/>
            <w:vMerge/>
            <w:shd w:val="clear" w:color="auto" w:fill="CCC0D9" w:themeFill="accent4" w:themeFillTint="66"/>
          </w:tcPr>
          <w:p w14:paraId="6CEE737D" w14:textId="77777777" w:rsidR="002D3389" w:rsidRPr="00257F44" w:rsidRDefault="002D3389" w:rsidP="00FD2A72">
            <w:pPr>
              <w:pStyle w:val="Rowcolumntitles"/>
              <w:rPr>
                <w:noProof/>
                <w:sz w:val="20"/>
                <w:lang w:val="uk-UA"/>
              </w:rPr>
            </w:pPr>
          </w:p>
        </w:tc>
        <w:tc>
          <w:tcPr>
            <w:tcW w:w="343" w:type="dxa"/>
            <w:gridSpan w:val="3"/>
            <w:vMerge/>
            <w:shd w:val="clear" w:color="auto" w:fill="CCC0D9" w:themeFill="accent4" w:themeFillTint="66"/>
          </w:tcPr>
          <w:p w14:paraId="12D18204"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5C7F9337" w14:textId="77777777" w:rsidR="002D3389" w:rsidRPr="00257F44" w:rsidRDefault="002D3389" w:rsidP="00FD2A72">
            <w:pPr>
              <w:pStyle w:val="Rowcolumntitles"/>
              <w:rPr>
                <w:sz w:val="20"/>
                <w:lang w:val="uk-UA"/>
              </w:rPr>
            </w:pPr>
          </w:p>
        </w:tc>
        <w:tc>
          <w:tcPr>
            <w:tcW w:w="487" w:type="dxa"/>
            <w:gridSpan w:val="2"/>
            <w:shd w:val="clear" w:color="auto" w:fill="B8CCE4" w:themeFill="accent1" w:themeFillTint="66"/>
          </w:tcPr>
          <w:p w14:paraId="253F7D19" w14:textId="77777777" w:rsidR="002D3389" w:rsidRPr="00257F44" w:rsidRDefault="002D3389" w:rsidP="00FD2A72">
            <w:pPr>
              <w:pStyle w:val="Rowcolumntitles"/>
              <w:rPr>
                <w:sz w:val="20"/>
                <w:lang w:val="uk-UA"/>
              </w:rPr>
            </w:pPr>
          </w:p>
        </w:tc>
        <w:tc>
          <w:tcPr>
            <w:tcW w:w="487" w:type="dxa"/>
            <w:gridSpan w:val="4"/>
            <w:shd w:val="clear" w:color="auto" w:fill="B8CCE4" w:themeFill="accent1" w:themeFillTint="66"/>
          </w:tcPr>
          <w:p w14:paraId="0FAEF2F0" w14:textId="30ED5AE8" w:rsidR="002D3389" w:rsidRPr="00257F44" w:rsidRDefault="002D3389" w:rsidP="00FD2A72">
            <w:pPr>
              <w:pStyle w:val="Rowcolumntitles"/>
              <w:rPr>
                <w:sz w:val="20"/>
                <w:lang w:val="uk-UA"/>
              </w:rPr>
            </w:pPr>
            <w:r w:rsidRPr="00257F44">
              <w:rPr>
                <w:rFonts w:ascii="MS Mincho" w:eastAsia="MS Mincho" w:hAnsi="MS Mincho" w:cs="MS Mincho"/>
                <w:noProof/>
                <w:sz w:val="20"/>
                <w:lang w:val="uk-UA"/>
              </w:rPr>
              <w:t>✔</w:t>
            </w:r>
          </w:p>
        </w:tc>
        <w:tc>
          <w:tcPr>
            <w:tcW w:w="493" w:type="dxa"/>
            <w:gridSpan w:val="3"/>
            <w:shd w:val="clear" w:color="auto" w:fill="B8CCE4" w:themeFill="accent1" w:themeFillTint="66"/>
          </w:tcPr>
          <w:p w14:paraId="0A7593D2" w14:textId="0A4A3929" w:rsidR="002D3389" w:rsidRPr="00257F44" w:rsidRDefault="002D3389" w:rsidP="00FD2A72">
            <w:pPr>
              <w:pStyle w:val="Rowcolumntitles"/>
              <w:rPr>
                <w:sz w:val="20"/>
                <w:lang w:val="uk-UA"/>
              </w:rPr>
            </w:pPr>
          </w:p>
        </w:tc>
        <w:tc>
          <w:tcPr>
            <w:tcW w:w="367" w:type="dxa"/>
            <w:gridSpan w:val="3"/>
            <w:vMerge/>
            <w:shd w:val="clear" w:color="auto" w:fill="D99594" w:themeFill="accent2" w:themeFillTint="99"/>
          </w:tcPr>
          <w:p w14:paraId="5BB493E3"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399A58F0" w14:textId="77777777" w:rsidR="002D3389" w:rsidRPr="00257F44" w:rsidRDefault="002D3389" w:rsidP="00FD2A72">
            <w:pPr>
              <w:pStyle w:val="Rowcolumntitles"/>
              <w:rPr>
                <w:noProof/>
                <w:sz w:val="20"/>
                <w:lang w:val="uk-UA"/>
              </w:rPr>
            </w:pPr>
          </w:p>
        </w:tc>
        <w:tc>
          <w:tcPr>
            <w:tcW w:w="318" w:type="dxa"/>
            <w:gridSpan w:val="2"/>
            <w:vMerge/>
            <w:shd w:val="clear" w:color="auto" w:fill="D99594" w:themeFill="accent2" w:themeFillTint="99"/>
          </w:tcPr>
          <w:p w14:paraId="7152B11F"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0C61EC79" w14:textId="77777777" w:rsidR="002D3389" w:rsidRPr="00257F44" w:rsidRDefault="002D3389" w:rsidP="00FD2A72">
            <w:pPr>
              <w:pStyle w:val="Rowcolumntitles"/>
              <w:rPr>
                <w:rFonts w:eastAsia="Times New Roman"/>
                <w:sz w:val="20"/>
                <w:lang w:val="uk-UA"/>
              </w:rPr>
            </w:pPr>
          </w:p>
        </w:tc>
        <w:tc>
          <w:tcPr>
            <w:tcW w:w="388" w:type="dxa"/>
            <w:gridSpan w:val="2"/>
            <w:vMerge/>
            <w:shd w:val="clear" w:color="auto" w:fill="D99594" w:themeFill="accent2" w:themeFillTint="99"/>
          </w:tcPr>
          <w:p w14:paraId="23B99B53" w14:textId="77777777" w:rsidR="002D3389" w:rsidRPr="00257F44" w:rsidRDefault="002D3389" w:rsidP="00FD2A72">
            <w:pPr>
              <w:pStyle w:val="Rowcolumntitles"/>
              <w:rPr>
                <w:rFonts w:eastAsia="Times New Roman"/>
                <w:sz w:val="20"/>
                <w:lang w:val="uk-UA"/>
              </w:rPr>
            </w:pPr>
          </w:p>
        </w:tc>
      </w:tr>
      <w:tr w:rsidR="000E0B9A" w:rsidRPr="00257F44" w14:paraId="51BCD3C6" w14:textId="77777777" w:rsidTr="00DB3322">
        <w:trPr>
          <w:gridAfter w:val="2"/>
          <w:wAfter w:w="24" w:type="dxa"/>
          <w:trHeight w:val="160"/>
        </w:trPr>
        <w:tc>
          <w:tcPr>
            <w:tcW w:w="1470" w:type="dxa"/>
            <w:vMerge w:val="restart"/>
            <w:shd w:val="clear" w:color="auto" w:fill="000000" w:themeFill="text1"/>
          </w:tcPr>
          <w:p w14:paraId="622A9192" w14:textId="0A86AB8C" w:rsidR="002D3389" w:rsidRPr="00257F44" w:rsidRDefault="002D3389" w:rsidP="00FD2A72">
            <w:pPr>
              <w:pStyle w:val="Rowcolumntitles"/>
              <w:rPr>
                <w:color w:val="FFFFFF" w:themeColor="background1"/>
                <w:sz w:val="20"/>
                <w:lang w:val="uk-UA"/>
              </w:rPr>
            </w:pPr>
            <w:r w:rsidRPr="00257F44">
              <w:rPr>
                <w:color w:val="FFFFFF" w:themeColor="background1"/>
                <w:sz w:val="20"/>
                <w:lang w:val="uk-UA"/>
              </w:rPr>
              <w:t>23</w:t>
            </w:r>
            <w:r w:rsidR="00881CF9" w:rsidRPr="00257F44">
              <w:rPr>
                <w:color w:val="FFFFFF" w:themeColor="background1"/>
                <w:sz w:val="20"/>
                <w:lang w:val="uk-UA"/>
              </w:rPr>
              <w:t xml:space="preserve"> Електронні звернення громадян</w:t>
            </w:r>
          </w:p>
        </w:tc>
        <w:tc>
          <w:tcPr>
            <w:tcW w:w="402" w:type="dxa"/>
            <w:vMerge w:val="restart"/>
            <w:shd w:val="clear" w:color="auto" w:fill="D6E3BC" w:themeFill="accent3" w:themeFillTint="66"/>
          </w:tcPr>
          <w:p w14:paraId="161F7452" w14:textId="77777777" w:rsidR="002D3389" w:rsidRPr="00257F44" w:rsidRDefault="002D3389" w:rsidP="00FD2A72">
            <w:pPr>
              <w:pStyle w:val="Rowcolumntitles"/>
              <w:rPr>
                <w:sz w:val="20"/>
                <w:lang w:val="uk-UA"/>
              </w:rPr>
            </w:pPr>
          </w:p>
        </w:tc>
        <w:tc>
          <w:tcPr>
            <w:tcW w:w="388" w:type="dxa"/>
            <w:vMerge w:val="restart"/>
            <w:shd w:val="clear" w:color="auto" w:fill="D6E3BC" w:themeFill="accent3" w:themeFillTint="66"/>
          </w:tcPr>
          <w:p w14:paraId="4FBE1EF1" w14:textId="77777777" w:rsidR="002D3389" w:rsidRPr="00257F44" w:rsidRDefault="002D3389" w:rsidP="00FD2A72">
            <w:pPr>
              <w:pStyle w:val="Rowcolumntitles"/>
              <w:rPr>
                <w:rFonts w:eastAsia="Times New Roman"/>
                <w:sz w:val="20"/>
                <w:lang w:val="uk-UA"/>
              </w:rPr>
            </w:pPr>
          </w:p>
        </w:tc>
        <w:tc>
          <w:tcPr>
            <w:tcW w:w="425" w:type="dxa"/>
            <w:vMerge w:val="restart"/>
            <w:shd w:val="clear" w:color="auto" w:fill="D6E3BC" w:themeFill="accent3" w:themeFillTint="66"/>
          </w:tcPr>
          <w:p w14:paraId="4BB5E362" w14:textId="77777777" w:rsidR="002D3389" w:rsidRPr="00257F44" w:rsidRDefault="002D3389" w:rsidP="00FD2A72">
            <w:pPr>
              <w:pStyle w:val="Rowcolumntitles"/>
              <w:rPr>
                <w:sz w:val="20"/>
                <w:lang w:val="uk-UA"/>
              </w:rPr>
            </w:pPr>
          </w:p>
        </w:tc>
        <w:tc>
          <w:tcPr>
            <w:tcW w:w="395" w:type="dxa"/>
            <w:vMerge w:val="restart"/>
            <w:shd w:val="clear" w:color="auto" w:fill="D6E3BC" w:themeFill="accent3" w:themeFillTint="66"/>
          </w:tcPr>
          <w:p w14:paraId="1BE10CA8" w14:textId="2831ADE4"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654" w:type="dxa"/>
            <w:gridSpan w:val="2"/>
            <w:vMerge w:val="restart"/>
            <w:shd w:val="clear" w:color="auto" w:fill="FBD4B4" w:themeFill="accent6" w:themeFillTint="66"/>
          </w:tcPr>
          <w:p w14:paraId="16F5BEC7" w14:textId="77777777" w:rsidR="002D3389" w:rsidRPr="00257F44" w:rsidRDefault="002D3389" w:rsidP="00FD2A72">
            <w:pPr>
              <w:pStyle w:val="Rowcolumntitles"/>
              <w:rPr>
                <w:rFonts w:eastAsia="Times New Roman"/>
                <w:sz w:val="20"/>
                <w:lang w:val="uk-UA"/>
              </w:rPr>
            </w:pPr>
          </w:p>
        </w:tc>
        <w:tc>
          <w:tcPr>
            <w:tcW w:w="369" w:type="dxa"/>
            <w:vMerge w:val="restart"/>
            <w:shd w:val="clear" w:color="auto" w:fill="FBD4B4" w:themeFill="accent6" w:themeFillTint="66"/>
          </w:tcPr>
          <w:p w14:paraId="6CA496DB" w14:textId="2444359A"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04" w:type="dxa"/>
            <w:vMerge w:val="restart"/>
            <w:shd w:val="clear" w:color="auto" w:fill="FBD4B4" w:themeFill="accent6" w:themeFillTint="66"/>
          </w:tcPr>
          <w:p w14:paraId="013C431A" w14:textId="67C90E6A"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895" w:type="dxa"/>
            <w:vMerge w:val="restart"/>
            <w:shd w:val="clear" w:color="auto" w:fill="FBD4B4" w:themeFill="accent6" w:themeFillTint="66"/>
          </w:tcPr>
          <w:p w14:paraId="7FE6F384" w14:textId="273ADE90"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41" w:type="dxa"/>
            <w:gridSpan w:val="3"/>
            <w:vMerge w:val="restart"/>
            <w:shd w:val="clear" w:color="auto" w:fill="CCC0D9" w:themeFill="accent4" w:themeFillTint="66"/>
          </w:tcPr>
          <w:p w14:paraId="5A18FC33" w14:textId="77777777" w:rsidR="002D3389" w:rsidRPr="00257F44" w:rsidRDefault="002D3389" w:rsidP="00FD2A72">
            <w:pPr>
              <w:pStyle w:val="Rowcolumntitles"/>
              <w:rPr>
                <w:sz w:val="20"/>
                <w:lang w:val="uk-UA"/>
              </w:rPr>
            </w:pPr>
          </w:p>
        </w:tc>
        <w:tc>
          <w:tcPr>
            <w:tcW w:w="341" w:type="dxa"/>
            <w:gridSpan w:val="2"/>
            <w:vMerge w:val="restart"/>
            <w:shd w:val="clear" w:color="auto" w:fill="CCC0D9" w:themeFill="accent4" w:themeFillTint="66"/>
          </w:tcPr>
          <w:p w14:paraId="0B900F77" w14:textId="748BD5EE"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41" w:type="dxa"/>
            <w:gridSpan w:val="2"/>
            <w:vMerge w:val="restart"/>
            <w:shd w:val="clear" w:color="auto" w:fill="CCC0D9" w:themeFill="accent4" w:themeFillTint="66"/>
          </w:tcPr>
          <w:p w14:paraId="30AE0107" w14:textId="77777777" w:rsidR="002D3389" w:rsidRPr="00257F44" w:rsidRDefault="002D3389" w:rsidP="00FD2A72">
            <w:pPr>
              <w:pStyle w:val="Rowcolumntitles"/>
              <w:rPr>
                <w:sz w:val="20"/>
                <w:lang w:val="uk-UA"/>
              </w:rPr>
            </w:pPr>
          </w:p>
        </w:tc>
        <w:tc>
          <w:tcPr>
            <w:tcW w:w="343" w:type="dxa"/>
            <w:gridSpan w:val="3"/>
            <w:vMerge w:val="restart"/>
            <w:shd w:val="clear" w:color="auto" w:fill="CCC0D9" w:themeFill="accent4" w:themeFillTint="66"/>
          </w:tcPr>
          <w:p w14:paraId="1E6A373F"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7DE22B32" w14:textId="689D26B4"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68A01CC4" w14:textId="7E2B926C"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487" w:type="dxa"/>
            <w:gridSpan w:val="4"/>
            <w:shd w:val="clear" w:color="auto" w:fill="B8CCE4" w:themeFill="accent1" w:themeFillTint="66"/>
          </w:tcPr>
          <w:p w14:paraId="617C71EE" w14:textId="77777777" w:rsidR="002D3389" w:rsidRPr="00257F44" w:rsidRDefault="002D3389" w:rsidP="00FD2A72">
            <w:pPr>
              <w:pStyle w:val="Rowcolumntitles"/>
              <w:rPr>
                <w:rFonts w:eastAsia="Times New Roman"/>
                <w:sz w:val="20"/>
                <w:lang w:val="uk-UA"/>
              </w:rPr>
            </w:pPr>
          </w:p>
        </w:tc>
        <w:tc>
          <w:tcPr>
            <w:tcW w:w="493" w:type="dxa"/>
            <w:gridSpan w:val="3"/>
            <w:shd w:val="clear" w:color="auto" w:fill="B8CCE4" w:themeFill="accent1" w:themeFillTint="66"/>
          </w:tcPr>
          <w:p w14:paraId="51AC55CC" w14:textId="72CB5754" w:rsidR="002D3389" w:rsidRPr="00257F44" w:rsidRDefault="002D3389" w:rsidP="00FD2A72">
            <w:pPr>
              <w:pStyle w:val="Rowcolumntitles"/>
              <w:rPr>
                <w:rFonts w:eastAsia="Times New Roman"/>
                <w:sz w:val="20"/>
                <w:lang w:val="uk-UA"/>
              </w:rPr>
            </w:pPr>
          </w:p>
        </w:tc>
        <w:tc>
          <w:tcPr>
            <w:tcW w:w="367" w:type="dxa"/>
            <w:gridSpan w:val="3"/>
            <w:vMerge w:val="restart"/>
            <w:shd w:val="clear" w:color="auto" w:fill="D99594" w:themeFill="accent2" w:themeFillTint="99"/>
          </w:tcPr>
          <w:p w14:paraId="5B6461ED"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350DB3BD"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69B5300D" w14:textId="2D6EC68C"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18" w:type="dxa"/>
            <w:gridSpan w:val="2"/>
            <w:vMerge w:val="restart"/>
            <w:shd w:val="clear" w:color="auto" w:fill="D99594" w:themeFill="accent2" w:themeFillTint="99"/>
          </w:tcPr>
          <w:p w14:paraId="67014D1E" w14:textId="77777777" w:rsidR="002D3389" w:rsidRPr="00257F44" w:rsidRDefault="002D3389"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37F87567" w14:textId="77777777" w:rsidR="002D3389" w:rsidRPr="00257F44" w:rsidRDefault="002D3389" w:rsidP="00FD2A72">
            <w:pPr>
              <w:pStyle w:val="Rowcolumntitles"/>
              <w:rPr>
                <w:rFonts w:eastAsia="Times New Roman"/>
                <w:sz w:val="20"/>
                <w:lang w:val="uk-UA"/>
              </w:rPr>
            </w:pPr>
          </w:p>
        </w:tc>
      </w:tr>
      <w:tr w:rsidR="000E0B9A" w:rsidRPr="00257F44" w14:paraId="196246D4" w14:textId="77777777" w:rsidTr="00DB3322">
        <w:trPr>
          <w:gridAfter w:val="2"/>
          <w:wAfter w:w="24" w:type="dxa"/>
          <w:trHeight w:val="160"/>
        </w:trPr>
        <w:tc>
          <w:tcPr>
            <w:tcW w:w="1470" w:type="dxa"/>
            <w:vMerge/>
            <w:shd w:val="clear" w:color="auto" w:fill="000000" w:themeFill="text1"/>
          </w:tcPr>
          <w:p w14:paraId="76EAB6F0" w14:textId="77777777" w:rsidR="002D3389" w:rsidRPr="00257F44" w:rsidRDefault="002D3389" w:rsidP="00FD2A72">
            <w:pPr>
              <w:pStyle w:val="Rowcolumntitles"/>
              <w:rPr>
                <w:color w:val="FFFFFF" w:themeColor="background1"/>
                <w:sz w:val="20"/>
                <w:lang w:val="uk-UA"/>
              </w:rPr>
            </w:pPr>
          </w:p>
        </w:tc>
        <w:tc>
          <w:tcPr>
            <w:tcW w:w="402" w:type="dxa"/>
            <w:vMerge/>
            <w:shd w:val="clear" w:color="auto" w:fill="D6E3BC" w:themeFill="accent3" w:themeFillTint="66"/>
          </w:tcPr>
          <w:p w14:paraId="25791CE2" w14:textId="77777777" w:rsidR="002D3389" w:rsidRPr="00257F44" w:rsidRDefault="002D3389" w:rsidP="00FD2A72">
            <w:pPr>
              <w:pStyle w:val="Rowcolumntitles"/>
              <w:rPr>
                <w:sz w:val="20"/>
                <w:lang w:val="uk-UA"/>
              </w:rPr>
            </w:pPr>
          </w:p>
        </w:tc>
        <w:tc>
          <w:tcPr>
            <w:tcW w:w="388" w:type="dxa"/>
            <w:vMerge/>
            <w:shd w:val="clear" w:color="auto" w:fill="D6E3BC" w:themeFill="accent3" w:themeFillTint="66"/>
          </w:tcPr>
          <w:p w14:paraId="3255E225" w14:textId="77777777" w:rsidR="002D3389" w:rsidRPr="00257F44" w:rsidRDefault="002D3389" w:rsidP="00FD2A72">
            <w:pPr>
              <w:pStyle w:val="Rowcolumntitles"/>
              <w:rPr>
                <w:rFonts w:eastAsia="Times New Roman"/>
                <w:sz w:val="20"/>
                <w:lang w:val="uk-UA"/>
              </w:rPr>
            </w:pPr>
          </w:p>
        </w:tc>
        <w:tc>
          <w:tcPr>
            <w:tcW w:w="425" w:type="dxa"/>
            <w:vMerge/>
            <w:shd w:val="clear" w:color="auto" w:fill="D6E3BC" w:themeFill="accent3" w:themeFillTint="66"/>
          </w:tcPr>
          <w:p w14:paraId="23D16954" w14:textId="77777777" w:rsidR="002D3389" w:rsidRPr="00257F44" w:rsidRDefault="002D3389" w:rsidP="00FD2A72">
            <w:pPr>
              <w:pStyle w:val="Rowcolumntitles"/>
              <w:rPr>
                <w:sz w:val="20"/>
                <w:lang w:val="uk-UA"/>
              </w:rPr>
            </w:pPr>
          </w:p>
        </w:tc>
        <w:tc>
          <w:tcPr>
            <w:tcW w:w="395" w:type="dxa"/>
            <w:vMerge/>
            <w:shd w:val="clear" w:color="auto" w:fill="D6E3BC" w:themeFill="accent3" w:themeFillTint="66"/>
          </w:tcPr>
          <w:p w14:paraId="33C284B9" w14:textId="77777777" w:rsidR="002D3389" w:rsidRPr="00257F44" w:rsidRDefault="002D3389" w:rsidP="00FD2A72">
            <w:pPr>
              <w:pStyle w:val="Rowcolumntitles"/>
              <w:rPr>
                <w:noProof/>
                <w:sz w:val="20"/>
                <w:lang w:val="uk-UA"/>
              </w:rPr>
            </w:pPr>
          </w:p>
        </w:tc>
        <w:tc>
          <w:tcPr>
            <w:tcW w:w="654" w:type="dxa"/>
            <w:gridSpan w:val="2"/>
            <w:vMerge/>
            <w:shd w:val="clear" w:color="auto" w:fill="FBD4B4" w:themeFill="accent6" w:themeFillTint="66"/>
          </w:tcPr>
          <w:p w14:paraId="36B52C99" w14:textId="77777777" w:rsidR="002D3389" w:rsidRPr="00257F44" w:rsidRDefault="002D3389" w:rsidP="00FD2A72">
            <w:pPr>
              <w:pStyle w:val="Rowcolumntitles"/>
              <w:rPr>
                <w:rFonts w:eastAsia="Times New Roman"/>
                <w:sz w:val="20"/>
                <w:lang w:val="uk-UA"/>
              </w:rPr>
            </w:pPr>
          </w:p>
        </w:tc>
        <w:tc>
          <w:tcPr>
            <w:tcW w:w="369" w:type="dxa"/>
            <w:vMerge/>
            <w:shd w:val="clear" w:color="auto" w:fill="FBD4B4" w:themeFill="accent6" w:themeFillTint="66"/>
          </w:tcPr>
          <w:p w14:paraId="5F7CB15D" w14:textId="77777777" w:rsidR="002D3389" w:rsidRPr="00257F44" w:rsidRDefault="002D3389" w:rsidP="00FD2A72">
            <w:pPr>
              <w:pStyle w:val="Rowcolumntitles"/>
              <w:rPr>
                <w:noProof/>
                <w:sz w:val="20"/>
                <w:lang w:val="uk-UA"/>
              </w:rPr>
            </w:pPr>
          </w:p>
        </w:tc>
        <w:tc>
          <w:tcPr>
            <w:tcW w:w="404" w:type="dxa"/>
            <w:vMerge/>
            <w:shd w:val="clear" w:color="auto" w:fill="FBD4B4" w:themeFill="accent6" w:themeFillTint="66"/>
          </w:tcPr>
          <w:p w14:paraId="4DAD1713" w14:textId="77777777" w:rsidR="002D3389" w:rsidRPr="00257F44" w:rsidRDefault="002D3389" w:rsidP="00FD2A72">
            <w:pPr>
              <w:pStyle w:val="Rowcolumntitles"/>
              <w:rPr>
                <w:noProof/>
                <w:sz w:val="20"/>
                <w:lang w:val="uk-UA"/>
              </w:rPr>
            </w:pPr>
          </w:p>
        </w:tc>
        <w:tc>
          <w:tcPr>
            <w:tcW w:w="895" w:type="dxa"/>
            <w:vMerge/>
            <w:shd w:val="clear" w:color="auto" w:fill="FBD4B4" w:themeFill="accent6" w:themeFillTint="66"/>
          </w:tcPr>
          <w:p w14:paraId="045B0906" w14:textId="77777777" w:rsidR="002D3389" w:rsidRPr="00257F44" w:rsidRDefault="002D3389" w:rsidP="00FD2A72">
            <w:pPr>
              <w:pStyle w:val="Rowcolumntitles"/>
              <w:rPr>
                <w:noProof/>
                <w:sz w:val="20"/>
                <w:lang w:val="uk-UA"/>
              </w:rPr>
            </w:pPr>
          </w:p>
        </w:tc>
        <w:tc>
          <w:tcPr>
            <w:tcW w:w="341" w:type="dxa"/>
            <w:gridSpan w:val="3"/>
            <w:vMerge/>
            <w:shd w:val="clear" w:color="auto" w:fill="CCC0D9" w:themeFill="accent4" w:themeFillTint="66"/>
          </w:tcPr>
          <w:p w14:paraId="3375EBD8" w14:textId="77777777" w:rsidR="002D3389" w:rsidRPr="00257F44" w:rsidRDefault="002D3389" w:rsidP="00FD2A72">
            <w:pPr>
              <w:pStyle w:val="Rowcolumntitles"/>
              <w:rPr>
                <w:sz w:val="20"/>
                <w:lang w:val="uk-UA"/>
              </w:rPr>
            </w:pPr>
          </w:p>
        </w:tc>
        <w:tc>
          <w:tcPr>
            <w:tcW w:w="341" w:type="dxa"/>
            <w:gridSpan w:val="2"/>
            <w:vMerge/>
            <w:shd w:val="clear" w:color="auto" w:fill="CCC0D9" w:themeFill="accent4" w:themeFillTint="66"/>
          </w:tcPr>
          <w:p w14:paraId="4DE58DF1" w14:textId="77777777" w:rsidR="002D3389" w:rsidRPr="00257F44" w:rsidRDefault="002D3389" w:rsidP="00FD2A72">
            <w:pPr>
              <w:pStyle w:val="Rowcolumntitles"/>
              <w:rPr>
                <w:noProof/>
                <w:sz w:val="20"/>
                <w:lang w:val="uk-UA"/>
              </w:rPr>
            </w:pPr>
          </w:p>
        </w:tc>
        <w:tc>
          <w:tcPr>
            <w:tcW w:w="341" w:type="dxa"/>
            <w:gridSpan w:val="2"/>
            <w:vMerge/>
            <w:shd w:val="clear" w:color="auto" w:fill="CCC0D9" w:themeFill="accent4" w:themeFillTint="66"/>
          </w:tcPr>
          <w:p w14:paraId="7A833389" w14:textId="77777777" w:rsidR="002D3389" w:rsidRPr="00257F44" w:rsidRDefault="002D3389" w:rsidP="00FD2A72">
            <w:pPr>
              <w:pStyle w:val="Rowcolumntitles"/>
              <w:rPr>
                <w:sz w:val="20"/>
                <w:lang w:val="uk-UA"/>
              </w:rPr>
            </w:pPr>
          </w:p>
        </w:tc>
        <w:tc>
          <w:tcPr>
            <w:tcW w:w="343" w:type="dxa"/>
            <w:gridSpan w:val="3"/>
            <w:vMerge/>
            <w:shd w:val="clear" w:color="auto" w:fill="CCC0D9" w:themeFill="accent4" w:themeFillTint="66"/>
          </w:tcPr>
          <w:p w14:paraId="165CF892"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4F2B577A" w14:textId="7F0AA132"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4CC7CD58" w14:textId="77777777" w:rsidR="002D3389" w:rsidRPr="00257F44" w:rsidRDefault="002D3389" w:rsidP="00FD2A72">
            <w:pPr>
              <w:pStyle w:val="Rowcolumntitles"/>
              <w:rPr>
                <w:rFonts w:eastAsia="Times New Roman"/>
                <w:sz w:val="20"/>
                <w:lang w:val="uk-UA"/>
              </w:rPr>
            </w:pPr>
          </w:p>
        </w:tc>
        <w:tc>
          <w:tcPr>
            <w:tcW w:w="487" w:type="dxa"/>
            <w:gridSpan w:val="4"/>
            <w:shd w:val="clear" w:color="auto" w:fill="B8CCE4" w:themeFill="accent1" w:themeFillTint="66"/>
          </w:tcPr>
          <w:p w14:paraId="281D83A2" w14:textId="77777777" w:rsidR="002D3389" w:rsidRPr="00257F44" w:rsidRDefault="002D3389" w:rsidP="00FD2A72">
            <w:pPr>
              <w:pStyle w:val="Rowcolumntitles"/>
              <w:rPr>
                <w:rFonts w:eastAsia="Times New Roman"/>
                <w:sz w:val="20"/>
                <w:lang w:val="uk-UA"/>
              </w:rPr>
            </w:pPr>
          </w:p>
        </w:tc>
        <w:tc>
          <w:tcPr>
            <w:tcW w:w="493" w:type="dxa"/>
            <w:gridSpan w:val="3"/>
            <w:shd w:val="clear" w:color="auto" w:fill="B8CCE4" w:themeFill="accent1" w:themeFillTint="66"/>
          </w:tcPr>
          <w:p w14:paraId="07B8BECD" w14:textId="0F4FAF74"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7" w:type="dxa"/>
            <w:gridSpan w:val="3"/>
            <w:vMerge/>
            <w:shd w:val="clear" w:color="auto" w:fill="D99594" w:themeFill="accent2" w:themeFillTint="99"/>
          </w:tcPr>
          <w:p w14:paraId="557C7612"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22CA61D7"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49182BA7"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3F4F8880" w14:textId="77777777" w:rsidR="002D3389" w:rsidRPr="00257F44" w:rsidRDefault="002D3389" w:rsidP="00FD2A72">
            <w:pPr>
              <w:pStyle w:val="Rowcolumntitles"/>
              <w:rPr>
                <w:rFonts w:eastAsia="Times New Roman"/>
                <w:sz w:val="20"/>
                <w:lang w:val="uk-UA"/>
              </w:rPr>
            </w:pPr>
          </w:p>
        </w:tc>
        <w:tc>
          <w:tcPr>
            <w:tcW w:w="388" w:type="dxa"/>
            <w:gridSpan w:val="2"/>
            <w:vMerge/>
            <w:shd w:val="clear" w:color="auto" w:fill="D99594" w:themeFill="accent2" w:themeFillTint="99"/>
          </w:tcPr>
          <w:p w14:paraId="69346061" w14:textId="77777777" w:rsidR="002D3389" w:rsidRPr="00257F44" w:rsidRDefault="002D3389" w:rsidP="00FD2A72">
            <w:pPr>
              <w:pStyle w:val="Rowcolumntitles"/>
              <w:rPr>
                <w:rFonts w:eastAsia="Times New Roman"/>
                <w:sz w:val="20"/>
                <w:lang w:val="uk-UA"/>
              </w:rPr>
            </w:pPr>
          </w:p>
        </w:tc>
      </w:tr>
      <w:tr w:rsidR="000E0B9A" w:rsidRPr="00257F44" w14:paraId="26268CB1" w14:textId="77777777" w:rsidTr="00DB3322">
        <w:trPr>
          <w:gridAfter w:val="2"/>
          <w:wAfter w:w="24" w:type="dxa"/>
          <w:trHeight w:val="174"/>
        </w:trPr>
        <w:tc>
          <w:tcPr>
            <w:tcW w:w="1470" w:type="dxa"/>
            <w:vMerge w:val="restart"/>
            <w:shd w:val="clear" w:color="auto" w:fill="000000" w:themeFill="text1"/>
          </w:tcPr>
          <w:p w14:paraId="67DA8F0E" w14:textId="27E0B73E" w:rsidR="002D3389" w:rsidRPr="00257F44" w:rsidRDefault="002D3389" w:rsidP="00FD2A72">
            <w:pPr>
              <w:pStyle w:val="Rowcolumntitles"/>
              <w:rPr>
                <w:color w:val="FFFFFF" w:themeColor="background1"/>
                <w:sz w:val="20"/>
                <w:lang w:val="uk-UA"/>
              </w:rPr>
            </w:pPr>
            <w:r w:rsidRPr="00257F44">
              <w:rPr>
                <w:color w:val="FFFFFF" w:themeColor="background1"/>
                <w:sz w:val="20"/>
                <w:lang w:val="uk-UA"/>
              </w:rPr>
              <w:t xml:space="preserve">22. </w:t>
            </w:r>
            <w:r w:rsidR="00881CF9" w:rsidRPr="00257F44">
              <w:rPr>
                <w:color w:val="FFFFFF" w:themeColor="background1"/>
                <w:sz w:val="20"/>
                <w:lang w:val="uk-UA"/>
              </w:rPr>
              <w:t>Ініціативи з відкритості бюджету</w:t>
            </w:r>
          </w:p>
        </w:tc>
        <w:tc>
          <w:tcPr>
            <w:tcW w:w="402" w:type="dxa"/>
            <w:vMerge w:val="restart"/>
            <w:shd w:val="clear" w:color="auto" w:fill="D6E3BC" w:themeFill="accent3" w:themeFillTint="66"/>
          </w:tcPr>
          <w:p w14:paraId="46AEFE80" w14:textId="77777777" w:rsidR="002D3389" w:rsidRPr="00257F44" w:rsidRDefault="002D3389" w:rsidP="00FD2A72">
            <w:pPr>
              <w:pStyle w:val="Rowcolumntitles"/>
              <w:rPr>
                <w:sz w:val="20"/>
                <w:lang w:val="uk-UA"/>
              </w:rPr>
            </w:pPr>
          </w:p>
        </w:tc>
        <w:tc>
          <w:tcPr>
            <w:tcW w:w="388" w:type="dxa"/>
            <w:vMerge w:val="restart"/>
            <w:shd w:val="clear" w:color="auto" w:fill="D6E3BC" w:themeFill="accent3" w:themeFillTint="66"/>
          </w:tcPr>
          <w:p w14:paraId="42665C5A" w14:textId="77777777" w:rsidR="002D3389" w:rsidRPr="00257F44" w:rsidRDefault="002D3389" w:rsidP="00FD2A72">
            <w:pPr>
              <w:pStyle w:val="Rowcolumntitles"/>
              <w:rPr>
                <w:rFonts w:eastAsia="Times New Roman"/>
                <w:sz w:val="20"/>
                <w:lang w:val="uk-UA"/>
              </w:rPr>
            </w:pPr>
          </w:p>
        </w:tc>
        <w:tc>
          <w:tcPr>
            <w:tcW w:w="425" w:type="dxa"/>
            <w:vMerge w:val="restart"/>
            <w:shd w:val="clear" w:color="auto" w:fill="D6E3BC" w:themeFill="accent3" w:themeFillTint="66"/>
          </w:tcPr>
          <w:p w14:paraId="6BF1B917" w14:textId="77777777" w:rsidR="002D3389" w:rsidRPr="00257F44" w:rsidRDefault="002D3389" w:rsidP="00FD2A72">
            <w:pPr>
              <w:pStyle w:val="Rowcolumntitles"/>
              <w:rPr>
                <w:sz w:val="20"/>
                <w:lang w:val="uk-UA"/>
              </w:rPr>
            </w:pPr>
          </w:p>
        </w:tc>
        <w:tc>
          <w:tcPr>
            <w:tcW w:w="395" w:type="dxa"/>
            <w:vMerge w:val="restart"/>
            <w:shd w:val="clear" w:color="auto" w:fill="D6E3BC" w:themeFill="accent3" w:themeFillTint="66"/>
          </w:tcPr>
          <w:p w14:paraId="3356A3BD" w14:textId="1A1046C0"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654" w:type="dxa"/>
            <w:gridSpan w:val="2"/>
            <w:vMerge w:val="restart"/>
            <w:shd w:val="clear" w:color="auto" w:fill="FBD4B4" w:themeFill="accent6" w:themeFillTint="66"/>
          </w:tcPr>
          <w:p w14:paraId="753C96B9" w14:textId="7D76F0E3"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9" w:type="dxa"/>
            <w:vMerge w:val="restart"/>
            <w:shd w:val="clear" w:color="auto" w:fill="FBD4B4" w:themeFill="accent6" w:themeFillTint="66"/>
          </w:tcPr>
          <w:p w14:paraId="306F3F0E" w14:textId="77777777" w:rsidR="002D3389" w:rsidRPr="00257F44" w:rsidRDefault="002D3389" w:rsidP="00FD2A72">
            <w:pPr>
              <w:pStyle w:val="Rowcolumntitles"/>
              <w:rPr>
                <w:rFonts w:eastAsia="Times New Roman"/>
                <w:sz w:val="20"/>
                <w:lang w:val="uk-UA"/>
              </w:rPr>
            </w:pPr>
          </w:p>
        </w:tc>
        <w:tc>
          <w:tcPr>
            <w:tcW w:w="404" w:type="dxa"/>
            <w:vMerge w:val="restart"/>
            <w:shd w:val="clear" w:color="auto" w:fill="FBD4B4" w:themeFill="accent6" w:themeFillTint="66"/>
          </w:tcPr>
          <w:p w14:paraId="36D2BBB3" w14:textId="57043D0F"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895" w:type="dxa"/>
            <w:vMerge w:val="restart"/>
            <w:shd w:val="clear" w:color="auto" w:fill="FBD4B4" w:themeFill="accent6" w:themeFillTint="66"/>
          </w:tcPr>
          <w:p w14:paraId="4D77A408" w14:textId="58A74762"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41" w:type="dxa"/>
            <w:gridSpan w:val="3"/>
            <w:vMerge w:val="restart"/>
            <w:shd w:val="clear" w:color="auto" w:fill="CCC0D9" w:themeFill="accent4" w:themeFillTint="66"/>
          </w:tcPr>
          <w:p w14:paraId="01DCB73A" w14:textId="77777777" w:rsidR="002D3389" w:rsidRPr="00257F44" w:rsidRDefault="002D3389" w:rsidP="00FD2A72">
            <w:pPr>
              <w:pStyle w:val="Rowcolumntitles"/>
              <w:rPr>
                <w:sz w:val="20"/>
                <w:lang w:val="uk-UA"/>
              </w:rPr>
            </w:pPr>
          </w:p>
        </w:tc>
        <w:tc>
          <w:tcPr>
            <w:tcW w:w="341" w:type="dxa"/>
            <w:gridSpan w:val="2"/>
            <w:vMerge w:val="restart"/>
            <w:shd w:val="clear" w:color="auto" w:fill="CCC0D9" w:themeFill="accent4" w:themeFillTint="66"/>
          </w:tcPr>
          <w:p w14:paraId="0B6DEA44" w14:textId="77777777" w:rsidR="002D3389" w:rsidRPr="00257F44" w:rsidRDefault="002D3389" w:rsidP="00FD2A72">
            <w:pPr>
              <w:pStyle w:val="Rowcolumntitles"/>
              <w:rPr>
                <w:rFonts w:eastAsia="Times New Roman"/>
                <w:sz w:val="20"/>
                <w:lang w:val="uk-UA"/>
              </w:rPr>
            </w:pPr>
          </w:p>
        </w:tc>
        <w:tc>
          <w:tcPr>
            <w:tcW w:w="341" w:type="dxa"/>
            <w:gridSpan w:val="2"/>
            <w:vMerge w:val="restart"/>
            <w:shd w:val="clear" w:color="auto" w:fill="CCC0D9" w:themeFill="accent4" w:themeFillTint="66"/>
          </w:tcPr>
          <w:p w14:paraId="12C0DD0B" w14:textId="246A59C3" w:rsidR="002D3389" w:rsidRPr="00257F44" w:rsidRDefault="002D3389" w:rsidP="00FD2A72">
            <w:pPr>
              <w:pStyle w:val="Rowcolumntitles"/>
              <w:rPr>
                <w:sz w:val="20"/>
                <w:lang w:val="uk-UA"/>
              </w:rPr>
            </w:pPr>
            <w:r w:rsidRPr="00257F44">
              <w:rPr>
                <w:rFonts w:ascii="MS Mincho" w:eastAsia="MS Mincho" w:hAnsi="MS Mincho" w:cs="MS Mincho"/>
                <w:noProof/>
                <w:sz w:val="20"/>
                <w:lang w:val="uk-UA"/>
              </w:rPr>
              <w:t>✔</w:t>
            </w:r>
          </w:p>
        </w:tc>
        <w:tc>
          <w:tcPr>
            <w:tcW w:w="343" w:type="dxa"/>
            <w:gridSpan w:val="3"/>
            <w:vMerge w:val="restart"/>
            <w:shd w:val="clear" w:color="auto" w:fill="CCC0D9" w:themeFill="accent4" w:themeFillTint="66"/>
          </w:tcPr>
          <w:p w14:paraId="0BECAB28"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6A5E514C" w14:textId="078B6BED"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6813855A" w14:textId="44623B58" w:rsidR="002D3389" w:rsidRPr="00257F44" w:rsidRDefault="002D3389" w:rsidP="00FD2A72">
            <w:pPr>
              <w:pStyle w:val="Rowcolumntitles"/>
              <w:rPr>
                <w:rFonts w:eastAsia="Times New Roman"/>
                <w:sz w:val="20"/>
                <w:lang w:val="uk-UA"/>
              </w:rPr>
            </w:pPr>
          </w:p>
        </w:tc>
        <w:tc>
          <w:tcPr>
            <w:tcW w:w="487" w:type="dxa"/>
            <w:gridSpan w:val="4"/>
            <w:shd w:val="clear" w:color="auto" w:fill="B8CCE4" w:themeFill="accent1" w:themeFillTint="66"/>
          </w:tcPr>
          <w:p w14:paraId="4FEFC25C" w14:textId="77777777" w:rsidR="002D3389" w:rsidRPr="00257F44" w:rsidRDefault="002D3389" w:rsidP="00FD2A72">
            <w:pPr>
              <w:pStyle w:val="Rowcolumntitles"/>
              <w:rPr>
                <w:rFonts w:eastAsia="Times New Roman"/>
                <w:sz w:val="20"/>
                <w:lang w:val="uk-UA"/>
              </w:rPr>
            </w:pPr>
          </w:p>
        </w:tc>
        <w:tc>
          <w:tcPr>
            <w:tcW w:w="493" w:type="dxa"/>
            <w:gridSpan w:val="3"/>
            <w:shd w:val="clear" w:color="auto" w:fill="B8CCE4" w:themeFill="accent1" w:themeFillTint="66"/>
          </w:tcPr>
          <w:p w14:paraId="65FAA86D" w14:textId="3F61B1DE"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7" w:type="dxa"/>
            <w:gridSpan w:val="3"/>
            <w:vMerge w:val="restart"/>
            <w:shd w:val="clear" w:color="auto" w:fill="D99594" w:themeFill="accent2" w:themeFillTint="99"/>
          </w:tcPr>
          <w:p w14:paraId="5C1C4EAA"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4502AD45"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12BDFDEC"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1DC2EFA6" w14:textId="29DD6107"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88" w:type="dxa"/>
            <w:gridSpan w:val="2"/>
            <w:vMerge w:val="restart"/>
            <w:shd w:val="clear" w:color="auto" w:fill="D99594" w:themeFill="accent2" w:themeFillTint="99"/>
          </w:tcPr>
          <w:p w14:paraId="5A706D86" w14:textId="77777777" w:rsidR="002D3389" w:rsidRPr="00257F44" w:rsidRDefault="002D3389" w:rsidP="00FD2A72">
            <w:pPr>
              <w:pStyle w:val="Rowcolumntitles"/>
              <w:rPr>
                <w:rFonts w:eastAsia="Times New Roman"/>
                <w:sz w:val="20"/>
                <w:lang w:val="uk-UA"/>
              </w:rPr>
            </w:pPr>
          </w:p>
        </w:tc>
      </w:tr>
      <w:tr w:rsidR="000E0B9A" w:rsidRPr="00257F44" w14:paraId="1C91A234" w14:textId="77777777" w:rsidTr="00DB3322">
        <w:trPr>
          <w:gridAfter w:val="2"/>
          <w:wAfter w:w="24" w:type="dxa"/>
          <w:trHeight w:val="173"/>
        </w:trPr>
        <w:tc>
          <w:tcPr>
            <w:tcW w:w="1470" w:type="dxa"/>
            <w:vMerge/>
            <w:shd w:val="clear" w:color="auto" w:fill="000000" w:themeFill="text1"/>
          </w:tcPr>
          <w:p w14:paraId="602F8309" w14:textId="77777777" w:rsidR="002D3389" w:rsidRPr="00257F44" w:rsidRDefault="002D3389" w:rsidP="00FD2A72">
            <w:pPr>
              <w:pStyle w:val="Rowcolumntitles"/>
              <w:rPr>
                <w:color w:val="FFFFFF" w:themeColor="background1"/>
                <w:sz w:val="20"/>
                <w:lang w:val="uk-UA"/>
              </w:rPr>
            </w:pPr>
          </w:p>
        </w:tc>
        <w:tc>
          <w:tcPr>
            <w:tcW w:w="402" w:type="dxa"/>
            <w:vMerge/>
            <w:shd w:val="clear" w:color="auto" w:fill="D6E3BC" w:themeFill="accent3" w:themeFillTint="66"/>
          </w:tcPr>
          <w:p w14:paraId="19C2CDC8" w14:textId="77777777" w:rsidR="002D3389" w:rsidRPr="00257F44" w:rsidRDefault="002D3389" w:rsidP="00FD2A72">
            <w:pPr>
              <w:pStyle w:val="Rowcolumntitles"/>
              <w:rPr>
                <w:sz w:val="20"/>
                <w:lang w:val="uk-UA"/>
              </w:rPr>
            </w:pPr>
          </w:p>
        </w:tc>
        <w:tc>
          <w:tcPr>
            <w:tcW w:w="388" w:type="dxa"/>
            <w:vMerge/>
            <w:shd w:val="clear" w:color="auto" w:fill="D6E3BC" w:themeFill="accent3" w:themeFillTint="66"/>
          </w:tcPr>
          <w:p w14:paraId="615D3F81" w14:textId="77777777" w:rsidR="002D3389" w:rsidRPr="00257F44" w:rsidRDefault="002D3389" w:rsidP="00FD2A72">
            <w:pPr>
              <w:pStyle w:val="Rowcolumntitles"/>
              <w:rPr>
                <w:rFonts w:eastAsia="Times New Roman"/>
                <w:sz w:val="20"/>
                <w:lang w:val="uk-UA"/>
              </w:rPr>
            </w:pPr>
          </w:p>
        </w:tc>
        <w:tc>
          <w:tcPr>
            <w:tcW w:w="425" w:type="dxa"/>
            <w:vMerge/>
            <w:shd w:val="clear" w:color="auto" w:fill="D6E3BC" w:themeFill="accent3" w:themeFillTint="66"/>
          </w:tcPr>
          <w:p w14:paraId="515A2D80" w14:textId="77777777" w:rsidR="002D3389" w:rsidRPr="00257F44" w:rsidRDefault="002D3389" w:rsidP="00FD2A72">
            <w:pPr>
              <w:pStyle w:val="Rowcolumntitles"/>
              <w:rPr>
                <w:sz w:val="20"/>
                <w:lang w:val="uk-UA"/>
              </w:rPr>
            </w:pPr>
          </w:p>
        </w:tc>
        <w:tc>
          <w:tcPr>
            <w:tcW w:w="395" w:type="dxa"/>
            <w:vMerge/>
            <w:shd w:val="clear" w:color="auto" w:fill="D6E3BC" w:themeFill="accent3" w:themeFillTint="66"/>
          </w:tcPr>
          <w:p w14:paraId="0B906816" w14:textId="77777777" w:rsidR="002D3389" w:rsidRPr="00257F44" w:rsidRDefault="002D3389" w:rsidP="00FD2A72">
            <w:pPr>
              <w:pStyle w:val="Rowcolumntitles"/>
              <w:rPr>
                <w:noProof/>
                <w:sz w:val="20"/>
                <w:lang w:val="uk-UA"/>
              </w:rPr>
            </w:pPr>
          </w:p>
        </w:tc>
        <w:tc>
          <w:tcPr>
            <w:tcW w:w="654" w:type="dxa"/>
            <w:gridSpan w:val="2"/>
            <w:vMerge/>
            <w:shd w:val="clear" w:color="auto" w:fill="FBD4B4" w:themeFill="accent6" w:themeFillTint="66"/>
          </w:tcPr>
          <w:p w14:paraId="19B86F58" w14:textId="77777777" w:rsidR="002D3389" w:rsidRPr="00257F44" w:rsidRDefault="002D3389" w:rsidP="00FD2A72">
            <w:pPr>
              <w:pStyle w:val="Rowcolumntitles"/>
              <w:rPr>
                <w:noProof/>
                <w:sz w:val="20"/>
                <w:lang w:val="uk-UA"/>
              </w:rPr>
            </w:pPr>
          </w:p>
        </w:tc>
        <w:tc>
          <w:tcPr>
            <w:tcW w:w="369" w:type="dxa"/>
            <w:vMerge/>
            <w:shd w:val="clear" w:color="auto" w:fill="FBD4B4" w:themeFill="accent6" w:themeFillTint="66"/>
          </w:tcPr>
          <w:p w14:paraId="53944C8C" w14:textId="77777777" w:rsidR="002D3389" w:rsidRPr="00257F44" w:rsidRDefault="002D3389" w:rsidP="00FD2A72">
            <w:pPr>
              <w:pStyle w:val="Rowcolumntitles"/>
              <w:rPr>
                <w:rFonts w:eastAsia="Times New Roman"/>
                <w:sz w:val="20"/>
                <w:lang w:val="uk-UA"/>
              </w:rPr>
            </w:pPr>
          </w:p>
        </w:tc>
        <w:tc>
          <w:tcPr>
            <w:tcW w:w="404" w:type="dxa"/>
            <w:vMerge/>
            <w:shd w:val="clear" w:color="auto" w:fill="FBD4B4" w:themeFill="accent6" w:themeFillTint="66"/>
          </w:tcPr>
          <w:p w14:paraId="7B497EEE" w14:textId="77777777" w:rsidR="002D3389" w:rsidRPr="00257F44" w:rsidRDefault="002D3389" w:rsidP="00FD2A72">
            <w:pPr>
              <w:pStyle w:val="Rowcolumntitles"/>
              <w:rPr>
                <w:noProof/>
                <w:sz w:val="20"/>
                <w:lang w:val="uk-UA"/>
              </w:rPr>
            </w:pPr>
          </w:p>
        </w:tc>
        <w:tc>
          <w:tcPr>
            <w:tcW w:w="895" w:type="dxa"/>
            <w:vMerge/>
            <w:shd w:val="clear" w:color="auto" w:fill="FBD4B4" w:themeFill="accent6" w:themeFillTint="66"/>
          </w:tcPr>
          <w:p w14:paraId="4D977C20" w14:textId="77777777" w:rsidR="002D3389" w:rsidRPr="00257F44" w:rsidRDefault="002D3389" w:rsidP="00FD2A72">
            <w:pPr>
              <w:pStyle w:val="Rowcolumntitles"/>
              <w:rPr>
                <w:noProof/>
                <w:sz w:val="20"/>
                <w:lang w:val="uk-UA"/>
              </w:rPr>
            </w:pPr>
          </w:p>
        </w:tc>
        <w:tc>
          <w:tcPr>
            <w:tcW w:w="341" w:type="dxa"/>
            <w:gridSpan w:val="3"/>
            <w:vMerge/>
            <w:shd w:val="clear" w:color="auto" w:fill="CCC0D9" w:themeFill="accent4" w:themeFillTint="66"/>
          </w:tcPr>
          <w:p w14:paraId="4781C7A5" w14:textId="77777777" w:rsidR="002D3389" w:rsidRPr="00257F44" w:rsidRDefault="002D3389" w:rsidP="00FD2A72">
            <w:pPr>
              <w:pStyle w:val="Rowcolumntitles"/>
              <w:rPr>
                <w:sz w:val="20"/>
                <w:lang w:val="uk-UA"/>
              </w:rPr>
            </w:pPr>
          </w:p>
        </w:tc>
        <w:tc>
          <w:tcPr>
            <w:tcW w:w="341" w:type="dxa"/>
            <w:gridSpan w:val="2"/>
            <w:vMerge/>
            <w:shd w:val="clear" w:color="auto" w:fill="CCC0D9" w:themeFill="accent4" w:themeFillTint="66"/>
          </w:tcPr>
          <w:p w14:paraId="58D4CD9F" w14:textId="77777777" w:rsidR="002D3389" w:rsidRPr="00257F44" w:rsidRDefault="002D3389" w:rsidP="00FD2A72">
            <w:pPr>
              <w:pStyle w:val="Rowcolumntitles"/>
              <w:rPr>
                <w:rFonts w:eastAsia="Times New Roman"/>
                <w:sz w:val="20"/>
                <w:lang w:val="uk-UA"/>
              </w:rPr>
            </w:pPr>
          </w:p>
        </w:tc>
        <w:tc>
          <w:tcPr>
            <w:tcW w:w="341" w:type="dxa"/>
            <w:gridSpan w:val="2"/>
            <w:vMerge/>
            <w:shd w:val="clear" w:color="auto" w:fill="CCC0D9" w:themeFill="accent4" w:themeFillTint="66"/>
          </w:tcPr>
          <w:p w14:paraId="76E12DF1" w14:textId="77777777" w:rsidR="002D3389" w:rsidRPr="00257F44" w:rsidRDefault="002D3389" w:rsidP="00FD2A72">
            <w:pPr>
              <w:pStyle w:val="Rowcolumntitles"/>
              <w:rPr>
                <w:noProof/>
                <w:sz w:val="20"/>
                <w:lang w:val="uk-UA"/>
              </w:rPr>
            </w:pPr>
          </w:p>
        </w:tc>
        <w:tc>
          <w:tcPr>
            <w:tcW w:w="343" w:type="dxa"/>
            <w:gridSpan w:val="3"/>
            <w:vMerge/>
            <w:shd w:val="clear" w:color="auto" w:fill="CCC0D9" w:themeFill="accent4" w:themeFillTint="66"/>
          </w:tcPr>
          <w:p w14:paraId="37AC66F2"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2B6C5193" w14:textId="77777777" w:rsidR="002D3389" w:rsidRPr="00257F44" w:rsidRDefault="002D3389" w:rsidP="00FD2A72">
            <w:pPr>
              <w:pStyle w:val="Rowcolumntitles"/>
              <w:rPr>
                <w:sz w:val="20"/>
                <w:lang w:val="uk-UA"/>
              </w:rPr>
            </w:pPr>
          </w:p>
        </w:tc>
        <w:tc>
          <w:tcPr>
            <w:tcW w:w="487" w:type="dxa"/>
            <w:gridSpan w:val="2"/>
            <w:shd w:val="clear" w:color="auto" w:fill="B8CCE4" w:themeFill="accent1" w:themeFillTint="66"/>
          </w:tcPr>
          <w:p w14:paraId="7582319E" w14:textId="77777777" w:rsidR="002D3389" w:rsidRPr="00257F44" w:rsidRDefault="002D3389" w:rsidP="00FD2A72">
            <w:pPr>
              <w:pStyle w:val="Rowcolumntitles"/>
              <w:rPr>
                <w:sz w:val="20"/>
                <w:lang w:val="uk-UA"/>
              </w:rPr>
            </w:pPr>
          </w:p>
        </w:tc>
        <w:tc>
          <w:tcPr>
            <w:tcW w:w="487" w:type="dxa"/>
            <w:gridSpan w:val="4"/>
            <w:shd w:val="clear" w:color="auto" w:fill="B8CCE4" w:themeFill="accent1" w:themeFillTint="66"/>
          </w:tcPr>
          <w:p w14:paraId="1EB6639A" w14:textId="77777777" w:rsidR="002D3389" w:rsidRPr="00257F44" w:rsidRDefault="002D3389" w:rsidP="00FD2A72">
            <w:pPr>
              <w:pStyle w:val="Rowcolumntitles"/>
              <w:rPr>
                <w:sz w:val="20"/>
                <w:lang w:val="uk-UA"/>
              </w:rPr>
            </w:pPr>
          </w:p>
        </w:tc>
        <w:tc>
          <w:tcPr>
            <w:tcW w:w="493" w:type="dxa"/>
            <w:gridSpan w:val="3"/>
            <w:shd w:val="clear" w:color="auto" w:fill="B8CCE4" w:themeFill="accent1" w:themeFillTint="66"/>
          </w:tcPr>
          <w:p w14:paraId="6BF61712" w14:textId="21F162A6" w:rsidR="002D3389" w:rsidRPr="00257F44" w:rsidRDefault="002D3389" w:rsidP="00FD2A72">
            <w:pPr>
              <w:pStyle w:val="Rowcolumntitles"/>
              <w:rPr>
                <w:sz w:val="20"/>
                <w:lang w:val="uk-UA"/>
              </w:rPr>
            </w:pPr>
            <w:r w:rsidRPr="00257F44">
              <w:rPr>
                <w:rFonts w:ascii="MS Mincho" w:eastAsia="MS Mincho" w:hAnsi="MS Mincho" w:cs="MS Mincho"/>
                <w:noProof/>
                <w:sz w:val="20"/>
                <w:lang w:val="uk-UA"/>
              </w:rPr>
              <w:t>✔</w:t>
            </w:r>
          </w:p>
        </w:tc>
        <w:tc>
          <w:tcPr>
            <w:tcW w:w="367" w:type="dxa"/>
            <w:gridSpan w:val="3"/>
            <w:vMerge/>
            <w:shd w:val="clear" w:color="auto" w:fill="D99594" w:themeFill="accent2" w:themeFillTint="99"/>
          </w:tcPr>
          <w:p w14:paraId="5AE0007A"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5E7F3ABC"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51FD2626"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77AD5033" w14:textId="77777777" w:rsidR="002D3389" w:rsidRPr="00257F44" w:rsidRDefault="002D3389" w:rsidP="00FD2A72">
            <w:pPr>
              <w:pStyle w:val="Rowcolumntitles"/>
              <w:rPr>
                <w:noProof/>
                <w:sz w:val="20"/>
                <w:lang w:val="uk-UA"/>
              </w:rPr>
            </w:pPr>
          </w:p>
        </w:tc>
        <w:tc>
          <w:tcPr>
            <w:tcW w:w="388" w:type="dxa"/>
            <w:gridSpan w:val="2"/>
            <w:vMerge/>
            <w:shd w:val="clear" w:color="auto" w:fill="D99594" w:themeFill="accent2" w:themeFillTint="99"/>
          </w:tcPr>
          <w:p w14:paraId="4EEAB0E8" w14:textId="77777777" w:rsidR="002D3389" w:rsidRPr="00257F44" w:rsidRDefault="002D3389" w:rsidP="00FD2A72">
            <w:pPr>
              <w:pStyle w:val="Rowcolumntitles"/>
              <w:rPr>
                <w:rFonts w:eastAsia="Times New Roman"/>
                <w:sz w:val="20"/>
                <w:lang w:val="uk-UA"/>
              </w:rPr>
            </w:pPr>
          </w:p>
        </w:tc>
      </w:tr>
      <w:tr w:rsidR="00B017F8" w:rsidRPr="00257F44" w14:paraId="5C905B45" w14:textId="77777777" w:rsidTr="00DB3322">
        <w:trPr>
          <w:gridAfter w:val="1"/>
          <w:wAfter w:w="12" w:type="dxa"/>
          <w:trHeight w:val="227"/>
        </w:trPr>
        <w:tc>
          <w:tcPr>
            <w:tcW w:w="1470" w:type="dxa"/>
            <w:vMerge w:val="restart"/>
            <w:shd w:val="clear" w:color="auto" w:fill="000000" w:themeFill="text1"/>
          </w:tcPr>
          <w:p w14:paraId="69ACB4C7" w14:textId="55D80200" w:rsidR="002D3389" w:rsidRPr="00257F44" w:rsidRDefault="002D3389" w:rsidP="00FD2A72">
            <w:pPr>
              <w:pStyle w:val="Rowcolumntitles"/>
              <w:rPr>
                <w:color w:val="FFFFFF" w:themeColor="background1"/>
                <w:sz w:val="20"/>
                <w:lang w:val="uk-UA"/>
              </w:rPr>
            </w:pPr>
            <w:r w:rsidRPr="00257F44">
              <w:rPr>
                <w:color w:val="FFFFFF" w:themeColor="background1"/>
                <w:sz w:val="20"/>
                <w:lang w:val="uk-UA"/>
              </w:rPr>
              <w:t xml:space="preserve">24. </w:t>
            </w:r>
            <w:r w:rsidR="00881CF9" w:rsidRPr="00257F44">
              <w:rPr>
                <w:color w:val="FFFFFF" w:themeColor="background1"/>
                <w:sz w:val="20"/>
                <w:lang w:val="uk-UA"/>
              </w:rPr>
              <w:t>Навчання з електронного урядування для місцевої влади</w:t>
            </w:r>
          </w:p>
        </w:tc>
        <w:tc>
          <w:tcPr>
            <w:tcW w:w="402" w:type="dxa"/>
            <w:vMerge w:val="restart"/>
            <w:shd w:val="clear" w:color="auto" w:fill="D6E3BC" w:themeFill="accent3" w:themeFillTint="66"/>
          </w:tcPr>
          <w:p w14:paraId="21A0214B" w14:textId="77777777" w:rsidR="002D3389" w:rsidRPr="00257F44" w:rsidRDefault="002D3389" w:rsidP="00FD2A72">
            <w:pPr>
              <w:pStyle w:val="Rowcolumntitles"/>
              <w:rPr>
                <w:sz w:val="20"/>
                <w:lang w:val="uk-UA"/>
              </w:rPr>
            </w:pPr>
          </w:p>
        </w:tc>
        <w:tc>
          <w:tcPr>
            <w:tcW w:w="388" w:type="dxa"/>
            <w:vMerge w:val="restart"/>
            <w:shd w:val="clear" w:color="auto" w:fill="D6E3BC" w:themeFill="accent3" w:themeFillTint="66"/>
          </w:tcPr>
          <w:p w14:paraId="1729FC69" w14:textId="77777777" w:rsidR="002D3389" w:rsidRPr="00257F44" w:rsidRDefault="002D3389" w:rsidP="00FD2A72">
            <w:pPr>
              <w:pStyle w:val="Rowcolumntitles"/>
              <w:rPr>
                <w:rFonts w:eastAsia="Times New Roman"/>
                <w:sz w:val="20"/>
                <w:lang w:val="uk-UA"/>
              </w:rPr>
            </w:pPr>
          </w:p>
        </w:tc>
        <w:tc>
          <w:tcPr>
            <w:tcW w:w="425" w:type="dxa"/>
            <w:vMerge w:val="restart"/>
            <w:shd w:val="clear" w:color="auto" w:fill="D6E3BC" w:themeFill="accent3" w:themeFillTint="66"/>
          </w:tcPr>
          <w:p w14:paraId="40C50A88" w14:textId="276AC604" w:rsidR="002D3389" w:rsidRPr="00257F44" w:rsidRDefault="002D3389" w:rsidP="00FD2A72">
            <w:pPr>
              <w:pStyle w:val="Rowcolumntitles"/>
              <w:rPr>
                <w:sz w:val="20"/>
                <w:lang w:val="uk-UA"/>
              </w:rPr>
            </w:pPr>
            <w:r w:rsidRPr="00257F44">
              <w:rPr>
                <w:rFonts w:ascii="MS Mincho" w:eastAsia="MS Mincho" w:hAnsi="MS Mincho" w:cs="MS Mincho"/>
                <w:noProof/>
                <w:sz w:val="20"/>
                <w:lang w:val="uk-UA"/>
              </w:rPr>
              <w:t>✔</w:t>
            </w:r>
          </w:p>
        </w:tc>
        <w:tc>
          <w:tcPr>
            <w:tcW w:w="395" w:type="dxa"/>
            <w:vMerge w:val="restart"/>
            <w:shd w:val="clear" w:color="auto" w:fill="D6E3BC" w:themeFill="accent3" w:themeFillTint="66"/>
          </w:tcPr>
          <w:p w14:paraId="6231DAB2" w14:textId="77777777" w:rsidR="002D3389" w:rsidRPr="00257F44" w:rsidRDefault="002D3389" w:rsidP="00FD2A72">
            <w:pPr>
              <w:pStyle w:val="Rowcolumntitles"/>
              <w:rPr>
                <w:rFonts w:eastAsia="Times New Roman"/>
                <w:sz w:val="20"/>
                <w:lang w:val="uk-UA"/>
              </w:rPr>
            </w:pPr>
          </w:p>
        </w:tc>
        <w:tc>
          <w:tcPr>
            <w:tcW w:w="2334" w:type="dxa"/>
            <w:gridSpan w:val="6"/>
            <w:vMerge w:val="restart"/>
            <w:shd w:val="clear" w:color="auto" w:fill="FBD4B4" w:themeFill="accent6" w:themeFillTint="66"/>
          </w:tcPr>
          <w:p w14:paraId="263D2983" w14:textId="03BDFC23" w:rsidR="002D3389" w:rsidRPr="00257F44" w:rsidRDefault="00EE0FB0" w:rsidP="00FD2A72">
            <w:pPr>
              <w:pStyle w:val="Rowcolumntitles"/>
              <w:jc w:val="center"/>
              <w:rPr>
                <w:rFonts w:eastAsia="Times New Roman"/>
                <w:sz w:val="20"/>
                <w:lang w:val="uk-UA"/>
              </w:rPr>
            </w:pPr>
            <w:r w:rsidRPr="00257F44">
              <w:rPr>
                <w:noProof/>
                <w:sz w:val="20"/>
                <w:lang w:val="uk-UA"/>
              </w:rPr>
              <w:t>Не зрозуміло</w:t>
            </w:r>
          </w:p>
        </w:tc>
        <w:tc>
          <w:tcPr>
            <w:tcW w:w="341" w:type="dxa"/>
            <w:gridSpan w:val="3"/>
            <w:vMerge w:val="restart"/>
            <w:shd w:val="clear" w:color="auto" w:fill="CCC0D9" w:themeFill="accent4" w:themeFillTint="66"/>
          </w:tcPr>
          <w:p w14:paraId="136E4E26" w14:textId="77777777" w:rsidR="002D3389" w:rsidRPr="00257F44" w:rsidRDefault="002D3389" w:rsidP="00FD2A72">
            <w:pPr>
              <w:pStyle w:val="Rowcolumntitles"/>
              <w:rPr>
                <w:sz w:val="20"/>
                <w:lang w:val="uk-UA"/>
              </w:rPr>
            </w:pPr>
          </w:p>
        </w:tc>
        <w:tc>
          <w:tcPr>
            <w:tcW w:w="341" w:type="dxa"/>
            <w:gridSpan w:val="2"/>
            <w:vMerge w:val="restart"/>
            <w:shd w:val="clear" w:color="auto" w:fill="CCC0D9" w:themeFill="accent4" w:themeFillTint="66"/>
          </w:tcPr>
          <w:p w14:paraId="09B8CD31" w14:textId="69D1E850"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41" w:type="dxa"/>
            <w:gridSpan w:val="2"/>
            <w:vMerge w:val="restart"/>
            <w:shd w:val="clear" w:color="auto" w:fill="CCC0D9" w:themeFill="accent4" w:themeFillTint="66"/>
          </w:tcPr>
          <w:p w14:paraId="11A48BEC" w14:textId="77777777" w:rsidR="002D3389" w:rsidRPr="00257F44" w:rsidRDefault="002D3389" w:rsidP="00FD2A72">
            <w:pPr>
              <w:pStyle w:val="Rowcolumntitles"/>
              <w:rPr>
                <w:sz w:val="20"/>
                <w:lang w:val="uk-UA"/>
              </w:rPr>
            </w:pPr>
          </w:p>
        </w:tc>
        <w:tc>
          <w:tcPr>
            <w:tcW w:w="343" w:type="dxa"/>
            <w:gridSpan w:val="3"/>
            <w:vMerge w:val="restart"/>
            <w:shd w:val="clear" w:color="auto" w:fill="CCC0D9" w:themeFill="accent4" w:themeFillTint="66"/>
          </w:tcPr>
          <w:p w14:paraId="70989C45"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50AA401F" w14:textId="5F04BF81" w:rsidR="002D3389" w:rsidRPr="00257F44" w:rsidRDefault="002D3389" w:rsidP="00FD2A72">
            <w:pPr>
              <w:pStyle w:val="Rowcolumntitles"/>
              <w:rPr>
                <w:rFonts w:eastAsia="Times New Roman"/>
                <w:sz w:val="20"/>
                <w:lang w:val="uk-UA"/>
              </w:rPr>
            </w:pPr>
          </w:p>
        </w:tc>
        <w:tc>
          <w:tcPr>
            <w:tcW w:w="487" w:type="dxa"/>
            <w:gridSpan w:val="2"/>
            <w:shd w:val="clear" w:color="auto" w:fill="B8CCE4" w:themeFill="accent1" w:themeFillTint="66"/>
          </w:tcPr>
          <w:p w14:paraId="27B59F7C" w14:textId="1ACDAA23" w:rsidR="002D3389" w:rsidRPr="00257F44" w:rsidRDefault="002D3389" w:rsidP="00FD2A72">
            <w:pPr>
              <w:pStyle w:val="Rowcolumntitles"/>
              <w:rPr>
                <w:rFonts w:eastAsia="Times New Roman"/>
                <w:sz w:val="20"/>
                <w:lang w:val="uk-UA"/>
              </w:rPr>
            </w:pPr>
          </w:p>
        </w:tc>
        <w:tc>
          <w:tcPr>
            <w:tcW w:w="487" w:type="dxa"/>
            <w:gridSpan w:val="4"/>
            <w:shd w:val="clear" w:color="auto" w:fill="B8CCE4" w:themeFill="accent1" w:themeFillTint="66"/>
          </w:tcPr>
          <w:p w14:paraId="7DB41CAE" w14:textId="77777777" w:rsidR="002D3389" w:rsidRPr="00257F44" w:rsidRDefault="002D3389" w:rsidP="00FD2A72">
            <w:pPr>
              <w:pStyle w:val="Rowcolumntitles"/>
              <w:rPr>
                <w:rFonts w:eastAsia="Times New Roman"/>
                <w:sz w:val="20"/>
                <w:lang w:val="uk-UA"/>
              </w:rPr>
            </w:pPr>
          </w:p>
        </w:tc>
        <w:tc>
          <w:tcPr>
            <w:tcW w:w="493" w:type="dxa"/>
            <w:gridSpan w:val="3"/>
            <w:shd w:val="clear" w:color="auto" w:fill="B8CCE4" w:themeFill="accent1" w:themeFillTint="66"/>
          </w:tcPr>
          <w:p w14:paraId="3A15A115" w14:textId="2E6AC386"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67" w:type="dxa"/>
            <w:gridSpan w:val="3"/>
            <w:vMerge w:val="restart"/>
            <w:shd w:val="clear" w:color="auto" w:fill="D99594" w:themeFill="accent2" w:themeFillTint="99"/>
          </w:tcPr>
          <w:p w14:paraId="6AD18322"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02A0ADC2" w14:textId="2CE02063" w:rsidR="002D3389" w:rsidRPr="00257F44" w:rsidRDefault="002D3389" w:rsidP="00FD2A72">
            <w:pPr>
              <w:pStyle w:val="Rowcolumntitles"/>
              <w:rPr>
                <w:rFonts w:eastAsia="Times New Roman"/>
                <w:sz w:val="20"/>
                <w:lang w:val="uk-UA"/>
              </w:rPr>
            </w:pPr>
            <w:r w:rsidRPr="00257F44">
              <w:rPr>
                <w:rFonts w:ascii="MS Mincho" w:eastAsia="MS Mincho" w:hAnsi="MS Mincho" w:cs="MS Mincho"/>
                <w:noProof/>
                <w:sz w:val="20"/>
                <w:lang w:val="uk-UA"/>
              </w:rPr>
              <w:t>✔</w:t>
            </w:r>
          </w:p>
        </w:tc>
        <w:tc>
          <w:tcPr>
            <w:tcW w:w="318" w:type="dxa"/>
            <w:gridSpan w:val="2"/>
            <w:vMerge w:val="restart"/>
            <w:shd w:val="clear" w:color="auto" w:fill="D99594" w:themeFill="accent2" w:themeFillTint="99"/>
          </w:tcPr>
          <w:p w14:paraId="6936AF6F" w14:textId="77777777" w:rsidR="002D3389" w:rsidRPr="00257F44" w:rsidRDefault="002D3389" w:rsidP="00FD2A72">
            <w:pPr>
              <w:pStyle w:val="Rowcolumntitles"/>
              <w:rPr>
                <w:rFonts w:eastAsia="Times New Roman"/>
                <w:sz w:val="20"/>
                <w:lang w:val="uk-UA"/>
              </w:rPr>
            </w:pPr>
          </w:p>
        </w:tc>
        <w:tc>
          <w:tcPr>
            <w:tcW w:w="318" w:type="dxa"/>
            <w:gridSpan w:val="2"/>
            <w:vMerge w:val="restart"/>
            <w:shd w:val="clear" w:color="auto" w:fill="D99594" w:themeFill="accent2" w:themeFillTint="99"/>
          </w:tcPr>
          <w:p w14:paraId="71F52BDC" w14:textId="77777777" w:rsidR="002D3389" w:rsidRPr="00257F44" w:rsidRDefault="002D3389" w:rsidP="00FD2A72">
            <w:pPr>
              <w:pStyle w:val="Rowcolumntitles"/>
              <w:rPr>
                <w:rFonts w:eastAsia="Times New Roman"/>
                <w:sz w:val="20"/>
                <w:lang w:val="uk-UA"/>
              </w:rPr>
            </w:pPr>
          </w:p>
        </w:tc>
        <w:tc>
          <w:tcPr>
            <w:tcW w:w="388" w:type="dxa"/>
            <w:gridSpan w:val="2"/>
            <w:vMerge w:val="restart"/>
            <w:shd w:val="clear" w:color="auto" w:fill="D99594" w:themeFill="accent2" w:themeFillTint="99"/>
          </w:tcPr>
          <w:p w14:paraId="65A09566" w14:textId="77777777" w:rsidR="002D3389" w:rsidRPr="00257F44" w:rsidRDefault="002D3389" w:rsidP="00FD2A72">
            <w:pPr>
              <w:pStyle w:val="Rowcolumntitles"/>
              <w:rPr>
                <w:rFonts w:eastAsia="Times New Roman"/>
                <w:sz w:val="20"/>
                <w:lang w:val="uk-UA"/>
              </w:rPr>
            </w:pPr>
          </w:p>
        </w:tc>
      </w:tr>
      <w:tr w:rsidR="00B017F8" w:rsidRPr="00257F44" w14:paraId="5EDAF565" w14:textId="77777777" w:rsidTr="00DB3322">
        <w:trPr>
          <w:gridAfter w:val="1"/>
          <w:wAfter w:w="12" w:type="dxa"/>
          <w:trHeight w:val="226"/>
        </w:trPr>
        <w:tc>
          <w:tcPr>
            <w:tcW w:w="1470" w:type="dxa"/>
            <w:vMerge/>
            <w:shd w:val="clear" w:color="auto" w:fill="000000" w:themeFill="text1"/>
          </w:tcPr>
          <w:p w14:paraId="46FB1C2C" w14:textId="77777777" w:rsidR="002D3389" w:rsidRPr="00257F44" w:rsidRDefault="002D3389" w:rsidP="00FD2A72">
            <w:pPr>
              <w:pStyle w:val="Rowcolumntitles"/>
              <w:rPr>
                <w:color w:val="FFFFFF" w:themeColor="background1"/>
                <w:sz w:val="20"/>
                <w:lang w:val="uk-UA"/>
              </w:rPr>
            </w:pPr>
          </w:p>
        </w:tc>
        <w:tc>
          <w:tcPr>
            <w:tcW w:w="402" w:type="dxa"/>
            <w:vMerge/>
            <w:shd w:val="clear" w:color="auto" w:fill="D6E3BC" w:themeFill="accent3" w:themeFillTint="66"/>
          </w:tcPr>
          <w:p w14:paraId="2A749236" w14:textId="77777777" w:rsidR="002D3389" w:rsidRPr="00257F44" w:rsidRDefault="002D3389" w:rsidP="00FD2A72">
            <w:pPr>
              <w:pStyle w:val="Rowcolumntitles"/>
              <w:rPr>
                <w:sz w:val="20"/>
                <w:lang w:val="uk-UA"/>
              </w:rPr>
            </w:pPr>
          </w:p>
        </w:tc>
        <w:tc>
          <w:tcPr>
            <w:tcW w:w="388" w:type="dxa"/>
            <w:vMerge/>
            <w:shd w:val="clear" w:color="auto" w:fill="D6E3BC" w:themeFill="accent3" w:themeFillTint="66"/>
          </w:tcPr>
          <w:p w14:paraId="5519ED5E" w14:textId="77777777" w:rsidR="002D3389" w:rsidRPr="00257F44" w:rsidRDefault="002D3389" w:rsidP="00FD2A72">
            <w:pPr>
              <w:pStyle w:val="Rowcolumntitles"/>
              <w:rPr>
                <w:rFonts w:eastAsia="Times New Roman"/>
                <w:sz w:val="20"/>
                <w:lang w:val="uk-UA"/>
              </w:rPr>
            </w:pPr>
          </w:p>
        </w:tc>
        <w:tc>
          <w:tcPr>
            <w:tcW w:w="425" w:type="dxa"/>
            <w:vMerge/>
            <w:shd w:val="clear" w:color="auto" w:fill="D6E3BC" w:themeFill="accent3" w:themeFillTint="66"/>
          </w:tcPr>
          <w:p w14:paraId="5EB4217D" w14:textId="77777777" w:rsidR="002D3389" w:rsidRPr="00257F44" w:rsidRDefault="002D3389" w:rsidP="00FD2A72">
            <w:pPr>
              <w:pStyle w:val="Rowcolumntitles"/>
              <w:rPr>
                <w:noProof/>
                <w:sz w:val="20"/>
                <w:lang w:val="uk-UA"/>
              </w:rPr>
            </w:pPr>
          </w:p>
        </w:tc>
        <w:tc>
          <w:tcPr>
            <w:tcW w:w="395" w:type="dxa"/>
            <w:vMerge/>
            <w:shd w:val="clear" w:color="auto" w:fill="D6E3BC" w:themeFill="accent3" w:themeFillTint="66"/>
          </w:tcPr>
          <w:p w14:paraId="3F75994B" w14:textId="77777777" w:rsidR="002D3389" w:rsidRPr="00257F44" w:rsidRDefault="002D3389" w:rsidP="00FD2A72">
            <w:pPr>
              <w:pStyle w:val="Rowcolumntitles"/>
              <w:rPr>
                <w:rFonts w:eastAsia="Times New Roman"/>
                <w:sz w:val="20"/>
                <w:lang w:val="uk-UA"/>
              </w:rPr>
            </w:pPr>
          </w:p>
        </w:tc>
        <w:tc>
          <w:tcPr>
            <w:tcW w:w="2334" w:type="dxa"/>
            <w:gridSpan w:val="6"/>
            <w:vMerge/>
            <w:shd w:val="clear" w:color="auto" w:fill="FBD4B4" w:themeFill="accent6" w:themeFillTint="66"/>
          </w:tcPr>
          <w:p w14:paraId="31A7EB76" w14:textId="77777777" w:rsidR="002D3389" w:rsidRPr="00257F44" w:rsidRDefault="002D3389" w:rsidP="00FD2A72">
            <w:pPr>
              <w:pStyle w:val="Rowcolumntitles"/>
              <w:rPr>
                <w:rFonts w:eastAsia="Times New Roman"/>
                <w:sz w:val="20"/>
                <w:lang w:val="uk-UA"/>
              </w:rPr>
            </w:pPr>
          </w:p>
        </w:tc>
        <w:tc>
          <w:tcPr>
            <w:tcW w:w="341" w:type="dxa"/>
            <w:gridSpan w:val="3"/>
            <w:vMerge/>
            <w:shd w:val="clear" w:color="auto" w:fill="CCC0D9" w:themeFill="accent4" w:themeFillTint="66"/>
          </w:tcPr>
          <w:p w14:paraId="1200DF05" w14:textId="77777777" w:rsidR="002D3389" w:rsidRPr="00257F44" w:rsidRDefault="002D3389" w:rsidP="00FD2A72">
            <w:pPr>
              <w:pStyle w:val="Rowcolumntitles"/>
              <w:rPr>
                <w:sz w:val="20"/>
                <w:lang w:val="uk-UA"/>
              </w:rPr>
            </w:pPr>
          </w:p>
        </w:tc>
        <w:tc>
          <w:tcPr>
            <w:tcW w:w="341" w:type="dxa"/>
            <w:gridSpan w:val="2"/>
            <w:vMerge/>
            <w:shd w:val="clear" w:color="auto" w:fill="CCC0D9" w:themeFill="accent4" w:themeFillTint="66"/>
          </w:tcPr>
          <w:p w14:paraId="46786B6D" w14:textId="77777777" w:rsidR="002D3389" w:rsidRPr="00257F44" w:rsidRDefault="002D3389" w:rsidP="00FD2A72">
            <w:pPr>
              <w:pStyle w:val="Rowcolumntitles"/>
              <w:rPr>
                <w:noProof/>
                <w:sz w:val="20"/>
                <w:lang w:val="uk-UA"/>
              </w:rPr>
            </w:pPr>
          </w:p>
        </w:tc>
        <w:tc>
          <w:tcPr>
            <w:tcW w:w="341" w:type="dxa"/>
            <w:gridSpan w:val="2"/>
            <w:vMerge/>
            <w:shd w:val="clear" w:color="auto" w:fill="CCC0D9" w:themeFill="accent4" w:themeFillTint="66"/>
          </w:tcPr>
          <w:p w14:paraId="14BE1FAC" w14:textId="77777777" w:rsidR="002D3389" w:rsidRPr="00257F44" w:rsidRDefault="002D3389" w:rsidP="00FD2A72">
            <w:pPr>
              <w:pStyle w:val="Rowcolumntitles"/>
              <w:rPr>
                <w:sz w:val="20"/>
                <w:lang w:val="uk-UA"/>
              </w:rPr>
            </w:pPr>
          </w:p>
        </w:tc>
        <w:tc>
          <w:tcPr>
            <w:tcW w:w="343" w:type="dxa"/>
            <w:gridSpan w:val="3"/>
            <w:vMerge/>
            <w:shd w:val="clear" w:color="auto" w:fill="CCC0D9" w:themeFill="accent4" w:themeFillTint="66"/>
          </w:tcPr>
          <w:p w14:paraId="5CD1D29D" w14:textId="77777777" w:rsidR="002D3389" w:rsidRPr="00257F44" w:rsidRDefault="002D3389" w:rsidP="00FD2A72">
            <w:pPr>
              <w:pStyle w:val="Rowcolumntitles"/>
              <w:rPr>
                <w:rFonts w:eastAsia="Times New Roman"/>
                <w:sz w:val="20"/>
                <w:lang w:val="uk-UA"/>
              </w:rPr>
            </w:pPr>
          </w:p>
        </w:tc>
        <w:tc>
          <w:tcPr>
            <w:tcW w:w="485" w:type="dxa"/>
            <w:gridSpan w:val="3"/>
            <w:shd w:val="clear" w:color="auto" w:fill="B8CCE4" w:themeFill="accent1" w:themeFillTint="66"/>
          </w:tcPr>
          <w:p w14:paraId="66596CEE" w14:textId="77777777" w:rsidR="002D3389" w:rsidRPr="00257F44" w:rsidRDefault="002D3389" w:rsidP="00FD2A72">
            <w:pPr>
              <w:pStyle w:val="Rowcolumntitles"/>
              <w:rPr>
                <w:sz w:val="20"/>
                <w:lang w:val="uk-UA"/>
              </w:rPr>
            </w:pPr>
          </w:p>
        </w:tc>
        <w:tc>
          <w:tcPr>
            <w:tcW w:w="487" w:type="dxa"/>
            <w:gridSpan w:val="2"/>
            <w:shd w:val="clear" w:color="auto" w:fill="B8CCE4" w:themeFill="accent1" w:themeFillTint="66"/>
          </w:tcPr>
          <w:p w14:paraId="0FB4CFF7" w14:textId="77777777" w:rsidR="002D3389" w:rsidRPr="00257F44" w:rsidRDefault="002D3389" w:rsidP="00FD2A72">
            <w:pPr>
              <w:pStyle w:val="Rowcolumntitles"/>
              <w:rPr>
                <w:sz w:val="20"/>
                <w:lang w:val="uk-UA"/>
              </w:rPr>
            </w:pPr>
          </w:p>
        </w:tc>
        <w:tc>
          <w:tcPr>
            <w:tcW w:w="487" w:type="dxa"/>
            <w:gridSpan w:val="4"/>
            <w:shd w:val="clear" w:color="auto" w:fill="B8CCE4" w:themeFill="accent1" w:themeFillTint="66"/>
          </w:tcPr>
          <w:p w14:paraId="269AE09E" w14:textId="77777777" w:rsidR="002D3389" w:rsidRPr="00257F44" w:rsidRDefault="002D3389" w:rsidP="00FD2A72">
            <w:pPr>
              <w:pStyle w:val="Rowcolumntitles"/>
              <w:rPr>
                <w:sz w:val="20"/>
                <w:lang w:val="uk-UA"/>
              </w:rPr>
            </w:pPr>
          </w:p>
        </w:tc>
        <w:tc>
          <w:tcPr>
            <w:tcW w:w="493" w:type="dxa"/>
            <w:gridSpan w:val="3"/>
            <w:shd w:val="clear" w:color="auto" w:fill="B8CCE4" w:themeFill="accent1" w:themeFillTint="66"/>
          </w:tcPr>
          <w:p w14:paraId="7889B5A9" w14:textId="50DBC97D" w:rsidR="002D3389" w:rsidRPr="00257F44" w:rsidRDefault="002D3389" w:rsidP="00FD2A72">
            <w:pPr>
              <w:pStyle w:val="Rowcolumntitles"/>
              <w:rPr>
                <w:sz w:val="20"/>
                <w:lang w:val="uk-UA"/>
              </w:rPr>
            </w:pPr>
            <w:r w:rsidRPr="00257F44">
              <w:rPr>
                <w:rFonts w:ascii="MS Mincho" w:eastAsia="MS Mincho" w:hAnsi="MS Mincho" w:cs="MS Mincho"/>
                <w:noProof/>
                <w:sz w:val="20"/>
                <w:lang w:val="uk-UA"/>
              </w:rPr>
              <w:t>✔</w:t>
            </w:r>
          </w:p>
        </w:tc>
        <w:tc>
          <w:tcPr>
            <w:tcW w:w="367" w:type="dxa"/>
            <w:gridSpan w:val="3"/>
            <w:vMerge/>
            <w:shd w:val="clear" w:color="auto" w:fill="D99594" w:themeFill="accent2" w:themeFillTint="99"/>
          </w:tcPr>
          <w:p w14:paraId="560B126C"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01CEA729" w14:textId="77777777" w:rsidR="002D3389" w:rsidRPr="00257F44" w:rsidRDefault="002D3389" w:rsidP="00FD2A72">
            <w:pPr>
              <w:pStyle w:val="Rowcolumntitles"/>
              <w:rPr>
                <w:noProof/>
                <w:sz w:val="20"/>
                <w:lang w:val="uk-UA"/>
              </w:rPr>
            </w:pPr>
          </w:p>
        </w:tc>
        <w:tc>
          <w:tcPr>
            <w:tcW w:w="318" w:type="dxa"/>
            <w:gridSpan w:val="2"/>
            <w:vMerge/>
            <w:shd w:val="clear" w:color="auto" w:fill="D99594" w:themeFill="accent2" w:themeFillTint="99"/>
          </w:tcPr>
          <w:p w14:paraId="6FEF6EEA" w14:textId="77777777" w:rsidR="002D3389" w:rsidRPr="00257F44" w:rsidRDefault="002D3389" w:rsidP="00FD2A72">
            <w:pPr>
              <w:pStyle w:val="Rowcolumntitles"/>
              <w:rPr>
                <w:rFonts w:eastAsia="Times New Roman"/>
                <w:sz w:val="20"/>
                <w:lang w:val="uk-UA"/>
              </w:rPr>
            </w:pPr>
          </w:p>
        </w:tc>
        <w:tc>
          <w:tcPr>
            <w:tcW w:w="318" w:type="dxa"/>
            <w:gridSpan w:val="2"/>
            <w:vMerge/>
            <w:shd w:val="clear" w:color="auto" w:fill="D99594" w:themeFill="accent2" w:themeFillTint="99"/>
          </w:tcPr>
          <w:p w14:paraId="4F7EE87E" w14:textId="77777777" w:rsidR="002D3389" w:rsidRPr="00257F44" w:rsidRDefault="002D3389" w:rsidP="00FD2A72">
            <w:pPr>
              <w:pStyle w:val="Rowcolumntitles"/>
              <w:rPr>
                <w:rFonts w:eastAsia="Times New Roman"/>
                <w:sz w:val="20"/>
                <w:lang w:val="uk-UA"/>
              </w:rPr>
            </w:pPr>
          </w:p>
        </w:tc>
        <w:tc>
          <w:tcPr>
            <w:tcW w:w="388" w:type="dxa"/>
            <w:gridSpan w:val="2"/>
            <w:vMerge/>
            <w:shd w:val="clear" w:color="auto" w:fill="D99594" w:themeFill="accent2" w:themeFillTint="99"/>
          </w:tcPr>
          <w:p w14:paraId="52AA0051" w14:textId="77777777" w:rsidR="002D3389" w:rsidRPr="00257F44" w:rsidRDefault="002D3389" w:rsidP="00FD2A72">
            <w:pPr>
              <w:pStyle w:val="Rowcolumntitles"/>
              <w:rPr>
                <w:rFonts w:eastAsia="Times New Roman"/>
                <w:sz w:val="20"/>
                <w:lang w:val="uk-UA"/>
              </w:rPr>
            </w:pPr>
          </w:p>
        </w:tc>
      </w:tr>
    </w:tbl>
    <w:p w14:paraId="1F6C37E2" w14:textId="1FC0B3BF" w:rsidR="00EC4256" w:rsidRPr="00257F44" w:rsidRDefault="00FD2A72" w:rsidP="00EC4256">
      <w:pPr>
        <w:rPr>
          <w:lang w:val="uk-UA"/>
        </w:rPr>
        <w:sectPr w:rsidR="00EC4256" w:rsidRPr="00257F44" w:rsidSect="00F710A3">
          <w:endnotePr>
            <w:numFmt w:val="decimal"/>
            <w:numRestart w:val="eachSect"/>
          </w:endnotePr>
          <w:pgSz w:w="11907" w:h="16839" w:code="9"/>
          <w:pgMar w:top="1417" w:right="1417" w:bottom="1417" w:left="1417" w:header="0" w:footer="0" w:gutter="0"/>
          <w:cols w:space="708"/>
          <w:docGrid w:linePitch="360"/>
        </w:sectPr>
      </w:pPr>
      <w:r w:rsidRPr="00257F44">
        <w:rPr>
          <w:lang w:val="uk-UA"/>
        </w:rPr>
        <w:br w:type="textWrapping" w:clear="all"/>
      </w:r>
    </w:p>
    <w:p w14:paraId="369FB98C" w14:textId="77777777" w:rsidR="008A7FE5" w:rsidRPr="00257F44" w:rsidRDefault="008A7FE5" w:rsidP="008A7FE5">
      <w:pPr>
        <w:pStyle w:val="Heading2"/>
        <w:rPr>
          <w:noProof/>
          <w:lang w:val="uk-UA"/>
        </w:rPr>
      </w:pPr>
      <w:bookmarkStart w:id="0" w:name="_Toc315983727"/>
      <w:r w:rsidRPr="00257F44">
        <w:rPr>
          <w:noProof/>
          <w:lang w:val="uk-UA"/>
        </w:rPr>
        <w:lastRenderedPageBreak/>
        <w:t>Тема 1. Створення сприятливого середовища для участі громадськості в публічній політиці</w:t>
      </w:r>
      <w:bookmarkEnd w:id="0"/>
    </w:p>
    <w:p w14:paraId="52C9FF7B" w14:textId="77777777" w:rsidR="008A7FE5" w:rsidRPr="00257F44" w:rsidRDefault="008A7FE5" w:rsidP="008A7FE5">
      <w:pPr>
        <w:rPr>
          <w:lang w:val="uk-UA"/>
        </w:rPr>
      </w:pPr>
    </w:p>
    <w:p w14:paraId="2A5AFEC8" w14:textId="77777777" w:rsidR="008A7FE5" w:rsidRPr="00257F44" w:rsidRDefault="008A7FE5" w:rsidP="008A7FE5">
      <w:pPr>
        <w:pStyle w:val="Normalrglronly"/>
        <w:rPr>
          <w:b/>
          <w:lang w:val="uk-UA"/>
        </w:rPr>
      </w:pPr>
      <w:r w:rsidRPr="00257F44">
        <w:rPr>
          <w:b/>
          <w:lang w:val="uk-UA"/>
        </w:rPr>
        <w:t xml:space="preserve">1. Покращити урядові правила щодо залучення ОГС </w:t>
      </w:r>
    </w:p>
    <w:p w14:paraId="7FED041C" w14:textId="77777777" w:rsidR="008A7FE5" w:rsidRPr="00257F44" w:rsidRDefault="008A7FE5" w:rsidP="008A7FE5">
      <w:pPr>
        <w:pStyle w:val="Normalrglronly"/>
        <w:rPr>
          <w:i/>
          <w:noProof/>
          <w:lang w:val="uk-UA"/>
        </w:rPr>
      </w:pPr>
      <w:r w:rsidRPr="00257F44">
        <w:rPr>
          <w:b/>
          <w:noProof/>
          <w:lang w:val="uk-UA"/>
        </w:rPr>
        <w:t>Текст зобов’язання</w:t>
      </w:r>
      <w:r w:rsidRPr="00257F44">
        <w:rPr>
          <w:b/>
          <w:lang w:val="uk-UA"/>
        </w:rPr>
        <w:t xml:space="preserve">: </w:t>
      </w:r>
      <w:r w:rsidRPr="00257F44">
        <w:rPr>
          <w:i/>
          <w:noProof/>
          <w:lang w:val="uk-UA"/>
        </w:rPr>
        <w:t>Підготовка та подання Кабінетові Міністрів України пропозицій щодо внесення змін до постанов Кабінету Міністрів України, які регламентують процедуру взаємодії з інститутами громадянського суспільства, в частині проведення консультацій з громадськістю, створення та діяльності громадських рад при органах виконавчої влади, сприяння проведенню громадської експертизи діяльності органів виконавчої влади.</w:t>
      </w:r>
    </w:p>
    <w:p w14:paraId="42C3B4FC" w14:textId="77777777" w:rsidR="008A7FE5" w:rsidRPr="00257F44" w:rsidRDefault="008A7FE5" w:rsidP="008A7FE5">
      <w:pPr>
        <w:pStyle w:val="Normalrglronly"/>
        <w:rPr>
          <w:i/>
          <w:noProof/>
          <w:lang w:val="uk-UA"/>
        </w:rPr>
      </w:pPr>
      <w:r w:rsidRPr="00257F44">
        <w:rPr>
          <w:i/>
          <w:noProof/>
          <w:lang w:val="uk-UA"/>
        </w:rPr>
        <w:t>Очікувані результати: прийняття відповідної постанови Кабінету Міністрів України.</w:t>
      </w:r>
    </w:p>
    <w:p w14:paraId="6903097A" w14:textId="77777777" w:rsidR="008A7FE5" w:rsidRPr="00257F44" w:rsidRDefault="008A7FE5" w:rsidP="008A7FE5">
      <w:pPr>
        <w:pStyle w:val="Normalrglronly"/>
        <w:rPr>
          <w:b/>
          <w:lang w:val="uk-UA"/>
        </w:rPr>
      </w:pPr>
      <w:r w:rsidRPr="00257F44">
        <w:rPr>
          <w:b/>
          <w:lang w:val="uk-UA"/>
        </w:rPr>
        <w:t>4. Закон про участь громадськості</w:t>
      </w:r>
      <w:r w:rsidRPr="00257F44">
        <w:rPr>
          <w:noProof/>
          <w:lang w:val="uk-UA"/>
        </w:rPr>
        <w:t xml:space="preserve"> </w:t>
      </w:r>
    </w:p>
    <w:p w14:paraId="348F76AC" w14:textId="77777777" w:rsidR="008A7FE5" w:rsidRPr="00257F44" w:rsidRDefault="008A7FE5" w:rsidP="008A7FE5">
      <w:pPr>
        <w:spacing w:after="120"/>
        <w:rPr>
          <w:b/>
          <w:lang w:val="uk-UA"/>
        </w:rPr>
      </w:pPr>
      <w:r w:rsidRPr="00257F44">
        <w:rPr>
          <w:rFonts w:ascii="Gill Sans" w:hAnsi="Gill Sans" w:cs="Gill Sans"/>
          <w:b/>
          <w:noProof/>
          <w:color w:val="222222"/>
          <w:sz w:val="22"/>
          <w:szCs w:val="22"/>
          <w:lang w:val="uk-UA"/>
        </w:rPr>
        <w:t>Текст зобов’язання:</w:t>
      </w:r>
      <w:r w:rsidRPr="00257F44">
        <w:rPr>
          <w:b/>
          <w:lang w:val="uk-UA"/>
        </w:rPr>
        <w:t xml:space="preserve"> </w:t>
      </w:r>
      <w:r w:rsidRPr="00257F44">
        <w:rPr>
          <w:rFonts w:ascii="Gill Sans" w:hAnsi="Gill Sans" w:cs="Gill Sans"/>
          <w:i/>
          <w:noProof/>
          <w:sz w:val="22"/>
          <w:szCs w:val="22"/>
          <w:lang w:val="uk-UA"/>
        </w:rPr>
        <w:t>Підготовка та подання в установленому порядку Кабінетові Міністрів України законопроекту щодо участі громадськості у процесі формування та реалізації державної політики, вирішенні питань місцевого значення.</w:t>
      </w:r>
    </w:p>
    <w:p w14:paraId="7EC866CB" w14:textId="77777777" w:rsidR="008A7FE5" w:rsidRPr="00257F44" w:rsidRDefault="008A7FE5" w:rsidP="008A7FE5">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схвалення Кабінетом Міністрів України відповідного законопроекту, подання його Верховній Раді України та супроводження до прийняття.</w:t>
      </w:r>
    </w:p>
    <w:p w14:paraId="691C706E" w14:textId="77777777" w:rsidR="008A7FE5" w:rsidRPr="00257F44" w:rsidRDefault="008A7FE5" w:rsidP="008A7FE5">
      <w:pPr>
        <w:spacing w:after="120"/>
        <w:rPr>
          <w:lang w:val="uk-UA"/>
        </w:rPr>
      </w:pPr>
      <w:r w:rsidRPr="00257F44">
        <w:rPr>
          <w:rFonts w:ascii="Gill Sans" w:hAnsi="Gill Sans" w:cs="Gill Sans"/>
          <w:b/>
          <w:color w:val="222222"/>
          <w:sz w:val="22"/>
          <w:szCs w:val="22"/>
          <w:lang w:val="uk-UA"/>
        </w:rPr>
        <w:t>Редакційна примітка:</w:t>
      </w:r>
      <w:r w:rsidRPr="00257F44">
        <w:rPr>
          <w:b/>
          <w:lang w:val="uk-UA"/>
        </w:rPr>
        <w:t xml:space="preserve"> </w:t>
      </w:r>
      <w:r w:rsidRPr="00257F44">
        <w:rPr>
          <w:rFonts w:ascii="Gill Sans" w:hAnsi="Gill Sans" w:cs="Gill Sans"/>
          <w:color w:val="222222"/>
          <w:sz w:val="22"/>
          <w:szCs w:val="22"/>
          <w:lang w:val="uk-UA"/>
        </w:rPr>
        <w:t>Дослідник МНЗ об’єднав ці два зобов’язання, оскільки вони обидва стосуються громадської участі в процесі вироблення публічної політики.</w:t>
      </w:r>
    </w:p>
    <w:p w14:paraId="03122161" w14:textId="77777777" w:rsidR="008A7FE5" w:rsidRPr="00257F44" w:rsidRDefault="008A7FE5" w:rsidP="008A7FE5">
      <w:pPr>
        <w:pStyle w:val="Normalrglronly"/>
        <w:rPr>
          <w:lang w:val="uk-UA"/>
        </w:rPr>
      </w:pPr>
      <w:r w:rsidRPr="00257F44">
        <w:rPr>
          <w:lang w:val="uk-UA"/>
        </w:rPr>
        <w:t>Головна інституція, відповідальна за виконання: Міністерство юстиції.</w:t>
      </w:r>
    </w:p>
    <w:p w14:paraId="69972B8D" w14:textId="77777777" w:rsidR="008A7FE5" w:rsidRPr="00257F44" w:rsidRDefault="008A7FE5" w:rsidP="008A7FE5">
      <w:pPr>
        <w:pStyle w:val="Normalrglronly"/>
        <w:rPr>
          <w:lang w:val="uk-UA"/>
        </w:rPr>
      </w:pPr>
      <w:r w:rsidRPr="00257F44">
        <w:rPr>
          <w:lang w:val="uk-UA"/>
        </w:rPr>
        <w:t>Інші виконавці: Програма розвитку ООН, невизначені організації громадянського суспільства та міжнародні організації (зобов’язання № 1); Міністерство регіонального розвитку, Державне агентство з питань електронного урядування, Адміністрація Державної служби спеціального зв’язку та захисту інформації, ГО “Український незалежний центр політичних досліджень”, ПРООН, невизначені організації громадянського суспільства та міжнародні організації (зобов’язання № 4).</w:t>
      </w:r>
    </w:p>
    <w:p w14:paraId="676EAB98" w14:textId="77777777" w:rsidR="008A7FE5" w:rsidRPr="00257F44" w:rsidRDefault="008A7FE5" w:rsidP="008A7FE5">
      <w:pPr>
        <w:pStyle w:val="Normalrglronly"/>
        <w:rPr>
          <w:lang w:val="uk-UA"/>
        </w:rPr>
      </w:pPr>
      <w:r w:rsidRPr="00257F44">
        <w:rPr>
          <w:lang w:val="uk-UA"/>
        </w:rPr>
        <w:t>Початок виконання: Не визначено.</w:t>
      </w:r>
      <w:r w:rsidRPr="00257F44">
        <w:rPr>
          <w:lang w:val="uk-UA"/>
        </w:rPr>
        <w:tab/>
      </w:r>
      <w:r w:rsidRPr="00257F44">
        <w:rPr>
          <w:lang w:val="uk-UA"/>
        </w:rPr>
        <w:tab/>
      </w:r>
      <w:r w:rsidRPr="00257F44">
        <w:rPr>
          <w:lang w:val="uk-UA"/>
        </w:rPr>
        <w:tab/>
        <w:t>Термін виконання: травень 2015 р.</w:t>
      </w:r>
    </w:p>
    <w:tbl>
      <w:tblPr>
        <w:tblW w:w="10368"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
        <w:gridCol w:w="493"/>
        <w:gridCol w:w="431"/>
        <w:gridCol w:w="351"/>
        <w:gridCol w:w="351"/>
        <w:gridCol w:w="375"/>
        <w:gridCol w:w="374"/>
        <w:gridCol w:w="375"/>
        <w:gridCol w:w="861"/>
        <w:gridCol w:w="341"/>
        <w:gridCol w:w="349"/>
        <w:gridCol w:w="430"/>
        <w:gridCol w:w="349"/>
        <w:gridCol w:w="486"/>
        <w:gridCol w:w="591"/>
        <w:gridCol w:w="483"/>
        <w:gridCol w:w="418"/>
        <w:gridCol w:w="349"/>
        <w:gridCol w:w="428"/>
        <w:gridCol w:w="349"/>
        <w:gridCol w:w="349"/>
        <w:gridCol w:w="430"/>
      </w:tblGrid>
      <w:tr w:rsidR="00574E04" w:rsidRPr="00257F44" w14:paraId="4754450C" w14:textId="77777777" w:rsidTr="00574E04">
        <w:trPr>
          <w:trHeight w:val="405"/>
        </w:trPr>
        <w:tc>
          <w:tcPr>
            <w:tcW w:w="1405" w:type="dxa"/>
            <w:vMerge w:val="restart"/>
            <w:tcBorders>
              <w:top w:val="single" w:sz="18" w:space="0" w:color="FFFFFF"/>
              <w:left w:val="single" w:sz="4" w:space="0" w:color="FFFFFF"/>
              <w:right w:val="single" w:sz="18" w:space="0" w:color="FFFFFF"/>
            </w:tcBorders>
            <w:shd w:val="clear" w:color="auto" w:fill="000000"/>
          </w:tcPr>
          <w:p w14:paraId="79BAC795" w14:textId="369A644C" w:rsidR="009D2B4A" w:rsidRPr="00257F44" w:rsidRDefault="009D2B4A" w:rsidP="00131C34">
            <w:pPr>
              <w:rPr>
                <w:rFonts w:ascii="Gill Sans" w:hAnsi="Gill Sans" w:cs="Gill Sans"/>
                <w:sz w:val="20"/>
                <w:szCs w:val="20"/>
                <w:lang w:val="uk-UA"/>
              </w:rPr>
            </w:pPr>
            <w:r w:rsidRPr="00257F44">
              <w:rPr>
                <w:rFonts w:ascii="Gill Sans" w:hAnsi="Gill Sans" w:cs="Gill Sans"/>
                <w:sz w:val="20"/>
                <w:szCs w:val="20"/>
                <w:lang w:val="uk-UA"/>
              </w:rPr>
              <w:t>Опис зобов’язання</w:t>
            </w:r>
          </w:p>
        </w:tc>
        <w:tc>
          <w:tcPr>
            <w:tcW w:w="1626" w:type="dxa"/>
            <w:gridSpan w:val="4"/>
            <w:vMerge w:val="restart"/>
            <w:tcBorders>
              <w:top w:val="single" w:sz="18" w:space="0" w:color="FFFFFF"/>
              <w:left w:val="single" w:sz="18" w:space="0" w:color="FFFFFF"/>
              <w:right w:val="single" w:sz="18" w:space="0" w:color="FFFFFF"/>
            </w:tcBorders>
            <w:shd w:val="clear" w:color="auto" w:fill="D6E3BC"/>
          </w:tcPr>
          <w:p w14:paraId="0D878BC7" w14:textId="01F5A6BD" w:rsidR="009D2B4A" w:rsidRPr="00257F44" w:rsidRDefault="009D2B4A" w:rsidP="00131C34">
            <w:pPr>
              <w:rPr>
                <w:rFonts w:ascii="Gill Sans" w:hAnsi="Gill Sans" w:cs="Gill Sans"/>
                <w:sz w:val="20"/>
                <w:szCs w:val="20"/>
                <w:lang w:val="uk-UA"/>
              </w:rPr>
            </w:pPr>
            <w:r w:rsidRPr="00257F44">
              <w:rPr>
                <w:rFonts w:ascii="Gill Sans" w:hAnsi="Gill Sans" w:cs="Gill Sans"/>
                <w:sz w:val="20"/>
                <w:szCs w:val="20"/>
                <w:lang w:val="uk-UA"/>
              </w:rPr>
              <w:t>Конкретність</w:t>
            </w:r>
          </w:p>
        </w:tc>
        <w:tc>
          <w:tcPr>
            <w:tcW w:w="1985" w:type="dxa"/>
            <w:gridSpan w:val="4"/>
            <w:vMerge w:val="restart"/>
            <w:tcBorders>
              <w:top w:val="single" w:sz="18" w:space="0" w:color="FFFFFF"/>
              <w:left w:val="single" w:sz="18" w:space="0" w:color="FFFFFF"/>
              <w:right w:val="single" w:sz="18" w:space="0" w:color="FFFFFF"/>
            </w:tcBorders>
            <w:shd w:val="clear" w:color="auto" w:fill="FBD4B4"/>
          </w:tcPr>
          <w:p w14:paraId="240A1375" w14:textId="50672796" w:rsidR="009D2B4A" w:rsidRPr="00257F44" w:rsidRDefault="009D2B4A" w:rsidP="00131C34">
            <w:pPr>
              <w:rPr>
                <w:rFonts w:ascii="Gill Sans" w:hAnsi="Gill Sans" w:cs="Gill Sans"/>
                <w:sz w:val="20"/>
                <w:szCs w:val="20"/>
                <w:lang w:val="uk-UA"/>
              </w:rPr>
            </w:pPr>
            <w:r w:rsidRPr="00257F44">
              <w:rPr>
                <w:rFonts w:ascii="Gill Sans" w:hAnsi="Gill Sans" w:cs="Gill Sans"/>
                <w:sz w:val="20"/>
                <w:szCs w:val="20"/>
                <w:lang w:val="uk-UA"/>
              </w:rPr>
              <w:t>Відповідність цінностям ПВУ (як сформульовано)</w:t>
            </w:r>
          </w:p>
        </w:tc>
        <w:tc>
          <w:tcPr>
            <w:tcW w:w="1469" w:type="dxa"/>
            <w:gridSpan w:val="4"/>
            <w:vMerge w:val="restart"/>
            <w:tcBorders>
              <w:top w:val="single" w:sz="18" w:space="0" w:color="FFFFFF"/>
              <w:left w:val="single" w:sz="18" w:space="0" w:color="FFFFFF"/>
              <w:right w:val="single" w:sz="18" w:space="0" w:color="FFFFFF"/>
            </w:tcBorders>
            <w:shd w:val="clear" w:color="auto" w:fill="CCC0D9"/>
          </w:tcPr>
          <w:p w14:paraId="319931E4" w14:textId="7449FC8C" w:rsidR="009D2B4A" w:rsidRPr="00257F44" w:rsidRDefault="009D2B4A" w:rsidP="00131C34">
            <w:pPr>
              <w:rPr>
                <w:rFonts w:ascii="Gill Sans" w:hAnsi="Gill Sans" w:cs="Gill Sans"/>
                <w:sz w:val="20"/>
                <w:szCs w:val="20"/>
                <w:lang w:val="uk-UA"/>
              </w:rPr>
            </w:pPr>
            <w:r w:rsidRPr="00257F44">
              <w:rPr>
                <w:rFonts w:ascii="Gill Sans" w:hAnsi="Gill Sans" w:cs="Gill Sans"/>
                <w:sz w:val="20"/>
                <w:szCs w:val="20"/>
                <w:lang w:val="uk-UA"/>
              </w:rPr>
              <w:t>Потенційний вплив</w:t>
            </w:r>
          </w:p>
        </w:tc>
        <w:tc>
          <w:tcPr>
            <w:tcW w:w="1077" w:type="dxa"/>
            <w:gridSpan w:val="2"/>
            <w:vMerge w:val="restart"/>
            <w:tcBorders>
              <w:top w:val="single" w:sz="18" w:space="0" w:color="FFFFFF"/>
              <w:left w:val="single" w:sz="18" w:space="0" w:color="FFFFFF"/>
              <w:right w:val="single" w:sz="2" w:space="0" w:color="FFFFFF"/>
            </w:tcBorders>
            <w:shd w:val="clear" w:color="auto" w:fill="B8CCE4"/>
          </w:tcPr>
          <w:p w14:paraId="5D1BCF1E" w14:textId="2C0796C2" w:rsidR="009D2B4A" w:rsidRPr="00257F44" w:rsidRDefault="009D2B4A" w:rsidP="00131C34">
            <w:pPr>
              <w:rPr>
                <w:rFonts w:ascii="Gill Sans" w:hAnsi="Gill Sans" w:cs="Gill Sans"/>
                <w:sz w:val="20"/>
                <w:szCs w:val="20"/>
                <w:lang w:val="uk-UA"/>
              </w:rPr>
            </w:pPr>
            <w:r w:rsidRPr="00257F44">
              <w:rPr>
                <w:rFonts w:ascii="Gill Sans" w:hAnsi="Gill Sans" w:cs="Gill Sans"/>
                <w:sz w:val="20"/>
                <w:szCs w:val="20"/>
                <w:lang w:val="uk-UA"/>
              </w:rPr>
              <w:t>Стан вико</w:t>
            </w:r>
            <w:r w:rsidR="00574E04" w:rsidRPr="00257F44">
              <w:rPr>
                <w:rFonts w:ascii="Gill Sans" w:hAnsi="Gill Sans" w:cs="Gill Sans"/>
                <w:sz w:val="20"/>
                <w:szCs w:val="20"/>
                <w:lang w:val="uk-UA"/>
              </w:rPr>
              <w:t>-</w:t>
            </w:r>
            <w:r w:rsidRPr="00257F44">
              <w:rPr>
                <w:rFonts w:ascii="Gill Sans" w:hAnsi="Gill Sans" w:cs="Gill Sans"/>
                <w:sz w:val="20"/>
                <w:szCs w:val="20"/>
                <w:lang w:val="uk-UA"/>
              </w:rPr>
              <w:t>нання</w:t>
            </w:r>
          </w:p>
        </w:tc>
        <w:tc>
          <w:tcPr>
            <w:tcW w:w="901"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0EE5A331" w14:textId="78F1FCF0" w:rsidR="009D2B4A" w:rsidRPr="00257F44" w:rsidRDefault="009D2B4A" w:rsidP="00131C34">
            <w:pPr>
              <w:rPr>
                <w:rFonts w:ascii="Gill Sans" w:hAnsi="Gill Sans" w:cs="Gill Sans"/>
                <w:sz w:val="20"/>
                <w:szCs w:val="20"/>
                <w:lang w:val="uk-UA"/>
              </w:rPr>
            </w:pPr>
            <w:r w:rsidRPr="00257F44">
              <w:rPr>
                <w:rFonts w:ascii="Gill Sans" w:hAnsi="Gill Sans" w:cs="Gill Sans"/>
                <w:sz w:val="20"/>
                <w:szCs w:val="20"/>
                <w:lang w:val="uk-UA"/>
              </w:rPr>
              <w:t>Про-міжний</w:t>
            </w:r>
          </w:p>
        </w:tc>
        <w:tc>
          <w:tcPr>
            <w:tcW w:w="1905" w:type="dxa"/>
            <w:gridSpan w:val="5"/>
            <w:vMerge w:val="restart"/>
            <w:tcBorders>
              <w:top w:val="single" w:sz="18" w:space="0" w:color="FFFFFF"/>
              <w:left w:val="single" w:sz="18" w:space="0" w:color="FFFFFF"/>
              <w:right w:val="single" w:sz="18" w:space="0" w:color="FFFFFF"/>
            </w:tcBorders>
            <w:shd w:val="clear" w:color="auto" w:fill="D99594"/>
          </w:tcPr>
          <w:p w14:paraId="1AB25ADB" w14:textId="61ABA44C" w:rsidR="009D2B4A" w:rsidRPr="00257F44" w:rsidRDefault="009D2B4A" w:rsidP="00131C34">
            <w:pPr>
              <w:rPr>
                <w:rFonts w:ascii="Gill Sans" w:hAnsi="Gill Sans" w:cs="Gill Sans"/>
                <w:sz w:val="20"/>
                <w:szCs w:val="20"/>
                <w:lang w:val="uk-UA"/>
              </w:rPr>
            </w:pPr>
            <w:r w:rsidRPr="00257F44">
              <w:rPr>
                <w:rFonts w:ascii="Gill Sans" w:hAnsi="Gill Sans" w:cs="Gill Sans"/>
                <w:sz w:val="20"/>
                <w:szCs w:val="20"/>
                <w:lang w:val="uk-UA"/>
              </w:rPr>
              <w:t>Чи відкрило це уряд?</w:t>
            </w:r>
          </w:p>
        </w:tc>
      </w:tr>
      <w:tr w:rsidR="00574E04" w:rsidRPr="00257F44" w14:paraId="5D6DD547" w14:textId="77777777" w:rsidTr="00574E04">
        <w:trPr>
          <w:trHeight w:val="373"/>
        </w:trPr>
        <w:tc>
          <w:tcPr>
            <w:tcW w:w="1405" w:type="dxa"/>
            <w:vMerge/>
            <w:tcBorders>
              <w:left w:val="single" w:sz="4" w:space="0" w:color="FFFFFF"/>
              <w:right w:val="single" w:sz="18" w:space="0" w:color="FFFFFF"/>
            </w:tcBorders>
            <w:shd w:val="clear" w:color="auto" w:fill="000000"/>
          </w:tcPr>
          <w:p w14:paraId="06E9ADC3" w14:textId="77777777" w:rsidR="00716638" w:rsidRPr="00257F44" w:rsidRDefault="00716638" w:rsidP="00131C34">
            <w:pPr>
              <w:rPr>
                <w:rFonts w:ascii="Gill Sans" w:hAnsi="Gill Sans" w:cs="Gill Sans"/>
                <w:color w:val="FFFFFF" w:themeColor="background1"/>
                <w:sz w:val="20"/>
                <w:szCs w:val="20"/>
                <w:lang w:val="uk-UA"/>
              </w:rPr>
            </w:pPr>
          </w:p>
        </w:tc>
        <w:tc>
          <w:tcPr>
            <w:tcW w:w="1626" w:type="dxa"/>
            <w:gridSpan w:val="4"/>
            <w:vMerge/>
            <w:tcBorders>
              <w:left w:val="single" w:sz="18" w:space="0" w:color="FFFFFF"/>
              <w:bottom w:val="single" w:sz="18" w:space="0" w:color="FFFFFF"/>
              <w:right w:val="single" w:sz="18" w:space="0" w:color="FFFFFF"/>
            </w:tcBorders>
            <w:shd w:val="clear" w:color="auto" w:fill="D6E3BC"/>
          </w:tcPr>
          <w:p w14:paraId="4DBBC17E" w14:textId="77777777" w:rsidR="00716638" w:rsidRPr="00257F44" w:rsidRDefault="00716638" w:rsidP="00131C34">
            <w:pPr>
              <w:rPr>
                <w:rFonts w:ascii="Gill Sans" w:hAnsi="Gill Sans" w:cs="Gill Sans"/>
                <w:sz w:val="20"/>
                <w:szCs w:val="20"/>
                <w:lang w:val="uk-UA"/>
              </w:rPr>
            </w:pPr>
          </w:p>
        </w:tc>
        <w:tc>
          <w:tcPr>
            <w:tcW w:w="1985" w:type="dxa"/>
            <w:gridSpan w:val="4"/>
            <w:vMerge/>
            <w:tcBorders>
              <w:left w:val="single" w:sz="18" w:space="0" w:color="FFFFFF"/>
              <w:bottom w:val="single" w:sz="18" w:space="0" w:color="FFFFFF"/>
              <w:right w:val="single" w:sz="18" w:space="0" w:color="FFFFFF"/>
            </w:tcBorders>
            <w:shd w:val="clear" w:color="auto" w:fill="FBD4B4"/>
          </w:tcPr>
          <w:p w14:paraId="36FAECB2" w14:textId="77777777" w:rsidR="00716638" w:rsidRPr="00257F44" w:rsidRDefault="00716638" w:rsidP="00131C34">
            <w:pPr>
              <w:rPr>
                <w:rFonts w:ascii="Gill Sans" w:hAnsi="Gill Sans" w:cs="Gill Sans"/>
                <w:sz w:val="20"/>
                <w:szCs w:val="20"/>
                <w:lang w:val="uk-UA"/>
              </w:rPr>
            </w:pPr>
          </w:p>
        </w:tc>
        <w:tc>
          <w:tcPr>
            <w:tcW w:w="1469" w:type="dxa"/>
            <w:gridSpan w:val="4"/>
            <w:vMerge/>
            <w:tcBorders>
              <w:left w:val="single" w:sz="18" w:space="0" w:color="FFFFFF"/>
              <w:bottom w:val="single" w:sz="18" w:space="0" w:color="FFFFFF"/>
              <w:right w:val="single" w:sz="18" w:space="0" w:color="FFFFFF"/>
            </w:tcBorders>
            <w:shd w:val="clear" w:color="auto" w:fill="CCC0D9"/>
          </w:tcPr>
          <w:p w14:paraId="53572E0C" w14:textId="77777777" w:rsidR="00716638" w:rsidRPr="00257F44" w:rsidRDefault="00716638" w:rsidP="00131C34">
            <w:pPr>
              <w:rPr>
                <w:rFonts w:ascii="Gill Sans" w:hAnsi="Gill Sans" w:cs="Gill Sans"/>
                <w:sz w:val="20"/>
                <w:szCs w:val="20"/>
                <w:lang w:val="uk-UA"/>
              </w:rPr>
            </w:pPr>
          </w:p>
        </w:tc>
        <w:tc>
          <w:tcPr>
            <w:tcW w:w="1077" w:type="dxa"/>
            <w:gridSpan w:val="2"/>
            <w:vMerge/>
            <w:tcBorders>
              <w:left w:val="single" w:sz="18" w:space="0" w:color="FFFFFF"/>
              <w:bottom w:val="single" w:sz="18" w:space="0" w:color="FFFFFF"/>
              <w:right w:val="single" w:sz="2" w:space="0" w:color="FFFFFF"/>
            </w:tcBorders>
            <w:shd w:val="clear" w:color="auto" w:fill="B8CCE4"/>
          </w:tcPr>
          <w:p w14:paraId="528E63D7" w14:textId="77777777" w:rsidR="00716638" w:rsidRPr="00257F44" w:rsidRDefault="00716638" w:rsidP="00131C34">
            <w:pPr>
              <w:rPr>
                <w:rFonts w:ascii="Gill Sans" w:hAnsi="Gill Sans" w:cs="Gill Sans"/>
                <w:sz w:val="20"/>
                <w:szCs w:val="20"/>
                <w:lang w:val="uk-UA"/>
              </w:rPr>
            </w:pPr>
          </w:p>
        </w:tc>
        <w:tc>
          <w:tcPr>
            <w:tcW w:w="901"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3B991502" w14:textId="5E70962E" w:rsidR="00716638" w:rsidRPr="00257F44" w:rsidRDefault="009D2B4A" w:rsidP="00131C34">
            <w:pPr>
              <w:rPr>
                <w:rFonts w:ascii="Gill Sans" w:hAnsi="Gill Sans" w:cs="Gill Sans"/>
                <w:sz w:val="20"/>
                <w:szCs w:val="20"/>
                <w:lang w:val="uk-UA"/>
              </w:rPr>
            </w:pPr>
            <w:r w:rsidRPr="00257F44">
              <w:rPr>
                <w:rFonts w:ascii="Gill Sans" w:hAnsi="Gill Sans" w:cs="Gill Sans"/>
                <w:sz w:val="20"/>
                <w:szCs w:val="20"/>
                <w:lang w:val="uk-UA"/>
              </w:rPr>
              <w:t>Підсум-ковий</w:t>
            </w:r>
          </w:p>
        </w:tc>
        <w:tc>
          <w:tcPr>
            <w:tcW w:w="1905" w:type="dxa"/>
            <w:gridSpan w:val="5"/>
            <w:vMerge/>
            <w:tcBorders>
              <w:left w:val="single" w:sz="18" w:space="0" w:color="FFFFFF"/>
              <w:bottom w:val="single" w:sz="18" w:space="0" w:color="FFFFFF"/>
              <w:right w:val="single" w:sz="18" w:space="0" w:color="FFFFFF"/>
            </w:tcBorders>
            <w:shd w:val="clear" w:color="auto" w:fill="D99594"/>
          </w:tcPr>
          <w:p w14:paraId="7AC7C8C3" w14:textId="77777777" w:rsidR="00716638" w:rsidRPr="00257F44" w:rsidRDefault="00716638" w:rsidP="00131C34">
            <w:pPr>
              <w:rPr>
                <w:rFonts w:ascii="Gill Sans" w:hAnsi="Gill Sans" w:cs="Gill Sans"/>
                <w:sz w:val="22"/>
                <w:szCs w:val="22"/>
                <w:lang w:val="uk-UA"/>
              </w:rPr>
            </w:pPr>
          </w:p>
        </w:tc>
      </w:tr>
      <w:tr w:rsidR="00574E04" w:rsidRPr="00257F44" w14:paraId="0350543C" w14:textId="77777777" w:rsidTr="00574E04">
        <w:trPr>
          <w:cantSplit/>
          <w:trHeight w:val="2336"/>
        </w:trPr>
        <w:tc>
          <w:tcPr>
            <w:tcW w:w="1405" w:type="dxa"/>
            <w:vMerge/>
            <w:tcBorders>
              <w:left w:val="single" w:sz="4" w:space="0" w:color="FFFFFF"/>
              <w:bottom w:val="single" w:sz="18" w:space="0" w:color="FFFFFF"/>
              <w:right w:val="single" w:sz="18" w:space="0" w:color="FFFFFF"/>
            </w:tcBorders>
            <w:shd w:val="clear" w:color="auto" w:fill="000000"/>
          </w:tcPr>
          <w:p w14:paraId="599BE91F" w14:textId="77777777" w:rsidR="003C650A" w:rsidRPr="00257F44" w:rsidRDefault="003C650A" w:rsidP="00131C34">
            <w:pPr>
              <w:rPr>
                <w:rFonts w:ascii="Gill Sans" w:hAnsi="Gill Sans" w:cs="Gill Sans"/>
                <w:color w:val="FFFFFF" w:themeColor="background1"/>
                <w:sz w:val="22"/>
                <w:szCs w:val="22"/>
                <w:lang w:val="uk-UA"/>
              </w:rPr>
            </w:pPr>
          </w:p>
        </w:tc>
        <w:tc>
          <w:tcPr>
            <w:tcW w:w="493"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4D4B2C6B" w14:textId="15D1E370" w:rsidR="003C650A" w:rsidRPr="00257F44" w:rsidRDefault="003C650A" w:rsidP="00131C34">
            <w:pPr>
              <w:rPr>
                <w:rFonts w:ascii="Gill Sans" w:hAnsi="Gill Sans" w:cs="Gill Sans"/>
                <w:sz w:val="20"/>
                <w:szCs w:val="20"/>
                <w:lang w:val="uk-UA"/>
              </w:rPr>
            </w:pPr>
            <w:r w:rsidRPr="00257F44">
              <w:rPr>
                <w:rFonts w:ascii="Gill Sans" w:hAnsi="Gill Sans" w:cs="Gill Sans"/>
                <w:sz w:val="20"/>
                <w:szCs w:val="20"/>
                <w:lang w:val="uk-UA"/>
              </w:rPr>
              <w:t>Відсутня</w:t>
            </w:r>
          </w:p>
        </w:tc>
        <w:tc>
          <w:tcPr>
            <w:tcW w:w="431"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57F3DCC3" w14:textId="4A035360" w:rsidR="003C650A" w:rsidRPr="00257F44" w:rsidRDefault="003C650A" w:rsidP="00131C34">
            <w:pPr>
              <w:rPr>
                <w:rFonts w:ascii="Gill Sans" w:hAnsi="Gill Sans" w:cs="Gill Sans"/>
                <w:sz w:val="20"/>
                <w:szCs w:val="20"/>
                <w:lang w:val="uk-UA"/>
              </w:rPr>
            </w:pPr>
            <w:r w:rsidRPr="00257F44">
              <w:rPr>
                <w:rFonts w:ascii="Gill Sans" w:hAnsi="Gill Sans" w:cs="Gill Sans"/>
                <w:sz w:val="20"/>
                <w:szCs w:val="20"/>
                <w:lang w:val="uk-UA"/>
              </w:rPr>
              <w:t>Низька</w:t>
            </w:r>
          </w:p>
        </w:tc>
        <w:tc>
          <w:tcPr>
            <w:tcW w:w="351"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41690127" w14:textId="7E36E55F" w:rsidR="003C650A" w:rsidRPr="00257F44" w:rsidRDefault="003C650A" w:rsidP="00131C34">
            <w:pPr>
              <w:rPr>
                <w:rFonts w:ascii="Gill Sans" w:hAnsi="Gill Sans" w:cs="Gill Sans"/>
                <w:sz w:val="20"/>
                <w:szCs w:val="20"/>
                <w:lang w:val="uk-UA"/>
              </w:rPr>
            </w:pPr>
            <w:r w:rsidRPr="00257F44">
              <w:rPr>
                <w:rFonts w:ascii="Gill Sans" w:hAnsi="Gill Sans" w:cs="Gill Sans"/>
                <w:sz w:val="20"/>
                <w:szCs w:val="20"/>
                <w:lang w:val="uk-UA"/>
              </w:rPr>
              <w:t>Середня</w:t>
            </w:r>
          </w:p>
        </w:tc>
        <w:tc>
          <w:tcPr>
            <w:tcW w:w="351"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745E069D" w14:textId="79735EFC" w:rsidR="003C650A" w:rsidRPr="00257F44" w:rsidRDefault="003C650A" w:rsidP="00131C34">
            <w:pPr>
              <w:rPr>
                <w:rFonts w:ascii="Gill Sans" w:hAnsi="Gill Sans" w:cs="Gill Sans"/>
                <w:sz w:val="20"/>
                <w:szCs w:val="20"/>
                <w:lang w:val="uk-UA"/>
              </w:rPr>
            </w:pPr>
            <w:r w:rsidRPr="00257F44">
              <w:rPr>
                <w:rFonts w:ascii="Gill Sans" w:hAnsi="Gill Sans" w:cs="Gill Sans"/>
                <w:sz w:val="20"/>
                <w:szCs w:val="20"/>
                <w:lang w:val="uk-UA"/>
              </w:rPr>
              <w:t>Висока</w:t>
            </w:r>
          </w:p>
        </w:tc>
        <w:tc>
          <w:tcPr>
            <w:tcW w:w="375"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56309FE2" w14:textId="2D50F60D" w:rsidR="003C650A" w:rsidRPr="00257F44" w:rsidRDefault="003C650A" w:rsidP="00131C34">
            <w:pPr>
              <w:rPr>
                <w:rFonts w:ascii="Gill Sans" w:hAnsi="Gill Sans" w:cs="Gill Sans"/>
                <w:sz w:val="20"/>
                <w:szCs w:val="20"/>
                <w:lang w:val="uk-UA"/>
              </w:rPr>
            </w:pPr>
            <w:r w:rsidRPr="00257F44">
              <w:rPr>
                <w:rFonts w:ascii="Gill Sans" w:hAnsi="Gill Sans" w:cs="Gill Sans"/>
                <w:sz w:val="20"/>
                <w:szCs w:val="20"/>
                <w:lang w:val="uk-UA"/>
              </w:rPr>
              <w:t>Доступ до інформації</w:t>
            </w:r>
          </w:p>
        </w:tc>
        <w:tc>
          <w:tcPr>
            <w:tcW w:w="374"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22727BD8" w14:textId="032DE831" w:rsidR="003C650A" w:rsidRPr="00257F44" w:rsidRDefault="003C650A" w:rsidP="00131C34">
            <w:pPr>
              <w:rPr>
                <w:rFonts w:ascii="Gill Sans" w:hAnsi="Gill Sans" w:cs="Gill Sans"/>
                <w:sz w:val="20"/>
                <w:szCs w:val="20"/>
                <w:lang w:val="uk-UA"/>
              </w:rPr>
            </w:pPr>
            <w:r w:rsidRPr="00257F44">
              <w:rPr>
                <w:rFonts w:ascii="Gill Sans" w:hAnsi="Gill Sans" w:cs="Gill Sans"/>
                <w:sz w:val="20"/>
                <w:szCs w:val="20"/>
                <w:lang w:val="uk-UA"/>
              </w:rPr>
              <w:t>Громадська участь</w:t>
            </w:r>
          </w:p>
        </w:tc>
        <w:tc>
          <w:tcPr>
            <w:tcW w:w="375"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1D05BFAC" w14:textId="64D08DED" w:rsidR="003C650A" w:rsidRPr="00257F44" w:rsidRDefault="003C650A" w:rsidP="00131C34">
            <w:pPr>
              <w:rPr>
                <w:rFonts w:ascii="Gill Sans" w:hAnsi="Gill Sans" w:cs="Gill Sans"/>
                <w:sz w:val="20"/>
                <w:szCs w:val="20"/>
                <w:lang w:val="uk-UA"/>
              </w:rPr>
            </w:pPr>
            <w:r w:rsidRPr="00257F44">
              <w:rPr>
                <w:rFonts w:ascii="Gill Sans" w:hAnsi="Gill Sans" w:cs="Gill Sans"/>
                <w:sz w:val="20"/>
                <w:szCs w:val="20"/>
                <w:lang w:val="uk-UA"/>
              </w:rPr>
              <w:t>Підзвітність влади</w:t>
            </w:r>
          </w:p>
        </w:tc>
        <w:tc>
          <w:tcPr>
            <w:tcW w:w="861"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0096F7CA" w14:textId="7CEC80E8" w:rsidR="003C650A" w:rsidRPr="00257F44" w:rsidRDefault="003C650A" w:rsidP="00131C34">
            <w:pPr>
              <w:rPr>
                <w:rFonts w:ascii="Gill Sans" w:hAnsi="Gill Sans" w:cs="Gill Sans"/>
                <w:sz w:val="20"/>
                <w:szCs w:val="20"/>
                <w:lang w:val="uk-UA"/>
              </w:rPr>
            </w:pPr>
            <w:r w:rsidRPr="00257F44">
              <w:rPr>
                <w:rFonts w:ascii="Gill Sans" w:hAnsi="Gill Sans" w:cs="Gill Sans"/>
                <w:sz w:val="20"/>
                <w:szCs w:val="20"/>
                <w:lang w:val="uk-UA"/>
              </w:rPr>
              <w:t>Технології та інновації для прозорості й підзвітності</w:t>
            </w:r>
          </w:p>
        </w:tc>
        <w:tc>
          <w:tcPr>
            <w:tcW w:w="341"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3AACACBE" w14:textId="430717B1" w:rsidR="003C650A" w:rsidRPr="00257F44" w:rsidRDefault="003C650A" w:rsidP="00131C34">
            <w:pPr>
              <w:rPr>
                <w:rFonts w:ascii="Gill Sans" w:hAnsi="Gill Sans" w:cs="Gill Sans"/>
                <w:sz w:val="20"/>
                <w:szCs w:val="20"/>
                <w:lang w:val="uk-UA"/>
              </w:rPr>
            </w:pPr>
            <w:r w:rsidRPr="00257F44">
              <w:rPr>
                <w:rFonts w:ascii="Gill Sans" w:hAnsi="Gill Sans" w:cs="Gill Sans"/>
                <w:sz w:val="20"/>
                <w:szCs w:val="20"/>
                <w:lang w:val="uk-UA"/>
              </w:rPr>
              <w:t>Жодного</w:t>
            </w:r>
          </w:p>
        </w:tc>
        <w:tc>
          <w:tcPr>
            <w:tcW w:w="349"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0D6BBCE2" w14:textId="53D360C7" w:rsidR="003C650A" w:rsidRPr="00257F44" w:rsidRDefault="003C650A" w:rsidP="00131C34">
            <w:pPr>
              <w:rPr>
                <w:rFonts w:ascii="Gill Sans" w:hAnsi="Gill Sans" w:cs="Gill Sans"/>
                <w:sz w:val="20"/>
                <w:szCs w:val="20"/>
                <w:lang w:val="uk-UA"/>
              </w:rPr>
            </w:pPr>
            <w:r w:rsidRPr="00257F44">
              <w:rPr>
                <w:rFonts w:ascii="Gill Sans" w:hAnsi="Gill Sans" w:cs="Gill Sans"/>
                <w:sz w:val="20"/>
                <w:szCs w:val="20"/>
                <w:lang w:val="uk-UA"/>
              </w:rPr>
              <w:t>Незначний</w:t>
            </w:r>
          </w:p>
        </w:tc>
        <w:tc>
          <w:tcPr>
            <w:tcW w:w="43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7939F075" w14:textId="50779FED" w:rsidR="003C650A" w:rsidRPr="00257F44" w:rsidRDefault="003C650A" w:rsidP="00131C34">
            <w:pPr>
              <w:rPr>
                <w:rFonts w:ascii="Gill Sans" w:hAnsi="Gill Sans" w:cs="Gill Sans"/>
                <w:sz w:val="20"/>
                <w:szCs w:val="20"/>
                <w:lang w:val="uk-UA"/>
              </w:rPr>
            </w:pPr>
            <w:r w:rsidRPr="00257F44">
              <w:rPr>
                <w:rFonts w:ascii="Gill Sans" w:hAnsi="Gill Sans" w:cs="Gill Sans"/>
                <w:sz w:val="20"/>
                <w:szCs w:val="20"/>
                <w:lang w:val="uk-UA"/>
              </w:rPr>
              <w:t>Помірний</w:t>
            </w:r>
          </w:p>
        </w:tc>
        <w:tc>
          <w:tcPr>
            <w:tcW w:w="349"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3ECAA7D9" w14:textId="4C3DC210" w:rsidR="003C650A" w:rsidRPr="00257F44" w:rsidRDefault="003C650A" w:rsidP="00131C34">
            <w:pPr>
              <w:rPr>
                <w:rFonts w:ascii="Gill Sans" w:hAnsi="Gill Sans" w:cs="Gill Sans"/>
                <w:sz w:val="20"/>
                <w:szCs w:val="20"/>
                <w:lang w:val="uk-UA"/>
              </w:rPr>
            </w:pPr>
            <w:r w:rsidRPr="00257F44">
              <w:rPr>
                <w:rFonts w:ascii="Gill Sans" w:hAnsi="Gill Sans" w:cs="Gill Sans"/>
                <w:sz w:val="20"/>
                <w:szCs w:val="20"/>
                <w:lang w:val="uk-UA"/>
              </w:rPr>
              <w:t>Трансформуючий</w:t>
            </w:r>
          </w:p>
        </w:tc>
        <w:tc>
          <w:tcPr>
            <w:tcW w:w="486"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7F9606AC" w14:textId="64625D1E" w:rsidR="003C650A" w:rsidRPr="00257F44" w:rsidRDefault="003C650A" w:rsidP="00131C34">
            <w:pPr>
              <w:rPr>
                <w:rFonts w:ascii="Gill Sans" w:hAnsi="Gill Sans" w:cs="Gill Sans"/>
                <w:sz w:val="20"/>
                <w:szCs w:val="20"/>
                <w:lang w:val="uk-UA"/>
              </w:rPr>
            </w:pPr>
            <w:r w:rsidRPr="00257F44">
              <w:rPr>
                <w:rFonts w:ascii="Gill Sans" w:hAnsi="Gill Sans" w:cs="Gill Sans"/>
                <w:sz w:val="20"/>
                <w:szCs w:val="20"/>
                <w:lang w:val="uk-UA"/>
              </w:rPr>
              <w:t>Не розпочато</w:t>
            </w:r>
          </w:p>
        </w:tc>
        <w:tc>
          <w:tcPr>
            <w:tcW w:w="591"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398AE254" w14:textId="56F41B20" w:rsidR="003C650A" w:rsidRPr="00257F44" w:rsidRDefault="003C650A" w:rsidP="00131C34">
            <w:pPr>
              <w:rPr>
                <w:rFonts w:ascii="Gill Sans" w:hAnsi="Gill Sans" w:cs="Gill Sans"/>
                <w:sz w:val="20"/>
                <w:szCs w:val="20"/>
                <w:lang w:val="uk-UA"/>
              </w:rPr>
            </w:pPr>
            <w:r w:rsidRPr="00257F44">
              <w:rPr>
                <w:rFonts w:ascii="Gill Sans" w:hAnsi="Gill Sans" w:cs="Gill Sans"/>
                <w:sz w:val="20"/>
                <w:szCs w:val="20"/>
                <w:lang w:val="uk-UA"/>
              </w:rPr>
              <w:t>Обмежене</w:t>
            </w:r>
          </w:p>
        </w:tc>
        <w:tc>
          <w:tcPr>
            <w:tcW w:w="483"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20199572" w14:textId="30A69607" w:rsidR="003C650A" w:rsidRPr="00257F44" w:rsidRDefault="003C650A" w:rsidP="00131C34">
            <w:pPr>
              <w:rPr>
                <w:rFonts w:ascii="Gill Sans" w:hAnsi="Gill Sans" w:cs="Gill Sans"/>
                <w:sz w:val="20"/>
                <w:szCs w:val="20"/>
                <w:lang w:val="uk-UA"/>
              </w:rPr>
            </w:pPr>
            <w:r w:rsidRPr="00257F44">
              <w:rPr>
                <w:rFonts w:ascii="Gill Sans" w:hAnsi="Gill Sans" w:cs="Gill Sans"/>
                <w:sz w:val="20"/>
                <w:szCs w:val="20"/>
                <w:lang w:val="uk-UA"/>
              </w:rPr>
              <w:t>Значне</w:t>
            </w:r>
          </w:p>
        </w:tc>
        <w:tc>
          <w:tcPr>
            <w:tcW w:w="418"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10870398" w14:textId="1463887D" w:rsidR="003C650A" w:rsidRPr="00257F44" w:rsidRDefault="003C650A" w:rsidP="00131C34">
            <w:pPr>
              <w:rPr>
                <w:rFonts w:ascii="Gill Sans" w:hAnsi="Gill Sans" w:cs="Gill Sans"/>
                <w:sz w:val="20"/>
                <w:szCs w:val="20"/>
                <w:lang w:val="uk-UA"/>
              </w:rPr>
            </w:pPr>
            <w:r w:rsidRPr="00257F44">
              <w:rPr>
                <w:rFonts w:ascii="Gill Sans" w:hAnsi="Gill Sans" w:cs="Gill Sans"/>
                <w:sz w:val="20"/>
                <w:szCs w:val="20"/>
                <w:lang w:val="uk-UA"/>
              </w:rPr>
              <w:t>Повне</w:t>
            </w:r>
          </w:p>
        </w:tc>
        <w:tc>
          <w:tcPr>
            <w:tcW w:w="349"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26A19525" w14:textId="1883C839" w:rsidR="003C650A" w:rsidRPr="00257F44" w:rsidRDefault="003C650A" w:rsidP="00131C34">
            <w:pPr>
              <w:rPr>
                <w:rFonts w:ascii="Gill Sans" w:hAnsi="Gill Sans" w:cs="Gill Sans"/>
                <w:sz w:val="20"/>
                <w:szCs w:val="20"/>
                <w:lang w:val="uk-UA"/>
              </w:rPr>
            </w:pPr>
            <w:r w:rsidRPr="00257F44">
              <w:rPr>
                <w:rFonts w:ascii="Gill Sans" w:hAnsi="Gill Sans" w:cs="Gill Sans"/>
                <w:sz w:val="20"/>
                <w:szCs w:val="20"/>
                <w:lang w:val="uk-UA"/>
              </w:rPr>
              <w:t>Погіршило</w:t>
            </w:r>
          </w:p>
        </w:tc>
        <w:tc>
          <w:tcPr>
            <w:tcW w:w="428"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FE36564" w14:textId="5F6C5936" w:rsidR="003C650A" w:rsidRPr="00257F44" w:rsidRDefault="003C650A" w:rsidP="00131C34">
            <w:pPr>
              <w:rPr>
                <w:rFonts w:ascii="Gill Sans" w:hAnsi="Gill Sans" w:cs="Gill Sans"/>
                <w:sz w:val="20"/>
                <w:szCs w:val="20"/>
                <w:lang w:val="uk-UA"/>
              </w:rPr>
            </w:pPr>
            <w:r w:rsidRPr="00257F44">
              <w:rPr>
                <w:rFonts w:ascii="Gill Sans" w:hAnsi="Gill Sans" w:cs="Gill Sans"/>
                <w:sz w:val="20"/>
                <w:szCs w:val="20"/>
                <w:lang w:val="uk-UA"/>
              </w:rPr>
              <w:t>Не змінило</w:t>
            </w:r>
          </w:p>
        </w:tc>
        <w:tc>
          <w:tcPr>
            <w:tcW w:w="349"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71B56299" w14:textId="6323702D" w:rsidR="003C650A" w:rsidRPr="00257F44" w:rsidRDefault="003C650A" w:rsidP="00131C34">
            <w:pPr>
              <w:rPr>
                <w:rFonts w:ascii="Gill Sans" w:hAnsi="Gill Sans" w:cs="Gill Sans"/>
                <w:sz w:val="20"/>
                <w:szCs w:val="20"/>
                <w:lang w:val="uk-UA"/>
              </w:rPr>
            </w:pPr>
            <w:r w:rsidRPr="00257F44">
              <w:rPr>
                <w:rFonts w:ascii="Gill Sans" w:hAnsi="Gill Sans" w:cs="Gill Sans"/>
                <w:sz w:val="20"/>
                <w:szCs w:val="20"/>
                <w:lang w:val="uk-UA"/>
              </w:rPr>
              <w:t>Обмежено</w:t>
            </w:r>
          </w:p>
        </w:tc>
        <w:tc>
          <w:tcPr>
            <w:tcW w:w="349"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56948D67" w14:textId="6CFFABAE" w:rsidR="003C650A" w:rsidRPr="00257F44" w:rsidRDefault="003C650A" w:rsidP="00131C34">
            <w:pPr>
              <w:rPr>
                <w:rFonts w:ascii="Gill Sans" w:hAnsi="Gill Sans" w:cs="Gill Sans"/>
                <w:sz w:val="20"/>
                <w:szCs w:val="20"/>
                <w:lang w:val="uk-UA"/>
              </w:rPr>
            </w:pPr>
            <w:r w:rsidRPr="00257F44">
              <w:rPr>
                <w:rFonts w:ascii="Gill Sans" w:hAnsi="Gill Sans" w:cs="Gill Sans"/>
                <w:sz w:val="20"/>
                <w:szCs w:val="20"/>
                <w:lang w:val="uk-UA"/>
              </w:rPr>
              <w:t>Значною мірою</w:t>
            </w:r>
          </w:p>
        </w:tc>
        <w:tc>
          <w:tcPr>
            <w:tcW w:w="430"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1C019225" w14:textId="2F7345D0" w:rsidR="003C650A" w:rsidRPr="00257F44" w:rsidRDefault="003C650A" w:rsidP="00131C34">
            <w:pPr>
              <w:rPr>
                <w:rFonts w:ascii="Gill Sans" w:hAnsi="Gill Sans" w:cs="Gill Sans"/>
                <w:sz w:val="20"/>
                <w:szCs w:val="20"/>
                <w:lang w:val="uk-UA"/>
              </w:rPr>
            </w:pPr>
            <w:r w:rsidRPr="00257F44">
              <w:rPr>
                <w:rFonts w:ascii="Gill Sans" w:hAnsi="Gill Sans" w:cs="Gill Sans"/>
                <w:sz w:val="20"/>
                <w:szCs w:val="20"/>
                <w:lang w:val="uk-UA"/>
              </w:rPr>
              <w:t>Визначною мірою</w:t>
            </w:r>
          </w:p>
        </w:tc>
      </w:tr>
      <w:tr w:rsidR="00574E04" w:rsidRPr="00257F44" w14:paraId="40256F2B" w14:textId="77777777" w:rsidTr="00574E04">
        <w:trPr>
          <w:trHeight w:val="340"/>
        </w:trPr>
        <w:tc>
          <w:tcPr>
            <w:tcW w:w="1405" w:type="dxa"/>
            <w:vMerge w:val="restart"/>
            <w:tcBorders>
              <w:top w:val="single" w:sz="18" w:space="0" w:color="FFFFFF"/>
              <w:left w:val="single" w:sz="4" w:space="0" w:color="FFFFFF"/>
            </w:tcBorders>
            <w:shd w:val="clear" w:color="auto" w:fill="000000"/>
          </w:tcPr>
          <w:p w14:paraId="50C54170" w14:textId="71E8B8B4" w:rsidR="00716638" w:rsidRPr="00257F44" w:rsidRDefault="00716638" w:rsidP="00131C34">
            <w:pPr>
              <w:rPr>
                <w:rFonts w:ascii="Gill Sans" w:hAnsi="Gill Sans" w:cs="Gill Sans"/>
                <w:color w:val="FFFFFF" w:themeColor="background1"/>
                <w:sz w:val="20"/>
                <w:szCs w:val="20"/>
                <w:lang w:val="uk-UA"/>
              </w:rPr>
            </w:pPr>
            <w:r w:rsidRPr="00257F44">
              <w:rPr>
                <w:rFonts w:ascii="Gill Sans" w:hAnsi="Gill Sans" w:cs="Gill Sans"/>
                <w:color w:val="FFFFFF" w:themeColor="background1"/>
                <w:sz w:val="20"/>
                <w:szCs w:val="20"/>
                <w:lang w:val="uk-UA"/>
              </w:rPr>
              <w:t xml:space="preserve">1. </w:t>
            </w:r>
            <w:r w:rsidR="00574E04" w:rsidRPr="00257F44">
              <w:rPr>
                <w:rFonts w:ascii="Gill Sans" w:hAnsi="Gill Sans" w:cs="Gill Sans"/>
                <w:noProof/>
                <w:sz w:val="20"/>
                <w:szCs w:val="20"/>
                <w:lang w:val="uk-UA"/>
              </w:rPr>
              <w:t>Покращити урядові правила щодо залучення ОГС</w:t>
            </w:r>
          </w:p>
        </w:tc>
        <w:tc>
          <w:tcPr>
            <w:tcW w:w="493" w:type="dxa"/>
            <w:vMerge w:val="restart"/>
            <w:tcBorders>
              <w:top w:val="single" w:sz="18" w:space="0" w:color="FFFFFF"/>
              <w:right w:val="single" w:sz="2" w:space="0" w:color="FFFFFF"/>
            </w:tcBorders>
            <w:shd w:val="clear" w:color="auto" w:fill="D6E3BC"/>
          </w:tcPr>
          <w:p w14:paraId="3A6C36FC" w14:textId="77777777" w:rsidR="00716638" w:rsidRPr="00257F44" w:rsidRDefault="00716638" w:rsidP="00131C34">
            <w:pPr>
              <w:rPr>
                <w:rFonts w:ascii="Zapf Dingbats" w:hAnsi="Zapf Dingbats" w:cs="Gill Sans"/>
                <w:sz w:val="22"/>
                <w:szCs w:val="22"/>
                <w:lang w:val="uk-UA"/>
              </w:rPr>
            </w:pPr>
          </w:p>
        </w:tc>
        <w:tc>
          <w:tcPr>
            <w:tcW w:w="431" w:type="dxa"/>
            <w:vMerge w:val="restart"/>
            <w:tcBorders>
              <w:top w:val="single" w:sz="18" w:space="0" w:color="FFFFFF"/>
              <w:left w:val="single" w:sz="2" w:space="0" w:color="FFFFFF"/>
              <w:right w:val="single" w:sz="2" w:space="0" w:color="FFFFFF"/>
            </w:tcBorders>
            <w:shd w:val="clear" w:color="auto" w:fill="D6E3BC"/>
          </w:tcPr>
          <w:p w14:paraId="64863E75" w14:textId="77777777" w:rsidR="00716638" w:rsidRPr="00257F44" w:rsidRDefault="00716638" w:rsidP="00131C34">
            <w:pPr>
              <w:rPr>
                <w:rFonts w:ascii="Zapf Dingbats" w:hAnsi="Zapf Dingbats" w:cs="Gill Sans"/>
                <w:sz w:val="22"/>
                <w:szCs w:val="22"/>
                <w:lang w:val="uk-UA"/>
              </w:rPr>
            </w:pPr>
          </w:p>
        </w:tc>
        <w:tc>
          <w:tcPr>
            <w:tcW w:w="351" w:type="dxa"/>
            <w:vMerge w:val="restart"/>
            <w:tcBorders>
              <w:top w:val="single" w:sz="18" w:space="0" w:color="FFFFFF"/>
              <w:left w:val="single" w:sz="2" w:space="0" w:color="FFFFFF"/>
              <w:right w:val="single" w:sz="2" w:space="0" w:color="FFFFFF"/>
            </w:tcBorders>
            <w:shd w:val="clear" w:color="auto" w:fill="D6E3BC"/>
          </w:tcPr>
          <w:p w14:paraId="0D16F156" w14:textId="77777777" w:rsidR="00716638" w:rsidRPr="00257F44" w:rsidRDefault="00716638" w:rsidP="00131C34">
            <w:pPr>
              <w:rPr>
                <w:rFonts w:ascii="Zapf Dingbats" w:hAnsi="Zapf Dingbats" w:cs="Gill Sans"/>
                <w:sz w:val="22"/>
                <w:szCs w:val="22"/>
                <w:lang w:val="uk-UA"/>
              </w:rPr>
            </w:pPr>
          </w:p>
        </w:tc>
        <w:tc>
          <w:tcPr>
            <w:tcW w:w="351" w:type="dxa"/>
            <w:vMerge w:val="restart"/>
            <w:tcBorders>
              <w:top w:val="single" w:sz="18" w:space="0" w:color="FFFFFF"/>
              <w:left w:val="single" w:sz="2" w:space="0" w:color="FFFFFF"/>
              <w:right w:val="single" w:sz="18" w:space="0" w:color="FFFFFF"/>
            </w:tcBorders>
            <w:shd w:val="clear" w:color="auto" w:fill="D6E3BC"/>
          </w:tcPr>
          <w:p w14:paraId="44353A1F" w14:textId="5D0781A2" w:rsidR="00716638" w:rsidRPr="00257F44" w:rsidRDefault="00716638" w:rsidP="00131C34">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375" w:type="dxa"/>
            <w:vMerge w:val="restart"/>
            <w:tcBorders>
              <w:top w:val="single" w:sz="18" w:space="0" w:color="FFFFFF"/>
              <w:left w:val="single" w:sz="2" w:space="0" w:color="FFFFFF"/>
              <w:right w:val="single" w:sz="2" w:space="0" w:color="FFFFFF"/>
            </w:tcBorders>
            <w:shd w:val="clear" w:color="auto" w:fill="FBD4B4"/>
          </w:tcPr>
          <w:p w14:paraId="490394D9" w14:textId="77777777" w:rsidR="00716638" w:rsidRPr="00257F44" w:rsidRDefault="00716638" w:rsidP="00131C34">
            <w:pPr>
              <w:rPr>
                <w:rFonts w:ascii="Zapf Dingbats" w:hAnsi="Zapf Dingbats" w:cs="Gill Sans"/>
                <w:sz w:val="22"/>
                <w:szCs w:val="22"/>
                <w:lang w:val="uk-UA"/>
              </w:rPr>
            </w:pPr>
          </w:p>
        </w:tc>
        <w:tc>
          <w:tcPr>
            <w:tcW w:w="374" w:type="dxa"/>
            <w:vMerge w:val="restart"/>
            <w:tcBorders>
              <w:top w:val="single" w:sz="18" w:space="0" w:color="FFFFFF"/>
              <w:left w:val="single" w:sz="2" w:space="0" w:color="FFFFFF"/>
              <w:right w:val="single" w:sz="2" w:space="0" w:color="FFFFFF"/>
            </w:tcBorders>
            <w:shd w:val="clear" w:color="auto" w:fill="FBD4B4"/>
          </w:tcPr>
          <w:p w14:paraId="29721DA7" w14:textId="0404FA66" w:rsidR="00716638" w:rsidRPr="00257F44" w:rsidRDefault="00716638" w:rsidP="00131C34">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375" w:type="dxa"/>
            <w:vMerge w:val="restart"/>
            <w:tcBorders>
              <w:top w:val="single" w:sz="18" w:space="0" w:color="FFFFFF"/>
              <w:left w:val="single" w:sz="2" w:space="0" w:color="FFFFFF"/>
              <w:right w:val="single" w:sz="2" w:space="0" w:color="FFFFFF"/>
            </w:tcBorders>
            <w:shd w:val="clear" w:color="auto" w:fill="FBD4B4"/>
          </w:tcPr>
          <w:p w14:paraId="19E85AD3" w14:textId="4E06C6AA" w:rsidR="00716638" w:rsidRPr="00257F44" w:rsidRDefault="00716638" w:rsidP="00131C34">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861" w:type="dxa"/>
            <w:vMerge w:val="restart"/>
            <w:tcBorders>
              <w:top w:val="single" w:sz="18" w:space="0" w:color="FFFFFF"/>
              <w:left w:val="single" w:sz="2" w:space="0" w:color="FFFFFF"/>
              <w:right w:val="single" w:sz="18" w:space="0" w:color="FFFFFF"/>
            </w:tcBorders>
            <w:shd w:val="clear" w:color="auto" w:fill="FBD4B4"/>
          </w:tcPr>
          <w:p w14:paraId="01F10B40" w14:textId="77777777" w:rsidR="00716638" w:rsidRPr="00257F44" w:rsidRDefault="00716638" w:rsidP="00131C34">
            <w:pPr>
              <w:rPr>
                <w:rFonts w:ascii="Zapf Dingbats" w:hAnsi="Zapf Dingbats" w:cs="Gill Sans"/>
                <w:sz w:val="22"/>
                <w:szCs w:val="22"/>
                <w:lang w:val="uk-UA"/>
              </w:rPr>
            </w:pPr>
          </w:p>
        </w:tc>
        <w:tc>
          <w:tcPr>
            <w:tcW w:w="341" w:type="dxa"/>
            <w:vMerge w:val="restart"/>
            <w:tcBorders>
              <w:top w:val="single" w:sz="18" w:space="0" w:color="FFFFFF"/>
              <w:left w:val="single" w:sz="18" w:space="0" w:color="FFFFFF"/>
              <w:right w:val="single" w:sz="2" w:space="0" w:color="FFFFFF"/>
            </w:tcBorders>
            <w:shd w:val="clear" w:color="auto" w:fill="CCC0D9"/>
          </w:tcPr>
          <w:p w14:paraId="17494B61" w14:textId="77777777" w:rsidR="00716638" w:rsidRPr="00257F44" w:rsidRDefault="00716638" w:rsidP="00131C34">
            <w:pPr>
              <w:rPr>
                <w:rFonts w:ascii="Zapf Dingbats" w:hAnsi="Zapf Dingbats" w:cs="Gill Sans"/>
                <w:sz w:val="22"/>
                <w:szCs w:val="22"/>
                <w:lang w:val="uk-UA"/>
              </w:rPr>
            </w:pPr>
          </w:p>
        </w:tc>
        <w:tc>
          <w:tcPr>
            <w:tcW w:w="349" w:type="dxa"/>
            <w:vMerge w:val="restart"/>
            <w:tcBorders>
              <w:top w:val="single" w:sz="18" w:space="0" w:color="FFFFFF"/>
              <w:left w:val="single" w:sz="2" w:space="0" w:color="FFFFFF"/>
              <w:right w:val="single" w:sz="2" w:space="0" w:color="FFFFFF"/>
            </w:tcBorders>
            <w:shd w:val="clear" w:color="auto" w:fill="CCC0D9"/>
          </w:tcPr>
          <w:p w14:paraId="71DD7366" w14:textId="77777777" w:rsidR="00716638" w:rsidRPr="00257F44" w:rsidRDefault="00716638" w:rsidP="00131C34">
            <w:pPr>
              <w:rPr>
                <w:rFonts w:ascii="Zapf Dingbats" w:hAnsi="Zapf Dingbats" w:cs="Gill Sans"/>
                <w:sz w:val="22"/>
                <w:szCs w:val="22"/>
                <w:lang w:val="uk-UA"/>
              </w:rPr>
            </w:pPr>
          </w:p>
        </w:tc>
        <w:tc>
          <w:tcPr>
            <w:tcW w:w="430" w:type="dxa"/>
            <w:vMerge w:val="restart"/>
            <w:tcBorders>
              <w:top w:val="single" w:sz="18" w:space="0" w:color="FFFFFF"/>
              <w:left w:val="single" w:sz="2" w:space="0" w:color="FFFFFF"/>
              <w:right w:val="single" w:sz="2" w:space="0" w:color="FFFFFF"/>
            </w:tcBorders>
            <w:shd w:val="clear" w:color="auto" w:fill="CCC0D9"/>
          </w:tcPr>
          <w:p w14:paraId="57A0F282" w14:textId="7D1F4DBC" w:rsidR="00716638" w:rsidRPr="00257F44" w:rsidRDefault="00DF1741" w:rsidP="00131C34">
            <w:pPr>
              <w:rPr>
                <w:rFonts w:ascii="Zapf Dingbats" w:hAnsi="Zapf Dingbats" w:cs="Gill Sans"/>
                <w:noProof/>
                <w:sz w:val="22"/>
                <w:szCs w:val="22"/>
                <w:lang w:val="uk-UA"/>
              </w:rPr>
            </w:pPr>
            <w:r w:rsidRPr="00257F44">
              <w:rPr>
                <w:rFonts w:ascii="Zapf Dingbats" w:eastAsia="MS Mincho" w:hAnsi="Zapf Dingbats" w:cs="Menlo Bold"/>
                <w:noProof/>
                <w:sz w:val="22"/>
                <w:szCs w:val="22"/>
                <w:lang w:val="uk-UA"/>
              </w:rPr>
              <w:t>✔</w:t>
            </w:r>
          </w:p>
        </w:tc>
        <w:tc>
          <w:tcPr>
            <w:tcW w:w="349" w:type="dxa"/>
            <w:vMerge w:val="restart"/>
            <w:tcBorders>
              <w:top w:val="single" w:sz="18" w:space="0" w:color="FFFFFF"/>
              <w:left w:val="single" w:sz="2" w:space="0" w:color="FFFFFF"/>
              <w:right w:val="single" w:sz="18" w:space="0" w:color="FFFFFF"/>
            </w:tcBorders>
            <w:shd w:val="clear" w:color="auto" w:fill="CCC0D9"/>
          </w:tcPr>
          <w:p w14:paraId="54845924" w14:textId="77777777" w:rsidR="00716638" w:rsidRPr="00257F44" w:rsidRDefault="00716638" w:rsidP="00131C34">
            <w:pPr>
              <w:rPr>
                <w:rFonts w:ascii="Zapf Dingbats" w:hAnsi="Zapf Dingbats" w:cs="Gill Sans"/>
                <w:sz w:val="22"/>
                <w:szCs w:val="22"/>
                <w:lang w:val="uk-UA"/>
              </w:rPr>
            </w:pPr>
          </w:p>
        </w:tc>
        <w:tc>
          <w:tcPr>
            <w:tcW w:w="486"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0A5D048A" w14:textId="77777777" w:rsidR="00716638" w:rsidRPr="00257F44" w:rsidRDefault="00716638" w:rsidP="00131C34">
            <w:pPr>
              <w:rPr>
                <w:rFonts w:ascii="Zapf Dingbats" w:hAnsi="Zapf Dingbats" w:cs="Gill Sans"/>
                <w:sz w:val="22"/>
                <w:szCs w:val="22"/>
                <w:lang w:val="uk-UA"/>
              </w:rPr>
            </w:pPr>
          </w:p>
        </w:tc>
        <w:tc>
          <w:tcPr>
            <w:tcW w:w="591"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2D83EB1D" w14:textId="77777777" w:rsidR="00716638" w:rsidRPr="00257F44" w:rsidRDefault="00716638" w:rsidP="00131C34">
            <w:pPr>
              <w:rPr>
                <w:rFonts w:ascii="Zapf Dingbats" w:hAnsi="Zapf Dingbats" w:cs="Gill Sans"/>
                <w:sz w:val="22"/>
                <w:szCs w:val="22"/>
                <w:lang w:val="uk-UA"/>
              </w:rPr>
            </w:pPr>
          </w:p>
        </w:tc>
        <w:tc>
          <w:tcPr>
            <w:tcW w:w="483"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38DF8E3A" w14:textId="77777777" w:rsidR="00716638" w:rsidRPr="00257F44" w:rsidRDefault="00716638" w:rsidP="00131C34">
            <w:pPr>
              <w:rPr>
                <w:rFonts w:ascii="Zapf Dingbats" w:hAnsi="Zapf Dingbats" w:cs="Gill Sans"/>
                <w:sz w:val="22"/>
                <w:szCs w:val="22"/>
                <w:lang w:val="uk-UA"/>
              </w:rPr>
            </w:pPr>
          </w:p>
        </w:tc>
        <w:tc>
          <w:tcPr>
            <w:tcW w:w="418"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5AF346DB" w14:textId="4CD4FC4A" w:rsidR="00716638" w:rsidRPr="00257F44" w:rsidRDefault="000E2003" w:rsidP="00131C34">
            <w:pPr>
              <w:rPr>
                <w:rFonts w:ascii="Zapf Dingbats" w:hAnsi="Zapf Dingbats" w:cs="Gill Sans"/>
                <w:sz w:val="22"/>
                <w:szCs w:val="22"/>
                <w:lang w:val="uk-UA"/>
              </w:rPr>
            </w:pPr>
            <w:r w:rsidRPr="00257F44">
              <w:rPr>
                <w:rFonts w:ascii="Zapf Dingbats" w:eastAsia="MS Mincho" w:hAnsi="Zapf Dingbats" w:cs="Menlo Bold"/>
                <w:noProof/>
                <w:sz w:val="22"/>
                <w:szCs w:val="22"/>
                <w:lang w:val="uk-UA"/>
              </w:rPr>
              <w:t>✔</w:t>
            </w:r>
          </w:p>
        </w:tc>
        <w:tc>
          <w:tcPr>
            <w:tcW w:w="349" w:type="dxa"/>
            <w:vMerge w:val="restart"/>
            <w:tcBorders>
              <w:top w:val="single" w:sz="18" w:space="0" w:color="FFFFFF"/>
              <w:left w:val="single" w:sz="18" w:space="0" w:color="FFFFFF"/>
              <w:right w:val="single" w:sz="2" w:space="0" w:color="FFFFFF"/>
            </w:tcBorders>
            <w:shd w:val="clear" w:color="auto" w:fill="D99594"/>
          </w:tcPr>
          <w:p w14:paraId="41F23113" w14:textId="77777777" w:rsidR="00716638" w:rsidRPr="00257F44" w:rsidRDefault="00716638" w:rsidP="00131C34">
            <w:pPr>
              <w:rPr>
                <w:rFonts w:ascii="Gill Sans" w:hAnsi="Gill Sans" w:cs="Gill Sans"/>
                <w:sz w:val="22"/>
                <w:szCs w:val="22"/>
                <w:lang w:val="uk-UA"/>
              </w:rPr>
            </w:pPr>
          </w:p>
        </w:tc>
        <w:tc>
          <w:tcPr>
            <w:tcW w:w="428" w:type="dxa"/>
            <w:vMerge w:val="restart"/>
            <w:tcBorders>
              <w:top w:val="single" w:sz="18" w:space="0" w:color="FFFFFF"/>
              <w:left w:val="single" w:sz="2" w:space="0" w:color="FFFFFF"/>
              <w:right w:val="single" w:sz="2" w:space="0" w:color="FFFFFF"/>
            </w:tcBorders>
            <w:shd w:val="clear" w:color="auto" w:fill="D99594"/>
          </w:tcPr>
          <w:p w14:paraId="035186DD" w14:textId="77777777" w:rsidR="00716638" w:rsidRPr="00257F44" w:rsidRDefault="00716638" w:rsidP="00131C34">
            <w:pPr>
              <w:rPr>
                <w:rFonts w:ascii="Gill Sans" w:hAnsi="Gill Sans" w:cs="Gill Sans"/>
                <w:sz w:val="22"/>
                <w:szCs w:val="22"/>
                <w:lang w:val="uk-UA"/>
              </w:rPr>
            </w:pPr>
          </w:p>
        </w:tc>
        <w:tc>
          <w:tcPr>
            <w:tcW w:w="349" w:type="dxa"/>
            <w:vMerge w:val="restart"/>
            <w:tcBorders>
              <w:top w:val="single" w:sz="18" w:space="0" w:color="FFFFFF"/>
              <w:left w:val="single" w:sz="2" w:space="0" w:color="FFFFFF"/>
              <w:right w:val="single" w:sz="2" w:space="0" w:color="FFFFFF"/>
            </w:tcBorders>
            <w:shd w:val="clear" w:color="auto" w:fill="D99594"/>
          </w:tcPr>
          <w:p w14:paraId="69AF8168" w14:textId="5F36D77A" w:rsidR="00716638" w:rsidRPr="00257F44" w:rsidRDefault="00DF1741" w:rsidP="00131C34">
            <w:pPr>
              <w:rPr>
                <w:rFonts w:ascii="Zapf Dingbats" w:hAnsi="Zapf Dingbats" w:cs="Gill Sans"/>
                <w:sz w:val="22"/>
                <w:szCs w:val="22"/>
                <w:lang w:val="uk-UA"/>
              </w:rPr>
            </w:pPr>
            <w:r w:rsidRPr="00257F44">
              <w:rPr>
                <w:rFonts w:ascii="Zapf Dingbats" w:eastAsia="MS Mincho" w:hAnsi="Zapf Dingbats" w:cs="Menlo Bold"/>
                <w:noProof/>
                <w:sz w:val="22"/>
                <w:szCs w:val="22"/>
                <w:lang w:val="uk-UA"/>
              </w:rPr>
              <w:t>✔</w:t>
            </w:r>
          </w:p>
        </w:tc>
        <w:tc>
          <w:tcPr>
            <w:tcW w:w="349" w:type="dxa"/>
            <w:vMerge w:val="restart"/>
            <w:tcBorders>
              <w:top w:val="single" w:sz="18" w:space="0" w:color="FFFFFF"/>
              <w:left w:val="single" w:sz="2" w:space="0" w:color="FFFFFF"/>
              <w:right w:val="single" w:sz="2" w:space="0" w:color="FFFFFF"/>
            </w:tcBorders>
            <w:shd w:val="clear" w:color="auto" w:fill="D99594"/>
          </w:tcPr>
          <w:p w14:paraId="0D046AAC" w14:textId="77777777" w:rsidR="00716638" w:rsidRPr="00257F44" w:rsidRDefault="00716638" w:rsidP="00131C34">
            <w:pPr>
              <w:rPr>
                <w:rFonts w:ascii="Gill Sans" w:hAnsi="Gill Sans" w:cs="Gill Sans"/>
                <w:noProof/>
                <w:sz w:val="22"/>
                <w:szCs w:val="22"/>
                <w:lang w:val="uk-UA"/>
              </w:rPr>
            </w:pPr>
          </w:p>
        </w:tc>
        <w:tc>
          <w:tcPr>
            <w:tcW w:w="430" w:type="dxa"/>
            <w:vMerge w:val="restart"/>
            <w:tcBorders>
              <w:top w:val="single" w:sz="18" w:space="0" w:color="FFFFFF"/>
              <w:left w:val="single" w:sz="2" w:space="0" w:color="FFFFFF"/>
              <w:right w:val="single" w:sz="18" w:space="0" w:color="FFFFFF"/>
            </w:tcBorders>
            <w:shd w:val="clear" w:color="auto" w:fill="D99594"/>
          </w:tcPr>
          <w:p w14:paraId="7D7D0493" w14:textId="77777777" w:rsidR="00716638" w:rsidRPr="00257F44" w:rsidRDefault="00716638" w:rsidP="00131C34">
            <w:pPr>
              <w:rPr>
                <w:rFonts w:ascii="Gill Sans" w:hAnsi="Gill Sans" w:cs="Gill Sans"/>
                <w:sz w:val="22"/>
                <w:szCs w:val="22"/>
                <w:lang w:val="uk-UA"/>
              </w:rPr>
            </w:pPr>
          </w:p>
        </w:tc>
      </w:tr>
      <w:tr w:rsidR="00574E04" w:rsidRPr="00257F44" w14:paraId="178AA80A" w14:textId="77777777" w:rsidTr="00574E04">
        <w:trPr>
          <w:trHeight w:val="340"/>
        </w:trPr>
        <w:tc>
          <w:tcPr>
            <w:tcW w:w="1405" w:type="dxa"/>
            <w:vMerge/>
            <w:tcBorders>
              <w:left w:val="single" w:sz="4" w:space="0" w:color="FFFFFF"/>
            </w:tcBorders>
            <w:shd w:val="clear" w:color="auto" w:fill="000000"/>
          </w:tcPr>
          <w:p w14:paraId="6A526E76" w14:textId="77777777" w:rsidR="00716638" w:rsidRPr="00257F44" w:rsidRDefault="00716638" w:rsidP="00131C34">
            <w:pPr>
              <w:rPr>
                <w:rFonts w:ascii="Gill Sans" w:hAnsi="Gill Sans" w:cs="Gill Sans"/>
                <w:color w:val="FFFFFF" w:themeColor="background1"/>
                <w:sz w:val="22"/>
                <w:szCs w:val="22"/>
                <w:lang w:val="uk-UA"/>
              </w:rPr>
            </w:pPr>
          </w:p>
        </w:tc>
        <w:tc>
          <w:tcPr>
            <w:tcW w:w="493" w:type="dxa"/>
            <w:vMerge/>
            <w:tcBorders>
              <w:right w:val="single" w:sz="2" w:space="0" w:color="FFFFFF"/>
            </w:tcBorders>
            <w:shd w:val="clear" w:color="auto" w:fill="D6E3BC"/>
          </w:tcPr>
          <w:p w14:paraId="77649435" w14:textId="77777777" w:rsidR="00716638" w:rsidRPr="00257F44" w:rsidRDefault="00716638" w:rsidP="00131C34">
            <w:pPr>
              <w:rPr>
                <w:rFonts w:ascii="Zapf Dingbats" w:hAnsi="Zapf Dingbats" w:cs="Gill Sans"/>
                <w:sz w:val="22"/>
                <w:szCs w:val="22"/>
                <w:lang w:val="uk-UA"/>
              </w:rPr>
            </w:pPr>
          </w:p>
        </w:tc>
        <w:tc>
          <w:tcPr>
            <w:tcW w:w="431" w:type="dxa"/>
            <w:vMerge/>
            <w:tcBorders>
              <w:left w:val="single" w:sz="2" w:space="0" w:color="FFFFFF"/>
              <w:right w:val="single" w:sz="2" w:space="0" w:color="FFFFFF"/>
            </w:tcBorders>
            <w:shd w:val="clear" w:color="auto" w:fill="D6E3BC"/>
          </w:tcPr>
          <w:p w14:paraId="6896BDC5" w14:textId="77777777" w:rsidR="00716638" w:rsidRPr="00257F44" w:rsidRDefault="00716638" w:rsidP="00131C34">
            <w:pPr>
              <w:rPr>
                <w:rFonts w:ascii="Zapf Dingbats" w:hAnsi="Zapf Dingbats" w:cs="Gill Sans"/>
                <w:sz w:val="22"/>
                <w:szCs w:val="22"/>
                <w:lang w:val="uk-UA"/>
              </w:rPr>
            </w:pPr>
          </w:p>
        </w:tc>
        <w:tc>
          <w:tcPr>
            <w:tcW w:w="351" w:type="dxa"/>
            <w:vMerge/>
            <w:tcBorders>
              <w:left w:val="single" w:sz="2" w:space="0" w:color="FFFFFF"/>
              <w:right w:val="single" w:sz="2" w:space="0" w:color="FFFFFF"/>
            </w:tcBorders>
            <w:shd w:val="clear" w:color="auto" w:fill="D6E3BC"/>
          </w:tcPr>
          <w:p w14:paraId="79FB2CF8" w14:textId="77777777" w:rsidR="00716638" w:rsidRPr="00257F44" w:rsidRDefault="00716638" w:rsidP="00131C34">
            <w:pPr>
              <w:rPr>
                <w:rFonts w:ascii="Zapf Dingbats" w:hAnsi="Zapf Dingbats" w:cs="Gill Sans"/>
                <w:sz w:val="22"/>
                <w:szCs w:val="22"/>
                <w:lang w:val="uk-UA"/>
              </w:rPr>
            </w:pPr>
          </w:p>
        </w:tc>
        <w:tc>
          <w:tcPr>
            <w:tcW w:w="351" w:type="dxa"/>
            <w:vMerge/>
            <w:tcBorders>
              <w:left w:val="single" w:sz="2" w:space="0" w:color="FFFFFF"/>
              <w:right w:val="single" w:sz="18" w:space="0" w:color="FFFFFF"/>
            </w:tcBorders>
            <w:shd w:val="clear" w:color="auto" w:fill="D6E3BC"/>
          </w:tcPr>
          <w:p w14:paraId="33F91058" w14:textId="77777777" w:rsidR="00716638" w:rsidRPr="00257F44" w:rsidRDefault="00716638" w:rsidP="00131C34">
            <w:pPr>
              <w:rPr>
                <w:rFonts w:ascii="Zapf Dingbats" w:hAnsi="Zapf Dingbats" w:cs="Gill Sans"/>
                <w:noProof/>
                <w:sz w:val="22"/>
                <w:szCs w:val="22"/>
                <w:lang w:val="uk-UA"/>
              </w:rPr>
            </w:pPr>
          </w:p>
        </w:tc>
        <w:tc>
          <w:tcPr>
            <w:tcW w:w="375" w:type="dxa"/>
            <w:vMerge/>
            <w:tcBorders>
              <w:left w:val="single" w:sz="2" w:space="0" w:color="FFFFFF"/>
              <w:right w:val="single" w:sz="2" w:space="0" w:color="FFFFFF"/>
            </w:tcBorders>
            <w:shd w:val="clear" w:color="auto" w:fill="FBD4B4"/>
          </w:tcPr>
          <w:p w14:paraId="74F4C952" w14:textId="77777777" w:rsidR="00716638" w:rsidRPr="00257F44" w:rsidRDefault="00716638" w:rsidP="00131C34">
            <w:pPr>
              <w:rPr>
                <w:rFonts w:ascii="Zapf Dingbats" w:hAnsi="Zapf Dingbats" w:cs="Gill Sans"/>
                <w:sz w:val="22"/>
                <w:szCs w:val="22"/>
                <w:lang w:val="uk-UA"/>
              </w:rPr>
            </w:pPr>
          </w:p>
        </w:tc>
        <w:tc>
          <w:tcPr>
            <w:tcW w:w="374" w:type="dxa"/>
            <w:vMerge/>
            <w:tcBorders>
              <w:left w:val="single" w:sz="2" w:space="0" w:color="FFFFFF"/>
              <w:right w:val="single" w:sz="2" w:space="0" w:color="FFFFFF"/>
            </w:tcBorders>
            <w:shd w:val="clear" w:color="auto" w:fill="FBD4B4"/>
          </w:tcPr>
          <w:p w14:paraId="6DDC4852" w14:textId="77777777" w:rsidR="00716638" w:rsidRPr="00257F44" w:rsidRDefault="00716638" w:rsidP="00131C34">
            <w:pPr>
              <w:rPr>
                <w:rFonts w:ascii="Zapf Dingbats" w:hAnsi="Zapf Dingbats" w:cs="Gill Sans"/>
                <w:noProof/>
                <w:sz w:val="22"/>
                <w:szCs w:val="22"/>
                <w:lang w:val="uk-UA"/>
              </w:rPr>
            </w:pPr>
          </w:p>
        </w:tc>
        <w:tc>
          <w:tcPr>
            <w:tcW w:w="375" w:type="dxa"/>
            <w:vMerge/>
            <w:tcBorders>
              <w:left w:val="single" w:sz="2" w:space="0" w:color="FFFFFF"/>
              <w:right w:val="single" w:sz="2" w:space="0" w:color="FFFFFF"/>
            </w:tcBorders>
            <w:shd w:val="clear" w:color="auto" w:fill="FBD4B4"/>
          </w:tcPr>
          <w:p w14:paraId="36CF639B" w14:textId="77777777" w:rsidR="00716638" w:rsidRPr="00257F44" w:rsidRDefault="00716638" w:rsidP="00131C34">
            <w:pPr>
              <w:rPr>
                <w:rFonts w:ascii="Zapf Dingbats" w:hAnsi="Zapf Dingbats" w:cs="Gill Sans"/>
                <w:noProof/>
                <w:sz w:val="22"/>
                <w:szCs w:val="22"/>
                <w:lang w:val="uk-UA"/>
              </w:rPr>
            </w:pPr>
          </w:p>
        </w:tc>
        <w:tc>
          <w:tcPr>
            <w:tcW w:w="861" w:type="dxa"/>
            <w:vMerge/>
            <w:tcBorders>
              <w:left w:val="single" w:sz="2" w:space="0" w:color="FFFFFF"/>
              <w:right w:val="single" w:sz="18" w:space="0" w:color="FFFFFF"/>
            </w:tcBorders>
            <w:shd w:val="clear" w:color="auto" w:fill="FBD4B4"/>
          </w:tcPr>
          <w:p w14:paraId="4D2D07DA" w14:textId="77777777" w:rsidR="00716638" w:rsidRPr="00257F44" w:rsidRDefault="00716638" w:rsidP="00131C34">
            <w:pPr>
              <w:rPr>
                <w:rFonts w:ascii="Zapf Dingbats" w:hAnsi="Zapf Dingbats" w:cs="Gill Sans"/>
                <w:sz w:val="22"/>
                <w:szCs w:val="22"/>
                <w:lang w:val="uk-UA"/>
              </w:rPr>
            </w:pPr>
          </w:p>
        </w:tc>
        <w:tc>
          <w:tcPr>
            <w:tcW w:w="341" w:type="dxa"/>
            <w:vMerge/>
            <w:tcBorders>
              <w:left w:val="single" w:sz="18" w:space="0" w:color="FFFFFF"/>
              <w:right w:val="single" w:sz="2" w:space="0" w:color="FFFFFF"/>
            </w:tcBorders>
            <w:shd w:val="clear" w:color="auto" w:fill="CCC0D9"/>
          </w:tcPr>
          <w:p w14:paraId="5393082A" w14:textId="77777777" w:rsidR="00716638" w:rsidRPr="00257F44" w:rsidRDefault="00716638" w:rsidP="00131C34">
            <w:pPr>
              <w:rPr>
                <w:rFonts w:ascii="Zapf Dingbats" w:hAnsi="Zapf Dingbats" w:cs="Gill Sans"/>
                <w:sz w:val="22"/>
                <w:szCs w:val="22"/>
                <w:lang w:val="uk-UA"/>
              </w:rPr>
            </w:pPr>
          </w:p>
        </w:tc>
        <w:tc>
          <w:tcPr>
            <w:tcW w:w="349" w:type="dxa"/>
            <w:vMerge/>
            <w:tcBorders>
              <w:left w:val="single" w:sz="2" w:space="0" w:color="FFFFFF"/>
              <w:right w:val="single" w:sz="2" w:space="0" w:color="FFFFFF"/>
            </w:tcBorders>
            <w:shd w:val="clear" w:color="auto" w:fill="CCC0D9"/>
          </w:tcPr>
          <w:p w14:paraId="4AAD2885" w14:textId="77777777" w:rsidR="00716638" w:rsidRPr="00257F44" w:rsidRDefault="00716638" w:rsidP="00131C34">
            <w:pPr>
              <w:rPr>
                <w:rFonts w:ascii="Zapf Dingbats" w:hAnsi="Zapf Dingbats" w:cs="Gill Sans"/>
                <w:sz w:val="22"/>
                <w:szCs w:val="22"/>
                <w:lang w:val="uk-UA"/>
              </w:rPr>
            </w:pPr>
          </w:p>
        </w:tc>
        <w:tc>
          <w:tcPr>
            <w:tcW w:w="430" w:type="dxa"/>
            <w:vMerge/>
            <w:tcBorders>
              <w:left w:val="single" w:sz="2" w:space="0" w:color="FFFFFF"/>
              <w:right w:val="single" w:sz="2" w:space="0" w:color="FFFFFF"/>
            </w:tcBorders>
            <w:shd w:val="clear" w:color="auto" w:fill="CCC0D9"/>
          </w:tcPr>
          <w:p w14:paraId="6FF85A6B" w14:textId="77777777" w:rsidR="00716638" w:rsidRPr="00257F44" w:rsidRDefault="00716638" w:rsidP="00131C34">
            <w:pPr>
              <w:rPr>
                <w:rFonts w:ascii="Zapf Dingbats" w:hAnsi="Zapf Dingbats" w:cs="Gill Sans"/>
                <w:noProof/>
                <w:sz w:val="22"/>
                <w:szCs w:val="22"/>
                <w:lang w:val="uk-UA"/>
              </w:rPr>
            </w:pPr>
          </w:p>
        </w:tc>
        <w:tc>
          <w:tcPr>
            <w:tcW w:w="349" w:type="dxa"/>
            <w:vMerge/>
            <w:tcBorders>
              <w:left w:val="single" w:sz="2" w:space="0" w:color="FFFFFF"/>
              <w:right w:val="single" w:sz="18" w:space="0" w:color="FFFFFF"/>
            </w:tcBorders>
            <w:shd w:val="clear" w:color="auto" w:fill="CCC0D9"/>
          </w:tcPr>
          <w:p w14:paraId="25B1AE7D" w14:textId="77777777" w:rsidR="00716638" w:rsidRPr="00257F44" w:rsidRDefault="00716638" w:rsidP="00131C34">
            <w:pPr>
              <w:rPr>
                <w:rFonts w:ascii="Zapf Dingbats" w:hAnsi="Zapf Dingbats" w:cs="Gill Sans"/>
                <w:sz w:val="22"/>
                <w:szCs w:val="22"/>
                <w:lang w:val="uk-UA"/>
              </w:rPr>
            </w:pPr>
          </w:p>
        </w:tc>
        <w:tc>
          <w:tcPr>
            <w:tcW w:w="486" w:type="dxa"/>
            <w:tcBorders>
              <w:top w:val="single" w:sz="8" w:space="0" w:color="FFFFFF" w:themeColor="background1"/>
              <w:left w:val="single" w:sz="18" w:space="0" w:color="FFFFFF"/>
              <w:bottom w:val="single" w:sz="18" w:space="0" w:color="FFFFFF"/>
              <w:right w:val="single" w:sz="4" w:space="0" w:color="FFFFFF" w:themeColor="background1"/>
            </w:tcBorders>
            <w:shd w:val="clear" w:color="auto" w:fill="B8CCE4"/>
          </w:tcPr>
          <w:p w14:paraId="729E601A" w14:textId="77777777" w:rsidR="00716638" w:rsidRPr="00257F44" w:rsidRDefault="00716638" w:rsidP="00131C34">
            <w:pPr>
              <w:rPr>
                <w:rFonts w:ascii="Zapf Dingbats" w:hAnsi="Zapf Dingbats" w:cs="Gill Sans"/>
                <w:sz w:val="22"/>
                <w:szCs w:val="22"/>
                <w:lang w:val="uk-UA"/>
              </w:rPr>
            </w:pPr>
          </w:p>
        </w:tc>
        <w:tc>
          <w:tcPr>
            <w:tcW w:w="591" w:type="dxa"/>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B8CCE4"/>
          </w:tcPr>
          <w:p w14:paraId="40D9CC8B" w14:textId="77777777" w:rsidR="00716638" w:rsidRPr="00257F44" w:rsidRDefault="00716638" w:rsidP="00131C34">
            <w:pPr>
              <w:rPr>
                <w:rFonts w:ascii="Zapf Dingbats" w:hAnsi="Zapf Dingbats" w:cs="Gill Sans"/>
                <w:sz w:val="22"/>
                <w:szCs w:val="22"/>
                <w:lang w:val="uk-UA"/>
              </w:rPr>
            </w:pPr>
          </w:p>
        </w:tc>
        <w:tc>
          <w:tcPr>
            <w:tcW w:w="483" w:type="dxa"/>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B8CCE4"/>
          </w:tcPr>
          <w:p w14:paraId="7E88B726" w14:textId="77777777" w:rsidR="00716638" w:rsidRPr="00257F44" w:rsidRDefault="00716638" w:rsidP="00131C34">
            <w:pPr>
              <w:rPr>
                <w:rFonts w:ascii="Zapf Dingbats" w:hAnsi="Zapf Dingbats" w:cs="Gill Sans"/>
                <w:sz w:val="22"/>
                <w:szCs w:val="22"/>
                <w:lang w:val="uk-UA"/>
              </w:rPr>
            </w:pPr>
          </w:p>
        </w:tc>
        <w:tc>
          <w:tcPr>
            <w:tcW w:w="418" w:type="dxa"/>
            <w:tcBorders>
              <w:top w:val="single" w:sz="8" w:space="0" w:color="FFFFFF" w:themeColor="background1"/>
              <w:left w:val="single" w:sz="4" w:space="0" w:color="FFFFFF" w:themeColor="background1"/>
              <w:bottom w:val="single" w:sz="18" w:space="0" w:color="FFFFFF"/>
              <w:right w:val="single" w:sz="18" w:space="0" w:color="FFFFFF"/>
            </w:tcBorders>
            <w:shd w:val="clear" w:color="auto" w:fill="B8CCE4"/>
          </w:tcPr>
          <w:p w14:paraId="2C7FAF61" w14:textId="0F7491FE" w:rsidR="00716638" w:rsidRPr="00257F44" w:rsidRDefault="000E2003" w:rsidP="00131C34">
            <w:pPr>
              <w:rPr>
                <w:rFonts w:ascii="Zapf Dingbats" w:hAnsi="Zapf Dingbats" w:cs="Gill Sans"/>
                <w:sz w:val="22"/>
                <w:szCs w:val="22"/>
                <w:lang w:val="uk-UA"/>
              </w:rPr>
            </w:pPr>
            <w:r w:rsidRPr="00257F44">
              <w:rPr>
                <w:rFonts w:ascii="Zapf Dingbats" w:eastAsia="MS Mincho" w:hAnsi="Zapf Dingbats" w:cs="Menlo Bold"/>
                <w:noProof/>
                <w:sz w:val="22"/>
                <w:szCs w:val="22"/>
                <w:lang w:val="uk-UA"/>
              </w:rPr>
              <w:t>✔</w:t>
            </w:r>
          </w:p>
        </w:tc>
        <w:tc>
          <w:tcPr>
            <w:tcW w:w="349" w:type="dxa"/>
            <w:vMerge/>
            <w:tcBorders>
              <w:left w:val="single" w:sz="18" w:space="0" w:color="FFFFFF"/>
              <w:right w:val="single" w:sz="2" w:space="0" w:color="FFFFFF"/>
            </w:tcBorders>
            <w:shd w:val="clear" w:color="auto" w:fill="D99594"/>
          </w:tcPr>
          <w:p w14:paraId="3977D808" w14:textId="77777777" w:rsidR="00716638" w:rsidRPr="00257F44" w:rsidRDefault="00716638" w:rsidP="00131C34">
            <w:pPr>
              <w:rPr>
                <w:rFonts w:ascii="Zapf Dingbats" w:hAnsi="Zapf Dingbats" w:cs="Gill Sans"/>
                <w:sz w:val="22"/>
                <w:szCs w:val="22"/>
                <w:lang w:val="uk-UA"/>
              </w:rPr>
            </w:pPr>
          </w:p>
        </w:tc>
        <w:tc>
          <w:tcPr>
            <w:tcW w:w="428" w:type="dxa"/>
            <w:vMerge/>
            <w:tcBorders>
              <w:left w:val="single" w:sz="2" w:space="0" w:color="FFFFFF"/>
              <w:right w:val="single" w:sz="2" w:space="0" w:color="FFFFFF"/>
            </w:tcBorders>
            <w:shd w:val="clear" w:color="auto" w:fill="D99594"/>
          </w:tcPr>
          <w:p w14:paraId="45A782CC" w14:textId="77777777" w:rsidR="00716638" w:rsidRPr="00257F44" w:rsidRDefault="00716638" w:rsidP="00131C34">
            <w:pPr>
              <w:rPr>
                <w:rFonts w:ascii="Zapf Dingbats" w:hAnsi="Zapf Dingbats" w:cs="Gill Sans"/>
                <w:sz w:val="22"/>
                <w:szCs w:val="22"/>
                <w:lang w:val="uk-UA"/>
              </w:rPr>
            </w:pPr>
          </w:p>
        </w:tc>
        <w:tc>
          <w:tcPr>
            <w:tcW w:w="349" w:type="dxa"/>
            <w:vMerge/>
            <w:tcBorders>
              <w:left w:val="single" w:sz="2" w:space="0" w:color="FFFFFF"/>
              <w:right w:val="single" w:sz="2" w:space="0" w:color="FFFFFF"/>
            </w:tcBorders>
            <w:shd w:val="clear" w:color="auto" w:fill="D99594"/>
          </w:tcPr>
          <w:p w14:paraId="4651A86C" w14:textId="77777777" w:rsidR="00716638" w:rsidRPr="00257F44" w:rsidRDefault="00716638" w:rsidP="00131C34">
            <w:pPr>
              <w:rPr>
                <w:rFonts w:ascii="Zapf Dingbats" w:hAnsi="Zapf Dingbats" w:cs="Gill Sans"/>
                <w:sz w:val="22"/>
                <w:szCs w:val="22"/>
                <w:lang w:val="uk-UA"/>
              </w:rPr>
            </w:pPr>
          </w:p>
        </w:tc>
        <w:tc>
          <w:tcPr>
            <w:tcW w:w="349" w:type="dxa"/>
            <w:vMerge/>
            <w:tcBorders>
              <w:left w:val="single" w:sz="2" w:space="0" w:color="FFFFFF"/>
              <w:right w:val="single" w:sz="2" w:space="0" w:color="FFFFFF"/>
            </w:tcBorders>
            <w:shd w:val="clear" w:color="auto" w:fill="D99594"/>
          </w:tcPr>
          <w:p w14:paraId="45B708AE" w14:textId="77777777" w:rsidR="00716638" w:rsidRPr="00257F44" w:rsidRDefault="00716638" w:rsidP="00131C34">
            <w:pPr>
              <w:rPr>
                <w:rFonts w:ascii="Gill Sans" w:hAnsi="Gill Sans" w:cs="Gill Sans"/>
                <w:noProof/>
                <w:sz w:val="22"/>
                <w:szCs w:val="22"/>
                <w:lang w:val="uk-UA"/>
              </w:rPr>
            </w:pPr>
          </w:p>
        </w:tc>
        <w:tc>
          <w:tcPr>
            <w:tcW w:w="430" w:type="dxa"/>
            <w:vMerge/>
            <w:tcBorders>
              <w:left w:val="single" w:sz="2" w:space="0" w:color="FFFFFF"/>
              <w:right w:val="single" w:sz="18" w:space="0" w:color="FFFFFF"/>
            </w:tcBorders>
            <w:shd w:val="clear" w:color="auto" w:fill="D99594"/>
          </w:tcPr>
          <w:p w14:paraId="19D4E610" w14:textId="77777777" w:rsidR="00716638" w:rsidRPr="00257F44" w:rsidRDefault="00716638" w:rsidP="00131C34">
            <w:pPr>
              <w:rPr>
                <w:rFonts w:ascii="Gill Sans" w:hAnsi="Gill Sans" w:cs="Gill Sans"/>
                <w:sz w:val="22"/>
                <w:szCs w:val="22"/>
                <w:lang w:val="uk-UA"/>
              </w:rPr>
            </w:pPr>
          </w:p>
        </w:tc>
      </w:tr>
      <w:tr w:rsidR="00574E04" w:rsidRPr="00257F44" w14:paraId="6D706AC8" w14:textId="77777777" w:rsidTr="00574E04">
        <w:trPr>
          <w:trHeight w:val="600"/>
        </w:trPr>
        <w:tc>
          <w:tcPr>
            <w:tcW w:w="1405" w:type="dxa"/>
            <w:vMerge w:val="restart"/>
            <w:tcBorders>
              <w:top w:val="single" w:sz="18" w:space="0" w:color="FFFFFF"/>
              <w:left w:val="single" w:sz="4" w:space="0" w:color="FFFFFF"/>
            </w:tcBorders>
            <w:shd w:val="clear" w:color="auto" w:fill="000000"/>
          </w:tcPr>
          <w:p w14:paraId="3BBC3D84" w14:textId="4F12E3B5" w:rsidR="00716638" w:rsidRPr="00257F44" w:rsidRDefault="00716638" w:rsidP="00131C34">
            <w:pPr>
              <w:rPr>
                <w:rFonts w:ascii="Gill Sans" w:hAnsi="Gill Sans" w:cs="Gill Sans"/>
                <w:color w:val="FFFFFF" w:themeColor="background1"/>
                <w:sz w:val="20"/>
                <w:szCs w:val="20"/>
                <w:lang w:val="uk-UA"/>
              </w:rPr>
            </w:pPr>
            <w:r w:rsidRPr="00257F44">
              <w:rPr>
                <w:rFonts w:ascii="Gill Sans" w:hAnsi="Gill Sans" w:cs="Gill Sans"/>
                <w:color w:val="FFFFFF" w:themeColor="background1"/>
                <w:sz w:val="20"/>
                <w:szCs w:val="20"/>
                <w:lang w:val="uk-UA"/>
              </w:rPr>
              <w:t xml:space="preserve">4. </w:t>
            </w:r>
            <w:r w:rsidR="0053764F" w:rsidRPr="00257F44">
              <w:rPr>
                <w:rFonts w:ascii="Gill Sans" w:hAnsi="Gill Sans" w:cs="Gill Sans"/>
                <w:color w:val="FFFFFF" w:themeColor="background1"/>
                <w:sz w:val="20"/>
                <w:szCs w:val="20"/>
                <w:lang w:val="uk-UA"/>
              </w:rPr>
              <w:t>Закон про участь громадськості</w:t>
            </w:r>
          </w:p>
        </w:tc>
        <w:tc>
          <w:tcPr>
            <w:tcW w:w="493" w:type="dxa"/>
            <w:vMerge w:val="restart"/>
            <w:tcBorders>
              <w:top w:val="single" w:sz="18" w:space="0" w:color="FFFFFF"/>
              <w:right w:val="single" w:sz="2" w:space="0" w:color="FFFFFF"/>
            </w:tcBorders>
            <w:shd w:val="clear" w:color="auto" w:fill="D6E3BC"/>
          </w:tcPr>
          <w:p w14:paraId="3F90C1E1" w14:textId="77777777" w:rsidR="00716638" w:rsidRPr="00257F44" w:rsidRDefault="00716638" w:rsidP="00131C34">
            <w:pPr>
              <w:rPr>
                <w:rFonts w:ascii="Zapf Dingbats" w:hAnsi="Zapf Dingbats" w:cs="Gill Sans"/>
                <w:sz w:val="22"/>
                <w:szCs w:val="22"/>
                <w:lang w:val="uk-UA"/>
              </w:rPr>
            </w:pPr>
          </w:p>
        </w:tc>
        <w:tc>
          <w:tcPr>
            <w:tcW w:w="431" w:type="dxa"/>
            <w:vMerge w:val="restart"/>
            <w:tcBorders>
              <w:top w:val="single" w:sz="18" w:space="0" w:color="FFFFFF"/>
              <w:left w:val="single" w:sz="2" w:space="0" w:color="FFFFFF"/>
              <w:right w:val="single" w:sz="2" w:space="0" w:color="FFFFFF"/>
            </w:tcBorders>
            <w:shd w:val="clear" w:color="auto" w:fill="D6E3BC"/>
          </w:tcPr>
          <w:p w14:paraId="2F6AA5D0" w14:textId="77777777" w:rsidR="00716638" w:rsidRPr="00257F44" w:rsidRDefault="00716638" w:rsidP="00131C34">
            <w:pPr>
              <w:rPr>
                <w:rFonts w:ascii="Zapf Dingbats" w:hAnsi="Zapf Dingbats" w:cs="Gill Sans"/>
                <w:sz w:val="22"/>
                <w:szCs w:val="22"/>
                <w:lang w:val="uk-UA"/>
              </w:rPr>
            </w:pPr>
          </w:p>
        </w:tc>
        <w:tc>
          <w:tcPr>
            <w:tcW w:w="351" w:type="dxa"/>
            <w:vMerge w:val="restart"/>
            <w:tcBorders>
              <w:top w:val="single" w:sz="18" w:space="0" w:color="FFFFFF"/>
              <w:left w:val="single" w:sz="2" w:space="0" w:color="FFFFFF"/>
              <w:right w:val="single" w:sz="2" w:space="0" w:color="FFFFFF"/>
            </w:tcBorders>
            <w:shd w:val="clear" w:color="auto" w:fill="D6E3BC"/>
          </w:tcPr>
          <w:p w14:paraId="2967E492" w14:textId="77777777" w:rsidR="00716638" w:rsidRPr="00257F44" w:rsidRDefault="00716638" w:rsidP="00131C34">
            <w:pPr>
              <w:rPr>
                <w:rFonts w:ascii="Zapf Dingbats" w:hAnsi="Zapf Dingbats" w:cs="Gill Sans"/>
                <w:sz w:val="22"/>
                <w:szCs w:val="22"/>
                <w:lang w:val="uk-UA"/>
              </w:rPr>
            </w:pPr>
          </w:p>
        </w:tc>
        <w:tc>
          <w:tcPr>
            <w:tcW w:w="351" w:type="dxa"/>
            <w:vMerge w:val="restart"/>
            <w:tcBorders>
              <w:top w:val="single" w:sz="18" w:space="0" w:color="FFFFFF"/>
              <w:left w:val="single" w:sz="2" w:space="0" w:color="FFFFFF"/>
              <w:right w:val="single" w:sz="18" w:space="0" w:color="FFFFFF"/>
            </w:tcBorders>
            <w:shd w:val="clear" w:color="auto" w:fill="D6E3BC"/>
          </w:tcPr>
          <w:p w14:paraId="11B87DDF" w14:textId="77777777" w:rsidR="00716638" w:rsidRPr="00257F44" w:rsidRDefault="00716638" w:rsidP="00131C34">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75" w:type="dxa"/>
            <w:vMerge w:val="restart"/>
            <w:tcBorders>
              <w:top w:val="single" w:sz="18" w:space="0" w:color="FFFFFF"/>
              <w:left w:val="single" w:sz="2" w:space="0" w:color="FFFFFF"/>
              <w:right w:val="single" w:sz="2" w:space="0" w:color="FFFFFF"/>
            </w:tcBorders>
            <w:shd w:val="clear" w:color="auto" w:fill="FBD4B4"/>
          </w:tcPr>
          <w:p w14:paraId="6DC19CC4" w14:textId="77777777" w:rsidR="00716638" w:rsidRPr="00257F44" w:rsidRDefault="00716638" w:rsidP="00131C34">
            <w:pPr>
              <w:rPr>
                <w:rFonts w:ascii="Zapf Dingbats" w:hAnsi="Zapf Dingbats" w:cs="Gill Sans"/>
                <w:sz w:val="22"/>
                <w:szCs w:val="22"/>
                <w:lang w:val="uk-UA"/>
              </w:rPr>
            </w:pPr>
          </w:p>
        </w:tc>
        <w:tc>
          <w:tcPr>
            <w:tcW w:w="374" w:type="dxa"/>
            <w:vMerge w:val="restart"/>
            <w:tcBorders>
              <w:top w:val="single" w:sz="18" w:space="0" w:color="FFFFFF"/>
              <w:left w:val="single" w:sz="2" w:space="0" w:color="FFFFFF"/>
              <w:right w:val="single" w:sz="2" w:space="0" w:color="FFFFFF"/>
            </w:tcBorders>
            <w:shd w:val="clear" w:color="auto" w:fill="FBD4B4"/>
          </w:tcPr>
          <w:p w14:paraId="37A7F35B" w14:textId="77777777" w:rsidR="00716638" w:rsidRPr="00257F44" w:rsidRDefault="00716638" w:rsidP="00131C34">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75" w:type="dxa"/>
            <w:vMerge w:val="restart"/>
            <w:tcBorders>
              <w:top w:val="single" w:sz="18" w:space="0" w:color="FFFFFF"/>
              <w:left w:val="single" w:sz="2" w:space="0" w:color="FFFFFF"/>
              <w:right w:val="single" w:sz="2" w:space="0" w:color="FFFFFF"/>
            </w:tcBorders>
            <w:shd w:val="clear" w:color="auto" w:fill="FBD4B4"/>
          </w:tcPr>
          <w:p w14:paraId="412FB01E" w14:textId="77777777" w:rsidR="00716638" w:rsidRPr="00257F44" w:rsidRDefault="00716638" w:rsidP="00131C34">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861" w:type="dxa"/>
            <w:vMerge w:val="restart"/>
            <w:tcBorders>
              <w:top w:val="single" w:sz="18" w:space="0" w:color="FFFFFF"/>
              <w:left w:val="single" w:sz="2" w:space="0" w:color="FFFFFF"/>
              <w:right w:val="single" w:sz="18" w:space="0" w:color="FFFFFF"/>
            </w:tcBorders>
            <w:shd w:val="clear" w:color="auto" w:fill="FBD4B4"/>
          </w:tcPr>
          <w:p w14:paraId="5D84425E" w14:textId="77777777" w:rsidR="00716638" w:rsidRPr="00257F44" w:rsidRDefault="00716638" w:rsidP="00131C34">
            <w:pPr>
              <w:rPr>
                <w:rFonts w:ascii="Zapf Dingbats" w:hAnsi="Zapf Dingbats" w:cs="Gill Sans"/>
                <w:sz w:val="22"/>
                <w:szCs w:val="22"/>
                <w:lang w:val="uk-UA"/>
              </w:rPr>
            </w:pPr>
          </w:p>
        </w:tc>
        <w:tc>
          <w:tcPr>
            <w:tcW w:w="341" w:type="dxa"/>
            <w:vMerge w:val="restart"/>
            <w:tcBorders>
              <w:top w:val="single" w:sz="18" w:space="0" w:color="FFFFFF"/>
              <w:left w:val="single" w:sz="18" w:space="0" w:color="FFFFFF"/>
              <w:right w:val="single" w:sz="2" w:space="0" w:color="FFFFFF"/>
            </w:tcBorders>
            <w:shd w:val="clear" w:color="auto" w:fill="CCC0D9"/>
          </w:tcPr>
          <w:p w14:paraId="35F2F753" w14:textId="77777777" w:rsidR="00716638" w:rsidRPr="00257F44" w:rsidRDefault="00716638" w:rsidP="00131C34">
            <w:pPr>
              <w:rPr>
                <w:rFonts w:ascii="Zapf Dingbats" w:hAnsi="Zapf Dingbats" w:cs="Gill Sans"/>
                <w:sz w:val="22"/>
                <w:szCs w:val="22"/>
                <w:lang w:val="uk-UA"/>
              </w:rPr>
            </w:pPr>
          </w:p>
        </w:tc>
        <w:tc>
          <w:tcPr>
            <w:tcW w:w="349" w:type="dxa"/>
            <w:vMerge w:val="restart"/>
            <w:tcBorders>
              <w:top w:val="single" w:sz="18" w:space="0" w:color="FFFFFF"/>
              <w:left w:val="single" w:sz="2" w:space="0" w:color="FFFFFF"/>
              <w:right w:val="single" w:sz="2" w:space="0" w:color="FFFFFF"/>
            </w:tcBorders>
            <w:shd w:val="clear" w:color="auto" w:fill="CCC0D9"/>
          </w:tcPr>
          <w:p w14:paraId="45070990" w14:textId="77777777" w:rsidR="00716638" w:rsidRPr="00257F44" w:rsidRDefault="00716638" w:rsidP="00131C34">
            <w:pPr>
              <w:rPr>
                <w:rFonts w:ascii="Zapf Dingbats" w:hAnsi="Zapf Dingbats" w:cs="Gill Sans"/>
                <w:sz w:val="22"/>
                <w:szCs w:val="22"/>
                <w:lang w:val="uk-UA"/>
              </w:rPr>
            </w:pPr>
          </w:p>
        </w:tc>
        <w:tc>
          <w:tcPr>
            <w:tcW w:w="430" w:type="dxa"/>
            <w:vMerge w:val="restart"/>
            <w:tcBorders>
              <w:top w:val="single" w:sz="18" w:space="0" w:color="FFFFFF"/>
              <w:left w:val="single" w:sz="2" w:space="0" w:color="FFFFFF"/>
              <w:right w:val="single" w:sz="2" w:space="0" w:color="FFFFFF"/>
            </w:tcBorders>
            <w:shd w:val="clear" w:color="auto" w:fill="CCC0D9"/>
          </w:tcPr>
          <w:p w14:paraId="3A06AE0F" w14:textId="77777777" w:rsidR="00716638" w:rsidRPr="00257F44" w:rsidRDefault="00716638" w:rsidP="00131C34">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49" w:type="dxa"/>
            <w:vMerge w:val="restart"/>
            <w:tcBorders>
              <w:top w:val="single" w:sz="18" w:space="0" w:color="FFFFFF"/>
              <w:left w:val="single" w:sz="2" w:space="0" w:color="FFFFFF"/>
              <w:right w:val="single" w:sz="18" w:space="0" w:color="FFFFFF"/>
            </w:tcBorders>
            <w:shd w:val="clear" w:color="auto" w:fill="CCC0D9"/>
          </w:tcPr>
          <w:p w14:paraId="2D5039A3" w14:textId="77777777" w:rsidR="00716638" w:rsidRPr="00257F44" w:rsidRDefault="00716638" w:rsidP="00131C34">
            <w:pPr>
              <w:rPr>
                <w:rFonts w:ascii="Zapf Dingbats" w:hAnsi="Zapf Dingbats" w:cs="Gill Sans"/>
                <w:sz w:val="22"/>
                <w:szCs w:val="22"/>
                <w:lang w:val="uk-UA"/>
              </w:rPr>
            </w:pPr>
          </w:p>
        </w:tc>
        <w:tc>
          <w:tcPr>
            <w:tcW w:w="486"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79BFE0ED" w14:textId="77777777" w:rsidR="00716638" w:rsidRPr="00257F44" w:rsidRDefault="00716638" w:rsidP="00131C34">
            <w:pPr>
              <w:rPr>
                <w:rFonts w:ascii="Zapf Dingbats" w:hAnsi="Zapf Dingbats" w:cs="Gill Sans"/>
                <w:sz w:val="22"/>
                <w:szCs w:val="22"/>
                <w:lang w:val="uk-UA"/>
              </w:rPr>
            </w:pPr>
          </w:p>
        </w:tc>
        <w:tc>
          <w:tcPr>
            <w:tcW w:w="591"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5124E593" w14:textId="77777777" w:rsidR="00716638" w:rsidRPr="00257F44" w:rsidRDefault="00716638" w:rsidP="00131C34">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83"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0F880D73" w14:textId="77777777" w:rsidR="00716638" w:rsidRPr="00257F44" w:rsidRDefault="00716638" w:rsidP="00131C34">
            <w:pPr>
              <w:rPr>
                <w:rFonts w:ascii="Zapf Dingbats" w:hAnsi="Zapf Dingbats" w:cs="Gill Sans"/>
                <w:sz w:val="22"/>
                <w:szCs w:val="22"/>
                <w:lang w:val="uk-UA"/>
              </w:rPr>
            </w:pPr>
          </w:p>
        </w:tc>
        <w:tc>
          <w:tcPr>
            <w:tcW w:w="418"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7178AE78" w14:textId="77777777" w:rsidR="00716638" w:rsidRPr="00257F44" w:rsidRDefault="00716638" w:rsidP="00131C34">
            <w:pPr>
              <w:rPr>
                <w:rFonts w:ascii="Zapf Dingbats" w:hAnsi="Zapf Dingbats" w:cs="Gill Sans"/>
                <w:sz w:val="22"/>
                <w:szCs w:val="22"/>
                <w:lang w:val="uk-UA"/>
              </w:rPr>
            </w:pPr>
          </w:p>
        </w:tc>
        <w:tc>
          <w:tcPr>
            <w:tcW w:w="349" w:type="dxa"/>
            <w:vMerge w:val="restart"/>
            <w:tcBorders>
              <w:top w:val="single" w:sz="18" w:space="0" w:color="FFFFFF"/>
              <w:left w:val="single" w:sz="18" w:space="0" w:color="FFFFFF"/>
              <w:right w:val="single" w:sz="2" w:space="0" w:color="FFFFFF"/>
            </w:tcBorders>
            <w:shd w:val="clear" w:color="auto" w:fill="D99594"/>
          </w:tcPr>
          <w:p w14:paraId="3DCA2C8D" w14:textId="77777777" w:rsidR="00716638" w:rsidRPr="00257F44" w:rsidRDefault="00716638" w:rsidP="00131C34">
            <w:pPr>
              <w:rPr>
                <w:rFonts w:ascii="Zapf Dingbats" w:hAnsi="Zapf Dingbats" w:cs="Gill Sans"/>
                <w:sz w:val="22"/>
                <w:szCs w:val="22"/>
                <w:lang w:val="uk-UA"/>
              </w:rPr>
            </w:pPr>
          </w:p>
        </w:tc>
        <w:tc>
          <w:tcPr>
            <w:tcW w:w="428" w:type="dxa"/>
            <w:vMerge w:val="restart"/>
            <w:tcBorders>
              <w:top w:val="single" w:sz="18" w:space="0" w:color="FFFFFF"/>
              <w:left w:val="single" w:sz="2" w:space="0" w:color="FFFFFF"/>
              <w:right w:val="single" w:sz="2" w:space="0" w:color="FFFFFF"/>
            </w:tcBorders>
            <w:shd w:val="clear" w:color="auto" w:fill="D99594"/>
          </w:tcPr>
          <w:p w14:paraId="101BF9EA" w14:textId="77777777" w:rsidR="00716638" w:rsidRPr="00257F44" w:rsidRDefault="00716638" w:rsidP="00131C34">
            <w:pPr>
              <w:rPr>
                <w:rFonts w:ascii="Zapf Dingbats" w:hAnsi="Zapf Dingbats" w:cs="Gill Sans"/>
                <w:sz w:val="22"/>
                <w:szCs w:val="22"/>
                <w:lang w:val="uk-UA"/>
              </w:rPr>
            </w:pPr>
          </w:p>
        </w:tc>
        <w:tc>
          <w:tcPr>
            <w:tcW w:w="349" w:type="dxa"/>
            <w:vMerge w:val="restart"/>
            <w:tcBorders>
              <w:top w:val="single" w:sz="18" w:space="0" w:color="FFFFFF"/>
              <w:left w:val="single" w:sz="2" w:space="0" w:color="FFFFFF"/>
              <w:right w:val="single" w:sz="2" w:space="0" w:color="FFFFFF"/>
            </w:tcBorders>
            <w:shd w:val="clear" w:color="auto" w:fill="D99594"/>
          </w:tcPr>
          <w:p w14:paraId="1C4F2D93" w14:textId="3E4EC783" w:rsidR="00716638" w:rsidRPr="00257F44" w:rsidRDefault="00DF1741" w:rsidP="00131C34">
            <w:pPr>
              <w:rPr>
                <w:rFonts w:ascii="Zapf Dingbats" w:hAnsi="Zapf Dingbats" w:cs="Gill Sans"/>
                <w:sz w:val="22"/>
                <w:szCs w:val="22"/>
                <w:lang w:val="uk-UA"/>
              </w:rPr>
            </w:pPr>
            <w:r w:rsidRPr="00257F44">
              <w:rPr>
                <w:rFonts w:ascii="Zapf Dingbats" w:eastAsia="MS Mincho" w:hAnsi="Zapf Dingbats" w:cs="Menlo Bold"/>
                <w:noProof/>
                <w:sz w:val="22"/>
                <w:szCs w:val="22"/>
                <w:lang w:val="uk-UA"/>
              </w:rPr>
              <w:t>✔</w:t>
            </w:r>
          </w:p>
        </w:tc>
        <w:tc>
          <w:tcPr>
            <w:tcW w:w="349" w:type="dxa"/>
            <w:vMerge w:val="restart"/>
            <w:tcBorders>
              <w:top w:val="single" w:sz="18" w:space="0" w:color="FFFFFF"/>
              <w:left w:val="single" w:sz="2" w:space="0" w:color="FFFFFF"/>
              <w:right w:val="single" w:sz="2" w:space="0" w:color="FFFFFF"/>
            </w:tcBorders>
            <w:shd w:val="clear" w:color="auto" w:fill="D99594"/>
          </w:tcPr>
          <w:p w14:paraId="24941049" w14:textId="388B0456" w:rsidR="00716638" w:rsidRPr="00257F44" w:rsidRDefault="00716638" w:rsidP="00131C34">
            <w:pPr>
              <w:rPr>
                <w:rFonts w:ascii="Gill Sans" w:hAnsi="Gill Sans" w:cs="Gill Sans"/>
                <w:sz w:val="22"/>
                <w:szCs w:val="22"/>
                <w:lang w:val="uk-UA"/>
              </w:rPr>
            </w:pPr>
          </w:p>
        </w:tc>
        <w:tc>
          <w:tcPr>
            <w:tcW w:w="430" w:type="dxa"/>
            <w:vMerge w:val="restart"/>
            <w:tcBorders>
              <w:top w:val="single" w:sz="18" w:space="0" w:color="FFFFFF"/>
              <w:left w:val="single" w:sz="2" w:space="0" w:color="FFFFFF"/>
              <w:right w:val="single" w:sz="18" w:space="0" w:color="FFFFFF"/>
            </w:tcBorders>
            <w:shd w:val="clear" w:color="auto" w:fill="D99594"/>
          </w:tcPr>
          <w:p w14:paraId="5F41769E" w14:textId="77777777" w:rsidR="00716638" w:rsidRPr="00257F44" w:rsidRDefault="00716638" w:rsidP="00131C34">
            <w:pPr>
              <w:rPr>
                <w:rFonts w:ascii="Gill Sans" w:hAnsi="Gill Sans" w:cs="Gill Sans"/>
                <w:sz w:val="22"/>
                <w:szCs w:val="22"/>
                <w:lang w:val="uk-UA"/>
              </w:rPr>
            </w:pPr>
          </w:p>
        </w:tc>
      </w:tr>
      <w:tr w:rsidR="00574E04" w:rsidRPr="00257F44" w14:paraId="2B18FB7B" w14:textId="77777777" w:rsidTr="00574E04">
        <w:trPr>
          <w:trHeight w:val="663"/>
        </w:trPr>
        <w:tc>
          <w:tcPr>
            <w:tcW w:w="1405" w:type="dxa"/>
            <w:vMerge/>
            <w:tcBorders>
              <w:left w:val="nil"/>
              <w:bottom w:val="single" w:sz="18" w:space="0" w:color="FFFFFF"/>
            </w:tcBorders>
            <w:shd w:val="clear" w:color="auto" w:fill="000000"/>
          </w:tcPr>
          <w:p w14:paraId="0CBD5D44" w14:textId="77777777" w:rsidR="00716638" w:rsidRPr="00257F44" w:rsidRDefault="00716638" w:rsidP="00131C34">
            <w:pPr>
              <w:rPr>
                <w:rFonts w:ascii="Gill Sans" w:hAnsi="Gill Sans" w:cs="Gill Sans"/>
                <w:sz w:val="22"/>
                <w:szCs w:val="22"/>
                <w:lang w:val="uk-UA"/>
              </w:rPr>
            </w:pPr>
          </w:p>
        </w:tc>
        <w:tc>
          <w:tcPr>
            <w:tcW w:w="493" w:type="dxa"/>
            <w:vMerge/>
            <w:tcBorders>
              <w:bottom w:val="single" w:sz="18" w:space="0" w:color="FFFFFF"/>
              <w:right w:val="single" w:sz="2" w:space="0" w:color="FFFFFF"/>
            </w:tcBorders>
            <w:shd w:val="clear" w:color="auto" w:fill="D6E3BC"/>
          </w:tcPr>
          <w:p w14:paraId="57AFAEAD" w14:textId="77777777" w:rsidR="00716638" w:rsidRPr="00257F44" w:rsidRDefault="00716638" w:rsidP="00131C34">
            <w:pPr>
              <w:rPr>
                <w:rFonts w:ascii="Zapf Dingbats" w:hAnsi="Zapf Dingbats" w:cs="Gill Sans"/>
                <w:sz w:val="22"/>
                <w:szCs w:val="22"/>
                <w:lang w:val="uk-UA"/>
              </w:rPr>
            </w:pPr>
          </w:p>
        </w:tc>
        <w:tc>
          <w:tcPr>
            <w:tcW w:w="431" w:type="dxa"/>
            <w:vMerge/>
            <w:tcBorders>
              <w:left w:val="single" w:sz="2" w:space="0" w:color="FFFFFF"/>
              <w:bottom w:val="single" w:sz="18" w:space="0" w:color="FFFFFF"/>
              <w:right w:val="single" w:sz="2" w:space="0" w:color="FFFFFF"/>
            </w:tcBorders>
            <w:shd w:val="clear" w:color="auto" w:fill="D6E3BC"/>
          </w:tcPr>
          <w:p w14:paraId="09CD0CCD" w14:textId="77777777" w:rsidR="00716638" w:rsidRPr="00257F44" w:rsidRDefault="00716638" w:rsidP="00131C34">
            <w:pPr>
              <w:rPr>
                <w:rFonts w:ascii="Zapf Dingbats" w:hAnsi="Zapf Dingbats" w:cs="Gill Sans"/>
                <w:sz w:val="22"/>
                <w:szCs w:val="22"/>
                <w:lang w:val="uk-UA"/>
              </w:rPr>
            </w:pPr>
          </w:p>
        </w:tc>
        <w:tc>
          <w:tcPr>
            <w:tcW w:w="351" w:type="dxa"/>
            <w:vMerge/>
            <w:tcBorders>
              <w:left w:val="single" w:sz="2" w:space="0" w:color="FFFFFF"/>
              <w:bottom w:val="single" w:sz="18" w:space="0" w:color="FFFFFF"/>
              <w:right w:val="single" w:sz="2" w:space="0" w:color="FFFFFF"/>
            </w:tcBorders>
            <w:shd w:val="clear" w:color="auto" w:fill="D6E3BC"/>
          </w:tcPr>
          <w:p w14:paraId="1A70C1CF" w14:textId="77777777" w:rsidR="00716638" w:rsidRPr="00257F44" w:rsidRDefault="00716638" w:rsidP="00131C34">
            <w:pPr>
              <w:rPr>
                <w:rFonts w:ascii="Zapf Dingbats" w:hAnsi="Zapf Dingbats" w:cs="Gill Sans"/>
                <w:sz w:val="22"/>
                <w:szCs w:val="22"/>
                <w:lang w:val="uk-UA"/>
              </w:rPr>
            </w:pPr>
          </w:p>
        </w:tc>
        <w:tc>
          <w:tcPr>
            <w:tcW w:w="351" w:type="dxa"/>
            <w:vMerge/>
            <w:tcBorders>
              <w:left w:val="single" w:sz="2" w:space="0" w:color="FFFFFF"/>
              <w:bottom w:val="single" w:sz="18" w:space="0" w:color="FFFFFF"/>
              <w:right w:val="single" w:sz="18" w:space="0" w:color="FFFFFF"/>
            </w:tcBorders>
            <w:shd w:val="clear" w:color="auto" w:fill="D6E3BC"/>
          </w:tcPr>
          <w:p w14:paraId="72C7D18D" w14:textId="77777777" w:rsidR="00716638" w:rsidRPr="00257F44" w:rsidRDefault="00716638" w:rsidP="00131C34">
            <w:pPr>
              <w:rPr>
                <w:rFonts w:ascii="Zapf Dingbats" w:hAnsi="Zapf Dingbats" w:cs="Gill Sans"/>
                <w:sz w:val="22"/>
                <w:szCs w:val="22"/>
                <w:lang w:val="uk-UA"/>
              </w:rPr>
            </w:pPr>
          </w:p>
        </w:tc>
        <w:tc>
          <w:tcPr>
            <w:tcW w:w="375" w:type="dxa"/>
            <w:vMerge/>
            <w:tcBorders>
              <w:left w:val="single" w:sz="2" w:space="0" w:color="FFFFFF"/>
              <w:bottom w:val="single" w:sz="18" w:space="0" w:color="FFFFFF"/>
              <w:right w:val="single" w:sz="2" w:space="0" w:color="FFFFFF"/>
            </w:tcBorders>
            <w:shd w:val="clear" w:color="auto" w:fill="FBD4B4"/>
          </w:tcPr>
          <w:p w14:paraId="76BF06A1" w14:textId="77777777" w:rsidR="00716638" w:rsidRPr="00257F44" w:rsidRDefault="00716638" w:rsidP="00131C34">
            <w:pPr>
              <w:rPr>
                <w:rFonts w:ascii="Zapf Dingbats" w:hAnsi="Zapf Dingbats" w:cs="Gill Sans"/>
                <w:sz w:val="22"/>
                <w:szCs w:val="22"/>
                <w:lang w:val="uk-UA"/>
              </w:rPr>
            </w:pPr>
          </w:p>
        </w:tc>
        <w:tc>
          <w:tcPr>
            <w:tcW w:w="374" w:type="dxa"/>
            <w:vMerge/>
            <w:tcBorders>
              <w:left w:val="single" w:sz="2" w:space="0" w:color="FFFFFF"/>
              <w:bottom w:val="single" w:sz="18" w:space="0" w:color="FFFFFF"/>
              <w:right w:val="single" w:sz="2" w:space="0" w:color="FFFFFF"/>
            </w:tcBorders>
            <w:shd w:val="clear" w:color="auto" w:fill="FBD4B4"/>
          </w:tcPr>
          <w:p w14:paraId="196E4ACC" w14:textId="77777777" w:rsidR="00716638" w:rsidRPr="00257F44" w:rsidRDefault="00716638" w:rsidP="00131C34">
            <w:pPr>
              <w:rPr>
                <w:rFonts w:ascii="Zapf Dingbats" w:hAnsi="Zapf Dingbats" w:cs="Gill Sans"/>
                <w:sz w:val="22"/>
                <w:szCs w:val="22"/>
                <w:lang w:val="uk-UA"/>
              </w:rPr>
            </w:pPr>
          </w:p>
        </w:tc>
        <w:tc>
          <w:tcPr>
            <w:tcW w:w="375" w:type="dxa"/>
            <w:vMerge/>
            <w:tcBorders>
              <w:left w:val="single" w:sz="2" w:space="0" w:color="FFFFFF"/>
              <w:bottom w:val="single" w:sz="18" w:space="0" w:color="FFFFFF"/>
              <w:right w:val="single" w:sz="2" w:space="0" w:color="FFFFFF"/>
            </w:tcBorders>
            <w:shd w:val="clear" w:color="auto" w:fill="FBD4B4"/>
          </w:tcPr>
          <w:p w14:paraId="373834C6" w14:textId="77777777" w:rsidR="00716638" w:rsidRPr="00257F44" w:rsidRDefault="00716638" w:rsidP="00131C34">
            <w:pPr>
              <w:rPr>
                <w:rFonts w:ascii="Zapf Dingbats" w:hAnsi="Zapf Dingbats" w:cs="Gill Sans"/>
                <w:sz w:val="22"/>
                <w:szCs w:val="22"/>
                <w:lang w:val="uk-UA"/>
              </w:rPr>
            </w:pPr>
          </w:p>
        </w:tc>
        <w:tc>
          <w:tcPr>
            <w:tcW w:w="861" w:type="dxa"/>
            <w:vMerge/>
            <w:tcBorders>
              <w:left w:val="single" w:sz="2" w:space="0" w:color="FFFFFF"/>
              <w:bottom w:val="single" w:sz="18" w:space="0" w:color="FFFFFF"/>
              <w:right w:val="single" w:sz="18" w:space="0" w:color="FFFFFF"/>
            </w:tcBorders>
            <w:shd w:val="clear" w:color="auto" w:fill="FBD4B4"/>
          </w:tcPr>
          <w:p w14:paraId="024D6068" w14:textId="77777777" w:rsidR="00716638" w:rsidRPr="00257F44" w:rsidRDefault="00716638" w:rsidP="00131C34">
            <w:pPr>
              <w:rPr>
                <w:rFonts w:ascii="Zapf Dingbats" w:hAnsi="Zapf Dingbats" w:cs="Gill Sans"/>
                <w:sz w:val="22"/>
                <w:szCs w:val="22"/>
                <w:lang w:val="uk-UA"/>
              </w:rPr>
            </w:pPr>
          </w:p>
        </w:tc>
        <w:tc>
          <w:tcPr>
            <w:tcW w:w="341" w:type="dxa"/>
            <w:vMerge/>
            <w:tcBorders>
              <w:left w:val="single" w:sz="18" w:space="0" w:color="FFFFFF"/>
              <w:bottom w:val="single" w:sz="18" w:space="0" w:color="FFFFFF"/>
              <w:right w:val="single" w:sz="2" w:space="0" w:color="FFFFFF"/>
            </w:tcBorders>
            <w:shd w:val="clear" w:color="auto" w:fill="CCC0D9"/>
          </w:tcPr>
          <w:p w14:paraId="6D782C67" w14:textId="77777777" w:rsidR="00716638" w:rsidRPr="00257F44" w:rsidRDefault="00716638" w:rsidP="00131C34">
            <w:pPr>
              <w:rPr>
                <w:rFonts w:ascii="Zapf Dingbats" w:hAnsi="Zapf Dingbats" w:cs="Gill Sans"/>
                <w:sz w:val="22"/>
                <w:szCs w:val="22"/>
                <w:lang w:val="uk-UA"/>
              </w:rPr>
            </w:pPr>
          </w:p>
        </w:tc>
        <w:tc>
          <w:tcPr>
            <w:tcW w:w="349" w:type="dxa"/>
            <w:vMerge/>
            <w:tcBorders>
              <w:left w:val="single" w:sz="2" w:space="0" w:color="FFFFFF"/>
              <w:bottom w:val="single" w:sz="18" w:space="0" w:color="FFFFFF"/>
              <w:right w:val="single" w:sz="2" w:space="0" w:color="FFFFFF"/>
            </w:tcBorders>
            <w:shd w:val="clear" w:color="auto" w:fill="CCC0D9"/>
          </w:tcPr>
          <w:p w14:paraId="364C5538" w14:textId="77777777" w:rsidR="00716638" w:rsidRPr="00257F44" w:rsidRDefault="00716638" w:rsidP="00131C34">
            <w:pPr>
              <w:rPr>
                <w:rFonts w:ascii="Zapf Dingbats" w:hAnsi="Zapf Dingbats" w:cs="Gill Sans"/>
                <w:sz w:val="22"/>
                <w:szCs w:val="22"/>
                <w:lang w:val="uk-UA"/>
              </w:rPr>
            </w:pPr>
          </w:p>
        </w:tc>
        <w:tc>
          <w:tcPr>
            <w:tcW w:w="430" w:type="dxa"/>
            <w:vMerge/>
            <w:tcBorders>
              <w:left w:val="single" w:sz="2" w:space="0" w:color="FFFFFF"/>
              <w:bottom w:val="single" w:sz="18" w:space="0" w:color="FFFFFF"/>
              <w:right w:val="single" w:sz="2" w:space="0" w:color="FFFFFF"/>
            </w:tcBorders>
            <w:shd w:val="clear" w:color="auto" w:fill="CCC0D9"/>
          </w:tcPr>
          <w:p w14:paraId="296E222E" w14:textId="77777777" w:rsidR="00716638" w:rsidRPr="00257F44" w:rsidRDefault="00716638" w:rsidP="00131C34">
            <w:pPr>
              <w:rPr>
                <w:rFonts w:ascii="Zapf Dingbats" w:hAnsi="Zapf Dingbats" w:cs="Gill Sans"/>
                <w:sz w:val="22"/>
                <w:szCs w:val="22"/>
                <w:lang w:val="uk-UA"/>
              </w:rPr>
            </w:pPr>
          </w:p>
        </w:tc>
        <w:tc>
          <w:tcPr>
            <w:tcW w:w="349" w:type="dxa"/>
            <w:vMerge/>
            <w:tcBorders>
              <w:left w:val="single" w:sz="2" w:space="0" w:color="FFFFFF"/>
              <w:bottom w:val="single" w:sz="18" w:space="0" w:color="FFFFFF"/>
              <w:right w:val="single" w:sz="18" w:space="0" w:color="FFFFFF"/>
            </w:tcBorders>
            <w:shd w:val="clear" w:color="auto" w:fill="CCC0D9"/>
          </w:tcPr>
          <w:p w14:paraId="01221A94" w14:textId="77777777" w:rsidR="00716638" w:rsidRPr="00257F44" w:rsidRDefault="00716638" w:rsidP="00131C34">
            <w:pPr>
              <w:rPr>
                <w:rFonts w:ascii="Zapf Dingbats" w:hAnsi="Zapf Dingbats" w:cs="Gill Sans"/>
                <w:sz w:val="22"/>
                <w:szCs w:val="22"/>
                <w:lang w:val="uk-UA"/>
              </w:rPr>
            </w:pPr>
          </w:p>
        </w:tc>
        <w:tc>
          <w:tcPr>
            <w:tcW w:w="486" w:type="dxa"/>
            <w:tcBorders>
              <w:top w:val="single" w:sz="8" w:space="0" w:color="FFFFFF" w:themeColor="background1"/>
              <w:left w:val="single" w:sz="18" w:space="0" w:color="FFFFFF"/>
              <w:bottom w:val="single" w:sz="18" w:space="0" w:color="FFFFFF"/>
              <w:right w:val="single" w:sz="4" w:space="0" w:color="FFFFFF" w:themeColor="background1"/>
            </w:tcBorders>
            <w:shd w:val="clear" w:color="auto" w:fill="B8CCE4"/>
          </w:tcPr>
          <w:p w14:paraId="14624768" w14:textId="77777777" w:rsidR="00716638" w:rsidRPr="00257F44" w:rsidRDefault="00716638" w:rsidP="00131C34">
            <w:pPr>
              <w:rPr>
                <w:rFonts w:ascii="Zapf Dingbats" w:hAnsi="Zapf Dingbats" w:cs="Gill Sans"/>
                <w:sz w:val="22"/>
                <w:szCs w:val="22"/>
                <w:lang w:val="uk-UA"/>
              </w:rPr>
            </w:pPr>
          </w:p>
        </w:tc>
        <w:tc>
          <w:tcPr>
            <w:tcW w:w="591" w:type="dxa"/>
            <w:tcBorders>
              <w:top w:val="single" w:sz="8" w:space="0" w:color="FFFFFF" w:themeColor="background1"/>
              <w:left w:val="single" w:sz="4" w:space="0" w:color="FFFFFF" w:themeColor="background1"/>
              <w:bottom w:val="single" w:sz="18" w:space="0" w:color="FFFFFF"/>
              <w:right w:val="single" w:sz="2" w:space="0" w:color="FFFFFF"/>
            </w:tcBorders>
            <w:shd w:val="clear" w:color="auto" w:fill="B8CCE4"/>
          </w:tcPr>
          <w:p w14:paraId="195A17A2" w14:textId="77777777" w:rsidR="00716638" w:rsidRPr="00257F44" w:rsidRDefault="00716638" w:rsidP="00131C34">
            <w:pPr>
              <w:rPr>
                <w:rFonts w:ascii="Zapf Dingbats" w:hAnsi="Zapf Dingbats" w:cs="Gill Sans"/>
                <w:sz w:val="22"/>
                <w:szCs w:val="22"/>
                <w:lang w:val="uk-UA"/>
              </w:rPr>
            </w:pPr>
          </w:p>
        </w:tc>
        <w:tc>
          <w:tcPr>
            <w:tcW w:w="483" w:type="dxa"/>
            <w:tcBorders>
              <w:top w:val="single" w:sz="8" w:space="0" w:color="FFFFFF" w:themeColor="background1"/>
              <w:left w:val="single" w:sz="2" w:space="0" w:color="FFFFFF"/>
              <w:bottom w:val="single" w:sz="18" w:space="0" w:color="FFFFFF"/>
              <w:right w:val="single" w:sz="2" w:space="0" w:color="FFFFFF"/>
            </w:tcBorders>
            <w:shd w:val="clear" w:color="auto" w:fill="B8CCE4"/>
          </w:tcPr>
          <w:p w14:paraId="30495F55" w14:textId="44B62FBC" w:rsidR="00716638" w:rsidRPr="00257F44" w:rsidRDefault="005B6F2C" w:rsidP="00131C34">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18" w:type="dxa"/>
            <w:tcBorders>
              <w:top w:val="single" w:sz="8" w:space="0" w:color="FFFFFF" w:themeColor="background1"/>
              <w:left w:val="single" w:sz="2" w:space="0" w:color="FFFFFF"/>
              <w:bottom w:val="single" w:sz="18" w:space="0" w:color="FFFFFF"/>
              <w:right w:val="single" w:sz="18" w:space="0" w:color="FFFFFF"/>
            </w:tcBorders>
            <w:shd w:val="clear" w:color="auto" w:fill="B8CCE4"/>
          </w:tcPr>
          <w:p w14:paraId="09DB07ED" w14:textId="243DAF23" w:rsidR="00716638" w:rsidRPr="00257F44" w:rsidRDefault="00716638" w:rsidP="00131C34">
            <w:pPr>
              <w:rPr>
                <w:rFonts w:ascii="Gill Sans" w:hAnsi="Gill Sans" w:cs="Gill Sans"/>
                <w:sz w:val="22"/>
                <w:szCs w:val="22"/>
                <w:lang w:val="uk-UA"/>
              </w:rPr>
            </w:pPr>
          </w:p>
        </w:tc>
        <w:tc>
          <w:tcPr>
            <w:tcW w:w="349" w:type="dxa"/>
            <w:vMerge/>
            <w:tcBorders>
              <w:left w:val="single" w:sz="18" w:space="0" w:color="FFFFFF"/>
              <w:bottom w:val="single" w:sz="18" w:space="0" w:color="FFFFFF"/>
              <w:right w:val="single" w:sz="2" w:space="0" w:color="FFFFFF"/>
            </w:tcBorders>
            <w:shd w:val="clear" w:color="auto" w:fill="D99594"/>
          </w:tcPr>
          <w:p w14:paraId="32CBC83B" w14:textId="77777777" w:rsidR="00716638" w:rsidRPr="00257F44" w:rsidRDefault="00716638" w:rsidP="00131C34">
            <w:pPr>
              <w:rPr>
                <w:rFonts w:ascii="Gill Sans" w:hAnsi="Gill Sans" w:cs="Gill Sans"/>
                <w:sz w:val="22"/>
                <w:szCs w:val="22"/>
                <w:lang w:val="uk-UA"/>
              </w:rPr>
            </w:pPr>
          </w:p>
        </w:tc>
        <w:tc>
          <w:tcPr>
            <w:tcW w:w="428" w:type="dxa"/>
            <w:vMerge/>
            <w:tcBorders>
              <w:left w:val="single" w:sz="2" w:space="0" w:color="FFFFFF"/>
              <w:bottom w:val="single" w:sz="18" w:space="0" w:color="FFFFFF"/>
              <w:right w:val="single" w:sz="2" w:space="0" w:color="FFFFFF"/>
            </w:tcBorders>
            <w:shd w:val="clear" w:color="auto" w:fill="D99594"/>
          </w:tcPr>
          <w:p w14:paraId="4ECD594F" w14:textId="77777777" w:rsidR="00716638" w:rsidRPr="00257F44" w:rsidRDefault="00716638" w:rsidP="00131C34">
            <w:pPr>
              <w:rPr>
                <w:rFonts w:ascii="Gill Sans" w:hAnsi="Gill Sans" w:cs="Gill Sans"/>
                <w:sz w:val="22"/>
                <w:szCs w:val="22"/>
                <w:lang w:val="uk-UA"/>
              </w:rPr>
            </w:pPr>
          </w:p>
        </w:tc>
        <w:tc>
          <w:tcPr>
            <w:tcW w:w="349" w:type="dxa"/>
            <w:vMerge/>
            <w:tcBorders>
              <w:left w:val="single" w:sz="2" w:space="0" w:color="FFFFFF"/>
              <w:bottom w:val="single" w:sz="18" w:space="0" w:color="FFFFFF"/>
              <w:right w:val="single" w:sz="2" w:space="0" w:color="FFFFFF"/>
            </w:tcBorders>
            <w:shd w:val="clear" w:color="auto" w:fill="D99594"/>
          </w:tcPr>
          <w:p w14:paraId="36E8140A" w14:textId="77777777" w:rsidR="00716638" w:rsidRPr="00257F44" w:rsidRDefault="00716638" w:rsidP="00131C34">
            <w:pPr>
              <w:rPr>
                <w:rFonts w:ascii="Gill Sans" w:hAnsi="Gill Sans" w:cs="Gill Sans"/>
                <w:sz w:val="22"/>
                <w:szCs w:val="22"/>
                <w:lang w:val="uk-UA"/>
              </w:rPr>
            </w:pPr>
          </w:p>
        </w:tc>
        <w:tc>
          <w:tcPr>
            <w:tcW w:w="349" w:type="dxa"/>
            <w:vMerge/>
            <w:tcBorders>
              <w:left w:val="single" w:sz="2" w:space="0" w:color="FFFFFF"/>
              <w:bottom w:val="single" w:sz="18" w:space="0" w:color="FFFFFF"/>
              <w:right w:val="single" w:sz="2" w:space="0" w:color="FFFFFF"/>
            </w:tcBorders>
            <w:shd w:val="clear" w:color="auto" w:fill="D99594"/>
          </w:tcPr>
          <w:p w14:paraId="005587D2" w14:textId="77777777" w:rsidR="00716638" w:rsidRPr="00257F44" w:rsidRDefault="00716638" w:rsidP="00131C34">
            <w:pPr>
              <w:rPr>
                <w:rFonts w:ascii="Gill Sans" w:hAnsi="Gill Sans" w:cs="Gill Sans"/>
                <w:sz w:val="22"/>
                <w:szCs w:val="22"/>
                <w:lang w:val="uk-UA"/>
              </w:rPr>
            </w:pPr>
          </w:p>
        </w:tc>
        <w:tc>
          <w:tcPr>
            <w:tcW w:w="430" w:type="dxa"/>
            <w:vMerge/>
            <w:tcBorders>
              <w:left w:val="single" w:sz="2" w:space="0" w:color="FFFFFF"/>
              <w:bottom w:val="single" w:sz="18" w:space="0" w:color="FFFFFF"/>
              <w:right w:val="single" w:sz="18" w:space="0" w:color="FFFFFF"/>
            </w:tcBorders>
            <w:shd w:val="clear" w:color="auto" w:fill="D99594"/>
          </w:tcPr>
          <w:p w14:paraId="6C484200" w14:textId="77777777" w:rsidR="00716638" w:rsidRPr="00257F44" w:rsidRDefault="00716638" w:rsidP="00131C34">
            <w:pPr>
              <w:rPr>
                <w:rFonts w:ascii="Gill Sans" w:hAnsi="Gill Sans" w:cs="Gill Sans"/>
                <w:sz w:val="22"/>
                <w:szCs w:val="22"/>
                <w:lang w:val="uk-UA"/>
              </w:rPr>
            </w:pPr>
          </w:p>
        </w:tc>
      </w:tr>
    </w:tbl>
    <w:p w14:paraId="6F7C909D" w14:textId="5A5F5BC5" w:rsidR="005D7EC5" w:rsidRPr="00257F44" w:rsidRDefault="00475C6C" w:rsidP="008757D2">
      <w:pPr>
        <w:pStyle w:val="Heading3"/>
        <w:spacing w:after="120"/>
        <w:rPr>
          <w:lang w:val="uk-UA"/>
        </w:rPr>
      </w:pPr>
      <w:r w:rsidRPr="00257F44">
        <w:rPr>
          <w:lang w:val="uk-UA"/>
        </w:rPr>
        <w:lastRenderedPageBreak/>
        <w:t>Мета зобов’язання</w:t>
      </w:r>
    </w:p>
    <w:p w14:paraId="732FCAB7" w14:textId="0F7AA000" w:rsidR="00D37969" w:rsidRPr="00257F44" w:rsidRDefault="00D37969" w:rsidP="008757D2">
      <w:pPr>
        <w:spacing w:after="120"/>
        <w:rPr>
          <w:rFonts w:ascii="Gill Sans" w:hAnsi="Gill Sans" w:cs="Gill Sans"/>
          <w:sz w:val="22"/>
          <w:szCs w:val="22"/>
          <w:lang w:val="uk-UA"/>
        </w:rPr>
      </w:pPr>
      <w:r w:rsidRPr="00257F44">
        <w:rPr>
          <w:rFonts w:ascii="Gill Sans" w:hAnsi="Gill Sans" w:cs="Gill Sans"/>
          <w:sz w:val="22"/>
          <w:szCs w:val="22"/>
          <w:lang w:val="uk-UA"/>
        </w:rPr>
        <w:t xml:space="preserve">Обидва зобов’язання були спрямовані на покращення участі громадянського суспільства в розробці та реалізації </w:t>
      </w:r>
      <w:r w:rsidR="003B0224" w:rsidRPr="00257F44">
        <w:rPr>
          <w:rFonts w:ascii="Gill Sans" w:hAnsi="Gill Sans" w:cs="Gill Sans"/>
          <w:sz w:val="22"/>
          <w:szCs w:val="22"/>
          <w:lang w:val="uk-UA"/>
        </w:rPr>
        <w:t>публічної</w:t>
      </w:r>
      <w:r w:rsidRPr="00257F44">
        <w:rPr>
          <w:rFonts w:ascii="Gill Sans" w:hAnsi="Gill Sans" w:cs="Gill Sans"/>
          <w:sz w:val="22"/>
          <w:szCs w:val="22"/>
          <w:lang w:val="uk-UA"/>
        </w:rPr>
        <w:t xml:space="preserve"> політики шляхом створення нових або вдосконалення існуючих формальних процедур</w:t>
      </w:r>
      <w:r w:rsidR="003B0224" w:rsidRPr="00257F44">
        <w:rPr>
          <w:rFonts w:ascii="Gill Sans" w:hAnsi="Gill Sans" w:cs="Gill Sans"/>
          <w:sz w:val="22"/>
          <w:szCs w:val="22"/>
          <w:lang w:val="uk-UA"/>
        </w:rPr>
        <w:t xml:space="preserve"> і структур</w:t>
      </w:r>
      <w:r w:rsidRPr="00257F44">
        <w:rPr>
          <w:rFonts w:ascii="Gill Sans" w:hAnsi="Gill Sans" w:cs="Gill Sans"/>
          <w:sz w:val="22"/>
          <w:szCs w:val="22"/>
          <w:lang w:val="uk-UA"/>
        </w:rPr>
        <w:t>.</w:t>
      </w:r>
      <w:r w:rsidR="003B0224" w:rsidRPr="00257F44">
        <w:rPr>
          <w:rFonts w:ascii="Gill Sans" w:hAnsi="Gill Sans" w:cs="Gill Sans"/>
          <w:sz w:val="22"/>
          <w:szCs w:val="22"/>
          <w:lang w:val="uk-UA"/>
        </w:rPr>
        <w:t xml:space="preserve"> Залучення громадянського суспільства є визначальним для дієвої демократії участі, особли</w:t>
      </w:r>
      <w:r w:rsidR="007B2976" w:rsidRPr="00257F44">
        <w:rPr>
          <w:rFonts w:ascii="Gill Sans" w:hAnsi="Gill Sans" w:cs="Gill Sans"/>
          <w:sz w:val="22"/>
          <w:szCs w:val="22"/>
          <w:lang w:val="uk-UA"/>
        </w:rPr>
        <w:t xml:space="preserve">во в Україні, де все ще сильним є спадок державної монополії на публічну політику. Зобов’язання 1 стосувалося покращення урядових правил з метою </w:t>
      </w:r>
      <w:r w:rsidR="003C37B2" w:rsidRPr="00257F44">
        <w:rPr>
          <w:rFonts w:ascii="Gill Sans" w:hAnsi="Gill Sans" w:cs="Gill Sans"/>
          <w:sz w:val="22"/>
          <w:szCs w:val="22"/>
          <w:lang w:val="uk-UA"/>
        </w:rPr>
        <w:t>посилення громадс</w:t>
      </w:r>
      <w:r w:rsidR="00B8120B" w:rsidRPr="00257F44">
        <w:rPr>
          <w:rFonts w:ascii="Gill Sans" w:hAnsi="Gill Sans" w:cs="Gill Sans"/>
          <w:sz w:val="22"/>
          <w:szCs w:val="22"/>
          <w:lang w:val="uk-UA"/>
        </w:rPr>
        <w:t>ької участі в процесі вироблення</w:t>
      </w:r>
      <w:r w:rsidR="003C37B2" w:rsidRPr="00257F44">
        <w:rPr>
          <w:rFonts w:ascii="Gill Sans" w:hAnsi="Gill Sans" w:cs="Gill Sans"/>
          <w:sz w:val="22"/>
          <w:szCs w:val="22"/>
          <w:lang w:val="uk-UA"/>
        </w:rPr>
        <w:t xml:space="preserve"> політики. Зобов’язання 4 спрямовано на підготовку і, в підсумку, ухвалення за</w:t>
      </w:r>
      <w:r w:rsidR="00B8120B" w:rsidRPr="00257F44">
        <w:rPr>
          <w:rFonts w:ascii="Gill Sans" w:hAnsi="Gill Sans" w:cs="Gill Sans"/>
          <w:sz w:val="22"/>
          <w:szCs w:val="22"/>
          <w:lang w:val="uk-UA"/>
        </w:rPr>
        <w:t>кону про участь громадськості. У</w:t>
      </w:r>
      <w:r w:rsidR="003C37B2" w:rsidRPr="00257F44">
        <w:rPr>
          <w:rFonts w:ascii="Gill Sans" w:hAnsi="Gill Sans" w:cs="Gill Sans"/>
          <w:sz w:val="22"/>
          <w:szCs w:val="22"/>
          <w:lang w:val="uk-UA"/>
        </w:rPr>
        <w:t xml:space="preserve"> разі реалізації, це було б значним кроком уперед у </w:t>
      </w:r>
      <w:r w:rsidR="00577CC3" w:rsidRPr="00257F44">
        <w:rPr>
          <w:rFonts w:ascii="Gill Sans" w:hAnsi="Gill Sans" w:cs="Gill Sans"/>
          <w:sz w:val="22"/>
          <w:szCs w:val="22"/>
          <w:lang w:val="uk-UA"/>
        </w:rPr>
        <w:t xml:space="preserve">напрямку </w:t>
      </w:r>
      <w:r w:rsidR="003C37B2" w:rsidRPr="00257F44">
        <w:rPr>
          <w:rFonts w:ascii="Gill Sans" w:hAnsi="Gill Sans" w:cs="Gill Sans"/>
          <w:sz w:val="22"/>
          <w:szCs w:val="22"/>
          <w:lang w:val="uk-UA"/>
        </w:rPr>
        <w:t>залучення громадян до процесу ухвалення владних рішень.</w:t>
      </w:r>
    </w:p>
    <w:p w14:paraId="0246F967" w14:textId="577F29F0" w:rsidR="000318B7" w:rsidRPr="00257F44" w:rsidRDefault="00475C6C" w:rsidP="008757D2">
      <w:pPr>
        <w:pStyle w:val="Heading3"/>
        <w:spacing w:after="120"/>
        <w:rPr>
          <w:lang w:val="uk-UA"/>
        </w:rPr>
      </w:pPr>
      <w:r w:rsidRPr="00257F44">
        <w:rPr>
          <w:lang w:val="uk-UA"/>
        </w:rPr>
        <w:t>Статус виконання</w:t>
      </w:r>
    </w:p>
    <w:p w14:paraId="2154DB77" w14:textId="58043A37" w:rsidR="00FF59DF" w:rsidRPr="00257F44" w:rsidRDefault="00FF59DF" w:rsidP="008757D2">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 xml:space="preserve">1. </w:t>
      </w:r>
      <w:r w:rsidR="00577CC3" w:rsidRPr="00257F44">
        <w:rPr>
          <w:rFonts w:ascii="Gill Sans" w:hAnsi="Gill Sans" w:cs="Gill Sans"/>
          <w:b/>
          <w:noProof/>
          <w:sz w:val="22"/>
          <w:szCs w:val="22"/>
          <w:lang w:val="uk-UA"/>
        </w:rPr>
        <w:t>Покращ</w:t>
      </w:r>
      <w:r w:rsidR="00EE79A0" w:rsidRPr="00257F44">
        <w:rPr>
          <w:rFonts w:ascii="Gill Sans" w:hAnsi="Gill Sans" w:cs="Gill Sans"/>
          <w:b/>
          <w:noProof/>
          <w:sz w:val="22"/>
          <w:szCs w:val="22"/>
          <w:lang w:val="uk-UA"/>
        </w:rPr>
        <w:t>ити урядові</w:t>
      </w:r>
      <w:r w:rsidR="00577CC3" w:rsidRPr="00257F44">
        <w:rPr>
          <w:rFonts w:ascii="Gill Sans" w:hAnsi="Gill Sans" w:cs="Gill Sans"/>
          <w:b/>
          <w:noProof/>
          <w:sz w:val="22"/>
          <w:szCs w:val="22"/>
          <w:lang w:val="uk-UA"/>
        </w:rPr>
        <w:t xml:space="preserve"> правил</w:t>
      </w:r>
      <w:r w:rsidR="00EE79A0" w:rsidRPr="00257F44">
        <w:rPr>
          <w:rFonts w:ascii="Gill Sans" w:hAnsi="Gill Sans" w:cs="Gill Sans"/>
          <w:b/>
          <w:noProof/>
          <w:sz w:val="22"/>
          <w:szCs w:val="22"/>
          <w:lang w:val="uk-UA"/>
        </w:rPr>
        <w:t>а</w:t>
      </w:r>
      <w:r w:rsidR="00577CC3" w:rsidRPr="00257F44">
        <w:rPr>
          <w:rFonts w:ascii="Gill Sans" w:hAnsi="Gill Sans" w:cs="Gill Sans"/>
          <w:b/>
          <w:noProof/>
          <w:sz w:val="22"/>
          <w:szCs w:val="22"/>
          <w:lang w:val="uk-UA"/>
        </w:rPr>
        <w:t xml:space="preserve"> щодо залучення ОГС</w:t>
      </w:r>
    </w:p>
    <w:p w14:paraId="4478BC2C" w14:textId="77777777" w:rsidR="00475C6C" w:rsidRPr="00257F44" w:rsidRDefault="00475C6C" w:rsidP="008757D2">
      <w:pPr>
        <w:pStyle w:val="Normalrglronly"/>
        <w:rPr>
          <w:b/>
          <w:lang w:val="uk-UA"/>
        </w:rPr>
      </w:pPr>
      <w:r w:rsidRPr="00257F44">
        <w:rPr>
          <w:b/>
          <w:lang w:val="uk-UA"/>
        </w:rPr>
        <w:t>Проміжний звіт: Повне виконання</w:t>
      </w:r>
    </w:p>
    <w:p w14:paraId="34D75843" w14:textId="6AF59169" w:rsidR="009D2C1F" w:rsidRPr="00257F44" w:rsidRDefault="003A5E0D" w:rsidP="008757D2">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Уряд затвердив декілька нормативних актів стосовно залучення організацій громадянського суспільства (ОГС) </w:t>
      </w:r>
      <w:r w:rsidR="00B80896" w:rsidRPr="00257F44">
        <w:rPr>
          <w:rFonts w:ascii="Gill Sans" w:hAnsi="Gill Sans" w:cs="Gill Sans"/>
          <w:noProof/>
          <w:sz w:val="22"/>
          <w:szCs w:val="22"/>
          <w:lang w:val="uk-UA"/>
        </w:rPr>
        <w:t xml:space="preserve">до </w:t>
      </w:r>
      <w:r w:rsidRPr="00257F44">
        <w:rPr>
          <w:rFonts w:ascii="Gill Sans" w:hAnsi="Gill Sans" w:cs="Gill Sans"/>
          <w:noProof/>
          <w:sz w:val="22"/>
          <w:szCs w:val="22"/>
          <w:lang w:val="uk-UA"/>
        </w:rPr>
        <w:t>процес</w:t>
      </w:r>
      <w:r w:rsidR="00B80896" w:rsidRPr="00257F44">
        <w:rPr>
          <w:rFonts w:ascii="Gill Sans" w:hAnsi="Gill Sans" w:cs="Gill Sans"/>
          <w:noProof/>
          <w:sz w:val="22"/>
          <w:szCs w:val="22"/>
          <w:lang w:val="uk-UA"/>
        </w:rPr>
        <w:t>у</w:t>
      </w:r>
      <w:r w:rsidR="001C0FE1" w:rsidRPr="00257F44">
        <w:rPr>
          <w:rFonts w:ascii="Gill Sans" w:hAnsi="Gill Sans" w:cs="Gill Sans"/>
          <w:noProof/>
          <w:sz w:val="22"/>
          <w:szCs w:val="22"/>
          <w:lang w:val="uk-UA"/>
        </w:rPr>
        <w:t xml:space="preserve"> формування політики:</w:t>
      </w:r>
      <w:r w:rsidRPr="00257F44">
        <w:rPr>
          <w:rFonts w:ascii="Gill Sans" w:hAnsi="Gill Sans" w:cs="Gill Sans"/>
          <w:noProof/>
          <w:sz w:val="22"/>
          <w:szCs w:val="22"/>
          <w:lang w:val="uk-UA"/>
        </w:rPr>
        <w:t xml:space="preserve"> Порядок проведення консультацій з громадськістю з питань формування та реалізації державної політики</w:t>
      </w:r>
      <w:r w:rsidR="00B80896" w:rsidRPr="00257F44">
        <w:rPr>
          <w:rFonts w:ascii="Gill Sans" w:hAnsi="Gill Sans" w:cs="Gill Sans"/>
          <w:noProof/>
          <w:sz w:val="22"/>
          <w:szCs w:val="22"/>
          <w:lang w:val="uk-UA"/>
        </w:rPr>
        <w:t>,</w:t>
      </w:r>
      <w:r w:rsidRPr="00257F44">
        <w:rPr>
          <w:rFonts w:ascii="Gill Sans" w:hAnsi="Gill Sans" w:cs="Gill Sans"/>
          <w:noProof/>
          <w:sz w:val="22"/>
          <w:szCs w:val="22"/>
          <w:lang w:val="uk-UA"/>
        </w:rPr>
        <w:t xml:space="preserve"> Типове положення 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районній у мм. Києві та Севастополі державній адміністрації</w:t>
      </w:r>
      <w:r w:rsidR="001C0FE1" w:rsidRPr="00257F44">
        <w:rPr>
          <w:rFonts w:ascii="Gill Sans" w:hAnsi="Gill Sans" w:cs="Gill Sans"/>
          <w:noProof/>
          <w:sz w:val="22"/>
          <w:szCs w:val="22"/>
          <w:lang w:val="uk-UA"/>
        </w:rPr>
        <w:t xml:space="preserve"> (обида документи затверджені в 2010 році)</w:t>
      </w:r>
      <w:r w:rsidRPr="00257F44">
        <w:rPr>
          <w:rFonts w:ascii="Gill Sans" w:hAnsi="Gill Sans" w:cs="Gill Sans"/>
          <w:noProof/>
          <w:sz w:val="22"/>
          <w:szCs w:val="22"/>
          <w:lang w:val="uk-UA"/>
        </w:rPr>
        <w:t>, а також Порядок сприяння проведенню громадської експертизи діяльності орган</w:t>
      </w:r>
      <w:r w:rsidR="00B80896" w:rsidRPr="00257F44">
        <w:rPr>
          <w:rFonts w:ascii="Gill Sans" w:hAnsi="Gill Sans" w:cs="Gill Sans"/>
          <w:noProof/>
          <w:sz w:val="22"/>
          <w:szCs w:val="22"/>
          <w:lang w:val="uk-UA"/>
        </w:rPr>
        <w:t>ів виконавчої влади (затверджений</w:t>
      </w:r>
      <w:r w:rsidRPr="00257F44">
        <w:rPr>
          <w:rFonts w:ascii="Gill Sans" w:hAnsi="Gill Sans" w:cs="Gill Sans"/>
          <w:noProof/>
          <w:sz w:val="22"/>
          <w:szCs w:val="22"/>
          <w:lang w:val="uk-UA"/>
        </w:rPr>
        <w:t xml:space="preserve"> в </w:t>
      </w:r>
      <w:r w:rsidR="001C0FE1" w:rsidRPr="00257F44">
        <w:rPr>
          <w:rFonts w:ascii="Gill Sans" w:hAnsi="Gill Sans" w:cs="Gill Sans"/>
          <w:noProof/>
          <w:sz w:val="22"/>
          <w:szCs w:val="22"/>
          <w:lang w:val="uk-UA"/>
        </w:rPr>
        <w:t>2008 році</w:t>
      </w:r>
      <w:r w:rsidR="00B80896" w:rsidRPr="00257F44">
        <w:rPr>
          <w:rFonts w:ascii="Gill Sans" w:hAnsi="Gill Sans" w:cs="Gill Sans"/>
          <w:noProof/>
          <w:sz w:val="22"/>
          <w:szCs w:val="22"/>
          <w:lang w:val="uk-UA"/>
        </w:rPr>
        <w:t>)</w:t>
      </w:r>
      <w:r w:rsidRPr="00257F44">
        <w:rPr>
          <w:rFonts w:ascii="Gill Sans" w:hAnsi="Gill Sans" w:cs="Gill Sans"/>
          <w:noProof/>
          <w:sz w:val="22"/>
          <w:szCs w:val="22"/>
          <w:lang w:val="uk-UA"/>
        </w:rPr>
        <w:t xml:space="preserve">. Тривалий час ОГС закликали переглянути зазначені акти з метою їх впорядкування та підвищення ефективності. </w:t>
      </w:r>
      <w:r w:rsidR="007965E6" w:rsidRPr="00257F44">
        <w:rPr>
          <w:rFonts w:ascii="Gill Sans" w:hAnsi="Gill Sans" w:cs="Gill Sans"/>
          <w:sz w:val="22"/>
          <w:szCs w:val="22"/>
          <w:lang w:val="uk-UA"/>
        </w:rPr>
        <w:t>Перше зобов’язання було повністю виконано. Міністерство юстиції створило робочу групу для підготовки змін та провело публічні консультації з приводу проекту в грудні 2014 року. Проект змін був оприлюднений на веб-сайті Міністерства юстиції та урядовому веб-порталі “Громадянське суспільство і влада”. Уряд ухвалив відповідні зміни у власні акти у квітні 2015 року.</w:t>
      </w:r>
      <w:r w:rsidR="0012351A" w:rsidRPr="00257F44">
        <w:rPr>
          <w:rFonts w:ascii="Gill Sans" w:hAnsi="Gill Sans" w:cs="Gill Sans"/>
          <w:sz w:val="22"/>
          <w:szCs w:val="22"/>
          <w:lang w:val="uk-UA"/>
        </w:rPr>
        <w:t xml:space="preserve"> </w:t>
      </w:r>
      <w:r w:rsidR="004459B0" w:rsidRPr="00257F44">
        <w:rPr>
          <w:rFonts w:ascii="Gill Sans" w:hAnsi="Gill Sans" w:cs="Gill Sans"/>
          <w:noProof/>
          <w:sz w:val="22"/>
          <w:szCs w:val="22"/>
          <w:lang w:val="uk-UA"/>
        </w:rPr>
        <w:t>Представники ОГС підтвердили, що міністерство розробило проект змін у відкритий та інклюзивний спосіб, і що зміни загал</w:t>
      </w:r>
      <w:r w:rsidR="00B80896" w:rsidRPr="00257F44">
        <w:rPr>
          <w:rFonts w:ascii="Gill Sans" w:hAnsi="Gill Sans" w:cs="Gill Sans"/>
          <w:noProof/>
          <w:sz w:val="22"/>
          <w:szCs w:val="22"/>
          <w:lang w:val="uk-UA"/>
        </w:rPr>
        <w:t>ом були</w:t>
      </w:r>
      <w:r w:rsidR="004459B0" w:rsidRPr="00257F44">
        <w:rPr>
          <w:rFonts w:ascii="Gill Sans" w:hAnsi="Gill Sans" w:cs="Gill Sans"/>
          <w:noProof/>
          <w:sz w:val="22"/>
          <w:szCs w:val="22"/>
          <w:lang w:val="uk-UA"/>
        </w:rPr>
        <w:t xml:space="preserve"> поз</w:t>
      </w:r>
      <w:r w:rsidR="00B80896" w:rsidRPr="00257F44">
        <w:rPr>
          <w:rFonts w:ascii="Gill Sans" w:hAnsi="Gill Sans" w:cs="Gill Sans"/>
          <w:noProof/>
          <w:sz w:val="22"/>
          <w:szCs w:val="22"/>
          <w:lang w:val="uk-UA"/>
        </w:rPr>
        <w:t>итивними та значно вдосконалювали</w:t>
      </w:r>
      <w:r w:rsidR="004459B0" w:rsidRPr="00257F44">
        <w:rPr>
          <w:rFonts w:ascii="Gill Sans" w:hAnsi="Gill Sans" w:cs="Gill Sans"/>
          <w:noProof/>
          <w:sz w:val="22"/>
          <w:szCs w:val="22"/>
          <w:lang w:val="uk-UA"/>
        </w:rPr>
        <w:t xml:space="preserve"> відповідні процедури. </w:t>
      </w:r>
      <w:r w:rsidR="0096274D" w:rsidRPr="00257F44">
        <w:rPr>
          <w:rFonts w:ascii="Gill Sans" w:hAnsi="Gill Sans" w:cs="Gill Sans"/>
          <w:noProof/>
          <w:sz w:val="22"/>
          <w:szCs w:val="22"/>
          <w:lang w:val="uk-UA"/>
        </w:rPr>
        <w:t xml:space="preserve">Зміни </w:t>
      </w:r>
      <w:r w:rsidR="00B80896" w:rsidRPr="00257F44">
        <w:rPr>
          <w:rFonts w:ascii="Gill Sans" w:hAnsi="Gill Sans" w:cs="Gill Sans"/>
          <w:noProof/>
          <w:sz w:val="22"/>
          <w:szCs w:val="22"/>
          <w:lang w:val="uk-UA"/>
        </w:rPr>
        <w:t xml:space="preserve">передбачали </w:t>
      </w:r>
      <w:r w:rsidR="0096274D" w:rsidRPr="00257F44">
        <w:rPr>
          <w:rFonts w:ascii="Gill Sans" w:hAnsi="Gill Sans" w:cs="Gill Sans"/>
          <w:noProof/>
          <w:sz w:val="22"/>
          <w:szCs w:val="22"/>
          <w:lang w:val="uk-UA"/>
        </w:rPr>
        <w:t>спрощення та вдосконалення механізму проведення консультацій, робили їх більш відкритими та інклюзивними</w:t>
      </w:r>
      <w:r w:rsidR="00B80896" w:rsidRPr="00257F44">
        <w:rPr>
          <w:rFonts w:ascii="Gill Sans" w:hAnsi="Gill Sans" w:cs="Gill Sans"/>
          <w:noProof/>
          <w:sz w:val="22"/>
          <w:szCs w:val="22"/>
          <w:lang w:val="uk-UA"/>
        </w:rPr>
        <w:t xml:space="preserve">, </w:t>
      </w:r>
      <w:r w:rsidR="0096274D" w:rsidRPr="00257F44">
        <w:rPr>
          <w:rFonts w:ascii="Gill Sans" w:hAnsi="Gill Sans" w:cs="Gill Sans"/>
          <w:noProof/>
          <w:sz w:val="22"/>
          <w:szCs w:val="22"/>
          <w:lang w:val="uk-UA"/>
        </w:rPr>
        <w:t xml:space="preserve">визначали чіткий перелік питань, які вимагають обов’язкових публічних консультацій. Крім того, </w:t>
      </w:r>
      <w:r w:rsidR="00C41815" w:rsidRPr="00257F44">
        <w:rPr>
          <w:rFonts w:ascii="Gill Sans" w:hAnsi="Gill Sans" w:cs="Gill Sans"/>
          <w:noProof/>
          <w:sz w:val="22"/>
          <w:szCs w:val="22"/>
          <w:lang w:val="uk-UA"/>
        </w:rPr>
        <w:t>урядові акти було посилено в частині механізму підзвітності, що дозволяє проводити громадську експертизу органів влади</w:t>
      </w:r>
      <w:r w:rsidR="00AE360A" w:rsidRPr="00257F44">
        <w:rPr>
          <w:rStyle w:val="EndnoteReference"/>
          <w:rFonts w:ascii="Gill Sans" w:hAnsi="Gill Sans" w:cs="Gill Sans"/>
          <w:noProof/>
          <w:sz w:val="22"/>
          <w:szCs w:val="22"/>
          <w:lang w:val="uk-UA"/>
        </w:rPr>
        <w:endnoteReference w:id="3"/>
      </w:r>
      <w:r w:rsidR="00C41815" w:rsidRPr="00257F44">
        <w:rPr>
          <w:rFonts w:ascii="Gill Sans" w:hAnsi="Gill Sans" w:cs="Gill Sans"/>
          <w:noProof/>
          <w:sz w:val="22"/>
          <w:szCs w:val="22"/>
          <w:lang w:val="uk-UA"/>
        </w:rPr>
        <w:t>.</w:t>
      </w:r>
    </w:p>
    <w:p w14:paraId="08914125" w14:textId="4B165383" w:rsidR="00FF59DF" w:rsidRPr="00257F44" w:rsidRDefault="00FF59DF" w:rsidP="008757D2">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 xml:space="preserve">4. </w:t>
      </w:r>
      <w:r w:rsidR="00577CC3" w:rsidRPr="00257F44">
        <w:rPr>
          <w:rFonts w:ascii="Gill Sans" w:hAnsi="Gill Sans" w:cs="Gill Sans"/>
          <w:b/>
          <w:noProof/>
          <w:sz w:val="22"/>
          <w:szCs w:val="22"/>
          <w:lang w:val="uk-UA"/>
        </w:rPr>
        <w:t>Закон про участь громадськості</w:t>
      </w:r>
    </w:p>
    <w:p w14:paraId="36AF6A8B" w14:textId="5E57DF60" w:rsidR="00FF59DF" w:rsidRPr="00257F44" w:rsidRDefault="00475C6C" w:rsidP="008757D2">
      <w:pPr>
        <w:pStyle w:val="Normalrglronly"/>
        <w:rPr>
          <w:b/>
          <w:lang w:val="uk-UA"/>
        </w:rPr>
      </w:pPr>
      <w:r w:rsidRPr="00257F44">
        <w:rPr>
          <w:b/>
          <w:lang w:val="uk-UA"/>
        </w:rPr>
        <w:t>Проміжний звіт:</w:t>
      </w:r>
      <w:r w:rsidR="00FF59DF" w:rsidRPr="00257F44">
        <w:rPr>
          <w:b/>
          <w:lang w:val="uk-UA"/>
        </w:rPr>
        <w:t xml:space="preserve"> </w:t>
      </w:r>
      <w:r w:rsidRPr="00257F44">
        <w:rPr>
          <w:b/>
          <w:lang w:val="uk-UA"/>
        </w:rPr>
        <w:t>Обмежене виконання</w:t>
      </w:r>
    </w:p>
    <w:p w14:paraId="3B5009B5" w14:textId="06D84964" w:rsidR="00FF59DF" w:rsidRPr="00257F44" w:rsidRDefault="00882CB1" w:rsidP="008757D2">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Упродовж багатьох років Уряд планував розробити закон про участь громадськості у формуванні та реалізації державної політики. Відповідно до урядового звіту </w:t>
      </w:r>
      <w:r w:rsidR="00DD618E" w:rsidRPr="00257F44">
        <w:rPr>
          <w:rFonts w:ascii="Gill Sans" w:hAnsi="Gill Sans" w:cs="Gill Sans"/>
          <w:noProof/>
          <w:sz w:val="22"/>
          <w:szCs w:val="22"/>
          <w:lang w:val="uk-UA"/>
        </w:rPr>
        <w:t>самооцінки</w:t>
      </w:r>
      <w:r w:rsidRPr="00257F44">
        <w:rPr>
          <w:rFonts w:ascii="Gill Sans" w:hAnsi="Gill Sans" w:cs="Gill Sans"/>
          <w:noProof/>
          <w:sz w:val="22"/>
          <w:szCs w:val="22"/>
          <w:lang w:val="uk-UA"/>
        </w:rPr>
        <w:t>, Міністерство юстиції створило робочу групу для розробки законопроекту. Робоча г</w:t>
      </w:r>
      <w:r w:rsidR="0086128D" w:rsidRPr="00257F44">
        <w:rPr>
          <w:rFonts w:ascii="Gill Sans" w:hAnsi="Gill Sans" w:cs="Gill Sans"/>
          <w:noProof/>
          <w:sz w:val="22"/>
          <w:szCs w:val="22"/>
          <w:lang w:val="uk-UA"/>
        </w:rPr>
        <w:t>рупа включала представників ОГС, і в</w:t>
      </w:r>
      <w:r w:rsidRPr="00257F44">
        <w:rPr>
          <w:rFonts w:ascii="Gill Sans" w:hAnsi="Gill Sans" w:cs="Gill Sans"/>
          <w:noProof/>
          <w:sz w:val="22"/>
          <w:szCs w:val="22"/>
          <w:lang w:val="uk-UA"/>
        </w:rPr>
        <w:t xml:space="preserve"> березні 2015 року Секретаріат Кабінету Міністрів та Міністерство юстиції провели громадське обговорення на цю тему. Міністерство юстиції, разом з Офісом координатора проектів Організації з безпеки та співробітництва в Європі (ОБСЄ) і Секретаріатом Уряду, організували шість регіональних обговорень у червні та вересні 2015 року. Робоча група підготувала збірник найкращих практик та міжнародних стандартів у цій сфері, який був опублікований на урядовому веб-сайті. Крім того, було надано можливість пода</w:t>
      </w:r>
      <w:r w:rsidR="003D0BBE" w:rsidRPr="00257F44">
        <w:rPr>
          <w:rFonts w:ascii="Gill Sans" w:hAnsi="Gill Sans" w:cs="Gill Sans"/>
          <w:noProof/>
          <w:sz w:val="22"/>
          <w:szCs w:val="22"/>
          <w:lang w:val="uk-UA"/>
        </w:rPr>
        <w:t>ти коментарі</w:t>
      </w:r>
      <w:r w:rsidRPr="00257F44">
        <w:rPr>
          <w:rFonts w:ascii="Gill Sans" w:hAnsi="Gill Sans" w:cs="Gill Sans"/>
          <w:noProof/>
          <w:sz w:val="22"/>
          <w:szCs w:val="22"/>
          <w:lang w:val="uk-UA"/>
        </w:rPr>
        <w:t xml:space="preserve"> до проекту закону за допомогою онлайн-форми.</w:t>
      </w:r>
      <w:r w:rsidR="002A309E" w:rsidRPr="00257F44">
        <w:rPr>
          <w:rFonts w:ascii="Gill Sans" w:hAnsi="Gill Sans" w:cs="Gill Sans"/>
          <w:noProof/>
          <w:sz w:val="22"/>
          <w:szCs w:val="22"/>
          <w:lang w:val="uk-UA"/>
        </w:rPr>
        <w:t xml:space="preserve"> Врешті-решт, сферу регулювання законопроекту було звужено та зосереджено на “публічних консультаціях”, що зробило проект більш практичним та реалістичним</w:t>
      </w:r>
      <w:r w:rsidR="009D2C1F" w:rsidRPr="00257F44">
        <w:rPr>
          <w:rStyle w:val="EndnoteReference"/>
          <w:rFonts w:ascii="Gill Sans" w:hAnsi="Gill Sans" w:cs="Gill Sans"/>
          <w:noProof/>
          <w:sz w:val="22"/>
          <w:szCs w:val="22"/>
          <w:lang w:val="uk-UA"/>
        </w:rPr>
        <w:endnoteReference w:id="4"/>
      </w:r>
      <w:r w:rsidR="002A309E" w:rsidRPr="00257F44">
        <w:rPr>
          <w:rFonts w:ascii="Gill Sans" w:hAnsi="Gill Sans" w:cs="Gill Sans"/>
          <w:noProof/>
          <w:sz w:val="22"/>
          <w:szCs w:val="22"/>
          <w:lang w:val="uk-UA"/>
        </w:rPr>
        <w:t>.</w:t>
      </w:r>
      <w:r w:rsidR="0068746A" w:rsidRPr="00257F44">
        <w:rPr>
          <w:rFonts w:ascii="Gill Sans" w:hAnsi="Gill Sans" w:cs="Gill Sans"/>
          <w:noProof/>
          <w:sz w:val="22"/>
          <w:szCs w:val="22"/>
          <w:lang w:val="uk-UA"/>
        </w:rPr>
        <w:t xml:space="preserve"> </w:t>
      </w:r>
    </w:p>
    <w:p w14:paraId="752185B7" w14:textId="20B57B65" w:rsidR="0068746A" w:rsidRPr="00257F44" w:rsidRDefault="00475C6C" w:rsidP="008757D2">
      <w:pPr>
        <w:pStyle w:val="Normalrglronly"/>
        <w:rPr>
          <w:b/>
          <w:lang w:val="uk-UA"/>
        </w:rPr>
      </w:pPr>
      <w:r w:rsidRPr="00257F44">
        <w:rPr>
          <w:b/>
          <w:lang w:val="uk-UA"/>
        </w:rPr>
        <w:t>Підсумковий звіт</w:t>
      </w:r>
      <w:r w:rsidR="0068746A" w:rsidRPr="00257F44">
        <w:rPr>
          <w:b/>
          <w:lang w:val="uk-UA"/>
        </w:rPr>
        <w:t xml:space="preserve">: </w:t>
      </w:r>
      <w:r w:rsidRPr="00257F44">
        <w:rPr>
          <w:b/>
          <w:lang w:val="uk-UA"/>
        </w:rPr>
        <w:t>Значне виконання</w:t>
      </w:r>
    </w:p>
    <w:p w14:paraId="7B2DBD24" w14:textId="077A2D63" w:rsidR="002A309E" w:rsidRPr="00257F44" w:rsidRDefault="002A309E" w:rsidP="008757D2">
      <w:pPr>
        <w:pStyle w:val="Normalrglronly"/>
        <w:rPr>
          <w:lang w:val="uk-UA"/>
        </w:rPr>
      </w:pPr>
      <w:r w:rsidRPr="00257F44">
        <w:rPr>
          <w:lang w:val="uk-UA"/>
        </w:rPr>
        <w:t xml:space="preserve">На основі попередніх обговорень, Міністерство юстиції підготувало </w:t>
      </w:r>
      <w:r w:rsidR="008915FA" w:rsidRPr="00257F44">
        <w:rPr>
          <w:lang w:val="uk-UA"/>
        </w:rPr>
        <w:t>проект закону про публічні консультації. Він був оприлюднений для обговорення на веб-сайтах міністерства та Уряду в липні-серпні 2016 року. 31 жовтня 2016 року міністерство</w:t>
      </w:r>
      <w:r w:rsidR="00353FB5" w:rsidRPr="00257F44">
        <w:rPr>
          <w:lang w:val="uk-UA"/>
        </w:rPr>
        <w:t xml:space="preserve"> оприлюднило звіт про підсумки громадського обговорення</w:t>
      </w:r>
      <w:r w:rsidR="00353FB5" w:rsidRPr="00257F44">
        <w:rPr>
          <w:rStyle w:val="EndnoteReference"/>
          <w:lang w:val="uk-UA"/>
        </w:rPr>
        <w:endnoteReference w:id="5"/>
      </w:r>
      <w:r w:rsidR="00353FB5" w:rsidRPr="00257F44">
        <w:rPr>
          <w:lang w:val="uk-UA"/>
        </w:rPr>
        <w:t xml:space="preserve">. Звіт описував останні проведені консультації, а також попередні </w:t>
      </w:r>
      <w:r w:rsidR="00353FB5" w:rsidRPr="00257F44">
        <w:rPr>
          <w:lang w:val="uk-UA"/>
        </w:rPr>
        <w:lastRenderedPageBreak/>
        <w:t>обговорення, і пояснював, які пропозиції було враховано, а які – ні. Міністерство юстиції також попросило ОБСЄ/БДІПЛ</w:t>
      </w:r>
      <w:r w:rsidR="001A7DD7" w:rsidRPr="00257F44">
        <w:rPr>
          <w:lang w:val="uk-UA"/>
        </w:rPr>
        <w:t xml:space="preserve"> провести аналіз законопроекту. Експертний висновок ОБСЄ/БДІПЛ був наданий у вересні 2016 року</w:t>
      </w:r>
      <w:r w:rsidR="001A7DD7" w:rsidRPr="00257F44">
        <w:rPr>
          <w:rStyle w:val="EndnoteReference"/>
          <w:lang w:val="uk-UA"/>
        </w:rPr>
        <w:endnoteReference w:id="6"/>
      </w:r>
      <w:r w:rsidR="001A7DD7" w:rsidRPr="00257F44">
        <w:rPr>
          <w:lang w:val="uk-UA"/>
        </w:rPr>
        <w:t>. Станом на грудень</w:t>
      </w:r>
      <w:r w:rsidR="00EE79A0" w:rsidRPr="00257F44">
        <w:rPr>
          <w:lang w:val="uk-UA"/>
        </w:rPr>
        <w:t xml:space="preserve"> 2016 року, законопроект не був внесений</w:t>
      </w:r>
      <w:r w:rsidR="001A7DD7" w:rsidRPr="00257F44">
        <w:rPr>
          <w:lang w:val="uk-UA"/>
        </w:rPr>
        <w:t xml:space="preserve"> на розгляд Верховної Ради України.</w:t>
      </w:r>
    </w:p>
    <w:p w14:paraId="2782A493" w14:textId="058B50EF" w:rsidR="000318B7" w:rsidRPr="00257F44" w:rsidRDefault="00475C6C" w:rsidP="008757D2">
      <w:pPr>
        <w:pStyle w:val="Heading3"/>
        <w:spacing w:after="120"/>
        <w:rPr>
          <w:lang w:val="uk-UA"/>
        </w:rPr>
      </w:pPr>
      <w:r w:rsidRPr="00257F44">
        <w:rPr>
          <w:lang w:val="uk-UA"/>
        </w:rPr>
        <w:t>Чи відкрило це уряд</w:t>
      </w:r>
      <w:r w:rsidR="000318B7" w:rsidRPr="00257F44">
        <w:rPr>
          <w:lang w:val="uk-UA"/>
        </w:rPr>
        <w:t>?</w:t>
      </w:r>
    </w:p>
    <w:p w14:paraId="3978F0D9" w14:textId="56665F51" w:rsidR="0068746A" w:rsidRPr="00257F44" w:rsidRDefault="0068746A" w:rsidP="008757D2">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 xml:space="preserve">1. </w:t>
      </w:r>
      <w:r w:rsidR="00EE79A0" w:rsidRPr="00257F44">
        <w:rPr>
          <w:rFonts w:ascii="Gill Sans" w:hAnsi="Gill Sans" w:cs="Gill Sans"/>
          <w:b/>
          <w:noProof/>
          <w:sz w:val="22"/>
          <w:szCs w:val="22"/>
          <w:lang w:val="uk-UA"/>
        </w:rPr>
        <w:t>Покращити урядові</w:t>
      </w:r>
      <w:r w:rsidR="00997391" w:rsidRPr="00257F44">
        <w:rPr>
          <w:rFonts w:ascii="Gill Sans" w:hAnsi="Gill Sans" w:cs="Gill Sans"/>
          <w:b/>
          <w:noProof/>
          <w:sz w:val="22"/>
          <w:szCs w:val="22"/>
          <w:lang w:val="uk-UA"/>
        </w:rPr>
        <w:t xml:space="preserve"> правил</w:t>
      </w:r>
      <w:r w:rsidR="00EE79A0" w:rsidRPr="00257F44">
        <w:rPr>
          <w:rFonts w:ascii="Gill Sans" w:hAnsi="Gill Sans" w:cs="Gill Sans"/>
          <w:b/>
          <w:noProof/>
          <w:sz w:val="22"/>
          <w:szCs w:val="22"/>
          <w:lang w:val="uk-UA"/>
        </w:rPr>
        <w:t>а</w:t>
      </w:r>
      <w:r w:rsidR="00997391" w:rsidRPr="00257F44">
        <w:rPr>
          <w:rFonts w:ascii="Gill Sans" w:hAnsi="Gill Sans" w:cs="Gill Sans"/>
          <w:b/>
          <w:noProof/>
          <w:sz w:val="22"/>
          <w:szCs w:val="22"/>
          <w:lang w:val="uk-UA"/>
        </w:rPr>
        <w:t xml:space="preserve"> щодо залучення ОГС</w:t>
      </w:r>
    </w:p>
    <w:p w14:paraId="77D1A893" w14:textId="3084A579" w:rsidR="000318B7" w:rsidRPr="00257F44" w:rsidRDefault="009C62CF" w:rsidP="008757D2">
      <w:pPr>
        <w:spacing w:after="120"/>
        <w:ind w:left="90"/>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 xml:space="preserve">   </w:t>
      </w:r>
      <w:r w:rsidR="00997391" w:rsidRPr="00257F44">
        <w:rPr>
          <w:rFonts w:ascii="Gill Sans" w:hAnsi="Gill Sans" w:cs="Gill Sans"/>
          <w:b/>
          <w:color w:val="000000" w:themeColor="text1"/>
          <w:sz w:val="22"/>
          <w:szCs w:val="22"/>
          <w:lang w:val="uk-UA"/>
        </w:rPr>
        <w:t>Громадська участь</w:t>
      </w:r>
      <w:r w:rsidR="000318B7" w:rsidRPr="00257F44">
        <w:rPr>
          <w:rFonts w:ascii="Gill Sans" w:hAnsi="Gill Sans" w:cs="Gill Sans"/>
          <w:b/>
          <w:color w:val="000000" w:themeColor="text1"/>
          <w:sz w:val="22"/>
          <w:szCs w:val="22"/>
          <w:lang w:val="uk-UA"/>
        </w:rPr>
        <w:t xml:space="preserve">: </w:t>
      </w:r>
      <w:r w:rsidR="00E41181" w:rsidRPr="00257F44">
        <w:rPr>
          <w:rFonts w:ascii="Gill Sans" w:hAnsi="Gill Sans" w:cs="Gill Sans"/>
          <w:b/>
          <w:color w:val="000000" w:themeColor="text1"/>
          <w:sz w:val="22"/>
          <w:szCs w:val="22"/>
          <w:lang w:val="uk-UA"/>
        </w:rPr>
        <w:t>Обмежено</w:t>
      </w:r>
    </w:p>
    <w:p w14:paraId="413CFA2D" w14:textId="30637879" w:rsidR="000318B7" w:rsidRPr="00257F44" w:rsidRDefault="009C62CF" w:rsidP="008757D2">
      <w:pPr>
        <w:spacing w:after="120"/>
        <w:ind w:left="86"/>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 xml:space="preserve">   </w:t>
      </w:r>
      <w:r w:rsidR="00E41181" w:rsidRPr="00257F44">
        <w:rPr>
          <w:rFonts w:ascii="Gill Sans" w:hAnsi="Gill Sans" w:cs="Gill Sans"/>
          <w:b/>
          <w:color w:val="000000" w:themeColor="text1"/>
          <w:sz w:val="22"/>
          <w:szCs w:val="22"/>
          <w:lang w:val="uk-UA"/>
        </w:rPr>
        <w:t>Підзвітність</w:t>
      </w:r>
      <w:r w:rsidR="00EE79A0" w:rsidRPr="00257F44">
        <w:rPr>
          <w:rFonts w:ascii="Gill Sans" w:hAnsi="Gill Sans" w:cs="Gill Sans"/>
          <w:b/>
          <w:color w:val="000000" w:themeColor="text1"/>
          <w:sz w:val="22"/>
          <w:szCs w:val="22"/>
          <w:lang w:val="uk-UA"/>
        </w:rPr>
        <w:t xml:space="preserve"> влади</w:t>
      </w:r>
      <w:r w:rsidR="000318B7" w:rsidRPr="00257F44">
        <w:rPr>
          <w:rFonts w:ascii="Gill Sans" w:hAnsi="Gill Sans" w:cs="Gill Sans"/>
          <w:b/>
          <w:color w:val="000000" w:themeColor="text1"/>
          <w:sz w:val="22"/>
          <w:szCs w:val="22"/>
          <w:lang w:val="uk-UA"/>
        </w:rPr>
        <w:t xml:space="preserve">: </w:t>
      </w:r>
      <w:r w:rsidR="00E41181" w:rsidRPr="00257F44">
        <w:rPr>
          <w:rFonts w:ascii="Gill Sans" w:hAnsi="Gill Sans" w:cs="Gill Sans"/>
          <w:b/>
          <w:color w:val="000000" w:themeColor="text1"/>
          <w:sz w:val="22"/>
          <w:szCs w:val="22"/>
          <w:lang w:val="uk-UA"/>
        </w:rPr>
        <w:t>Обмежено</w:t>
      </w:r>
    </w:p>
    <w:p w14:paraId="0E7936D4" w14:textId="45B9F215" w:rsidR="00E41181" w:rsidRPr="00257F44" w:rsidRDefault="00E41181" w:rsidP="008757D2">
      <w:pPr>
        <w:spacing w:after="120"/>
        <w:rPr>
          <w:rFonts w:ascii="Gill Sans" w:hAnsi="Gill Sans" w:cs="Gill Sans"/>
          <w:sz w:val="22"/>
          <w:szCs w:val="22"/>
          <w:lang w:val="uk-UA"/>
        </w:rPr>
      </w:pPr>
      <w:r w:rsidRPr="00257F44">
        <w:rPr>
          <w:rFonts w:ascii="Gill Sans" w:hAnsi="Gill Sans" w:cs="Gill Sans"/>
          <w:sz w:val="22"/>
          <w:szCs w:val="22"/>
          <w:lang w:val="uk-UA"/>
        </w:rPr>
        <w:t>Зобов’язання було спрямовано на вдосконалення формальних правил щодо грома</w:t>
      </w:r>
      <w:r w:rsidR="00427BE0" w:rsidRPr="00257F44">
        <w:rPr>
          <w:rFonts w:ascii="Gill Sans" w:hAnsi="Gill Sans" w:cs="Gill Sans"/>
          <w:sz w:val="22"/>
          <w:szCs w:val="22"/>
          <w:lang w:val="uk-UA"/>
        </w:rPr>
        <w:t>д</w:t>
      </w:r>
      <w:r w:rsidRPr="00257F44">
        <w:rPr>
          <w:rFonts w:ascii="Gill Sans" w:hAnsi="Gill Sans" w:cs="Gill Sans"/>
          <w:sz w:val="22"/>
          <w:szCs w:val="22"/>
          <w:lang w:val="uk-UA"/>
        </w:rPr>
        <w:t xml:space="preserve">ської участі та </w:t>
      </w:r>
      <w:r w:rsidR="00427BE0" w:rsidRPr="00257F44">
        <w:rPr>
          <w:rFonts w:ascii="Gill Sans" w:hAnsi="Gill Sans" w:cs="Gill Sans"/>
          <w:sz w:val="22"/>
          <w:szCs w:val="22"/>
          <w:lang w:val="uk-UA"/>
        </w:rPr>
        <w:t>контролю за прийняттям урядових рішень. Потенціал цього зобов’язання був помірним, оскільки воно мало на меті спростити правила та процедури, які були запроваджені у 2008-2010 роках.</w:t>
      </w:r>
      <w:r w:rsidR="00915919" w:rsidRPr="00257F44">
        <w:rPr>
          <w:rFonts w:ascii="Gill Sans" w:hAnsi="Gill Sans" w:cs="Gill Sans"/>
          <w:sz w:val="22"/>
          <w:szCs w:val="22"/>
          <w:lang w:val="uk-UA"/>
        </w:rPr>
        <w:t xml:space="preserve"> </w:t>
      </w:r>
      <w:r w:rsidR="00BC3586" w:rsidRPr="00257F44">
        <w:rPr>
          <w:rFonts w:ascii="Gill Sans" w:hAnsi="Gill Sans" w:cs="Gill Sans"/>
          <w:sz w:val="22"/>
          <w:szCs w:val="22"/>
          <w:lang w:val="uk-UA"/>
        </w:rPr>
        <w:t>Виконуючи</w:t>
      </w:r>
      <w:r w:rsidR="00915919" w:rsidRPr="00257F44">
        <w:rPr>
          <w:rFonts w:ascii="Gill Sans" w:hAnsi="Gill Sans" w:cs="Gill Sans"/>
          <w:sz w:val="22"/>
          <w:szCs w:val="22"/>
          <w:lang w:val="uk-UA"/>
        </w:rPr>
        <w:t xml:space="preserve"> </w:t>
      </w:r>
      <w:r w:rsidR="00BC3586" w:rsidRPr="00257F44">
        <w:rPr>
          <w:rFonts w:ascii="Gill Sans" w:hAnsi="Gill Sans" w:cs="Gill Sans"/>
          <w:sz w:val="22"/>
          <w:szCs w:val="22"/>
          <w:lang w:val="uk-UA"/>
        </w:rPr>
        <w:t>це</w:t>
      </w:r>
      <w:r w:rsidR="00915919" w:rsidRPr="00257F44">
        <w:rPr>
          <w:rFonts w:ascii="Gill Sans" w:hAnsi="Gill Sans" w:cs="Gill Sans"/>
          <w:sz w:val="22"/>
          <w:szCs w:val="22"/>
          <w:lang w:val="uk-UA"/>
        </w:rPr>
        <w:t xml:space="preserve"> зобов'язання, Міністерство юстиції працю</w:t>
      </w:r>
      <w:r w:rsidR="00BC3586" w:rsidRPr="00257F44">
        <w:rPr>
          <w:rFonts w:ascii="Gill Sans" w:hAnsi="Gill Sans" w:cs="Gill Sans"/>
          <w:sz w:val="22"/>
          <w:szCs w:val="22"/>
          <w:lang w:val="uk-UA"/>
        </w:rPr>
        <w:t xml:space="preserve">вало з громадянським суспільством для зміни трьох нормативних актів: </w:t>
      </w:r>
      <w:r w:rsidR="005C5D34" w:rsidRPr="00257F44">
        <w:rPr>
          <w:rFonts w:ascii="Gill Sans" w:hAnsi="Gill Sans" w:cs="Gill Sans"/>
          <w:noProof/>
          <w:sz w:val="22"/>
          <w:szCs w:val="22"/>
          <w:lang w:val="uk-UA"/>
        </w:rPr>
        <w:t>Поряд</w:t>
      </w:r>
      <w:r w:rsidR="00BC3586" w:rsidRPr="00257F44">
        <w:rPr>
          <w:rFonts w:ascii="Gill Sans" w:hAnsi="Gill Sans" w:cs="Gill Sans"/>
          <w:noProof/>
          <w:sz w:val="22"/>
          <w:szCs w:val="22"/>
          <w:lang w:val="uk-UA"/>
        </w:rPr>
        <w:t>к</w:t>
      </w:r>
      <w:r w:rsidR="005C5D34" w:rsidRPr="00257F44">
        <w:rPr>
          <w:rFonts w:ascii="Gill Sans" w:hAnsi="Gill Sans" w:cs="Gill Sans"/>
          <w:noProof/>
          <w:sz w:val="22"/>
          <w:szCs w:val="22"/>
          <w:lang w:val="uk-UA"/>
        </w:rPr>
        <w:t>у</w:t>
      </w:r>
      <w:r w:rsidR="00BC3586" w:rsidRPr="00257F44">
        <w:rPr>
          <w:rFonts w:ascii="Gill Sans" w:hAnsi="Gill Sans" w:cs="Gill Sans"/>
          <w:noProof/>
          <w:sz w:val="22"/>
          <w:szCs w:val="22"/>
          <w:lang w:val="uk-UA"/>
        </w:rPr>
        <w:t xml:space="preserve"> проведення консультацій з громадськістю з питань формування та реалізації державної політики</w:t>
      </w:r>
      <w:r w:rsidR="00313710" w:rsidRPr="00257F44">
        <w:rPr>
          <w:rFonts w:ascii="Gill Sans" w:hAnsi="Gill Sans" w:cs="Gill Sans"/>
          <w:noProof/>
          <w:sz w:val="22"/>
          <w:szCs w:val="22"/>
          <w:lang w:val="uk-UA"/>
        </w:rPr>
        <w:t>;</w:t>
      </w:r>
      <w:r w:rsidR="00BC3586" w:rsidRPr="00257F44">
        <w:rPr>
          <w:rFonts w:ascii="Gill Sans" w:hAnsi="Gill Sans" w:cs="Gill Sans"/>
          <w:noProof/>
          <w:sz w:val="22"/>
          <w:szCs w:val="22"/>
          <w:lang w:val="uk-UA"/>
        </w:rPr>
        <w:t xml:space="preserve"> </w:t>
      </w:r>
      <w:r w:rsidR="005C5D34" w:rsidRPr="00257F44">
        <w:rPr>
          <w:rFonts w:ascii="Gill Sans" w:hAnsi="Gill Sans" w:cs="Gill Sans"/>
          <w:noProof/>
          <w:sz w:val="22"/>
          <w:szCs w:val="22"/>
          <w:lang w:val="uk-UA"/>
        </w:rPr>
        <w:t>Типового</w:t>
      </w:r>
      <w:r w:rsidR="00BC3586" w:rsidRPr="00257F44">
        <w:rPr>
          <w:rFonts w:ascii="Gill Sans" w:hAnsi="Gill Sans" w:cs="Gill Sans"/>
          <w:noProof/>
          <w:sz w:val="22"/>
          <w:szCs w:val="22"/>
          <w:lang w:val="uk-UA"/>
        </w:rPr>
        <w:t xml:space="preserve"> положення про громадську раду при </w:t>
      </w:r>
      <w:r w:rsidR="00313710" w:rsidRPr="00257F44">
        <w:rPr>
          <w:rFonts w:ascii="Gill Sans" w:hAnsi="Gill Sans" w:cs="Gill Sans"/>
          <w:noProof/>
          <w:sz w:val="22"/>
          <w:szCs w:val="22"/>
          <w:lang w:val="uk-UA"/>
        </w:rPr>
        <w:t>органах виконавчої влади;</w:t>
      </w:r>
      <w:r w:rsidR="00BC3586" w:rsidRPr="00257F44">
        <w:rPr>
          <w:rFonts w:ascii="Gill Sans" w:hAnsi="Gill Sans" w:cs="Gill Sans"/>
          <w:noProof/>
          <w:sz w:val="22"/>
          <w:szCs w:val="22"/>
          <w:lang w:val="uk-UA"/>
        </w:rPr>
        <w:t xml:space="preserve"> </w:t>
      </w:r>
      <w:r w:rsidR="005C5D34" w:rsidRPr="00257F44">
        <w:rPr>
          <w:rFonts w:ascii="Gill Sans" w:hAnsi="Gill Sans" w:cs="Gill Sans"/>
          <w:noProof/>
          <w:sz w:val="22"/>
          <w:szCs w:val="22"/>
          <w:lang w:val="uk-UA"/>
        </w:rPr>
        <w:t>Поряд</w:t>
      </w:r>
      <w:r w:rsidR="00BC3586" w:rsidRPr="00257F44">
        <w:rPr>
          <w:rFonts w:ascii="Gill Sans" w:hAnsi="Gill Sans" w:cs="Gill Sans"/>
          <w:noProof/>
          <w:sz w:val="22"/>
          <w:szCs w:val="22"/>
          <w:lang w:val="uk-UA"/>
        </w:rPr>
        <w:t>к</w:t>
      </w:r>
      <w:r w:rsidR="005C5D34" w:rsidRPr="00257F44">
        <w:rPr>
          <w:rFonts w:ascii="Gill Sans" w:hAnsi="Gill Sans" w:cs="Gill Sans"/>
          <w:noProof/>
          <w:sz w:val="22"/>
          <w:szCs w:val="22"/>
          <w:lang w:val="uk-UA"/>
        </w:rPr>
        <w:t>у</w:t>
      </w:r>
      <w:r w:rsidR="00BC3586" w:rsidRPr="00257F44">
        <w:rPr>
          <w:rFonts w:ascii="Gill Sans" w:hAnsi="Gill Sans" w:cs="Gill Sans"/>
          <w:noProof/>
          <w:sz w:val="22"/>
          <w:szCs w:val="22"/>
          <w:lang w:val="uk-UA"/>
        </w:rPr>
        <w:t xml:space="preserve"> сприяння проведенню громадської експертизи діяльності органів виконавчої влади</w:t>
      </w:r>
      <w:r w:rsidR="00313710" w:rsidRPr="00257F44">
        <w:rPr>
          <w:rFonts w:ascii="Gill Sans" w:hAnsi="Gill Sans" w:cs="Gill Sans"/>
          <w:noProof/>
          <w:sz w:val="22"/>
          <w:szCs w:val="22"/>
          <w:lang w:val="uk-UA"/>
        </w:rPr>
        <w:t xml:space="preserve">. Як було зазначено в проміжному звіті, зміни було розроблено в ході інклюзивного процесу консультацій між міністерством та громадськістю. </w:t>
      </w:r>
      <w:r w:rsidR="00335442" w:rsidRPr="00257F44">
        <w:rPr>
          <w:rFonts w:ascii="Gill Sans" w:hAnsi="Gill Sans" w:cs="Gill Sans"/>
          <w:noProof/>
          <w:sz w:val="22"/>
          <w:szCs w:val="22"/>
          <w:lang w:val="uk-UA"/>
        </w:rPr>
        <w:t xml:space="preserve">Зміни передбачали спрощення процесу публічних консультацій та посилення механізму підзвітності шляхом громадської експертизи органів влади. </w:t>
      </w:r>
      <w:r w:rsidR="00D33D43" w:rsidRPr="00257F44">
        <w:rPr>
          <w:rFonts w:ascii="Gill Sans" w:hAnsi="Gill Sans" w:cs="Gill Sans"/>
          <w:noProof/>
          <w:sz w:val="22"/>
          <w:szCs w:val="22"/>
          <w:lang w:val="uk-UA"/>
        </w:rPr>
        <w:t>Проте, після виконання, зобов’язання мало лише обмежений вплив на зміну урядової практики.</w:t>
      </w:r>
      <w:r w:rsidR="006C5F1F" w:rsidRPr="00257F44">
        <w:rPr>
          <w:rFonts w:ascii="Gill Sans" w:hAnsi="Gill Sans" w:cs="Gill Sans"/>
          <w:noProof/>
          <w:sz w:val="22"/>
          <w:szCs w:val="22"/>
          <w:lang w:val="uk-UA"/>
        </w:rPr>
        <w:t xml:space="preserve"> Уряд використав затверджені зміни в правилах для перезапуску громадських рад, які були дискредитовані своєю співпрацею з попереднім урядом. </w:t>
      </w:r>
      <w:r w:rsidR="00890390" w:rsidRPr="00257F44">
        <w:rPr>
          <w:rFonts w:ascii="Gill Sans" w:hAnsi="Gill Sans" w:cs="Gill Sans"/>
          <w:noProof/>
          <w:sz w:val="22"/>
          <w:szCs w:val="22"/>
          <w:lang w:val="uk-UA"/>
        </w:rPr>
        <w:t xml:space="preserve">Нові правила намагалися виправити недоліки старих </w:t>
      </w:r>
      <w:r w:rsidR="00AE265C" w:rsidRPr="00257F44">
        <w:rPr>
          <w:rFonts w:ascii="Gill Sans" w:hAnsi="Gill Sans" w:cs="Gill Sans"/>
          <w:noProof/>
          <w:sz w:val="22"/>
          <w:szCs w:val="22"/>
          <w:lang w:val="uk-UA"/>
        </w:rPr>
        <w:t>положень</w:t>
      </w:r>
      <w:r w:rsidR="00890390" w:rsidRPr="00257F44">
        <w:rPr>
          <w:rFonts w:ascii="Gill Sans" w:hAnsi="Gill Sans" w:cs="Gill Sans"/>
          <w:noProof/>
          <w:sz w:val="22"/>
          <w:szCs w:val="22"/>
          <w:lang w:val="uk-UA"/>
        </w:rPr>
        <w:t xml:space="preserve">; останні дозволяли захоплення структур громадянської участі </w:t>
      </w:r>
      <w:r w:rsidR="00AE265C" w:rsidRPr="00257F44">
        <w:rPr>
          <w:rFonts w:ascii="Gill Sans" w:hAnsi="Gill Sans" w:cs="Gill Sans"/>
          <w:noProof/>
          <w:sz w:val="22"/>
          <w:szCs w:val="22"/>
          <w:lang w:val="uk-UA"/>
        </w:rPr>
        <w:t>несправжніми або пов’язаними з урядом НДО, що підривало наглядову роль таких структур.</w:t>
      </w:r>
      <w:r w:rsidR="00BE6910" w:rsidRPr="00257F44">
        <w:rPr>
          <w:rFonts w:ascii="Gill Sans" w:hAnsi="Gill Sans" w:cs="Gill Sans"/>
          <w:noProof/>
          <w:sz w:val="22"/>
          <w:szCs w:val="22"/>
          <w:lang w:val="uk-UA"/>
        </w:rPr>
        <w:t xml:space="preserve"> Проте, запроваджені на заміну старих правил і структур зміни не підвищили їхню дієвість. </w:t>
      </w:r>
      <w:r w:rsidR="00603A53" w:rsidRPr="00257F44">
        <w:rPr>
          <w:rFonts w:ascii="Gill Sans" w:hAnsi="Gill Sans" w:cs="Gill Sans"/>
          <w:noProof/>
          <w:sz w:val="22"/>
          <w:szCs w:val="22"/>
          <w:lang w:val="uk-UA"/>
        </w:rPr>
        <w:t>Ц</w:t>
      </w:r>
      <w:r w:rsidR="00BE6910" w:rsidRPr="00257F44">
        <w:rPr>
          <w:rFonts w:ascii="Gill Sans" w:hAnsi="Gill Sans" w:cs="Gill Sans"/>
          <w:noProof/>
          <w:sz w:val="22"/>
          <w:szCs w:val="22"/>
          <w:lang w:val="uk-UA"/>
        </w:rPr>
        <w:t>е зобов’язання обмежено покращило громадську участь та підзвітність влади шляхом оновлення деяких формальних процедур і структур, наприклад, громадськи</w:t>
      </w:r>
      <w:r w:rsidR="0055612F" w:rsidRPr="00257F44">
        <w:rPr>
          <w:rFonts w:ascii="Gill Sans" w:hAnsi="Gill Sans" w:cs="Gill Sans"/>
          <w:noProof/>
          <w:sz w:val="22"/>
          <w:szCs w:val="22"/>
          <w:lang w:val="uk-UA"/>
        </w:rPr>
        <w:t>х рад; проте роль останніх – забезпеч</w:t>
      </w:r>
      <w:r w:rsidR="00DA2201" w:rsidRPr="00257F44">
        <w:rPr>
          <w:rFonts w:ascii="Gill Sans" w:hAnsi="Gill Sans" w:cs="Gill Sans"/>
          <w:noProof/>
          <w:sz w:val="22"/>
          <w:szCs w:val="22"/>
          <w:lang w:val="uk-UA"/>
        </w:rPr>
        <w:t>ува</w:t>
      </w:r>
      <w:r w:rsidR="0055612F" w:rsidRPr="00257F44">
        <w:rPr>
          <w:rFonts w:ascii="Gill Sans" w:hAnsi="Gill Sans" w:cs="Gill Sans"/>
          <w:noProof/>
          <w:sz w:val="22"/>
          <w:szCs w:val="22"/>
          <w:lang w:val="uk-UA"/>
        </w:rPr>
        <w:t xml:space="preserve">ти співпрацю з громадянським суспільством та суспільний контроль – продовжувала </w:t>
      </w:r>
      <w:r w:rsidR="00726BC2" w:rsidRPr="00257F44">
        <w:rPr>
          <w:rFonts w:ascii="Gill Sans" w:hAnsi="Gill Sans" w:cs="Gill Sans"/>
          <w:noProof/>
          <w:sz w:val="22"/>
          <w:szCs w:val="22"/>
          <w:lang w:val="uk-UA"/>
        </w:rPr>
        <w:t>послаблювати</w:t>
      </w:r>
      <w:r w:rsidR="0055612F" w:rsidRPr="00257F44">
        <w:rPr>
          <w:rFonts w:ascii="Gill Sans" w:hAnsi="Gill Sans" w:cs="Gill Sans"/>
          <w:noProof/>
          <w:sz w:val="22"/>
          <w:szCs w:val="22"/>
          <w:lang w:val="uk-UA"/>
        </w:rPr>
        <w:t>ся</w:t>
      </w:r>
      <w:r w:rsidR="0055612F" w:rsidRPr="00257F44">
        <w:rPr>
          <w:rStyle w:val="EndnoteReference"/>
          <w:rFonts w:ascii="Gill Sans" w:hAnsi="Gill Sans" w:cs="Gill Sans"/>
          <w:sz w:val="22"/>
          <w:szCs w:val="22"/>
          <w:lang w:val="uk-UA"/>
        </w:rPr>
        <w:endnoteReference w:id="7"/>
      </w:r>
      <w:r w:rsidR="0055612F" w:rsidRPr="00257F44">
        <w:rPr>
          <w:rFonts w:ascii="Gill Sans" w:hAnsi="Gill Sans" w:cs="Gill Sans"/>
          <w:noProof/>
          <w:sz w:val="22"/>
          <w:szCs w:val="22"/>
          <w:lang w:val="uk-UA"/>
        </w:rPr>
        <w:t>.</w:t>
      </w:r>
    </w:p>
    <w:p w14:paraId="42130B29" w14:textId="371304D6" w:rsidR="007F586E" w:rsidRPr="00257F44" w:rsidRDefault="007F586E" w:rsidP="008757D2">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 xml:space="preserve">4. </w:t>
      </w:r>
      <w:r w:rsidR="00726BC2" w:rsidRPr="00257F44">
        <w:rPr>
          <w:rFonts w:ascii="Gill Sans" w:hAnsi="Gill Sans" w:cs="Gill Sans"/>
          <w:b/>
          <w:noProof/>
          <w:sz w:val="22"/>
          <w:szCs w:val="22"/>
          <w:lang w:val="uk-UA"/>
        </w:rPr>
        <w:t>Закон про участь громадськості</w:t>
      </w:r>
    </w:p>
    <w:p w14:paraId="4025D5B7" w14:textId="77777777" w:rsidR="00397A0C" w:rsidRPr="00257F44" w:rsidRDefault="00397A0C" w:rsidP="008757D2">
      <w:pPr>
        <w:spacing w:after="120"/>
        <w:ind w:firstLine="284"/>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Громадська участь: Обмежено</w:t>
      </w:r>
    </w:p>
    <w:p w14:paraId="06849AF6" w14:textId="0988EDE4" w:rsidR="00397A0C" w:rsidRPr="00257F44" w:rsidRDefault="00397A0C" w:rsidP="008757D2">
      <w:pPr>
        <w:spacing w:after="120"/>
        <w:ind w:left="86"/>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 xml:space="preserve">   Підзвітність</w:t>
      </w:r>
      <w:r w:rsidR="00603A53" w:rsidRPr="00257F44">
        <w:rPr>
          <w:rFonts w:ascii="Gill Sans" w:hAnsi="Gill Sans" w:cs="Gill Sans"/>
          <w:b/>
          <w:color w:val="000000" w:themeColor="text1"/>
          <w:sz w:val="22"/>
          <w:szCs w:val="22"/>
          <w:lang w:val="uk-UA"/>
        </w:rPr>
        <w:t xml:space="preserve"> влади</w:t>
      </w:r>
      <w:r w:rsidRPr="00257F44">
        <w:rPr>
          <w:rFonts w:ascii="Gill Sans" w:hAnsi="Gill Sans" w:cs="Gill Sans"/>
          <w:b/>
          <w:color w:val="000000" w:themeColor="text1"/>
          <w:sz w:val="22"/>
          <w:szCs w:val="22"/>
          <w:lang w:val="uk-UA"/>
        </w:rPr>
        <w:t>: Не змінило</w:t>
      </w:r>
    </w:p>
    <w:p w14:paraId="39E2DEBF" w14:textId="651B0AA2" w:rsidR="00397A0C" w:rsidRPr="00257F44" w:rsidRDefault="00397A0C" w:rsidP="008757D2">
      <w:pPr>
        <w:spacing w:after="120"/>
        <w:rPr>
          <w:rFonts w:ascii="Gill Sans" w:hAnsi="Gill Sans" w:cs="Gill Sans"/>
          <w:noProof/>
          <w:sz w:val="22"/>
          <w:szCs w:val="22"/>
          <w:lang w:val="uk-UA"/>
        </w:rPr>
      </w:pPr>
      <w:r w:rsidRPr="00257F44">
        <w:rPr>
          <w:rFonts w:ascii="Gill Sans" w:hAnsi="Gill Sans" w:cs="Gill Sans"/>
          <w:noProof/>
          <w:sz w:val="22"/>
          <w:szCs w:val="22"/>
          <w:lang w:val="uk-UA"/>
        </w:rPr>
        <w:t>Зобов’язання було спрямовано на розробку нового механізму залучення громадянського суспільства до процесу прийняття урядових рішень.</w:t>
      </w:r>
      <w:r w:rsidR="00603A53" w:rsidRPr="00257F44">
        <w:rPr>
          <w:rFonts w:ascii="Gill Sans" w:hAnsi="Gill Sans" w:cs="Gill Sans"/>
          <w:noProof/>
          <w:sz w:val="22"/>
          <w:szCs w:val="22"/>
          <w:lang w:val="uk-UA"/>
        </w:rPr>
        <w:t xml:space="preserve"> </w:t>
      </w:r>
      <w:r w:rsidR="00627F93" w:rsidRPr="00257F44">
        <w:rPr>
          <w:rFonts w:ascii="Gill Sans" w:hAnsi="Gill Sans" w:cs="Gill Sans"/>
          <w:noProof/>
          <w:sz w:val="22"/>
          <w:szCs w:val="22"/>
          <w:lang w:val="uk-UA"/>
        </w:rPr>
        <w:t xml:space="preserve">Якщо законопроект передбачатиме детальні та змістовні процедури консультацій, проект може мати помірний вплив на залучення громадськості. Проте, як було зазначено в проміжному звіті, </w:t>
      </w:r>
      <w:r w:rsidR="00354032" w:rsidRPr="00257F44">
        <w:rPr>
          <w:rFonts w:ascii="Gill Sans" w:hAnsi="Gill Sans" w:cs="Gill Sans"/>
          <w:noProof/>
          <w:sz w:val="22"/>
          <w:szCs w:val="22"/>
          <w:lang w:val="uk-UA"/>
        </w:rPr>
        <w:t xml:space="preserve">процесу підготовки проекту бракувало аналізу причин поганого впровадження існуючих правил щодо публічних консультацій з тим, щоб визначити ефективніші засоби вирішення цієї проблеми. Уряд ще не виконав це зобов’язання повною мірою. </w:t>
      </w:r>
      <w:r w:rsidR="0017564E" w:rsidRPr="00257F44">
        <w:rPr>
          <w:rFonts w:ascii="Gill Sans" w:hAnsi="Gill Sans" w:cs="Gill Sans"/>
          <w:noProof/>
          <w:sz w:val="22"/>
          <w:szCs w:val="22"/>
          <w:lang w:val="uk-UA"/>
        </w:rPr>
        <w:t>Водночас, процес консультацій на стадії підготовки цього законопроекту був відкритішим за процес підготовки багатьох інших рішень політики або законопроектів. Це незначною мірою відкрило уряд в частині громадської участі.</w:t>
      </w:r>
    </w:p>
    <w:p w14:paraId="0C267B8D" w14:textId="77777777" w:rsidR="0042522E" w:rsidRPr="00257F44" w:rsidRDefault="0042522E" w:rsidP="008757D2">
      <w:pPr>
        <w:pStyle w:val="Heading3"/>
        <w:spacing w:after="120"/>
        <w:rPr>
          <w:lang w:val="uk-UA"/>
        </w:rPr>
      </w:pPr>
      <w:r w:rsidRPr="00257F44">
        <w:rPr>
          <w:lang w:val="uk-UA"/>
        </w:rPr>
        <w:t>Чи перенесено до наступного плану дій?</w:t>
      </w:r>
    </w:p>
    <w:p w14:paraId="7DF9583A" w14:textId="4CBE06E8" w:rsidR="00D251A2" w:rsidRPr="00257F44" w:rsidRDefault="00CE112C" w:rsidP="008757D2">
      <w:pPr>
        <w:spacing w:after="120"/>
        <w:rPr>
          <w:rFonts w:ascii="Gill Sans" w:hAnsi="Gill Sans" w:cs="Gill Sans"/>
          <w:sz w:val="22"/>
          <w:szCs w:val="22"/>
          <w:lang w:val="uk-UA"/>
        </w:rPr>
      </w:pPr>
      <w:r w:rsidRPr="00257F44">
        <w:rPr>
          <w:rFonts w:ascii="Gill Sans" w:hAnsi="Gill Sans" w:cs="Gill Sans"/>
          <w:sz w:val="22"/>
          <w:szCs w:val="22"/>
          <w:lang w:val="uk-UA"/>
        </w:rPr>
        <w:t xml:space="preserve">Перше зобов’язання щодо вдосконалення урядових правил стосовно залучення ОГС не було включено в новий план дій. Зобов’язання </w:t>
      </w:r>
      <w:r w:rsidR="00603A53" w:rsidRPr="00257F44">
        <w:rPr>
          <w:rFonts w:ascii="Gill Sans" w:hAnsi="Gill Sans" w:cs="Gill Sans"/>
          <w:sz w:val="22"/>
          <w:szCs w:val="22"/>
          <w:lang w:val="uk-UA"/>
        </w:rPr>
        <w:t xml:space="preserve">№ </w:t>
      </w:r>
      <w:r w:rsidRPr="00257F44">
        <w:rPr>
          <w:rFonts w:ascii="Gill Sans" w:hAnsi="Gill Sans" w:cs="Gill Sans"/>
          <w:sz w:val="22"/>
          <w:szCs w:val="22"/>
          <w:lang w:val="uk-UA"/>
        </w:rPr>
        <w:t xml:space="preserve">4 щодо Закону про участь громадськості було включено в новий план. Міністерство юстиції, разом з недержавними партнерами, повинно </w:t>
      </w:r>
      <w:r w:rsidR="003E55BF" w:rsidRPr="00257F44">
        <w:rPr>
          <w:rFonts w:ascii="Gill Sans" w:hAnsi="Gill Sans" w:cs="Gill Sans"/>
          <w:sz w:val="22"/>
          <w:szCs w:val="22"/>
          <w:lang w:val="uk-UA"/>
        </w:rPr>
        <w:t>вести процес підготовки законопроекту про публічні консультації та подати його Урядові. Зобов’язання більше не місить завдання подати законопроект на розгляд парламенту та супроводжувати його до моменту ухвалення.</w:t>
      </w:r>
    </w:p>
    <w:p w14:paraId="40C73BB3" w14:textId="77777777" w:rsidR="000318B7" w:rsidRPr="00257F44" w:rsidRDefault="000318B7" w:rsidP="00D31881">
      <w:pPr>
        <w:rPr>
          <w:lang w:val="uk-UA"/>
        </w:rPr>
      </w:pPr>
    </w:p>
    <w:p w14:paraId="517BA7B5" w14:textId="77777777" w:rsidR="002646AE" w:rsidRPr="00257F44" w:rsidRDefault="002646AE">
      <w:pPr>
        <w:rPr>
          <w:b/>
          <w:szCs w:val="22"/>
          <w:lang w:val="uk-UA"/>
        </w:rPr>
      </w:pPr>
      <w:bookmarkStart w:id="1" w:name="_Toc437543858"/>
      <w:r w:rsidRPr="00257F44">
        <w:rPr>
          <w:b/>
          <w:lang w:val="uk-UA"/>
        </w:rPr>
        <w:br w:type="page"/>
      </w:r>
    </w:p>
    <w:p w14:paraId="43735113" w14:textId="77777777" w:rsidR="002646AE" w:rsidRPr="00257F44" w:rsidRDefault="002646AE" w:rsidP="000E0613">
      <w:pPr>
        <w:pStyle w:val="Normalrglronly"/>
        <w:rPr>
          <w:b/>
          <w:lang w:val="uk-UA"/>
        </w:rPr>
        <w:sectPr w:rsidR="002646AE" w:rsidRPr="00257F44" w:rsidSect="002A2966">
          <w:endnotePr>
            <w:numFmt w:val="decimal"/>
            <w:numRestart w:val="eachSect"/>
          </w:endnotePr>
          <w:pgSz w:w="11907" w:h="16839" w:code="9"/>
          <w:pgMar w:top="1417" w:right="1417" w:bottom="1417" w:left="1417" w:header="0" w:footer="0" w:gutter="0"/>
          <w:cols w:space="708"/>
          <w:docGrid w:linePitch="360"/>
        </w:sectPr>
      </w:pPr>
    </w:p>
    <w:p w14:paraId="6F188E1B" w14:textId="77777777" w:rsidR="00D447C1" w:rsidRPr="00257F44" w:rsidRDefault="00FC0C25" w:rsidP="00D447C1">
      <w:pPr>
        <w:pStyle w:val="Normalrglronly"/>
        <w:rPr>
          <w:b/>
          <w:lang w:val="uk-UA"/>
        </w:rPr>
      </w:pPr>
      <w:r w:rsidRPr="00257F44">
        <w:rPr>
          <w:b/>
          <w:lang w:val="uk-UA"/>
        </w:rPr>
        <w:lastRenderedPageBreak/>
        <w:t xml:space="preserve">2. </w:t>
      </w:r>
      <w:bookmarkEnd w:id="1"/>
      <w:r w:rsidR="00D447C1" w:rsidRPr="00257F44">
        <w:rPr>
          <w:b/>
          <w:lang w:val="uk-UA"/>
        </w:rPr>
        <w:t xml:space="preserve">Фінансування благодійних організацій </w:t>
      </w:r>
    </w:p>
    <w:p w14:paraId="1C1098DF" w14:textId="77777777" w:rsidR="00D447C1" w:rsidRPr="00257F44" w:rsidRDefault="00D447C1" w:rsidP="00D447C1">
      <w:pPr>
        <w:spacing w:after="120"/>
        <w:rPr>
          <w:rFonts w:ascii="Gill Sans" w:hAnsi="Gill Sans" w:cs="Gill Sans"/>
          <w:i/>
          <w:noProof/>
          <w:sz w:val="22"/>
          <w:szCs w:val="22"/>
          <w:lang w:val="uk-UA"/>
        </w:rPr>
      </w:pPr>
      <w:r w:rsidRPr="00257F44">
        <w:rPr>
          <w:rFonts w:ascii="Gill Sans" w:hAnsi="Gill Sans" w:cs="Gill Sans"/>
          <w:b/>
          <w:sz w:val="22"/>
          <w:szCs w:val="22"/>
          <w:lang w:val="uk-UA"/>
        </w:rPr>
        <w:t>Текст зобов’язання:</w:t>
      </w:r>
      <w:r w:rsidRPr="00257F44">
        <w:rPr>
          <w:rFonts w:ascii="Gill Sans" w:hAnsi="Gill Sans" w:cs="Gill Sans"/>
          <w:i/>
          <w:noProof/>
          <w:sz w:val="22"/>
          <w:szCs w:val="22"/>
          <w:lang w:val="uk-UA"/>
        </w:rPr>
        <w:t xml:space="preserve"> 2. Підготовка та подання в установленому порядку Кабінетові Міністрів України законопроектів про внесення змін до Закону України “Про благодійництво та благодійні організації” та до Бюджетного кодексу України з метою передбачення можливості благодійних організацій отримувати фінансову підтримку для виконання завдань державної політики, надання соціальних послуг.</w:t>
      </w:r>
    </w:p>
    <w:p w14:paraId="43C56E9D" w14:textId="77777777" w:rsidR="00D447C1" w:rsidRPr="00257F44" w:rsidRDefault="00D447C1" w:rsidP="00D447C1">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схвалення Кабінетом Міністрів України відповідного законопроекту, подання його Верховній Раді України та супроводження до прийняття.</w:t>
      </w:r>
    </w:p>
    <w:p w14:paraId="08316171" w14:textId="77777777" w:rsidR="00D447C1" w:rsidRPr="00257F44" w:rsidRDefault="00D447C1" w:rsidP="00D447C1">
      <w:pPr>
        <w:spacing w:after="120"/>
        <w:rPr>
          <w:rFonts w:ascii="Gill Sans" w:hAnsi="Gill Sans" w:cs="Gill Sans"/>
          <w:color w:val="222222"/>
          <w:sz w:val="22"/>
          <w:szCs w:val="22"/>
          <w:lang w:val="uk-UA"/>
        </w:rPr>
      </w:pPr>
      <w:r w:rsidRPr="00257F44">
        <w:rPr>
          <w:rFonts w:ascii="Gill Sans" w:hAnsi="Gill Sans" w:cs="Gill Sans"/>
          <w:color w:val="222222"/>
          <w:sz w:val="22"/>
          <w:szCs w:val="22"/>
          <w:lang w:val="uk-UA"/>
        </w:rPr>
        <w:t xml:space="preserve">Початок виконання: Не визначено </w:t>
      </w:r>
      <w:r w:rsidRPr="00257F44">
        <w:rPr>
          <w:rFonts w:ascii="Gill Sans" w:hAnsi="Gill Sans" w:cs="Gill Sans"/>
          <w:color w:val="222222"/>
          <w:sz w:val="22"/>
          <w:szCs w:val="22"/>
          <w:lang w:val="uk-UA"/>
        </w:rPr>
        <w:tab/>
      </w:r>
      <w:r w:rsidRPr="00257F44">
        <w:rPr>
          <w:rFonts w:ascii="Gill Sans" w:hAnsi="Gill Sans" w:cs="Gill Sans"/>
          <w:color w:val="222222"/>
          <w:sz w:val="22"/>
          <w:szCs w:val="22"/>
          <w:lang w:val="uk-UA"/>
        </w:rPr>
        <w:tab/>
      </w:r>
      <w:r w:rsidRPr="00257F44">
        <w:rPr>
          <w:rFonts w:ascii="Gill Sans" w:hAnsi="Gill Sans" w:cs="Gill Sans"/>
          <w:color w:val="222222"/>
          <w:sz w:val="22"/>
          <w:szCs w:val="22"/>
          <w:lang w:val="uk-UA"/>
        </w:rPr>
        <w:tab/>
        <w:t>Термін виконання: 31 березня 2015 р.</w:t>
      </w:r>
    </w:p>
    <w:p w14:paraId="6973EECF" w14:textId="77777777" w:rsidR="00D447C1" w:rsidRPr="00257F44" w:rsidRDefault="00D447C1" w:rsidP="00D447C1">
      <w:pPr>
        <w:pStyle w:val="Normalrglronly"/>
        <w:tabs>
          <w:tab w:val="clear" w:pos="2880"/>
          <w:tab w:val="left" w:pos="1640"/>
        </w:tabs>
        <w:rPr>
          <w:noProof/>
          <w:lang w:val="uk-UA"/>
        </w:rPr>
      </w:pPr>
      <w:r w:rsidRPr="00257F44">
        <w:rPr>
          <w:b/>
          <w:lang w:val="uk-UA"/>
        </w:rPr>
        <w:t>3. Отримання статусу неприбутковості для ОГС</w:t>
      </w:r>
    </w:p>
    <w:p w14:paraId="1F9D7556" w14:textId="77777777" w:rsidR="00D447C1" w:rsidRPr="00257F44" w:rsidRDefault="00D447C1" w:rsidP="00D447C1">
      <w:pPr>
        <w:spacing w:after="120"/>
        <w:rPr>
          <w:rFonts w:ascii="Gill Sans" w:hAnsi="Gill Sans" w:cs="Gill Sans"/>
          <w:i/>
          <w:noProof/>
          <w:sz w:val="22"/>
          <w:szCs w:val="22"/>
          <w:lang w:val="uk-UA"/>
        </w:rPr>
      </w:pPr>
      <w:r w:rsidRPr="00257F44">
        <w:rPr>
          <w:rFonts w:ascii="Gill Sans" w:hAnsi="Gill Sans" w:cs="Gill Sans"/>
          <w:b/>
          <w:sz w:val="22"/>
          <w:szCs w:val="22"/>
          <w:lang w:val="uk-UA"/>
        </w:rPr>
        <w:t>Текст зобов’язання:</w:t>
      </w:r>
      <w:r w:rsidRPr="00257F44">
        <w:rPr>
          <w:rFonts w:ascii="Gill Sans" w:hAnsi="Gill Sans" w:cs="Gill Sans"/>
          <w:i/>
          <w:noProof/>
          <w:sz w:val="22"/>
          <w:szCs w:val="22"/>
          <w:lang w:val="uk-UA"/>
        </w:rPr>
        <w:t xml:space="preserve"> 3. Урегулювання питання надання громадським об’єднанням статусу неприбуткової організації, установи шляхом внесення за принципом “єдиного вікна” громадського об’єднання до Реєстру неприбуткових установ та організацій, визначивши строки розгляду документів, підстави для відмови у наданні такого статусу, а також передбачивши вільний доступ до Реєстру з використанням Інтернету, зокрема шляхом підготовки та подання в установленому порядку Кабінетові Міністрів України проекту Закону України “Про внесення змін до Законів України “Про громадські об’єднання” та “Про державну реєстрацію юридичних осіб та фізичних осіб – підприємців”, інших актів законодавства у разі необхідності.</w:t>
      </w:r>
    </w:p>
    <w:p w14:paraId="76AB1A90" w14:textId="77777777" w:rsidR="00D447C1" w:rsidRPr="00257F44" w:rsidRDefault="00D447C1" w:rsidP="00D447C1">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схвалення Кабінетом Міністрів України відповідних проектів законів України, подання їх Верховній Раді України та супроводження до прийняття</w:t>
      </w:r>
    </w:p>
    <w:p w14:paraId="1D26FA9B" w14:textId="77777777" w:rsidR="00D447C1" w:rsidRPr="00257F44" w:rsidRDefault="00D447C1" w:rsidP="00D447C1">
      <w:pPr>
        <w:spacing w:after="120"/>
        <w:rPr>
          <w:lang w:val="uk-UA"/>
        </w:rPr>
      </w:pPr>
      <w:r w:rsidRPr="00257F44">
        <w:rPr>
          <w:rFonts w:ascii="Gill Sans" w:hAnsi="Gill Sans" w:cs="Gill Sans"/>
          <w:b/>
          <w:sz w:val="22"/>
          <w:szCs w:val="22"/>
          <w:lang w:val="uk-UA"/>
        </w:rPr>
        <w:t>Редакційна примітка:</w:t>
      </w:r>
      <w:r w:rsidRPr="00257F44">
        <w:rPr>
          <w:lang w:val="uk-UA"/>
        </w:rPr>
        <w:t xml:space="preserve"> </w:t>
      </w:r>
      <w:r w:rsidRPr="00257F44">
        <w:rPr>
          <w:rFonts w:ascii="Gill Sans" w:hAnsi="Gill Sans" w:cs="Gill Sans"/>
          <w:sz w:val="22"/>
          <w:szCs w:val="22"/>
          <w:lang w:val="uk-UA"/>
        </w:rPr>
        <w:t>Дослідник МНЗ об’єднав ці два зобов’язання, тому що вони обидва стосуються створення сприятливого середовища для діяльності організацій громадянського суспільства.</w:t>
      </w:r>
    </w:p>
    <w:p w14:paraId="7B68BC2F" w14:textId="77777777" w:rsidR="00D447C1" w:rsidRPr="00257F44" w:rsidRDefault="00D447C1" w:rsidP="00D447C1">
      <w:pPr>
        <w:spacing w:after="120"/>
        <w:rPr>
          <w:rFonts w:ascii="Gill Sans" w:hAnsi="Gill Sans" w:cs="Gill Sans"/>
          <w:sz w:val="22"/>
          <w:szCs w:val="22"/>
          <w:lang w:val="uk-UA"/>
        </w:rPr>
      </w:pPr>
      <w:r w:rsidRPr="00257F44">
        <w:rPr>
          <w:rFonts w:ascii="Gill Sans" w:hAnsi="Gill Sans" w:cs="Gill Sans"/>
          <w:sz w:val="22"/>
          <w:szCs w:val="22"/>
          <w:lang w:val="uk-UA"/>
        </w:rPr>
        <w:t>Головна інституція, відповідальна за виконання: Міністерство фінансів (зобов’язання № 2); Державна реєстраційна служба (зобов’язання № 3).</w:t>
      </w:r>
    </w:p>
    <w:p w14:paraId="7C0859E5" w14:textId="77777777" w:rsidR="00D447C1" w:rsidRPr="00257F44" w:rsidRDefault="00D447C1" w:rsidP="00D447C1">
      <w:pPr>
        <w:spacing w:after="120"/>
        <w:rPr>
          <w:rFonts w:ascii="Gill Sans" w:hAnsi="Gill Sans" w:cs="Gill Sans"/>
          <w:sz w:val="22"/>
          <w:szCs w:val="22"/>
          <w:lang w:val="uk-UA"/>
        </w:rPr>
      </w:pPr>
      <w:r w:rsidRPr="00257F44">
        <w:rPr>
          <w:rFonts w:ascii="Gill Sans" w:hAnsi="Gill Sans" w:cs="Gill Sans"/>
          <w:sz w:val="22"/>
          <w:szCs w:val="22"/>
          <w:lang w:val="uk-UA"/>
        </w:rPr>
        <w:t>Інші виконавці: Міністерство соціальної політики, Міністерство культури, Міністерство юстиції, ГО “Український незалежний центр політичних досліджень”, невизначені організації громадянського суспільства та міжнародні організації (зобов’язання № 2); Міністерство юстиції, Міністерство фінансів, Державна фіскальна служба, ГО “Український незалежний центр політичних досліджень”, ПРООН, невизначені організації громадянського суспільства та міжнародні організації (зобов’язання № 3).</w:t>
      </w:r>
    </w:p>
    <w:p w14:paraId="69759359" w14:textId="4F7D9D06" w:rsidR="00211269" w:rsidRPr="00257F44" w:rsidRDefault="00D447C1" w:rsidP="006023C3">
      <w:pPr>
        <w:pStyle w:val="Normalrglronly"/>
        <w:rPr>
          <w:lang w:val="uk-UA"/>
        </w:rPr>
      </w:pPr>
      <w:r w:rsidRPr="00257F44">
        <w:rPr>
          <w:lang w:val="uk-UA"/>
        </w:rPr>
        <w:t xml:space="preserve">Початок виконання: Не визначено </w:t>
      </w:r>
      <w:r w:rsidRPr="00257F44">
        <w:rPr>
          <w:lang w:val="uk-UA"/>
        </w:rPr>
        <w:tab/>
      </w:r>
      <w:r w:rsidRPr="00257F44">
        <w:rPr>
          <w:lang w:val="uk-UA"/>
        </w:rPr>
        <w:tab/>
      </w:r>
      <w:r w:rsidRPr="00257F44">
        <w:rPr>
          <w:lang w:val="uk-UA"/>
        </w:rPr>
        <w:tab/>
        <w:t>Термін виконання: 30 квітня 2015 р.</w:t>
      </w:r>
    </w:p>
    <w:tbl>
      <w:tblPr>
        <w:tblW w:w="10368"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497"/>
        <w:gridCol w:w="435"/>
        <w:gridCol w:w="352"/>
        <w:gridCol w:w="353"/>
        <w:gridCol w:w="377"/>
        <w:gridCol w:w="377"/>
        <w:gridCol w:w="377"/>
        <w:gridCol w:w="781"/>
        <w:gridCol w:w="355"/>
        <w:gridCol w:w="351"/>
        <w:gridCol w:w="351"/>
        <w:gridCol w:w="434"/>
        <w:gridCol w:w="434"/>
        <w:gridCol w:w="600"/>
        <w:gridCol w:w="434"/>
        <w:gridCol w:w="517"/>
        <w:gridCol w:w="351"/>
        <w:gridCol w:w="351"/>
        <w:gridCol w:w="434"/>
        <w:gridCol w:w="351"/>
        <w:gridCol w:w="434"/>
      </w:tblGrid>
      <w:tr w:rsidR="002D45E6" w:rsidRPr="00257F44" w14:paraId="080E19A3" w14:textId="77777777" w:rsidTr="002D45E6">
        <w:trPr>
          <w:trHeight w:val="405"/>
        </w:trPr>
        <w:tc>
          <w:tcPr>
            <w:tcW w:w="1422" w:type="dxa"/>
            <w:vMerge w:val="restart"/>
            <w:tcBorders>
              <w:top w:val="single" w:sz="18" w:space="0" w:color="FFFFFF"/>
              <w:left w:val="single" w:sz="4" w:space="0" w:color="FFFFFF"/>
              <w:right w:val="single" w:sz="18" w:space="0" w:color="FFFFFF"/>
            </w:tcBorders>
            <w:shd w:val="clear" w:color="auto" w:fill="000000"/>
          </w:tcPr>
          <w:p w14:paraId="60625964" w14:textId="2955B824" w:rsidR="002D45E6" w:rsidRPr="00257F44" w:rsidRDefault="002D45E6" w:rsidP="00131C34">
            <w:pPr>
              <w:rPr>
                <w:rFonts w:ascii="Gill Sans" w:hAnsi="Gill Sans" w:cs="Gill Sans"/>
                <w:color w:val="FFFFFF" w:themeColor="background1"/>
                <w:sz w:val="22"/>
                <w:szCs w:val="22"/>
                <w:lang w:val="uk-UA"/>
              </w:rPr>
            </w:pPr>
            <w:r w:rsidRPr="00257F44">
              <w:rPr>
                <w:rFonts w:ascii="Gill Sans" w:hAnsi="Gill Sans" w:cs="Gill Sans"/>
                <w:sz w:val="20"/>
                <w:szCs w:val="20"/>
                <w:lang w:val="uk-UA"/>
              </w:rPr>
              <w:t>Опис зобов’язання</w:t>
            </w:r>
          </w:p>
        </w:tc>
        <w:tc>
          <w:tcPr>
            <w:tcW w:w="1637" w:type="dxa"/>
            <w:gridSpan w:val="4"/>
            <w:vMerge w:val="restart"/>
            <w:tcBorders>
              <w:top w:val="single" w:sz="18" w:space="0" w:color="FFFFFF"/>
              <w:left w:val="single" w:sz="18" w:space="0" w:color="FFFFFF"/>
              <w:right w:val="single" w:sz="18" w:space="0" w:color="FFFFFF"/>
            </w:tcBorders>
            <w:shd w:val="clear" w:color="auto" w:fill="D6E3BC"/>
          </w:tcPr>
          <w:p w14:paraId="380C435F" w14:textId="285E473F"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Конкретність</w:t>
            </w:r>
          </w:p>
        </w:tc>
        <w:tc>
          <w:tcPr>
            <w:tcW w:w="1912" w:type="dxa"/>
            <w:gridSpan w:val="4"/>
            <w:vMerge w:val="restart"/>
            <w:tcBorders>
              <w:top w:val="single" w:sz="18" w:space="0" w:color="FFFFFF"/>
              <w:left w:val="single" w:sz="18" w:space="0" w:color="FFFFFF"/>
              <w:right w:val="single" w:sz="18" w:space="0" w:color="FFFFFF"/>
            </w:tcBorders>
            <w:shd w:val="clear" w:color="auto" w:fill="FBD4B4"/>
          </w:tcPr>
          <w:p w14:paraId="49815885" w14:textId="052A43B4"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Відповідність цінностям ПВУ (як сформульовано)</w:t>
            </w:r>
          </w:p>
        </w:tc>
        <w:tc>
          <w:tcPr>
            <w:tcW w:w="1491" w:type="dxa"/>
            <w:gridSpan w:val="4"/>
            <w:vMerge w:val="restart"/>
            <w:tcBorders>
              <w:top w:val="single" w:sz="18" w:space="0" w:color="FFFFFF"/>
              <w:left w:val="single" w:sz="18" w:space="0" w:color="FFFFFF"/>
              <w:right w:val="single" w:sz="18" w:space="0" w:color="FFFFFF"/>
            </w:tcBorders>
            <w:shd w:val="clear" w:color="auto" w:fill="CCC0D9"/>
          </w:tcPr>
          <w:p w14:paraId="022DCB53" w14:textId="1D96ACDD"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Потенційний вплив</w:t>
            </w:r>
          </w:p>
        </w:tc>
        <w:tc>
          <w:tcPr>
            <w:tcW w:w="1034" w:type="dxa"/>
            <w:gridSpan w:val="2"/>
            <w:vMerge w:val="restart"/>
            <w:tcBorders>
              <w:top w:val="single" w:sz="18" w:space="0" w:color="FFFFFF"/>
              <w:left w:val="single" w:sz="18" w:space="0" w:color="FFFFFF"/>
              <w:right w:val="single" w:sz="2" w:space="0" w:color="FFFFFF"/>
            </w:tcBorders>
            <w:shd w:val="clear" w:color="auto" w:fill="B8CCE4"/>
          </w:tcPr>
          <w:p w14:paraId="31DDDCEF" w14:textId="144361D5"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Стан вико-нання</w:t>
            </w:r>
          </w:p>
        </w:tc>
        <w:tc>
          <w:tcPr>
            <w:tcW w:w="951"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277195FE" w14:textId="23C22B0C"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Про-міжний</w:t>
            </w:r>
          </w:p>
        </w:tc>
        <w:tc>
          <w:tcPr>
            <w:tcW w:w="1921" w:type="dxa"/>
            <w:gridSpan w:val="5"/>
            <w:vMerge w:val="restart"/>
            <w:tcBorders>
              <w:top w:val="single" w:sz="18" w:space="0" w:color="FFFFFF"/>
              <w:left w:val="single" w:sz="18" w:space="0" w:color="FFFFFF"/>
              <w:right w:val="single" w:sz="18" w:space="0" w:color="FFFFFF"/>
            </w:tcBorders>
            <w:shd w:val="clear" w:color="auto" w:fill="D99594"/>
          </w:tcPr>
          <w:p w14:paraId="4B940199" w14:textId="1B076C30"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Чи відкрило це уряд?</w:t>
            </w:r>
          </w:p>
        </w:tc>
      </w:tr>
      <w:tr w:rsidR="00066027" w:rsidRPr="00257F44" w14:paraId="76F58975" w14:textId="77777777" w:rsidTr="002D45E6">
        <w:trPr>
          <w:trHeight w:val="373"/>
        </w:trPr>
        <w:tc>
          <w:tcPr>
            <w:tcW w:w="1422" w:type="dxa"/>
            <w:vMerge/>
            <w:tcBorders>
              <w:left w:val="single" w:sz="4" w:space="0" w:color="FFFFFF"/>
              <w:right w:val="single" w:sz="18" w:space="0" w:color="FFFFFF"/>
            </w:tcBorders>
            <w:shd w:val="clear" w:color="auto" w:fill="000000"/>
          </w:tcPr>
          <w:p w14:paraId="1FFA2788" w14:textId="77777777" w:rsidR="00BB3451" w:rsidRPr="00257F44" w:rsidRDefault="00BB3451" w:rsidP="00131C34">
            <w:pPr>
              <w:rPr>
                <w:rFonts w:ascii="Gill Sans" w:hAnsi="Gill Sans" w:cs="Gill Sans"/>
                <w:color w:val="FFFFFF" w:themeColor="background1"/>
                <w:sz w:val="22"/>
                <w:szCs w:val="22"/>
                <w:lang w:val="uk-UA"/>
              </w:rPr>
            </w:pPr>
          </w:p>
        </w:tc>
        <w:tc>
          <w:tcPr>
            <w:tcW w:w="1637" w:type="dxa"/>
            <w:gridSpan w:val="4"/>
            <w:vMerge/>
            <w:tcBorders>
              <w:left w:val="single" w:sz="18" w:space="0" w:color="FFFFFF"/>
              <w:bottom w:val="single" w:sz="18" w:space="0" w:color="FFFFFF"/>
              <w:right w:val="single" w:sz="18" w:space="0" w:color="FFFFFF"/>
            </w:tcBorders>
            <w:shd w:val="clear" w:color="auto" w:fill="D6E3BC"/>
          </w:tcPr>
          <w:p w14:paraId="5ACB516A" w14:textId="77777777" w:rsidR="00BB3451" w:rsidRPr="00257F44" w:rsidRDefault="00BB3451" w:rsidP="00131C34">
            <w:pPr>
              <w:rPr>
                <w:rFonts w:ascii="Gill Sans" w:hAnsi="Gill Sans" w:cs="Gill Sans"/>
                <w:sz w:val="22"/>
                <w:szCs w:val="22"/>
                <w:lang w:val="uk-UA"/>
              </w:rPr>
            </w:pPr>
          </w:p>
        </w:tc>
        <w:tc>
          <w:tcPr>
            <w:tcW w:w="1912" w:type="dxa"/>
            <w:gridSpan w:val="4"/>
            <w:vMerge/>
            <w:tcBorders>
              <w:left w:val="single" w:sz="18" w:space="0" w:color="FFFFFF"/>
              <w:bottom w:val="single" w:sz="18" w:space="0" w:color="FFFFFF"/>
              <w:right w:val="single" w:sz="18" w:space="0" w:color="FFFFFF"/>
            </w:tcBorders>
            <w:shd w:val="clear" w:color="auto" w:fill="FBD4B4"/>
          </w:tcPr>
          <w:p w14:paraId="44FF3483" w14:textId="77777777" w:rsidR="00BB3451" w:rsidRPr="00257F44" w:rsidRDefault="00BB3451" w:rsidP="00131C34">
            <w:pPr>
              <w:rPr>
                <w:rFonts w:ascii="Gill Sans" w:hAnsi="Gill Sans" w:cs="Gill Sans"/>
                <w:sz w:val="22"/>
                <w:szCs w:val="22"/>
                <w:lang w:val="uk-UA"/>
              </w:rPr>
            </w:pPr>
          </w:p>
        </w:tc>
        <w:tc>
          <w:tcPr>
            <w:tcW w:w="1491" w:type="dxa"/>
            <w:gridSpan w:val="4"/>
            <w:vMerge/>
            <w:tcBorders>
              <w:left w:val="single" w:sz="18" w:space="0" w:color="FFFFFF"/>
              <w:bottom w:val="single" w:sz="18" w:space="0" w:color="FFFFFF"/>
              <w:right w:val="single" w:sz="18" w:space="0" w:color="FFFFFF"/>
            </w:tcBorders>
            <w:shd w:val="clear" w:color="auto" w:fill="CCC0D9"/>
          </w:tcPr>
          <w:p w14:paraId="0D8E59BD" w14:textId="77777777" w:rsidR="00BB3451" w:rsidRPr="00257F44" w:rsidRDefault="00BB3451" w:rsidP="00131C34">
            <w:pPr>
              <w:rPr>
                <w:rFonts w:ascii="Gill Sans" w:hAnsi="Gill Sans" w:cs="Gill Sans"/>
                <w:sz w:val="22"/>
                <w:szCs w:val="22"/>
                <w:lang w:val="uk-UA"/>
              </w:rPr>
            </w:pPr>
          </w:p>
        </w:tc>
        <w:tc>
          <w:tcPr>
            <w:tcW w:w="1034" w:type="dxa"/>
            <w:gridSpan w:val="2"/>
            <w:vMerge/>
            <w:tcBorders>
              <w:left w:val="single" w:sz="18" w:space="0" w:color="FFFFFF"/>
              <w:bottom w:val="single" w:sz="18" w:space="0" w:color="FFFFFF"/>
              <w:right w:val="single" w:sz="2" w:space="0" w:color="FFFFFF"/>
            </w:tcBorders>
            <w:shd w:val="clear" w:color="auto" w:fill="B8CCE4"/>
          </w:tcPr>
          <w:p w14:paraId="29155A77" w14:textId="77777777" w:rsidR="00BB3451" w:rsidRPr="00257F44" w:rsidRDefault="00BB3451" w:rsidP="00131C34">
            <w:pPr>
              <w:rPr>
                <w:rFonts w:ascii="Gill Sans" w:hAnsi="Gill Sans" w:cs="Gill Sans"/>
                <w:sz w:val="22"/>
                <w:szCs w:val="22"/>
                <w:lang w:val="uk-UA"/>
              </w:rPr>
            </w:pPr>
          </w:p>
        </w:tc>
        <w:tc>
          <w:tcPr>
            <w:tcW w:w="951"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333C408D" w14:textId="4B4AB9FA" w:rsidR="00BB3451" w:rsidRPr="00257F44" w:rsidRDefault="002D45E6" w:rsidP="00131C34">
            <w:pPr>
              <w:rPr>
                <w:rFonts w:ascii="Gill Sans" w:hAnsi="Gill Sans" w:cs="Gill Sans"/>
                <w:sz w:val="22"/>
                <w:szCs w:val="22"/>
                <w:lang w:val="uk-UA"/>
              </w:rPr>
            </w:pPr>
            <w:r w:rsidRPr="00257F44">
              <w:rPr>
                <w:rFonts w:ascii="Gill Sans" w:hAnsi="Gill Sans" w:cs="Gill Sans"/>
                <w:sz w:val="22"/>
                <w:szCs w:val="22"/>
                <w:lang w:val="uk-UA"/>
              </w:rPr>
              <w:t>Підсум-ковий</w:t>
            </w:r>
          </w:p>
        </w:tc>
        <w:tc>
          <w:tcPr>
            <w:tcW w:w="1921" w:type="dxa"/>
            <w:gridSpan w:val="5"/>
            <w:vMerge/>
            <w:tcBorders>
              <w:left w:val="single" w:sz="18" w:space="0" w:color="FFFFFF"/>
              <w:bottom w:val="single" w:sz="18" w:space="0" w:color="FFFFFF"/>
              <w:right w:val="single" w:sz="18" w:space="0" w:color="FFFFFF"/>
            </w:tcBorders>
            <w:shd w:val="clear" w:color="auto" w:fill="D99594"/>
          </w:tcPr>
          <w:p w14:paraId="29853957" w14:textId="77777777" w:rsidR="00BB3451" w:rsidRPr="00257F44" w:rsidRDefault="00BB3451" w:rsidP="00131C34">
            <w:pPr>
              <w:rPr>
                <w:rFonts w:ascii="Gill Sans" w:hAnsi="Gill Sans" w:cs="Gill Sans"/>
                <w:sz w:val="22"/>
                <w:szCs w:val="22"/>
                <w:lang w:val="uk-UA"/>
              </w:rPr>
            </w:pPr>
          </w:p>
        </w:tc>
      </w:tr>
      <w:tr w:rsidR="002D45E6" w:rsidRPr="00257F44" w14:paraId="20BCF824" w14:textId="77777777" w:rsidTr="00C10457">
        <w:trPr>
          <w:cantSplit/>
          <w:trHeight w:val="2336"/>
        </w:trPr>
        <w:tc>
          <w:tcPr>
            <w:tcW w:w="1422" w:type="dxa"/>
            <w:vMerge/>
            <w:tcBorders>
              <w:left w:val="single" w:sz="4" w:space="0" w:color="FFFFFF"/>
              <w:bottom w:val="single" w:sz="18" w:space="0" w:color="FFFFFF"/>
              <w:right w:val="single" w:sz="18" w:space="0" w:color="FFFFFF"/>
            </w:tcBorders>
            <w:shd w:val="clear" w:color="auto" w:fill="000000"/>
          </w:tcPr>
          <w:p w14:paraId="44A738F3" w14:textId="77777777" w:rsidR="002D45E6" w:rsidRPr="00257F44" w:rsidRDefault="002D45E6" w:rsidP="00131C34">
            <w:pPr>
              <w:rPr>
                <w:rFonts w:ascii="Gill Sans" w:hAnsi="Gill Sans" w:cs="Gill Sans"/>
                <w:color w:val="FFFFFF" w:themeColor="background1"/>
                <w:sz w:val="22"/>
                <w:szCs w:val="22"/>
                <w:lang w:val="uk-UA"/>
              </w:rPr>
            </w:pPr>
          </w:p>
        </w:tc>
        <w:tc>
          <w:tcPr>
            <w:tcW w:w="497"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5E40AE66" w14:textId="3306F834"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Відсутня</w:t>
            </w:r>
          </w:p>
        </w:tc>
        <w:tc>
          <w:tcPr>
            <w:tcW w:w="435"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726F5D03" w14:textId="3EF30AB8"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Низька</w:t>
            </w:r>
          </w:p>
        </w:tc>
        <w:tc>
          <w:tcPr>
            <w:tcW w:w="352"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355033C0" w14:textId="497AC81A"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Середня</w:t>
            </w:r>
          </w:p>
        </w:tc>
        <w:tc>
          <w:tcPr>
            <w:tcW w:w="353"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60DE29BC" w14:textId="79C1A245"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Висока</w:t>
            </w:r>
          </w:p>
        </w:tc>
        <w:tc>
          <w:tcPr>
            <w:tcW w:w="377"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45F3FB18" w14:textId="523B3720"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Доступ до інформації</w:t>
            </w:r>
          </w:p>
        </w:tc>
        <w:tc>
          <w:tcPr>
            <w:tcW w:w="377"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3BF4B3D7" w14:textId="5FE2699E"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Громадська участь</w:t>
            </w:r>
          </w:p>
        </w:tc>
        <w:tc>
          <w:tcPr>
            <w:tcW w:w="377"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35A41D11" w14:textId="2C15C1AB"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Підзвітність влади</w:t>
            </w:r>
          </w:p>
        </w:tc>
        <w:tc>
          <w:tcPr>
            <w:tcW w:w="781"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73FBE678" w14:textId="572C6A23"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Технології та інновації для прозорості й підзвітності</w:t>
            </w:r>
          </w:p>
        </w:tc>
        <w:tc>
          <w:tcPr>
            <w:tcW w:w="355"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21C58CDF" w14:textId="734EE0C8"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Жодного</w:t>
            </w:r>
          </w:p>
        </w:tc>
        <w:tc>
          <w:tcPr>
            <w:tcW w:w="351"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32BA037B" w14:textId="3ACE90F3"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Незначний</w:t>
            </w:r>
          </w:p>
        </w:tc>
        <w:tc>
          <w:tcPr>
            <w:tcW w:w="351"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25244F91" w14:textId="660751AB"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Помірний</w:t>
            </w:r>
          </w:p>
        </w:tc>
        <w:tc>
          <w:tcPr>
            <w:tcW w:w="434"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7D0D24E5" w14:textId="20961291"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Трансформуючий</w:t>
            </w:r>
          </w:p>
        </w:tc>
        <w:tc>
          <w:tcPr>
            <w:tcW w:w="434"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7C4D605F" w14:textId="63AD4ED4"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Не розпочато</w:t>
            </w:r>
          </w:p>
        </w:tc>
        <w:tc>
          <w:tcPr>
            <w:tcW w:w="600"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3F770E07" w14:textId="02A19A2C"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Обмежене</w:t>
            </w:r>
          </w:p>
        </w:tc>
        <w:tc>
          <w:tcPr>
            <w:tcW w:w="434"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55620393" w14:textId="14A2C05D"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Значне</w:t>
            </w:r>
          </w:p>
        </w:tc>
        <w:tc>
          <w:tcPr>
            <w:tcW w:w="517"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2C3000DC" w14:textId="0344F9A1"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Повне</w:t>
            </w:r>
          </w:p>
        </w:tc>
        <w:tc>
          <w:tcPr>
            <w:tcW w:w="351"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489DC553" w14:textId="3100F301"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Погіршило</w:t>
            </w:r>
          </w:p>
        </w:tc>
        <w:tc>
          <w:tcPr>
            <w:tcW w:w="351"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67A7CCFA" w14:textId="543B6AE2"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Не змінило</w:t>
            </w:r>
          </w:p>
        </w:tc>
        <w:tc>
          <w:tcPr>
            <w:tcW w:w="434"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2B6F8C21" w14:textId="0339B1B9"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Обмежено</w:t>
            </w:r>
          </w:p>
        </w:tc>
        <w:tc>
          <w:tcPr>
            <w:tcW w:w="351"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715FAABF" w14:textId="2963EE67"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Значною мірою</w:t>
            </w:r>
          </w:p>
        </w:tc>
        <w:tc>
          <w:tcPr>
            <w:tcW w:w="434"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7E265CA4" w14:textId="7E03484B" w:rsidR="002D45E6" w:rsidRPr="00257F44" w:rsidRDefault="002D45E6" w:rsidP="00131C34">
            <w:pPr>
              <w:rPr>
                <w:rFonts w:ascii="Gill Sans" w:hAnsi="Gill Sans" w:cs="Gill Sans"/>
                <w:sz w:val="22"/>
                <w:szCs w:val="22"/>
                <w:lang w:val="uk-UA"/>
              </w:rPr>
            </w:pPr>
            <w:r w:rsidRPr="00257F44">
              <w:rPr>
                <w:rFonts w:ascii="Gill Sans" w:hAnsi="Gill Sans" w:cs="Gill Sans"/>
                <w:sz w:val="20"/>
                <w:szCs w:val="20"/>
                <w:lang w:val="uk-UA"/>
              </w:rPr>
              <w:t>Визначною мірою</w:t>
            </w:r>
          </w:p>
        </w:tc>
      </w:tr>
      <w:tr w:rsidR="009B0529" w:rsidRPr="00257F44" w14:paraId="57ACBDE6" w14:textId="77777777" w:rsidTr="002D45E6">
        <w:trPr>
          <w:trHeight w:val="822"/>
        </w:trPr>
        <w:tc>
          <w:tcPr>
            <w:tcW w:w="1422" w:type="dxa"/>
            <w:vMerge w:val="restart"/>
            <w:tcBorders>
              <w:top w:val="single" w:sz="18" w:space="0" w:color="FFFFFF"/>
              <w:left w:val="single" w:sz="4" w:space="0" w:color="FFFFFF"/>
            </w:tcBorders>
            <w:shd w:val="clear" w:color="auto" w:fill="000000"/>
          </w:tcPr>
          <w:p w14:paraId="0C883A99" w14:textId="462B342C" w:rsidR="00BB3451" w:rsidRPr="00257F44" w:rsidRDefault="00BB3451" w:rsidP="002D45E6">
            <w:pPr>
              <w:rPr>
                <w:rFonts w:ascii="Gill Sans" w:hAnsi="Gill Sans" w:cs="Gill Sans"/>
                <w:noProof/>
                <w:color w:val="FFFFFF" w:themeColor="background1"/>
                <w:sz w:val="20"/>
                <w:szCs w:val="20"/>
                <w:lang w:val="uk-UA"/>
              </w:rPr>
            </w:pPr>
            <w:r w:rsidRPr="00257F44">
              <w:rPr>
                <w:rFonts w:ascii="Gill Sans" w:hAnsi="Gill Sans" w:cs="Gill Sans"/>
                <w:noProof/>
                <w:color w:val="FFFFFF" w:themeColor="background1"/>
                <w:sz w:val="20"/>
                <w:szCs w:val="20"/>
                <w:lang w:val="uk-UA"/>
              </w:rPr>
              <w:t xml:space="preserve">2.  </w:t>
            </w:r>
            <w:r w:rsidR="002D45E6" w:rsidRPr="00257F44">
              <w:rPr>
                <w:rFonts w:ascii="Gill Sans" w:hAnsi="Gill Sans" w:cs="Gill Sans"/>
                <w:noProof/>
                <w:color w:val="FFFFFF" w:themeColor="background1"/>
                <w:sz w:val="20"/>
                <w:szCs w:val="20"/>
                <w:lang w:val="uk-UA"/>
              </w:rPr>
              <w:t xml:space="preserve">Фінан-сування </w:t>
            </w:r>
            <w:r w:rsidR="002D45E6" w:rsidRPr="00257F44">
              <w:rPr>
                <w:rFonts w:ascii="Gill Sans" w:hAnsi="Gill Sans" w:cs="Gill Sans"/>
                <w:noProof/>
                <w:color w:val="FFFFFF" w:themeColor="background1"/>
                <w:sz w:val="20"/>
                <w:szCs w:val="20"/>
                <w:lang w:val="uk-UA"/>
              </w:rPr>
              <w:lastRenderedPageBreak/>
              <w:t>благодійних організацій</w:t>
            </w:r>
          </w:p>
        </w:tc>
        <w:tc>
          <w:tcPr>
            <w:tcW w:w="497" w:type="dxa"/>
            <w:vMerge w:val="restart"/>
            <w:tcBorders>
              <w:top w:val="single" w:sz="18" w:space="0" w:color="FFFFFF"/>
              <w:right w:val="single" w:sz="2" w:space="0" w:color="FFFFFF"/>
            </w:tcBorders>
            <w:shd w:val="clear" w:color="auto" w:fill="D6E3BC"/>
          </w:tcPr>
          <w:p w14:paraId="613CB7ED" w14:textId="77777777" w:rsidR="00BB3451" w:rsidRPr="00257F44" w:rsidRDefault="00BB3451" w:rsidP="00131C34">
            <w:pPr>
              <w:rPr>
                <w:rFonts w:ascii="Zapf Dingbats" w:hAnsi="Zapf Dingbats" w:cs="Gill Sans"/>
                <w:sz w:val="22"/>
                <w:szCs w:val="22"/>
                <w:lang w:val="uk-UA"/>
              </w:rPr>
            </w:pPr>
          </w:p>
        </w:tc>
        <w:tc>
          <w:tcPr>
            <w:tcW w:w="435" w:type="dxa"/>
            <w:vMerge w:val="restart"/>
            <w:tcBorders>
              <w:top w:val="single" w:sz="18" w:space="0" w:color="FFFFFF"/>
              <w:left w:val="single" w:sz="2" w:space="0" w:color="FFFFFF"/>
              <w:right w:val="single" w:sz="2" w:space="0" w:color="FFFFFF"/>
            </w:tcBorders>
            <w:shd w:val="clear" w:color="auto" w:fill="D6E3BC"/>
          </w:tcPr>
          <w:p w14:paraId="7168EFB6" w14:textId="77777777" w:rsidR="00BB3451" w:rsidRPr="00257F44" w:rsidRDefault="00BB3451" w:rsidP="00131C34">
            <w:pPr>
              <w:rPr>
                <w:rFonts w:ascii="Zapf Dingbats" w:hAnsi="Zapf Dingbats" w:cs="Gill Sans"/>
                <w:sz w:val="22"/>
                <w:szCs w:val="22"/>
                <w:lang w:val="uk-UA"/>
              </w:rPr>
            </w:pPr>
          </w:p>
        </w:tc>
        <w:tc>
          <w:tcPr>
            <w:tcW w:w="352" w:type="dxa"/>
            <w:vMerge w:val="restart"/>
            <w:tcBorders>
              <w:top w:val="single" w:sz="18" w:space="0" w:color="FFFFFF"/>
              <w:left w:val="single" w:sz="2" w:space="0" w:color="FFFFFF"/>
              <w:right w:val="single" w:sz="2" w:space="0" w:color="FFFFFF"/>
            </w:tcBorders>
            <w:shd w:val="clear" w:color="auto" w:fill="D6E3BC"/>
          </w:tcPr>
          <w:p w14:paraId="61C1198B" w14:textId="77777777" w:rsidR="00BB3451" w:rsidRPr="00257F44" w:rsidRDefault="00BB3451" w:rsidP="00131C34">
            <w:pPr>
              <w:rPr>
                <w:rFonts w:ascii="Zapf Dingbats" w:hAnsi="Zapf Dingbats" w:cs="Gill Sans"/>
                <w:sz w:val="22"/>
                <w:szCs w:val="22"/>
                <w:lang w:val="uk-UA"/>
              </w:rPr>
            </w:pPr>
          </w:p>
        </w:tc>
        <w:tc>
          <w:tcPr>
            <w:tcW w:w="353" w:type="dxa"/>
            <w:vMerge w:val="restart"/>
            <w:tcBorders>
              <w:top w:val="single" w:sz="18" w:space="0" w:color="FFFFFF"/>
              <w:left w:val="single" w:sz="2" w:space="0" w:color="FFFFFF"/>
              <w:right w:val="single" w:sz="18" w:space="0" w:color="FFFFFF"/>
            </w:tcBorders>
            <w:shd w:val="clear" w:color="auto" w:fill="D6E3BC"/>
          </w:tcPr>
          <w:p w14:paraId="47FDD039" w14:textId="77777777" w:rsidR="00BB3451" w:rsidRPr="00257F44" w:rsidRDefault="00BB3451" w:rsidP="00131C34">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377" w:type="dxa"/>
            <w:vMerge w:val="restart"/>
            <w:tcBorders>
              <w:top w:val="single" w:sz="18" w:space="0" w:color="FFFFFF"/>
              <w:left w:val="single" w:sz="2" w:space="0" w:color="FFFFFF"/>
              <w:right w:val="single" w:sz="2" w:space="0" w:color="FFFFFF"/>
            </w:tcBorders>
            <w:shd w:val="clear" w:color="auto" w:fill="FBD4B4"/>
          </w:tcPr>
          <w:p w14:paraId="6F29F5AB" w14:textId="77777777" w:rsidR="00BB3451" w:rsidRPr="00257F44" w:rsidRDefault="00BB3451" w:rsidP="00131C34">
            <w:pPr>
              <w:rPr>
                <w:rFonts w:ascii="Zapf Dingbats" w:hAnsi="Zapf Dingbats" w:cs="Gill Sans"/>
                <w:sz w:val="22"/>
                <w:szCs w:val="22"/>
                <w:lang w:val="uk-UA"/>
              </w:rPr>
            </w:pPr>
          </w:p>
        </w:tc>
        <w:tc>
          <w:tcPr>
            <w:tcW w:w="377" w:type="dxa"/>
            <w:vMerge w:val="restart"/>
            <w:tcBorders>
              <w:top w:val="single" w:sz="18" w:space="0" w:color="FFFFFF"/>
              <w:left w:val="single" w:sz="2" w:space="0" w:color="FFFFFF"/>
              <w:right w:val="single" w:sz="2" w:space="0" w:color="FFFFFF"/>
            </w:tcBorders>
            <w:shd w:val="clear" w:color="auto" w:fill="FBD4B4"/>
          </w:tcPr>
          <w:p w14:paraId="37C28E98" w14:textId="77777777" w:rsidR="00BB3451" w:rsidRPr="00257F44" w:rsidRDefault="00BB3451" w:rsidP="00131C34">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377" w:type="dxa"/>
            <w:vMerge w:val="restart"/>
            <w:tcBorders>
              <w:top w:val="single" w:sz="18" w:space="0" w:color="FFFFFF"/>
              <w:left w:val="single" w:sz="2" w:space="0" w:color="FFFFFF"/>
              <w:right w:val="single" w:sz="2" w:space="0" w:color="FFFFFF"/>
            </w:tcBorders>
            <w:shd w:val="clear" w:color="auto" w:fill="FBD4B4"/>
          </w:tcPr>
          <w:p w14:paraId="3DE51F3B" w14:textId="77777777" w:rsidR="00BB3451" w:rsidRPr="00257F44" w:rsidRDefault="00BB3451" w:rsidP="00131C34">
            <w:pPr>
              <w:rPr>
                <w:rFonts w:ascii="Zapf Dingbats" w:hAnsi="Zapf Dingbats" w:cs="Gill Sans"/>
                <w:noProof/>
                <w:sz w:val="22"/>
                <w:szCs w:val="22"/>
                <w:lang w:val="uk-UA"/>
              </w:rPr>
            </w:pPr>
          </w:p>
        </w:tc>
        <w:tc>
          <w:tcPr>
            <w:tcW w:w="781" w:type="dxa"/>
            <w:vMerge w:val="restart"/>
            <w:tcBorders>
              <w:top w:val="single" w:sz="18" w:space="0" w:color="FFFFFF"/>
              <w:left w:val="single" w:sz="2" w:space="0" w:color="FFFFFF"/>
              <w:right w:val="single" w:sz="18" w:space="0" w:color="FFFFFF"/>
            </w:tcBorders>
            <w:shd w:val="clear" w:color="auto" w:fill="FBD4B4"/>
          </w:tcPr>
          <w:p w14:paraId="19EBF540" w14:textId="77777777" w:rsidR="00BB3451" w:rsidRPr="00257F44" w:rsidRDefault="00BB3451" w:rsidP="00131C34">
            <w:pPr>
              <w:rPr>
                <w:rFonts w:ascii="Zapf Dingbats" w:hAnsi="Zapf Dingbats" w:cs="Gill Sans"/>
                <w:sz w:val="22"/>
                <w:szCs w:val="22"/>
                <w:lang w:val="uk-UA"/>
              </w:rPr>
            </w:pPr>
          </w:p>
        </w:tc>
        <w:tc>
          <w:tcPr>
            <w:tcW w:w="355" w:type="dxa"/>
            <w:vMerge w:val="restart"/>
            <w:tcBorders>
              <w:top w:val="single" w:sz="18" w:space="0" w:color="FFFFFF"/>
              <w:left w:val="single" w:sz="18" w:space="0" w:color="FFFFFF"/>
              <w:right w:val="single" w:sz="2" w:space="0" w:color="FFFFFF"/>
            </w:tcBorders>
            <w:shd w:val="clear" w:color="auto" w:fill="CCC0D9"/>
          </w:tcPr>
          <w:p w14:paraId="0C2C516C" w14:textId="77777777" w:rsidR="00BB3451" w:rsidRPr="00257F44" w:rsidRDefault="00BB3451" w:rsidP="00131C34">
            <w:pPr>
              <w:rPr>
                <w:rFonts w:ascii="Zapf Dingbats" w:hAnsi="Zapf Dingbats" w:cs="Gill Sans"/>
                <w:sz w:val="22"/>
                <w:szCs w:val="22"/>
                <w:lang w:val="uk-UA"/>
              </w:rPr>
            </w:pPr>
          </w:p>
        </w:tc>
        <w:tc>
          <w:tcPr>
            <w:tcW w:w="351" w:type="dxa"/>
            <w:vMerge w:val="restart"/>
            <w:tcBorders>
              <w:top w:val="single" w:sz="18" w:space="0" w:color="FFFFFF"/>
              <w:left w:val="single" w:sz="2" w:space="0" w:color="FFFFFF"/>
              <w:right w:val="single" w:sz="2" w:space="0" w:color="FFFFFF"/>
            </w:tcBorders>
            <w:shd w:val="clear" w:color="auto" w:fill="CCC0D9"/>
          </w:tcPr>
          <w:p w14:paraId="1B3C666A" w14:textId="77777777" w:rsidR="00BB3451" w:rsidRPr="00257F44" w:rsidRDefault="00BB3451" w:rsidP="00131C34">
            <w:pPr>
              <w:rPr>
                <w:rFonts w:ascii="Zapf Dingbats" w:hAnsi="Zapf Dingbats" w:cs="Gill Sans"/>
                <w:sz w:val="22"/>
                <w:szCs w:val="22"/>
                <w:lang w:val="uk-UA"/>
              </w:rPr>
            </w:pPr>
          </w:p>
        </w:tc>
        <w:tc>
          <w:tcPr>
            <w:tcW w:w="351" w:type="dxa"/>
            <w:vMerge w:val="restart"/>
            <w:tcBorders>
              <w:top w:val="single" w:sz="18" w:space="0" w:color="FFFFFF"/>
              <w:left w:val="single" w:sz="2" w:space="0" w:color="FFFFFF"/>
              <w:right w:val="single" w:sz="2" w:space="0" w:color="FFFFFF"/>
            </w:tcBorders>
            <w:shd w:val="clear" w:color="auto" w:fill="CCC0D9"/>
          </w:tcPr>
          <w:p w14:paraId="7731C39A" w14:textId="77777777" w:rsidR="00BB3451" w:rsidRPr="00257F44" w:rsidRDefault="00BB3451" w:rsidP="00131C34">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434" w:type="dxa"/>
            <w:vMerge w:val="restart"/>
            <w:tcBorders>
              <w:top w:val="single" w:sz="18" w:space="0" w:color="FFFFFF"/>
              <w:left w:val="single" w:sz="2" w:space="0" w:color="FFFFFF"/>
              <w:right w:val="single" w:sz="18" w:space="0" w:color="FFFFFF"/>
            </w:tcBorders>
            <w:shd w:val="clear" w:color="auto" w:fill="CCC0D9"/>
          </w:tcPr>
          <w:p w14:paraId="4B29D5A5" w14:textId="77777777" w:rsidR="00BB3451" w:rsidRPr="00257F44" w:rsidRDefault="00BB3451" w:rsidP="00131C34">
            <w:pPr>
              <w:rPr>
                <w:rFonts w:ascii="Zapf Dingbats" w:hAnsi="Zapf Dingbats" w:cs="Gill Sans"/>
                <w:sz w:val="22"/>
                <w:szCs w:val="22"/>
                <w:lang w:val="uk-UA"/>
              </w:rPr>
            </w:pPr>
          </w:p>
        </w:tc>
        <w:tc>
          <w:tcPr>
            <w:tcW w:w="434"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1EF5E798" w14:textId="77777777" w:rsidR="00BB3451" w:rsidRPr="00257F44" w:rsidRDefault="00BB3451" w:rsidP="00131C34">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600"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5AC28517" w14:textId="77777777" w:rsidR="00BB3451" w:rsidRPr="00257F44" w:rsidRDefault="00BB3451" w:rsidP="00131C34">
            <w:pPr>
              <w:rPr>
                <w:rFonts w:ascii="Zapf Dingbats" w:hAnsi="Zapf Dingbats" w:cs="Gill Sans"/>
                <w:sz w:val="22"/>
                <w:szCs w:val="22"/>
                <w:lang w:val="uk-UA"/>
              </w:rPr>
            </w:pPr>
          </w:p>
        </w:tc>
        <w:tc>
          <w:tcPr>
            <w:tcW w:w="434"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73789925" w14:textId="77777777" w:rsidR="00BB3451" w:rsidRPr="00257F44" w:rsidRDefault="00BB3451" w:rsidP="00131C34">
            <w:pPr>
              <w:rPr>
                <w:rFonts w:ascii="Zapf Dingbats" w:hAnsi="Zapf Dingbats" w:cs="Gill Sans"/>
                <w:sz w:val="22"/>
                <w:szCs w:val="22"/>
                <w:lang w:val="uk-UA"/>
              </w:rPr>
            </w:pPr>
          </w:p>
        </w:tc>
        <w:tc>
          <w:tcPr>
            <w:tcW w:w="517"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74981FD1" w14:textId="77777777" w:rsidR="00BB3451" w:rsidRPr="00257F44" w:rsidRDefault="00BB3451" w:rsidP="00131C34">
            <w:pPr>
              <w:rPr>
                <w:rFonts w:ascii="Zapf Dingbats" w:hAnsi="Zapf Dingbats" w:cs="Gill Sans"/>
                <w:sz w:val="22"/>
                <w:szCs w:val="22"/>
                <w:lang w:val="uk-UA"/>
              </w:rPr>
            </w:pPr>
          </w:p>
        </w:tc>
        <w:tc>
          <w:tcPr>
            <w:tcW w:w="351" w:type="dxa"/>
            <w:vMerge w:val="restart"/>
            <w:tcBorders>
              <w:top w:val="single" w:sz="18" w:space="0" w:color="FFFFFF"/>
              <w:left w:val="single" w:sz="18" w:space="0" w:color="FFFFFF"/>
              <w:right w:val="single" w:sz="2" w:space="0" w:color="FFFFFF"/>
            </w:tcBorders>
            <w:shd w:val="clear" w:color="auto" w:fill="D99594"/>
          </w:tcPr>
          <w:p w14:paraId="0B098D0A" w14:textId="77777777" w:rsidR="00BB3451" w:rsidRPr="00257F44" w:rsidRDefault="00BB3451" w:rsidP="00131C34">
            <w:pPr>
              <w:rPr>
                <w:rFonts w:ascii="Zapf Dingbats" w:hAnsi="Zapf Dingbats" w:cs="Gill Sans"/>
                <w:sz w:val="22"/>
                <w:szCs w:val="22"/>
                <w:lang w:val="uk-UA"/>
              </w:rPr>
            </w:pPr>
          </w:p>
        </w:tc>
        <w:tc>
          <w:tcPr>
            <w:tcW w:w="351" w:type="dxa"/>
            <w:vMerge w:val="restart"/>
            <w:tcBorders>
              <w:top w:val="single" w:sz="18" w:space="0" w:color="FFFFFF"/>
              <w:left w:val="single" w:sz="2" w:space="0" w:color="FFFFFF"/>
              <w:right w:val="single" w:sz="2" w:space="0" w:color="FFFFFF"/>
            </w:tcBorders>
            <w:shd w:val="clear" w:color="auto" w:fill="D99594"/>
          </w:tcPr>
          <w:p w14:paraId="087472B5" w14:textId="77777777" w:rsidR="00BB3451" w:rsidRPr="00257F44" w:rsidRDefault="00BB3451" w:rsidP="00131C34">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34" w:type="dxa"/>
            <w:vMerge w:val="restart"/>
            <w:tcBorders>
              <w:top w:val="single" w:sz="18" w:space="0" w:color="FFFFFF"/>
              <w:left w:val="single" w:sz="2" w:space="0" w:color="FFFFFF"/>
              <w:right w:val="single" w:sz="2" w:space="0" w:color="FFFFFF"/>
            </w:tcBorders>
            <w:shd w:val="clear" w:color="auto" w:fill="D99594"/>
          </w:tcPr>
          <w:p w14:paraId="76613476" w14:textId="77777777" w:rsidR="00BB3451" w:rsidRPr="00257F44" w:rsidRDefault="00BB3451" w:rsidP="00131C34">
            <w:pPr>
              <w:rPr>
                <w:rFonts w:ascii="Zapf Dingbats" w:hAnsi="Zapf Dingbats" w:cs="Gill Sans"/>
                <w:sz w:val="22"/>
                <w:szCs w:val="22"/>
                <w:lang w:val="uk-UA"/>
              </w:rPr>
            </w:pPr>
          </w:p>
        </w:tc>
        <w:tc>
          <w:tcPr>
            <w:tcW w:w="351" w:type="dxa"/>
            <w:vMerge w:val="restart"/>
            <w:tcBorders>
              <w:top w:val="single" w:sz="18" w:space="0" w:color="FFFFFF"/>
              <w:left w:val="single" w:sz="2" w:space="0" w:color="FFFFFF"/>
              <w:right w:val="single" w:sz="2" w:space="0" w:color="FFFFFF"/>
            </w:tcBorders>
            <w:shd w:val="clear" w:color="auto" w:fill="D99594"/>
          </w:tcPr>
          <w:p w14:paraId="0A26813D" w14:textId="77777777" w:rsidR="00BB3451" w:rsidRPr="00257F44" w:rsidRDefault="00BB3451" w:rsidP="00131C34">
            <w:pPr>
              <w:rPr>
                <w:rFonts w:ascii="Gill Sans" w:hAnsi="Gill Sans" w:cs="Gill Sans"/>
                <w:noProof/>
                <w:sz w:val="22"/>
                <w:szCs w:val="22"/>
                <w:lang w:val="uk-UA"/>
              </w:rPr>
            </w:pPr>
          </w:p>
        </w:tc>
        <w:tc>
          <w:tcPr>
            <w:tcW w:w="434" w:type="dxa"/>
            <w:vMerge w:val="restart"/>
            <w:tcBorders>
              <w:top w:val="single" w:sz="18" w:space="0" w:color="FFFFFF"/>
              <w:left w:val="single" w:sz="2" w:space="0" w:color="FFFFFF"/>
              <w:right w:val="single" w:sz="18" w:space="0" w:color="FFFFFF"/>
            </w:tcBorders>
            <w:shd w:val="clear" w:color="auto" w:fill="D99594"/>
          </w:tcPr>
          <w:p w14:paraId="0238CA12" w14:textId="77777777" w:rsidR="00BB3451" w:rsidRPr="00257F44" w:rsidRDefault="00BB3451" w:rsidP="00131C34">
            <w:pPr>
              <w:rPr>
                <w:rFonts w:ascii="Gill Sans" w:hAnsi="Gill Sans" w:cs="Gill Sans"/>
                <w:sz w:val="22"/>
                <w:szCs w:val="22"/>
                <w:lang w:val="uk-UA"/>
              </w:rPr>
            </w:pPr>
          </w:p>
        </w:tc>
      </w:tr>
      <w:tr w:rsidR="009B0529" w:rsidRPr="00257F44" w14:paraId="3F5CBEA2" w14:textId="77777777" w:rsidTr="002D45E6">
        <w:trPr>
          <w:trHeight w:val="340"/>
        </w:trPr>
        <w:tc>
          <w:tcPr>
            <w:tcW w:w="1422" w:type="dxa"/>
            <w:vMerge/>
            <w:tcBorders>
              <w:left w:val="single" w:sz="4" w:space="0" w:color="FFFFFF"/>
            </w:tcBorders>
            <w:shd w:val="clear" w:color="auto" w:fill="000000"/>
          </w:tcPr>
          <w:p w14:paraId="18FE0497" w14:textId="77777777" w:rsidR="00BB3451" w:rsidRPr="00257F44" w:rsidRDefault="00BB3451" w:rsidP="00131C34">
            <w:pPr>
              <w:rPr>
                <w:rFonts w:ascii="Gill Sans" w:hAnsi="Gill Sans" w:cs="Gill Sans"/>
                <w:color w:val="FFFFFF" w:themeColor="background1"/>
                <w:sz w:val="20"/>
                <w:szCs w:val="20"/>
                <w:lang w:val="uk-UA"/>
              </w:rPr>
            </w:pPr>
          </w:p>
        </w:tc>
        <w:tc>
          <w:tcPr>
            <w:tcW w:w="497" w:type="dxa"/>
            <w:vMerge/>
            <w:tcBorders>
              <w:right w:val="single" w:sz="2" w:space="0" w:color="FFFFFF"/>
            </w:tcBorders>
            <w:shd w:val="clear" w:color="auto" w:fill="D6E3BC"/>
          </w:tcPr>
          <w:p w14:paraId="6402CBC7" w14:textId="77777777" w:rsidR="00BB3451" w:rsidRPr="00257F44" w:rsidRDefault="00BB3451" w:rsidP="00131C34">
            <w:pPr>
              <w:rPr>
                <w:rFonts w:ascii="Zapf Dingbats" w:hAnsi="Zapf Dingbats" w:cs="Gill Sans"/>
                <w:sz w:val="22"/>
                <w:szCs w:val="22"/>
                <w:lang w:val="uk-UA"/>
              </w:rPr>
            </w:pPr>
          </w:p>
        </w:tc>
        <w:tc>
          <w:tcPr>
            <w:tcW w:w="435" w:type="dxa"/>
            <w:vMerge/>
            <w:tcBorders>
              <w:left w:val="single" w:sz="2" w:space="0" w:color="FFFFFF"/>
              <w:right w:val="single" w:sz="2" w:space="0" w:color="FFFFFF"/>
            </w:tcBorders>
            <w:shd w:val="clear" w:color="auto" w:fill="D6E3BC"/>
          </w:tcPr>
          <w:p w14:paraId="5A50709A" w14:textId="77777777" w:rsidR="00BB3451" w:rsidRPr="00257F44" w:rsidRDefault="00BB3451" w:rsidP="00131C34">
            <w:pPr>
              <w:rPr>
                <w:rFonts w:ascii="Zapf Dingbats" w:hAnsi="Zapf Dingbats" w:cs="Gill Sans"/>
                <w:sz w:val="22"/>
                <w:szCs w:val="22"/>
                <w:lang w:val="uk-UA"/>
              </w:rPr>
            </w:pPr>
          </w:p>
        </w:tc>
        <w:tc>
          <w:tcPr>
            <w:tcW w:w="352" w:type="dxa"/>
            <w:vMerge/>
            <w:tcBorders>
              <w:left w:val="single" w:sz="2" w:space="0" w:color="FFFFFF"/>
              <w:right w:val="single" w:sz="2" w:space="0" w:color="FFFFFF"/>
            </w:tcBorders>
            <w:shd w:val="clear" w:color="auto" w:fill="D6E3BC"/>
          </w:tcPr>
          <w:p w14:paraId="5AFC9F95" w14:textId="77777777" w:rsidR="00BB3451" w:rsidRPr="00257F44" w:rsidRDefault="00BB3451" w:rsidP="00131C34">
            <w:pPr>
              <w:rPr>
                <w:rFonts w:ascii="Zapf Dingbats" w:hAnsi="Zapf Dingbats" w:cs="Gill Sans"/>
                <w:sz w:val="22"/>
                <w:szCs w:val="22"/>
                <w:lang w:val="uk-UA"/>
              </w:rPr>
            </w:pPr>
          </w:p>
        </w:tc>
        <w:tc>
          <w:tcPr>
            <w:tcW w:w="353" w:type="dxa"/>
            <w:vMerge/>
            <w:tcBorders>
              <w:left w:val="single" w:sz="2" w:space="0" w:color="FFFFFF"/>
              <w:right w:val="single" w:sz="18" w:space="0" w:color="FFFFFF"/>
            </w:tcBorders>
            <w:shd w:val="clear" w:color="auto" w:fill="D6E3BC"/>
          </w:tcPr>
          <w:p w14:paraId="2882F697" w14:textId="77777777" w:rsidR="00BB3451" w:rsidRPr="00257F44" w:rsidRDefault="00BB3451" w:rsidP="00131C34">
            <w:pPr>
              <w:rPr>
                <w:rFonts w:ascii="Zapf Dingbats" w:hAnsi="Zapf Dingbats" w:cs="Gill Sans"/>
                <w:noProof/>
                <w:sz w:val="22"/>
                <w:szCs w:val="22"/>
                <w:lang w:val="uk-UA"/>
              </w:rPr>
            </w:pPr>
          </w:p>
        </w:tc>
        <w:tc>
          <w:tcPr>
            <w:tcW w:w="377" w:type="dxa"/>
            <w:vMerge/>
            <w:tcBorders>
              <w:left w:val="single" w:sz="2" w:space="0" w:color="FFFFFF"/>
              <w:right w:val="single" w:sz="2" w:space="0" w:color="FFFFFF"/>
            </w:tcBorders>
            <w:shd w:val="clear" w:color="auto" w:fill="FBD4B4"/>
          </w:tcPr>
          <w:p w14:paraId="433AC211" w14:textId="77777777" w:rsidR="00BB3451" w:rsidRPr="00257F44" w:rsidRDefault="00BB3451" w:rsidP="00131C34">
            <w:pPr>
              <w:rPr>
                <w:rFonts w:ascii="Zapf Dingbats" w:hAnsi="Zapf Dingbats" w:cs="Gill Sans"/>
                <w:sz w:val="22"/>
                <w:szCs w:val="22"/>
                <w:lang w:val="uk-UA"/>
              </w:rPr>
            </w:pPr>
          </w:p>
        </w:tc>
        <w:tc>
          <w:tcPr>
            <w:tcW w:w="377" w:type="dxa"/>
            <w:vMerge/>
            <w:tcBorders>
              <w:left w:val="single" w:sz="2" w:space="0" w:color="FFFFFF"/>
              <w:right w:val="single" w:sz="2" w:space="0" w:color="FFFFFF"/>
            </w:tcBorders>
            <w:shd w:val="clear" w:color="auto" w:fill="FBD4B4"/>
          </w:tcPr>
          <w:p w14:paraId="4033DD65" w14:textId="77777777" w:rsidR="00BB3451" w:rsidRPr="00257F44" w:rsidRDefault="00BB3451" w:rsidP="00131C34">
            <w:pPr>
              <w:rPr>
                <w:rFonts w:ascii="Zapf Dingbats" w:hAnsi="Zapf Dingbats" w:cs="Gill Sans"/>
                <w:noProof/>
                <w:sz w:val="22"/>
                <w:szCs w:val="22"/>
                <w:lang w:val="uk-UA"/>
              </w:rPr>
            </w:pPr>
          </w:p>
        </w:tc>
        <w:tc>
          <w:tcPr>
            <w:tcW w:w="377" w:type="dxa"/>
            <w:vMerge/>
            <w:tcBorders>
              <w:left w:val="single" w:sz="2" w:space="0" w:color="FFFFFF"/>
              <w:right w:val="single" w:sz="2" w:space="0" w:color="FFFFFF"/>
            </w:tcBorders>
            <w:shd w:val="clear" w:color="auto" w:fill="FBD4B4"/>
          </w:tcPr>
          <w:p w14:paraId="20C12FA7" w14:textId="77777777" w:rsidR="00BB3451" w:rsidRPr="00257F44" w:rsidRDefault="00BB3451" w:rsidP="00131C34">
            <w:pPr>
              <w:rPr>
                <w:rFonts w:ascii="Zapf Dingbats" w:hAnsi="Zapf Dingbats" w:cs="Gill Sans"/>
                <w:noProof/>
                <w:sz w:val="22"/>
                <w:szCs w:val="22"/>
                <w:lang w:val="uk-UA"/>
              </w:rPr>
            </w:pPr>
          </w:p>
        </w:tc>
        <w:tc>
          <w:tcPr>
            <w:tcW w:w="781" w:type="dxa"/>
            <w:vMerge/>
            <w:tcBorders>
              <w:left w:val="single" w:sz="2" w:space="0" w:color="FFFFFF"/>
              <w:right w:val="single" w:sz="18" w:space="0" w:color="FFFFFF"/>
            </w:tcBorders>
            <w:shd w:val="clear" w:color="auto" w:fill="FBD4B4"/>
          </w:tcPr>
          <w:p w14:paraId="2E4DE9D8" w14:textId="77777777" w:rsidR="00BB3451" w:rsidRPr="00257F44" w:rsidRDefault="00BB3451" w:rsidP="00131C34">
            <w:pPr>
              <w:rPr>
                <w:rFonts w:ascii="Zapf Dingbats" w:hAnsi="Zapf Dingbats" w:cs="Gill Sans"/>
                <w:sz w:val="22"/>
                <w:szCs w:val="22"/>
                <w:lang w:val="uk-UA"/>
              </w:rPr>
            </w:pPr>
          </w:p>
        </w:tc>
        <w:tc>
          <w:tcPr>
            <w:tcW w:w="355" w:type="dxa"/>
            <w:vMerge/>
            <w:tcBorders>
              <w:left w:val="single" w:sz="18" w:space="0" w:color="FFFFFF"/>
              <w:right w:val="single" w:sz="2" w:space="0" w:color="FFFFFF"/>
            </w:tcBorders>
            <w:shd w:val="clear" w:color="auto" w:fill="CCC0D9"/>
          </w:tcPr>
          <w:p w14:paraId="7E10C494" w14:textId="77777777" w:rsidR="00BB3451" w:rsidRPr="00257F44" w:rsidRDefault="00BB3451" w:rsidP="00131C34">
            <w:pPr>
              <w:rPr>
                <w:rFonts w:ascii="Zapf Dingbats" w:hAnsi="Zapf Dingbats" w:cs="Gill Sans"/>
                <w:sz w:val="22"/>
                <w:szCs w:val="22"/>
                <w:lang w:val="uk-UA"/>
              </w:rPr>
            </w:pPr>
          </w:p>
        </w:tc>
        <w:tc>
          <w:tcPr>
            <w:tcW w:w="351" w:type="dxa"/>
            <w:vMerge/>
            <w:tcBorders>
              <w:left w:val="single" w:sz="2" w:space="0" w:color="FFFFFF"/>
              <w:right w:val="single" w:sz="2" w:space="0" w:color="FFFFFF"/>
            </w:tcBorders>
            <w:shd w:val="clear" w:color="auto" w:fill="CCC0D9"/>
          </w:tcPr>
          <w:p w14:paraId="64525C0C" w14:textId="77777777" w:rsidR="00BB3451" w:rsidRPr="00257F44" w:rsidRDefault="00BB3451" w:rsidP="00131C34">
            <w:pPr>
              <w:rPr>
                <w:rFonts w:ascii="Zapf Dingbats" w:hAnsi="Zapf Dingbats" w:cs="Gill Sans"/>
                <w:sz w:val="22"/>
                <w:szCs w:val="22"/>
                <w:lang w:val="uk-UA"/>
              </w:rPr>
            </w:pPr>
          </w:p>
        </w:tc>
        <w:tc>
          <w:tcPr>
            <w:tcW w:w="351" w:type="dxa"/>
            <w:vMerge/>
            <w:tcBorders>
              <w:left w:val="single" w:sz="2" w:space="0" w:color="FFFFFF"/>
              <w:right w:val="single" w:sz="2" w:space="0" w:color="FFFFFF"/>
            </w:tcBorders>
            <w:shd w:val="clear" w:color="auto" w:fill="CCC0D9"/>
          </w:tcPr>
          <w:p w14:paraId="46A222FB" w14:textId="77777777" w:rsidR="00BB3451" w:rsidRPr="00257F44" w:rsidRDefault="00BB3451" w:rsidP="00131C34">
            <w:pPr>
              <w:rPr>
                <w:rFonts w:ascii="Zapf Dingbats" w:hAnsi="Zapf Dingbats" w:cs="Gill Sans"/>
                <w:noProof/>
                <w:sz w:val="22"/>
                <w:szCs w:val="22"/>
                <w:lang w:val="uk-UA"/>
              </w:rPr>
            </w:pPr>
          </w:p>
        </w:tc>
        <w:tc>
          <w:tcPr>
            <w:tcW w:w="434" w:type="dxa"/>
            <w:vMerge/>
            <w:tcBorders>
              <w:left w:val="single" w:sz="2" w:space="0" w:color="FFFFFF"/>
              <w:right w:val="single" w:sz="18" w:space="0" w:color="FFFFFF"/>
            </w:tcBorders>
            <w:shd w:val="clear" w:color="auto" w:fill="CCC0D9"/>
          </w:tcPr>
          <w:p w14:paraId="5524E33B" w14:textId="77777777" w:rsidR="00BB3451" w:rsidRPr="00257F44" w:rsidRDefault="00BB3451" w:rsidP="00131C34">
            <w:pPr>
              <w:rPr>
                <w:rFonts w:ascii="Zapf Dingbats" w:hAnsi="Zapf Dingbats" w:cs="Gill Sans"/>
                <w:sz w:val="22"/>
                <w:szCs w:val="22"/>
                <w:lang w:val="uk-UA"/>
              </w:rPr>
            </w:pPr>
          </w:p>
        </w:tc>
        <w:tc>
          <w:tcPr>
            <w:tcW w:w="434" w:type="dxa"/>
            <w:tcBorders>
              <w:top w:val="single" w:sz="8" w:space="0" w:color="FFFFFF" w:themeColor="background1"/>
              <w:left w:val="single" w:sz="18" w:space="0" w:color="FFFFFF"/>
              <w:bottom w:val="single" w:sz="18" w:space="0" w:color="FFFFFF"/>
              <w:right w:val="single" w:sz="4" w:space="0" w:color="FFFFFF" w:themeColor="background1"/>
            </w:tcBorders>
            <w:shd w:val="clear" w:color="auto" w:fill="B8CCE4"/>
          </w:tcPr>
          <w:p w14:paraId="032E256E" w14:textId="77777777" w:rsidR="00BB3451" w:rsidRPr="00257F44" w:rsidRDefault="00BB3451" w:rsidP="00131C34">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600" w:type="dxa"/>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B8CCE4"/>
          </w:tcPr>
          <w:p w14:paraId="1C5E9C05" w14:textId="77777777" w:rsidR="00BB3451" w:rsidRPr="00257F44" w:rsidRDefault="00BB3451" w:rsidP="00131C34">
            <w:pPr>
              <w:rPr>
                <w:rFonts w:ascii="Zapf Dingbats" w:hAnsi="Zapf Dingbats" w:cs="Gill Sans"/>
                <w:sz w:val="22"/>
                <w:szCs w:val="22"/>
                <w:lang w:val="uk-UA"/>
              </w:rPr>
            </w:pPr>
          </w:p>
        </w:tc>
        <w:tc>
          <w:tcPr>
            <w:tcW w:w="434" w:type="dxa"/>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B8CCE4"/>
          </w:tcPr>
          <w:p w14:paraId="749421FD" w14:textId="77777777" w:rsidR="00BB3451" w:rsidRPr="00257F44" w:rsidRDefault="00BB3451" w:rsidP="00131C34">
            <w:pPr>
              <w:rPr>
                <w:rFonts w:ascii="Zapf Dingbats" w:hAnsi="Zapf Dingbats" w:cs="Gill Sans"/>
                <w:sz w:val="22"/>
                <w:szCs w:val="22"/>
                <w:lang w:val="uk-UA"/>
              </w:rPr>
            </w:pPr>
          </w:p>
        </w:tc>
        <w:tc>
          <w:tcPr>
            <w:tcW w:w="517" w:type="dxa"/>
            <w:tcBorders>
              <w:top w:val="single" w:sz="8" w:space="0" w:color="FFFFFF" w:themeColor="background1"/>
              <w:left w:val="single" w:sz="4" w:space="0" w:color="FFFFFF" w:themeColor="background1"/>
              <w:bottom w:val="single" w:sz="18" w:space="0" w:color="FFFFFF"/>
              <w:right w:val="single" w:sz="18" w:space="0" w:color="FFFFFF"/>
            </w:tcBorders>
            <w:shd w:val="clear" w:color="auto" w:fill="B8CCE4"/>
          </w:tcPr>
          <w:p w14:paraId="71E8E443" w14:textId="77777777" w:rsidR="00BB3451" w:rsidRPr="00257F44" w:rsidRDefault="00BB3451" w:rsidP="00131C34">
            <w:pPr>
              <w:rPr>
                <w:rFonts w:ascii="Zapf Dingbats" w:hAnsi="Zapf Dingbats" w:cs="Gill Sans"/>
                <w:sz w:val="22"/>
                <w:szCs w:val="22"/>
                <w:lang w:val="uk-UA"/>
              </w:rPr>
            </w:pPr>
          </w:p>
        </w:tc>
        <w:tc>
          <w:tcPr>
            <w:tcW w:w="351" w:type="dxa"/>
            <w:vMerge/>
            <w:tcBorders>
              <w:left w:val="single" w:sz="18" w:space="0" w:color="FFFFFF"/>
              <w:right w:val="single" w:sz="2" w:space="0" w:color="FFFFFF"/>
            </w:tcBorders>
            <w:shd w:val="clear" w:color="auto" w:fill="D99594"/>
          </w:tcPr>
          <w:p w14:paraId="0E89DA33" w14:textId="77777777" w:rsidR="00BB3451" w:rsidRPr="00257F44" w:rsidRDefault="00BB3451" w:rsidP="00131C34">
            <w:pPr>
              <w:rPr>
                <w:rFonts w:ascii="Zapf Dingbats" w:hAnsi="Zapf Dingbats" w:cs="Gill Sans"/>
                <w:sz w:val="22"/>
                <w:szCs w:val="22"/>
                <w:lang w:val="uk-UA"/>
              </w:rPr>
            </w:pPr>
          </w:p>
        </w:tc>
        <w:tc>
          <w:tcPr>
            <w:tcW w:w="351" w:type="dxa"/>
            <w:vMerge/>
            <w:tcBorders>
              <w:left w:val="single" w:sz="2" w:space="0" w:color="FFFFFF"/>
              <w:right w:val="single" w:sz="2" w:space="0" w:color="FFFFFF"/>
            </w:tcBorders>
            <w:shd w:val="clear" w:color="auto" w:fill="D99594"/>
          </w:tcPr>
          <w:p w14:paraId="598493BE" w14:textId="77777777" w:rsidR="00BB3451" w:rsidRPr="00257F44" w:rsidRDefault="00BB3451" w:rsidP="00131C34">
            <w:pPr>
              <w:rPr>
                <w:rFonts w:ascii="Zapf Dingbats" w:hAnsi="Zapf Dingbats" w:cs="Gill Sans"/>
                <w:sz w:val="22"/>
                <w:szCs w:val="22"/>
                <w:lang w:val="uk-UA"/>
              </w:rPr>
            </w:pPr>
          </w:p>
        </w:tc>
        <w:tc>
          <w:tcPr>
            <w:tcW w:w="434" w:type="dxa"/>
            <w:vMerge/>
            <w:tcBorders>
              <w:left w:val="single" w:sz="2" w:space="0" w:color="FFFFFF"/>
              <w:right w:val="single" w:sz="2" w:space="0" w:color="FFFFFF"/>
            </w:tcBorders>
            <w:shd w:val="clear" w:color="auto" w:fill="D99594"/>
          </w:tcPr>
          <w:p w14:paraId="4E24C939" w14:textId="77777777" w:rsidR="00BB3451" w:rsidRPr="00257F44" w:rsidRDefault="00BB3451" w:rsidP="00131C34">
            <w:pPr>
              <w:rPr>
                <w:rFonts w:ascii="Zapf Dingbats" w:hAnsi="Zapf Dingbats" w:cs="Gill Sans"/>
                <w:sz w:val="22"/>
                <w:szCs w:val="22"/>
                <w:lang w:val="uk-UA"/>
              </w:rPr>
            </w:pPr>
          </w:p>
        </w:tc>
        <w:tc>
          <w:tcPr>
            <w:tcW w:w="351" w:type="dxa"/>
            <w:vMerge/>
            <w:tcBorders>
              <w:left w:val="single" w:sz="2" w:space="0" w:color="FFFFFF"/>
              <w:right w:val="single" w:sz="2" w:space="0" w:color="FFFFFF"/>
            </w:tcBorders>
            <w:shd w:val="clear" w:color="auto" w:fill="D99594"/>
          </w:tcPr>
          <w:p w14:paraId="74486A71" w14:textId="77777777" w:rsidR="00BB3451" w:rsidRPr="00257F44" w:rsidRDefault="00BB3451" w:rsidP="00131C34">
            <w:pPr>
              <w:rPr>
                <w:rFonts w:ascii="Gill Sans" w:hAnsi="Gill Sans" w:cs="Gill Sans"/>
                <w:noProof/>
                <w:sz w:val="22"/>
                <w:szCs w:val="22"/>
                <w:lang w:val="uk-UA"/>
              </w:rPr>
            </w:pPr>
          </w:p>
        </w:tc>
        <w:tc>
          <w:tcPr>
            <w:tcW w:w="434" w:type="dxa"/>
            <w:vMerge/>
            <w:tcBorders>
              <w:left w:val="single" w:sz="2" w:space="0" w:color="FFFFFF"/>
              <w:right w:val="single" w:sz="18" w:space="0" w:color="FFFFFF"/>
            </w:tcBorders>
            <w:shd w:val="clear" w:color="auto" w:fill="D99594"/>
          </w:tcPr>
          <w:p w14:paraId="19286FFB" w14:textId="77777777" w:rsidR="00BB3451" w:rsidRPr="00257F44" w:rsidRDefault="00BB3451" w:rsidP="00131C34">
            <w:pPr>
              <w:rPr>
                <w:rFonts w:ascii="Gill Sans" w:hAnsi="Gill Sans" w:cs="Gill Sans"/>
                <w:sz w:val="22"/>
                <w:szCs w:val="22"/>
                <w:lang w:val="uk-UA"/>
              </w:rPr>
            </w:pPr>
          </w:p>
        </w:tc>
      </w:tr>
      <w:tr w:rsidR="009B0529" w:rsidRPr="00257F44" w14:paraId="78C18AF7" w14:textId="77777777" w:rsidTr="002D45E6">
        <w:trPr>
          <w:trHeight w:val="340"/>
        </w:trPr>
        <w:tc>
          <w:tcPr>
            <w:tcW w:w="1422" w:type="dxa"/>
            <w:vMerge w:val="restart"/>
            <w:tcBorders>
              <w:top w:val="single" w:sz="18" w:space="0" w:color="FFFFFF"/>
              <w:left w:val="single" w:sz="4" w:space="0" w:color="FFFFFF"/>
            </w:tcBorders>
            <w:shd w:val="clear" w:color="auto" w:fill="000000"/>
          </w:tcPr>
          <w:p w14:paraId="640A2D82" w14:textId="027D5EE5" w:rsidR="00BB3451" w:rsidRPr="00257F44" w:rsidRDefault="00BB3451" w:rsidP="00131C34">
            <w:pPr>
              <w:rPr>
                <w:rFonts w:ascii="Gill Sans" w:hAnsi="Gill Sans" w:cs="Gill Sans"/>
                <w:noProof/>
                <w:color w:val="FFFFFF" w:themeColor="background1"/>
                <w:sz w:val="20"/>
                <w:szCs w:val="20"/>
                <w:lang w:val="uk-UA"/>
              </w:rPr>
            </w:pPr>
            <w:r w:rsidRPr="00257F44">
              <w:rPr>
                <w:rFonts w:ascii="Gill Sans" w:hAnsi="Gill Sans" w:cs="Gill Sans"/>
                <w:noProof/>
                <w:color w:val="FFFFFF" w:themeColor="background1"/>
                <w:sz w:val="20"/>
                <w:szCs w:val="20"/>
                <w:lang w:val="uk-UA"/>
              </w:rPr>
              <w:lastRenderedPageBreak/>
              <w:t xml:space="preserve">3. </w:t>
            </w:r>
            <w:r w:rsidR="002D45E6" w:rsidRPr="00257F44">
              <w:rPr>
                <w:rFonts w:ascii="Gill Sans" w:hAnsi="Gill Sans" w:cs="Gill Sans"/>
                <w:noProof/>
                <w:color w:val="FFFFFF" w:themeColor="background1"/>
                <w:sz w:val="20"/>
                <w:szCs w:val="20"/>
                <w:lang w:val="uk-UA"/>
              </w:rPr>
              <w:t>Отримання статусу неприбут-ковості для ОГС</w:t>
            </w:r>
          </w:p>
        </w:tc>
        <w:tc>
          <w:tcPr>
            <w:tcW w:w="497" w:type="dxa"/>
            <w:vMerge w:val="restart"/>
            <w:tcBorders>
              <w:top w:val="single" w:sz="18" w:space="0" w:color="FFFFFF"/>
              <w:right w:val="single" w:sz="2" w:space="0" w:color="FFFFFF"/>
            </w:tcBorders>
            <w:shd w:val="clear" w:color="auto" w:fill="D6E3BC"/>
          </w:tcPr>
          <w:p w14:paraId="7580BA33" w14:textId="77777777" w:rsidR="00BB3451" w:rsidRPr="00257F44" w:rsidRDefault="00BB3451" w:rsidP="00131C34">
            <w:pPr>
              <w:rPr>
                <w:rFonts w:ascii="Zapf Dingbats" w:hAnsi="Zapf Dingbats" w:cs="Gill Sans"/>
                <w:sz w:val="22"/>
                <w:szCs w:val="22"/>
                <w:lang w:val="uk-UA"/>
              </w:rPr>
            </w:pPr>
          </w:p>
        </w:tc>
        <w:tc>
          <w:tcPr>
            <w:tcW w:w="435" w:type="dxa"/>
            <w:vMerge w:val="restart"/>
            <w:tcBorders>
              <w:top w:val="single" w:sz="18" w:space="0" w:color="FFFFFF"/>
              <w:left w:val="single" w:sz="2" w:space="0" w:color="FFFFFF"/>
              <w:right w:val="single" w:sz="2" w:space="0" w:color="FFFFFF"/>
            </w:tcBorders>
            <w:shd w:val="clear" w:color="auto" w:fill="D6E3BC"/>
          </w:tcPr>
          <w:p w14:paraId="66743EE5" w14:textId="77777777" w:rsidR="00BB3451" w:rsidRPr="00257F44" w:rsidRDefault="00BB3451" w:rsidP="00131C34">
            <w:pPr>
              <w:rPr>
                <w:rFonts w:ascii="Zapf Dingbats" w:hAnsi="Zapf Dingbats" w:cs="Gill Sans"/>
                <w:sz w:val="22"/>
                <w:szCs w:val="22"/>
                <w:lang w:val="uk-UA"/>
              </w:rPr>
            </w:pPr>
          </w:p>
        </w:tc>
        <w:tc>
          <w:tcPr>
            <w:tcW w:w="352" w:type="dxa"/>
            <w:vMerge w:val="restart"/>
            <w:tcBorders>
              <w:top w:val="single" w:sz="18" w:space="0" w:color="FFFFFF"/>
              <w:left w:val="single" w:sz="2" w:space="0" w:color="FFFFFF"/>
              <w:right w:val="single" w:sz="2" w:space="0" w:color="FFFFFF"/>
            </w:tcBorders>
            <w:shd w:val="clear" w:color="auto" w:fill="D6E3BC"/>
          </w:tcPr>
          <w:p w14:paraId="149DC783" w14:textId="77777777" w:rsidR="00BB3451" w:rsidRPr="00257F44" w:rsidRDefault="00BB3451" w:rsidP="00131C34">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53" w:type="dxa"/>
            <w:vMerge w:val="restart"/>
            <w:tcBorders>
              <w:top w:val="single" w:sz="18" w:space="0" w:color="FFFFFF"/>
              <w:left w:val="single" w:sz="2" w:space="0" w:color="FFFFFF"/>
              <w:right w:val="single" w:sz="18" w:space="0" w:color="FFFFFF"/>
            </w:tcBorders>
            <w:shd w:val="clear" w:color="auto" w:fill="D6E3BC"/>
          </w:tcPr>
          <w:p w14:paraId="03FBAAC9" w14:textId="77777777" w:rsidR="00BB3451" w:rsidRPr="00257F44" w:rsidRDefault="00BB3451" w:rsidP="00131C34">
            <w:pPr>
              <w:rPr>
                <w:rFonts w:ascii="Zapf Dingbats" w:hAnsi="Zapf Dingbats" w:cs="Gill Sans"/>
                <w:sz w:val="22"/>
                <w:szCs w:val="22"/>
                <w:lang w:val="uk-UA"/>
              </w:rPr>
            </w:pPr>
          </w:p>
        </w:tc>
        <w:tc>
          <w:tcPr>
            <w:tcW w:w="377" w:type="dxa"/>
            <w:vMerge w:val="restart"/>
            <w:tcBorders>
              <w:top w:val="single" w:sz="18" w:space="0" w:color="FFFFFF"/>
              <w:left w:val="single" w:sz="2" w:space="0" w:color="FFFFFF"/>
              <w:right w:val="single" w:sz="2" w:space="0" w:color="FFFFFF"/>
            </w:tcBorders>
            <w:shd w:val="clear" w:color="auto" w:fill="FBD4B4"/>
          </w:tcPr>
          <w:p w14:paraId="68D38B5A" w14:textId="77777777" w:rsidR="00BB3451" w:rsidRPr="00257F44" w:rsidRDefault="00BB3451" w:rsidP="00131C34">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77" w:type="dxa"/>
            <w:vMerge w:val="restart"/>
            <w:tcBorders>
              <w:top w:val="single" w:sz="18" w:space="0" w:color="FFFFFF"/>
              <w:left w:val="single" w:sz="2" w:space="0" w:color="FFFFFF"/>
              <w:right w:val="single" w:sz="2" w:space="0" w:color="FFFFFF"/>
            </w:tcBorders>
            <w:shd w:val="clear" w:color="auto" w:fill="FBD4B4"/>
          </w:tcPr>
          <w:p w14:paraId="1695ED97" w14:textId="77777777" w:rsidR="00BB3451" w:rsidRPr="00257F44" w:rsidRDefault="00BB3451" w:rsidP="00131C34">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77" w:type="dxa"/>
            <w:vMerge w:val="restart"/>
            <w:tcBorders>
              <w:top w:val="single" w:sz="18" w:space="0" w:color="FFFFFF"/>
              <w:left w:val="single" w:sz="2" w:space="0" w:color="FFFFFF"/>
              <w:right w:val="single" w:sz="2" w:space="0" w:color="FFFFFF"/>
            </w:tcBorders>
            <w:shd w:val="clear" w:color="auto" w:fill="FBD4B4"/>
          </w:tcPr>
          <w:p w14:paraId="10C870EE" w14:textId="77777777" w:rsidR="00BB3451" w:rsidRPr="00257F44" w:rsidRDefault="00BB3451" w:rsidP="00131C34">
            <w:pPr>
              <w:rPr>
                <w:rFonts w:ascii="Zapf Dingbats" w:hAnsi="Zapf Dingbats" w:cs="Gill Sans"/>
                <w:sz w:val="22"/>
                <w:szCs w:val="22"/>
                <w:lang w:val="uk-UA"/>
              </w:rPr>
            </w:pPr>
          </w:p>
        </w:tc>
        <w:tc>
          <w:tcPr>
            <w:tcW w:w="781" w:type="dxa"/>
            <w:vMerge w:val="restart"/>
            <w:tcBorders>
              <w:top w:val="single" w:sz="18" w:space="0" w:color="FFFFFF"/>
              <w:left w:val="single" w:sz="2" w:space="0" w:color="FFFFFF"/>
              <w:right w:val="single" w:sz="18" w:space="0" w:color="FFFFFF"/>
            </w:tcBorders>
            <w:shd w:val="clear" w:color="auto" w:fill="FBD4B4"/>
          </w:tcPr>
          <w:p w14:paraId="74A12157" w14:textId="77777777" w:rsidR="00BB3451" w:rsidRPr="00257F44" w:rsidRDefault="00BB3451" w:rsidP="00131C34">
            <w:pPr>
              <w:rPr>
                <w:rFonts w:ascii="Zapf Dingbats" w:hAnsi="Zapf Dingbats" w:cs="Gill Sans"/>
                <w:sz w:val="22"/>
                <w:szCs w:val="22"/>
                <w:lang w:val="uk-UA"/>
              </w:rPr>
            </w:pPr>
          </w:p>
        </w:tc>
        <w:tc>
          <w:tcPr>
            <w:tcW w:w="355" w:type="dxa"/>
            <w:vMerge w:val="restart"/>
            <w:tcBorders>
              <w:top w:val="single" w:sz="18" w:space="0" w:color="FFFFFF"/>
              <w:left w:val="single" w:sz="18" w:space="0" w:color="FFFFFF"/>
              <w:right w:val="single" w:sz="2" w:space="0" w:color="FFFFFF"/>
            </w:tcBorders>
            <w:shd w:val="clear" w:color="auto" w:fill="CCC0D9"/>
          </w:tcPr>
          <w:p w14:paraId="6489005D" w14:textId="77777777" w:rsidR="00BB3451" w:rsidRPr="00257F44" w:rsidRDefault="00BB3451" w:rsidP="00131C34">
            <w:pPr>
              <w:rPr>
                <w:rFonts w:ascii="Zapf Dingbats" w:hAnsi="Zapf Dingbats" w:cs="Gill Sans"/>
                <w:sz w:val="22"/>
                <w:szCs w:val="22"/>
                <w:lang w:val="uk-UA"/>
              </w:rPr>
            </w:pPr>
          </w:p>
        </w:tc>
        <w:tc>
          <w:tcPr>
            <w:tcW w:w="351" w:type="dxa"/>
            <w:vMerge w:val="restart"/>
            <w:tcBorders>
              <w:top w:val="single" w:sz="18" w:space="0" w:color="FFFFFF"/>
              <w:left w:val="single" w:sz="2" w:space="0" w:color="FFFFFF"/>
              <w:right w:val="single" w:sz="2" w:space="0" w:color="FFFFFF"/>
            </w:tcBorders>
            <w:shd w:val="clear" w:color="auto" w:fill="CCC0D9"/>
          </w:tcPr>
          <w:p w14:paraId="76DFD011" w14:textId="77777777" w:rsidR="00BB3451" w:rsidRPr="00257F44" w:rsidRDefault="00BB3451" w:rsidP="00131C34">
            <w:pPr>
              <w:rPr>
                <w:rFonts w:ascii="Zapf Dingbats" w:hAnsi="Zapf Dingbats" w:cs="Gill Sans"/>
                <w:sz w:val="22"/>
                <w:szCs w:val="22"/>
                <w:lang w:val="uk-UA"/>
              </w:rPr>
            </w:pPr>
          </w:p>
        </w:tc>
        <w:tc>
          <w:tcPr>
            <w:tcW w:w="351" w:type="dxa"/>
            <w:vMerge w:val="restart"/>
            <w:tcBorders>
              <w:top w:val="single" w:sz="18" w:space="0" w:color="FFFFFF"/>
              <w:left w:val="single" w:sz="2" w:space="0" w:color="FFFFFF"/>
              <w:right w:val="single" w:sz="2" w:space="0" w:color="FFFFFF"/>
            </w:tcBorders>
            <w:shd w:val="clear" w:color="auto" w:fill="CCC0D9"/>
          </w:tcPr>
          <w:p w14:paraId="033E05AE" w14:textId="77777777" w:rsidR="00BB3451" w:rsidRPr="00257F44" w:rsidRDefault="00BB3451" w:rsidP="00131C34">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34" w:type="dxa"/>
            <w:vMerge w:val="restart"/>
            <w:tcBorders>
              <w:top w:val="single" w:sz="18" w:space="0" w:color="FFFFFF"/>
              <w:left w:val="single" w:sz="2" w:space="0" w:color="FFFFFF"/>
              <w:right w:val="single" w:sz="18" w:space="0" w:color="FFFFFF"/>
            </w:tcBorders>
            <w:shd w:val="clear" w:color="auto" w:fill="CCC0D9"/>
          </w:tcPr>
          <w:p w14:paraId="7D6C8E18" w14:textId="77777777" w:rsidR="00BB3451" w:rsidRPr="00257F44" w:rsidRDefault="00BB3451" w:rsidP="00131C34">
            <w:pPr>
              <w:rPr>
                <w:rFonts w:ascii="Zapf Dingbats" w:hAnsi="Zapf Dingbats" w:cs="Gill Sans"/>
                <w:sz w:val="22"/>
                <w:szCs w:val="22"/>
                <w:lang w:val="uk-UA"/>
              </w:rPr>
            </w:pPr>
          </w:p>
        </w:tc>
        <w:tc>
          <w:tcPr>
            <w:tcW w:w="434" w:type="dxa"/>
            <w:tcBorders>
              <w:top w:val="single" w:sz="18" w:space="0" w:color="FFFFFF"/>
              <w:left w:val="single" w:sz="18" w:space="0" w:color="FFFFFF"/>
              <w:bottom w:val="single" w:sz="8" w:space="0" w:color="FFFFFF" w:themeColor="background1"/>
              <w:right w:val="single" w:sz="8" w:space="0" w:color="FFFFFF" w:themeColor="background1"/>
            </w:tcBorders>
            <w:shd w:val="clear" w:color="auto" w:fill="B8CCE4"/>
          </w:tcPr>
          <w:p w14:paraId="48941D2A" w14:textId="77777777" w:rsidR="00BB3451" w:rsidRPr="00257F44" w:rsidRDefault="00BB3451" w:rsidP="00131C34">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600" w:type="dxa"/>
            <w:tcBorders>
              <w:top w:val="single" w:sz="18" w:space="0" w:color="FFFFFF"/>
              <w:left w:val="single" w:sz="8" w:space="0" w:color="FFFFFF" w:themeColor="background1"/>
              <w:bottom w:val="single" w:sz="8" w:space="0" w:color="FFFFFF" w:themeColor="background1"/>
              <w:right w:val="single" w:sz="8" w:space="0" w:color="FFFFFF" w:themeColor="background1"/>
            </w:tcBorders>
            <w:shd w:val="clear" w:color="auto" w:fill="B8CCE4"/>
          </w:tcPr>
          <w:p w14:paraId="752FBB22" w14:textId="77777777" w:rsidR="00BB3451" w:rsidRPr="00257F44" w:rsidRDefault="00BB3451" w:rsidP="00131C34">
            <w:pPr>
              <w:rPr>
                <w:rFonts w:ascii="Zapf Dingbats" w:hAnsi="Zapf Dingbats" w:cs="Gill Sans"/>
                <w:sz w:val="22"/>
                <w:szCs w:val="22"/>
                <w:lang w:val="uk-UA"/>
              </w:rPr>
            </w:pPr>
          </w:p>
        </w:tc>
        <w:tc>
          <w:tcPr>
            <w:tcW w:w="434" w:type="dxa"/>
            <w:tcBorders>
              <w:top w:val="single" w:sz="18" w:space="0" w:color="FFFFFF"/>
              <w:left w:val="single" w:sz="8" w:space="0" w:color="FFFFFF" w:themeColor="background1"/>
              <w:bottom w:val="single" w:sz="8" w:space="0" w:color="FFFFFF" w:themeColor="background1"/>
              <w:right w:val="single" w:sz="8" w:space="0" w:color="FFFFFF" w:themeColor="background1"/>
            </w:tcBorders>
            <w:shd w:val="clear" w:color="auto" w:fill="B8CCE4"/>
          </w:tcPr>
          <w:p w14:paraId="432AF040" w14:textId="77777777" w:rsidR="00BB3451" w:rsidRPr="00257F44" w:rsidRDefault="00BB3451" w:rsidP="00131C34">
            <w:pPr>
              <w:rPr>
                <w:rFonts w:ascii="Zapf Dingbats" w:hAnsi="Zapf Dingbats" w:cs="Gill Sans"/>
                <w:sz w:val="22"/>
                <w:szCs w:val="22"/>
                <w:lang w:val="uk-UA"/>
              </w:rPr>
            </w:pPr>
          </w:p>
        </w:tc>
        <w:tc>
          <w:tcPr>
            <w:tcW w:w="517" w:type="dxa"/>
            <w:tcBorders>
              <w:top w:val="single" w:sz="18" w:space="0" w:color="FFFFFF"/>
              <w:left w:val="single" w:sz="8" w:space="0" w:color="FFFFFF" w:themeColor="background1"/>
              <w:bottom w:val="single" w:sz="8" w:space="0" w:color="FFFFFF" w:themeColor="background1"/>
              <w:right w:val="single" w:sz="18" w:space="0" w:color="FFFFFF"/>
            </w:tcBorders>
            <w:shd w:val="clear" w:color="auto" w:fill="B8CCE4"/>
          </w:tcPr>
          <w:p w14:paraId="614FAC7A" w14:textId="77777777" w:rsidR="00BB3451" w:rsidRPr="00257F44" w:rsidRDefault="00BB3451" w:rsidP="00131C34">
            <w:pPr>
              <w:rPr>
                <w:rFonts w:ascii="Zapf Dingbats" w:hAnsi="Zapf Dingbats" w:cs="Gill Sans"/>
                <w:sz w:val="22"/>
                <w:szCs w:val="22"/>
                <w:lang w:val="uk-UA"/>
              </w:rPr>
            </w:pPr>
          </w:p>
        </w:tc>
        <w:tc>
          <w:tcPr>
            <w:tcW w:w="351" w:type="dxa"/>
            <w:vMerge w:val="restart"/>
            <w:tcBorders>
              <w:top w:val="single" w:sz="18" w:space="0" w:color="FFFFFF"/>
              <w:left w:val="single" w:sz="18" w:space="0" w:color="FFFFFF"/>
              <w:right w:val="single" w:sz="2" w:space="0" w:color="FFFFFF"/>
            </w:tcBorders>
            <w:shd w:val="clear" w:color="auto" w:fill="D99594"/>
          </w:tcPr>
          <w:p w14:paraId="4898AD5F" w14:textId="77777777" w:rsidR="00BB3451" w:rsidRPr="00257F44" w:rsidRDefault="00BB3451" w:rsidP="00131C34">
            <w:pPr>
              <w:rPr>
                <w:rFonts w:ascii="Zapf Dingbats" w:hAnsi="Zapf Dingbats" w:cs="Gill Sans"/>
                <w:sz w:val="22"/>
                <w:szCs w:val="22"/>
                <w:lang w:val="uk-UA"/>
              </w:rPr>
            </w:pPr>
          </w:p>
        </w:tc>
        <w:tc>
          <w:tcPr>
            <w:tcW w:w="351" w:type="dxa"/>
            <w:vMerge w:val="restart"/>
            <w:tcBorders>
              <w:top w:val="single" w:sz="18" w:space="0" w:color="FFFFFF"/>
              <w:left w:val="single" w:sz="2" w:space="0" w:color="FFFFFF"/>
              <w:right w:val="single" w:sz="2" w:space="0" w:color="FFFFFF"/>
            </w:tcBorders>
            <w:shd w:val="clear" w:color="auto" w:fill="D99594"/>
          </w:tcPr>
          <w:p w14:paraId="243FE251" w14:textId="77777777" w:rsidR="00BB3451" w:rsidRPr="00257F44" w:rsidRDefault="00BB3451" w:rsidP="00131C34">
            <w:pPr>
              <w:rPr>
                <w:rFonts w:ascii="Zapf Dingbats" w:hAnsi="Zapf Dingbats" w:cs="Gill Sans"/>
                <w:sz w:val="22"/>
                <w:szCs w:val="22"/>
                <w:lang w:val="uk-UA"/>
              </w:rPr>
            </w:pPr>
          </w:p>
        </w:tc>
        <w:tc>
          <w:tcPr>
            <w:tcW w:w="434" w:type="dxa"/>
            <w:vMerge w:val="restart"/>
            <w:tcBorders>
              <w:top w:val="single" w:sz="18" w:space="0" w:color="FFFFFF"/>
              <w:left w:val="single" w:sz="2" w:space="0" w:color="FFFFFF"/>
              <w:right w:val="single" w:sz="2" w:space="0" w:color="FFFFFF"/>
            </w:tcBorders>
            <w:shd w:val="clear" w:color="auto" w:fill="D99594"/>
          </w:tcPr>
          <w:p w14:paraId="41D9F7DF" w14:textId="77777777" w:rsidR="00BB3451" w:rsidRPr="00257F44" w:rsidRDefault="00BB3451" w:rsidP="00131C34">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51" w:type="dxa"/>
            <w:vMerge w:val="restart"/>
            <w:tcBorders>
              <w:top w:val="single" w:sz="18" w:space="0" w:color="FFFFFF"/>
              <w:left w:val="single" w:sz="2" w:space="0" w:color="FFFFFF"/>
              <w:right w:val="single" w:sz="2" w:space="0" w:color="FFFFFF"/>
            </w:tcBorders>
            <w:shd w:val="clear" w:color="auto" w:fill="D99594"/>
          </w:tcPr>
          <w:p w14:paraId="6206F390" w14:textId="77777777" w:rsidR="00BB3451" w:rsidRPr="00257F44" w:rsidRDefault="00BB3451" w:rsidP="00131C34">
            <w:pPr>
              <w:rPr>
                <w:rFonts w:ascii="Gill Sans" w:hAnsi="Gill Sans" w:cs="Gill Sans"/>
                <w:sz w:val="22"/>
                <w:szCs w:val="22"/>
                <w:lang w:val="uk-UA"/>
              </w:rPr>
            </w:pPr>
          </w:p>
        </w:tc>
        <w:tc>
          <w:tcPr>
            <w:tcW w:w="434" w:type="dxa"/>
            <w:vMerge w:val="restart"/>
            <w:tcBorders>
              <w:top w:val="single" w:sz="18" w:space="0" w:color="FFFFFF"/>
              <w:left w:val="single" w:sz="2" w:space="0" w:color="FFFFFF"/>
              <w:right w:val="single" w:sz="18" w:space="0" w:color="FFFFFF"/>
            </w:tcBorders>
            <w:shd w:val="clear" w:color="auto" w:fill="D99594"/>
          </w:tcPr>
          <w:p w14:paraId="3FBAB514" w14:textId="77777777" w:rsidR="00BB3451" w:rsidRPr="00257F44" w:rsidRDefault="00BB3451" w:rsidP="00131C34">
            <w:pPr>
              <w:rPr>
                <w:rFonts w:ascii="Gill Sans" w:hAnsi="Gill Sans" w:cs="Gill Sans"/>
                <w:sz w:val="22"/>
                <w:szCs w:val="22"/>
                <w:lang w:val="uk-UA"/>
              </w:rPr>
            </w:pPr>
          </w:p>
        </w:tc>
      </w:tr>
      <w:tr w:rsidR="009B0529" w:rsidRPr="00257F44" w14:paraId="1CCE7D1F" w14:textId="77777777" w:rsidTr="002D45E6">
        <w:trPr>
          <w:trHeight w:val="340"/>
        </w:trPr>
        <w:tc>
          <w:tcPr>
            <w:tcW w:w="1422" w:type="dxa"/>
            <w:vMerge/>
            <w:tcBorders>
              <w:left w:val="single" w:sz="4" w:space="0" w:color="FFFFFF"/>
            </w:tcBorders>
            <w:shd w:val="clear" w:color="auto" w:fill="000000"/>
          </w:tcPr>
          <w:p w14:paraId="33FD299B" w14:textId="77777777" w:rsidR="00BB3451" w:rsidRPr="00257F44" w:rsidRDefault="00BB3451" w:rsidP="00131C34">
            <w:pPr>
              <w:rPr>
                <w:rFonts w:ascii="Gill Sans" w:hAnsi="Gill Sans" w:cs="Gill Sans"/>
                <w:noProof/>
                <w:color w:val="FFFFFF" w:themeColor="background1"/>
                <w:sz w:val="22"/>
                <w:szCs w:val="22"/>
                <w:lang w:val="uk-UA"/>
              </w:rPr>
            </w:pPr>
          </w:p>
        </w:tc>
        <w:tc>
          <w:tcPr>
            <w:tcW w:w="497" w:type="dxa"/>
            <w:vMerge/>
            <w:tcBorders>
              <w:right w:val="single" w:sz="2" w:space="0" w:color="FFFFFF"/>
            </w:tcBorders>
            <w:shd w:val="clear" w:color="auto" w:fill="D6E3BC"/>
          </w:tcPr>
          <w:p w14:paraId="1231ED2A" w14:textId="77777777" w:rsidR="00BB3451" w:rsidRPr="00257F44" w:rsidRDefault="00BB3451" w:rsidP="00131C34">
            <w:pPr>
              <w:rPr>
                <w:rFonts w:ascii="Gill Sans" w:hAnsi="Gill Sans" w:cs="Gill Sans"/>
                <w:sz w:val="22"/>
                <w:szCs w:val="22"/>
                <w:lang w:val="uk-UA"/>
              </w:rPr>
            </w:pPr>
          </w:p>
        </w:tc>
        <w:tc>
          <w:tcPr>
            <w:tcW w:w="435" w:type="dxa"/>
            <w:vMerge/>
            <w:tcBorders>
              <w:left w:val="single" w:sz="2" w:space="0" w:color="FFFFFF"/>
              <w:right w:val="single" w:sz="2" w:space="0" w:color="FFFFFF"/>
            </w:tcBorders>
            <w:shd w:val="clear" w:color="auto" w:fill="D6E3BC"/>
          </w:tcPr>
          <w:p w14:paraId="20640D2C" w14:textId="77777777" w:rsidR="00BB3451" w:rsidRPr="00257F44" w:rsidRDefault="00BB3451" w:rsidP="00131C34">
            <w:pPr>
              <w:rPr>
                <w:rFonts w:ascii="Gill Sans" w:hAnsi="Gill Sans" w:cs="Gill Sans"/>
                <w:sz w:val="22"/>
                <w:szCs w:val="22"/>
                <w:lang w:val="uk-UA"/>
              </w:rPr>
            </w:pPr>
          </w:p>
        </w:tc>
        <w:tc>
          <w:tcPr>
            <w:tcW w:w="352" w:type="dxa"/>
            <w:vMerge/>
            <w:tcBorders>
              <w:left w:val="single" w:sz="2" w:space="0" w:color="FFFFFF"/>
              <w:right w:val="single" w:sz="2" w:space="0" w:color="FFFFFF"/>
            </w:tcBorders>
            <w:shd w:val="clear" w:color="auto" w:fill="D6E3BC"/>
          </w:tcPr>
          <w:p w14:paraId="395A0B34" w14:textId="77777777" w:rsidR="00BB3451" w:rsidRPr="00257F44" w:rsidRDefault="00BB3451" w:rsidP="00131C34">
            <w:pPr>
              <w:rPr>
                <w:rFonts w:ascii="Gill Sans" w:hAnsi="Gill Sans" w:cs="Gill Sans"/>
                <w:noProof/>
                <w:sz w:val="22"/>
                <w:szCs w:val="22"/>
                <w:lang w:val="uk-UA"/>
              </w:rPr>
            </w:pPr>
          </w:p>
        </w:tc>
        <w:tc>
          <w:tcPr>
            <w:tcW w:w="353" w:type="dxa"/>
            <w:vMerge/>
            <w:tcBorders>
              <w:left w:val="single" w:sz="2" w:space="0" w:color="FFFFFF"/>
              <w:right w:val="single" w:sz="18" w:space="0" w:color="FFFFFF"/>
            </w:tcBorders>
            <w:shd w:val="clear" w:color="auto" w:fill="D6E3BC"/>
          </w:tcPr>
          <w:p w14:paraId="4E6CA8E6" w14:textId="77777777" w:rsidR="00BB3451" w:rsidRPr="00257F44" w:rsidRDefault="00BB3451" w:rsidP="00131C34">
            <w:pPr>
              <w:rPr>
                <w:rFonts w:ascii="Gill Sans" w:hAnsi="Gill Sans" w:cs="Gill Sans"/>
                <w:sz w:val="22"/>
                <w:szCs w:val="22"/>
                <w:lang w:val="uk-UA"/>
              </w:rPr>
            </w:pPr>
          </w:p>
        </w:tc>
        <w:tc>
          <w:tcPr>
            <w:tcW w:w="377" w:type="dxa"/>
            <w:vMerge/>
            <w:tcBorders>
              <w:left w:val="single" w:sz="2" w:space="0" w:color="FFFFFF"/>
              <w:right w:val="single" w:sz="2" w:space="0" w:color="FFFFFF"/>
            </w:tcBorders>
            <w:shd w:val="clear" w:color="auto" w:fill="FBD4B4"/>
          </w:tcPr>
          <w:p w14:paraId="399865AF" w14:textId="77777777" w:rsidR="00BB3451" w:rsidRPr="00257F44" w:rsidRDefault="00BB3451" w:rsidP="00131C34">
            <w:pPr>
              <w:rPr>
                <w:rFonts w:ascii="Gill Sans" w:hAnsi="Gill Sans" w:cs="Gill Sans"/>
                <w:noProof/>
                <w:sz w:val="22"/>
                <w:szCs w:val="22"/>
                <w:lang w:val="uk-UA"/>
              </w:rPr>
            </w:pPr>
          </w:p>
        </w:tc>
        <w:tc>
          <w:tcPr>
            <w:tcW w:w="377" w:type="dxa"/>
            <w:vMerge/>
            <w:tcBorders>
              <w:left w:val="single" w:sz="2" w:space="0" w:color="FFFFFF"/>
              <w:right w:val="single" w:sz="2" w:space="0" w:color="FFFFFF"/>
            </w:tcBorders>
            <w:shd w:val="clear" w:color="auto" w:fill="FBD4B4"/>
          </w:tcPr>
          <w:p w14:paraId="2681B428" w14:textId="77777777" w:rsidR="00BB3451" w:rsidRPr="00257F44" w:rsidRDefault="00BB3451" w:rsidP="00131C34">
            <w:pPr>
              <w:rPr>
                <w:rFonts w:ascii="Gill Sans" w:hAnsi="Gill Sans" w:cs="Gill Sans"/>
                <w:noProof/>
                <w:sz w:val="22"/>
                <w:szCs w:val="22"/>
                <w:lang w:val="uk-UA"/>
              </w:rPr>
            </w:pPr>
          </w:p>
        </w:tc>
        <w:tc>
          <w:tcPr>
            <w:tcW w:w="377" w:type="dxa"/>
            <w:vMerge/>
            <w:tcBorders>
              <w:left w:val="single" w:sz="2" w:space="0" w:color="FFFFFF"/>
              <w:right w:val="single" w:sz="2" w:space="0" w:color="FFFFFF"/>
            </w:tcBorders>
            <w:shd w:val="clear" w:color="auto" w:fill="FBD4B4"/>
          </w:tcPr>
          <w:p w14:paraId="58E9243E" w14:textId="77777777" w:rsidR="00BB3451" w:rsidRPr="00257F44" w:rsidRDefault="00BB3451" w:rsidP="00131C34">
            <w:pPr>
              <w:rPr>
                <w:rFonts w:ascii="Gill Sans" w:hAnsi="Gill Sans" w:cs="Gill Sans"/>
                <w:sz w:val="22"/>
                <w:szCs w:val="22"/>
                <w:lang w:val="uk-UA"/>
              </w:rPr>
            </w:pPr>
          </w:p>
        </w:tc>
        <w:tc>
          <w:tcPr>
            <w:tcW w:w="781" w:type="dxa"/>
            <w:vMerge/>
            <w:tcBorders>
              <w:left w:val="single" w:sz="2" w:space="0" w:color="FFFFFF"/>
              <w:right w:val="single" w:sz="18" w:space="0" w:color="FFFFFF"/>
            </w:tcBorders>
            <w:shd w:val="clear" w:color="auto" w:fill="FBD4B4"/>
          </w:tcPr>
          <w:p w14:paraId="032043D5" w14:textId="77777777" w:rsidR="00BB3451" w:rsidRPr="00257F44" w:rsidRDefault="00BB3451" w:rsidP="00131C34">
            <w:pPr>
              <w:rPr>
                <w:rFonts w:ascii="Gill Sans" w:hAnsi="Gill Sans" w:cs="Gill Sans"/>
                <w:sz w:val="22"/>
                <w:szCs w:val="22"/>
                <w:lang w:val="uk-UA"/>
              </w:rPr>
            </w:pPr>
          </w:p>
        </w:tc>
        <w:tc>
          <w:tcPr>
            <w:tcW w:w="355" w:type="dxa"/>
            <w:vMerge/>
            <w:tcBorders>
              <w:left w:val="single" w:sz="18" w:space="0" w:color="FFFFFF"/>
              <w:right w:val="single" w:sz="2" w:space="0" w:color="FFFFFF"/>
            </w:tcBorders>
            <w:shd w:val="clear" w:color="auto" w:fill="CCC0D9"/>
          </w:tcPr>
          <w:p w14:paraId="07D6E5AD" w14:textId="77777777" w:rsidR="00BB3451" w:rsidRPr="00257F44" w:rsidRDefault="00BB3451" w:rsidP="00131C34">
            <w:pPr>
              <w:rPr>
                <w:rFonts w:ascii="Gill Sans" w:hAnsi="Gill Sans" w:cs="Gill Sans"/>
                <w:sz w:val="22"/>
                <w:szCs w:val="22"/>
                <w:lang w:val="uk-UA"/>
              </w:rPr>
            </w:pPr>
          </w:p>
        </w:tc>
        <w:tc>
          <w:tcPr>
            <w:tcW w:w="351" w:type="dxa"/>
            <w:vMerge/>
            <w:tcBorders>
              <w:left w:val="single" w:sz="2" w:space="0" w:color="FFFFFF"/>
              <w:right w:val="single" w:sz="2" w:space="0" w:color="FFFFFF"/>
            </w:tcBorders>
            <w:shd w:val="clear" w:color="auto" w:fill="CCC0D9"/>
          </w:tcPr>
          <w:p w14:paraId="5A35C02A" w14:textId="77777777" w:rsidR="00BB3451" w:rsidRPr="00257F44" w:rsidRDefault="00BB3451" w:rsidP="00131C34">
            <w:pPr>
              <w:rPr>
                <w:rFonts w:ascii="Gill Sans" w:hAnsi="Gill Sans" w:cs="Gill Sans"/>
                <w:sz w:val="22"/>
                <w:szCs w:val="22"/>
                <w:lang w:val="uk-UA"/>
              </w:rPr>
            </w:pPr>
          </w:p>
        </w:tc>
        <w:tc>
          <w:tcPr>
            <w:tcW w:w="351" w:type="dxa"/>
            <w:vMerge/>
            <w:tcBorders>
              <w:left w:val="single" w:sz="2" w:space="0" w:color="FFFFFF"/>
              <w:right w:val="single" w:sz="2" w:space="0" w:color="FFFFFF"/>
            </w:tcBorders>
            <w:shd w:val="clear" w:color="auto" w:fill="CCC0D9"/>
          </w:tcPr>
          <w:p w14:paraId="5B1A036F" w14:textId="77777777" w:rsidR="00BB3451" w:rsidRPr="00257F44" w:rsidRDefault="00BB3451" w:rsidP="00131C34">
            <w:pPr>
              <w:rPr>
                <w:rFonts w:ascii="Gill Sans" w:hAnsi="Gill Sans" w:cs="Gill Sans"/>
                <w:noProof/>
                <w:sz w:val="22"/>
                <w:szCs w:val="22"/>
                <w:lang w:val="uk-UA"/>
              </w:rPr>
            </w:pPr>
          </w:p>
        </w:tc>
        <w:tc>
          <w:tcPr>
            <w:tcW w:w="434" w:type="dxa"/>
            <w:vMerge/>
            <w:tcBorders>
              <w:left w:val="single" w:sz="2" w:space="0" w:color="FFFFFF"/>
              <w:right w:val="single" w:sz="18" w:space="0" w:color="FFFFFF"/>
            </w:tcBorders>
            <w:shd w:val="clear" w:color="auto" w:fill="CCC0D9"/>
          </w:tcPr>
          <w:p w14:paraId="1002915E" w14:textId="77777777" w:rsidR="00BB3451" w:rsidRPr="00257F44" w:rsidRDefault="00BB3451" w:rsidP="00131C34">
            <w:pPr>
              <w:rPr>
                <w:rFonts w:ascii="Gill Sans" w:hAnsi="Gill Sans" w:cs="Gill Sans"/>
                <w:sz w:val="22"/>
                <w:szCs w:val="22"/>
                <w:lang w:val="uk-UA"/>
              </w:rPr>
            </w:pPr>
          </w:p>
        </w:tc>
        <w:tc>
          <w:tcPr>
            <w:tcW w:w="434" w:type="dxa"/>
            <w:tcBorders>
              <w:top w:val="single" w:sz="8" w:space="0" w:color="FFFFFF" w:themeColor="background1"/>
              <w:left w:val="single" w:sz="18" w:space="0" w:color="FFFFFF"/>
              <w:right w:val="single" w:sz="8" w:space="0" w:color="FFFFFF" w:themeColor="background1"/>
            </w:tcBorders>
            <w:shd w:val="clear" w:color="auto" w:fill="B8CCE4"/>
          </w:tcPr>
          <w:p w14:paraId="4D8F8708" w14:textId="77777777" w:rsidR="00BB3451" w:rsidRPr="00257F44" w:rsidRDefault="00BB3451" w:rsidP="00131C34">
            <w:pPr>
              <w:rPr>
                <w:rFonts w:ascii="Gill Sans" w:hAnsi="Gill Sans" w:cs="Gill Sans"/>
                <w:noProof/>
                <w:sz w:val="22"/>
                <w:szCs w:val="22"/>
                <w:lang w:val="uk-UA"/>
              </w:rPr>
            </w:pPr>
          </w:p>
        </w:tc>
        <w:tc>
          <w:tcPr>
            <w:tcW w:w="600" w:type="dxa"/>
            <w:tcBorders>
              <w:top w:val="single" w:sz="8" w:space="0" w:color="FFFFFF" w:themeColor="background1"/>
              <w:left w:val="single" w:sz="8" w:space="0" w:color="FFFFFF" w:themeColor="background1"/>
              <w:right w:val="single" w:sz="8" w:space="0" w:color="FFFFFF" w:themeColor="background1"/>
            </w:tcBorders>
            <w:shd w:val="clear" w:color="auto" w:fill="B8CCE4"/>
          </w:tcPr>
          <w:p w14:paraId="163C2D7A" w14:textId="77777777" w:rsidR="00BB3451" w:rsidRPr="00257F44" w:rsidRDefault="00BB3451" w:rsidP="00131C34">
            <w:pPr>
              <w:rPr>
                <w:rFonts w:ascii="Gill Sans" w:hAnsi="Gill Sans" w:cs="Gill Sans"/>
                <w:noProof/>
                <w:sz w:val="22"/>
                <w:szCs w:val="22"/>
                <w:lang w:val="uk-UA"/>
              </w:rPr>
            </w:pPr>
          </w:p>
        </w:tc>
        <w:tc>
          <w:tcPr>
            <w:tcW w:w="434" w:type="dxa"/>
            <w:tcBorders>
              <w:top w:val="single" w:sz="8" w:space="0" w:color="FFFFFF" w:themeColor="background1"/>
              <w:left w:val="single" w:sz="8" w:space="0" w:color="FFFFFF" w:themeColor="background1"/>
              <w:right w:val="single" w:sz="8" w:space="0" w:color="FFFFFF" w:themeColor="background1"/>
            </w:tcBorders>
            <w:shd w:val="clear" w:color="auto" w:fill="B8CCE4"/>
          </w:tcPr>
          <w:p w14:paraId="1DA9668E" w14:textId="68BA0522" w:rsidR="00BB3451" w:rsidRPr="00257F44" w:rsidRDefault="00BB3451" w:rsidP="00131C34">
            <w:pPr>
              <w:rPr>
                <w:rFonts w:ascii="Zapf Dingbats" w:hAnsi="Zapf Dingbats" w:cs="Gill Sans"/>
                <w:noProof/>
                <w:sz w:val="22"/>
                <w:szCs w:val="22"/>
                <w:lang w:val="uk-UA"/>
              </w:rPr>
            </w:pPr>
          </w:p>
        </w:tc>
        <w:tc>
          <w:tcPr>
            <w:tcW w:w="517" w:type="dxa"/>
            <w:tcBorders>
              <w:top w:val="single" w:sz="8" w:space="0" w:color="FFFFFF" w:themeColor="background1"/>
              <w:left w:val="single" w:sz="8" w:space="0" w:color="FFFFFF" w:themeColor="background1"/>
              <w:right w:val="single" w:sz="18" w:space="0" w:color="FFFFFF"/>
            </w:tcBorders>
            <w:shd w:val="clear" w:color="auto" w:fill="B8CCE4"/>
          </w:tcPr>
          <w:p w14:paraId="06D02923" w14:textId="4363E702" w:rsidR="00BB3451" w:rsidRPr="00257F44" w:rsidRDefault="00581D4D" w:rsidP="00131C34">
            <w:pPr>
              <w:rPr>
                <w:rFonts w:ascii="Gill Sans" w:hAnsi="Gill Sans" w:cs="Gill Sans"/>
                <w:noProof/>
                <w:sz w:val="22"/>
                <w:szCs w:val="22"/>
                <w:lang w:val="uk-UA"/>
              </w:rPr>
            </w:pPr>
            <w:r w:rsidRPr="00257F44">
              <w:rPr>
                <w:rFonts w:ascii="Zapf Dingbats" w:eastAsia="MS Mincho" w:hAnsi="Zapf Dingbats" w:cs="MS Mincho"/>
                <w:noProof/>
                <w:sz w:val="22"/>
                <w:szCs w:val="22"/>
                <w:lang w:val="uk-UA"/>
              </w:rPr>
              <w:t>✔</w:t>
            </w:r>
          </w:p>
        </w:tc>
        <w:tc>
          <w:tcPr>
            <w:tcW w:w="351" w:type="dxa"/>
            <w:vMerge/>
            <w:tcBorders>
              <w:left w:val="single" w:sz="18" w:space="0" w:color="FFFFFF"/>
              <w:right w:val="single" w:sz="2" w:space="0" w:color="FFFFFF"/>
            </w:tcBorders>
            <w:shd w:val="clear" w:color="auto" w:fill="D99594"/>
          </w:tcPr>
          <w:p w14:paraId="7AC6C521" w14:textId="77777777" w:rsidR="00BB3451" w:rsidRPr="00257F44" w:rsidRDefault="00BB3451" w:rsidP="00131C34">
            <w:pPr>
              <w:rPr>
                <w:rFonts w:ascii="Gill Sans" w:hAnsi="Gill Sans" w:cs="Gill Sans"/>
                <w:sz w:val="22"/>
                <w:szCs w:val="22"/>
                <w:lang w:val="uk-UA"/>
              </w:rPr>
            </w:pPr>
          </w:p>
        </w:tc>
        <w:tc>
          <w:tcPr>
            <w:tcW w:w="351" w:type="dxa"/>
            <w:vMerge/>
            <w:tcBorders>
              <w:left w:val="single" w:sz="2" w:space="0" w:color="FFFFFF"/>
              <w:right w:val="single" w:sz="2" w:space="0" w:color="FFFFFF"/>
            </w:tcBorders>
            <w:shd w:val="clear" w:color="auto" w:fill="D99594"/>
          </w:tcPr>
          <w:p w14:paraId="368583A4" w14:textId="77777777" w:rsidR="00BB3451" w:rsidRPr="00257F44" w:rsidRDefault="00BB3451" w:rsidP="00131C34">
            <w:pPr>
              <w:rPr>
                <w:rFonts w:ascii="Gill Sans" w:hAnsi="Gill Sans" w:cs="Gill Sans"/>
                <w:sz w:val="22"/>
                <w:szCs w:val="22"/>
                <w:lang w:val="uk-UA"/>
              </w:rPr>
            </w:pPr>
          </w:p>
        </w:tc>
        <w:tc>
          <w:tcPr>
            <w:tcW w:w="434" w:type="dxa"/>
            <w:vMerge/>
            <w:tcBorders>
              <w:left w:val="single" w:sz="2" w:space="0" w:color="FFFFFF"/>
              <w:right w:val="single" w:sz="2" w:space="0" w:color="FFFFFF"/>
            </w:tcBorders>
            <w:shd w:val="clear" w:color="auto" w:fill="D99594"/>
          </w:tcPr>
          <w:p w14:paraId="3B17FFC6" w14:textId="77777777" w:rsidR="00BB3451" w:rsidRPr="00257F44" w:rsidRDefault="00BB3451" w:rsidP="00131C34">
            <w:pPr>
              <w:rPr>
                <w:rFonts w:ascii="Gill Sans" w:hAnsi="Gill Sans" w:cs="Gill Sans"/>
                <w:noProof/>
                <w:sz w:val="22"/>
                <w:szCs w:val="22"/>
                <w:lang w:val="uk-UA"/>
              </w:rPr>
            </w:pPr>
          </w:p>
        </w:tc>
        <w:tc>
          <w:tcPr>
            <w:tcW w:w="351" w:type="dxa"/>
            <w:vMerge/>
            <w:tcBorders>
              <w:left w:val="single" w:sz="2" w:space="0" w:color="FFFFFF"/>
              <w:right w:val="single" w:sz="2" w:space="0" w:color="FFFFFF"/>
            </w:tcBorders>
            <w:shd w:val="clear" w:color="auto" w:fill="D99594"/>
          </w:tcPr>
          <w:p w14:paraId="22BC1690" w14:textId="77777777" w:rsidR="00BB3451" w:rsidRPr="00257F44" w:rsidRDefault="00BB3451" w:rsidP="00131C34">
            <w:pPr>
              <w:rPr>
                <w:rFonts w:ascii="Gill Sans" w:hAnsi="Gill Sans" w:cs="Gill Sans"/>
                <w:sz w:val="22"/>
                <w:szCs w:val="22"/>
                <w:lang w:val="uk-UA"/>
              </w:rPr>
            </w:pPr>
          </w:p>
        </w:tc>
        <w:tc>
          <w:tcPr>
            <w:tcW w:w="434" w:type="dxa"/>
            <w:vMerge/>
            <w:tcBorders>
              <w:left w:val="single" w:sz="2" w:space="0" w:color="FFFFFF"/>
              <w:right w:val="single" w:sz="18" w:space="0" w:color="FFFFFF"/>
            </w:tcBorders>
            <w:shd w:val="clear" w:color="auto" w:fill="D99594"/>
          </w:tcPr>
          <w:p w14:paraId="24BA5EAB" w14:textId="77777777" w:rsidR="00BB3451" w:rsidRPr="00257F44" w:rsidRDefault="00BB3451" w:rsidP="00131C34">
            <w:pPr>
              <w:rPr>
                <w:rFonts w:ascii="Gill Sans" w:hAnsi="Gill Sans" w:cs="Gill Sans"/>
                <w:sz w:val="22"/>
                <w:szCs w:val="22"/>
                <w:lang w:val="uk-UA"/>
              </w:rPr>
            </w:pPr>
          </w:p>
        </w:tc>
      </w:tr>
    </w:tbl>
    <w:p w14:paraId="5A9E7053" w14:textId="77777777" w:rsidR="005B031B" w:rsidRPr="00257F44" w:rsidRDefault="005B031B">
      <w:pPr>
        <w:rPr>
          <w:highlight w:val="yellow"/>
          <w:lang w:val="uk-UA"/>
        </w:rPr>
      </w:pPr>
    </w:p>
    <w:p w14:paraId="0B480250" w14:textId="1E81358E" w:rsidR="005B031B" w:rsidRPr="00257F44" w:rsidRDefault="00C75B84" w:rsidP="00603A53">
      <w:pPr>
        <w:pStyle w:val="Heading3"/>
        <w:spacing w:after="120"/>
        <w:rPr>
          <w:lang w:val="uk-UA"/>
        </w:rPr>
      </w:pPr>
      <w:r w:rsidRPr="00257F44">
        <w:rPr>
          <w:lang w:val="uk-UA"/>
        </w:rPr>
        <w:t>Мета зобов’язання</w:t>
      </w:r>
    </w:p>
    <w:p w14:paraId="2A87FD93" w14:textId="586AAA8F" w:rsidR="00A96FB8" w:rsidRPr="00257F44" w:rsidRDefault="00A96FB8" w:rsidP="00603A53">
      <w:pPr>
        <w:spacing w:after="120"/>
        <w:rPr>
          <w:rFonts w:ascii="Gill Sans" w:hAnsi="Gill Sans" w:cs="Gill Sans"/>
          <w:sz w:val="22"/>
          <w:szCs w:val="22"/>
          <w:lang w:val="uk-UA"/>
        </w:rPr>
      </w:pPr>
      <w:r w:rsidRPr="00257F44">
        <w:rPr>
          <w:rFonts w:ascii="Gill Sans" w:hAnsi="Gill Sans" w:cs="Gill Sans"/>
          <w:sz w:val="22"/>
          <w:szCs w:val="22"/>
          <w:lang w:val="uk-UA"/>
        </w:rPr>
        <w:t xml:space="preserve">Обидва зобов’язання </w:t>
      </w:r>
      <w:r w:rsidR="00785DED" w:rsidRPr="00257F44">
        <w:rPr>
          <w:rFonts w:ascii="Gill Sans" w:hAnsi="Gill Sans" w:cs="Gill Sans"/>
          <w:sz w:val="22"/>
          <w:szCs w:val="22"/>
          <w:lang w:val="uk-UA"/>
        </w:rPr>
        <w:t xml:space="preserve">були спрямовані на створення сприятливого середовища для організацій громадянського суспільства. Зобов’язання </w:t>
      </w:r>
      <w:r w:rsidR="0075125D" w:rsidRPr="00257F44">
        <w:rPr>
          <w:rFonts w:ascii="Gill Sans" w:hAnsi="Gill Sans" w:cs="Gill Sans"/>
          <w:sz w:val="22"/>
          <w:szCs w:val="22"/>
          <w:lang w:val="uk-UA"/>
        </w:rPr>
        <w:t xml:space="preserve">№ </w:t>
      </w:r>
      <w:r w:rsidR="00785DED" w:rsidRPr="00257F44">
        <w:rPr>
          <w:rFonts w:ascii="Gill Sans" w:hAnsi="Gill Sans" w:cs="Gill Sans"/>
          <w:sz w:val="22"/>
          <w:szCs w:val="22"/>
          <w:lang w:val="uk-UA"/>
        </w:rPr>
        <w:t>2 зосереджувалося на покращенні законодавства</w:t>
      </w:r>
      <w:r w:rsidR="00862872" w:rsidRPr="00257F44">
        <w:rPr>
          <w:rFonts w:ascii="Gill Sans" w:hAnsi="Gill Sans" w:cs="Gill Sans"/>
          <w:sz w:val="22"/>
          <w:szCs w:val="22"/>
          <w:lang w:val="uk-UA"/>
        </w:rPr>
        <w:t xml:space="preserve"> з метою надання додаткової фінансової підтримки благодійним організаціям в Україні. Зобов’язання </w:t>
      </w:r>
      <w:r w:rsidR="0075125D" w:rsidRPr="00257F44">
        <w:rPr>
          <w:rFonts w:ascii="Gill Sans" w:hAnsi="Gill Sans" w:cs="Gill Sans"/>
          <w:sz w:val="22"/>
          <w:szCs w:val="22"/>
          <w:lang w:val="uk-UA"/>
        </w:rPr>
        <w:t xml:space="preserve">№ </w:t>
      </w:r>
      <w:r w:rsidR="00862872" w:rsidRPr="00257F44">
        <w:rPr>
          <w:rFonts w:ascii="Gill Sans" w:hAnsi="Gill Sans" w:cs="Gill Sans"/>
          <w:sz w:val="22"/>
          <w:szCs w:val="22"/>
          <w:lang w:val="uk-UA"/>
        </w:rPr>
        <w:t xml:space="preserve">3 мало на меті спрощення процедур отримання ОГС статусу неприбутковості. У разі реалізації, це було б кроком уперед у напрямі покращення умов для діяльності благодійних організацій та інших неприбуткових організацій в Україні, оскільки </w:t>
      </w:r>
      <w:r w:rsidR="00C75241" w:rsidRPr="00257F44">
        <w:rPr>
          <w:rFonts w:ascii="Gill Sans" w:hAnsi="Gill Sans" w:cs="Gill Sans"/>
          <w:sz w:val="22"/>
          <w:szCs w:val="22"/>
          <w:lang w:val="uk-UA"/>
        </w:rPr>
        <w:t xml:space="preserve">це </w:t>
      </w:r>
      <w:r w:rsidR="004167CA" w:rsidRPr="00257F44">
        <w:rPr>
          <w:rFonts w:ascii="Gill Sans" w:hAnsi="Gill Sans" w:cs="Gill Sans"/>
          <w:sz w:val="22"/>
          <w:szCs w:val="22"/>
          <w:lang w:val="uk-UA"/>
        </w:rPr>
        <w:t xml:space="preserve">усунуло </w:t>
      </w:r>
      <w:r w:rsidR="00C75241" w:rsidRPr="00257F44">
        <w:rPr>
          <w:rFonts w:ascii="Gill Sans" w:hAnsi="Gill Sans" w:cs="Gill Sans"/>
          <w:sz w:val="22"/>
          <w:szCs w:val="22"/>
          <w:lang w:val="uk-UA"/>
        </w:rPr>
        <w:t>б</w:t>
      </w:r>
      <w:r w:rsidR="00862872" w:rsidRPr="00257F44">
        <w:rPr>
          <w:rFonts w:ascii="Gill Sans" w:hAnsi="Gill Sans" w:cs="Gill Sans"/>
          <w:sz w:val="22"/>
          <w:szCs w:val="22"/>
          <w:lang w:val="uk-UA"/>
        </w:rPr>
        <w:t xml:space="preserve"> деякі адміністративні бар’єри, з якими зіштовхуються ОГС.</w:t>
      </w:r>
    </w:p>
    <w:p w14:paraId="2C545412" w14:textId="68EBAD8E" w:rsidR="005B031B" w:rsidRPr="00257F44" w:rsidRDefault="00C75B84" w:rsidP="00603A53">
      <w:pPr>
        <w:pStyle w:val="Heading3"/>
        <w:spacing w:after="120"/>
        <w:rPr>
          <w:lang w:val="uk-UA"/>
        </w:rPr>
      </w:pPr>
      <w:r w:rsidRPr="00257F44">
        <w:rPr>
          <w:lang w:val="uk-UA"/>
        </w:rPr>
        <w:t>Статус виконання</w:t>
      </w:r>
    </w:p>
    <w:p w14:paraId="3A29FB06" w14:textId="12524BCE" w:rsidR="005B031B" w:rsidRPr="00257F44" w:rsidRDefault="00311D1A" w:rsidP="00603A53">
      <w:pPr>
        <w:spacing w:after="120"/>
        <w:rPr>
          <w:rFonts w:ascii="Gill Sans" w:hAnsi="Gill Sans" w:cs="Gill Sans"/>
          <w:b/>
          <w:sz w:val="22"/>
          <w:szCs w:val="22"/>
          <w:lang w:val="uk-UA"/>
        </w:rPr>
      </w:pPr>
      <w:r w:rsidRPr="00257F44">
        <w:rPr>
          <w:rFonts w:ascii="Gill Sans" w:hAnsi="Gill Sans" w:cs="Gill Sans"/>
          <w:b/>
          <w:sz w:val="22"/>
          <w:szCs w:val="22"/>
          <w:lang w:val="uk-UA"/>
        </w:rPr>
        <w:t>2</w:t>
      </w:r>
      <w:r w:rsidR="005B031B" w:rsidRPr="00257F44">
        <w:rPr>
          <w:rFonts w:ascii="Gill Sans" w:hAnsi="Gill Sans" w:cs="Gill Sans"/>
          <w:b/>
          <w:sz w:val="22"/>
          <w:szCs w:val="22"/>
          <w:lang w:val="uk-UA"/>
        </w:rPr>
        <w:t xml:space="preserve">. </w:t>
      </w:r>
      <w:r w:rsidR="00C75B84" w:rsidRPr="00257F44">
        <w:rPr>
          <w:rFonts w:ascii="Gill Sans" w:hAnsi="Gill Sans" w:cs="Gill Sans"/>
          <w:b/>
          <w:sz w:val="22"/>
          <w:szCs w:val="22"/>
          <w:lang w:val="uk-UA"/>
        </w:rPr>
        <w:t>Фінансування благодійних організацій</w:t>
      </w:r>
    </w:p>
    <w:p w14:paraId="778FEFC4" w14:textId="0EC82452" w:rsidR="005B031B" w:rsidRPr="00257F44" w:rsidRDefault="00D014DF" w:rsidP="00603A53">
      <w:pPr>
        <w:pStyle w:val="Normalrglronly"/>
        <w:rPr>
          <w:b/>
          <w:lang w:val="uk-UA"/>
        </w:rPr>
      </w:pPr>
      <w:r w:rsidRPr="00257F44">
        <w:rPr>
          <w:b/>
          <w:lang w:val="uk-UA"/>
        </w:rPr>
        <w:t>Проміжний звіт: Не розпочато</w:t>
      </w:r>
    </w:p>
    <w:p w14:paraId="618217A8" w14:textId="1B09F82C" w:rsidR="0070554B" w:rsidRPr="00257F44" w:rsidRDefault="00B975D0" w:rsidP="00603A53">
      <w:pPr>
        <w:spacing w:after="120"/>
        <w:rPr>
          <w:rFonts w:ascii="Gill Sans" w:hAnsi="Gill Sans" w:cs="Gill Sans"/>
          <w:noProof/>
          <w:sz w:val="22"/>
          <w:szCs w:val="22"/>
          <w:lang w:val="uk-UA"/>
        </w:rPr>
      </w:pPr>
      <w:r w:rsidRPr="00257F44">
        <w:rPr>
          <w:rFonts w:ascii="Gill Sans" w:hAnsi="Gill Sans" w:cs="Gill Sans"/>
          <w:noProof/>
          <w:sz w:val="22"/>
          <w:szCs w:val="22"/>
          <w:lang w:val="uk-UA"/>
        </w:rPr>
        <w:t>Після ухвалення плану дій ПВУ, Міністерство фінансів заперечило проти цього заходу та</w:t>
      </w:r>
      <w:r w:rsidR="005E31F5" w:rsidRPr="00257F44">
        <w:rPr>
          <w:rFonts w:ascii="Gill Sans" w:hAnsi="Gill Sans" w:cs="Gill Sans"/>
          <w:noProof/>
          <w:sz w:val="22"/>
          <w:szCs w:val="22"/>
          <w:lang w:val="uk-UA"/>
        </w:rPr>
        <w:t xml:space="preserve"> </w:t>
      </w:r>
      <w:r w:rsidRPr="00257F44">
        <w:rPr>
          <w:rFonts w:ascii="Gill Sans" w:hAnsi="Gill Sans" w:cs="Gill Sans"/>
          <w:noProof/>
          <w:sz w:val="22"/>
          <w:szCs w:val="22"/>
          <w:lang w:val="uk-UA"/>
        </w:rPr>
        <w:t>відмовилося його виконувати. Міністерство було стурбовано тим, що в разі виконання цей захід вимагатиме додаткових бюджетних асигнувань. У червні 2015 року віце-прем’єр-міністр, який очолює Координаційну раду</w:t>
      </w:r>
      <w:r w:rsidR="005E31F5" w:rsidRPr="00257F44">
        <w:rPr>
          <w:rFonts w:ascii="Gill Sans" w:hAnsi="Gill Sans" w:cs="Gill Sans"/>
          <w:noProof/>
          <w:sz w:val="22"/>
          <w:szCs w:val="22"/>
          <w:lang w:val="uk-UA"/>
        </w:rPr>
        <w:t xml:space="preserve"> з питань реалізації ініціативи ПВУ в Україні</w:t>
      </w:r>
      <w:r w:rsidRPr="00257F44">
        <w:rPr>
          <w:rFonts w:ascii="Gill Sans" w:hAnsi="Gill Sans" w:cs="Gill Sans"/>
          <w:noProof/>
          <w:sz w:val="22"/>
          <w:szCs w:val="22"/>
          <w:lang w:val="uk-UA"/>
        </w:rPr>
        <w:t xml:space="preserve">, видав офіційне доручення міністерству провести переговори з представниками громадськості, але міністерство цього так </w:t>
      </w:r>
      <w:r w:rsidR="005E31F5" w:rsidRPr="00257F44">
        <w:rPr>
          <w:rFonts w:ascii="Gill Sans" w:hAnsi="Gill Sans" w:cs="Gill Sans"/>
          <w:noProof/>
          <w:sz w:val="22"/>
          <w:szCs w:val="22"/>
          <w:lang w:val="uk-UA"/>
        </w:rPr>
        <w:t>і не зробило. Питання залишало</w:t>
      </w:r>
      <w:r w:rsidRPr="00257F44">
        <w:rPr>
          <w:rFonts w:ascii="Gill Sans" w:hAnsi="Gill Sans" w:cs="Gill Sans"/>
          <w:noProof/>
          <w:sz w:val="22"/>
          <w:szCs w:val="22"/>
          <w:lang w:val="uk-UA"/>
        </w:rPr>
        <w:t xml:space="preserve">ся невирішеним, а </w:t>
      </w:r>
      <w:r w:rsidR="005E31F5" w:rsidRPr="00257F44">
        <w:rPr>
          <w:rFonts w:ascii="Gill Sans" w:hAnsi="Gill Sans" w:cs="Gill Sans"/>
          <w:noProof/>
          <w:sz w:val="22"/>
          <w:szCs w:val="22"/>
          <w:lang w:val="uk-UA"/>
        </w:rPr>
        <w:t>виконання заходу не розпочалося</w:t>
      </w:r>
      <w:r w:rsidR="001B4152" w:rsidRPr="00257F44">
        <w:rPr>
          <w:rStyle w:val="EndnoteReference"/>
          <w:rFonts w:ascii="Gill Sans" w:hAnsi="Gill Sans" w:cs="Gill Sans"/>
          <w:noProof/>
          <w:sz w:val="22"/>
          <w:szCs w:val="22"/>
          <w:lang w:val="uk-UA"/>
        </w:rPr>
        <w:endnoteReference w:id="8"/>
      </w:r>
      <w:r w:rsidR="005E31F5" w:rsidRPr="00257F44">
        <w:rPr>
          <w:rFonts w:ascii="Gill Sans" w:hAnsi="Gill Sans" w:cs="Gill Sans"/>
          <w:noProof/>
          <w:sz w:val="22"/>
          <w:szCs w:val="22"/>
          <w:lang w:val="uk-UA"/>
        </w:rPr>
        <w:t>.</w:t>
      </w:r>
    </w:p>
    <w:p w14:paraId="31A220EB" w14:textId="57FAB80A" w:rsidR="002E0362" w:rsidRPr="00257F44" w:rsidRDefault="00D014DF" w:rsidP="00603A53">
      <w:pPr>
        <w:pStyle w:val="Normalrglronly"/>
        <w:rPr>
          <w:b/>
          <w:lang w:val="uk-UA"/>
        </w:rPr>
      </w:pPr>
      <w:r w:rsidRPr="00257F44">
        <w:rPr>
          <w:b/>
          <w:lang w:val="uk-UA"/>
        </w:rPr>
        <w:t>Підсумковий звіт</w:t>
      </w:r>
      <w:r w:rsidR="002E0362" w:rsidRPr="00257F44">
        <w:rPr>
          <w:b/>
          <w:lang w:val="uk-UA"/>
        </w:rPr>
        <w:t xml:space="preserve">: </w:t>
      </w:r>
      <w:r w:rsidRPr="00257F44">
        <w:rPr>
          <w:b/>
          <w:lang w:val="uk-UA"/>
        </w:rPr>
        <w:t>Не розпочато</w:t>
      </w:r>
    </w:p>
    <w:p w14:paraId="5838ACAC" w14:textId="39625F45" w:rsidR="0068662F" w:rsidRPr="00257F44" w:rsidRDefault="0068662F" w:rsidP="00603A53">
      <w:pPr>
        <w:spacing w:after="120"/>
        <w:rPr>
          <w:rFonts w:ascii="Gill Sans" w:hAnsi="Gill Sans" w:cs="Gill Sans"/>
          <w:noProof/>
          <w:sz w:val="22"/>
          <w:szCs w:val="22"/>
          <w:lang w:val="uk-UA"/>
        </w:rPr>
      </w:pPr>
      <w:r w:rsidRPr="00257F44">
        <w:rPr>
          <w:rFonts w:ascii="Gill Sans" w:hAnsi="Gill Sans" w:cs="Gill Sans"/>
          <w:noProof/>
          <w:sz w:val="22"/>
          <w:szCs w:val="22"/>
          <w:lang w:val="uk-UA"/>
        </w:rPr>
        <w:t>З часу проміжного звіту виконання цього зобов’язання так і не розпочалося. Міністерство фінансів продовжувало заперечувати проти зобов’язання. Відповідно</w:t>
      </w:r>
      <w:r w:rsidR="00E425E2" w:rsidRPr="00257F44">
        <w:rPr>
          <w:rFonts w:ascii="Gill Sans" w:hAnsi="Gill Sans" w:cs="Gill Sans"/>
          <w:noProof/>
          <w:sz w:val="22"/>
          <w:szCs w:val="22"/>
          <w:lang w:val="uk-UA"/>
        </w:rPr>
        <w:t xml:space="preserve"> до </w:t>
      </w:r>
      <w:r w:rsidR="00DD618E" w:rsidRPr="00257F44">
        <w:rPr>
          <w:rFonts w:ascii="Gill Sans" w:hAnsi="Gill Sans" w:cs="Gill Sans"/>
          <w:noProof/>
          <w:sz w:val="22"/>
          <w:szCs w:val="22"/>
          <w:lang w:val="uk-UA"/>
        </w:rPr>
        <w:t>підсумкового</w:t>
      </w:r>
      <w:r w:rsidR="00E425E2" w:rsidRPr="00257F44">
        <w:rPr>
          <w:rFonts w:ascii="Gill Sans" w:hAnsi="Gill Sans" w:cs="Gill Sans"/>
          <w:noProof/>
          <w:sz w:val="22"/>
          <w:szCs w:val="22"/>
          <w:lang w:val="uk-UA"/>
        </w:rPr>
        <w:t xml:space="preserve"> звіту самооцін</w:t>
      </w:r>
      <w:r w:rsidR="00DD618E" w:rsidRPr="00257F44">
        <w:rPr>
          <w:rFonts w:ascii="Gill Sans" w:hAnsi="Gill Sans" w:cs="Gill Sans"/>
          <w:noProof/>
          <w:sz w:val="22"/>
          <w:szCs w:val="22"/>
          <w:lang w:val="uk-UA"/>
        </w:rPr>
        <w:t xml:space="preserve">ки </w:t>
      </w:r>
      <w:r w:rsidR="00E425E2" w:rsidRPr="00257F44">
        <w:rPr>
          <w:rFonts w:ascii="Gill Sans" w:hAnsi="Gill Sans" w:cs="Gill Sans"/>
          <w:noProof/>
          <w:sz w:val="22"/>
          <w:szCs w:val="22"/>
          <w:lang w:val="uk-UA"/>
        </w:rPr>
        <w:t xml:space="preserve">Уряду, </w:t>
      </w:r>
      <w:r w:rsidR="00370EA3" w:rsidRPr="00257F44">
        <w:rPr>
          <w:rFonts w:ascii="Gill Sans" w:hAnsi="Gill Sans" w:cs="Gill Sans"/>
          <w:noProof/>
          <w:sz w:val="22"/>
          <w:szCs w:val="22"/>
          <w:lang w:val="uk-UA"/>
        </w:rPr>
        <w:t>міністерство стверджувало</w:t>
      </w:r>
      <w:r w:rsidR="006769C8" w:rsidRPr="00257F44">
        <w:rPr>
          <w:rFonts w:ascii="Gill Sans" w:hAnsi="Gill Sans" w:cs="Gill Sans"/>
          <w:noProof/>
          <w:sz w:val="22"/>
          <w:szCs w:val="22"/>
          <w:lang w:val="uk-UA"/>
        </w:rPr>
        <w:t xml:space="preserve">, що законодавство України вже </w:t>
      </w:r>
      <w:r w:rsidR="00370EA3" w:rsidRPr="00257F44">
        <w:rPr>
          <w:rFonts w:ascii="Gill Sans" w:hAnsi="Gill Sans" w:cs="Gill Sans"/>
          <w:noProof/>
          <w:sz w:val="22"/>
          <w:szCs w:val="22"/>
          <w:lang w:val="uk-UA"/>
        </w:rPr>
        <w:t xml:space="preserve">передбачало </w:t>
      </w:r>
      <w:r w:rsidR="006769C8" w:rsidRPr="00257F44">
        <w:rPr>
          <w:rFonts w:ascii="Gill Sans" w:hAnsi="Gill Sans" w:cs="Gill Sans"/>
          <w:noProof/>
          <w:sz w:val="22"/>
          <w:szCs w:val="22"/>
          <w:lang w:val="uk-UA"/>
        </w:rPr>
        <w:t xml:space="preserve">достатню підтримку благодійним організаціям в Україні. Зокрема, вони можуть брати участь у конкурсах на отримання контрактів з надання соціальних послуг та публічних закупівель, </w:t>
      </w:r>
      <w:r w:rsidR="00DD7628" w:rsidRPr="00257F44">
        <w:rPr>
          <w:rFonts w:ascii="Gill Sans" w:hAnsi="Gill Sans" w:cs="Gill Sans"/>
          <w:noProof/>
          <w:sz w:val="22"/>
          <w:szCs w:val="22"/>
          <w:lang w:val="uk-UA"/>
        </w:rPr>
        <w:t xml:space="preserve">вони також </w:t>
      </w:r>
      <w:r w:rsidR="00BC1762" w:rsidRPr="00257F44">
        <w:rPr>
          <w:rFonts w:ascii="Gill Sans" w:hAnsi="Gill Sans" w:cs="Gill Sans"/>
          <w:noProof/>
          <w:sz w:val="22"/>
          <w:szCs w:val="22"/>
          <w:lang w:val="uk-UA"/>
        </w:rPr>
        <w:t>мають певні податкові звільнення (благодійна допомога та майно, що передається як міжнародна допомога, не оподатковуються ПДВ; благодійні організації не сплачують податок на прибуток).</w:t>
      </w:r>
    </w:p>
    <w:p w14:paraId="5EA7B86A" w14:textId="77777777" w:rsidR="00D014DF" w:rsidRPr="00257F44" w:rsidRDefault="00311D1A" w:rsidP="00603A53">
      <w:pPr>
        <w:spacing w:after="120"/>
        <w:rPr>
          <w:b/>
          <w:lang w:val="uk-UA"/>
        </w:rPr>
      </w:pPr>
      <w:r w:rsidRPr="00257F44">
        <w:rPr>
          <w:rFonts w:ascii="Gill Sans" w:hAnsi="Gill Sans" w:cs="Gill Sans"/>
          <w:b/>
          <w:sz w:val="22"/>
          <w:szCs w:val="22"/>
          <w:lang w:val="uk-UA"/>
        </w:rPr>
        <w:t>3</w:t>
      </w:r>
      <w:r w:rsidR="005B031B" w:rsidRPr="00257F44">
        <w:rPr>
          <w:rFonts w:ascii="Gill Sans" w:hAnsi="Gill Sans" w:cs="Gill Sans"/>
          <w:b/>
          <w:sz w:val="22"/>
          <w:szCs w:val="22"/>
          <w:lang w:val="uk-UA"/>
        </w:rPr>
        <w:t xml:space="preserve">. </w:t>
      </w:r>
      <w:r w:rsidR="00D014DF" w:rsidRPr="00257F44">
        <w:rPr>
          <w:rFonts w:ascii="Gill Sans" w:hAnsi="Gill Sans" w:cs="Gill Sans"/>
          <w:b/>
          <w:sz w:val="22"/>
          <w:szCs w:val="22"/>
          <w:lang w:val="uk-UA"/>
        </w:rPr>
        <w:t xml:space="preserve">Отримання статусу неприбутковості для ОГС </w:t>
      </w:r>
    </w:p>
    <w:p w14:paraId="6DC10221" w14:textId="77777777" w:rsidR="00D014DF" w:rsidRPr="00257F44" w:rsidRDefault="00D014DF" w:rsidP="00603A53">
      <w:pPr>
        <w:pStyle w:val="Normalrglronly"/>
        <w:rPr>
          <w:b/>
          <w:lang w:val="uk-UA"/>
        </w:rPr>
      </w:pPr>
      <w:r w:rsidRPr="00257F44">
        <w:rPr>
          <w:b/>
          <w:lang w:val="uk-UA"/>
        </w:rPr>
        <w:t>Проміжний звіт: Не розпочато</w:t>
      </w:r>
    </w:p>
    <w:p w14:paraId="3766FE5D" w14:textId="71952A69" w:rsidR="003602E2" w:rsidRPr="00257F44" w:rsidRDefault="000F28B1" w:rsidP="00603A53">
      <w:pPr>
        <w:spacing w:after="120"/>
        <w:rPr>
          <w:rFonts w:ascii="Gill Sans" w:hAnsi="Gill Sans" w:cs="Gill Sans"/>
          <w:noProof/>
          <w:sz w:val="22"/>
          <w:szCs w:val="22"/>
          <w:lang w:val="uk-UA"/>
        </w:rPr>
      </w:pPr>
      <w:r w:rsidRPr="00257F44">
        <w:rPr>
          <w:rFonts w:ascii="Gill Sans" w:hAnsi="Gill Sans" w:cs="Gill Sans"/>
          <w:noProof/>
          <w:sz w:val="22"/>
          <w:szCs w:val="22"/>
          <w:lang w:val="uk-UA"/>
        </w:rPr>
        <w:t>Процедура отримання статусу неприбутковості для НДО та інших об’єднань громадян була обтяжливою та займала багато часу. НДО повинна спочатку з</w:t>
      </w:r>
      <w:r w:rsidR="0075125D" w:rsidRPr="00257F44">
        <w:rPr>
          <w:rFonts w:ascii="Gill Sans" w:hAnsi="Gill Sans" w:cs="Gill Sans"/>
          <w:noProof/>
          <w:sz w:val="22"/>
          <w:szCs w:val="22"/>
          <w:lang w:val="uk-UA"/>
        </w:rPr>
        <w:t>ареєструватися як юридична особа</w:t>
      </w:r>
      <w:r w:rsidRPr="00257F44">
        <w:rPr>
          <w:rFonts w:ascii="Gill Sans" w:hAnsi="Gill Sans" w:cs="Gill Sans"/>
          <w:noProof/>
          <w:sz w:val="22"/>
          <w:szCs w:val="22"/>
          <w:lang w:val="uk-UA"/>
        </w:rPr>
        <w:t xml:space="preserve"> в Міністерстві юстиції, а після цього звернутися до Державної фіскальної служби для отримання статусу неприбутковості. Державна фіскальна служба часто відхиляла такі звернення через проблеми із</w:t>
      </w:r>
      <w:r w:rsidR="0075125D" w:rsidRPr="00257F44">
        <w:rPr>
          <w:rFonts w:ascii="Gill Sans" w:hAnsi="Gill Sans" w:cs="Gill Sans"/>
          <w:noProof/>
          <w:sz w:val="22"/>
          <w:szCs w:val="22"/>
          <w:lang w:val="uk-UA"/>
        </w:rPr>
        <w:t xml:space="preserve"> статутними документами НДО, яка в цьому випадку змушена була</w:t>
      </w:r>
      <w:r w:rsidRPr="00257F44">
        <w:rPr>
          <w:rFonts w:ascii="Gill Sans" w:hAnsi="Gill Sans" w:cs="Gill Sans"/>
          <w:noProof/>
          <w:sz w:val="22"/>
          <w:szCs w:val="22"/>
          <w:lang w:val="uk-UA"/>
        </w:rPr>
        <w:t xml:space="preserve"> знову звертатися до Міністерства юстиції для внесення змін до цих документів. Зобов’язання було спрямовано на впорядкування відповідних процедур та запровадження принципу “єдиного вікна” для отримання зазначеного</w:t>
      </w:r>
      <w:r w:rsidR="0075125D" w:rsidRPr="00257F44">
        <w:rPr>
          <w:rFonts w:ascii="Gill Sans" w:hAnsi="Gill Sans" w:cs="Gill Sans"/>
          <w:noProof/>
          <w:sz w:val="22"/>
          <w:szCs w:val="22"/>
          <w:lang w:val="uk-UA"/>
        </w:rPr>
        <w:t xml:space="preserve"> статусу, а саме щоб НДО-заявниця</w:t>
      </w:r>
      <w:r w:rsidRPr="00257F44">
        <w:rPr>
          <w:rFonts w:ascii="Gill Sans" w:hAnsi="Gill Sans" w:cs="Gill Sans"/>
          <w:noProof/>
          <w:sz w:val="22"/>
          <w:szCs w:val="22"/>
          <w:lang w:val="uk-UA"/>
        </w:rPr>
        <w:t xml:space="preserve"> зверталася лише </w:t>
      </w:r>
      <w:r w:rsidR="008A602D" w:rsidRPr="00257F44">
        <w:rPr>
          <w:rFonts w:ascii="Gill Sans" w:hAnsi="Gill Sans" w:cs="Gill Sans"/>
          <w:noProof/>
          <w:sz w:val="22"/>
          <w:szCs w:val="22"/>
          <w:lang w:val="uk-UA"/>
        </w:rPr>
        <w:t>до М</w:t>
      </w:r>
      <w:r w:rsidRPr="00257F44">
        <w:rPr>
          <w:rFonts w:ascii="Gill Sans" w:hAnsi="Gill Sans" w:cs="Gill Sans"/>
          <w:noProof/>
          <w:sz w:val="22"/>
          <w:szCs w:val="22"/>
          <w:lang w:val="uk-UA"/>
        </w:rPr>
        <w:t>іністерства юстиції</w:t>
      </w:r>
      <w:r w:rsidR="008A602D" w:rsidRPr="00257F44">
        <w:rPr>
          <w:rFonts w:ascii="Gill Sans" w:hAnsi="Gill Sans" w:cs="Gill Sans"/>
          <w:noProof/>
          <w:sz w:val="22"/>
          <w:szCs w:val="22"/>
          <w:lang w:val="uk-UA"/>
        </w:rPr>
        <w:t>, яке, у свою чергу, забезпечило б</w:t>
      </w:r>
      <w:r w:rsidRPr="00257F44">
        <w:rPr>
          <w:rFonts w:ascii="Gill Sans" w:hAnsi="Gill Sans" w:cs="Gill Sans"/>
          <w:noProof/>
          <w:sz w:val="22"/>
          <w:szCs w:val="22"/>
          <w:lang w:val="uk-UA"/>
        </w:rPr>
        <w:t xml:space="preserve"> реєстрацію в податкових органах.</w:t>
      </w:r>
      <w:r w:rsidR="008A602D" w:rsidRPr="00257F44">
        <w:rPr>
          <w:rFonts w:ascii="Gill Sans" w:hAnsi="Gill Sans" w:cs="Gill Sans"/>
          <w:noProof/>
          <w:sz w:val="22"/>
          <w:szCs w:val="22"/>
          <w:lang w:val="uk-UA"/>
        </w:rPr>
        <w:t xml:space="preserve"> У своєму проміжному звіті </w:t>
      </w:r>
      <w:r w:rsidR="00DD618E" w:rsidRPr="00257F44">
        <w:rPr>
          <w:rFonts w:ascii="Gill Sans" w:hAnsi="Gill Sans" w:cs="Gill Sans"/>
          <w:noProof/>
          <w:sz w:val="22"/>
          <w:szCs w:val="22"/>
          <w:lang w:val="uk-UA"/>
        </w:rPr>
        <w:t>самооцінки</w:t>
      </w:r>
      <w:r w:rsidR="008A602D" w:rsidRPr="00257F44">
        <w:rPr>
          <w:rFonts w:ascii="Gill Sans" w:hAnsi="Gill Sans" w:cs="Gill Sans"/>
          <w:noProof/>
          <w:sz w:val="22"/>
          <w:szCs w:val="22"/>
          <w:lang w:val="uk-UA"/>
        </w:rPr>
        <w:t xml:space="preserve"> Уряд поінформував про проект закону, що був ухвалений в першому читанні в липні 2015 року</w:t>
      </w:r>
      <w:r w:rsidR="00400965" w:rsidRPr="00257F44">
        <w:rPr>
          <w:rFonts w:ascii="Gill Sans" w:hAnsi="Gill Sans" w:cs="Gill Sans"/>
          <w:noProof/>
          <w:sz w:val="22"/>
          <w:szCs w:val="22"/>
          <w:lang w:val="uk-UA"/>
        </w:rPr>
        <w:t>, але який, проте, не вирішував</w:t>
      </w:r>
      <w:r w:rsidR="008A602D" w:rsidRPr="00257F44">
        <w:rPr>
          <w:rFonts w:ascii="Gill Sans" w:hAnsi="Gill Sans" w:cs="Gill Sans"/>
          <w:noProof/>
          <w:sz w:val="22"/>
          <w:szCs w:val="22"/>
          <w:lang w:val="uk-UA"/>
        </w:rPr>
        <w:t xml:space="preserve"> проблему, якої стосу</w:t>
      </w:r>
      <w:r w:rsidR="00400965" w:rsidRPr="00257F44">
        <w:rPr>
          <w:rFonts w:ascii="Gill Sans" w:hAnsi="Gill Sans" w:cs="Gill Sans"/>
          <w:noProof/>
          <w:sz w:val="22"/>
          <w:szCs w:val="22"/>
          <w:lang w:val="uk-UA"/>
        </w:rPr>
        <w:t xml:space="preserve">вався </w:t>
      </w:r>
      <w:r w:rsidR="008A602D" w:rsidRPr="00257F44">
        <w:rPr>
          <w:rFonts w:ascii="Gill Sans" w:hAnsi="Gill Sans" w:cs="Gill Sans"/>
          <w:noProof/>
          <w:sz w:val="22"/>
          <w:szCs w:val="22"/>
          <w:lang w:val="uk-UA"/>
        </w:rPr>
        <w:t xml:space="preserve">захід в </w:t>
      </w:r>
      <w:r w:rsidR="00400965" w:rsidRPr="00257F44">
        <w:rPr>
          <w:rFonts w:ascii="Gill Sans" w:hAnsi="Gill Sans" w:cs="Gill Sans"/>
          <w:noProof/>
          <w:sz w:val="22"/>
          <w:szCs w:val="22"/>
          <w:lang w:val="uk-UA"/>
        </w:rPr>
        <w:t>рамках ПВУ. Проект не передбачав</w:t>
      </w:r>
      <w:r w:rsidR="008A602D" w:rsidRPr="00257F44">
        <w:rPr>
          <w:rFonts w:ascii="Gill Sans" w:hAnsi="Gill Sans" w:cs="Gill Sans"/>
          <w:noProof/>
          <w:sz w:val="22"/>
          <w:szCs w:val="22"/>
          <w:lang w:val="uk-UA"/>
        </w:rPr>
        <w:t xml:space="preserve"> процедуру “єдиного вікна” для громадських формувань для отримання реєстрації в якості юридичних осіб та отримання статусу неприбутковості</w:t>
      </w:r>
      <w:r w:rsidR="00886546" w:rsidRPr="00257F44">
        <w:rPr>
          <w:rStyle w:val="EndnoteReference"/>
          <w:rFonts w:ascii="Gill Sans" w:hAnsi="Gill Sans" w:cs="Gill Sans"/>
          <w:noProof/>
          <w:sz w:val="22"/>
          <w:szCs w:val="22"/>
          <w:lang w:val="uk-UA"/>
        </w:rPr>
        <w:endnoteReference w:id="9"/>
      </w:r>
      <w:r w:rsidR="00400965" w:rsidRPr="00257F44">
        <w:rPr>
          <w:rFonts w:ascii="Gill Sans" w:hAnsi="Gill Sans" w:cs="Gill Sans"/>
          <w:noProof/>
          <w:sz w:val="22"/>
          <w:szCs w:val="22"/>
          <w:lang w:val="uk-UA"/>
        </w:rPr>
        <w:t>.</w:t>
      </w:r>
    </w:p>
    <w:p w14:paraId="46BCEF5B" w14:textId="01D4CCE2" w:rsidR="00D014DF" w:rsidRPr="00257F44" w:rsidRDefault="00D014DF" w:rsidP="00603A53">
      <w:pPr>
        <w:pStyle w:val="Normalrglronly"/>
        <w:rPr>
          <w:b/>
          <w:lang w:val="uk-UA"/>
        </w:rPr>
      </w:pPr>
      <w:r w:rsidRPr="00257F44">
        <w:rPr>
          <w:b/>
          <w:lang w:val="uk-UA"/>
        </w:rPr>
        <w:lastRenderedPageBreak/>
        <w:t>Підсумковий звіт: Повне виконання</w:t>
      </w:r>
    </w:p>
    <w:p w14:paraId="17578B93" w14:textId="61D56B02" w:rsidR="00EE2481" w:rsidRPr="00257F44" w:rsidRDefault="00B6041F" w:rsidP="00603A53">
      <w:pPr>
        <w:spacing w:after="120"/>
        <w:rPr>
          <w:rFonts w:ascii="Gill Sans" w:hAnsi="Gill Sans" w:cs="Gill Sans"/>
          <w:b/>
          <w:sz w:val="22"/>
          <w:szCs w:val="22"/>
          <w:lang w:val="uk-UA"/>
        </w:rPr>
      </w:pPr>
      <w:r w:rsidRPr="00257F44">
        <w:rPr>
          <w:rFonts w:ascii="Gill Sans" w:hAnsi="Gill Sans" w:cs="Gill Sans"/>
          <w:noProof/>
          <w:sz w:val="22"/>
          <w:szCs w:val="22"/>
          <w:lang w:val="uk-UA"/>
        </w:rPr>
        <w:t xml:space="preserve">Остаточне формулювання нового закону про державну </w:t>
      </w:r>
      <w:r w:rsidR="008F779C" w:rsidRPr="00257F44">
        <w:rPr>
          <w:rFonts w:ascii="Gill Sans" w:hAnsi="Gill Sans" w:cs="Gill Sans"/>
          <w:noProof/>
          <w:sz w:val="22"/>
          <w:szCs w:val="22"/>
          <w:lang w:val="uk-UA"/>
        </w:rPr>
        <w:t>реєстрацію юридичних осіб, фізичних осіб – підприємців та громадських формувань, яке було ухвалено в листопаді 2015 року (та введено дію в грудні 2015 року), включало положення щодо процедури “єдиного вікна” для статусу неприбутковості</w:t>
      </w:r>
      <w:r w:rsidR="00266F08" w:rsidRPr="00257F44">
        <w:rPr>
          <w:rFonts w:ascii="Gill Sans" w:hAnsi="Gill Sans" w:cs="Gill Sans"/>
          <w:noProof/>
          <w:sz w:val="22"/>
          <w:szCs w:val="22"/>
          <w:lang w:val="uk-UA"/>
        </w:rPr>
        <w:t xml:space="preserve"> ОГС. Організація-заявниця</w:t>
      </w:r>
      <w:r w:rsidR="00686522" w:rsidRPr="00257F44">
        <w:rPr>
          <w:rFonts w:ascii="Gill Sans" w:hAnsi="Gill Sans" w:cs="Gill Sans"/>
          <w:noProof/>
          <w:sz w:val="22"/>
          <w:szCs w:val="22"/>
          <w:lang w:val="uk-UA"/>
        </w:rPr>
        <w:t xml:space="preserve"> отримала право подати одночасно заяву на реєстрацію в якості юридичної особи та неприбуткової організації. Пізніше, у липні 2016 року, Уряд </w:t>
      </w:r>
      <w:r w:rsidR="00B44289" w:rsidRPr="00257F44">
        <w:rPr>
          <w:rFonts w:ascii="Gill Sans" w:hAnsi="Gill Sans" w:cs="Gill Sans"/>
          <w:noProof/>
          <w:sz w:val="22"/>
          <w:szCs w:val="22"/>
          <w:lang w:val="uk-UA"/>
        </w:rPr>
        <w:t xml:space="preserve">затвердив порядок ведення Реєстру неприбуткових організацій для узгодження з новим законом. Відповідно до урядового звіту </w:t>
      </w:r>
      <w:r w:rsidR="00DD618E" w:rsidRPr="00257F44">
        <w:rPr>
          <w:rFonts w:ascii="Gill Sans" w:hAnsi="Gill Sans" w:cs="Gill Sans"/>
          <w:noProof/>
          <w:sz w:val="22"/>
          <w:szCs w:val="22"/>
          <w:lang w:val="uk-UA"/>
        </w:rPr>
        <w:t>самооцінки</w:t>
      </w:r>
      <w:r w:rsidR="00B44289" w:rsidRPr="00257F44">
        <w:rPr>
          <w:rFonts w:ascii="Gill Sans" w:hAnsi="Gill Sans" w:cs="Gill Sans"/>
          <w:noProof/>
          <w:sz w:val="22"/>
          <w:szCs w:val="22"/>
          <w:lang w:val="uk-UA"/>
        </w:rPr>
        <w:t>, НДО брали участь в розробці остаточної версії закону та урядового порядку.</w:t>
      </w:r>
      <w:r w:rsidR="006F3922" w:rsidRPr="00257F44">
        <w:rPr>
          <w:rFonts w:ascii="Gill Sans" w:hAnsi="Gill Sans" w:cs="Gill Sans"/>
          <w:noProof/>
          <w:sz w:val="22"/>
          <w:szCs w:val="22"/>
          <w:lang w:val="uk-UA"/>
        </w:rPr>
        <w:t xml:space="preserve"> Проте, представник ОГС відзначив,</w:t>
      </w:r>
      <w:r w:rsidR="00266F08" w:rsidRPr="00257F44">
        <w:rPr>
          <w:rFonts w:ascii="Gill Sans" w:hAnsi="Gill Sans" w:cs="Gill Sans"/>
          <w:noProof/>
          <w:sz w:val="22"/>
          <w:szCs w:val="22"/>
          <w:lang w:val="uk-UA"/>
        </w:rPr>
        <w:t xml:space="preserve"> </w:t>
      </w:r>
      <w:r w:rsidR="006F3922" w:rsidRPr="00257F44">
        <w:rPr>
          <w:rFonts w:ascii="Gill Sans" w:hAnsi="Gill Sans" w:cs="Gill Sans"/>
          <w:noProof/>
          <w:sz w:val="22"/>
          <w:szCs w:val="22"/>
          <w:lang w:val="uk-UA"/>
        </w:rPr>
        <w:t>що нові положення не було реалізовано на практиці.</w:t>
      </w:r>
      <w:r w:rsidR="008305F8" w:rsidRPr="00257F44">
        <w:rPr>
          <w:rFonts w:ascii="Gill Sans" w:hAnsi="Gill Sans" w:cs="Gill Sans"/>
          <w:noProof/>
          <w:sz w:val="22"/>
          <w:szCs w:val="22"/>
          <w:lang w:val="uk-UA"/>
        </w:rPr>
        <w:t xml:space="preserve"> Державні реєстратори відмовлялися передавати заяви до податкових органів, посилаючись на відсутність можливостей для електронної взаємодії</w:t>
      </w:r>
      <w:r w:rsidR="008305F8" w:rsidRPr="00257F44">
        <w:rPr>
          <w:rStyle w:val="EndnoteReference"/>
          <w:rFonts w:ascii="Gill Sans" w:hAnsi="Gill Sans" w:cs="Gill Sans"/>
          <w:noProof/>
          <w:sz w:val="22"/>
          <w:szCs w:val="22"/>
          <w:lang w:val="uk-UA"/>
        </w:rPr>
        <w:endnoteReference w:id="10"/>
      </w:r>
      <w:r w:rsidR="008305F8" w:rsidRPr="00257F44">
        <w:rPr>
          <w:rFonts w:ascii="Gill Sans" w:hAnsi="Gill Sans" w:cs="Gill Sans"/>
          <w:noProof/>
          <w:sz w:val="22"/>
          <w:szCs w:val="22"/>
          <w:lang w:val="uk-UA"/>
        </w:rPr>
        <w:t>. Це свідчить про те, що процедура “єдиного вікна” все ще не функціонує повною мірою. Водночас</w:t>
      </w:r>
      <w:r w:rsidR="0093048C" w:rsidRPr="00257F44">
        <w:rPr>
          <w:rFonts w:ascii="Gill Sans" w:hAnsi="Gill Sans" w:cs="Gill Sans"/>
          <w:noProof/>
          <w:sz w:val="22"/>
          <w:szCs w:val="22"/>
          <w:lang w:val="uk-UA"/>
        </w:rPr>
        <w:t xml:space="preserve">, оскільки зобов’язання передбачало лише ухвалення нових змін до закону, його можна вважати виконаним. Крім того, інші виконані частини зобов’язання включають визначення строків розгляду </w:t>
      </w:r>
      <w:r w:rsidR="00C10457" w:rsidRPr="00257F44">
        <w:rPr>
          <w:rFonts w:ascii="Gill Sans" w:hAnsi="Gill Sans" w:cs="Gill Sans"/>
          <w:noProof/>
          <w:sz w:val="22"/>
          <w:szCs w:val="22"/>
          <w:lang w:val="uk-UA"/>
        </w:rPr>
        <w:t>заяв на отримання статусу неприбутковості, підстав</w:t>
      </w:r>
      <w:r w:rsidR="0093048C" w:rsidRPr="00257F44">
        <w:rPr>
          <w:rFonts w:ascii="Gill Sans" w:hAnsi="Gill Sans" w:cs="Gill Sans"/>
          <w:noProof/>
          <w:sz w:val="22"/>
          <w:szCs w:val="22"/>
          <w:lang w:val="uk-UA"/>
        </w:rPr>
        <w:t xml:space="preserve"> для відмови у наданні такого статусу, а також </w:t>
      </w:r>
      <w:r w:rsidR="00C10457" w:rsidRPr="00257F44">
        <w:rPr>
          <w:rFonts w:ascii="Gill Sans" w:hAnsi="Gill Sans" w:cs="Gill Sans"/>
          <w:noProof/>
          <w:sz w:val="22"/>
          <w:szCs w:val="22"/>
          <w:lang w:val="uk-UA"/>
        </w:rPr>
        <w:t>встановлення вільного</w:t>
      </w:r>
      <w:r w:rsidR="0093048C" w:rsidRPr="00257F44">
        <w:rPr>
          <w:rFonts w:ascii="Gill Sans" w:hAnsi="Gill Sans" w:cs="Gill Sans"/>
          <w:noProof/>
          <w:sz w:val="22"/>
          <w:szCs w:val="22"/>
          <w:lang w:val="uk-UA"/>
        </w:rPr>
        <w:t xml:space="preserve"> </w:t>
      </w:r>
      <w:r w:rsidR="00C10457" w:rsidRPr="00257F44">
        <w:rPr>
          <w:rFonts w:ascii="Gill Sans" w:hAnsi="Gill Sans" w:cs="Gill Sans"/>
          <w:noProof/>
          <w:sz w:val="22"/>
          <w:szCs w:val="22"/>
          <w:lang w:val="uk-UA"/>
        </w:rPr>
        <w:t xml:space="preserve">онлайн </w:t>
      </w:r>
      <w:r w:rsidR="0093048C" w:rsidRPr="00257F44">
        <w:rPr>
          <w:rFonts w:ascii="Gill Sans" w:hAnsi="Gill Sans" w:cs="Gill Sans"/>
          <w:noProof/>
          <w:sz w:val="22"/>
          <w:szCs w:val="22"/>
          <w:lang w:val="uk-UA"/>
        </w:rPr>
        <w:t>доступ</w:t>
      </w:r>
      <w:r w:rsidR="00C10457" w:rsidRPr="00257F44">
        <w:rPr>
          <w:rFonts w:ascii="Gill Sans" w:hAnsi="Gill Sans" w:cs="Gill Sans"/>
          <w:noProof/>
          <w:sz w:val="22"/>
          <w:szCs w:val="22"/>
          <w:lang w:val="uk-UA"/>
        </w:rPr>
        <w:t>у</w:t>
      </w:r>
      <w:r w:rsidR="0093048C" w:rsidRPr="00257F44">
        <w:rPr>
          <w:rFonts w:ascii="Gill Sans" w:hAnsi="Gill Sans" w:cs="Gill Sans"/>
          <w:noProof/>
          <w:sz w:val="22"/>
          <w:szCs w:val="22"/>
          <w:lang w:val="uk-UA"/>
        </w:rPr>
        <w:t xml:space="preserve"> до </w:t>
      </w:r>
      <w:r w:rsidR="00C10457" w:rsidRPr="00257F44">
        <w:rPr>
          <w:rFonts w:ascii="Gill Sans" w:hAnsi="Gill Sans" w:cs="Gill Sans"/>
          <w:noProof/>
          <w:sz w:val="22"/>
          <w:szCs w:val="22"/>
          <w:lang w:val="uk-UA"/>
        </w:rPr>
        <w:t xml:space="preserve">згаданого </w:t>
      </w:r>
      <w:r w:rsidR="0093048C" w:rsidRPr="00257F44">
        <w:rPr>
          <w:rFonts w:ascii="Gill Sans" w:hAnsi="Gill Sans" w:cs="Gill Sans"/>
          <w:noProof/>
          <w:sz w:val="22"/>
          <w:szCs w:val="22"/>
          <w:lang w:val="uk-UA"/>
        </w:rPr>
        <w:t>Реєстру</w:t>
      </w:r>
      <w:r w:rsidR="00872869" w:rsidRPr="00257F44">
        <w:rPr>
          <w:rStyle w:val="EndnoteReference"/>
          <w:rFonts w:ascii="Gill Sans" w:hAnsi="Gill Sans" w:cs="Gill Sans"/>
          <w:noProof/>
          <w:sz w:val="22"/>
          <w:szCs w:val="22"/>
          <w:lang w:val="uk-UA"/>
        </w:rPr>
        <w:endnoteReference w:id="11"/>
      </w:r>
      <w:r w:rsidR="00C10457" w:rsidRPr="00257F44">
        <w:rPr>
          <w:rFonts w:ascii="Gill Sans" w:hAnsi="Gill Sans" w:cs="Gill Sans"/>
          <w:noProof/>
          <w:sz w:val="22"/>
          <w:szCs w:val="22"/>
          <w:lang w:val="uk-UA"/>
        </w:rPr>
        <w:t>.</w:t>
      </w:r>
    </w:p>
    <w:p w14:paraId="424BDB67" w14:textId="49BFF0D2" w:rsidR="005B031B" w:rsidRPr="00257F44" w:rsidRDefault="004B56FA" w:rsidP="00603A53">
      <w:pPr>
        <w:pStyle w:val="Heading3"/>
        <w:spacing w:after="120"/>
        <w:rPr>
          <w:lang w:val="uk-UA"/>
        </w:rPr>
      </w:pPr>
      <w:r w:rsidRPr="00257F44">
        <w:rPr>
          <w:lang w:val="uk-UA"/>
        </w:rPr>
        <w:t>Чи відкрило це уряд</w:t>
      </w:r>
      <w:r w:rsidR="005B031B" w:rsidRPr="00257F44">
        <w:rPr>
          <w:lang w:val="uk-UA"/>
        </w:rPr>
        <w:t>?</w:t>
      </w:r>
    </w:p>
    <w:p w14:paraId="732CC5E6" w14:textId="03E23C63" w:rsidR="005B031B" w:rsidRPr="00257F44" w:rsidRDefault="00360740" w:rsidP="00603A53">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2</w:t>
      </w:r>
      <w:r w:rsidR="005B031B" w:rsidRPr="00257F44">
        <w:rPr>
          <w:rFonts w:ascii="Gill Sans" w:hAnsi="Gill Sans" w:cs="Gill Sans"/>
          <w:b/>
          <w:noProof/>
          <w:sz w:val="22"/>
          <w:szCs w:val="22"/>
          <w:lang w:val="uk-UA"/>
        </w:rPr>
        <w:t xml:space="preserve">. </w:t>
      </w:r>
      <w:r w:rsidR="004B56FA" w:rsidRPr="00257F44">
        <w:rPr>
          <w:rFonts w:ascii="Gill Sans" w:hAnsi="Gill Sans" w:cs="Gill Sans"/>
          <w:b/>
          <w:sz w:val="22"/>
          <w:szCs w:val="22"/>
          <w:lang w:val="uk-UA"/>
        </w:rPr>
        <w:t>Фінансування благодійних організацій</w:t>
      </w:r>
    </w:p>
    <w:p w14:paraId="17B0ED56" w14:textId="4634F2BD" w:rsidR="005B031B" w:rsidRPr="00257F44" w:rsidRDefault="004B56FA" w:rsidP="00603A53">
      <w:pPr>
        <w:spacing w:after="120"/>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Громадська участь</w:t>
      </w:r>
      <w:r w:rsidR="005B031B" w:rsidRPr="00257F44">
        <w:rPr>
          <w:rFonts w:ascii="Gill Sans" w:hAnsi="Gill Sans" w:cs="Gill Sans"/>
          <w:b/>
          <w:color w:val="000000" w:themeColor="text1"/>
          <w:sz w:val="22"/>
          <w:szCs w:val="22"/>
          <w:lang w:val="uk-UA"/>
        </w:rPr>
        <w:t xml:space="preserve">: </w:t>
      </w:r>
      <w:r w:rsidRPr="00257F44">
        <w:rPr>
          <w:rFonts w:ascii="Gill Sans" w:hAnsi="Gill Sans" w:cs="Gill Sans"/>
          <w:b/>
          <w:color w:val="000000" w:themeColor="text1"/>
          <w:sz w:val="22"/>
          <w:szCs w:val="22"/>
          <w:lang w:val="uk-UA"/>
        </w:rPr>
        <w:t>Не змінило</w:t>
      </w:r>
    </w:p>
    <w:p w14:paraId="410C9569" w14:textId="04AA599A" w:rsidR="00D11E4A" w:rsidRPr="00257F44" w:rsidRDefault="00742C68" w:rsidP="00603A53">
      <w:pPr>
        <w:spacing w:after="120"/>
        <w:rPr>
          <w:rFonts w:ascii="Gill Sans" w:hAnsi="Gill Sans" w:cs="Gill Sans"/>
          <w:sz w:val="22"/>
          <w:szCs w:val="22"/>
          <w:lang w:val="uk-UA"/>
        </w:rPr>
      </w:pPr>
      <w:r w:rsidRPr="00257F44">
        <w:rPr>
          <w:rFonts w:ascii="Gill Sans" w:hAnsi="Gill Sans" w:cs="Gill Sans"/>
          <w:sz w:val="22"/>
          <w:szCs w:val="22"/>
          <w:lang w:val="uk-UA"/>
        </w:rPr>
        <w:t xml:space="preserve">Зобов’язання мало на меті покращити операційне середовище для благодійних організацій шляхом розширення джерел їхнього фінансування. </w:t>
      </w:r>
      <w:r w:rsidR="002B0589" w:rsidRPr="00257F44">
        <w:rPr>
          <w:rFonts w:ascii="Gill Sans" w:hAnsi="Gill Sans" w:cs="Gill Sans"/>
          <w:sz w:val="22"/>
          <w:szCs w:val="22"/>
          <w:lang w:val="uk-UA"/>
        </w:rPr>
        <w:t xml:space="preserve">Зобов’язання не спричинило жодних змін, оскільки воно не було реалізовано через позицію Міністерства фінансів. Це показало, що Уряд насправді не </w:t>
      </w:r>
      <w:r w:rsidR="003C1572" w:rsidRPr="00257F44">
        <w:rPr>
          <w:rFonts w:ascii="Gill Sans" w:hAnsi="Gill Sans" w:cs="Gill Sans"/>
          <w:sz w:val="22"/>
          <w:szCs w:val="22"/>
          <w:lang w:val="uk-UA"/>
        </w:rPr>
        <w:t>сприйняв і не погодив це зобов'язання і не мав бажання його виконувати.</w:t>
      </w:r>
    </w:p>
    <w:p w14:paraId="228BB712" w14:textId="246CED59" w:rsidR="005B031B" w:rsidRPr="00257F44" w:rsidRDefault="00360740" w:rsidP="00603A53">
      <w:pPr>
        <w:spacing w:after="120"/>
        <w:rPr>
          <w:b/>
          <w:lang w:val="uk-UA"/>
        </w:rPr>
      </w:pPr>
      <w:r w:rsidRPr="00257F44">
        <w:rPr>
          <w:rFonts w:ascii="Gill Sans" w:hAnsi="Gill Sans" w:cs="Gill Sans"/>
          <w:b/>
          <w:noProof/>
          <w:sz w:val="22"/>
          <w:szCs w:val="22"/>
          <w:lang w:val="uk-UA"/>
        </w:rPr>
        <w:t>3</w:t>
      </w:r>
      <w:r w:rsidR="005B031B" w:rsidRPr="00257F44">
        <w:rPr>
          <w:rFonts w:ascii="Gill Sans" w:hAnsi="Gill Sans" w:cs="Gill Sans"/>
          <w:b/>
          <w:noProof/>
          <w:sz w:val="22"/>
          <w:szCs w:val="22"/>
          <w:lang w:val="uk-UA"/>
        </w:rPr>
        <w:t xml:space="preserve">. </w:t>
      </w:r>
      <w:r w:rsidR="004B56FA" w:rsidRPr="00257F44">
        <w:rPr>
          <w:rFonts w:ascii="Gill Sans" w:hAnsi="Gill Sans" w:cs="Gill Sans"/>
          <w:b/>
          <w:sz w:val="22"/>
          <w:szCs w:val="22"/>
          <w:lang w:val="uk-UA"/>
        </w:rPr>
        <w:t xml:space="preserve">Отримання статусу неприбутковості для ОГС </w:t>
      </w:r>
    </w:p>
    <w:p w14:paraId="7A311433" w14:textId="2E30EC78" w:rsidR="00093DAF" w:rsidRPr="00257F44" w:rsidRDefault="004B56FA" w:rsidP="00603A53">
      <w:pPr>
        <w:spacing w:after="120"/>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Доступ до інформації</w:t>
      </w:r>
      <w:r w:rsidR="00093DAF" w:rsidRPr="00257F44">
        <w:rPr>
          <w:rFonts w:ascii="Gill Sans" w:hAnsi="Gill Sans" w:cs="Gill Sans"/>
          <w:b/>
          <w:color w:val="000000" w:themeColor="text1"/>
          <w:sz w:val="22"/>
          <w:szCs w:val="22"/>
          <w:lang w:val="uk-UA"/>
        </w:rPr>
        <w:t xml:space="preserve">: </w:t>
      </w:r>
      <w:r w:rsidRPr="00257F44">
        <w:rPr>
          <w:rFonts w:ascii="Gill Sans" w:hAnsi="Gill Sans" w:cs="Gill Sans"/>
          <w:b/>
          <w:color w:val="000000" w:themeColor="text1"/>
          <w:sz w:val="22"/>
          <w:szCs w:val="22"/>
          <w:lang w:val="uk-UA"/>
        </w:rPr>
        <w:t>Обмежено</w:t>
      </w:r>
    </w:p>
    <w:p w14:paraId="64FAEA3B" w14:textId="38638F31" w:rsidR="005B031B" w:rsidRPr="00257F44" w:rsidRDefault="004B56FA" w:rsidP="00603A53">
      <w:pPr>
        <w:spacing w:after="120"/>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Громадська участь</w:t>
      </w:r>
      <w:r w:rsidR="005B031B" w:rsidRPr="00257F44">
        <w:rPr>
          <w:rFonts w:ascii="Gill Sans" w:hAnsi="Gill Sans" w:cs="Gill Sans"/>
          <w:b/>
          <w:color w:val="000000" w:themeColor="text1"/>
          <w:sz w:val="22"/>
          <w:szCs w:val="22"/>
          <w:lang w:val="uk-UA"/>
        </w:rPr>
        <w:t xml:space="preserve">: </w:t>
      </w:r>
      <w:r w:rsidRPr="00257F44">
        <w:rPr>
          <w:rFonts w:ascii="Gill Sans" w:hAnsi="Gill Sans" w:cs="Gill Sans"/>
          <w:b/>
          <w:color w:val="000000" w:themeColor="text1"/>
          <w:sz w:val="22"/>
          <w:szCs w:val="22"/>
          <w:lang w:val="uk-UA"/>
        </w:rPr>
        <w:t>Обмежено</w:t>
      </w:r>
    </w:p>
    <w:p w14:paraId="163C25B7" w14:textId="07CC3F83" w:rsidR="003C1572" w:rsidRPr="00257F44" w:rsidRDefault="00F04345" w:rsidP="00603A53">
      <w:pPr>
        <w:spacing w:after="120"/>
        <w:rPr>
          <w:rFonts w:ascii="Gill Sans" w:hAnsi="Gill Sans" w:cs="Gill Sans"/>
          <w:noProof/>
          <w:sz w:val="22"/>
          <w:szCs w:val="22"/>
          <w:lang w:val="uk-UA"/>
        </w:rPr>
      </w:pPr>
      <w:r w:rsidRPr="00257F44">
        <w:rPr>
          <w:rFonts w:ascii="Gill Sans" w:hAnsi="Gill Sans" w:cs="Gill Sans"/>
          <w:noProof/>
          <w:sz w:val="22"/>
          <w:szCs w:val="22"/>
          <w:lang w:val="uk-UA"/>
        </w:rPr>
        <w:t>Зобов’язання було спрямовано на впорядкування процедури отримання статусу неприбутковості</w:t>
      </w:r>
      <w:r w:rsidR="00AE32CE" w:rsidRPr="00257F44">
        <w:rPr>
          <w:rFonts w:ascii="Gill Sans" w:hAnsi="Gill Sans" w:cs="Gill Sans"/>
          <w:noProof/>
          <w:sz w:val="22"/>
          <w:szCs w:val="22"/>
          <w:lang w:val="uk-UA"/>
        </w:rPr>
        <w:t xml:space="preserve"> для ОГС. Новий закон про державну реєстрацію юридичних осіб запровадив </w:t>
      </w:r>
      <w:r w:rsidR="00D11FD7" w:rsidRPr="00257F44">
        <w:rPr>
          <w:rFonts w:ascii="Gill Sans" w:hAnsi="Gill Sans" w:cs="Gill Sans"/>
          <w:noProof/>
          <w:sz w:val="22"/>
          <w:szCs w:val="22"/>
          <w:lang w:val="uk-UA"/>
        </w:rPr>
        <w:t>спосіб “єдиного вікна” для реєстрації нових формувань як неприбуткових організацій. Уряд затвердив необхідні підзаконні акти. Проте, нові положення законодавства не були повною мірою реалізовані на практиці. Якби їх було реалізовано,</w:t>
      </w:r>
      <w:r w:rsidR="00D47A3C" w:rsidRPr="00257F44">
        <w:rPr>
          <w:rFonts w:ascii="Gill Sans" w:hAnsi="Gill Sans" w:cs="Gill Sans"/>
          <w:noProof/>
          <w:sz w:val="22"/>
          <w:szCs w:val="22"/>
          <w:lang w:val="uk-UA"/>
        </w:rPr>
        <w:t xml:space="preserve"> то це значною мірою спростило б реєстрацію ОГС та обмежило б їхні контакти з державними органами (виключивши пряму взаємодію з податковими органами). Ц</w:t>
      </w:r>
      <w:r w:rsidR="00544F00" w:rsidRPr="00257F44">
        <w:rPr>
          <w:rFonts w:ascii="Gill Sans" w:hAnsi="Gill Sans" w:cs="Gill Sans"/>
          <w:noProof/>
          <w:sz w:val="22"/>
          <w:szCs w:val="22"/>
          <w:lang w:val="uk-UA"/>
        </w:rPr>
        <w:t xml:space="preserve">е </w:t>
      </w:r>
      <w:r w:rsidR="00D47A3C" w:rsidRPr="00257F44">
        <w:rPr>
          <w:rFonts w:ascii="Gill Sans" w:hAnsi="Gill Sans" w:cs="Gill Sans"/>
          <w:noProof/>
          <w:sz w:val="22"/>
          <w:szCs w:val="22"/>
          <w:lang w:val="uk-UA"/>
        </w:rPr>
        <w:t xml:space="preserve">зменшило </w:t>
      </w:r>
      <w:r w:rsidR="00544F00" w:rsidRPr="00257F44">
        <w:rPr>
          <w:rFonts w:ascii="Gill Sans" w:hAnsi="Gill Sans" w:cs="Gill Sans"/>
          <w:noProof/>
          <w:sz w:val="22"/>
          <w:szCs w:val="22"/>
          <w:lang w:val="uk-UA"/>
        </w:rPr>
        <w:t xml:space="preserve">б </w:t>
      </w:r>
      <w:r w:rsidR="00D47A3C" w:rsidRPr="00257F44">
        <w:rPr>
          <w:rFonts w:ascii="Gill Sans" w:hAnsi="Gill Sans" w:cs="Gill Sans"/>
          <w:noProof/>
          <w:sz w:val="22"/>
          <w:szCs w:val="22"/>
          <w:lang w:val="uk-UA"/>
        </w:rPr>
        <w:t xml:space="preserve">можливості для корупції та бюрократичної тяганини. Ті частини зобов’язання, які було </w:t>
      </w:r>
      <w:r w:rsidR="00B91241" w:rsidRPr="00257F44">
        <w:rPr>
          <w:rFonts w:ascii="Gill Sans" w:hAnsi="Gill Sans" w:cs="Gill Sans"/>
          <w:noProof/>
          <w:sz w:val="22"/>
          <w:szCs w:val="22"/>
          <w:lang w:val="uk-UA"/>
        </w:rPr>
        <w:t xml:space="preserve">виконано </w:t>
      </w:r>
      <w:r w:rsidR="00D47A3C" w:rsidRPr="00257F44">
        <w:rPr>
          <w:rFonts w:ascii="Gill Sans" w:hAnsi="Gill Sans" w:cs="Gill Sans"/>
          <w:noProof/>
          <w:sz w:val="22"/>
          <w:szCs w:val="22"/>
          <w:lang w:val="uk-UA"/>
        </w:rPr>
        <w:t>(визначення термінів розгляду заяв про отримання статусу неприбутковості,</w:t>
      </w:r>
      <w:r w:rsidR="00FC1657" w:rsidRPr="00257F44">
        <w:rPr>
          <w:rFonts w:ascii="Gill Sans" w:hAnsi="Gill Sans" w:cs="Gill Sans"/>
          <w:noProof/>
          <w:sz w:val="22"/>
          <w:szCs w:val="22"/>
          <w:lang w:val="uk-UA"/>
        </w:rPr>
        <w:t xml:space="preserve"> визначення підстав для відмови в такому статусі, вільний доступ в мережі інтернет до Реєстру неприбуткових організацій</w:t>
      </w:r>
      <w:r w:rsidR="00D47A3C" w:rsidRPr="00257F44">
        <w:rPr>
          <w:rFonts w:ascii="Gill Sans" w:hAnsi="Gill Sans" w:cs="Gill Sans"/>
          <w:noProof/>
          <w:sz w:val="22"/>
          <w:szCs w:val="22"/>
          <w:lang w:val="uk-UA"/>
        </w:rPr>
        <w:t>),</w:t>
      </w:r>
      <w:r w:rsidR="00FC1657" w:rsidRPr="00257F44">
        <w:rPr>
          <w:rFonts w:ascii="Gill Sans" w:hAnsi="Gill Sans" w:cs="Gill Sans"/>
          <w:noProof/>
          <w:sz w:val="22"/>
          <w:szCs w:val="22"/>
          <w:lang w:val="uk-UA"/>
        </w:rPr>
        <w:t xml:space="preserve"> дійсно покращили операційне середовище для ОГС шляхом впорядкування відповідних процедур та створивши додаткові можливості для громадської участі, хоча й лише незначною мірою. Вони також покращили доступ до інформації, оскільки Реєстр неприбуткових установ та організацій став доступним онлайн.</w:t>
      </w:r>
    </w:p>
    <w:p w14:paraId="6C657AD7" w14:textId="77777777" w:rsidR="0042522E" w:rsidRPr="00257F44" w:rsidRDefault="0042522E" w:rsidP="00603A53">
      <w:pPr>
        <w:pStyle w:val="Heading3"/>
        <w:spacing w:after="120"/>
        <w:rPr>
          <w:lang w:val="uk-UA"/>
        </w:rPr>
      </w:pPr>
      <w:r w:rsidRPr="00257F44">
        <w:rPr>
          <w:lang w:val="uk-UA"/>
        </w:rPr>
        <w:t>Чи перенесено до наступного плану дій?</w:t>
      </w:r>
    </w:p>
    <w:p w14:paraId="3376195A" w14:textId="612B042E" w:rsidR="005B031B" w:rsidRPr="00257F44" w:rsidRDefault="00360740" w:rsidP="00603A53">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2</w:t>
      </w:r>
      <w:r w:rsidR="005B031B" w:rsidRPr="00257F44">
        <w:rPr>
          <w:rFonts w:ascii="Gill Sans" w:hAnsi="Gill Sans" w:cs="Gill Sans"/>
          <w:b/>
          <w:noProof/>
          <w:sz w:val="22"/>
          <w:szCs w:val="22"/>
          <w:lang w:val="uk-UA"/>
        </w:rPr>
        <w:t xml:space="preserve">. </w:t>
      </w:r>
      <w:r w:rsidR="004B56FA" w:rsidRPr="00257F44">
        <w:rPr>
          <w:rFonts w:ascii="Gill Sans" w:hAnsi="Gill Sans" w:cs="Gill Sans"/>
          <w:b/>
          <w:sz w:val="22"/>
          <w:szCs w:val="22"/>
          <w:lang w:val="uk-UA"/>
        </w:rPr>
        <w:t>Фінансування благодійних організацій</w:t>
      </w:r>
    </w:p>
    <w:p w14:paraId="4EEA5682" w14:textId="29B0DD79" w:rsidR="00B91241" w:rsidRPr="00257F44" w:rsidRDefault="008E33E4" w:rsidP="00603A53">
      <w:pPr>
        <w:spacing w:after="120"/>
        <w:rPr>
          <w:rFonts w:ascii="Gill Sans" w:hAnsi="Gill Sans" w:cs="Gill Sans"/>
          <w:sz w:val="22"/>
          <w:szCs w:val="22"/>
          <w:lang w:val="uk-UA"/>
        </w:rPr>
      </w:pPr>
      <w:r w:rsidRPr="00257F44">
        <w:rPr>
          <w:rFonts w:ascii="Gill Sans" w:hAnsi="Gill Sans" w:cs="Gill Sans"/>
          <w:sz w:val="22"/>
          <w:szCs w:val="22"/>
          <w:lang w:val="uk-UA"/>
        </w:rPr>
        <w:t>Це з</w:t>
      </w:r>
      <w:r w:rsidR="003F0D03" w:rsidRPr="00257F44">
        <w:rPr>
          <w:rFonts w:ascii="Gill Sans" w:hAnsi="Gill Sans" w:cs="Gill Sans"/>
          <w:sz w:val="22"/>
          <w:szCs w:val="22"/>
          <w:lang w:val="uk-UA"/>
        </w:rPr>
        <w:t>обов’язання не було перенесено до нового</w:t>
      </w:r>
      <w:r w:rsidRPr="00257F44">
        <w:rPr>
          <w:rFonts w:ascii="Gill Sans" w:hAnsi="Gill Sans" w:cs="Gill Sans"/>
          <w:sz w:val="22"/>
          <w:szCs w:val="22"/>
          <w:lang w:val="uk-UA"/>
        </w:rPr>
        <w:t xml:space="preserve"> план</w:t>
      </w:r>
      <w:r w:rsidR="003F0D03" w:rsidRPr="00257F44">
        <w:rPr>
          <w:rFonts w:ascii="Gill Sans" w:hAnsi="Gill Sans" w:cs="Gill Sans"/>
          <w:sz w:val="22"/>
          <w:szCs w:val="22"/>
          <w:lang w:val="uk-UA"/>
        </w:rPr>
        <w:t>у</w:t>
      </w:r>
      <w:r w:rsidRPr="00257F44">
        <w:rPr>
          <w:rFonts w:ascii="Gill Sans" w:hAnsi="Gill Sans" w:cs="Gill Sans"/>
          <w:sz w:val="22"/>
          <w:szCs w:val="22"/>
          <w:lang w:val="uk-UA"/>
        </w:rPr>
        <w:t xml:space="preserve"> дій. </w:t>
      </w:r>
      <w:r w:rsidR="003F0D03" w:rsidRPr="00257F44">
        <w:rPr>
          <w:rFonts w:ascii="Gill Sans" w:hAnsi="Gill Sans" w:cs="Gill Sans"/>
          <w:sz w:val="22"/>
          <w:szCs w:val="22"/>
          <w:lang w:val="uk-UA"/>
        </w:rPr>
        <w:t>Схоже</w:t>
      </w:r>
      <w:r w:rsidR="00AC355F" w:rsidRPr="00257F44">
        <w:rPr>
          <w:rFonts w:ascii="Gill Sans" w:hAnsi="Gill Sans" w:cs="Gill Sans"/>
          <w:sz w:val="22"/>
          <w:szCs w:val="22"/>
          <w:lang w:val="uk-UA"/>
        </w:rPr>
        <w:t xml:space="preserve">, </w:t>
      </w:r>
      <w:r w:rsidR="003F0D03" w:rsidRPr="00257F44">
        <w:rPr>
          <w:rFonts w:ascii="Gill Sans" w:hAnsi="Gill Sans" w:cs="Gill Sans"/>
          <w:sz w:val="22"/>
          <w:szCs w:val="22"/>
          <w:lang w:val="uk-UA"/>
        </w:rPr>
        <w:t>що в</w:t>
      </w:r>
      <w:r w:rsidR="00AC355F" w:rsidRPr="00257F44">
        <w:rPr>
          <w:rFonts w:ascii="Gill Sans" w:hAnsi="Gill Sans" w:cs="Gill Sans"/>
          <w:sz w:val="22"/>
          <w:szCs w:val="22"/>
          <w:lang w:val="uk-UA"/>
        </w:rPr>
        <w:t xml:space="preserve"> такому формулюванні це зобов’язання суперечить пріоритетам політики уряду і тому не </w:t>
      </w:r>
      <w:r w:rsidR="003200CE" w:rsidRPr="00257F44">
        <w:rPr>
          <w:rFonts w:ascii="Gill Sans" w:hAnsi="Gill Sans" w:cs="Gill Sans"/>
          <w:sz w:val="22"/>
          <w:szCs w:val="22"/>
          <w:lang w:val="uk-UA"/>
        </w:rPr>
        <w:t xml:space="preserve">буде далі підтримуватися. Уряду слід комплексно оцінити операційне середовище для ОГС в частині оподаткування та джерел фінансування </w:t>
      </w:r>
      <w:r w:rsidR="003F0D03" w:rsidRPr="00257F44">
        <w:rPr>
          <w:rFonts w:ascii="Gill Sans" w:hAnsi="Gill Sans" w:cs="Gill Sans"/>
          <w:sz w:val="22"/>
          <w:szCs w:val="22"/>
          <w:lang w:val="uk-UA"/>
        </w:rPr>
        <w:t xml:space="preserve">і </w:t>
      </w:r>
      <w:r w:rsidR="003200CE" w:rsidRPr="00257F44">
        <w:rPr>
          <w:rFonts w:ascii="Gill Sans" w:hAnsi="Gill Sans" w:cs="Gill Sans"/>
          <w:sz w:val="22"/>
          <w:szCs w:val="22"/>
          <w:lang w:val="uk-UA"/>
        </w:rPr>
        <w:t>включити чіткі зобов’язання щодо покращення цього середовища в майбутні плани дій.</w:t>
      </w:r>
    </w:p>
    <w:p w14:paraId="136005BD" w14:textId="3734F7D2" w:rsidR="00360740" w:rsidRPr="00257F44" w:rsidRDefault="00360740" w:rsidP="00603A53">
      <w:pPr>
        <w:spacing w:after="120"/>
        <w:rPr>
          <w:b/>
          <w:lang w:val="uk-UA"/>
        </w:rPr>
      </w:pPr>
      <w:r w:rsidRPr="00257F44">
        <w:rPr>
          <w:rFonts w:ascii="Gill Sans" w:hAnsi="Gill Sans" w:cs="Gill Sans"/>
          <w:b/>
          <w:noProof/>
          <w:sz w:val="22"/>
          <w:szCs w:val="22"/>
          <w:lang w:val="uk-UA"/>
        </w:rPr>
        <w:t xml:space="preserve">3. </w:t>
      </w:r>
      <w:r w:rsidR="004B56FA" w:rsidRPr="00257F44">
        <w:rPr>
          <w:rFonts w:ascii="Gill Sans" w:hAnsi="Gill Sans" w:cs="Gill Sans"/>
          <w:b/>
          <w:sz w:val="22"/>
          <w:szCs w:val="22"/>
          <w:lang w:val="uk-UA"/>
        </w:rPr>
        <w:t xml:space="preserve">Отримання статусу неприбутковості для ОГС </w:t>
      </w:r>
    </w:p>
    <w:p w14:paraId="1D9D8178" w14:textId="3F95A4B7" w:rsidR="005A17F4" w:rsidRPr="00257F44" w:rsidRDefault="005A17F4" w:rsidP="00603A53">
      <w:pPr>
        <w:spacing w:after="120"/>
        <w:rPr>
          <w:rFonts w:ascii="Gill Sans" w:hAnsi="Gill Sans" w:cs="Gill Sans"/>
          <w:noProof/>
          <w:sz w:val="22"/>
          <w:szCs w:val="22"/>
          <w:lang w:val="uk-UA"/>
        </w:rPr>
      </w:pPr>
      <w:r w:rsidRPr="00257F44">
        <w:rPr>
          <w:rFonts w:ascii="Gill Sans" w:hAnsi="Gill Sans" w:cs="Gill Sans"/>
          <w:noProof/>
          <w:sz w:val="22"/>
          <w:szCs w:val="22"/>
          <w:lang w:val="uk-UA"/>
        </w:rPr>
        <w:lastRenderedPageBreak/>
        <w:t xml:space="preserve">Це зобов’язання не було включено в новий план лій. </w:t>
      </w:r>
      <w:r w:rsidR="00484FD7" w:rsidRPr="00257F44">
        <w:rPr>
          <w:rFonts w:ascii="Gill Sans" w:hAnsi="Gill Sans" w:cs="Gill Sans"/>
          <w:noProof/>
          <w:sz w:val="22"/>
          <w:szCs w:val="22"/>
          <w:lang w:val="uk-UA"/>
        </w:rPr>
        <w:t xml:space="preserve">Уряду слід забезпечити реалізацію на практиці новосхваленого законодавства, вживши </w:t>
      </w:r>
      <w:r w:rsidR="003F0D03" w:rsidRPr="00257F44">
        <w:rPr>
          <w:rFonts w:ascii="Gill Sans" w:hAnsi="Gill Sans" w:cs="Gill Sans"/>
          <w:noProof/>
          <w:sz w:val="22"/>
          <w:szCs w:val="22"/>
          <w:lang w:val="uk-UA"/>
        </w:rPr>
        <w:t xml:space="preserve">для цього </w:t>
      </w:r>
      <w:r w:rsidR="00484FD7" w:rsidRPr="00257F44">
        <w:rPr>
          <w:rFonts w:ascii="Gill Sans" w:hAnsi="Gill Sans" w:cs="Gill Sans"/>
          <w:noProof/>
          <w:sz w:val="22"/>
          <w:szCs w:val="22"/>
          <w:lang w:val="uk-UA"/>
        </w:rPr>
        <w:t>ус</w:t>
      </w:r>
      <w:r w:rsidR="003F0D03" w:rsidRPr="00257F44">
        <w:rPr>
          <w:rFonts w:ascii="Gill Sans" w:hAnsi="Gill Sans" w:cs="Gill Sans"/>
          <w:noProof/>
          <w:sz w:val="22"/>
          <w:szCs w:val="22"/>
          <w:lang w:val="uk-UA"/>
        </w:rPr>
        <w:t>і</w:t>
      </w:r>
      <w:r w:rsidR="00484FD7" w:rsidRPr="00257F44">
        <w:rPr>
          <w:rFonts w:ascii="Gill Sans" w:hAnsi="Gill Sans" w:cs="Gill Sans"/>
          <w:noProof/>
          <w:sz w:val="22"/>
          <w:szCs w:val="22"/>
          <w:lang w:val="uk-UA"/>
        </w:rPr>
        <w:t>х потрібних організаційних та технічних заходів.</w:t>
      </w:r>
    </w:p>
    <w:p w14:paraId="3E2375E6" w14:textId="77777777" w:rsidR="00317D08" w:rsidRPr="00257F44" w:rsidRDefault="00317D08" w:rsidP="00603A53">
      <w:pPr>
        <w:spacing w:after="120"/>
        <w:rPr>
          <w:noProof/>
          <w:lang w:val="uk-UA"/>
        </w:rPr>
        <w:sectPr w:rsidR="00317D08" w:rsidRPr="00257F44" w:rsidSect="002A2966">
          <w:endnotePr>
            <w:numFmt w:val="decimal"/>
            <w:numRestart w:val="eachSect"/>
          </w:endnotePr>
          <w:pgSz w:w="11907" w:h="16839" w:code="9"/>
          <w:pgMar w:top="1417" w:right="1417" w:bottom="1417" w:left="1417" w:header="0" w:footer="0" w:gutter="0"/>
          <w:cols w:space="708"/>
          <w:docGrid w:linePitch="360"/>
        </w:sectPr>
      </w:pPr>
    </w:p>
    <w:p w14:paraId="1CC79624" w14:textId="77777777" w:rsidR="00D83D71" w:rsidRPr="00257F44" w:rsidRDefault="00D83D71" w:rsidP="00D83D71">
      <w:pPr>
        <w:pStyle w:val="Heading2"/>
        <w:spacing w:before="0" w:after="120"/>
        <w:rPr>
          <w:noProof/>
          <w:lang w:val="uk-UA"/>
        </w:rPr>
      </w:pPr>
      <w:bookmarkStart w:id="2" w:name="_Toc315983732"/>
      <w:r w:rsidRPr="00257F44">
        <w:rPr>
          <w:lang w:val="uk-UA"/>
        </w:rPr>
        <w:lastRenderedPageBreak/>
        <w:t>Тема 2. Забезпечення доступу до інформації</w:t>
      </w:r>
      <w:bookmarkEnd w:id="2"/>
    </w:p>
    <w:p w14:paraId="2FD7A2FE" w14:textId="77777777" w:rsidR="00D83D71" w:rsidRPr="00257F44" w:rsidRDefault="00D83D71" w:rsidP="00D83D71">
      <w:pPr>
        <w:pStyle w:val="Normalrglronly"/>
        <w:rPr>
          <w:b/>
          <w:lang w:val="uk-UA"/>
        </w:rPr>
      </w:pPr>
      <w:bookmarkStart w:id="3" w:name="_Toc437543861"/>
      <w:r w:rsidRPr="00257F44">
        <w:rPr>
          <w:b/>
          <w:lang w:val="uk-UA"/>
        </w:rPr>
        <w:t>5.1. Визначити правила для оброблення службової інформації</w:t>
      </w:r>
    </w:p>
    <w:bookmarkEnd w:id="3"/>
    <w:p w14:paraId="7E94C1C9" w14:textId="77777777" w:rsidR="00D83D71" w:rsidRPr="00257F44" w:rsidRDefault="00D83D71" w:rsidP="00D83D71">
      <w:pPr>
        <w:spacing w:after="120"/>
        <w:rPr>
          <w:rFonts w:ascii="Gill Sans" w:hAnsi="Gill Sans" w:cs="Gill Sans"/>
          <w:i/>
          <w:noProof/>
          <w:sz w:val="22"/>
          <w:szCs w:val="22"/>
          <w:lang w:val="uk-UA"/>
        </w:rPr>
      </w:pPr>
      <w:r w:rsidRPr="00257F44">
        <w:rPr>
          <w:rFonts w:ascii="Gill Sans" w:hAnsi="Gill Sans" w:cs="Gill Sans"/>
          <w:b/>
          <w:bCs/>
          <w:iCs/>
          <w:noProof/>
          <w:sz w:val="22"/>
          <w:szCs w:val="22"/>
          <w:lang w:val="uk-UA"/>
        </w:rPr>
        <w:t>Тект зобов’язання:</w:t>
      </w:r>
      <w:r w:rsidRPr="00257F44">
        <w:rPr>
          <w:rFonts w:ascii="Gill Sans" w:hAnsi="Gill Sans" w:cs="Gill Sans"/>
          <w:i/>
          <w:noProof/>
          <w:sz w:val="22"/>
          <w:szCs w:val="22"/>
          <w:lang w:val="uk-UA"/>
        </w:rPr>
        <w:t xml:space="preserve"> 5.1. Забезпечення безперешкодного доступу громадськості до публічної інформації шляхом: підготовки та подання в установленому порядку Кабінетові Міністрів України проекту постанови щодо затвердження порядку ведення обліку, зберігання і використання документів та інших матеріальних носіїв інформації, які містять службову інформацію, зібрану в процесі оперативно-розшукової, контррозвідувальної діяльності, у сфері оборони держави.</w:t>
      </w:r>
    </w:p>
    <w:p w14:paraId="2BDB4238" w14:textId="77777777" w:rsidR="00D83D71" w:rsidRPr="00257F44" w:rsidRDefault="00D83D71" w:rsidP="00D83D71">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прийняття відповідної постанови Кабінету Міністрів України.</w:t>
      </w:r>
    </w:p>
    <w:p w14:paraId="15881E1C" w14:textId="77777777" w:rsidR="00D83D71" w:rsidRPr="00257F44" w:rsidRDefault="00D83D71" w:rsidP="00D83D71">
      <w:pPr>
        <w:spacing w:after="120"/>
        <w:rPr>
          <w:rFonts w:ascii="Gill Sans" w:hAnsi="Gill Sans" w:cs="Gill Sans"/>
          <w:sz w:val="22"/>
          <w:szCs w:val="22"/>
          <w:lang w:val="uk-UA"/>
        </w:rPr>
      </w:pPr>
      <w:r w:rsidRPr="00257F44">
        <w:rPr>
          <w:rFonts w:ascii="Gill Sans" w:hAnsi="Gill Sans" w:cs="Gill Sans"/>
          <w:sz w:val="22"/>
          <w:szCs w:val="22"/>
          <w:lang w:val="uk-UA"/>
        </w:rPr>
        <w:t>Головна інституція, відповідальна за виконання: Державна архівна служба.</w:t>
      </w:r>
    </w:p>
    <w:p w14:paraId="21F7E1C1" w14:textId="77777777" w:rsidR="00D83D71" w:rsidRPr="00257F44" w:rsidRDefault="00D83D71" w:rsidP="00D83D71">
      <w:pPr>
        <w:spacing w:after="120"/>
        <w:rPr>
          <w:rFonts w:ascii="Gill Sans" w:hAnsi="Gill Sans" w:cs="Gill Sans"/>
          <w:sz w:val="22"/>
          <w:szCs w:val="22"/>
          <w:lang w:val="uk-UA"/>
        </w:rPr>
      </w:pPr>
      <w:r w:rsidRPr="00257F44">
        <w:rPr>
          <w:rFonts w:ascii="Gill Sans" w:hAnsi="Gill Sans" w:cs="Gill Sans"/>
          <w:sz w:val="22"/>
          <w:szCs w:val="22"/>
          <w:lang w:val="uk-UA"/>
        </w:rPr>
        <w:t>Інші виконавці: Міністерство юстиції, Міністерство внутрішніх справ, Міністерство оборони, Служба безпеки України, Адміністрація Державної служби спеціального зв’язку та захисту інформації, Державний комітет телебачення і радіомовлення, Міністерство фінансів, Міністерство економічного розвитку, Служба зовнішньої розвідки, невизначені організації громадянського суспільства та міжнародні організації.</w:t>
      </w:r>
    </w:p>
    <w:p w14:paraId="3D9C6AD3" w14:textId="77777777" w:rsidR="00D83D71" w:rsidRPr="00257F44" w:rsidRDefault="00D83D71" w:rsidP="00D83D71">
      <w:pPr>
        <w:spacing w:after="120"/>
        <w:rPr>
          <w:rFonts w:ascii="Gill Sans" w:hAnsi="Gill Sans" w:cs="Gill Sans"/>
          <w:sz w:val="22"/>
          <w:szCs w:val="22"/>
          <w:lang w:val="uk-UA"/>
        </w:rPr>
      </w:pPr>
      <w:r w:rsidRPr="00257F44">
        <w:rPr>
          <w:rFonts w:ascii="Gill Sans" w:hAnsi="Gill Sans" w:cs="Gill Sans"/>
          <w:sz w:val="22"/>
          <w:szCs w:val="22"/>
          <w:lang w:val="uk-UA"/>
        </w:rPr>
        <w:t>Дата початку: Не визначено</w:t>
      </w:r>
      <w:r w:rsidRPr="00257F44">
        <w:rPr>
          <w:rFonts w:ascii="Gill Sans" w:hAnsi="Gill Sans" w:cs="Gill Sans"/>
          <w:sz w:val="22"/>
          <w:szCs w:val="22"/>
          <w:lang w:val="uk-UA"/>
        </w:rPr>
        <w:tab/>
      </w:r>
      <w:r w:rsidRPr="00257F44">
        <w:rPr>
          <w:rFonts w:ascii="Gill Sans" w:hAnsi="Gill Sans" w:cs="Gill Sans"/>
          <w:sz w:val="22"/>
          <w:szCs w:val="22"/>
          <w:lang w:val="uk-UA"/>
        </w:rPr>
        <w:tab/>
      </w:r>
      <w:r w:rsidRPr="00257F44">
        <w:rPr>
          <w:rFonts w:ascii="Gill Sans" w:hAnsi="Gill Sans" w:cs="Gill Sans"/>
          <w:sz w:val="22"/>
          <w:szCs w:val="22"/>
          <w:lang w:val="uk-UA"/>
        </w:rPr>
        <w:tab/>
      </w:r>
      <w:r w:rsidRPr="00257F44">
        <w:rPr>
          <w:rFonts w:ascii="Gill Sans" w:hAnsi="Gill Sans" w:cs="Gill Sans"/>
          <w:sz w:val="22"/>
          <w:szCs w:val="22"/>
          <w:lang w:val="uk-UA"/>
        </w:rPr>
        <w:tab/>
      </w:r>
      <w:r w:rsidRPr="00257F44">
        <w:rPr>
          <w:rFonts w:ascii="Gill Sans" w:hAnsi="Gill Sans" w:cs="Gill Sans"/>
          <w:sz w:val="22"/>
          <w:szCs w:val="22"/>
          <w:lang w:val="uk-UA"/>
        </w:rPr>
        <w:tab/>
        <w:t>Термін виконання: 31 січня 2015 р.</w:t>
      </w:r>
    </w:p>
    <w:p w14:paraId="451DA173" w14:textId="77777777" w:rsidR="00D83D71" w:rsidRPr="00257F44" w:rsidRDefault="00D83D71" w:rsidP="00163080">
      <w:pPr>
        <w:pStyle w:val="Normalrglronly"/>
        <w:spacing w:after="0"/>
        <w:rPr>
          <w:lang w:val="uk-UA"/>
        </w:rPr>
      </w:pPr>
    </w:p>
    <w:tbl>
      <w:tblPr>
        <w:tblW w:w="10368"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494"/>
        <w:gridCol w:w="431"/>
        <w:gridCol w:w="351"/>
        <w:gridCol w:w="351"/>
        <w:gridCol w:w="375"/>
        <w:gridCol w:w="374"/>
        <w:gridCol w:w="375"/>
        <w:gridCol w:w="861"/>
        <w:gridCol w:w="341"/>
        <w:gridCol w:w="349"/>
        <w:gridCol w:w="430"/>
        <w:gridCol w:w="349"/>
        <w:gridCol w:w="486"/>
        <w:gridCol w:w="537"/>
        <w:gridCol w:w="537"/>
        <w:gridCol w:w="418"/>
        <w:gridCol w:w="323"/>
        <w:gridCol w:w="371"/>
        <w:gridCol w:w="430"/>
        <w:gridCol w:w="349"/>
        <w:gridCol w:w="430"/>
      </w:tblGrid>
      <w:tr w:rsidR="00B9161F" w:rsidRPr="00257F44" w14:paraId="2CF3BB4A" w14:textId="77777777" w:rsidTr="00B9161F">
        <w:trPr>
          <w:trHeight w:val="405"/>
        </w:trPr>
        <w:tc>
          <w:tcPr>
            <w:tcW w:w="1406" w:type="dxa"/>
            <w:tcBorders>
              <w:top w:val="single" w:sz="18" w:space="0" w:color="FFFFFF"/>
              <w:left w:val="single" w:sz="4" w:space="0" w:color="FFFFFF"/>
              <w:right w:val="single" w:sz="18" w:space="0" w:color="FFFFFF"/>
            </w:tcBorders>
            <w:shd w:val="clear" w:color="auto" w:fill="000000"/>
          </w:tcPr>
          <w:p w14:paraId="19BF1513" w14:textId="14A86ACF" w:rsidR="00B9161F" w:rsidRPr="00257F44" w:rsidRDefault="00B9161F" w:rsidP="00131C34">
            <w:pPr>
              <w:rPr>
                <w:rFonts w:ascii="Gill Sans" w:hAnsi="Gill Sans" w:cs="Gill Sans"/>
                <w:color w:val="FFFFFF" w:themeColor="background1"/>
                <w:sz w:val="22"/>
                <w:szCs w:val="22"/>
                <w:lang w:val="uk-UA"/>
              </w:rPr>
            </w:pPr>
            <w:r w:rsidRPr="00257F44">
              <w:rPr>
                <w:rFonts w:ascii="Gill Sans" w:hAnsi="Gill Sans" w:cs="Gill Sans"/>
                <w:sz w:val="20"/>
                <w:szCs w:val="20"/>
                <w:lang w:val="uk-UA"/>
              </w:rPr>
              <w:t>Опис зобов’язання</w:t>
            </w:r>
          </w:p>
        </w:tc>
        <w:tc>
          <w:tcPr>
            <w:tcW w:w="1627" w:type="dxa"/>
            <w:gridSpan w:val="4"/>
            <w:vMerge w:val="restart"/>
            <w:tcBorders>
              <w:top w:val="single" w:sz="18" w:space="0" w:color="FFFFFF"/>
              <w:left w:val="single" w:sz="18" w:space="0" w:color="FFFFFF"/>
              <w:right w:val="single" w:sz="18" w:space="0" w:color="FFFFFF"/>
            </w:tcBorders>
            <w:shd w:val="clear" w:color="auto" w:fill="D6E3BC"/>
          </w:tcPr>
          <w:p w14:paraId="529827D5" w14:textId="1AB93D53"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Конкретність</w:t>
            </w:r>
          </w:p>
        </w:tc>
        <w:tc>
          <w:tcPr>
            <w:tcW w:w="1985" w:type="dxa"/>
            <w:gridSpan w:val="4"/>
            <w:vMerge w:val="restart"/>
            <w:tcBorders>
              <w:top w:val="single" w:sz="18" w:space="0" w:color="FFFFFF"/>
              <w:left w:val="single" w:sz="18" w:space="0" w:color="FFFFFF"/>
              <w:right w:val="single" w:sz="18" w:space="0" w:color="FFFFFF"/>
            </w:tcBorders>
            <w:shd w:val="clear" w:color="auto" w:fill="FBD4B4"/>
          </w:tcPr>
          <w:p w14:paraId="323CFD7B" w14:textId="728784E7"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Відповідність цінностям ПВУ (як сформульовано)</w:t>
            </w:r>
          </w:p>
        </w:tc>
        <w:tc>
          <w:tcPr>
            <w:tcW w:w="1469" w:type="dxa"/>
            <w:gridSpan w:val="4"/>
            <w:vMerge w:val="restart"/>
            <w:tcBorders>
              <w:top w:val="single" w:sz="18" w:space="0" w:color="FFFFFF"/>
              <w:left w:val="single" w:sz="18" w:space="0" w:color="FFFFFF"/>
              <w:right w:val="single" w:sz="18" w:space="0" w:color="FFFFFF"/>
            </w:tcBorders>
            <w:shd w:val="clear" w:color="auto" w:fill="CCC0D9"/>
          </w:tcPr>
          <w:p w14:paraId="68D52F1F" w14:textId="0011736E"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Потенційний вплив</w:t>
            </w:r>
          </w:p>
        </w:tc>
        <w:tc>
          <w:tcPr>
            <w:tcW w:w="1023" w:type="dxa"/>
            <w:gridSpan w:val="2"/>
            <w:vMerge w:val="restart"/>
            <w:tcBorders>
              <w:top w:val="single" w:sz="18" w:space="0" w:color="FFFFFF"/>
              <w:left w:val="single" w:sz="18" w:space="0" w:color="FFFFFF"/>
              <w:right w:val="single" w:sz="2" w:space="0" w:color="FFFFFF"/>
            </w:tcBorders>
            <w:shd w:val="clear" w:color="auto" w:fill="B8CCE4"/>
          </w:tcPr>
          <w:p w14:paraId="557DB77D" w14:textId="084E8137"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Стан вико-нання</w:t>
            </w:r>
          </w:p>
        </w:tc>
        <w:tc>
          <w:tcPr>
            <w:tcW w:w="955"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52F52095" w14:textId="4809C88C"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Про-міжний</w:t>
            </w:r>
          </w:p>
        </w:tc>
        <w:tc>
          <w:tcPr>
            <w:tcW w:w="1903" w:type="dxa"/>
            <w:gridSpan w:val="5"/>
            <w:vMerge w:val="restart"/>
            <w:tcBorders>
              <w:top w:val="single" w:sz="18" w:space="0" w:color="FFFFFF"/>
              <w:left w:val="single" w:sz="18" w:space="0" w:color="FFFFFF"/>
              <w:right w:val="single" w:sz="18" w:space="0" w:color="FFFFFF"/>
            </w:tcBorders>
            <w:shd w:val="clear" w:color="auto" w:fill="D99594"/>
          </w:tcPr>
          <w:p w14:paraId="20EFDCBB" w14:textId="7A3D27D8"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Чи відкрило це уряд?</w:t>
            </w:r>
          </w:p>
        </w:tc>
      </w:tr>
      <w:tr w:rsidR="00131C34" w:rsidRPr="00257F44" w14:paraId="494D806D" w14:textId="77777777" w:rsidTr="00B9161F">
        <w:trPr>
          <w:trHeight w:val="373"/>
        </w:trPr>
        <w:tc>
          <w:tcPr>
            <w:tcW w:w="1406" w:type="dxa"/>
            <w:tcBorders>
              <w:left w:val="single" w:sz="4" w:space="0" w:color="FFFFFF"/>
              <w:right w:val="single" w:sz="18" w:space="0" w:color="FFFFFF"/>
            </w:tcBorders>
            <w:shd w:val="clear" w:color="auto" w:fill="000000"/>
          </w:tcPr>
          <w:p w14:paraId="1D64D90E" w14:textId="05D3BEA8" w:rsidR="00131C34" w:rsidRPr="00257F44" w:rsidRDefault="00131C34" w:rsidP="00131C34">
            <w:pPr>
              <w:rPr>
                <w:rFonts w:ascii="Gill Sans" w:hAnsi="Gill Sans" w:cs="Gill Sans"/>
                <w:color w:val="FFFFFF" w:themeColor="background1"/>
                <w:sz w:val="22"/>
                <w:szCs w:val="22"/>
                <w:lang w:val="uk-UA"/>
              </w:rPr>
            </w:pPr>
          </w:p>
        </w:tc>
        <w:tc>
          <w:tcPr>
            <w:tcW w:w="1627" w:type="dxa"/>
            <w:gridSpan w:val="4"/>
            <w:vMerge/>
            <w:tcBorders>
              <w:left w:val="single" w:sz="18" w:space="0" w:color="FFFFFF"/>
              <w:bottom w:val="single" w:sz="18" w:space="0" w:color="FFFFFF"/>
              <w:right w:val="single" w:sz="18" w:space="0" w:color="FFFFFF"/>
            </w:tcBorders>
            <w:shd w:val="clear" w:color="auto" w:fill="D6E3BC"/>
          </w:tcPr>
          <w:p w14:paraId="40E7B964" w14:textId="77777777" w:rsidR="00131C34" w:rsidRPr="00257F44" w:rsidRDefault="00131C34" w:rsidP="00131C34">
            <w:pPr>
              <w:rPr>
                <w:rFonts w:ascii="Gill Sans" w:hAnsi="Gill Sans" w:cs="Gill Sans"/>
                <w:sz w:val="22"/>
                <w:szCs w:val="22"/>
                <w:lang w:val="uk-UA"/>
              </w:rPr>
            </w:pPr>
          </w:p>
        </w:tc>
        <w:tc>
          <w:tcPr>
            <w:tcW w:w="1985" w:type="dxa"/>
            <w:gridSpan w:val="4"/>
            <w:vMerge/>
            <w:tcBorders>
              <w:left w:val="single" w:sz="18" w:space="0" w:color="FFFFFF"/>
              <w:bottom w:val="single" w:sz="18" w:space="0" w:color="FFFFFF"/>
              <w:right w:val="single" w:sz="18" w:space="0" w:color="FFFFFF"/>
            </w:tcBorders>
            <w:shd w:val="clear" w:color="auto" w:fill="FBD4B4"/>
          </w:tcPr>
          <w:p w14:paraId="14BFF9DD" w14:textId="77777777" w:rsidR="00131C34" w:rsidRPr="00257F44" w:rsidRDefault="00131C34" w:rsidP="00131C34">
            <w:pPr>
              <w:rPr>
                <w:rFonts w:ascii="Gill Sans" w:hAnsi="Gill Sans" w:cs="Gill Sans"/>
                <w:sz w:val="22"/>
                <w:szCs w:val="22"/>
                <w:lang w:val="uk-UA"/>
              </w:rPr>
            </w:pPr>
          </w:p>
        </w:tc>
        <w:tc>
          <w:tcPr>
            <w:tcW w:w="1469" w:type="dxa"/>
            <w:gridSpan w:val="4"/>
            <w:vMerge/>
            <w:tcBorders>
              <w:left w:val="single" w:sz="18" w:space="0" w:color="FFFFFF"/>
              <w:bottom w:val="single" w:sz="18" w:space="0" w:color="FFFFFF"/>
              <w:right w:val="single" w:sz="18" w:space="0" w:color="FFFFFF"/>
            </w:tcBorders>
            <w:shd w:val="clear" w:color="auto" w:fill="CCC0D9"/>
          </w:tcPr>
          <w:p w14:paraId="23E1402B" w14:textId="77777777" w:rsidR="00131C34" w:rsidRPr="00257F44" w:rsidRDefault="00131C34" w:rsidP="00131C34">
            <w:pPr>
              <w:rPr>
                <w:rFonts w:ascii="Gill Sans" w:hAnsi="Gill Sans" w:cs="Gill Sans"/>
                <w:sz w:val="22"/>
                <w:szCs w:val="22"/>
                <w:lang w:val="uk-UA"/>
              </w:rPr>
            </w:pPr>
          </w:p>
        </w:tc>
        <w:tc>
          <w:tcPr>
            <w:tcW w:w="1023" w:type="dxa"/>
            <w:gridSpan w:val="2"/>
            <w:vMerge/>
            <w:tcBorders>
              <w:left w:val="single" w:sz="18" w:space="0" w:color="FFFFFF"/>
              <w:bottom w:val="single" w:sz="18" w:space="0" w:color="FFFFFF"/>
              <w:right w:val="single" w:sz="2" w:space="0" w:color="FFFFFF"/>
            </w:tcBorders>
            <w:shd w:val="clear" w:color="auto" w:fill="B8CCE4"/>
          </w:tcPr>
          <w:p w14:paraId="136783E5" w14:textId="77777777" w:rsidR="00131C34" w:rsidRPr="00257F44" w:rsidRDefault="00131C34" w:rsidP="00131C34">
            <w:pPr>
              <w:rPr>
                <w:rFonts w:ascii="Gill Sans" w:hAnsi="Gill Sans" w:cs="Gill Sans"/>
                <w:sz w:val="22"/>
                <w:szCs w:val="22"/>
                <w:lang w:val="uk-UA"/>
              </w:rPr>
            </w:pPr>
          </w:p>
        </w:tc>
        <w:tc>
          <w:tcPr>
            <w:tcW w:w="955"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053BAC9B" w14:textId="70A36EF3" w:rsidR="00131C34" w:rsidRPr="00257F44" w:rsidRDefault="00B9161F" w:rsidP="00131C34">
            <w:pPr>
              <w:rPr>
                <w:rFonts w:ascii="Gill Sans" w:hAnsi="Gill Sans" w:cs="Gill Sans"/>
                <w:sz w:val="20"/>
                <w:szCs w:val="20"/>
                <w:lang w:val="uk-UA"/>
              </w:rPr>
            </w:pPr>
            <w:r w:rsidRPr="00257F44">
              <w:rPr>
                <w:rFonts w:ascii="Gill Sans" w:hAnsi="Gill Sans" w:cs="Gill Sans"/>
                <w:sz w:val="20"/>
                <w:szCs w:val="20"/>
                <w:lang w:val="uk-UA"/>
              </w:rPr>
              <w:t>Підсум-ковий</w:t>
            </w:r>
          </w:p>
        </w:tc>
        <w:tc>
          <w:tcPr>
            <w:tcW w:w="1903" w:type="dxa"/>
            <w:gridSpan w:val="5"/>
            <w:vMerge/>
            <w:tcBorders>
              <w:left w:val="single" w:sz="18" w:space="0" w:color="FFFFFF"/>
              <w:bottom w:val="single" w:sz="18" w:space="0" w:color="FFFFFF"/>
              <w:right w:val="single" w:sz="18" w:space="0" w:color="FFFFFF"/>
            </w:tcBorders>
            <w:shd w:val="clear" w:color="auto" w:fill="D99594"/>
          </w:tcPr>
          <w:p w14:paraId="5D596390" w14:textId="77777777" w:rsidR="00131C34" w:rsidRPr="00257F44" w:rsidRDefault="00131C34" w:rsidP="00131C34">
            <w:pPr>
              <w:rPr>
                <w:rFonts w:ascii="Gill Sans" w:hAnsi="Gill Sans" w:cs="Gill Sans"/>
                <w:sz w:val="22"/>
                <w:szCs w:val="22"/>
                <w:lang w:val="uk-UA"/>
              </w:rPr>
            </w:pPr>
          </w:p>
        </w:tc>
      </w:tr>
      <w:tr w:rsidR="00B9161F" w:rsidRPr="00257F44" w14:paraId="01F87E67" w14:textId="77777777" w:rsidTr="00A45BBD">
        <w:trPr>
          <w:cantSplit/>
          <w:trHeight w:val="2336"/>
        </w:trPr>
        <w:tc>
          <w:tcPr>
            <w:tcW w:w="1406" w:type="dxa"/>
            <w:tcBorders>
              <w:left w:val="single" w:sz="4" w:space="0" w:color="FFFFFF"/>
              <w:right w:val="single" w:sz="18" w:space="0" w:color="FFFFFF"/>
            </w:tcBorders>
            <w:shd w:val="clear" w:color="auto" w:fill="000000"/>
          </w:tcPr>
          <w:p w14:paraId="3D44ABC4" w14:textId="2E9C9040" w:rsidR="00B9161F" w:rsidRPr="00257F44" w:rsidRDefault="00B9161F" w:rsidP="00131C34">
            <w:pPr>
              <w:rPr>
                <w:rFonts w:ascii="Gill Sans" w:hAnsi="Gill Sans" w:cs="Gill Sans"/>
                <w:color w:val="FFFFFF" w:themeColor="background1"/>
                <w:sz w:val="22"/>
                <w:szCs w:val="22"/>
                <w:lang w:val="uk-UA"/>
              </w:rPr>
            </w:pPr>
          </w:p>
        </w:tc>
        <w:tc>
          <w:tcPr>
            <w:tcW w:w="494"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0E7E53B3" w14:textId="2DD7DBC3"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Відсутня</w:t>
            </w:r>
          </w:p>
        </w:tc>
        <w:tc>
          <w:tcPr>
            <w:tcW w:w="431"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1F5DB72C" w14:textId="78370287"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Низька</w:t>
            </w:r>
          </w:p>
        </w:tc>
        <w:tc>
          <w:tcPr>
            <w:tcW w:w="351"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6948CEDA" w14:textId="5FDAC2FC"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Середня</w:t>
            </w:r>
          </w:p>
        </w:tc>
        <w:tc>
          <w:tcPr>
            <w:tcW w:w="351"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2934600E" w14:textId="0252FC6F"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Висока</w:t>
            </w:r>
          </w:p>
        </w:tc>
        <w:tc>
          <w:tcPr>
            <w:tcW w:w="375"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5955D146" w14:textId="69AE1244"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Доступ до інформації</w:t>
            </w:r>
          </w:p>
        </w:tc>
        <w:tc>
          <w:tcPr>
            <w:tcW w:w="374"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4C4A629D" w14:textId="4DB25376"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Громадська участь</w:t>
            </w:r>
          </w:p>
        </w:tc>
        <w:tc>
          <w:tcPr>
            <w:tcW w:w="375"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5CB6085C" w14:textId="15E14017"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Підзвітність влади</w:t>
            </w:r>
          </w:p>
        </w:tc>
        <w:tc>
          <w:tcPr>
            <w:tcW w:w="861"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4E6B9DC5" w14:textId="0E811B1E"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Технології та інновації для прозорості й підзвітності</w:t>
            </w:r>
          </w:p>
        </w:tc>
        <w:tc>
          <w:tcPr>
            <w:tcW w:w="341"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11905B12" w14:textId="5627DC27"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Жодного</w:t>
            </w:r>
          </w:p>
        </w:tc>
        <w:tc>
          <w:tcPr>
            <w:tcW w:w="349"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6A028679" w14:textId="6CD091D9"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Незначний</w:t>
            </w:r>
          </w:p>
        </w:tc>
        <w:tc>
          <w:tcPr>
            <w:tcW w:w="43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7DEDADFD" w14:textId="51504CA0"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Помірний</w:t>
            </w:r>
          </w:p>
        </w:tc>
        <w:tc>
          <w:tcPr>
            <w:tcW w:w="349"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2238C18B" w14:textId="451FF07A"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Трансформуючий</w:t>
            </w:r>
          </w:p>
        </w:tc>
        <w:tc>
          <w:tcPr>
            <w:tcW w:w="486"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7665A412" w14:textId="7F5B58EF"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Не розпочато</w:t>
            </w:r>
          </w:p>
        </w:tc>
        <w:tc>
          <w:tcPr>
            <w:tcW w:w="537"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345437AF" w14:textId="4F803A4F"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Обмежене</w:t>
            </w:r>
          </w:p>
        </w:tc>
        <w:tc>
          <w:tcPr>
            <w:tcW w:w="537"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1DE8F2D8" w14:textId="7B682667"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Значне</w:t>
            </w:r>
          </w:p>
        </w:tc>
        <w:tc>
          <w:tcPr>
            <w:tcW w:w="418"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0CB8F9C6" w14:textId="4F0ED6C9"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Повне</w:t>
            </w:r>
          </w:p>
        </w:tc>
        <w:tc>
          <w:tcPr>
            <w:tcW w:w="323"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2F52E856" w14:textId="0B80049F"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Погіршило</w:t>
            </w:r>
          </w:p>
        </w:tc>
        <w:tc>
          <w:tcPr>
            <w:tcW w:w="371"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AA8090E" w14:textId="6CD5E28F"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Не змінило</w:t>
            </w:r>
          </w:p>
        </w:tc>
        <w:tc>
          <w:tcPr>
            <w:tcW w:w="43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B702172" w14:textId="09F0D1AE"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Обмежено</w:t>
            </w:r>
          </w:p>
        </w:tc>
        <w:tc>
          <w:tcPr>
            <w:tcW w:w="349"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57BFF791" w14:textId="3F1C6E77"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Значною мірою</w:t>
            </w:r>
          </w:p>
        </w:tc>
        <w:tc>
          <w:tcPr>
            <w:tcW w:w="430"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7A8957C1" w14:textId="208C2BA5" w:rsidR="00B9161F" w:rsidRPr="00257F44" w:rsidRDefault="00B9161F" w:rsidP="00131C34">
            <w:pPr>
              <w:rPr>
                <w:rFonts w:ascii="Gill Sans" w:hAnsi="Gill Sans" w:cs="Gill Sans"/>
                <w:sz w:val="22"/>
                <w:szCs w:val="22"/>
                <w:lang w:val="uk-UA"/>
              </w:rPr>
            </w:pPr>
            <w:r w:rsidRPr="00257F44">
              <w:rPr>
                <w:rFonts w:ascii="Gill Sans" w:hAnsi="Gill Sans" w:cs="Gill Sans"/>
                <w:sz w:val="20"/>
                <w:szCs w:val="20"/>
                <w:lang w:val="uk-UA"/>
              </w:rPr>
              <w:t>Визначною мірою</w:t>
            </w:r>
          </w:p>
        </w:tc>
      </w:tr>
      <w:tr w:rsidR="00131C34" w:rsidRPr="00257F44" w14:paraId="53F952AD" w14:textId="77777777" w:rsidTr="00B9161F">
        <w:trPr>
          <w:trHeight w:val="28"/>
        </w:trPr>
        <w:tc>
          <w:tcPr>
            <w:tcW w:w="1406" w:type="dxa"/>
            <w:tcBorders>
              <w:left w:val="single" w:sz="4" w:space="0" w:color="FFFFFF"/>
              <w:right w:val="single" w:sz="18" w:space="0" w:color="FFFFFF"/>
            </w:tcBorders>
            <w:shd w:val="clear" w:color="auto" w:fill="000000"/>
          </w:tcPr>
          <w:p w14:paraId="3515EF7D" w14:textId="0322595E" w:rsidR="00131C34" w:rsidRPr="00257F44" w:rsidRDefault="00131C34" w:rsidP="00131C34">
            <w:pPr>
              <w:rPr>
                <w:rFonts w:ascii="Gill Sans" w:hAnsi="Gill Sans" w:cs="Gill Sans"/>
                <w:noProof/>
                <w:color w:val="FFFFFF" w:themeColor="background1"/>
                <w:sz w:val="22"/>
                <w:szCs w:val="22"/>
                <w:lang w:val="uk-UA"/>
              </w:rPr>
            </w:pPr>
          </w:p>
        </w:tc>
        <w:tc>
          <w:tcPr>
            <w:tcW w:w="494" w:type="dxa"/>
            <w:vMerge w:val="restart"/>
            <w:tcBorders>
              <w:top w:val="single" w:sz="18" w:space="0" w:color="FFFFFF"/>
              <w:left w:val="single" w:sz="18" w:space="0" w:color="FFFFFF"/>
              <w:right w:val="single" w:sz="2" w:space="0" w:color="FFFFFF"/>
            </w:tcBorders>
            <w:shd w:val="clear" w:color="auto" w:fill="D6E3BC"/>
          </w:tcPr>
          <w:p w14:paraId="25915F7D" w14:textId="77777777" w:rsidR="00131C34" w:rsidRPr="00257F44" w:rsidRDefault="00131C34" w:rsidP="00131C34">
            <w:pPr>
              <w:rPr>
                <w:rFonts w:ascii="Zapf Dingbats" w:hAnsi="Zapf Dingbats" w:cs="Gill Sans"/>
                <w:sz w:val="22"/>
                <w:szCs w:val="22"/>
                <w:lang w:val="uk-UA"/>
              </w:rPr>
            </w:pPr>
          </w:p>
        </w:tc>
        <w:tc>
          <w:tcPr>
            <w:tcW w:w="431" w:type="dxa"/>
            <w:vMerge w:val="restart"/>
            <w:tcBorders>
              <w:top w:val="single" w:sz="18" w:space="0" w:color="FFFFFF"/>
              <w:left w:val="single" w:sz="2" w:space="0" w:color="FFFFFF"/>
              <w:right w:val="single" w:sz="2" w:space="0" w:color="FFFFFF"/>
            </w:tcBorders>
            <w:shd w:val="clear" w:color="auto" w:fill="D6E3BC"/>
          </w:tcPr>
          <w:p w14:paraId="5508F70E" w14:textId="77777777" w:rsidR="00131C34" w:rsidRPr="00257F44" w:rsidRDefault="00131C34" w:rsidP="00131C34">
            <w:pPr>
              <w:rPr>
                <w:rFonts w:ascii="Zapf Dingbats" w:hAnsi="Zapf Dingbats" w:cs="Gill Sans"/>
                <w:sz w:val="22"/>
                <w:szCs w:val="22"/>
                <w:lang w:val="uk-UA"/>
              </w:rPr>
            </w:pPr>
          </w:p>
        </w:tc>
        <w:tc>
          <w:tcPr>
            <w:tcW w:w="351" w:type="dxa"/>
            <w:vMerge w:val="restart"/>
            <w:tcBorders>
              <w:top w:val="single" w:sz="18" w:space="0" w:color="FFFFFF"/>
              <w:left w:val="single" w:sz="2" w:space="0" w:color="FFFFFF"/>
              <w:right w:val="single" w:sz="2" w:space="0" w:color="FFFFFF"/>
            </w:tcBorders>
            <w:shd w:val="clear" w:color="auto" w:fill="D6E3BC"/>
          </w:tcPr>
          <w:p w14:paraId="53FABA36" w14:textId="77777777" w:rsidR="00131C34" w:rsidRPr="00257F44" w:rsidRDefault="00131C34" w:rsidP="00131C34">
            <w:pPr>
              <w:rPr>
                <w:rFonts w:ascii="Zapf Dingbats" w:hAnsi="Zapf Dingbats" w:cs="Gill Sans"/>
                <w:sz w:val="22"/>
                <w:szCs w:val="22"/>
                <w:lang w:val="uk-UA"/>
              </w:rPr>
            </w:pPr>
          </w:p>
        </w:tc>
        <w:tc>
          <w:tcPr>
            <w:tcW w:w="351" w:type="dxa"/>
            <w:vMerge w:val="restart"/>
            <w:tcBorders>
              <w:top w:val="single" w:sz="18" w:space="0" w:color="FFFFFF"/>
              <w:left w:val="single" w:sz="2" w:space="0" w:color="FFFFFF"/>
              <w:right w:val="single" w:sz="18" w:space="0" w:color="FFFFFF"/>
            </w:tcBorders>
            <w:shd w:val="clear" w:color="auto" w:fill="D6E3BC"/>
          </w:tcPr>
          <w:p w14:paraId="54C6998F" w14:textId="77777777" w:rsidR="00131C34" w:rsidRPr="00257F44" w:rsidRDefault="00131C34" w:rsidP="00131C34">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375" w:type="dxa"/>
            <w:vMerge w:val="restart"/>
            <w:tcBorders>
              <w:top w:val="single" w:sz="18" w:space="0" w:color="FFFFFF"/>
              <w:left w:val="single" w:sz="2" w:space="0" w:color="FFFFFF"/>
              <w:right w:val="single" w:sz="2" w:space="0" w:color="FFFFFF"/>
            </w:tcBorders>
            <w:shd w:val="clear" w:color="auto" w:fill="FBD4B4"/>
          </w:tcPr>
          <w:p w14:paraId="61FDEB06" w14:textId="77777777" w:rsidR="00131C34" w:rsidRPr="00257F44" w:rsidRDefault="00131C34" w:rsidP="00131C34">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74" w:type="dxa"/>
            <w:vMerge w:val="restart"/>
            <w:tcBorders>
              <w:top w:val="single" w:sz="18" w:space="0" w:color="FFFFFF"/>
              <w:left w:val="single" w:sz="2" w:space="0" w:color="FFFFFF"/>
              <w:right w:val="single" w:sz="2" w:space="0" w:color="FFFFFF"/>
            </w:tcBorders>
            <w:shd w:val="clear" w:color="auto" w:fill="FBD4B4"/>
          </w:tcPr>
          <w:p w14:paraId="652E2A7B" w14:textId="77777777" w:rsidR="00131C34" w:rsidRPr="00257F44" w:rsidRDefault="00131C34" w:rsidP="00131C34">
            <w:pPr>
              <w:rPr>
                <w:rFonts w:ascii="Zapf Dingbats" w:hAnsi="Zapf Dingbats" w:cs="Gill Sans"/>
                <w:noProof/>
                <w:sz w:val="22"/>
                <w:szCs w:val="22"/>
                <w:lang w:val="uk-UA"/>
              </w:rPr>
            </w:pPr>
          </w:p>
        </w:tc>
        <w:tc>
          <w:tcPr>
            <w:tcW w:w="375" w:type="dxa"/>
            <w:vMerge w:val="restart"/>
            <w:tcBorders>
              <w:top w:val="single" w:sz="18" w:space="0" w:color="FFFFFF"/>
              <w:left w:val="single" w:sz="2" w:space="0" w:color="FFFFFF"/>
              <w:right w:val="single" w:sz="2" w:space="0" w:color="FFFFFF"/>
            </w:tcBorders>
            <w:shd w:val="clear" w:color="auto" w:fill="FBD4B4"/>
          </w:tcPr>
          <w:p w14:paraId="3720A0B4" w14:textId="77777777" w:rsidR="00131C34" w:rsidRPr="00257F44" w:rsidRDefault="00131C34" w:rsidP="00131C34">
            <w:pPr>
              <w:rPr>
                <w:rFonts w:ascii="Zapf Dingbats" w:hAnsi="Zapf Dingbats" w:cs="Gill Sans"/>
                <w:noProof/>
                <w:sz w:val="22"/>
                <w:szCs w:val="22"/>
                <w:lang w:val="uk-UA"/>
              </w:rPr>
            </w:pPr>
          </w:p>
        </w:tc>
        <w:tc>
          <w:tcPr>
            <w:tcW w:w="861" w:type="dxa"/>
            <w:vMerge w:val="restart"/>
            <w:tcBorders>
              <w:top w:val="single" w:sz="18" w:space="0" w:color="FFFFFF"/>
              <w:left w:val="single" w:sz="2" w:space="0" w:color="FFFFFF"/>
              <w:right w:val="single" w:sz="18" w:space="0" w:color="FFFFFF"/>
            </w:tcBorders>
            <w:shd w:val="clear" w:color="auto" w:fill="FBD4B4"/>
          </w:tcPr>
          <w:p w14:paraId="79C1E211" w14:textId="77777777" w:rsidR="00131C34" w:rsidRPr="00257F44" w:rsidRDefault="00131C34" w:rsidP="00131C34">
            <w:pPr>
              <w:rPr>
                <w:rFonts w:ascii="Zapf Dingbats" w:hAnsi="Zapf Dingbats" w:cs="Gill Sans"/>
                <w:sz w:val="22"/>
                <w:szCs w:val="22"/>
                <w:lang w:val="uk-UA"/>
              </w:rPr>
            </w:pPr>
          </w:p>
        </w:tc>
        <w:tc>
          <w:tcPr>
            <w:tcW w:w="341" w:type="dxa"/>
            <w:vMerge w:val="restart"/>
            <w:tcBorders>
              <w:top w:val="single" w:sz="18" w:space="0" w:color="FFFFFF"/>
              <w:left w:val="single" w:sz="18" w:space="0" w:color="FFFFFF"/>
              <w:right w:val="single" w:sz="2" w:space="0" w:color="FFFFFF"/>
            </w:tcBorders>
            <w:shd w:val="clear" w:color="auto" w:fill="CCC0D9"/>
          </w:tcPr>
          <w:p w14:paraId="1E0AADB9" w14:textId="77777777" w:rsidR="00131C34" w:rsidRPr="00257F44" w:rsidRDefault="00131C34" w:rsidP="00131C34">
            <w:pPr>
              <w:rPr>
                <w:rFonts w:ascii="Zapf Dingbats" w:hAnsi="Zapf Dingbats" w:cs="Gill Sans"/>
                <w:sz w:val="22"/>
                <w:szCs w:val="22"/>
                <w:lang w:val="uk-UA"/>
              </w:rPr>
            </w:pPr>
          </w:p>
        </w:tc>
        <w:tc>
          <w:tcPr>
            <w:tcW w:w="349" w:type="dxa"/>
            <w:vMerge w:val="restart"/>
            <w:tcBorders>
              <w:top w:val="single" w:sz="18" w:space="0" w:color="FFFFFF"/>
              <w:left w:val="single" w:sz="2" w:space="0" w:color="FFFFFF"/>
              <w:right w:val="single" w:sz="2" w:space="0" w:color="FFFFFF"/>
            </w:tcBorders>
            <w:shd w:val="clear" w:color="auto" w:fill="CCC0D9"/>
          </w:tcPr>
          <w:p w14:paraId="1AB75C50" w14:textId="77777777" w:rsidR="00131C34" w:rsidRPr="00257F44" w:rsidRDefault="00131C34" w:rsidP="00131C34">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30" w:type="dxa"/>
            <w:vMerge w:val="restart"/>
            <w:tcBorders>
              <w:top w:val="single" w:sz="18" w:space="0" w:color="FFFFFF"/>
              <w:left w:val="single" w:sz="2" w:space="0" w:color="FFFFFF"/>
              <w:right w:val="single" w:sz="2" w:space="0" w:color="FFFFFF"/>
            </w:tcBorders>
            <w:shd w:val="clear" w:color="auto" w:fill="CCC0D9"/>
          </w:tcPr>
          <w:p w14:paraId="075D3532" w14:textId="77777777" w:rsidR="00131C34" w:rsidRPr="00257F44" w:rsidRDefault="00131C34" w:rsidP="00131C34">
            <w:pPr>
              <w:rPr>
                <w:rFonts w:ascii="Zapf Dingbats" w:hAnsi="Zapf Dingbats" w:cs="Gill Sans"/>
                <w:noProof/>
                <w:sz w:val="22"/>
                <w:szCs w:val="22"/>
                <w:lang w:val="uk-UA"/>
              </w:rPr>
            </w:pPr>
          </w:p>
        </w:tc>
        <w:tc>
          <w:tcPr>
            <w:tcW w:w="349" w:type="dxa"/>
            <w:vMerge w:val="restart"/>
            <w:tcBorders>
              <w:top w:val="single" w:sz="18" w:space="0" w:color="FFFFFF"/>
              <w:left w:val="single" w:sz="2" w:space="0" w:color="FFFFFF"/>
              <w:right w:val="single" w:sz="18" w:space="0" w:color="FFFFFF"/>
            </w:tcBorders>
            <w:shd w:val="clear" w:color="auto" w:fill="CCC0D9"/>
          </w:tcPr>
          <w:p w14:paraId="1DCE6142" w14:textId="77777777" w:rsidR="00131C34" w:rsidRPr="00257F44" w:rsidRDefault="00131C34" w:rsidP="00131C34">
            <w:pPr>
              <w:rPr>
                <w:rFonts w:ascii="Zapf Dingbats" w:hAnsi="Zapf Dingbats" w:cs="Gill Sans"/>
                <w:sz w:val="22"/>
                <w:szCs w:val="22"/>
                <w:lang w:val="uk-UA"/>
              </w:rPr>
            </w:pPr>
          </w:p>
        </w:tc>
        <w:tc>
          <w:tcPr>
            <w:tcW w:w="486"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1175ED42" w14:textId="77777777" w:rsidR="00131C34" w:rsidRPr="00257F44" w:rsidRDefault="00131C34" w:rsidP="00131C34">
            <w:pPr>
              <w:rPr>
                <w:rFonts w:ascii="Zapf Dingbats" w:hAnsi="Zapf Dingbats" w:cs="Gill Sans"/>
                <w:sz w:val="22"/>
                <w:szCs w:val="22"/>
                <w:lang w:val="uk-UA"/>
              </w:rPr>
            </w:pPr>
          </w:p>
        </w:tc>
        <w:tc>
          <w:tcPr>
            <w:tcW w:w="537"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741BAD01" w14:textId="77777777" w:rsidR="00131C34" w:rsidRPr="00257F44" w:rsidRDefault="00131C34" w:rsidP="00131C34">
            <w:pPr>
              <w:rPr>
                <w:rFonts w:ascii="Zapf Dingbats" w:hAnsi="Zapf Dingbats" w:cs="Gill Sans"/>
                <w:sz w:val="22"/>
                <w:szCs w:val="22"/>
                <w:lang w:val="uk-UA"/>
              </w:rPr>
            </w:pPr>
          </w:p>
        </w:tc>
        <w:tc>
          <w:tcPr>
            <w:tcW w:w="537"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64C8E9C2" w14:textId="77777777" w:rsidR="00131C34" w:rsidRPr="00257F44" w:rsidRDefault="00131C34" w:rsidP="00131C34">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18"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0ABCB4FC" w14:textId="77777777" w:rsidR="00131C34" w:rsidRPr="00257F44" w:rsidRDefault="00131C34" w:rsidP="00131C34">
            <w:pPr>
              <w:rPr>
                <w:rFonts w:ascii="Zapf Dingbats" w:hAnsi="Zapf Dingbats" w:cs="Gill Sans"/>
                <w:sz w:val="22"/>
                <w:szCs w:val="22"/>
                <w:lang w:val="uk-UA"/>
              </w:rPr>
            </w:pPr>
          </w:p>
        </w:tc>
        <w:tc>
          <w:tcPr>
            <w:tcW w:w="323" w:type="dxa"/>
            <w:vMerge w:val="restart"/>
            <w:tcBorders>
              <w:top w:val="single" w:sz="18" w:space="0" w:color="FFFFFF"/>
              <w:left w:val="single" w:sz="18" w:space="0" w:color="FFFFFF"/>
              <w:right w:val="single" w:sz="2" w:space="0" w:color="FFFFFF"/>
            </w:tcBorders>
            <w:shd w:val="clear" w:color="auto" w:fill="D99594"/>
          </w:tcPr>
          <w:p w14:paraId="0477E48B" w14:textId="77777777" w:rsidR="00131C34" w:rsidRPr="00257F44" w:rsidRDefault="00131C34" w:rsidP="00131C34">
            <w:pPr>
              <w:rPr>
                <w:rFonts w:ascii="Zapf Dingbats" w:hAnsi="Zapf Dingbats" w:cs="Gill Sans"/>
                <w:sz w:val="22"/>
                <w:szCs w:val="22"/>
                <w:lang w:val="uk-UA"/>
              </w:rPr>
            </w:pPr>
          </w:p>
        </w:tc>
        <w:tc>
          <w:tcPr>
            <w:tcW w:w="371" w:type="dxa"/>
            <w:vMerge w:val="restart"/>
            <w:tcBorders>
              <w:top w:val="single" w:sz="18" w:space="0" w:color="FFFFFF"/>
              <w:left w:val="single" w:sz="2" w:space="0" w:color="FFFFFF"/>
              <w:right w:val="single" w:sz="2" w:space="0" w:color="FFFFFF"/>
            </w:tcBorders>
            <w:shd w:val="clear" w:color="auto" w:fill="D99594"/>
          </w:tcPr>
          <w:p w14:paraId="0687566E" w14:textId="77777777" w:rsidR="00131C34" w:rsidRPr="00257F44" w:rsidRDefault="00131C34" w:rsidP="00131C34">
            <w:pPr>
              <w:rPr>
                <w:rFonts w:ascii="Zapf Dingbats" w:hAnsi="Zapf Dingbats" w:cs="Gill Sans"/>
                <w:sz w:val="22"/>
                <w:szCs w:val="22"/>
                <w:lang w:val="uk-UA"/>
              </w:rPr>
            </w:pPr>
          </w:p>
        </w:tc>
        <w:tc>
          <w:tcPr>
            <w:tcW w:w="430" w:type="dxa"/>
            <w:vMerge w:val="restart"/>
            <w:tcBorders>
              <w:top w:val="single" w:sz="18" w:space="0" w:color="FFFFFF"/>
              <w:left w:val="single" w:sz="2" w:space="0" w:color="FFFFFF"/>
              <w:right w:val="single" w:sz="2" w:space="0" w:color="FFFFFF"/>
            </w:tcBorders>
            <w:shd w:val="clear" w:color="auto" w:fill="D99594"/>
          </w:tcPr>
          <w:p w14:paraId="110B7AB4" w14:textId="77777777" w:rsidR="00131C34" w:rsidRPr="00257F44" w:rsidRDefault="00131C34" w:rsidP="00131C34">
            <w:pPr>
              <w:rPr>
                <w:rFonts w:ascii="Zapf Dingbats" w:hAnsi="Zapf Dingbats" w:cs="Gill Sans"/>
                <w:sz w:val="22"/>
                <w:szCs w:val="22"/>
                <w:lang w:val="uk-UA"/>
              </w:rPr>
            </w:pPr>
          </w:p>
        </w:tc>
        <w:tc>
          <w:tcPr>
            <w:tcW w:w="349" w:type="dxa"/>
            <w:vMerge w:val="restart"/>
            <w:tcBorders>
              <w:top w:val="single" w:sz="18" w:space="0" w:color="FFFFFF"/>
              <w:left w:val="single" w:sz="2" w:space="0" w:color="FFFFFF"/>
              <w:right w:val="single" w:sz="2" w:space="0" w:color="FFFFFF"/>
            </w:tcBorders>
            <w:shd w:val="clear" w:color="auto" w:fill="D99594"/>
          </w:tcPr>
          <w:p w14:paraId="006EFC79" w14:textId="77777777" w:rsidR="00131C34" w:rsidRPr="00257F44" w:rsidRDefault="00131C34" w:rsidP="00131C34">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430" w:type="dxa"/>
            <w:vMerge w:val="restart"/>
            <w:tcBorders>
              <w:top w:val="single" w:sz="18" w:space="0" w:color="FFFFFF"/>
              <w:left w:val="single" w:sz="2" w:space="0" w:color="FFFFFF"/>
              <w:right w:val="single" w:sz="18" w:space="0" w:color="FFFFFF"/>
            </w:tcBorders>
            <w:shd w:val="clear" w:color="auto" w:fill="D99594"/>
          </w:tcPr>
          <w:p w14:paraId="3CD86076" w14:textId="77777777" w:rsidR="00131C34" w:rsidRPr="00257F44" w:rsidRDefault="00131C34" w:rsidP="00131C34">
            <w:pPr>
              <w:rPr>
                <w:rFonts w:ascii="Zapf Dingbats" w:hAnsi="Zapf Dingbats" w:cs="Gill Sans"/>
                <w:sz w:val="22"/>
                <w:szCs w:val="22"/>
                <w:lang w:val="uk-UA"/>
              </w:rPr>
            </w:pPr>
          </w:p>
        </w:tc>
      </w:tr>
      <w:tr w:rsidR="00131C34" w:rsidRPr="00257F44" w14:paraId="448A76F5" w14:textId="77777777" w:rsidTr="00B9161F">
        <w:trPr>
          <w:trHeight w:val="340"/>
        </w:trPr>
        <w:tc>
          <w:tcPr>
            <w:tcW w:w="1406" w:type="dxa"/>
            <w:tcBorders>
              <w:left w:val="single" w:sz="4" w:space="0" w:color="FFFFFF"/>
              <w:right w:val="single" w:sz="18" w:space="0" w:color="FFFFFF"/>
            </w:tcBorders>
            <w:shd w:val="clear" w:color="auto" w:fill="000000"/>
          </w:tcPr>
          <w:p w14:paraId="1EE5AAEA" w14:textId="77777777" w:rsidR="00131C34" w:rsidRPr="00257F44" w:rsidRDefault="00131C34" w:rsidP="00131C34">
            <w:pPr>
              <w:rPr>
                <w:rFonts w:ascii="Gill Sans" w:hAnsi="Gill Sans" w:cs="Gill Sans"/>
                <w:color w:val="FFFFFF" w:themeColor="background1"/>
                <w:sz w:val="22"/>
                <w:szCs w:val="22"/>
                <w:lang w:val="uk-UA"/>
              </w:rPr>
            </w:pPr>
          </w:p>
        </w:tc>
        <w:tc>
          <w:tcPr>
            <w:tcW w:w="494" w:type="dxa"/>
            <w:vMerge/>
            <w:tcBorders>
              <w:left w:val="single" w:sz="18" w:space="0" w:color="FFFFFF"/>
              <w:right w:val="single" w:sz="2" w:space="0" w:color="FFFFFF"/>
            </w:tcBorders>
            <w:shd w:val="clear" w:color="auto" w:fill="D6E3BC"/>
          </w:tcPr>
          <w:p w14:paraId="6BDA9458" w14:textId="77777777" w:rsidR="00131C34" w:rsidRPr="00257F44" w:rsidRDefault="00131C34" w:rsidP="00131C34">
            <w:pPr>
              <w:rPr>
                <w:rFonts w:ascii="Gill Sans" w:hAnsi="Gill Sans" w:cs="Gill Sans"/>
                <w:sz w:val="22"/>
                <w:szCs w:val="22"/>
                <w:lang w:val="uk-UA"/>
              </w:rPr>
            </w:pPr>
          </w:p>
        </w:tc>
        <w:tc>
          <w:tcPr>
            <w:tcW w:w="431" w:type="dxa"/>
            <w:vMerge/>
            <w:tcBorders>
              <w:left w:val="single" w:sz="2" w:space="0" w:color="FFFFFF"/>
              <w:right w:val="single" w:sz="2" w:space="0" w:color="FFFFFF"/>
            </w:tcBorders>
            <w:shd w:val="clear" w:color="auto" w:fill="D6E3BC"/>
          </w:tcPr>
          <w:p w14:paraId="3B79DCCB" w14:textId="77777777" w:rsidR="00131C34" w:rsidRPr="00257F44" w:rsidRDefault="00131C34" w:rsidP="00131C34">
            <w:pPr>
              <w:rPr>
                <w:rFonts w:ascii="Gill Sans" w:hAnsi="Gill Sans" w:cs="Gill Sans"/>
                <w:sz w:val="22"/>
                <w:szCs w:val="22"/>
                <w:lang w:val="uk-UA"/>
              </w:rPr>
            </w:pPr>
          </w:p>
        </w:tc>
        <w:tc>
          <w:tcPr>
            <w:tcW w:w="351" w:type="dxa"/>
            <w:vMerge/>
            <w:tcBorders>
              <w:left w:val="single" w:sz="2" w:space="0" w:color="FFFFFF"/>
              <w:right w:val="single" w:sz="2" w:space="0" w:color="FFFFFF"/>
            </w:tcBorders>
            <w:shd w:val="clear" w:color="auto" w:fill="D6E3BC"/>
          </w:tcPr>
          <w:p w14:paraId="4D183615" w14:textId="77777777" w:rsidR="00131C34" w:rsidRPr="00257F44" w:rsidRDefault="00131C34" w:rsidP="00131C34">
            <w:pPr>
              <w:rPr>
                <w:rFonts w:ascii="Gill Sans" w:hAnsi="Gill Sans" w:cs="Gill Sans"/>
                <w:sz w:val="22"/>
                <w:szCs w:val="22"/>
                <w:lang w:val="uk-UA"/>
              </w:rPr>
            </w:pPr>
          </w:p>
        </w:tc>
        <w:tc>
          <w:tcPr>
            <w:tcW w:w="351" w:type="dxa"/>
            <w:vMerge/>
            <w:tcBorders>
              <w:left w:val="single" w:sz="2" w:space="0" w:color="FFFFFF"/>
              <w:right w:val="single" w:sz="18" w:space="0" w:color="FFFFFF"/>
            </w:tcBorders>
            <w:shd w:val="clear" w:color="auto" w:fill="D6E3BC"/>
          </w:tcPr>
          <w:p w14:paraId="34DF9168" w14:textId="77777777" w:rsidR="00131C34" w:rsidRPr="00257F44" w:rsidRDefault="00131C34" w:rsidP="00131C34">
            <w:pPr>
              <w:rPr>
                <w:rFonts w:ascii="Gill Sans" w:hAnsi="Gill Sans" w:cs="Gill Sans"/>
                <w:noProof/>
                <w:sz w:val="22"/>
                <w:szCs w:val="22"/>
                <w:lang w:val="uk-UA"/>
              </w:rPr>
            </w:pPr>
          </w:p>
        </w:tc>
        <w:tc>
          <w:tcPr>
            <w:tcW w:w="375" w:type="dxa"/>
            <w:vMerge/>
            <w:tcBorders>
              <w:left w:val="single" w:sz="2" w:space="0" w:color="FFFFFF"/>
              <w:right w:val="single" w:sz="2" w:space="0" w:color="FFFFFF"/>
            </w:tcBorders>
            <w:shd w:val="clear" w:color="auto" w:fill="FBD4B4"/>
          </w:tcPr>
          <w:p w14:paraId="7FDA0B15" w14:textId="77777777" w:rsidR="00131C34" w:rsidRPr="00257F44" w:rsidRDefault="00131C34" w:rsidP="00131C34">
            <w:pPr>
              <w:rPr>
                <w:rFonts w:ascii="Gill Sans" w:hAnsi="Gill Sans" w:cs="Gill Sans"/>
                <w:sz w:val="22"/>
                <w:szCs w:val="22"/>
                <w:lang w:val="uk-UA"/>
              </w:rPr>
            </w:pPr>
          </w:p>
        </w:tc>
        <w:tc>
          <w:tcPr>
            <w:tcW w:w="374" w:type="dxa"/>
            <w:vMerge/>
            <w:tcBorders>
              <w:left w:val="single" w:sz="2" w:space="0" w:color="FFFFFF"/>
              <w:right w:val="single" w:sz="2" w:space="0" w:color="FFFFFF"/>
            </w:tcBorders>
            <w:shd w:val="clear" w:color="auto" w:fill="FBD4B4"/>
          </w:tcPr>
          <w:p w14:paraId="6AE82FB2" w14:textId="77777777" w:rsidR="00131C34" w:rsidRPr="00257F44" w:rsidRDefault="00131C34" w:rsidP="00131C34">
            <w:pPr>
              <w:rPr>
                <w:rFonts w:ascii="Gill Sans" w:hAnsi="Gill Sans" w:cs="Gill Sans"/>
                <w:noProof/>
                <w:sz w:val="22"/>
                <w:szCs w:val="22"/>
                <w:lang w:val="uk-UA"/>
              </w:rPr>
            </w:pPr>
          </w:p>
        </w:tc>
        <w:tc>
          <w:tcPr>
            <w:tcW w:w="375" w:type="dxa"/>
            <w:vMerge/>
            <w:tcBorders>
              <w:left w:val="single" w:sz="2" w:space="0" w:color="FFFFFF"/>
              <w:right w:val="single" w:sz="2" w:space="0" w:color="FFFFFF"/>
            </w:tcBorders>
            <w:shd w:val="clear" w:color="auto" w:fill="FBD4B4"/>
          </w:tcPr>
          <w:p w14:paraId="687A9E4C" w14:textId="77777777" w:rsidR="00131C34" w:rsidRPr="00257F44" w:rsidRDefault="00131C34" w:rsidP="00131C34">
            <w:pPr>
              <w:rPr>
                <w:rFonts w:ascii="Gill Sans" w:hAnsi="Gill Sans" w:cs="Gill Sans"/>
                <w:noProof/>
                <w:sz w:val="22"/>
                <w:szCs w:val="22"/>
                <w:lang w:val="uk-UA"/>
              </w:rPr>
            </w:pPr>
          </w:p>
        </w:tc>
        <w:tc>
          <w:tcPr>
            <w:tcW w:w="861" w:type="dxa"/>
            <w:vMerge/>
            <w:tcBorders>
              <w:left w:val="single" w:sz="2" w:space="0" w:color="FFFFFF"/>
              <w:right w:val="single" w:sz="18" w:space="0" w:color="FFFFFF"/>
            </w:tcBorders>
            <w:shd w:val="clear" w:color="auto" w:fill="FBD4B4"/>
          </w:tcPr>
          <w:p w14:paraId="4317B355" w14:textId="77777777" w:rsidR="00131C34" w:rsidRPr="00257F44" w:rsidRDefault="00131C34" w:rsidP="00131C34">
            <w:pPr>
              <w:rPr>
                <w:rFonts w:ascii="Gill Sans" w:hAnsi="Gill Sans" w:cs="Gill Sans"/>
                <w:sz w:val="22"/>
                <w:szCs w:val="22"/>
                <w:lang w:val="uk-UA"/>
              </w:rPr>
            </w:pPr>
          </w:p>
        </w:tc>
        <w:tc>
          <w:tcPr>
            <w:tcW w:w="341" w:type="dxa"/>
            <w:vMerge/>
            <w:tcBorders>
              <w:left w:val="single" w:sz="18" w:space="0" w:color="FFFFFF"/>
              <w:right w:val="single" w:sz="2" w:space="0" w:color="FFFFFF"/>
            </w:tcBorders>
            <w:shd w:val="clear" w:color="auto" w:fill="CCC0D9"/>
          </w:tcPr>
          <w:p w14:paraId="7F47A907" w14:textId="77777777" w:rsidR="00131C34" w:rsidRPr="00257F44" w:rsidRDefault="00131C34" w:rsidP="00131C34">
            <w:pPr>
              <w:rPr>
                <w:rFonts w:ascii="Gill Sans" w:hAnsi="Gill Sans" w:cs="Gill Sans"/>
                <w:sz w:val="22"/>
                <w:szCs w:val="22"/>
                <w:lang w:val="uk-UA"/>
              </w:rPr>
            </w:pPr>
          </w:p>
        </w:tc>
        <w:tc>
          <w:tcPr>
            <w:tcW w:w="349" w:type="dxa"/>
            <w:vMerge/>
            <w:tcBorders>
              <w:left w:val="single" w:sz="2" w:space="0" w:color="FFFFFF"/>
              <w:right w:val="single" w:sz="2" w:space="0" w:color="FFFFFF"/>
            </w:tcBorders>
            <w:shd w:val="clear" w:color="auto" w:fill="CCC0D9"/>
          </w:tcPr>
          <w:p w14:paraId="7B2C79FC" w14:textId="77777777" w:rsidR="00131C34" w:rsidRPr="00257F44" w:rsidRDefault="00131C34" w:rsidP="00131C34">
            <w:pPr>
              <w:rPr>
                <w:rFonts w:ascii="Gill Sans" w:hAnsi="Gill Sans" w:cs="Gill Sans"/>
                <w:sz w:val="22"/>
                <w:szCs w:val="22"/>
                <w:lang w:val="uk-UA"/>
              </w:rPr>
            </w:pPr>
          </w:p>
        </w:tc>
        <w:tc>
          <w:tcPr>
            <w:tcW w:w="430" w:type="dxa"/>
            <w:vMerge/>
            <w:tcBorders>
              <w:left w:val="single" w:sz="2" w:space="0" w:color="FFFFFF"/>
              <w:right w:val="single" w:sz="2" w:space="0" w:color="FFFFFF"/>
            </w:tcBorders>
            <w:shd w:val="clear" w:color="auto" w:fill="CCC0D9"/>
          </w:tcPr>
          <w:p w14:paraId="7450AFE8" w14:textId="77777777" w:rsidR="00131C34" w:rsidRPr="00257F44" w:rsidRDefault="00131C34" w:rsidP="00131C34">
            <w:pPr>
              <w:rPr>
                <w:rFonts w:ascii="Gill Sans" w:hAnsi="Gill Sans" w:cs="Gill Sans"/>
                <w:noProof/>
                <w:sz w:val="22"/>
                <w:szCs w:val="22"/>
                <w:lang w:val="uk-UA"/>
              </w:rPr>
            </w:pPr>
          </w:p>
        </w:tc>
        <w:tc>
          <w:tcPr>
            <w:tcW w:w="349" w:type="dxa"/>
            <w:vMerge/>
            <w:tcBorders>
              <w:left w:val="single" w:sz="2" w:space="0" w:color="FFFFFF"/>
              <w:right w:val="single" w:sz="18" w:space="0" w:color="FFFFFF"/>
            </w:tcBorders>
            <w:shd w:val="clear" w:color="auto" w:fill="CCC0D9"/>
          </w:tcPr>
          <w:p w14:paraId="56793EC2" w14:textId="77777777" w:rsidR="00131C34" w:rsidRPr="00257F44" w:rsidRDefault="00131C34" w:rsidP="00131C34">
            <w:pPr>
              <w:rPr>
                <w:rFonts w:ascii="Gill Sans" w:hAnsi="Gill Sans" w:cs="Gill Sans"/>
                <w:sz w:val="22"/>
                <w:szCs w:val="22"/>
                <w:lang w:val="uk-UA"/>
              </w:rPr>
            </w:pPr>
          </w:p>
        </w:tc>
        <w:tc>
          <w:tcPr>
            <w:tcW w:w="486"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04696C7A" w14:textId="77777777" w:rsidR="00131C34" w:rsidRPr="00257F44" w:rsidRDefault="00131C34" w:rsidP="00131C34">
            <w:pPr>
              <w:rPr>
                <w:rFonts w:ascii="Gill Sans" w:hAnsi="Gill Sans" w:cs="Gill Sans"/>
                <w:sz w:val="22"/>
                <w:szCs w:val="22"/>
                <w:lang w:val="uk-UA"/>
              </w:rPr>
            </w:pPr>
          </w:p>
        </w:tc>
        <w:tc>
          <w:tcPr>
            <w:tcW w:w="537"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5B73292F" w14:textId="77777777" w:rsidR="00131C34" w:rsidRPr="00257F44" w:rsidRDefault="00131C34" w:rsidP="00131C34">
            <w:pPr>
              <w:rPr>
                <w:rFonts w:ascii="Gill Sans" w:hAnsi="Gill Sans" w:cs="Gill Sans"/>
                <w:sz w:val="22"/>
                <w:szCs w:val="22"/>
                <w:lang w:val="uk-UA"/>
              </w:rPr>
            </w:pPr>
          </w:p>
        </w:tc>
        <w:tc>
          <w:tcPr>
            <w:tcW w:w="537"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6BFFD7FF" w14:textId="77777777" w:rsidR="00131C34" w:rsidRPr="00257F44" w:rsidRDefault="00131C34" w:rsidP="00131C34">
            <w:pPr>
              <w:rPr>
                <w:rFonts w:ascii="Gill Sans" w:hAnsi="Gill Sans" w:cs="Gill Sans"/>
                <w:sz w:val="22"/>
                <w:szCs w:val="22"/>
                <w:lang w:val="uk-UA"/>
              </w:rPr>
            </w:pPr>
          </w:p>
        </w:tc>
        <w:tc>
          <w:tcPr>
            <w:tcW w:w="418"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510E4F5E" w14:textId="77777777" w:rsidR="00131C34" w:rsidRPr="00257F44" w:rsidRDefault="00131C34" w:rsidP="00131C34">
            <w:pPr>
              <w:jc w:val="cente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23" w:type="dxa"/>
            <w:vMerge/>
            <w:tcBorders>
              <w:left w:val="single" w:sz="18" w:space="0" w:color="FFFFFF"/>
              <w:right w:val="single" w:sz="2" w:space="0" w:color="FFFFFF"/>
            </w:tcBorders>
            <w:shd w:val="clear" w:color="auto" w:fill="D99594"/>
          </w:tcPr>
          <w:p w14:paraId="2D079B32" w14:textId="77777777" w:rsidR="00131C34" w:rsidRPr="00257F44" w:rsidRDefault="00131C34" w:rsidP="00131C34">
            <w:pPr>
              <w:rPr>
                <w:rFonts w:ascii="Gill Sans" w:hAnsi="Gill Sans" w:cs="Gill Sans"/>
                <w:sz w:val="22"/>
                <w:szCs w:val="22"/>
                <w:lang w:val="uk-UA"/>
              </w:rPr>
            </w:pPr>
          </w:p>
        </w:tc>
        <w:tc>
          <w:tcPr>
            <w:tcW w:w="371" w:type="dxa"/>
            <w:vMerge/>
            <w:tcBorders>
              <w:left w:val="single" w:sz="2" w:space="0" w:color="FFFFFF"/>
              <w:right w:val="single" w:sz="2" w:space="0" w:color="FFFFFF"/>
            </w:tcBorders>
            <w:shd w:val="clear" w:color="auto" w:fill="D99594"/>
          </w:tcPr>
          <w:p w14:paraId="17D9A309" w14:textId="77777777" w:rsidR="00131C34" w:rsidRPr="00257F44" w:rsidRDefault="00131C34" w:rsidP="00131C34">
            <w:pPr>
              <w:rPr>
                <w:rFonts w:ascii="Gill Sans" w:hAnsi="Gill Sans" w:cs="Gill Sans"/>
                <w:sz w:val="22"/>
                <w:szCs w:val="22"/>
                <w:lang w:val="uk-UA"/>
              </w:rPr>
            </w:pPr>
          </w:p>
        </w:tc>
        <w:tc>
          <w:tcPr>
            <w:tcW w:w="430" w:type="dxa"/>
            <w:vMerge/>
            <w:tcBorders>
              <w:left w:val="single" w:sz="2" w:space="0" w:color="FFFFFF"/>
              <w:right w:val="single" w:sz="2" w:space="0" w:color="FFFFFF"/>
            </w:tcBorders>
            <w:shd w:val="clear" w:color="auto" w:fill="D99594"/>
          </w:tcPr>
          <w:p w14:paraId="135049E4" w14:textId="77777777" w:rsidR="00131C34" w:rsidRPr="00257F44" w:rsidRDefault="00131C34" w:rsidP="00131C34">
            <w:pPr>
              <w:rPr>
                <w:rFonts w:ascii="Gill Sans" w:hAnsi="Gill Sans" w:cs="Gill Sans"/>
                <w:sz w:val="22"/>
                <w:szCs w:val="22"/>
                <w:lang w:val="uk-UA"/>
              </w:rPr>
            </w:pPr>
          </w:p>
        </w:tc>
        <w:tc>
          <w:tcPr>
            <w:tcW w:w="349" w:type="dxa"/>
            <w:vMerge/>
            <w:tcBorders>
              <w:left w:val="single" w:sz="2" w:space="0" w:color="FFFFFF"/>
              <w:right w:val="single" w:sz="2" w:space="0" w:color="FFFFFF"/>
            </w:tcBorders>
            <w:shd w:val="clear" w:color="auto" w:fill="D99594"/>
          </w:tcPr>
          <w:p w14:paraId="0A2F7D75" w14:textId="77777777" w:rsidR="00131C34" w:rsidRPr="00257F44" w:rsidRDefault="00131C34" w:rsidP="00131C34">
            <w:pPr>
              <w:rPr>
                <w:rFonts w:ascii="Gill Sans" w:hAnsi="Gill Sans" w:cs="Gill Sans"/>
                <w:noProof/>
                <w:sz w:val="22"/>
                <w:szCs w:val="22"/>
                <w:lang w:val="uk-UA"/>
              </w:rPr>
            </w:pPr>
          </w:p>
        </w:tc>
        <w:tc>
          <w:tcPr>
            <w:tcW w:w="430" w:type="dxa"/>
            <w:vMerge/>
            <w:tcBorders>
              <w:left w:val="single" w:sz="2" w:space="0" w:color="FFFFFF"/>
              <w:right w:val="single" w:sz="18" w:space="0" w:color="FFFFFF"/>
            </w:tcBorders>
            <w:shd w:val="clear" w:color="auto" w:fill="D99594"/>
          </w:tcPr>
          <w:p w14:paraId="5AECABDF" w14:textId="77777777" w:rsidR="00131C34" w:rsidRPr="00257F44" w:rsidRDefault="00131C34" w:rsidP="00131C34">
            <w:pPr>
              <w:rPr>
                <w:rFonts w:ascii="Gill Sans" w:hAnsi="Gill Sans" w:cs="Gill Sans"/>
                <w:sz w:val="22"/>
                <w:szCs w:val="22"/>
                <w:lang w:val="uk-UA"/>
              </w:rPr>
            </w:pPr>
          </w:p>
        </w:tc>
      </w:tr>
    </w:tbl>
    <w:p w14:paraId="203BBB12" w14:textId="77777777" w:rsidR="00757189" w:rsidRPr="00257F44" w:rsidRDefault="00757189" w:rsidP="00163080">
      <w:pPr>
        <w:rPr>
          <w:lang w:val="uk-UA"/>
        </w:rPr>
      </w:pPr>
    </w:p>
    <w:p w14:paraId="3CBCA921" w14:textId="2362ABFE" w:rsidR="00545B73" w:rsidRPr="00257F44" w:rsidRDefault="0029341E" w:rsidP="003F0D03">
      <w:pPr>
        <w:pStyle w:val="Heading3"/>
        <w:spacing w:after="120"/>
        <w:rPr>
          <w:lang w:val="uk-UA"/>
        </w:rPr>
      </w:pPr>
      <w:r w:rsidRPr="00257F44">
        <w:rPr>
          <w:lang w:val="uk-UA"/>
        </w:rPr>
        <w:t>Мета зобов’язання</w:t>
      </w:r>
    </w:p>
    <w:p w14:paraId="1C89473B" w14:textId="699F4966" w:rsidR="00734F02" w:rsidRPr="00257F44" w:rsidRDefault="00A544BE" w:rsidP="003F0D03">
      <w:pPr>
        <w:spacing w:after="120"/>
        <w:rPr>
          <w:rFonts w:ascii="Gill Sans" w:hAnsi="Gill Sans" w:cs="Gill Sans"/>
          <w:sz w:val="22"/>
          <w:szCs w:val="22"/>
          <w:lang w:val="uk-UA"/>
        </w:rPr>
      </w:pPr>
      <w:r w:rsidRPr="00257F44">
        <w:rPr>
          <w:rFonts w:ascii="Gill Sans" w:hAnsi="Gill Sans" w:cs="Gill Sans"/>
          <w:sz w:val="22"/>
          <w:szCs w:val="22"/>
          <w:lang w:val="uk-UA"/>
        </w:rPr>
        <w:t xml:space="preserve">Зобов’язання намагалося покращити </w:t>
      </w:r>
      <w:r w:rsidR="00734F02" w:rsidRPr="00257F44">
        <w:rPr>
          <w:rFonts w:ascii="Gill Sans" w:hAnsi="Gill Sans" w:cs="Gill Sans"/>
          <w:sz w:val="22"/>
          <w:szCs w:val="22"/>
          <w:lang w:val="uk-UA"/>
        </w:rPr>
        <w:t>суспільний</w:t>
      </w:r>
      <w:r w:rsidRPr="00257F44">
        <w:rPr>
          <w:rFonts w:ascii="Gill Sans" w:hAnsi="Gill Sans" w:cs="Gill Sans"/>
          <w:sz w:val="22"/>
          <w:szCs w:val="22"/>
          <w:lang w:val="uk-UA"/>
        </w:rPr>
        <w:t xml:space="preserve"> доступ до інформації у володінні органів влади, </w:t>
      </w:r>
      <w:r w:rsidR="00734F02" w:rsidRPr="00257F44">
        <w:rPr>
          <w:rFonts w:ascii="Gill Sans" w:hAnsi="Gill Sans" w:cs="Gill Sans"/>
          <w:sz w:val="22"/>
          <w:szCs w:val="22"/>
          <w:lang w:val="uk-UA"/>
        </w:rPr>
        <w:t xml:space="preserve">визначити </w:t>
      </w:r>
      <w:r w:rsidRPr="00257F44">
        <w:rPr>
          <w:rFonts w:ascii="Gill Sans" w:hAnsi="Gill Sans" w:cs="Gill Sans"/>
          <w:sz w:val="22"/>
          <w:szCs w:val="22"/>
          <w:lang w:val="uk-UA"/>
        </w:rPr>
        <w:t xml:space="preserve">більш прозорий процес обробки службової інформації та зменшити кількість безпідставних відмов </w:t>
      </w:r>
      <w:r w:rsidR="00734F02" w:rsidRPr="00257F44">
        <w:rPr>
          <w:rFonts w:ascii="Gill Sans" w:hAnsi="Gill Sans" w:cs="Gill Sans"/>
          <w:sz w:val="22"/>
          <w:szCs w:val="22"/>
          <w:lang w:val="uk-UA"/>
        </w:rPr>
        <w:t xml:space="preserve">в задоволенні інформаційних запитів. Це мало бути зроблено шляхом </w:t>
      </w:r>
      <w:r w:rsidR="00DE467F" w:rsidRPr="00257F44">
        <w:rPr>
          <w:rFonts w:ascii="Gill Sans" w:hAnsi="Gill Sans" w:cs="Gill Sans"/>
          <w:sz w:val="22"/>
          <w:szCs w:val="22"/>
          <w:lang w:val="uk-UA"/>
        </w:rPr>
        <w:t xml:space="preserve">більшої </w:t>
      </w:r>
      <w:r w:rsidR="00734F02" w:rsidRPr="00257F44">
        <w:rPr>
          <w:rFonts w:ascii="Gill Sans" w:hAnsi="Gill Sans" w:cs="Gill Sans"/>
          <w:sz w:val="22"/>
          <w:szCs w:val="22"/>
          <w:lang w:val="uk-UA"/>
        </w:rPr>
        <w:t>прозорості регулювання та перенесення прогресивних положень Закону про доступ до публічної інформації до підзаконних актів.</w:t>
      </w:r>
    </w:p>
    <w:p w14:paraId="2E07C229" w14:textId="77777777" w:rsidR="00A20034" w:rsidRPr="00257F44" w:rsidRDefault="00A20034" w:rsidP="003F0D03">
      <w:pPr>
        <w:pStyle w:val="Heading3"/>
        <w:spacing w:after="120"/>
        <w:rPr>
          <w:lang w:val="uk-UA"/>
        </w:rPr>
      </w:pPr>
      <w:r w:rsidRPr="00257F44">
        <w:rPr>
          <w:lang w:val="uk-UA"/>
        </w:rPr>
        <w:t>Статус виконання</w:t>
      </w:r>
    </w:p>
    <w:p w14:paraId="5BAD9D27" w14:textId="0B11D804" w:rsidR="00A20034" w:rsidRPr="00257F44" w:rsidRDefault="00A20034" w:rsidP="003F0D03">
      <w:pPr>
        <w:pStyle w:val="Normalrglronly"/>
        <w:rPr>
          <w:b/>
          <w:lang w:val="uk-UA"/>
        </w:rPr>
      </w:pPr>
      <w:r w:rsidRPr="00257F44">
        <w:rPr>
          <w:b/>
          <w:lang w:val="uk-UA"/>
        </w:rPr>
        <w:t>Проміжний звіт: Значне</w:t>
      </w:r>
      <w:r w:rsidR="00380840" w:rsidRPr="00257F44">
        <w:rPr>
          <w:b/>
          <w:lang w:val="uk-UA"/>
        </w:rPr>
        <w:t xml:space="preserve"> виконання</w:t>
      </w:r>
    </w:p>
    <w:p w14:paraId="0BBECF09" w14:textId="25790807" w:rsidR="00546C25" w:rsidRPr="00257F44" w:rsidRDefault="00311BD9" w:rsidP="003F0D03">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Закон України 2011 року про доступ до публічної інформації змінив законодавчу базу щодо доступу до інформації у володінні органів влади. Зокрема, закон змінив класифікацію </w:t>
      </w:r>
      <w:r w:rsidR="00FB37FB" w:rsidRPr="00257F44">
        <w:rPr>
          <w:rFonts w:ascii="Gill Sans" w:hAnsi="Gill Sans" w:cs="Gill Sans"/>
          <w:noProof/>
          <w:sz w:val="22"/>
          <w:szCs w:val="22"/>
          <w:lang w:val="uk-UA"/>
        </w:rPr>
        <w:t>інформації з обмеженим доступом, запровадивши</w:t>
      </w:r>
      <w:r w:rsidRPr="00257F44">
        <w:rPr>
          <w:rFonts w:ascii="Gill Sans" w:hAnsi="Gill Sans" w:cs="Gill Sans"/>
          <w:noProof/>
          <w:sz w:val="22"/>
          <w:szCs w:val="22"/>
          <w:lang w:val="uk-UA"/>
        </w:rPr>
        <w:t xml:space="preserve"> новий тип такої інформації – “службова інформація”. </w:t>
      </w:r>
      <w:r w:rsidR="00FB37FB" w:rsidRPr="00257F44">
        <w:rPr>
          <w:rFonts w:ascii="Gill Sans" w:hAnsi="Gill Sans" w:cs="Gill Sans"/>
          <w:noProof/>
          <w:sz w:val="22"/>
          <w:szCs w:val="22"/>
          <w:lang w:val="uk-UA"/>
        </w:rPr>
        <w:t xml:space="preserve">У березні 2014 року парламент доручив Уряду затвердити </w:t>
      </w:r>
      <w:r w:rsidR="00991366" w:rsidRPr="00257F44">
        <w:rPr>
          <w:rFonts w:ascii="Gill Sans" w:hAnsi="Gill Sans" w:cs="Gill Sans"/>
          <w:noProof/>
          <w:sz w:val="22"/>
          <w:szCs w:val="22"/>
          <w:lang w:val="uk-UA"/>
        </w:rPr>
        <w:t>порядок</w:t>
      </w:r>
      <w:r w:rsidR="00DE467F" w:rsidRPr="00257F44">
        <w:rPr>
          <w:rFonts w:ascii="Gill Sans" w:hAnsi="Gill Sans" w:cs="Gill Sans"/>
          <w:noProof/>
          <w:sz w:val="22"/>
          <w:szCs w:val="22"/>
          <w:lang w:val="uk-UA"/>
        </w:rPr>
        <w:t>, про який й</w:t>
      </w:r>
      <w:r w:rsidR="00FB37FB" w:rsidRPr="00257F44">
        <w:rPr>
          <w:rFonts w:ascii="Gill Sans" w:hAnsi="Gill Sans" w:cs="Gill Sans"/>
          <w:noProof/>
          <w:sz w:val="22"/>
          <w:szCs w:val="22"/>
          <w:lang w:val="uk-UA"/>
        </w:rPr>
        <w:t xml:space="preserve">деться в зобов’язанні в рамках ПВУ, до </w:t>
      </w:r>
      <w:r w:rsidR="0079406C" w:rsidRPr="00257F44">
        <w:rPr>
          <w:rFonts w:ascii="Gill Sans" w:hAnsi="Gill Sans" w:cs="Gill Sans"/>
          <w:noProof/>
          <w:sz w:val="22"/>
          <w:szCs w:val="22"/>
          <w:lang w:val="uk-UA"/>
        </w:rPr>
        <w:t xml:space="preserve">середини </w:t>
      </w:r>
      <w:r w:rsidR="00FB37FB" w:rsidRPr="00257F44">
        <w:rPr>
          <w:rFonts w:ascii="Gill Sans" w:hAnsi="Gill Sans" w:cs="Gill Sans"/>
          <w:noProof/>
          <w:sz w:val="22"/>
          <w:szCs w:val="22"/>
          <w:lang w:val="uk-UA"/>
        </w:rPr>
        <w:t>жовтня 2014 року</w:t>
      </w:r>
      <w:r w:rsidR="0079406C" w:rsidRPr="00257F44">
        <w:rPr>
          <w:rStyle w:val="EndnoteReference"/>
          <w:rFonts w:ascii="Gill Sans" w:hAnsi="Gill Sans" w:cs="Gill Sans"/>
          <w:noProof/>
          <w:sz w:val="22"/>
          <w:szCs w:val="22"/>
          <w:lang w:val="uk-UA"/>
        </w:rPr>
        <w:endnoteReference w:id="12"/>
      </w:r>
      <w:r w:rsidR="00FB37FB" w:rsidRPr="00257F44">
        <w:rPr>
          <w:rFonts w:ascii="Gill Sans" w:hAnsi="Gill Sans" w:cs="Gill Sans"/>
          <w:noProof/>
          <w:sz w:val="22"/>
          <w:szCs w:val="22"/>
          <w:lang w:val="uk-UA"/>
        </w:rPr>
        <w:t xml:space="preserve">. </w:t>
      </w:r>
      <w:r w:rsidR="0079406C" w:rsidRPr="00257F44">
        <w:rPr>
          <w:rFonts w:ascii="Gill Sans" w:hAnsi="Gill Sans" w:cs="Gill Sans"/>
          <w:noProof/>
          <w:sz w:val="22"/>
          <w:szCs w:val="22"/>
          <w:lang w:val="uk-UA"/>
        </w:rPr>
        <w:t xml:space="preserve">Державна архівна служба підготувала декілька версій проекту акта та оприлюднила їх для громадських консультацій, а також обговорила його з офісом омбудсмана. Як НДО, так і офіс омбудсмана розкритикували проект порядку, оскільки він не повною мірою відповідав Закону про доступ до публічної інформації. </w:t>
      </w:r>
      <w:r w:rsidR="00380840" w:rsidRPr="00257F44">
        <w:rPr>
          <w:rFonts w:ascii="Gill Sans" w:hAnsi="Gill Sans" w:cs="Gill Sans"/>
          <w:noProof/>
          <w:sz w:val="22"/>
          <w:szCs w:val="22"/>
          <w:lang w:val="uk-UA"/>
        </w:rPr>
        <w:t>У результаті, Уряд так і не затвердив порядок</w:t>
      </w:r>
      <w:r w:rsidR="00546C25" w:rsidRPr="00257F44">
        <w:rPr>
          <w:rStyle w:val="EndnoteReference"/>
          <w:rFonts w:ascii="Gill Sans" w:hAnsi="Gill Sans" w:cs="Gill Sans"/>
          <w:noProof/>
          <w:sz w:val="22"/>
          <w:szCs w:val="22"/>
          <w:lang w:val="uk-UA"/>
        </w:rPr>
        <w:endnoteReference w:id="13"/>
      </w:r>
      <w:r w:rsidR="00380840" w:rsidRPr="00257F44">
        <w:rPr>
          <w:rFonts w:ascii="Gill Sans" w:hAnsi="Gill Sans" w:cs="Gill Sans"/>
          <w:noProof/>
          <w:sz w:val="22"/>
          <w:szCs w:val="22"/>
          <w:lang w:val="uk-UA"/>
        </w:rPr>
        <w:t>.</w:t>
      </w:r>
      <w:r w:rsidR="00546C25" w:rsidRPr="00257F44">
        <w:rPr>
          <w:rFonts w:ascii="Gill Sans" w:hAnsi="Gill Sans" w:cs="Gill Sans"/>
          <w:noProof/>
          <w:sz w:val="22"/>
          <w:szCs w:val="22"/>
          <w:lang w:val="uk-UA"/>
        </w:rPr>
        <w:t xml:space="preserve"> </w:t>
      </w:r>
    </w:p>
    <w:p w14:paraId="2AA45BA8" w14:textId="434A3828" w:rsidR="00546C25" w:rsidRPr="00257F44" w:rsidRDefault="00A20034" w:rsidP="003F0D03">
      <w:pPr>
        <w:pStyle w:val="Normalrglronly"/>
        <w:rPr>
          <w:b/>
          <w:lang w:val="uk-UA"/>
        </w:rPr>
      </w:pPr>
      <w:r w:rsidRPr="00257F44">
        <w:rPr>
          <w:b/>
          <w:lang w:val="uk-UA"/>
        </w:rPr>
        <w:lastRenderedPageBreak/>
        <w:t>Підсумковий звіт</w:t>
      </w:r>
      <w:r w:rsidR="00546C25" w:rsidRPr="00257F44">
        <w:rPr>
          <w:b/>
          <w:lang w:val="uk-UA"/>
        </w:rPr>
        <w:t xml:space="preserve">: </w:t>
      </w:r>
      <w:r w:rsidRPr="00257F44">
        <w:rPr>
          <w:b/>
          <w:lang w:val="uk-UA"/>
        </w:rPr>
        <w:t>Повне</w:t>
      </w:r>
      <w:r w:rsidR="00380840" w:rsidRPr="00257F44">
        <w:rPr>
          <w:b/>
          <w:lang w:val="uk-UA"/>
        </w:rPr>
        <w:t xml:space="preserve"> виконання</w:t>
      </w:r>
    </w:p>
    <w:p w14:paraId="11593CBD" w14:textId="6C97AE7C" w:rsidR="00380840" w:rsidRPr="00257F44" w:rsidRDefault="00380840" w:rsidP="003F0D03">
      <w:pPr>
        <w:spacing w:after="120"/>
        <w:rPr>
          <w:rFonts w:ascii="Gill Sans" w:hAnsi="Gill Sans" w:cs="Gill Sans"/>
          <w:noProof/>
          <w:sz w:val="22"/>
          <w:szCs w:val="22"/>
          <w:lang w:val="uk-UA"/>
        </w:rPr>
      </w:pPr>
      <w:r w:rsidRPr="00257F44">
        <w:rPr>
          <w:rFonts w:ascii="Gill Sans" w:hAnsi="Gill Sans" w:cs="Gill Sans"/>
          <w:noProof/>
          <w:sz w:val="22"/>
          <w:szCs w:val="22"/>
          <w:lang w:val="uk-UA"/>
        </w:rPr>
        <w:t>П</w:t>
      </w:r>
      <w:r w:rsidR="00991366" w:rsidRPr="00257F44">
        <w:rPr>
          <w:rFonts w:ascii="Gill Sans" w:hAnsi="Gill Sans" w:cs="Gill Sans"/>
          <w:noProof/>
          <w:sz w:val="22"/>
          <w:szCs w:val="22"/>
          <w:lang w:val="uk-UA"/>
        </w:rPr>
        <w:t>ісля відхилення кількох версій</w:t>
      </w:r>
      <w:r w:rsidRPr="00257F44">
        <w:rPr>
          <w:rFonts w:ascii="Gill Sans" w:hAnsi="Gill Sans" w:cs="Gill Sans"/>
          <w:noProof/>
          <w:sz w:val="22"/>
          <w:szCs w:val="22"/>
          <w:lang w:val="uk-UA"/>
        </w:rPr>
        <w:t xml:space="preserve"> проекту порядку, Уряд нарешті затвердив документ 19 жовтня 2016 року</w:t>
      </w:r>
      <w:r w:rsidRPr="00257F44">
        <w:rPr>
          <w:rStyle w:val="EndnoteReference"/>
          <w:rFonts w:ascii="Gill Sans" w:hAnsi="Gill Sans" w:cs="Gill Sans"/>
          <w:noProof/>
          <w:sz w:val="22"/>
          <w:szCs w:val="22"/>
          <w:lang w:val="uk-UA"/>
        </w:rPr>
        <w:endnoteReference w:id="14"/>
      </w:r>
      <w:r w:rsidRPr="00257F44">
        <w:rPr>
          <w:rFonts w:ascii="Gill Sans" w:hAnsi="Gill Sans" w:cs="Gill Sans"/>
          <w:noProof/>
          <w:sz w:val="22"/>
          <w:szCs w:val="22"/>
          <w:lang w:val="uk-UA"/>
        </w:rPr>
        <w:t>. Докумен</w:t>
      </w:r>
      <w:r w:rsidR="005234F2" w:rsidRPr="00257F44">
        <w:rPr>
          <w:rFonts w:ascii="Gill Sans" w:hAnsi="Gill Sans" w:cs="Gill Sans"/>
          <w:noProof/>
          <w:sz w:val="22"/>
          <w:szCs w:val="22"/>
          <w:lang w:val="uk-UA"/>
        </w:rPr>
        <w:t>т було схвалено у формі типової</w:t>
      </w:r>
      <w:r w:rsidRPr="00257F44">
        <w:rPr>
          <w:rFonts w:ascii="Gill Sans" w:hAnsi="Gill Sans" w:cs="Gill Sans"/>
          <w:noProof/>
          <w:sz w:val="22"/>
          <w:szCs w:val="22"/>
          <w:lang w:val="uk-UA"/>
        </w:rPr>
        <w:t xml:space="preserve"> </w:t>
      </w:r>
      <w:r w:rsidR="005234F2" w:rsidRPr="00257F44">
        <w:rPr>
          <w:rFonts w:ascii="Gill Sans" w:hAnsi="Gill Sans" w:cs="Gill Sans"/>
          <w:noProof/>
          <w:sz w:val="22"/>
          <w:szCs w:val="22"/>
          <w:lang w:val="uk-UA"/>
        </w:rPr>
        <w:t>інструкції про порядок ведення облі</w:t>
      </w:r>
      <w:r w:rsidR="005123B1" w:rsidRPr="00257F44">
        <w:rPr>
          <w:rFonts w:ascii="Gill Sans" w:hAnsi="Gill Sans" w:cs="Gill Sans"/>
          <w:noProof/>
          <w:sz w:val="22"/>
          <w:szCs w:val="22"/>
          <w:lang w:val="uk-UA"/>
        </w:rPr>
        <w:t>ку, зберігання</w:t>
      </w:r>
      <w:r w:rsidR="005234F2" w:rsidRPr="00257F44">
        <w:rPr>
          <w:rFonts w:ascii="Gill Sans" w:hAnsi="Gill Sans" w:cs="Gill Sans"/>
          <w:noProof/>
          <w:sz w:val="22"/>
          <w:szCs w:val="22"/>
          <w:lang w:val="uk-UA"/>
        </w:rPr>
        <w:t>,</w:t>
      </w:r>
      <w:r w:rsidR="005123B1" w:rsidRPr="00257F44">
        <w:rPr>
          <w:rFonts w:ascii="Gill Sans" w:hAnsi="Gill Sans" w:cs="Gill Sans"/>
          <w:noProof/>
          <w:sz w:val="22"/>
          <w:szCs w:val="22"/>
          <w:lang w:val="uk-UA"/>
        </w:rPr>
        <w:t xml:space="preserve"> використання </w:t>
      </w:r>
      <w:r w:rsidR="005234F2" w:rsidRPr="00257F44">
        <w:rPr>
          <w:rFonts w:ascii="Gill Sans" w:hAnsi="Gill Sans" w:cs="Gill Sans"/>
          <w:noProof/>
          <w:sz w:val="22"/>
          <w:szCs w:val="22"/>
          <w:lang w:val="uk-UA"/>
        </w:rPr>
        <w:t xml:space="preserve">і знищення </w:t>
      </w:r>
      <w:r w:rsidR="005123B1" w:rsidRPr="00257F44">
        <w:rPr>
          <w:rFonts w:ascii="Gill Sans" w:hAnsi="Gill Sans" w:cs="Gill Sans"/>
          <w:noProof/>
          <w:sz w:val="22"/>
          <w:szCs w:val="22"/>
          <w:lang w:val="uk-UA"/>
        </w:rPr>
        <w:t xml:space="preserve">документів та інших </w:t>
      </w:r>
      <w:r w:rsidR="005234F2" w:rsidRPr="00257F44">
        <w:rPr>
          <w:rFonts w:ascii="Gill Sans" w:hAnsi="Gill Sans" w:cs="Gill Sans"/>
          <w:noProof/>
          <w:sz w:val="22"/>
          <w:szCs w:val="22"/>
          <w:lang w:val="uk-UA"/>
        </w:rPr>
        <w:t xml:space="preserve">матеріальних </w:t>
      </w:r>
      <w:r w:rsidR="005123B1" w:rsidRPr="00257F44">
        <w:rPr>
          <w:rFonts w:ascii="Gill Sans" w:hAnsi="Gill Sans" w:cs="Gill Sans"/>
          <w:noProof/>
          <w:sz w:val="22"/>
          <w:szCs w:val="22"/>
          <w:lang w:val="uk-UA"/>
        </w:rPr>
        <w:t>носіїв інформації, що містять службову інформацію. Це робить цей акт рекомендаційним за своєю природою. Такий підхід відповідає Закону про інформацію 2011 року, який</w:t>
      </w:r>
      <w:r w:rsidR="00894FD3" w:rsidRPr="00257F44">
        <w:rPr>
          <w:rFonts w:ascii="Gill Sans" w:hAnsi="Gill Sans" w:cs="Gill Sans"/>
          <w:noProof/>
          <w:sz w:val="22"/>
          <w:szCs w:val="22"/>
          <w:lang w:val="uk-UA"/>
        </w:rPr>
        <w:t xml:space="preserve"> скасував повноваження Уряд</w:t>
      </w:r>
      <w:r w:rsidR="00991366" w:rsidRPr="00257F44">
        <w:rPr>
          <w:rFonts w:ascii="Gill Sans" w:hAnsi="Gill Sans" w:cs="Gill Sans"/>
          <w:noProof/>
          <w:sz w:val="22"/>
          <w:szCs w:val="22"/>
          <w:lang w:val="uk-UA"/>
        </w:rPr>
        <w:t>у</w:t>
      </w:r>
      <w:r w:rsidR="00894FD3" w:rsidRPr="00257F44">
        <w:rPr>
          <w:rFonts w:ascii="Gill Sans" w:hAnsi="Gill Sans" w:cs="Gill Sans"/>
          <w:noProof/>
          <w:sz w:val="22"/>
          <w:szCs w:val="22"/>
          <w:lang w:val="uk-UA"/>
        </w:rPr>
        <w:t xml:space="preserve"> </w:t>
      </w:r>
      <w:r w:rsidR="00991366" w:rsidRPr="00257F44">
        <w:rPr>
          <w:rFonts w:ascii="Gill Sans" w:hAnsi="Gill Sans" w:cs="Gill Sans"/>
          <w:noProof/>
          <w:sz w:val="22"/>
          <w:szCs w:val="22"/>
          <w:lang w:val="uk-UA"/>
        </w:rPr>
        <w:t xml:space="preserve">щодо </w:t>
      </w:r>
      <w:r w:rsidR="00894FD3" w:rsidRPr="00257F44">
        <w:rPr>
          <w:rFonts w:ascii="Gill Sans" w:hAnsi="Gill Sans" w:cs="Gill Sans"/>
          <w:noProof/>
          <w:sz w:val="22"/>
          <w:szCs w:val="22"/>
          <w:lang w:val="uk-UA"/>
        </w:rPr>
        <w:t xml:space="preserve">затвердження обов’язкових правил </w:t>
      </w:r>
      <w:r w:rsidR="00991366" w:rsidRPr="00257F44">
        <w:rPr>
          <w:rFonts w:ascii="Gill Sans" w:hAnsi="Gill Sans" w:cs="Gill Sans"/>
          <w:noProof/>
          <w:sz w:val="22"/>
          <w:szCs w:val="22"/>
          <w:lang w:val="uk-UA"/>
        </w:rPr>
        <w:t>в цьому відношенні</w:t>
      </w:r>
      <w:r w:rsidR="00894FD3" w:rsidRPr="00257F44">
        <w:rPr>
          <w:rStyle w:val="EndnoteReference"/>
          <w:rFonts w:ascii="Gill Sans" w:hAnsi="Gill Sans" w:cs="Gill Sans"/>
          <w:noProof/>
          <w:sz w:val="22"/>
          <w:szCs w:val="22"/>
          <w:lang w:val="uk-UA"/>
        </w:rPr>
        <w:endnoteReference w:id="15"/>
      </w:r>
      <w:r w:rsidR="00894FD3" w:rsidRPr="00257F44">
        <w:rPr>
          <w:rFonts w:ascii="Gill Sans" w:hAnsi="Gill Sans" w:cs="Gill Sans"/>
          <w:noProof/>
          <w:sz w:val="22"/>
          <w:szCs w:val="22"/>
          <w:lang w:val="uk-UA"/>
        </w:rPr>
        <w:t xml:space="preserve">. Остаточний текст </w:t>
      </w:r>
      <w:r w:rsidR="00991366" w:rsidRPr="00257F44">
        <w:rPr>
          <w:rFonts w:ascii="Gill Sans" w:hAnsi="Gill Sans" w:cs="Gill Sans"/>
          <w:noProof/>
          <w:sz w:val="22"/>
          <w:szCs w:val="22"/>
          <w:lang w:val="uk-UA"/>
        </w:rPr>
        <w:t xml:space="preserve">інструкції </w:t>
      </w:r>
      <w:r w:rsidR="00894FD3" w:rsidRPr="00257F44">
        <w:rPr>
          <w:rFonts w:ascii="Gill Sans" w:hAnsi="Gill Sans" w:cs="Gill Sans"/>
          <w:noProof/>
          <w:sz w:val="22"/>
          <w:szCs w:val="22"/>
          <w:lang w:val="uk-UA"/>
        </w:rPr>
        <w:t xml:space="preserve">врахував критичні зауваження до попередніх проектів, які висловлювалися громадянським суспільством та </w:t>
      </w:r>
      <w:r w:rsidR="00C30892" w:rsidRPr="00257F44">
        <w:rPr>
          <w:rFonts w:ascii="Gill Sans" w:hAnsi="Gill Sans" w:cs="Gill Sans"/>
          <w:noProof/>
          <w:sz w:val="22"/>
          <w:szCs w:val="22"/>
          <w:lang w:val="uk-UA"/>
        </w:rPr>
        <w:t>омбуд</w:t>
      </w:r>
      <w:r w:rsidR="00726AE2" w:rsidRPr="00257F44">
        <w:rPr>
          <w:rFonts w:ascii="Gill Sans" w:hAnsi="Gill Sans" w:cs="Gill Sans"/>
          <w:noProof/>
          <w:sz w:val="22"/>
          <w:szCs w:val="22"/>
          <w:lang w:val="uk-UA"/>
        </w:rPr>
        <w:t>сма</w:t>
      </w:r>
      <w:r w:rsidR="00C30892" w:rsidRPr="00257F44">
        <w:rPr>
          <w:rFonts w:ascii="Gill Sans" w:hAnsi="Gill Sans" w:cs="Gill Sans"/>
          <w:noProof/>
          <w:sz w:val="22"/>
          <w:szCs w:val="22"/>
          <w:lang w:val="uk-UA"/>
        </w:rPr>
        <w:t>ном</w:t>
      </w:r>
      <w:r w:rsidR="0082744C" w:rsidRPr="00257F44">
        <w:rPr>
          <w:rFonts w:ascii="Gill Sans" w:hAnsi="Gill Sans" w:cs="Gill Sans"/>
          <w:noProof/>
          <w:sz w:val="22"/>
          <w:szCs w:val="22"/>
          <w:lang w:val="uk-UA"/>
        </w:rPr>
        <w:t>, шляхом включе</w:t>
      </w:r>
      <w:r w:rsidR="00991366" w:rsidRPr="00257F44">
        <w:rPr>
          <w:rFonts w:ascii="Gill Sans" w:hAnsi="Gill Sans" w:cs="Gill Sans"/>
          <w:noProof/>
          <w:sz w:val="22"/>
          <w:szCs w:val="22"/>
          <w:lang w:val="uk-UA"/>
        </w:rPr>
        <w:t>ння норм щодо пер</w:t>
      </w:r>
      <w:r w:rsidR="0082744C" w:rsidRPr="00257F44">
        <w:rPr>
          <w:rFonts w:ascii="Gill Sans" w:hAnsi="Gill Sans" w:cs="Gill Sans"/>
          <w:noProof/>
          <w:sz w:val="22"/>
          <w:szCs w:val="22"/>
          <w:lang w:val="uk-UA"/>
        </w:rPr>
        <w:t>евірки на шкоду та публічний інтерес</w:t>
      </w:r>
      <w:r w:rsidR="0082744C" w:rsidRPr="00257F44">
        <w:rPr>
          <w:rStyle w:val="EndnoteReference"/>
          <w:rFonts w:ascii="Gill Sans" w:hAnsi="Gill Sans" w:cs="Gill Sans"/>
          <w:noProof/>
          <w:sz w:val="22"/>
          <w:szCs w:val="22"/>
          <w:lang w:val="uk-UA"/>
        </w:rPr>
        <w:endnoteReference w:id="16"/>
      </w:r>
      <w:r w:rsidR="0082744C" w:rsidRPr="00257F44">
        <w:rPr>
          <w:rFonts w:ascii="Gill Sans" w:hAnsi="Gill Sans" w:cs="Gill Sans"/>
          <w:noProof/>
          <w:sz w:val="22"/>
          <w:szCs w:val="22"/>
          <w:lang w:val="uk-UA"/>
        </w:rPr>
        <w:t xml:space="preserve"> у випадках, коли доступ до інформації обмежується.</w:t>
      </w:r>
    </w:p>
    <w:p w14:paraId="5A6667C9" w14:textId="148A1B6B" w:rsidR="00545B73" w:rsidRPr="00257F44" w:rsidRDefault="00A20034" w:rsidP="003F0D03">
      <w:pPr>
        <w:pStyle w:val="Heading3"/>
        <w:spacing w:after="120"/>
        <w:rPr>
          <w:lang w:val="uk-UA"/>
        </w:rPr>
      </w:pPr>
      <w:r w:rsidRPr="00257F44">
        <w:rPr>
          <w:lang w:val="uk-UA"/>
        </w:rPr>
        <w:t>Чи відкрило це уряд</w:t>
      </w:r>
      <w:r w:rsidR="00545B73" w:rsidRPr="00257F44">
        <w:rPr>
          <w:lang w:val="uk-UA"/>
        </w:rPr>
        <w:t>?</w:t>
      </w:r>
    </w:p>
    <w:p w14:paraId="4AE2FFE0" w14:textId="2957786B" w:rsidR="00545B73" w:rsidRPr="00257F44" w:rsidRDefault="00A20034" w:rsidP="003F0D03">
      <w:pPr>
        <w:spacing w:after="120"/>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Доступ до інформації</w:t>
      </w:r>
      <w:r w:rsidR="00545B73" w:rsidRPr="00257F44">
        <w:rPr>
          <w:rFonts w:ascii="Gill Sans" w:hAnsi="Gill Sans" w:cs="Gill Sans"/>
          <w:b/>
          <w:color w:val="000000" w:themeColor="text1"/>
          <w:sz w:val="22"/>
          <w:szCs w:val="22"/>
          <w:lang w:val="uk-UA"/>
        </w:rPr>
        <w:t xml:space="preserve">: </w:t>
      </w:r>
      <w:r w:rsidRPr="00257F44">
        <w:rPr>
          <w:rFonts w:ascii="Gill Sans" w:hAnsi="Gill Sans" w:cs="Gill Sans"/>
          <w:b/>
          <w:color w:val="000000" w:themeColor="text1"/>
          <w:sz w:val="22"/>
          <w:szCs w:val="22"/>
          <w:lang w:val="uk-UA"/>
        </w:rPr>
        <w:t>Значною мірою</w:t>
      </w:r>
    </w:p>
    <w:p w14:paraId="5E42B1E1" w14:textId="7E0799D2" w:rsidR="007D435A" w:rsidRPr="00257F44" w:rsidRDefault="00A853A5" w:rsidP="003F0D03">
      <w:pPr>
        <w:spacing w:after="120"/>
        <w:rPr>
          <w:rFonts w:ascii="Gill Sans" w:hAnsi="Gill Sans" w:cs="Gill Sans"/>
          <w:noProof/>
          <w:sz w:val="22"/>
          <w:szCs w:val="22"/>
          <w:lang w:val="uk-UA"/>
        </w:rPr>
      </w:pPr>
      <w:r w:rsidRPr="00257F44">
        <w:rPr>
          <w:rFonts w:ascii="Gill Sans" w:hAnsi="Gill Sans" w:cs="Gill Sans"/>
          <w:noProof/>
          <w:sz w:val="22"/>
          <w:szCs w:val="22"/>
          <w:lang w:val="uk-UA"/>
        </w:rPr>
        <w:t>Урядові правила (“інструкція”) щодо службової інформації є важливим, хоча й технічним, документом, що детально регулює те, яким</w:t>
      </w:r>
      <w:r w:rsidR="00BD58CA" w:rsidRPr="00257F44">
        <w:rPr>
          <w:rFonts w:ascii="Gill Sans" w:hAnsi="Gill Sans" w:cs="Gill Sans"/>
          <w:noProof/>
          <w:sz w:val="22"/>
          <w:szCs w:val="22"/>
          <w:lang w:val="uk-UA"/>
        </w:rPr>
        <w:t xml:space="preserve"> </w:t>
      </w:r>
      <w:r w:rsidRPr="00257F44">
        <w:rPr>
          <w:rFonts w:ascii="Gill Sans" w:hAnsi="Gill Sans" w:cs="Gill Sans"/>
          <w:noProof/>
          <w:sz w:val="22"/>
          <w:szCs w:val="22"/>
          <w:lang w:val="uk-UA"/>
        </w:rPr>
        <w:t xml:space="preserve">чином державні органи обробляють “службову інформацію” (вид інформації з обмеженим доступом). В контексті України, </w:t>
      </w:r>
      <w:r w:rsidR="003048D0" w:rsidRPr="00257F44">
        <w:rPr>
          <w:rFonts w:ascii="Gill Sans" w:hAnsi="Gill Sans" w:cs="Gill Sans"/>
          <w:noProof/>
          <w:sz w:val="22"/>
          <w:szCs w:val="22"/>
          <w:lang w:val="uk-UA"/>
        </w:rPr>
        <w:t>органи влади ретельно дотримуються таких порядків, уважно ставлячись до змін у них. Тому було важливо, щоб правила відповідали закону та відображали прогресивні положення Закону 2011 року про доступ до публічної інформації.</w:t>
      </w:r>
    </w:p>
    <w:p w14:paraId="04A518CF" w14:textId="6FFB4926" w:rsidR="00BD58CA" w:rsidRPr="00257F44" w:rsidRDefault="00BD58CA" w:rsidP="003F0D03">
      <w:pPr>
        <w:spacing w:after="120"/>
        <w:rPr>
          <w:rFonts w:ascii="Gill Sans" w:hAnsi="Gill Sans" w:cs="Gill Sans"/>
          <w:noProof/>
          <w:sz w:val="22"/>
          <w:szCs w:val="22"/>
          <w:lang w:val="uk-UA"/>
        </w:rPr>
      </w:pPr>
      <w:r w:rsidRPr="00257F44">
        <w:rPr>
          <w:rFonts w:ascii="Gill Sans" w:hAnsi="Gill Sans" w:cs="Gill Sans"/>
          <w:noProof/>
          <w:sz w:val="22"/>
          <w:szCs w:val="22"/>
          <w:lang w:val="uk-UA"/>
        </w:rPr>
        <w:t>Після кількох невдалих спроб, остаточний текст порядку таки включив важливі положення Закону 2011 року про доступ до публічної інформації. Зокрема, він включив правила щодо</w:t>
      </w:r>
      <w:r w:rsidR="00976B24" w:rsidRPr="00257F44">
        <w:rPr>
          <w:rFonts w:ascii="Gill Sans" w:hAnsi="Gill Sans" w:cs="Gill Sans"/>
          <w:noProof/>
          <w:sz w:val="22"/>
          <w:szCs w:val="22"/>
          <w:lang w:val="uk-UA"/>
        </w:rPr>
        <w:t xml:space="preserve"> відмови чи обмеження доступу до запитуваної інформації; закон вимагає </w:t>
      </w:r>
      <w:r w:rsidR="00416E3E" w:rsidRPr="00257F44">
        <w:rPr>
          <w:rFonts w:ascii="Gill Sans" w:hAnsi="Gill Sans" w:cs="Gill Sans"/>
          <w:noProof/>
          <w:sz w:val="22"/>
          <w:szCs w:val="22"/>
          <w:lang w:val="uk-UA"/>
        </w:rPr>
        <w:t xml:space="preserve">у таких випадках </w:t>
      </w:r>
      <w:r w:rsidR="00976B24" w:rsidRPr="00257F44">
        <w:rPr>
          <w:rFonts w:ascii="Gill Sans" w:hAnsi="Gill Sans" w:cs="Gill Sans"/>
          <w:noProof/>
          <w:sz w:val="22"/>
          <w:szCs w:val="22"/>
          <w:lang w:val="uk-UA"/>
        </w:rPr>
        <w:t>від органів влади застос</w:t>
      </w:r>
      <w:r w:rsidR="00416E3E" w:rsidRPr="00257F44">
        <w:rPr>
          <w:rFonts w:ascii="Gill Sans" w:hAnsi="Gill Sans" w:cs="Gill Sans"/>
          <w:noProof/>
          <w:sz w:val="22"/>
          <w:szCs w:val="22"/>
          <w:lang w:val="uk-UA"/>
        </w:rPr>
        <w:t>ов</w:t>
      </w:r>
      <w:r w:rsidR="00976B24" w:rsidRPr="00257F44">
        <w:rPr>
          <w:rFonts w:ascii="Gill Sans" w:hAnsi="Gill Sans" w:cs="Gill Sans"/>
          <w:noProof/>
          <w:sz w:val="22"/>
          <w:szCs w:val="22"/>
          <w:lang w:val="uk-UA"/>
        </w:rPr>
        <w:t xml:space="preserve">увати перевірку (тест) на суспільний інтерес та шкоду. Розпорядник інформації повинен обґрунтувати будь-яке обмеження в доступі правомірними причинами, у тому числі пояснивши істотну шкоду, яка буде завдана розголошенням інформації. </w:t>
      </w:r>
      <w:r w:rsidR="006549B1" w:rsidRPr="00257F44">
        <w:rPr>
          <w:rFonts w:ascii="Gill Sans" w:hAnsi="Gill Sans" w:cs="Gill Sans"/>
          <w:noProof/>
          <w:sz w:val="22"/>
          <w:szCs w:val="22"/>
          <w:lang w:val="uk-UA"/>
        </w:rPr>
        <w:t>Розпорядник також повинен довести, що така шкода переважає суспільний інтерес у розкритті інформації. Ця вимога була інкорпорована в правила щодо обробки службової інформації.</w:t>
      </w:r>
    </w:p>
    <w:p w14:paraId="0C174FB0" w14:textId="579411CF" w:rsidR="00383ACD" w:rsidRPr="00257F44" w:rsidRDefault="00383ACD" w:rsidP="003F0D03">
      <w:pPr>
        <w:spacing w:after="120"/>
        <w:rPr>
          <w:rFonts w:ascii="Gill Sans" w:hAnsi="Gill Sans" w:cs="Gill Sans"/>
          <w:noProof/>
          <w:sz w:val="22"/>
          <w:szCs w:val="22"/>
          <w:lang w:val="uk-UA"/>
        </w:rPr>
      </w:pPr>
      <w:r w:rsidRPr="00257F44">
        <w:rPr>
          <w:rFonts w:ascii="Gill Sans" w:hAnsi="Gill Sans" w:cs="Gill Sans"/>
          <w:noProof/>
          <w:sz w:val="22"/>
          <w:szCs w:val="22"/>
          <w:lang w:val="uk-UA"/>
        </w:rPr>
        <w:t>Проте, на відміну від попереднього законодавства, нова редакція Закону про інформацію від 2011 року та Закон про доступ до публічної інформації не наділили Уряд повноваженням затверджувати обов’язкові до виконання правила обробки службової інформації. Тому остаточна “інструкція” Уряду</w:t>
      </w:r>
      <w:r w:rsidR="007E24D9" w:rsidRPr="00257F44">
        <w:rPr>
          <w:rFonts w:ascii="Gill Sans" w:hAnsi="Gill Sans" w:cs="Gill Sans"/>
          <w:noProof/>
          <w:sz w:val="22"/>
          <w:szCs w:val="22"/>
          <w:lang w:val="uk-UA"/>
        </w:rPr>
        <w:t xml:space="preserve"> вважається необов’язковим, рекомендаційним набором правил. Це дещо зменшило важливість </w:t>
      </w:r>
      <w:r w:rsidR="005F29A7" w:rsidRPr="00257F44">
        <w:rPr>
          <w:rFonts w:ascii="Gill Sans" w:hAnsi="Gill Sans" w:cs="Gill Sans"/>
          <w:noProof/>
          <w:sz w:val="22"/>
          <w:szCs w:val="22"/>
          <w:lang w:val="uk-UA"/>
        </w:rPr>
        <w:t>документа</w:t>
      </w:r>
      <w:r w:rsidR="007E24D9" w:rsidRPr="00257F44">
        <w:rPr>
          <w:rFonts w:ascii="Gill Sans" w:hAnsi="Gill Sans" w:cs="Gill Sans"/>
          <w:noProof/>
          <w:sz w:val="22"/>
          <w:szCs w:val="22"/>
          <w:lang w:val="uk-UA"/>
        </w:rPr>
        <w:t>, але не значною мірою, оскільки органи влади фактично на практиці дотримуються</w:t>
      </w:r>
      <w:r w:rsidR="00380417" w:rsidRPr="00257F44">
        <w:rPr>
          <w:rFonts w:ascii="Gill Sans" w:hAnsi="Gill Sans" w:cs="Gill Sans"/>
          <w:noProof/>
          <w:sz w:val="22"/>
          <w:szCs w:val="22"/>
          <w:lang w:val="uk-UA"/>
        </w:rPr>
        <w:t xml:space="preserve"> таких рекомендацій та впроваджують їх у </w:t>
      </w:r>
      <w:r w:rsidR="00467773" w:rsidRPr="00257F44">
        <w:rPr>
          <w:rFonts w:ascii="Gill Sans" w:hAnsi="Gill Sans" w:cs="Gill Sans"/>
          <w:noProof/>
          <w:sz w:val="22"/>
          <w:szCs w:val="22"/>
          <w:lang w:val="uk-UA"/>
        </w:rPr>
        <w:t xml:space="preserve">власні </w:t>
      </w:r>
      <w:r w:rsidR="00380417" w:rsidRPr="00257F44">
        <w:rPr>
          <w:rFonts w:ascii="Gill Sans" w:hAnsi="Gill Sans" w:cs="Gill Sans"/>
          <w:noProof/>
          <w:sz w:val="22"/>
          <w:szCs w:val="22"/>
          <w:lang w:val="uk-UA"/>
        </w:rPr>
        <w:t xml:space="preserve">правила. Важливо, щоб урядові типові правила були реалізовані через внутрішні порядки відповідних органів влади. </w:t>
      </w:r>
      <w:r w:rsidR="00467773" w:rsidRPr="00257F44">
        <w:rPr>
          <w:rFonts w:ascii="Gill Sans" w:hAnsi="Gill Sans" w:cs="Gill Sans"/>
          <w:noProof/>
          <w:sz w:val="22"/>
          <w:szCs w:val="22"/>
          <w:lang w:val="uk-UA"/>
        </w:rPr>
        <w:t>Звідси висновок про те, що</w:t>
      </w:r>
      <w:r w:rsidR="00380417" w:rsidRPr="00257F44">
        <w:rPr>
          <w:rFonts w:ascii="Gill Sans" w:hAnsi="Gill Sans" w:cs="Gill Sans"/>
          <w:noProof/>
          <w:sz w:val="22"/>
          <w:szCs w:val="22"/>
          <w:lang w:val="uk-UA"/>
        </w:rPr>
        <w:t xml:space="preserve"> “типова інструкція” Уряду покращує рівень суспільного доступу до </w:t>
      </w:r>
      <w:r w:rsidR="00456DE4" w:rsidRPr="00257F44">
        <w:rPr>
          <w:rFonts w:ascii="Gill Sans" w:hAnsi="Gill Sans" w:cs="Gill Sans"/>
          <w:noProof/>
          <w:sz w:val="22"/>
          <w:szCs w:val="22"/>
          <w:lang w:val="uk-UA"/>
        </w:rPr>
        <w:t>службової інформації у володінні органів влади. Ці правила створюють основу для кращої реалізації Закону 2011 року про доступ до публічної інформації. Це досягається шляхом визначення правил обробки публічної інформації та, що ще важливіше, встановлення вимоги</w:t>
      </w:r>
      <w:r w:rsidR="00575FBB" w:rsidRPr="00257F44">
        <w:rPr>
          <w:rFonts w:ascii="Gill Sans" w:hAnsi="Gill Sans" w:cs="Gill Sans"/>
          <w:noProof/>
          <w:sz w:val="22"/>
          <w:szCs w:val="22"/>
          <w:lang w:val="uk-UA"/>
        </w:rPr>
        <w:t xml:space="preserve"> застосування перевірки на шкоду і суспільний інтерес в разі відмови в задоволенні запиту публічної інформації.</w:t>
      </w:r>
    </w:p>
    <w:p w14:paraId="1B4620D0" w14:textId="77777777" w:rsidR="0042522E" w:rsidRPr="00257F44" w:rsidRDefault="0042522E" w:rsidP="003F0D03">
      <w:pPr>
        <w:pStyle w:val="Heading3"/>
        <w:spacing w:after="120"/>
        <w:rPr>
          <w:lang w:val="uk-UA"/>
        </w:rPr>
      </w:pPr>
      <w:r w:rsidRPr="00257F44">
        <w:rPr>
          <w:lang w:val="uk-UA"/>
        </w:rPr>
        <w:t>Чи перенесено до наступного плану дій?</w:t>
      </w:r>
    </w:p>
    <w:p w14:paraId="4E84D993" w14:textId="37DCA1DA" w:rsidR="00A2568C" w:rsidRPr="00257F44" w:rsidRDefault="00467773" w:rsidP="003F0D03">
      <w:pPr>
        <w:spacing w:after="120"/>
        <w:rPr>
          <w:rFonts w:ascii="Gill Sans" w:hAnsi="Gill Sans" w:cs="Gill Sans"/>
          <w:sz w:val="22"/>
          <w:szCs w:val="22"/>
          <w:lang w:val="uk-UA"/>
        </w:rPr>
      </w:pPr>
      <w:r w:rsidRPr="00257F44">
        <w:rPr>
          <w:rFonts w:ascii="Gill Sans" w:hAnsi="Gill Sans" w:cs="Gill Sans"/>
          <w:sz w:val="22"/>
          <w:szCs w:val="22"/>
          <w:lang w:val="uk-UA"/>
        </w:rPr>
        <w:t xml:space="preserve">Виконання зобов’язання було завершено, і воно не переносилося </w:t>
      </w:r>
      <w:r w:rsidR="00726AE2" w:rsidRPr="00257F44">
        <w:rPr>
          <w:rFonts w:ascii="Gill Sans" w:hAnsi="Gill Sans" w:cs="Gill Sans"/>
          <w:sz w:val="22"/>
          <w:szCs w:val="22"/>
          <w:lang w:val="uk-UA"/>
        </w:rPr>
        <w:t>до нового</w:t>
      </w:r>
      <w:r w:rsidRPr="00257F44">
        <w:rPr>
          <w:rFonts w:ascii="Gill Sans" w:hAnsi="Gill Sans" w:cs="Gill Sans"/>
          <w:sz w:val="22"/>
          <w:szCs w:val="22"/>
          <w:lang w:val="uk-UA"/>
        </w:rPr>
        <w:t xml:space="preserve"> план</w:t>
      </w:r>
      <w:r w:rsidR="00726AE2" w:rsidRPr="00257F44">
        <w:rPr>
          <w:rFonts w:ascii="Gill Sans" w:hAnsi="Gill Sans" w:cs="Gill Sans"/>
          <w:sz w:val="22"/>
          <w:szCs w:val="22"/>
          <w:lang w:val="uk-UA"/>
        </w:rPr>
        <w:t>у</w:t>
      </w:r>
      <w:r w:rsidRPr="00257F44">
        <w:rPr>
          <w:rFonts w:ascii="Gill Sans" w:hAnsi="Gill Sans" w:cs="Gill Sans"/>
          <w:sz w:val="22"/>
          <w:szCs w:val="22"/>
          <w:lang w:val="uk-UA"/>
        </w:rPr>
        <w:t xml:space="preserve"> дій.</w:t>
      </w:r>
    </w:p>
    <w:p w14:paraId="1754C0B2" w14:textId="77777777" w:rsidR="00A2568C" w:rsidRPr="00257F44" w:rsidRDefault="00A2568C">
      <w:pPr>
        <w:rPr>
          <w:rFonts w:ascii="Gill Sans" w:hAnsi="Gill Sans" w:cs="Gill Sans"/>
          <w:sz w:val="22"/>
          <w:szCs w:val="22"/>
          <w:lang w:val="uk-UA"/>
        </w:rPr>
      </w:pPr>
      <w:r w:rsidRPr="00257F44">
        <w:rPr>
          <w:rFonts w:ascii="Gill Sans" w:hAnsi="Gill Sans" w:cs="Gill Sans"/>
          <w:sz w:val="22"/>
          <w:szCs w:val="22"/>
          <w:lang w:val="uk-UA"/>
        </w:rPr>
        <w:br w:type="page"/>
      </w:r>
    </w:p>
    <w:p w14:paraId="7346FE1E" w14:textId="77777777" w:rsidR="00A2568C" w:rsidRPr="00257F44" w:rsidRDefault="00A2568C" w:rsidP="00545B73">
      <w:pPr>
        <w:spacing w:after="120"/>
        <w:rPr>
          <w:noProof/>
          <w:lang w:val="uk-UA"/>
        </w:rPr>
        <w:sectPr w:rsidR="00A2568C" w:rsidRPr="00257F44" w:rsidSect="002A2966">
          <w:endnotePr>
            <w:numFmt w:val="decimal"/>
            <w:numRestart w:val="eachSect"/>
          </w:endnotePr>
          <w:pgSz w:w="11907" w:h="16839" w:code="9"/>
          <w:pgMar w:top="1417" w:right="1417" w:bottom="1417" w:left="1417" w:header="0" w:footer="0" w:gutter="0"/>
          <w:cols w:space="708"/>
          <w:docGrid w:linePitch="360"/>
        </w:sectPr>
      </w:pPr>
    </w:p>
    <w:p w14:paraId="728AA5AF" w14:textId="77777777" w:rsidR="00374410" w:rsidRPr="00257F44" w:rsidRDefault="00374410" w:rsidP="00374410">
      <w:pPr>
        <w:pStyle w:val="Normalrglronly"/>
        <w:rPr>
          <w:b/>
          <w:lang w:val="uk-UA"/>
        </w:rPr>
      </w:pPr>
      <w:r w:rsidRPr="00257F44">
        <w:rPr>
          <w:b/>
          <w:lang w:val="uk-UA"/>
        </w:rPr>
        <w:lastRenderedPageBreak/>
        <w:t>5.2 Доступ до містобудівної документації</w:t>
      </w:r>
    </w:p>
    <w:p w14:paraId="4C0313B3" w14:textId="77777777" w:rsidR="00374410" w:rsidRPr="00257F44" w:rsidRDefault="00374410" w:rsidP="00374410">
      <w:pPr>
        <w:spacing w:after="120"/>
        <w:rPr>
          <w:rFonts w:ascii="Gill Sans" w:hAnsi="Gill Sans" w:cs="Gill Sans"/>
          <w:i/>
          <w:noProof/>
          <w:sz w:val="22"/>
          <w:szCs w:val="22"/>
          <w:lang w:val="uk-UA"/>
        </w:rPr>
      </w:pPr>
      <w:r w:rsidRPr="00257F44">
        <w:rPr>
          <w:rFonts w:ascii="Gill Sans" w:hAnsi="Gill Sans" w:cs="Gill Sans"/>
          <w:b/>
          <w:bCs/>
          <w:iCs/>
          <w:noProof/>
          <w:sz w:val="22"/>
          <w:szCs w:val="22"/>
          <w:lang w:val="uk-UA"/>
        </w:rPr>
        <w:t>Текст зобов’язання:</w:t>
      </w:r>
      <w:r w:rsidRPr="00257F44">
        <w:rPr>
          <w:rFonts w:ascii="Gill Sans" w:hAnsi="Gill Sans" w:cs="Gill Sans"/>
          <w:i/>
          <w:noProof/>
          <w:sz w:val="22"/>
          <w:szCs w:val="22"/>
          <w:lang w:val="uk-UA"/>
        </w:rPr>
        <w:t xml:space="preserve"> Забезпечення безперешкодного доступу громадськості до публічної інформації шляхом: забезпечення вільного доступу громадськості до містобудівної документації та геоінформаційних даних (в тому числі в електронній формі).</w:t>
      </w:r>
    </w:p>
    <w:p w14:paraId="2D178DE0" w14:textId="77777777" w:rsidR="00374410" w:rsidRPr="00257F44" w:rsidRDefault="00374410" w:rsidP="00374410">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забезпечення перегляду практик застосування грифа “ДСК” щодо містобудівної документації, зокрема генеральних планів міст, оприлюднення генеральних планів міст у спосіб, передбачений Законом України “Про регулювання містобудівної діяльності”, приведення нормативно-правових актів центральних органів виконавчої влади з питань службової інформації, зокрема переліків відомостей, що становлять службову інформацію, у відповідність із Законами України “Про доступ до публічної інформації”, “Про внесення змін до деяких законодавчих актів України у зв’язку з прийняттям Закону України “Про інформацію” та Закону України “Про доступ до публічної інформації” в частині забезпечення доступу громадян до геоінформаційних даних, створених за рахунок коштів державного бюджету, зокрема великомасштабних карт і планів.</w:t>
      </w:r>
    </w:p>
    <w:p w14:paraId="7BAA87AA" w14:textId="77777777" w:rsidR="00374410" w:rsidRPr="00257F44" w:rsidRDefault="00374410" w:rsidP="00374410">
      <w:pPr>
        <w:spacing w:after="120"/>
        <w:rPr>
          <w:rFonts w:ascii="Gill Sans" w:hAnsi="Gill Sans" w:cs="Gill Sans"/>
          <w:sz w:val="22"/>
          <w:szCs w:val="22"/>
          <w:lang w:val="uk-UA"/>
        </w:rPr>
      </w:pPr>
      <w:r w:rsidRPr="00257F44">
        <w:rPr>
          <w:rFonts w:ascii="Gill Sans" w:hAnsi="Gill Sans" w:cs="Gill Sans"/>
          <w:sz w:val="22"/>
          <w:szCs w:val="22"/>
          <w:lang w:val="uk-UA"/>
        </w:rPr>
        <w:t>Головна інституція, відповідальна за виконання: Міністерство регіонального розвитку.</w:t>
      </w:r>
    </w:p>
    <w:p w14:paraId="582374ED" w14:textId="77777777" w:rsidR="00374410" w:rsidRPr="00257F44" w:rsidRDefault="00374410" w:rsidP="00374410">
      <w:pPr>
        <w:spacing w:after="120"/>
        <w:rPr>
          <w:rFonts w:ascii="Gill Sans" w:hAnsi="Gill Sans" w:cs="Gill Sans"/>
          <w:sz w:val="22"/>
          <w:szCs w:val="22"/>
          <w:lang w:val="uk-UA"/>
        </w:rPr>
      </w:pPr>
      <w:r w:rsidRPr="00257F44">
        <w:rPr>
          <w:rFonts w:ascii="Gill Sans" w:hAnsi="Gill Sans" w:cs="Gill Sans"/>
          <w:sz w:val="22"/>
          <w:szCs w:val="22"/>
          <w:lang w:val="uk-UA"/>
        </w:rPr>
        <w:t>Інші виконавці: Міністерство екології та природних ресурсів, Міністерство оборони, Міністерство аграрної політики, Державне агентство земельних ресурсів, Державне агентство лісових ресурсів, обласні, Київська міська держадміністрації, ГО “Східноукраїнський центр громадських ініціатив”, невизначені організації громадянського суспільства та міжнародні організації.</w:t>
      </w:r>
    </w:p>
    <w:p w14:paraId="63497ECA" w14:textId="77777777" w:rsidR="00374410" w:rsidRPr="00257F44" w:rsidRDefault="00374410" w:rsidP="00374410">
      <w:pPr>
        <w:spacing w:after="120"/>
        <w:rPr>
          <w:rFonts w:ascii="Gill Sans" w:hAnsi="Gill Sans" w:cs="Gill Sans"/>
          <w:sz w:val="22"/>
          <w:szCs w:val="22"/>
          <w:lang w:val="uk-UA"/>
        </w:rPr>
      </w:pPr>
      <w:r w:rsidRPr="00257F44">
        <w:rPr>
          <w:rFonts w:ascii="Gill Sans" w:hAnsi="Gill Sans" w:cs="Gill Sans"/>
          <w:sz w:val="22"/>
          <w:szCs w:val="22"/>
          <w:lang w:val="uk-UA"/>
        </w:rPr>
        <w:t xml:space="preserve">Дата початку: Не визначено </w:t>
      </w:r>
      <w:r w:rsidRPr="00257F44">
        <w:rPr>
          <w:rFonts w:ascii="Gill Sans" w:hAnsi="Gill Sans" w:cs="Gill Sans"/>
          <w:sz w:val="22"/>
          <w:szCs w:val="22"/>
          <w:lang w:val="uk-UA"/>
        </w:rPr>
        <w:tab/>
      </w:r>
      <w:r w:rsidRPr="00257F44">
        <w:rPr>
          <w:rFonts w:ascii="Gill Sans" w:hAnsi="Gill Sans" w:cs="Gill Sans"/>
          <w:sz w:val="22"/>
          <w:szCs w:val="22"/>
          <w:lang w:val="uk-UA"/>
        </w:rPr>
        <w:tab/>
      </w:r>
      <w:r w:rsidRPr="00257F44">
        <w:rPr>
          <w:rFonts w:ascii="Gill Sans" w:hAnsi="Gill Sans" w:cs="Gill Sans"/>
          <w:sz w:val="22"/>
          <w:szCs w:val="22"/>
          <w:lang w:val="uk-UA"/>
        </w:rPr>
        <w:tab/>
      </w:r>
      <w:r w:rsidRPr="00257F44">
        <w:rPr>
          <w:rFonts w:ascii="Gill Sans" w:hAnsi="Gill Sans" w:cs="Gill Sans"/>
          <w:sz w:val="22"/>
          <w:szCs w:val="22"/>
          <w:lang w:val="uk-UA"/>
        </w:rPr>
        <w:tab/>
        <w:t>Термін виконання: 31 грудня 2014 р.</w:t>
      </w:r>
    </w:p>
    <w:tbl>
      <w:tblPr>
        <w:tblW w:w="10412"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377"/>
        <w:gridCol w:w="347"/>
        <w:gridCol w:w="347"/>
        <w:gridCol w:w="384"/>
        <w:gridCol w:w="44"/>
        <w:gridCol w:w="428"/>
        <w:gridCol w:w="347"/>
        <w:gridCol w:w="347"/>
        <w:gridCol w:w="787"/>
        <w:gridCol w:w="44"/>
        <w:gridCol w:w="347"/>
        <w:gridCol w:w="347"/>
        <w:gridCol w:w="347"/>
        <w:gridCol w:w="384"/>
        <w:gridCol w:w="44"/>
        <w:gridCol w:w="347"/>
        <w:gridCol w:w="625"/>
        <w:gridCol w:w="44"/>
        <w:gridCol w:w="428"/>
        <w:gridCol w:w="464"/>
        <w:gridCol w:w="44"/>
        <w:gridCol w:w="347"/>
        <w:gridCol w:w="347"/>
        <w:gridCol w:w="428"/>
        <w:gridCol w:w="347"/>
        <w:gridCol w:w="701"/>
        <w:gridCol w:w="44"/>
      </w:tblGrid>
      <w:tr w:rsidR="00EC41C0" w:rsidRPr="00257F44" w14:paraId="018E6562" w14:textId="77777777" w:rsidTr="00FD2C3B">
        <w:trPr>
          <w:gridAfter w:val="1"/>
          <w:wAfter w:w="44" w:type="dxa"/>
          <w:trHeight w:val="405"/>
        </w:trPr>
        <w:tc>
          <w:tcPr>
            <w:tcW w:w="1325" w:type="dxa"/>
            <w:vMerge w:val="restart"/>
            <w:tcBorders>
              <w:top w:val="single" w:sz="18" w:space="0" w:color="FFFFFF"/>
              <w:left w:val="single" w:sz="4" w:space="0" w:color="FFFFFF"/>
              <w:right w:val="single" w:sz="18" w:space="0" w:color="FFFFFF"/>
            </w:tcBorders>
            <w:shd w:val="clear" w:color="auto" w:fill="000000"/>
          </w:tcPr>
          <w:p w14:paraId="40737F27" w14:textId="51FB9DEB" w:rsidR="00EC41C0" w:rsidRPr="00257F44" w:rsidRDefault="00EC41C0" w:rsidP="0020660D">
            <w:pPr>
              <w:rPr>
                <w:rFonts w:ascii="Gill Sans" w:hAnsi="Gill Sans" w:cs="Gill Sans"/>
                <w:color w:val="FFFFFF" w:themeColor="background1"/>
                <w:sz w:val="22"/>
                <w:szCs w:val="22"/>
                <w:lang w:val="uk-UA"/>
              </w:rPr>
            </w:pPr>
            <w:r w:rsidRPr="00257F44">
              <w:rPr>
                <w:rFonts w:ascii="Gill Sans" w:hAnsi="Gill Sans" w:cs="Gill Sans"/>
                <w:sz w:val="20"/>
                <w:szCs w:val="20"/>
                <w:lang w:val="uk-UA"/>
              </w:rPr>
              <w:t>Опис зобов’язання</w:t>
            </w:r>
          </w:p>
        </w:tc>
        <w:tc>
          <w:tcPr>
            <w:tcW w:w="1455" w:type="dxa"/>
            <w:gridSpan w:val="4"/>
            <w:vMerge w:val="restart"/>
            <w:tcBorders>
              <w:top w:val="single" w:sz="18" w:space="0" w:color="FFFFFF"/>
              <w:left w:val="single" w:sz="18" w:space="0" w:color="FFFFFF"/>
              <w:right w:val="single" w:sz="18" w:space="0" w:color="FFFFFF"/>
            </w:tcBorders>
            <w:shd w:val="clear" w:color="auto" w:fill="D6E3BC"/>
          </w:tcPr>
          <w:p w14:paraId="29E1CD37" w14:textId="6334D387" w:rsidR="00EC41C0" w:rsidRPr="00257F44" w:rsidRDefault="00EC41C0" w:rsidP="0020660D">
            <w:pPr>
              <w:rPr>
                <w:rFonts w:ascii="Gill Sans" w:hAnsi="Gill Sans" w:cs="Gill Sans"/>
                <w:sz w:val="22"/>
                <w:szCs w:val="22"/>
                <w:lang w:val="uk-UA"/>
              </w:rPr>
            </w:pPr>
            <w:r w:rsidRPr="00257F44">
              <w:rPr>
                <w:rFonts w:ascii="Gill Sans" w:hAnsi="Gill Sans" w:cs="Gill Sans"/>
                <w:sz w:val="20"/>
                <w:szCs w:val="20"/>
                <w:lang w:val="uk-UA"/>
              </w:rPr>
              <w:t>Конкретність</w:t>
            </w:r>
          </w:p>
        </w:tc>
        <w:tc>
          <w:tcPr>
            <w:tcW w:w="1953" w:type="dxa"/>
            <w:gridSpan w:val="5"/>
            <w:vMerge w:val="restart"/>
            <w:tcBorders>
              <w:top w:val="single" w:sz="18" w:space="0" w:color="FFFFFF"/>
              <w:left w:val="single" w:sz="18" w:space="0" w:color="FFFFFF"/>
              <w:right w:val="single" w:sz="18" w:space="0" w:color="FFFFFF"/>
            </w:tcBorders>
            <w:shd w:val="clear" w:color="auto" w:fill="FBD4B4"/>
          </w:tcPr>
          <w:p w14:paraId="568A8CD9" w14:textId="338ABAD2" w:rsidR="00EC41C0" w:rsidRPr="00257F44" w:rsidRDefault="00EC41C0" w:rsidP="0020660D">
            <w:pPr>
              <w:rPr>
                <w:rFonts w:ascii="Gill Sans" w:hAnsi="Gill Sans" w:cs="Gill Sans"/>
                <w:sz w:val="22"/>
                <w:szCs w:val="22"/>
                <w:lang w:val="uk-UA"/>
              </w:rPr>
            </w:pPr>
            <w:r w:rsidRPr="00257F44">
              <w:rPr>
                <w:rFonts w:ascii="Gill Sans" w:hAnsi="Gill Sans" w:cs="Gill Sans"/>
                <w:sz w:val="20"/>
                <w:szCs w:val="20"/>
                <w:lang w:val="uk-UA"/>
              </w:rPr>
              <w:t>Відповідність цінностям ПВУ (як сформульовано)</w:t>
            </w:r>
          </w:p>
        </w:tc>
        <w:tc>
          <w:tcPr>
            <w:tcW w:w="1469" w:type="dxa"/>
            <w:gridSpan w:val="5"/>
            <w:vMerge w:val="restart"/>
            <w:tcBorders>
              <w:top w:val="single" w:sz="18" w:space="0" w:color="FFFFFF"/>
              <w:left w:val="single" w:sz="18" w:space="0" w:color="FFFFFF"/>
              <w:right w:val="single" w:sz="18" w:space="0" w:color="FFFFFF"/>
            </w:tcBorders>
            <w:shd w:val="clear" w:color="auto" w:fill="CCC0D9"/>
          </w:tcPr>
          <w:p w14:paraId="1C4A40D1" w14:textId="384D8F62" w:rsidR="00EC41C0" w:rsidRPr="00257F44" w:rsidRDefault="00EC41C0" w:rsidP="0020660D">
            <w:pPr>
              <w:rPr>
                <w:rFonts w:ascii="Gill Sans" w:hAnsi="Gill Sans" w:cs="Gill Sans"/>
                <w:sz w:val="22"/>
                <w:szCs w:val="22"/>
                <w:lang w:val="uk-UA"/>
              </w:rPr>
            </w:pPr>
            <w:r w:rsidRPr="00257F44">
              <w:rPr>
                <w:rFonts w:ascii="Gill Sans" w:hAnsi="Gill Sans" w:cs="Gill Sans"/>
                <w:sz w:val="20"/>
                <w:szCs w:val="20"/>
                <w:lang w:val="uk-UA"/>
              </w:rPr>
              <w:t>Потенційний вплив</w:t>
            </w:r>
          </w:p>
        </w:tc>
        <w:tc>
          <w:tcPr>
            <w:tcW w:w="1016" w:type="dxa"/>
            <w:gridSpan w:val="3"/>
            <w:vMerge w:val="restart"/>
            <w:tcBorders>
              <w:top w:val="single" w:sz="18" w:space="0" w:color="FFFFFF"/>
              <w:left w:val="single" w:sz="18" w:space="0" w:color="FFFFFF"/>
              <w:right w:val="single" w:sz="2" w:space="0" w:color="FFFFFF"/>
            </w:tcBorders>
            <w:shd w:val="clear" w:color="auto" w:fill="B8CCE4"/>
          </w:tcPr>
          <w:p w14:paraId="67A55F8D" w14:textId="339944F7" w:rsidR="00EC41C0" w:rsidRPr="00257F44" w:rsidRDefault="00EC41C0" w:rsidP="0020660D">
            <w:pPr>
              <w:rPr>
                <w:rFonts w:ascii="Gill Sans" w:hAnsi="Gill Sans" w:cs="Gill Sans"/>
                <w:sz w:val="22"/>
                <w:szCs w:val="22"/>
                <w:lang w:val="uk-UA"/>
              </w:rPr>
            </w:pPr>
            <w:r w:rsidRPr="00257F44">
              <w:rPr>
                <w:rFonts w:ascii="Gill Sans" w:hAnsi="Gill Sans" w:cs="Gill Sans"/>
                <w:sz w:val="20"/>
                <w:szCs w:val="20"/>
                <w:lang w:val="uk-UA"/>
              </w:rPr>
              <w:t>Стан вико-нання</w:t>
            </w:r>
          </w:p>
        </w:tc>
        <w:tc>
          <w:tcPr>
            <w:tcW w:w="936" w:type="dxa"/>
            <w:gridSpan w:val="3"/>
            <w:tcBorders>
              <w:top w:val="single" w:sz="18" w:space="0" w:color="FFFFFF"/>
              <w:left w:val="single" w:sz="2" w:space="0" w:color="FFFFFF"/>
              <w:bottom w:val="single" w:sz="2" w:space="0" w:color="000000"/>
              <w:right w:val="single" w:sz="18" w:space="0" w:color="FFFFFF"/>
            </w:tcBorders>
            <w:shd w:val="clear" w:color="auto" w:fill="B8CCE4"/>
          </w:tcPr>
          <w:p w14:paraId="4E4F84F4" w14:textId="46F7BDF9" w:rsidR="00EC41C0" w:rsidRPr="00257F44" w:rsidRDefault="00EC41C0" w:rsidP="0020660D">
            <w:pPr>
              <w:rPr>
                <w:rFonts w:ascii="Gill Sans" w:hAnsi="Gill Sans" w:cs="Gill Sans"/>
                <w:sz w:val="22"/>
                <w:szCs w:val="22"/>
                <w:lang w:val="uk-UA"/>
              </w:rPr>
            </w:pPr>
            <w:r w:rsidRPr="00257F44">
              <w:rPr>
                <w:rFonts w:ascii="Gill Sans" w:hAnsi="Gill Sans" w:cs="Gill Sans"/>
                <w:sz w:val="20"/>
                <w:szCs w:val="20"/>
                <w:lang w:val="uk-UA"/>
              </w:rPr>
              <w:t>Про-міжний</w:t>
            </w:r>
          </w:p>
        </w:tc>
        <w:tc>
          <w:tcPr>
            <w:tcW w:w="2214" w:type="dxa"/>
            <w:gridSpan w:val="6"/>
            <w:vMerge w:val="restart"/>
            <w:tcBorders>
              <w:top w:val="single" w:sz="18" w:space="0" w:color="FFFFFF"/>
              <w:left w:val="single" w:sz="18" w:space="0" w:color="FFFFFF"/>
              <w:right w:val="single" w:sz="18" w:space="0" w:color="FFFFFF"/>
            </w:tcBorders>
            <w:shd w:val="clear" w:color="auto" w:fill="D99594"/>
          </w:tcPr>
          <w:p w14:paraId="5BAC7196" w14:textId="1151D402" w:rsidR="00EC41C0" w:rsidRPr="00257F44" w:rsidRDefault="00EC41C0" w:rsidP="0020660D">
            <w:pPr>
              <w:rPr>
                <w:rFonts w:ascii="Gill Sans" w:hAnsi="Gill Sans" w:cs="Gill Sans"/>
                <w:sz w:val="22"/>
                <w:szCs w:val="22"/>
                <w:lang w:val="uk-UA"/>
              </w:rPr>
            </w:pPr>
            <w:r w:rsidRPr="00257F44">
              <w:rPr>
                <w:rFonts w:ascii="Gill Sans" w:hAnsi="Gill Sans" w:cs="Gill Sans"/>
                <w:sz w:val="20"/>
                <w:szCs w:val="20"/>
                <w:lang w:val="uk-UA"/>
              </w:rPr>
              <w:t>Чи відкрило це уряд?</w:t>
            </w:r>
          </w:p>
        </w:tc>
      </w:tr>
      <w:tr w:rsidR="0020660D" w:rsidRPr="00257F44" w14:paraId="7D0E71EB" w14:textId="77777777" w:rsidTr="00FD2C3B">
        <w:trPr>
          <w:gridAfter w:val="1"/>
          <w:wAfter w:w="44" w:type="dxa"/>
          <w:trHeight w:val="373"/>
        </w:trPr>
        <w:tc>
          <w:tcPr>
            <w:tcW w:w="1325" w:type="dxa"/>
            <w:vMerge/>
            <w:tcBorders>
              <w:left w:val="single" w:sz="4" w:space="0" w:color="FFFFFF"/>
              <w:right w:val="single" w:sz="18" w:space="0" w:color="FFFFFF"/>
            </w:tcBorders>
            <w:shd w:val="clear" w:color="auto" w:fill="000000"/>
          </w:tcPr>
          <w:p w14:paraId="4ED40491" w14:textId="7ED62C26" w:rsidR="0020660D" w:rsidRPr="00257F44" w:rsidRDefault="0020660D" w:rsidP="0020660D">
            <w:pPr>
              <w:rPr>
                <w:rFonts w:ascii="Gill Sans" w:hAnsi="Gill Sans" w:cs="Gill Sans"/>
                <w:color w:val="FFFFFF" w:themeColor="background1"/>
                <w:sz w:val="22"/>
                <w:szCs w:val="22"/>
                <w:lang w:val="uk-UA"/>
              </w:rPr>
            </w:pPr>
          </w:p>
        </w:tc>
        <w:tc>
          <w:tcPr>
            <w:tcW w:w="1455" w:type="dxa"/>
            <w:gridSpan w:val="4"/>
            <w:vMerge/>
            <w:tcBorders>
              <w:left w:val="single" w:sz="18" w:space="0" w:color="FFFFFF"/>
              <w:bottom w:val="single" w:sz="18" w:space="0" w:color="FFFFFF"/>
              <w:right w:val="single" w:sz="18" w:space="0" w:color="FFFFFF"/>
            </w:tcBorders>
            <w:shd w:val="clear" w:color="auto" w:fill="D6E3BC"/>
          </w:tcPr>
          <w:p w14:paraId="36C00FB6" w14:textId="77777777" w:rsidR="0020660D" w:rsidRPr="00257F44" w:rsidRDefault="0020660D" w:rsidP="0020660D">
            <w:pPr>
              <w:rPr>
                <w:rFonts w:ascii="Gill Sans" w:hAnsi="Gill Sans" w:cs="Gill Sans"/>
                <w:sz w:val="22"/>
                <w:szCs w:val="22"/>
                <w:lang w:val="uk-UA"/>
              </w:rPr>
            </w:pPr>
          </w:p>
        </w:tc>
        <w:tc>
          <w:tcPr>
            <w:tcW w:w="1953" w:type="dxa"/>
            <w:gridSpan w:val="5"/>
            <w:vMerge/>
            <w:tcBorders>
              <w:left w:val="single" w:sz="18" w:space="0" w:color="FFFFFF"/>
              <w:bottom w:val="single" w:sz="18" w:space="0" w:color="FFFFFF"/>
              <w:right w:val="single" w:sz="18" w:space="0" w:color="FFFFFF"/>
            </w:tcBorders>
            <w:shd w:val="clear" w:color="auto" w:fill="FBD4B4"/>
          </w:tcPr>
          <w:p w14:paraId="012780AE" w14:textId="77777777" w:rsidR="0020660D" w:rsidRPr="00257F44" w:rsidRDefault="0020660D" w:rsidP="0020660D">
            <w:pPr>
              <w:rPr>
                <w:rFonts w:ascii="Gill Sans" w:hAnsi="Gill Sans" w:cs="Gill Sans"/>
                <w:sz w:val="22"/>
                <w:szCs w:val="22"/>
                <w:lang w:val="uk-UA"/>
              </w:rPr>
            </w:pPr>
          </w:p>
        </w:tc>
        <w:tc>
          <w:tcPr>
            <w:tcW w:w="1469" w:type="dxa"/>
            <w:gridSpan w:val="5"/>
            <w:vMerge/>
            <w:tcBorders>
              <w:left w:val="single" w:sz="18" w:space="0" w:color="FFFFFF"/>
              <w:bottom w:val="single" w:sz="18" w:space="0" w:color="FFFFFF"/>
              <w:right w:val="single" w:sz="18" w:space="0" w:color="FFFFFF"/>
            </w:tcBorders>
            <w:shd w:val="clear" w:color="auto" w:fill="CCC0D9"/>
          </w:tcPr>
          <w:p w14:paraId="6380323B" w14:textId="77777777" w:rsidR="0020660D" w:rsidRPr="00257F44" w:rsidRDefault="0020660D" w:rsidP="0020660D">
            <w:pPr>
              <w:rPr>
                <w:rFonts w:ascii="Gill Sans" w:hAnsi="Gill Sans" w:cs="Gill Sans"/>
                <w:sz w:val="22"/>
                <w:szCs w:val="22"/>
                <w:lang w:val="uk-UA"/>
              </w:rPr>
            </w:pPr>
          </w:p>
        </w:tc>
        <w:tc>
          <w:tcPr>
            <w:tcW w:w="1016" w:type="dxa"/>
            <w:gridSpan w:val="3"/>
            <w:vMerge/>
            <w:tcBorders>
              <w:left w:val="single" w:sz="18" w:space="0" w:color="FFFFFF"/>
              <w:bottom w:val="single" w:sz="18" w:space="0" w:color="FFFFFF"/>
              <w:right w:val="single" w:sz="2" w:space="0" w:color="FFFFFF"/>
            </w:tcBorders>
            <w:shd w:val="clear" w:color="auto" w:fill="B8CCE4"/>
          </w:tcPr>
          <w:p w14:paraId="4813E2EB" w14:textId="77777777" w:rsidR="0020660D" w:rsidRPr="00257F44" w:rsidRDefault="0020660D" w:rsidP="0020660D">
            <w:pPr>
              <w:rPr>
                <w:rFonts w:ascii="Gill Sans" w:hAnsi="Gill Sans" w:cs="Gill Sans"/>
                <w:sz w:val="22"/>
                <w:szCs w:val="22"/>
                <w:lang w:val="uk-UA"/>
              </w:rPr>
            </w:pPr>
          </w:p>
        </w:tc>
        <w:tc>
          <w:tcPr>
            <w:tcW w:w="936" w:type="dxa"/>
            <w:gridSpan w:val="3"/>
            <w:tcBorders>
              <w:top w:val="single" w:sz="2" w:space="0" w:color="000000"/>
              <w:left w:val="single" w:sz="2" w:space="0" w:color="FFFFFF"/>
              <w:bottom w:val="single" w:sz="18" w:space="0" w:color="FFFFFF"/>
              <w:right w:val="single" w:sz="18" w:space="0" w:color="FFFFFF"/>
            </w:tcBorders>
            <w:shd w:val="clear" w:color="auto" w:fill="B8CCE4"/>
          </w:tcPr>
          <w:p w14:paraId="3DF51C60" w14:textId="4BF29101" w:rsidR="0020660D" w:rsidRPr="00257F44" w:rsidRDefault="00FD2C3B" w:rsidP="0020660D">
            <w:pPr>
              <w:rPr>
                <w:rFonts w:ascii="Gill Sans" w:hAnsi="Gill Sans" w:cs="Gill Sans"/>
                <w:sz w:val="22"/>
                <w:szCs w:val="22"/>
                <w:lang w:val="uk-UA"/>
              </w:rPr>
            </w:pPr>
            <w:r w:rsidRPr="00257F44">
              <w:rPr>
                <w:rFonts w:ascii="Gill Sans" w:hAnsi="Gill Sans" w:cs="Gill Sans"/>
                <w:sz w:val="22"/>
                <w:szCs w:val="22"/>
                <w:lang w:val="uk-UA"/>
              </w:rPr>
              <w:t>Підсум-ковий</w:t>
            </w:r>
          </w:p>
        </w:tc>
        <w:tc>
          <w:tcPr>
            <w:tcW w:w="2214" w:type="dxa"/>
            <w:gridSpan w:val="6"/>
            <w:vMerge/>
            <w:tcBorders>
              <w:left w:val="single" w:sz="18" w:space="0" w:color="FFFFFF"/>
              <w:bottom w:val="single" w:sz="18" w:space="0" w:color="FFFFFF"/>
              <w:right w:val="single" w:sz="18" w:space="0" w:color="FFFFFF"/>
            </w:tcBorders>
            <w:shd w:val="clear" w:color="auto" w:fill="D99594"/>
          </w:tcPr>
          <w:p w14:paraId="7F4E61E4" w14:textId="77777777" w:rsidR="0020660D" w:rsidRPr="00257F44" w:rsidRDefault="0020660D" w:rsidP="0020660D">
            <w:pPr>
              <w:rPr>
                <w:rFonts w:ascii="Gill Sans" w:hAnsi="Gill Sans" w:cs="Gill Sans"/>
                <w:sz w:val="22"/>
                <w:szCs w:val="22"/>
                <w:lang w:val="uk-UA"/>
              </w:rPr>
            </w:pPr>
          </w:p>
        </w:tc>
      </w:tr>
      <w:tr w:rsidR="00FD2C3B" w:rsidRPr="00257F44" w14:paraId="1E0D014C" w14:textId="77777777" w:rsidTr="00FD2C3B">
        <w:trPr>
          <w:cantSplit/>
          <w:trHeight w:val="2336"/>
        </w:trPr>
        <w:tc>
          <w:tcPr>
            <w:tcW w:w="1325" w:type="dxa"/>
            <w:vMerge/>
            <w:tcBorders>
              <w:left w:val="single" w:sz="4" w:space="0" w:color="FFFFFF"/>
              <w:right w:val="single" w:sz="18" w:space="0" w:color="FFFFFF"/>
            </w:tcBorders>
            <w:shd w:val="clear" w:color="auto" w:fill="000000"/>
          </w:tcPr>
          <w:p w14:paraId="2E353B95" w14:textId="35BD94AD" w:rsidR="00FD2C3B" w:rsidRPr="00257F44" w:rsidRDefault="00FD2C3B" w:rsidP="0020660D">
            <w:pPr>
              <w:rPr>
                <w:rFonts w:ascii="Gill Sans" w:hAnsi="Gill Sans" w:cs="Gill Sans"/>
                <w:color w:val="FFFFFF" w:themeColor="background1"/>
                <w:sz w:val="22"/>
                <w:szCs w:val="22"/>
                <w:lang w:val="uk-UA"/>
              </w:rPr>
            </w:pPr>
          </w:p>
        </w:tc>
        <w:tc>
          <w:tcPr>
            <w:tcW w:w="377"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4B3B9CAB" w14:textId="3927281B" w:rsidR="00FD2C3B" w:rsidRPr="00257F44" w:rsidRDefault="00FD2C3B" w:rsidP="0020660D">
            <w:pPr>
              <w:rPr>
                <w:rFonts w:ascii="Gill Sans" w:hAnsi="Gill Sans" w:cs="Gill Sans"/>
                <w:sz w:val="22"/>
                <w:szCs w:val="22"/>
                <w:lang w:val="uk-UA"/>
              </w:rPr>
            </w:pPr>
            <w:r w:rsidRPr="00257F44">
              <w:rPr>
                <w:rFonts w:ascii="Gill Sans" w:hAnsi="Gill Sans" w:cs="Gill Sans"/>
                <w:sz w:val="20"/>
                <w:szCs w:val="20"/>
                <w:lang w:val="uk-UA"/>
              </w:rPr>
              <w:t>Відсутня</w:t>
            </w:r>
          </w:p>
        </w:tc>
        <w:tc>
          <w:tcPr>
            <w:tcW w:w="347"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48F62848" w14:textId="1153F914" w:rsidR="00FD2C3B" w:rsidRPr="00257F44" w:rsidRDefault="00FD2C3B" w:rsidP="0020660D">
            <w:pPr>
              <w:rPr>
                <w:rFonts w:ascii="Gill Sans" w:hAnsi="Gill Sans" w:cs="Gill Sans"/>
                <w:sz w:val="22"/>
                <w:szCs w:val="22"/>
                <w:lang w:val="uk-UA"/>
              </w:rPr>
            </w:pPr>
            <w:r w:rsidRPr="00257F44">
              <w:rPr>
                <w:rFonts w:ascii="Gill Sans" w:hAnsi="Gill Sans" w:cs="Gill Sans"/>
                <w:sz w:val="20"/>
                <w:szCs w:val="20"/>
                <w:lang w:val="uk-UA"/>
              </w:rPr>
              <w:t>Низька</w:t>
            </w:r>
          </w:p>
        </w:tc>
        <w:tc>
          <w:tcPr>
            <w:tcW w:w="347"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26743C08" w14:textId="234EE9BE" w:rsidR="00FD2C3B" w:rsidRPr="00257F44" w:rsidRDefault="00FD2C3B" w:rsidP="0020660D">
            <w:pPr>
              <w:rPr>
                <w:rFonts w:ascii="Gill Sans" w:hAnsi="Gill Sans" w:cs="Gill Sans"/>
                <w:sz w:val="22"/>
                <w:szCs w:val="22"/>
                <w:lang w:val="uk-UA"/>
              </w:rPr>
            </w:pPr>
            <w:r w:rsidRPr="00257F44">
              <w:rPr>
                <w:rFonts w:ascii="Gill Sans" w:hAnsi="Gill Sans" w:cs="Gill Sans"/>
                <w:sz w:val="20"/>
                <w:szCs w:val="20"/>
                <w:lang w:val="uk-UA"/>
              </w:rPr>
              <w:t>Середня</w:t>
            </w:r>
          </w:p>
        </w:tc>
        <w:tc>
          <w:tcPr>
            <w:tcW w:w="428" w:type="dxa"/>
            <w:gridSpan w:val="2"/>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542FCBA2" w14:textId="6B42E2E1" w:rsidR="00FD2C3B" w:rsidRPr="00257F44" w:rsidRDefault="00FD2C3B" w:rsidP="0020660D">
            <w:pPr>
              <w:rPr>
                <w:rFonts w:ascii="Gill Sans" w:hAnsi="Gill Sans" w:cs="Gill Sans"/>
                <w:sz w:val="22"/>
                <w:szCs w:val="22"/>
                <w:lang w:val="uk-UA"/>
              </w:rPr>
            </w:pPr>
            <w:r w:rsidRPr="00257F44">
              <w:rPr>
                <w:rFonts w:ascii="Gill Sans" w:hAnsi="Gill Sans" w:cs="Gill Sans"/>
                <w:sz w:val="20"/>
                <w:szCs w:val="20"/>
                <w:lang w:val="uk-UA"/>
              </w:rPr>
              <w:t>Висока</w:t>
            </w:r>
          </w:p>
        </w:tc>
        <w:tc>
          <w:tcPr>
            <w:tcW w:w="428"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48A3DFB1" w14:textId="1FE4C568" w:rsidR="00FD2C3B" w:rsidRPr="00257F44" w:rsidRDefault="00FD2C3B" w:rsidP="0020660D">
            <w:pPr>
              <w:rPr>
                <w:rFonts w:ascii="Gill Sans" w:hAnsi="Gill Sans" w:cs="Gill Sans"/>
                <w:sz w:val="22"/>
                <w:szCs w:val="22"/>
                <w:lang w:val="uk-UA"/>
              </w:rPr>
            </w:pPr>
            <w:r w:rsidRPr="00257F44">
              <w:rPr>
                <w:rFonts w:ascii="Gill Sans" w:hAnsi="Gill Sans" w:cs="Gill Sans"/>
                <w:sz w:val="20"/>
                <w:szCs w:val="20"/>
                <w:lang w:val="uk-UA"/>
              </w:rPr>
              <w:t>Доступ до інформації</w:t>
            </w:r>
          </w:p>
        </w:tc>
        <w:tc>
          <w:tcPr>
            <w:tcW w:w="347"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51C95AF9" w14:textId="15CC6C8D" w:rsidR="00FD2C3B" w:rsidRPr="00257F44" w:rsidRDefault="00FD2C3B" w:rsidP="0020660D">
            <w:pPr>
              <w:rPr>
                <w:rFonts w:ascii="Gill Sans" w:hAnsi="Gill Sans" w:cs="Gill Sans"/>
                <w:sz w:val="22"/>
                <w:szCs w:val="22"/>
                <w:lang w:val="uk-UA"/>
              </w:rPr>
            </w:pPr>
            <w:r w:rsidRPr="00257F44">
              <w:rPr>
                <w:rFonts w:ascii="Gill Sans" w:hAnsi="Gill Sans" w:cs="Gill Sans"/>
                <w:sz w:val="20"/>
                <w:szCs w:val="20"/>
                <w:lang w:val="uk-UA"/>
              </w:rPr>
              <w:t>Громадська участь</w:t>
            </w:r>
          </w:p>
        </w:tc>
        <w:tc>
          <w:tcPr>
            <w:tcW w:w="347"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34B3DBD9" w14:textId="1A5A06DD" w:rsidR="00FD2C3B" w:rsidRPr="00257F44" w:rsidRDefault="00FD2C3B" w:rsidP="0020660D">
            <w:pPr>
              <w:rPr>
                <w:rFonts w:ascii="Gill Sans" w:hAnsi="Gill Sans" w:cs="Gill Sans"/>
                <w:sz w:val="22"/>
                <w:szCs w:val="22"/>
                <w:lang w:val="uk-UA"/>
              </w:rPr>
            </w:pPr>
            <w:r w:rsidRPr="00257F44">
              <w:rPr>
                <w:rFonts w:ascii="Gill Sans" w:hAnsi="Gill Sans" w:cs="Gill Sans"/>
                <w:sz w:val="20"/>
                <w:szCs w:val="20"/>
                <w:lang w:val="uk-UA"/>
              </w:rPr>
              <w:t>Підзвітність влади</w:t>
            </w:r>
          </w:p>
        </w:tc>
        <w:tc>
          <w:tcPr>
            <w:tcW w:w="831" w:type="dxa"/>
            <w:gridSpan w:val="2"/>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7305E20E" w14:textId="6BC8ECCA" w:rsidR="00FD2C3B" w:rsidRPr="00257F44" w:rsidRDefault="00FD2C3B" w:rsidP="0020660D">
            <w:pPr>
              <w:rPr>
                <w:rFonts w:ascii="Gill Sans" w:hAnsi="Gill Sans" w:cs="Gill Sans"/>
                <w:sz w:val="22"/>
                <w:szCs w:val="22"/>
                <w:lang w:val="uk-UA"/>
              </w:rPr>
            </w:pPr>
            <w:r w:rsidRPr="00257F44">
              <w:rPr>
                <w:rFonts w:ascii="Gill Sans" w:hAnsi="Gill Sans" w:cs="Gill Sans"/>
                <w:sz w:val="20"/>
                <w:szCs w:val="20"/>
                <w:lang w:val="uk-UA"/>
              </w:rPr>
              <w:t>Технології та інновації для прозорості й підзвітності</w:t>
            </w:r>
          </w:p>
        </w:tc>
        <w:tc>
          <w:tcPr>
            <w:tcW w:w="347"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43BE2534" w14:textId="6FFFD5DB" w:rsidR="00FD2C3B" w:rsidRPr="00257F44" w:rsidRDefault="00FD2C3B" w:rsidP="0020660D">
            <w:pPr>
              <w:rPr>
                <w:rFonts w:ascii="Gill Sans" w:hAnsi="Gill Sans" w:cs="Gill Sans"/>
                <w:sz w:val="22"/>
                <w:szCs w:val="22"/>
                <w:lang w:val="uk-UA"/>
              </w:rPr>
            </w:pPr>
            <w:r w:rsidRPr="00257F44">
              <w:rPr>
                <w:rFonts w:ascii="Gill Sans" w:hAnsi="Gill Sans" w:cs="Gill Sans"/>
                <w:sz w:val="20"/>
                <w:szCs w:val="20"/>
                <w:lang w:val="uk-UA"/>
              </w:rPr>
              <w:t>Жодного</w:t>
            </w:r>
          </w:p>
        </w:tc>
        <w:tc>
          <w:tcPr>
            <w:tcW w:w="347"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70A607F1" w14:textId="01A3E3CC" w:rsidR="00FD2C3B" w:rsidRPr="00257F44" w:rsidRDefault="00FD2C3B" w:rsidP="0020660D">
            <w:pPr>
              <w:rPr>
                <w:rFonts w:ascii="Gill Sans" w:hAnsi="Gill Sans" w:cs="Gill Sans"/>
                <w:sz w:val="22"/>
                <w:szCs w:val="22"/>
                <w:lang w:val="uk-UA"/>
              </w:rPr>
            </w:pPr>
            <w:r w:rsidRPr="00257F44">
              <w:rPr>
                <w:rFonts w:ascii="Gill Sans" w:hAnsi="Gill Sans" w:cs="Gill Sans"/>
                <w:sz w:val="20"/>
                <w:szCs w:val="20"/>
                <w:lang w:val="uk-UA"/>
              </w:rPr>
              <w:t>Незначний</w:t>
            </w:r>
          </w:p>
        </w:tc>
        <w:tc>
          <w:tcPr>
            <w:tcW w:w="347"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2C8B9067" w14:textId="0AE7BD79" w:rsidR="00FD2C3B" w:rsidRPr="00257F44" w:rsidRDefault="00FD2C3B" w:rsidP="0020660D">
            <w:pPr>
              <w:rPr>
                <w:rFonts w:ascii="Gill Sans" w:hAnsi="Gill Sans" w:cs="Gill Sans"/>
                <w:sz w:val="22"/>
                <w:szCs w:val="22"/>
                <w:lang w:val="uk-UA"/>
              </w:rPr>
            </w:pPr>
            <w:r w:rsidRPr="00257F44">
              <w:rPr>
                <w:rFonts w:ascii="Gill Sans" w:hAnsi="Gill Sans" w:cs="Gill Sans"/>
                <w:sz w:val="20"/>
                <w:szCs w:val="20"/>
                <w:lang w:val="uk-UA"/>
              </w:rPr>
              <w:t>Помірний</w:t>
            </w:r>
          </w:p>
        </w:tc>
        <w:tc>
          <w:tcPr>
            <w:tcW w:w="428" w:type="dxa"/>
            <w:gridSpan w:val="2"/>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012F8FF8" w14:textId="30A67E5E" w:rsidR="00FD2C3B" w:rsidRPr="00257F44" w:rsidRDefault="00FD2C3B" w:rsidP="0020660D">
            <w:pPr>
              <w:rPr>
                <w:rFonts w:ascii="Gill Sans" w:hAnsi="Gill Sans" w:cs="Gill Sans"/>
                <w:sz w:val="22"/>
                <w:szCs w:val="22"/>
                <w:lang w:val="uk-UA"/>
              </w:rPr>
            </w:pPr>
            <w:r w:rsidRPr="00257F44">
              <w:rPr>
                <w:rFonts w:ascii="Gill Sans" w:hAnsi="Gill Sans" w:cs="Gill Sans"/>
                <w:sz w:val="20"/>
                <w:szCs w:val="20"/>
                <w:lang w:val="uk-UA"/>
              </w:rPr>
              <w:t>Трансформуючий</w:t>
            </w:r>
          </w:p>
        </w:tc>
        <w:tc>
          <w:tcPr>
            <w:tcW w:w="347"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18B2DAB0" w14:textId="0FD063A4" w:rsidR="00FD2C3B" w:rsidRPr="00257F44" w:rsidRDefault="00FD2C3B" w:rsidP="0020660D">
            <w:pPr>
              <w:rPr>
                <w:rFonts w:ascii="Gill Sans" w:hAnsi="Gill Sans" w:cs="Gill Sans"/>
                <w:sz w:val="22"/>
                <w:szCs w:val="22"/>
                <w:lang w:val="uk-UA"/>
              </w:rPr>
            </w:pPr>
            <w:r w:rsidRPr="00257F44">
              <w:rPr>
                <w:rFonts w:ascii="Gill Sans" w:hAnsi="Gill Sans" w:cs="Gill Sans"/>
                <w:sz w:val="20"/>
                <w:szCs w:val="20"/>
                <w:lang w:val="uk-UA"/>
              </w:rPr>
              <w:t>Не розпочато</w:t>
            </w:r>
          </w:p>
        </w:tc>
        <w:tc>
          <w:tcPr>
            <w:tcW w:w="669" w:type="dxa"/>
            <w:gridSpan w:val="2"/>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207C5141" w14:textId="2350D44F" w:rsidR="00FD2C3B" w:rsidRPr="00257F44" w:rsidRDefault="00FD2C3B" w:rsidP="0020660D">
            <w:pPr>
              <w:rPr>
                <w:rFonts w:ascii="Gill Sans" w:hAnsi="Gill Sans" w:cs="Gill Sans"/>
                <w:sz w:val="22"/>
                <w:szCs w:val="22"/>
                <w:lang w:val="uk-UA"/>
              </w:rPr>
            </w:pPr>
            <w:r w:rsidRPr="00257F44">
              <w:rPr>
                <w:rFonts w:ascii="Gill Sans" w:hAnsi="Gill Sans" w:cs="Gill Sans"/>
                <w:sz w:val="20"/>
                <w:szCs w:val="20"/>
                <w:lang w:val="uk-UA"/>
              </w:rPr>
              <w:t>Обмежене</w:t>
            </w:r>
          </w:p>
        </w:tc>
        <w:tc>
          <w:tcPr>
            <w:tcW w:w="428"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5C45FC3F" w14:textId="2C7F4E7C" w:rsidR="00FD2C3B" w:rsidRPr="00257F44" w:rsidRDefault="00FD2C3B" w:rsidP="0020660D">
            <w:pPr>
              <w:rPr>
                <w:rFonts w:ascii="Gill Sans" w:hAnsi="Gill Sans" w:cs="Gill Sans"/>
                <w:sz w:val="22"/>
                <w:szCs w:val="22"/>
                <w:lang w:val="uk-UA"/>
              </w:rPr>
            </w:pPr>
            <w:r w:rsidRPr="00257F44">
              <w:rPr>
                <w:rFonts w:ascii="Gill Sans" w:hAnsi="Gill Sans" w:cs="Gill Sans"/>
                <w:sz w:val="20"/>
                <w:szCs w:val="20"/>
                <w:lang w:val="uk-UA"/>
              </w:rPr>
              <w:t>Значне</w:t>
            </w:r>
          </w:p>
        </w:tc>
        <w:tc>
          <w:tcPr>
            <w:tcW w:w="508" w:type="dxa"/>
            <w:gridSpan w:val="2"/>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03EAE5FA" w14:textId="3B3C2F62" w:rsidR="00FD2C3B" w:rsidRPr="00257F44" w:rsidRDefault="00FD2C3B" w:rsidP="0020660D">
            <w:pPr>
              <w:rPr>
                <w:rFonts w:ascii="Gill Sans" w:hAnsi="Gill Sans" w:cs="Gill Sans"/>
                <w:sz w:val="22"/>
                <w:szCs w:val="22"/>
                <w:lang w:val="uk-UA"/>
              </w:rPr>
            </w:pPr>
            <w:r w:rsidRPr="00257F44">
              <w:rPr>
                <w:rFonts w:ascii="Gill Sans" w:hAnsi="Gill Sans" w:cs="Gill Sans"/>
                <w:sz w:val="20"/>
                <w:szCs w:val="20"/>
                <w:lang w:val="uk-UA"/>
              </w:rPr>
              <w:t>Повне</w:t>
            </w:r>
          </w:p>
        </w:tc>
        <w:tc>
          <w:tcPr>
            <w:tcW w:w="347"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658564F6" w14:textId="0BFB31A4" w:rsidR="00FD2C3B" w:rsidRPr="00257F44" w:rsidRDefault="00FD2C3B" w:rsidP="007729D3">
            <w:pPr>
              <w:rPr>
                <w:rFonts w:ascii="Gill Sans" w:hAnsi="Gill Sans" w:cs="Gill Sans"/>
                <w:sz w:val="22"/>
                <w:szCs w:val="22"/>
                <w:lang w:val="uk-UA"/>
              </w:rPr>
            </w:pPr>
            <w:r w:rsidRPr="00257F44">
              <w:rPr>
                <w:rFonts w:ascii="Gill Sans" w:hAnsi="Gill Sans" w:cs="Gill Sans"/>
                <w:sz w:val="20"/>
                <w:szCs w:val="20"/>
                <w:lang w:val="uk-UA"/>
              </w:rPr>
              <w:t>Погіршило</w:t>
            </w:r>
          </w:p>
        </w:tc>
        <w:tc>
          <w:tcPr>
            <w:tcW w:w="347"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497F1399" w14:textId="6AF1AA1A" w:rsidR="00FD2C3B" w:rsidRPr="00257F44" w:rsidRDefault="00FD2C3B" w:rsidP="0020660D">
            <w:pPr>
              <w:rPr>
                <w:rFonts w:ascii="Gill Sans" w:hAnsi="Gill Sans" w:cs="Gill Sans"/>
                <w:sz w:val="22"/>
                <w:szCs w:val="22"/>
                <w:lang w:val="uk-UA"/>
              </w:rPr>
            </w:pPr>
            <w:r w:rsidRPr="00257F44">
              <w:rPr>
                <w:rFonts w:ascii="Gill Sans" w:hAnsi="Gill Sans" w:cs="Gill Sans"/>
                <w:sz w:val="20"/>
                <w:szCs w:val="20"/>
                <w:lang w:val="uk-UA"/>
              </w:rPr>
              <w:t>Не змінило</w:t>
            </w:r>
          </w:p>
        </w:tc>
        <w:tc>
          <w:tcPr>
            <w:tcW w:w="428"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2B1FB371" w14:textId="2579D740" w:rsidR="00FD2C3B" w:rsidRPr="00257F44" w:rsidRDefault="00FD2C3B" w:rsidP="0020660D">
            <w:pPr>
              <w:rPr>
                <w:rFonts w:ascii="Gill Sans" w:hAnsi="Gill Sans" w:cs="Gill Sans"/>
                <w:sz w:val="22"/>
                <w:szCs w:val="22"/>
                <w:lang w:val="uk-UA"/>
              </w:rPr>
            </w:pPr>
            <w:r w:rsidRPr="00257F44">
              <w:rPr>
                <w:rFonts w:ascii="Gill Sans" w:hAnsi="Gill Sans" w:cs="Gill Sans"/>
                <w:sz w:val="20"/>
                <w:szCs w:val="20"/>
                <w:lang w:val="uk-UA"/>
              </w:rPr>
              <w:t>Обмежено</w:t>
            </w:r>
          </w:p>
        </w:tc>
        <w:tc>
          <w:tcPr>
            <w:tcW w:w="347"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7A33CE3D" w14:textId="0D90A07E" w:rsidR="00FD2C3B" w:rsidRPr="00257F44" w:rsidRDefault="00FD2C3B" w:rsidP="0020660D">
            <w:pPr>
              <w:rPr>
                <w:rFonts w:ascii="Gill Sans" w:hAnsi="Gill Sans" w:cs="Gill Sans"/>
                <w:sz w:val="22"/>
                <w:szCs w:val="22"/>
                <w:lang w:val="uk-UA"/>
              </w:rPr>
            </w:pPr>
            <w:r w:rsidRPr="00257F44">
              <w:rPr>
                <w:rFonts w:ascii="Gill Sans" w:hAnsi="Gill Sans" w:cs="Gill Sans"/>
                <w:sz w:val="20"/>
                <w:szCs w:val="20"/>
                <w:lang w:val="uk-UA"/>
              </w:rPr>
              <w:t>Значною мірою</w:t>
            </w:r>
          </w:p>
        </w:tc>
        <w:tc>
          <w:tcPr>
            <w:tcW w:w="745" w:type="dxa"/>
            <w:gridSpan w:val="2"/>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307BF259" w14:textId="72134D27" w:rsidR="00FD2C3B" w:rsidRPr="00257F44" w:rsidRDefault="00FD2C3B" w:rsidP="0020660D">
            <w:pPr>
              <w:rPr>
                <w:rFonts w:ascii="Gill Sans" w:hAnsi="Gill Sans" w:cs="Gill Sans"/>
                <w:sz w:val="22"/>
                <w:szCs w:val="22"/>
                <w:lang w:val="uk-UA"/>
              </w:rPr>
            </w:pPr>
            <w:r w:rsidRPr="00257F44">
              <w:rPr>
                <w:rFonts w:ascii="Gill Sans" w:hAnsi="Gill Sans" w:cs="Gill Sans"/>
                <w:sz w:val="20"/>
                <w:szCs w:val="20"/>
                <w:lang w:val="uk-UA"/>
              </w:rPr>
              <w:t>Визначною мірою</w:t>
            </w:r>
          </w:p>
        </w:tc>
      </w:tr>
      <w:tr w:rsidR="0020660D" w:rsidRPr="00257F44" w14:paraId="445BB53D" w14:textId="77777777" w:rsidTr="00FD2C3B">
        <w:trPr>
          <w:trHeight w:val="340"/>
        </w:trPr>
        <w:tc>
          <w:tcPr>
            <w:tcW w:w="1325" w:type="dxa"/>
            <w:vMerge/>
            <w:tcBorders>
              <w:left w:val="single" w:sz="4" w:space="0" w:color="FFFFFF"/>
              <w:right w:val="single" w:sz="18" w:space="0" w:color="FFFFFF"/>
            </w:tcBorders>
            <w:shd w:val="clear" w:color="auto" w:fill="000000"/>
          </w:tcPr>
          <w:p w14:paraId="73F78697" w14:textId="756206DA" w:rsidR="0020660D" w:rsidRPr="00257F44" w:rsidRDefault="0020660D" w:rsidP="0020660D">
            <w:pPr>
              <w:rPr>
                <w:rFonts w:ascii="Gill Sans" w:hAnsi="Gill Sans" w:cs="Gill Sans"/>
                <w:noProof/>
                <w:color w:val="FFFFFF" w:themeColor="background1"/>
                <w:sz w:val="22"/>
                <w:szCs w:val="22"/>
                <w:lang w:val="uk-UA"/>
              </w:rPr>
            </w:pPr>
          </w:p>
        </w:tc>
        <w:tc>
          <w:tcPr>
            <w:tcW w:w="377" w:type="dxa"/>
            <w:vMerge w:val="restart"/>
            <w:tcBorders>
              <w:top w:val="single" w:sz="18" w:space="0" w:color="FFFFFF"/>
              <w:left w:val="single" w:sz="18" w:space="0" w:color="FFFFFF"/>
              <w:right w:val="single" w:sz="2" w:space="0" w:color="FFFFFF"/>
            </w:tcBorders>
            <w:shd w:val="clear" w:color="auto" w:fill="D6E3BC"/>
          </w:tcPr>
          <w:p w14:paraId="79F341B8" w14:textId="77777777" w:rsidR="0020660D" w:rsidRPr="00257F44" w:rsidRDefault="0020660D" w:rsidP="0020660D">
            <w:pPr>
              <w:rPr>
                <w:rFonts w:ascii="Gill Sans" w:hAnsi="Gill Sans" w:cs="Gill Sans"/>
                <w:sz w:val="22"/>
                <w:szCs w:val="22"/>
                <w:lang w:val="uk-UA"/>
              </w:rPr>
            </w:pPr>
          </w:p>
        </w:tc>
        <w:tc>
          <w:tcPr>
            <w:tcW w:w="347" w:type="dxa"/>
            <w:vMerge w:val="restart"/>
            <w:tcBorders>
              <w:top w:val="single" w:sz="18" w:space="0" w:color="FFFFFF"/>
              <w:left w:val="single" w:sz="2" w:space="0" w:color="FFFFFF"/>
              <w:right w:val="single" w:sz="2" w:space="0" w:color="FFFFFF"/>
            </w:tcBorders>
            <w:shd w:val="clear" w:color="auto" w:fill="D6E3BC"/>
          </w:tcPr>
          <w:p w14:paraId="042D1B38" w14:textId="77777777" w:rsidR="0020660D" w:rsidRPr="00257F44" w:rsidRDefault="0020660D" w:rsidP="0020660D">
            <w:pPr>
              <w:rPr>
                <w:rFonts w:ascii="Zapf Dingbats" w:hAnsi="Zapf Dingbats" w:cs="Gill Sans"/>
                <w:sz w:val="22"/>
                <w:szCs w:val="22"/>
                <w:lang w:val="uk-UA"/>
              </w:rPr>
            </w:pPr>
          </w:p>
        </w:tc>
        <w:tc>
          <w:tcPr>
            <w:tcW w:w="347" w:type="dxa"/>
            <w:vMerge w:val="restart"/>
            <w:tcBorders>
              <w:top w:val="single" w:sz="18" w:space="0" w:color="FFFFFF"/>
              <w:left w:val="single" w:sz="2" w:space="0" w:color="FFFFFF"/>
              <w:right w:val="single" w:sz="2" w:space="0" w:color="FFFFFF"/>
            </w:tcBorders>
            <w:shd w:val="clear" w:color="auto" w:fill="D6E3BC"/>
          </w:tcPr>
          <w:p w14:paraId="5179F20F" w14:textId="77777777" w:rsidR="0020660D" w:rsidRPr="00257F44" w:rsidRDefault="0020660D" w:rsidP="0020660D">
            <w:pPr>
              <w:rPr>
                <w:rFonts w:ascii="Zapf Dingbats" w:hAnsi="Zapf Dingbats" w:cs="Gill Sans"/>
                <w:sz w:val="22"/>
                <w:szCs w:val="22"/>
                <w:lang w:val="uk-UA"/>
              </w:rPr>
            </w:pPr>
          </w:p>
        </w:tc>
        <w:tc>
          <w:tcPr>
            <w:tcW w:w="428" w:type="dxa"/>
            <w:gridSpan w:val="2"/>
            <w:vMerge w:val="restart"/>
            <w:tcBorders>
              <w:top w:val="single" w:sz="18" w:space="0" w:color="FFFFFF"/>
              <w:left w:val="single" w:sz="2" w:space="0" w:color="FFFFFF"/>
              <w:right w:val="single" w:sz="18" w:space="0" w:color="FFFFFF"/>
            </w:tcBorders>
            <w:shd w:val="clear" w:color="auto" w:fill="D6E3BC"/>
          </w:tcPr>
          <w:p w14:paraId="4E480490" w14:textId="77777777" w:rsidR="0020660D" w:rsidRPr="00257F44" w:rsidRDefault="0020660D" w:rsidP="0020660D">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428" w:type="dxa"/>
            <w:vMerge w:val="restart"/>
            <w:tcBorders>
              <w:top w:val="single" w:sz="18" w:space="0" w:color="FFFFFF"/>
              <w:left w:val="single" w:sz="2" w:space="0" w:color="FFFFFF"/>
              <w:right w:val="single" w:sz="2" w:space="0" w:color="FFFFFF"/>
            </w:tcBorders>
            <w:shd w:val="clear" w:color="auto" w:fill="FBD4B4"/>
          </w:tcPr>
          <w:p w14:paraId="3BE3DD5B" w14:textId="77777777" w:rsidR="0020660D" w:rsidRPr="00257F44" w:rsidRDefault="0020660D" w:rsidP="0020660D">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47" w:type="dxa"/>
            <w:vMerge w:val="restart"/>
            <w:tcBorders>
              <w:top w:val="single" w:sz="18" w:space="0" w:color="FFFFFF"/>
              <w:left w:val="single" w:sz="2" w:space="0" w:color="FFFFFF"/>
              <w:right w:val="single" w:sz="2" w:space="0" w:color="FFFFFF"/>
            </w:tcBorders>
            <w:shd w:val="clear" w:color="auto" w:fill="FBD4B4"/>
          </w:tcPr>
          <w:p w14:paraId="2FAFCC1E" w14:textId="77777777" w:rsidR="0020660D" w:rsidRPr="00257F44" w:rsidRDefault="0020660D" w:rsidP="0020660D">
            <w:pPr>
              <w:rPr>
                <w:rFonts w:ascii="Zapf Dingbats" w:hAnsi="Zapf Dingbats" w:cs="Gill Sans"/>
                <w:noProof/>
                <w:sz w:val="22"/>
                <w:szCs w:val="22"/>
                <w:lang w:val="uk-UA"/>
              </w:rPr>
            </w:pPr>
          </w:p>
        </w:tc>
        <w:tc>
          <w:tcPr>
            <w:tcW w:w="347" w:type="dxa"/>
            <w:vMerge w:val="restart"/>
            <w:tcBorders>
              <w:top w:val="single" w:sz="18" w:space="0" w:color="FFFFFF"/>
              <w:left w:val="single" w:sz="2" w:space="0" w:color="FFFFFF"/>
              <w:right w:val="single" w:sz="2" w:space="0" w:color="FFFFFF"/>
            </w:tcBorders>
            <w:shd w:val="clear" w:color="auto" w:fill="FBD4B4"/>
          </w:tcPr>
          <w:p w14:paraId="06366F7F" w14:textId="77777777" w:rsidR="0020660D" w:rsidRPr="00257F44" w:rsidRDefault="0020660D" w:rsidP="0020660D">
            <w:pPr>
              <w:rPr>
                <w:rFonts w:ascii="Zapf Dingbats" w:hAnsi="Zapf Dingbats" w:cs="Gill Sans"/>
                <w:noProof/>
                <w:sz w:val="22"/>
                <w:szCs w:val="22"/>
                <w:lang w:val="uk-UA"/>
              </w:rPr>
            </w:pPr>
          </w:p>
        </w:tc>
        <w:tc>
          <w:tcPr>
            <w:tcW w:w="831" w:type="dxa"/>
            <w:gridSpan w:val="2"/>
            <w:vMerge w:val="restart"/>
            <w:tcBorders>
              <w:top w:val="single" w:sz="18" w:space="0" w:color="FFFFFF"/>
              <w:left w:val="single" w:sz="2" w:space="0" w:color="FFFFFF"/>
              <w:right w:val="single" w:sz="18" w:space="0" w:color="FFFFFF"/>
            </w:tcBorders>
            <w:shd w:val="clear" w:color="auto" w:fill="FBD4B4"/>
          </w:tcPr>
          <w:p w14:paraId="71601162" w14:textId="5C9A367A" w:rsidR="0020660D" w:rsidRPr="00257F44" w:rsidRDefault="0020660D" w:rsidP="0020660D">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47" w:type="dxa"/>
            <w:vMerge w:val="restart"/>
            <w:tcBorders>
              <w:top w:val="single" w:sz="18" w:space="0" w:color="FFFFFF"/>
              <w:left w:val="single" w:sz="18" w:space="0" w:color="FFFFFF"/>
              <w:right w:val="single" w:sz="2" w:space="0" w:color="FFFFFF"/>
            </w:tcBorders>
            <w:shd w:val="clear" w:color="auto" w:fill="CCC0D9"/>
          </w:tcPr>
          <w:p w14:paraId="0D87C9ED" w14:textId="77777777" w:rsidR="0020660D" w:rsidRPr="00257F44" w:rsidRDefault="0020660D" w:rsidP="0020660D">
            <w:pPr>
              <w:rPr>
                <w:rFonts w:ascii="Zapf Dingbats" w:hAnsi="Zapf Dingbats" w:cs="Gill Sans"/>
                <w:sz w:val="22"/>
                <w:szCs w:val="22"/>
                <w:lang w:val="uk-UA"/>
              </w:rPr>
            </w:pPr>
          </w:p>
        </w:tc>
        <w:tc>
          <w:tcPr>
            <w:tcW w:w="347" w:type="dxa"/>
            <w:vMerge w:val="restart"/>
            <w:tcBorders>
              <w:top w:val="single" w:sz="18" w:space="0" w:color="FFFFFF"/>
              <w:left w:val="single" w:sz="2" w:space="0" w:color="FFFFFF"/>
              <w:right w:val="single" w:sz="2" w:space="0" w:color="FFFFFF"/>
            </w:tcBorders>
            <w:shd w:val="clear" w:color="auto" w:fill="CCC0D9"/>
          </w:tcPr>
          <w:p w14:paraId="2D5A3D2D" w14:textId="2328C8C7" w:rsidR="0020660D" w:rsidRPr="00257F44" w:rsidRDefault="0020660D" w:rsidP="0020660D">
            <w:pPr>
              <w:rPr>
                <w:rFonts w:ascii="Zapf Dingbats" w:hAnsi="Zapf Dingbats" w:cs="Gill Sans"/>
                <w:sz w:val="22"/>
                <w:szCs w:val="22"/>
                <w:lang w:val="uk-UA"/>
              </w:rPr>
            </w:pPr>
          </w:p>
        </w:tc>
        <w:tc>
          <w:tcPr>
            <w:tcW w:w="347" w:type="dxa"/>
            <w:vMerge w:val="restart"/>
            <w:tcBorders>
              <w:top w:val="single" w:sz="18" w:space="0" w:color="FFFFFF"/>
              <w:left w:val="single" w:sz="2" w:space="0" w:color="FFFFFF"/>
              <w:right w:val="single" w:sz="2" w:space="0" w:color="FFFFFF"/>
            </w:tcBorders>
            <w:shd w:val="clear" w:color="auto" w:fill="CCC0D9"/>
          </w:tcPr>
          <w:p w14:paraId="79E9A409" w14:textId="77777777" w:rsidR="0020660D" w:rsidRPr="00257F44" w:rsidRDefault="0020660D" w:rsidP="0020660D">
            <w:pPr>
              <w:rPr>
                <w:rFonts w:ascii="Zapf Dingbats" w:hAnsi="Zapf Dingbats" w:cs="Gill Sans"/>
                <w:noProof/>
                <w:sz w:val="22"/>
                <w:szCs w:val="22"/>
                <w:lang w:val="uk-UA"/>
              </w:rPr>
            </w:pPr>
          </w:p>
        </w:tc>
        <w:tc>
          <w:tcPr>
            <w:tcW w:w="428" w:type="dxa"/>
            <w:gridSpan w:val="2"/>
            <w:vMerge w:val="restart"/>
            <w:tcBorders>
              <w:top w:val="single" w:sz="18" w:space="0" w:color="FFFFFF"/>
              <w:left w:val="single" w:sz="2" w:space="0" w:color="FFFFFF"/>
              <w:right w:val="single" w:sz="18" w:space="0" w:color="FFFFFF"/>
            </w:tcBorders>
            <w:shd w:val="clear" w:color="auto" w:fill="CCC0D9"/>
          </w:tcPr>
          <w:p w14:paraId="1346F26C" w14:textId="6EAB47B1" w:rsidR="0020660D" w:rsidRPr="00257F44" w:rsidRDefault="0020660D" w:rsidP="0020660D">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47" w:type="dxa"/>
            <w:tcBorders>
              <w:top w:val="single" w:sz="18" w:space="0" w:color="FFFFFF"/>
              <w:left w:val="single" w:sz="18" w:space="0" w:color="FFFFFF"/>
              <w:bottom w:val="single" w:sz="2" w:space="0" w:color="auto"/>
              <w:right w:val="single" w:sz="4" w:space="0" w:color="FFFFFF" w:themeColor="background1"/>
            </w:tcBorders>
            <w:shd w:val="clear" w:color="auto" w:fill="B8CCE4"/>
          </w:tcPr>
          <w:p w14:paraId="23CEC42C" w14:textId="77777777" w:rsidR="0020660D" w:rsidRPr="00257F44" w:rsidRDefault="0020660D" w:rsidP="0020660D">
            <w:pPr>
              <w:rPr>
                <w:rFonts w:ascii="Zapf Dingbats" w:hAnsi="Zapf Dingbats" w:cs="Gill Sans"/>
                <w:sz w:val="22"/>
                <w:szCs w:val="22"/>
                <w:lang w:val="uk-UA"/>
              </w:rPr>
            </w:pPr>
          </w:p>
        </w:tc>
        <w:tc>
          <w:tcPr>
            <w:tcW w:w="669" w:type="dxa"/>
            <w:gridSpan w:val="2"/>
            <w:tcBorders>
              <w:top w:val="single" w:sz="18" w:space="0" w:color="FFFFFF"/>
              <w:left w:val="single" w:sz="4" w:space="0" w:color="FFFFFF" w:themeColor="background1"/>
              <w:bottom w:val="single" w:sz="2" w:space="0" w:color="auto"/>
              <w:right w:val="single" w:sz="4" w:space="0" w:color="FFFFFF" w:themeColor="background1"/>
            </w:tcBorders>
            <w:shd w:val="clear" w:color="auto" w:fill="B8CCE4"/>
          </w:tcPr>
          <w:p w14:paraId="4E488288" w14:textId="252C0BB9" w:rsidR="0020660D" w:rsidRPr="00257F44" w:rsidRDefault="0020660D" w:rsidP="0020660D">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28" w:type="dxa"/>
            <w:tcBorders>
              <w:top w:val="single" w:sz="18" w:space="0" w:color="FFFFFF"/>
              <w:left w:val="single" w:sz="4" w:space="0" w:color="FFFFFF" w:themeColor="background1"/>
              <w:bottom w:val="single" w:sz="2" w:space="0" w:color="auto"/>
              <w:right w:val="single" w:sz="4" w:space="0" w:color="FFFFFF" w:themeColor="background1"/>
            </w:tcBorders>
            <w:shd w:val="clear" w:color="auto" w:fill="B8CCE4"/>
          </w:tcPr>
          <w:p w14:paraId="4EC47E3C" w14:textId="3BEA437E" w:rsidR="0020660D" w:rsidRPr="00257F44" w:rsidRDefault="0020660D" w:rsidP="0020660D">
            <w:pPr>
              <w:rPr>
                <w:rFonts w:ascii="Zapf Dingbats" w:hAnsi="Zapf Dingbats" w:cs="Gill Sans"/>
                <w:sz w:val="22"/>
                <w:szCs w:val="22"/>
                <w:lang w:val="uk-UA"/>
              </w:rPr>
            </w:pPr>
          </w:p>
        </w:tc>
        <w:tc>
          <w:tcPr>
            <w:tcW w:w="508" w:type="dxa"/>
            <w:gridSpan w:val="2"/>
            <w:tcBorders>
              <w:top w:val="single" w:sz="18" w:space="0" w:color="FFFFFF"/>
              <w:left w:val="single" w:sz="4" w:space="0" w:color="FFFFFF" w:themeColor="background1"/>
              <w:bottom w:val="single" w:sz="2" w:space="0" w:color="auto"/>
              <w:right w:val="single" w:sz="18" w:space="0" w:color="FFFFFF"/>
            </w:tcBorders>
            <w:shd w:val="clear" w:color="auto" w:fill="B8CCE4"/>
          </w:tcPr>
          <w:p w14:paraId="632BB40A" w14:textId="77777777" w:rsidR="0020660D" w:rsidRPr="00257F44" w:rsidRDefault="0020660D" w:rsidP="0020660D">
            <w:pPr>
              <w:rPr>
                <w:rFonts w:ascii="Gill Sans" w:hAnsi="Gill Sans" w:cs="Gill Sans"/>
                <w:sz w:val="22"/>
                <w:szCs w:val="22"/>
                <w:lang w:val="uk-UA"/>
              </w:rPr>
            </w:pPr>
          </w:p>
        </w:tc>
        <w:tc>
          <w:tcPr>
            <w:tcW w:w="347" w:type="dxa"/>
            <w:vMerge w:val="restart"/>
            <w:tcBorders>
              <w:top w:val="single" w:sz="18" w:space="0" w:color="FFFFFF"/>
              <w:left w:val="single" w:sz="18" w:space="0" w:color="FFFFFF"/>
              <w:right w:val="single" w:sz="2" w:space="0" w:color="FFFFFF"/>
            </w:tcBorders>
            <w:shd w:val="clear" w:color="auto" w:fill="D99594"/>
          </w:tcPr>
          <w:p w14:paraId="1EA6C138" w14:textId="77777777" w:rsidR="0020660D" w:rsidRPr="00257F44" w:rsidRDefault="0020660D" w:rsidP="0020660D">
            <w:pPr>
              <w:rPr>
                <w:rFonts w:ascii="Gill Sans" w:hAnsi="Gill Sans" w:cs="Gill Sans"/>
                <w:sz w:val="22"/>
                <w:szCs w:val="22"/>
                <w:lang w:val="uk-UA"/>
              </w:rPr>
            </w:pPr>
          </w:p>
        </w:tc>
        <w:tc>
          <w:tcPr>
            <w:tcW w:w="347" w:type="dxa"/>
            <w:vMerge w:val="restart"/>
            <w:tcBorders>
              <w:top w:val="single" w:sz="18" w:space="0" w:color="FFFFFF"/>
              <w:left w:val="single" w:sz="2" w:space="0" w:color="FFFFFF"/>
              <w:right w:val="single" w:sz="2" w:space="0" w:color="FFFFFF"/>
            </w:tcBorders>
            <w:shd w:val="clear" w:color="auto" w:fill="D99594"/>
          </w:tcPr>
          <w:p w14:paraId="7E4F5629" w14:textId="77777777" w:rsidR="0020660D" w:rsidRPr="00257F44" w:rsidRDefault="0020660D" w:rsidP="0020660D">
            <w:pPr>
              <w:rPr>
                <w:rFonts w:ascii="Gill Sans" w:hAnsi="Gill Sans" w:cs="Gill Sans"/>
                <w:sz w:val="22"/>
                <w:szCs w:val="22"/>
                <w:lang w:val="uk-UA"/>
              </w:rPr>
            </w:pPr>
          </w:p>
        </w:tc>
        <w:tc>
          <w:tcPr>
            <w:tcW w:w="428" w:type="dxa"/>
            <w:vMerge w:val="restart"/>
            <w:tcBorders>
              <w:top w:val="single" w:sz="18" w:space="0" w:color="FFFFFF"/>
              <w:left w:val="single" w:sz="2" w:space="0" w:color="FFFFFF"/>
              <w:right w:val="single" w:sz="2" w:space="0" w:color="FFFFFF"/>
            </w:tcBorders>
            <w:shd w:val="clear" w:color="auto" w:fill="D99594"/>
          </w:tcPr>
          <w:p w14:paraId="44A95469" w14:textId="4DE18109" w:rsidR="0020660D" w:rsidRPr="00257F44" w:rsidRDefault="0020660D" w:rsidP="0020660D">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47" w:type="dxa"/>
            <w:vMerge w:val="restart"/>
            <w:tcBorders>
              <w:top w:val="single" w:sz="18" w:space="0" w:color="FFFFFF"/>
              <w:left w:val="single" w:sz="2" w:space="0" w:color="FFFFFF"/>
              <w:right w:val="single" w:sz="2" w:space="0" w:color="FFFFFF"/>
            </w:tcBorders>
            <w:shd w:val="clear" w:color="auto" w:fill="D99594"/>
          </w:tcPr>
          <w:p w14:paraId="2F18212E" w14:textId="62020533" w:rsidR="0020660D" w:rsidRPr="00257F44" w:rsidRDefault="0020660D" w:rsidP="0020660D">
            <w:pPr>
              <w:rPr>
                <w:rFonts w:ascii="Gill Sans" w:hAnsi="Gill Sans" w:cs="Gill Sans"/>
                <w:noProof/>
                <w:sz w:val="22"/>
                <w:szCs w:val="22"/>
                <w:lang w:val="uk-UA"/>
              </w:rPr>
            </w:pPr>
          </w:p>
        </w:tc>
        <w:tc>
          <w:tcPr>
            <w:tcW w:w="745" w:type="dxa"/>
            <w:gridSpan w:val="2"/>
            <w:vMerge w:val="restart"/>
            <w:tcBorders>
              <w:top w:val="single" w:sz="18" w:space="0" w:color="FFFFFF"/>
              <w:left w:val="single" w:sz="2" w:space="0" w:color="FFFFFF"/>
              <w:right w:val="single" w:sz="18" w:space="0" w:color="FFFFFF"/>
            </w:tcBorders>
            <w:shd w:val="clear" w:color="auto" w:fill="D99594"/>
          </w:tcPr>
          <w:p w14:paraId="4BBD9DCE" w14:textId="77777777" w:rsidR="0020660D" w:rsidRPr="00257F44" w:rsidRDefault="0020660D" w:rsidP="0020660D">
            <w:pPr>
              <w:rPr>
                <w:rFonts w:ascii="Gill Sans" w:hAnsi="Gill Sans" w:cs="Gill Sans"/>
                <w:sz w:val="22"/>
                <w:szCs w:val="22"/>
                <w:lang w:val="uk-UA"/>
              </w:rPr>
            </w:pPr>
          </w:p>
        </w:tc>
      </w:tr>
      <w:tr w:rsidR="0020660D" w:rsidRPr="00257F44" w14:paraId="43F53A1D" w14:textId="77777777" w:rsidTr="00FD2C3B">
        <w:trPr>
          <w:trHeight w:val="340"/>
        </w:trPr>
        <w:tc>
          <w:tcPr>
            <w:tcW w:w="1325" w:type="dxa"/>
            <w:vMerge/>
            <w:tcBorders>
              <w:left w:val="single" w:sz="4" w:space="0" w:color="FFFFFF"/>
              <w:right w:val="single" w:sz="18" w:space="0" w:color="FFFFFF"/>
            </w:tcBorders>
            <w:shd w:val="clear" w:color="auto" w:fill="000000"/>
          </w:tcPr>
          <w:p w14:paraId="0D44B0FE" w14:textId="77777777" w:rsidR="0020660D" w:rsidRPr="00257F44" w:rsidRDefault="0020660D" w:rsidP="0020660D">
            <w:pPr>
              <w:rPr>
                <w:rFonts w:ascii="Gill Sans" w:hAnsi="Gill Sans" w:cs="Gill Sans"/>
                <w:color w:val="FFFFFF" w:themeColor="background1"/>
                <w:sz w:val="22"/>
                <w:szCs w:val="22"/>
                <w:lang w:val="uk-UA"/>
              </w:rPr>
            </w:pPr>
          </w:p>
        </w:tc>
        <w:tc>
          <w:tcPr>
            <w:tcW w:w="377" w:type="dxa"/>
            <w:vMerge/>
            <w:tcBorders>
              <w:left w:val="single" w:sz="18" w:space="0" w:color="FFFFFF"/>
              <w:right w:val="single" w:sz="2" w:space="0" w:color="FFFFFF"/>
            </w:tcBorders>
            <w:shd w:val="clear" w:color="auto" w:fill="D6E3BC"/>
          </w:tcPr>
          <w:p w14:paraId="1F46ACDC" w14:textId="77777777" w:rsidR="0020660D" w:rsidRPr="00257F44" w:rsidRDefault="0020660D" w:rsidP="0020660D">
            <w:pPr>
              <w:rPr>
                <w:rFonts w:ascii="Gill Sans" w:hAnsi="Gill Sans" w:cs="Gill Sans"/>
                <w:sz w:val="22"/>
                <w:szCs w:val="22"/>
                <w:lang w:val="uk-UA"/>
              </w:rPr>
            </w:pPr>
          </w:p>
        </w:tc>
        <w:tc>
          <w:tcPr>
            <w:tcW w:w="347" w:type="dxa"/>
            <w:vMerge/>
            <w:tcBorders>
              <w:left w:val="single" w:sz="2" w:space="0" w:color="FFFFFF"/>
              <w:right w:val="single" w:sz="2" w:space="0" w:color="FFFFFF"/>
            </w:tcBorders>
            <w:shd w:val="clear" w:color="auto" w:fill="D6E3BC"/>
          </w:tcPr>
          <w:p w14:paraId="75622A51" w14:textId="77777777" w:rsidR="0020660D" w:rsidRPr="00257F44" w:rsidRDefault="0020660D" w:rsidP="0020660D">
            <w:pPr>
              <w:rPr>
                <w:rFonts w:ascii="Zapf Dingbats" w:hAnsi="Zapf Dingbats" w:cs="Gill Sans"/>
                <w:sz w:val="22"/>
                <w:szCs w:val="22"/>
                <w:lang w:val="uk-UA"/>
              </w:rPr>
            </w:pPr>
          </w:p>
        </w:tc>
        <w:tc>
          <w:tcPr>
            <w:tcW w:w="347" w:type="dxa"/>
            <w:vMerge/>
            <w:tcBorders>
              <w:left w:val="single" w:sz="2" w:space="0" w:color="FFFFFF"/>
              <w:right w:val="single" w:sz="2" w:space="0" w:color="FFFFFF"/>
            </w:tcBorders>
            <w:shd w:val="clear" w:color="auto" w:fill="D6E3BC"/>
          </w:tcPr>
          <w:p w14:paraId="51FE60AF" w14:textId="77777777" w:rsidR="0020660D" w:rsidRPr="00257F44" w:rsidRDefault="0020660D" w:rsidP="0020660D">
            <w:pPr>
              <w:rPr>
                <w:rFonts w:ascii="Zapf Dingbats" w:hAnsi="Zapf Dingbats" w:cs="Gill Sans"/>
                <w:sz w:val="22"/>
                <w:szCs w:val="22"/>
                <w:lang w:val="uk-UA"/>
              </w:rPr>
            </w:pPr>
          </w:p>
        </w:tc>
        <w:tc>
          <w:tcPr>
            <w:tcW w:w="428" w:type="dxa"/>
            <w:gridSpan w:val="2"/>
            <w:vMerge/>
            <w:tcBorders>
              <w:left w:val="single" w:sz="2" w:space="0" w:color="FFFFFF"/>
              <w:right w:val="single" w:sz="18" w:space="0" w:color="FFFFFF"/>
            </w:tcBorders>
            <w:shd w:val="clear" w:color="auto" w:fill="D6E3BC"/>
          </w:tcPr>
          <w:p w14:paraId="26CFEBC6" w14:textId="77777777" w:rsidR="0020660D" w:rsidRPr="00257F44" w:rsidRDefault="0020660D" w:rsidP="0020660D">
            <w:pPr>
              <w:rPr>
                <w:rFonts w:ascii="Zapf Dingbats" w:hAnsi="Zapf Dingbats" w:cs="Gill Sans"/>
                <w:noProof/>
                <w:sz w:val="22"/>
                <w:szCs w:val="22"/>
                <w:lang w:val="uk-UA"/>
              </w:rPr>
            </w:pPr>
          </w:p>
        </w:tc>
        <w:tc>
          <w:tcPr>
            <w:tcW w:w="428" w:type="dxa"/>
            <w:vMerge/>
            <w:tcBorders>
              <w:left w:val="single" w:sz="2" w:space="0" w:color="FFFFFF"/>
              <w:right w:val="single" w:sz="2" w:space="0" w:color="FFFFFF"/>
            </w:tcBorders>
            <w:shd w:val="clear" w:color="auto" w:fill="FBD4B4"/>
          </w:tcPr>
          <w:p w14:paraId="1194C860" w14:textId="77777777" w:rsidR="0020660D" w:rsidRPr="00257F44" w:rsidRDefault="0020660D" w:rsidP="0020660D">
            <w:pPr>
              <w:rPr>
                <w:rFonts w:ascii="Zapf Dingbats" w:hAnsi="Zapf Dingbats" w:cs="Gill Sans"/>
                <w:sz w:val="22"/>
                <w:szCs w:val="22"/>
                <w:lang w:val="uk-UA"/>
              </w:rPr>
            </w:pPr>
          </w:p>
        </w:tc>
        <w:tc>
          <w:tcPr>
            <w:tcW w:w="347" w:type="dxa"/>
            <w:vMerge/>
            <w:tcBorders>
              <w:left w:val="single" w:sz="2" w:space="0" w:color="FFFFFF"/>
              <w:right w:val="single" w:sz="2" w:space="0" w:color="FFFFFF"/>
            </w:tcBorders>
            <w:shd w:val="clear" w:color="auto" w:fill="FBD4B4"/>
          </w:tcPr>
          <w:p w14:paraId="13D7BC41" w14:textId="77777777" w:rsidR="0020660D" w:rsidRPr="00257F44" w:rsidRDefault="0020660D" w:rsidP="0020660D">
            <w:pPr>
              <w:rPr>
                <w:rFonts w:ascii="Zapf Dingbats" w:hAnsi="Zapf Dingbats" w:cs="Gill Sans"/>
                <w:noProof/>
                <w:sz w:val="22"/>
                <w:szCs w:val="22"/>
                <w:lang w:val="uk-UA"/>
              </w:rPr>
            </w:pPr>
          </w:p>
        </w:tc>
        <w:tc>
          <w:tcPr>
            <w:tcW w:w="347" w:type="dxa"/>
            <w:vMerge/>
            <w:tcBorders>
              <w:left w:val="single" w:sz="2" w:space="0" w:color="FFFFFF"/>
              <w:right w:val="single" w:sz="2" w:space="0" w:color="FFFFFF"/>
            </w:tcBorders>
            <w:shd w:val="clear" w:color="auto" w:fill="FBD4B4"/>
          </w:tcPr>
          <w:p w14:paraId="565DD7FD" w14:textId="77777777" w:rsidR="0020660D" w:rsidRPr="00257F44" w:rsidRDefault="0020660D" w:rsidP="0020660D">
            <w:pPr>
              <w:rPr>
                <w:rFonts w:ascii="Zapf Dingbats" w:hAnsi="Zapf Dingbats" w:cs="Gill Sans"/>
                <w:noProof/>
                <w:sz w:val="22"/>
                <w:szCs w:val="22"/>
                <w:lang w:val="uk-UA"/>
              </w:rPr>
            </w:pPr>
          </w:p>
        </w:tc>
        <w:tc>
          <w:tcPr>
            <w:tcW w:w="831" w:type="dxa"/>
            <w:gridSpan w:val="2"/>
            <w:vMerge/>
            <w:tcBorders>
              <w:left w:val="single" w:sz="2" w:space="0" w:color="FFFFFF"/>
              <w:right w:val="single" w:sz="18" w:space="0" w:color="FFFFFF"/>
            </w:tcBorders>
            <w:shd w:val="clear" w:color="auto" w:fill="FBD4B4"/>
          </w:tcPr>
          <w:p w14:paraId="6933DE99" w14:textId="77777777" w:rsidR="0020660D" w:rsidRPr="00257F44" w:rsidRDefault="0020660D" w:rsidP="0020660D">
            <w:pPr>
              <w:rPr>
                <w:rFonts w:ascii="Zapf Dingbats" w:hAnsi="Zapf Dingbats" w:cs="Gill Sans"/>
                <w:sz w:val="22"/>
                <w:szCs w:val="22"/>
                <w:lang w:val="uk-UA"/>
              </w:rPr>
            </w:pPr>
          </w:p>
        </w:tc>
        <w:tc>
          <w:tcPr>
            <w:tcW w:w="347" w:type="dxa"/>
            <w:vMerge/>
            <w:tcBorders>
              <w:left w:val="single" w:sz="18" w:space="0" w:color="FFFFFF"/>
              <w:right w:val="single" w:sz="2" w:space="0" w:color="FFFFFF"/>
            </w:tcBorders>
            <w:shd w:val="clear" w:color="auto" w:fill="CCC0D9"/>
          </w:tcPr>
          <w:p w14:paraId="05EF7DAF" w14:textId="77777777" w:rsidR="0020660D" w:rsidRPr="00257F44" w:rsidRDefault="0020660D" w:rsidP="0020660D">
            <w:pPr>
              <w:rPr>
                <w:rFonts w:ascii="Zapf Dingbats" w:hAnsi="Zapf Dingbats" w:cs="Gill Sans"/>
                <w:sz w:val="22"/>
                <w:szCs w:val="22"/>
                <w:lang w:val="uk-UA"/>
              </w:rPr>
            </w:pPr>
          </w:p>
        </w:tc>
        <w:tc>
          <w:tcPr>
            <w:tcW w:w="347" w:type="dxa"/>
            <w:vMerge/>
            <w:tcBorders>
              <w:left w:val="single" w:sz="2" w:space="0" w:color="FFFFFF"/>
              <w:right w:val="single" w:sz="2" w:space="0" w:color="FFFFFF"/>
            </w:tcBorders>
            <w:shd w:val="clear" w:color="auto" w:fill="CCC0D9"/>
          </w:tcPr>
          <w:p w14:paraId="4FB55DD8" w14:textId="77777777" w:rsidR="0020660D" w:rsidRPr="00257F44" w:rsidRDefault="0020660D" w:rsidP="0020660D">
            <w:pPr>
              <w:rPr>
                <w:rFonts w:ascii="Zapf Dingbats" w:hAnsi="Zapf Dingbats" w:cs="Gill Sans"/>
                <w:sz w:val="22"/>
                <w:szCs w:val="22"/>
                <w:lang w:val="uk-UA"/>
              </w:rPr>
            </w:pPr>
          </w:p>
        </w:tc>
        <w:tc>
          <w:tcPr>
            <w:tcW w:w="347" w:type="dxa"/>
            <w:vMerge/>
            <w:tcBorders>
              <w:left w:val="single" w:sz="2" w:space="0" w:color="FFFFFF"/>
              <w:right w:val="single" w:sz="2" w:space="0" w:color="FFFFFF"/>
            </w:tcBorders>
            <w:shd w:val="clear" w:color="auto" w:fill="CCC0D9"/>
          </w:tcPr>
          <w:p w14:paraId="7BDDF4F1" w14:textId="77777777" w:rsidR="0020660D" w:rsidRPr="00257F44" w:rsidRDefault="0020660D" w:rsidP="0020660D">
            <w:pPr>
              <w:rPr>
                <w:rFonts w:ascii="Zapf Dingbats" w:hAnsi="Zapf Dingbats" w:cs="Gill Sans"/>
                <w:noProof/>
                <w:sz w:val="22"/>
                <w:szCs w:val="22"/>
                <w:lang w:val="uk-UA"/>
              </w:rPr>
            </w:pPr>
          </w:p>
        </w:tc>
        <w:tc>
          <w:tcPr>
            <w:tcW w:w="428" w:type="dxa"/>
            <w:gridSpan w:val="2"/>
            <w:vMerge/>
            <w:tcBorders>
              <w:left w:val="single" w:sz="2" w:space="0" w:color="FFFFFF"/>
              <w:right w:val="single" w:sz="18" w:space="0" w:color="FFFFFF"/>
            </w:tcBorders>
            <w:shd w:val="clear" w:color="auto" w:fill="CCC0D9"/>
          </w:tcPr>
          <w:p w14:paraId="0D0ABAB7" w14:textId="77777777" w:rsidR="0020660D" w:rsidRPr="00257F44" w:rsidRDefault="0020660D" w:rsidP="0020660D">
            <w:pPr>
              <w:rPr>
                <w:rFonts w:ascii="Zapf Dingbats" w:hAnsi="Zapf Dingbats" w:cs="Gill Sans"/>
                <w:sz w:val="22"/>
                <w:szCs w:val="22"/>
                <w:lang w:val="uk-UA"/>
              </w:rPr>
            </w:pPr>
          </w:p>
        </w:tc>
        <w:tc>
          <w:tcPr>
            <w:tcW w:w="347" w:type="dxa"/>
            <w:tcBorders>
              <w:top w:val="single" w:sz="2" w:space="0" w:color="auto"/>
              <w:left w:val="single" w:sz="18" w:space="0" w:color="FFFFFF"/>
              <w:bottom w:val="single" w:sz="4" w:space="0" w:color="auto"/>
              <w:right w:val="single" w:sz="4" w:space="0" w:color="FFFFFF" w:themeColor="background1"/>
            </w:tcBorders>
            <w:shd w:val="clear" w:color="auto" w:fill="B8CCE4"/>
          </w:tcPr>
          <w:p w14:paraId="6FA9A704" w14:textId="77777777" w:rsidR="0020660D" w:rsidRPr="00257F44" w:rsidRDefault="0020660D" w:rsidP="0020660D">
            <w:pPr>
              <w:rPr>
                <w:rFonts w:ascii="Zapf Dingbats" w:hAnsi="Zapf Dingbats" w:cs="Gill Sans"/>
                <w:sz w:val="22"/>
                <w:szCs w:val="22"/>
                <w:lang w:val="uk-UA"/>
              </w:rPr>
            </w:pPr>
          </w:p>
        </w:tc>
        <w:tc>
          <w:tcPr>
            <w:tcW w:w="669" w:type="dxa"/>
            <w:gridSpan w:val="2"/>
            <w:tcBorders>
              <w:top w:val="single" w:sz="2" w:space="0" w:color="auto"/>
              <w:left w:val="single" w:sz="4" w:space="0" w:color="FFFFFF" w:themeColor="background1"/>
              <w:bottom w:val="single" w:sz="4" w:space="0" w:color="auto"/>
              <w:right w:val="single" w:sz="4" w:space="0" w:color="FFFFFF" w:themeColor="background1"/>
            </w:tcBorders>
            <w:shd w:val="clear" w:color="auto" w:fill="B8CCE4"/>
          </w:tcPr>
          <w:p w14:paraId="5A79288E" w14:textId="13F8E122" w:rsidR="0020660D" w:rsidRPr="00257F44" w:rsidRDefault="0020660D" w:rsidP="0020660D">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28" w:type="dxa"/>
            <w:tcBorders>
              <w:top w:val="single" w:sz="2" w:space="0" w:color="auto"/>
              <w:left w:val="single" w:sz="4" w:space="0" w:color="FFFFFF" w:themeColor="background1"/>
              <w:bottom w:val="single" w:sz="4" w:space="0" w:color="auto"/>
              <w:right w:val="single" w:sz="4" w:space="0" w:color="FFFFFF" w:themeColor="background1"/>
            </w:tcBorders>
            <w:shd w:val="clear" w:color="auto" w:fill="B8CCE4"/>
          </w:tcPr>
          <w:p w14:paraId="7515C333" w14:textId="77777777" w:rsidR="0020660D" w:rsidRPr="00257F44" w:rsidRDefault="0020660D" w:rsidP="0020660D">
            <w:pPr>
              <w:rPr>
                <w:rFonts w:ascii="Zapf Dingbats" w:hAnsi="Zapf Dingbats" w:cs="Gill Sans"/>
                <w:sz w:val="22"/>
                <w:szCs w:val="22"/>
                <w:lang w:val="uk-UA"/>
              </w:rPr>
            </w:pPr>
          </w:p>
        </w:tc>
        <w:tc>
          <w:tcPr>
            <w:tcW w:w="508" w:type="dxa"/>
            <w:gridSpan w:val="2"/>
            <w:tcBorders>
              <w:top w:val="single" w:sz="2" w:space="0" w:color="auto"/>
              <w:left w:val="single" w:sz="4" w:space="0" w:color="FFFFFF" w:themeColor="background1"/>
              <w:bottom w:val="single" w:sz="4" w:space="0" w:color="auto"/>
              <w:right w:val="single" w:sz="18" w:space="0" w:color="FFFFFF"/>
            </w:tcBorders>
            <w:shd w:val="clear" w:color="auto" w:fill="B8CCE4"/>
          </w:tcPr>
          <w:p w14:paraId="5EEE5FC8" w14:textId="25CA6E9B" w:rsidR="0020660D" w:rsidRPr="00257F44" w:rsidRDefault="0020660D" w:rsidP="0020660D">
            <w:pPr>
              <w:jc w:val="center"/>
              <w:rPr>
                <w:rFonts w:ascii="Gill Sans" w:hAnsi="Gill Sans" w:cs="Gill Sans"/>
                <w:sz w:val="22"/>
                <w:szCs w:val="22"/>
                <w:lang w:val="uk-UA"/>
              </w:rPr>
            </w:pPr>
          </w:p>
        </w:tc>
        <w:tc>
          <w:tcPr>
            <w:tcW w:w="347" w:type="dxa"/>
            <w:vMerge/>
            <w:tcBorders>
              <w:left w:val="single" w:sz="18" w:space="0" w:color="FFFFFF"/>
              <w:right w:val="single" w:sz="2" w:space="0" w:color="FFFFFF"/>
            </w:tcBorders>
            <w:shd w:val="clear" w:color="auto" w:fill="D99594"/>
          </w:tcPr>
          <w:p w14:paraId="79DD56FE" w14:textId="77777777" w:rsidR="0020660D" w:rsidRPr="00257F44" w:rsidRDefault="0020660D" w:rsidP="0020660D">
            <w:pPr>
              <w:rPr>
                <w:rFonts w:ascii="Gill Sans" w:hAnsi="Gill Sans" w:cs="Gill Sans"/>
                <w:sz w:val="22"/>
                <w:szCs w:val="22"/>
                <w:lang w:val="uk-UA"/>
              </w:rPr>
            </w:pPr>
          </w:p>
        </w:tc>
        <w:tc>
          <w:tcPr>
            <w:tcW w:w="347" w:type="dxa"/>
            <w:vMerge/>
            <w:tcBorders>
              <w:left w:val="single" w:sz="2" w:space="0" w:color="FFFFFF"/>
              <w:right w:val="single" w:sz="2" w:space="0" w:color="FFFFFF"/>
            </w:tcBorders>
            <w:shd w:val="clear" w:color="auto" w:fill="D99594"/>
          </w:tcPr>
          <w:p w14:paraId="3B5F3839" w14:textId="77777777" w:rsidR="0020660D" w:rsidRPr="00257F44" w:rsidRDefault="0020660D" w:rsidP="0020660D">
            <w:pPr>
              <w:rPr>
                <w:rFonts w:ascii="Gill Sans" w:hAnsi="Gill Sans" w:cs="Gill Sans"/>
                <w:sz w:val="22"/>
                <w:szCs w:val="22"/>
                <w:lang w:val="uk-UA"/>
              </w:rPr>
            </w:pPr>
          </w:p>
        </w:tc>
        <w:tc>
          <w:tcPr>
            <w:tcW w:w="428" w:type="dxa"/>
            <w:vMerge/>
            <w:tcBorders>
              <w:left w:val="single" w:sz="2" w:space="0" w:color="FFFFFF"/>
              <w:right w:val="single" w:sz="2" w:space="0" w:color="FFFFFF"/>
            </w:tcBorders>
            <w:shd w:val="clear" w:color="auto" w:fill="D99594"/>
          </w:tcPr>
          <w:p w14:paraId="4EFCB68D" w14:textId="77777777" w:rsidR="0020660D" w:rsidRPr="00257F44" w:rsidRDefault="0020660D" w:rsidP="0020660D">
            <w:pPr>
              <w:rPr>
                <w:rFonts w:ascii="Gill Sans" w:hAnsi="Gill Sans" w:cs="Gill Sans"/>
                <w:sz w:val="22"/>
                <w:szCs w:val="22"/>
                <w:lang w:val="uk-UA"/>
              </w:rPr>
            </w:pPr>
          </w:p>
        </w:tc>
        <w:tc>
          <w:tcPr>
            <w:tcW w:w="347" w:type="dxa"/>
            <w:vMerge/>
            <w:tcBorders>
              <w:left w:val="single" w:sz="2" w:space="0" w:color="FFFFFF"/>
              <w:right w:val="single" w:sz="2" w:space="0" w:color="FFFFFF"/>
            </w:tcBorders>
            <w:shd w:val="clear" w:color="auto" w:fill="D99594"/>
          </w:tcPr>
          <w:p w14:paraId="4FF422E0" w14:textId="77777777" w:rsidR="0020660D" w:rsidRPr="00257F44" w:rsidRDefault="0020660D" w:rsidP="0020660D">
            <w:pPr>
              <w:rPr>
                <w:rFonts w:ascii="Gill Sans" w:hAnsi="Gill Sans" w:cs="Gill Sans"/>
                <w:noProof/>
                <w:sz w:val="22"/>
                <w:szCs w:val="22"/>
                <w:lang w:val="uk-UA"/>
              </w:rPr>
            </w:pPr>
          </w:p>
        </w:tc>
        <w:tc>
          <w:tcPr>
            <w:tcW w:w="745" w:type="dxa"/>
            <w:gridSpan w:val="2"/>
            <w:vMerge/>
            <w:tcBorders>
              <w:left w:val="single" w:sz="2" w:space="0" w:color="FFFFFF"/>
              <w:right w:val="single" w:sz="18" w:space="0" w:color="FFFFFF"/>
            </w:tcBorders>
            <w:shd w:val="clear" w:color="auto" w:fill="D99594"/>
          </w:tcPr>
          <w:p w14:paraId="63EADB8A" w14:textId="77777777" w:rsidR="0020660D" w:rsidRPr="00257F44" w:rsidRDefault="0020660D" w:rsidP="0020660D">
            <w:pPr>
              <w:rPr>
                <w:rFonts w:ascii="Gill Sans" w:hAnsi="Gill Sans" w:cs="Gill Sans"/>
                <w:sz w:val="22"/>
                <w:szCs w:val="22"/>
                <w:lang w:val="uk-UA"/>
              </w:rPr>
            </w:pPr>
          </w:p>
        </w:tc>
      </w:tr>
    </w:tbl>
    <w:p w14:paraId="77FA8A5C" w14:textId="77777777" w:rsidR="008F3E5F" w:rsidRPr="00257F44" w:rsidRDefault="008F3E5F" w:rsidP="00163080">
      <w:pPr>
        <w:rPr>
          <w:lang w:val="uk-UA"/>
        </w:rPr>
      </w:pPr>
    </w:p>
    <w:p w14:paraId="7F23FF2A" w14:textId="77777777" w:rsidR="00FD2C3B" w:rsidRPr="00257F44" w:rsidRDefault="00FD2C3B" w:rsidP="00B01429">
      <w:pPr>
        <w:pStyle w:val="Heading3"/>
        <w:spacing w:after="120"/>
        <w:rPr>
          <w:lang w:val="uk-UA"/>
        </w:rPr>
      </w:pPr>
      <w:r w:rsidRPr="00257F44">
        <w:rPr>
          <w:lang w:val="uk-UA"/>
        </w:rPr>
        <w:t>Мета зобов’язання</w:t>
      </w:r>
    </w:p>
    <w:p w14:paraId="038CF2BB" w14:textId="023D97F2" w:rsidR="00136D54" w:rsidRPr="00257F44" w:rsidRDefault="00136D54" w:rsidP="00B01429">
      <w:pPr>
        <w:spacing w:after="120"/>
        <w:rPr>
          <w:rFonts w:ascii="Gill Sans" w:hAnsi="Gill Sans" w:cs="Gill Sans"/>
          <w:sz w:val="22"/>
          <w:szCs w:val="22"/>
          <w:lang w:val="uk-UA"/>
        </w:rPr>
      </w:pPr>
      <w:r w:rsidRPr="00257F44">
        <w:rPr>
          <w:rFonts w:ascii="Gill Sans" w:hAnsi="Gill Sans" w:cs="Gill Sans"/>
          <w:sz w:val="22"/>
          <w:szCs w:val="22"/>
          <w:lang w:val="uk-UA"/>
        </w:rPr>
        <w:t>Зобов’язання було спрямовано на покращення суспільного доступу до містобудівної документації та геоінформаційних даних, у тому числі в електронній та машиночитаній ф</w:t>
      </w:r>
      <w:r w:rsidR="004777C8" w:rsidRPr="00257F44">
        <w:rPr>
          <w:rFonts w:ascii="Gill Sans" w:hAnsi="Gill Sans" w:cs="Gill Sans"/>
          <w:sz w:val="22"/>
          <w:szCs w:val="22"/>
          <w:lang w:val="uk-UA"/>
        </w:rPr>
        <w:t>ормі. Це мало б при</w:t>
      </w:r>
      <w:r w:rsidRPr="00257F44">
        <w:rPr>
          <w:rFonts w:ascii="Gill Sans" w:hAnsi="Gill Sans" w:cs="Gill Sans"/>
          <w:sz w:val="22"/>
          <w:szCs w:val="22"/>
          <w:lang w:val="uk-UA"/>
        </w:rPr>
        <w:t>вести до кращого доступу громадськості до інформації у в</w:t>
      </w:r>
      <w:r w:rsidR="00B27DE1" w:rsidRPr="00257F44">
        <w:rPr>
          <w:rFonts w:ascii="Gill Sans" w:hAnsi="Gill Sans" w:cs="Gill Sans"/>
          <w:sz w:val="22"/>
          <w:szCs w:val="22"/>
          <w:lang w:val="uk-UA"/>
        </w:rPr>
        <w:t>олодінні органів влади, зменшення</w:t>
      </w:r>
      <w:r w:rsidRPr="00257F44">
        <w:rPr>
          <w:rFonts w:ascii="Gill Sans" w:hAnsi="Gill Sans" w:cs="Gill Sans"/>
          <w:sz w:val="22"/>
          <w:szCs w:val="22"/>
          <w:lang w:val="uk-UA"/>
        </w:rPr>
        <w:t xml:space="preserve"> </w:t>
      </w:r>
      <w:r w:rsidR="00B27DE1" w:rsidRPr="00257F44">
        <w:rPr>
          <w:rFonts w:ascii="Gill Sans" w:hAnsi="Gill Sans" w:cs="Gill Sans"/>
          <w:sz w:val="22"/>
          <w:szCs w:val="22"/>
          <w:lang w:val="uk-UA"/>
        </w:rPr>
        <w:t>можливостей</w:t>
      </w:r>
      <w:r w:rsidRPr="00257F44">
        <w:rPr>
          <w:rFonts w:ascii="Gill Sans" w:hAnsi="Gill Sans" w:cs="Gill Sans"/>
          <w:sz w:val="22"/>
          <w:szCs w:val="22"/>
          <w:lang w:val="uk-UA"/>
        </w:rPr>
        <w:t xml:space="preserve"> для корупції</w:t>
      </w:r>
      <w:r w:rsidR="00C80B78" w:rsidRPr="00257F44">
        <w:rPr>
          <w:rFonts w:ascii="Gill Sans" w:hAnsi="Gill Sans" w:cs="Gill Sans"/>
          <w:sz w:val="22"/>
          <w:szCs w:val="22"/>
          <w:lang w:val="uk-UA"/>
        </w:rPr>
        <w:t xml:space="preserve"> в містобудуванні та будівництві, кращого інформування </w:t>
      </w:r>
      <w:r w:rsidR="004777C8" w:rsidRPr="00257F44">
        <w:rPr>
          <w:rFonts w:ascii="Gill Sans" w:hAnsi="Gill Sans" w:cs="Gill Sans"/>
          <w:sz w:val="22"/>
          <w:szCs w:val="22"/>
          <w:lang w:val="uk-UA"/>
        </w:rPr>
        <w:t>територіальних</w:t>
      </w:r>
      <w:r w:rsidR="00C80B78" w:rsidRPr="00257F44">
        <w:rPr>
          <w:rFonts w:ascii="Gill Sans" w:hAnsi="Gill Sans" w:cs="Gill Sans"/>
          <w:sz w:val="22"/>
          <w:szCs w:val="22"/>
          <w:lang w:val="uk-UA"/>
        </w:rPr>
        <w:t xml:space="preserve"> громад про плани розвитку </w:t>
      </w:r>
      <w:r w:rsidR="00B27DE1" w:rsidRPr="00257F44">
        <w:rPr>
          <w:rFonts w:ascii="Gill Sans" w:hAnsi="Gill Sans" w:cs="Gill Sans"/>
          <w:sz w:val="22"/>
          <w:szCs w:val="22"/>
          <w:lang w:val="uk-UA"/>
        </w:rPr>
        <w:t>місцевих територій</w:t>
      </w:r>
      <w:r w:rsidR="00C80B78" w:rsidRPr="00257F44">
        <w:rPr>
          <w:rFonts w:ascii="Gill Sans" w:hAnsi="Gill Sans" w:cs="Gill Sans"/>
          <w:sz w:val="22"/>
          <w:szCs w:val="22"/>
          <w:lang w:val="uk-UA"/>
        </w:rPr>
        <w:t xml:space="preserve"> та наділити місцеві громади можливостями із здійснення ефективнішого контролю за органами місцевої влади.</w:t>
      </w:r>
    </w:p>
    <w:p w14:paraId="166C7F0C" w14:textId="74A6A3BF" w:rsidR="0089761F" w:rsidRPr="00257F44" w:rsidRDefault="00FD2C3B" w:rsidP="00B01429">
      <w:pPr>
        <w:pStyle w:val="Heading3"/>
        <w:spacing w:after="120"/>
        <w:rPr>
          <w:lang w:val="uk-UA"/>
        </w:rPr>
      </w:pPr>
      <w:r w:rsidRPr="00257F44">
        <w:rPr>
          <w:lang w:val="uk-UA"/>
        </w:rPr>
        <w:t>Статус виконання</w:t>
      </w:r>
    </w:p>
    <w:p w14:paraId="6231435B" w14:textId="58017D37" w:rsidR="00FD2C3B" w:rsidRPr="00257F44" w:rsidRDefault="00FD2C3B" w:rsidP="00B01429">
      <w:pPr>
        <w:pStyle w:val="Normalrglronly"/>
        <w:rPr>
          <w:b/>
          <w:lang w:val="uk-UA"/>
        </w:rPr>
      </w:pPr>
      <w:r w:rsidRPr="00257F44">
        <w:rPr>
          <w:b/>
          <w:lang w:val="uk-UA"/>
        </w:rPr>
        <w:t>Проміжний звіт: Обмежене виконання</w:t>
      </w:r>
    </w:p>
    <w:p w14:paraId="1989806C" w14:textId="471418C1" w:rsidR="00D2610E" w:rsidRPr="00257F44" w:rsidRDefault="00BF401B" w:rsidP="00B01429">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Закон України “Про регулювання містобудівної діяльності” передбачав, що вся містобудівна документація (генеральні плани, детальні плани територій тощо) повинна бути відкрита для громадськості. Проте на практиці це положення не виконувалося належним чином, оскільки часто відповідні документи або їхні частини були засекречені чи іншим чином обмежені в </w:t>
      </w:r>
      <w:r w:rsidRPr="00257F44">
        <w:rPr>
          <w:rFonts w:ascii="Gill Sans" w:hAnsi="Gill Sans" w:cs="Gill Sans"/>
          <w:noProof/>
          <w:sz w:val="22"/>
          <w:szCs w:val="22"/>
          <w:lang w:val="uk-UA"/>
        </w:rPr>
        <w:lastRenderedPageBreak/>
        <w:t xml:space="preserve">доступі. </w:t>
      </w:r>
      <w:r w:rsidR="007B66C9" w:rsidRPr="00257F44">
        <w:rPr>
          <w:rFonts w:ascii="Gill Sans" w:hAnsi="Gill Sans" w:cs="Gill Sans"/>
          <w:noProof/>
          <w:sz w:val="22"/>
          <w:szCs w:val="22"/>
          <w:lang w:val="uk-UA"/>
        </w:rPr>
        <w:t>Таке обмеження в доступі не відповідало новому</w:t>
      </w:r>
      <w:r w:rsidRPr="00257F44">
        <w:rPr>
          <w:rFonts w:ascii="Gill Sans" w:hAnsi="Gill Sans" w:cs="Gill Sans"/>
          <w:noProof/>
          <w:sz w:val="22"/>
          <w:szCs w:val="22"/>
          <w:lang w:val="uk-UA"/>
        </w:rPr>
        <w:t xml:space="preserve"> </w:t>
      </w:r>
      <w:r w:rsidR="007B66C9" w:rsidRPr="00257F44">
        <w:rPr>
          <w:rFonts w:ascii="Gill Sans" w:hAnsi="Gill Sans" w:cs="Gill Sans"/>
          <w:noProof/>
          <w:sz w:val="22"/>
          <w:szCs w:val="22"/>
          <w:lang w:val="uk-UA"/>
        </w:rPr>
        <w:t>законодавству</w:t>
      </w:r>
      <w:r w:rsidRPr="00257F44">
        <w:rPr>
          <w:rFonts w:ascii="Gill Sans" w:hAnsi="Gill Sans" w:cs="Gill Sans"/>
          <w:noProof/>
          <w:sz w:val="22"/>
          <w:szCs w:val="22"/>
          <w:lang w:val="uk-UA"/>
        </w:rPr>
        <w:t xml:space="preserve"> про доступ до публічної інформації</w:t>
      </w:r>
      <w:r w:rsidR="007B66C9" w:rsidRPr="00257F44">
        <w:rPr>
          <w:rFonts w:ascii="Gill Sans" w:hAnsi="Gill Sans" w:cs="Gill Sans"/>
          <w:noProof/>
          <w:sz w:val="22"/>
          <w:szCs w:val="22"/>
          <w:lang w:val="uk-UA"/>
        </w:rPr>
        <w:t>, що було введено в дію</w:t>
      </w:r>
      <w:r w:rsidRPr="00257F44">
        <w:rPr>
          <w:rFonts w:ascii="Gill Sans" w:hAnsi="Gill Sans" w:cs="Gill Sans"/>
          <w:noProof/>
          <w:sz w:val="22"/>
          <w:szCs w:val="22"/>
          <w:lang w:val="uk-UA"/>
        </w:rPr>
        <w:t xml:space="preserve"> в 2011 році.</w:t>
      </w:r>
      <w:r w:rsidR="00A02BD2" w:rsidRPr="00257F44">
        <w:rPr>
          <w:rFonts w:ascii="Gill Sans" w:hAnsi="Gill Sans" w:cs="Gill Sans"/>
          <w:noProof/>
          <w:sz w:val="22"/>
          <w:szCs w:val="22"/>
          <w:lang w:val="uk-UA"/>
        </w:rPr>
        <w:t xml:space="preserve"> До ухвалення зобов’язання, органи місцевої влади та інші суб’єкти, відповідальні за розробку картогр</w:t>
      </w:r>
      <w:r w:rsidR="00F80EE0" w:rsidRPr="00257F44">
        <w:rPr>
          <w:rFonts w:ascii="Gill Sans" w:hAnsi="Gill Sans" w:cs="Gill Sans"/>
          <w:noProof/>
          <w:sz w:val="22"/>
          <w:szCs w:val="22"/>
          <w:lang w:val="uk-UA"/>
        </w:rPr>
        <w:t>афічних матеріалів, не виконували положення з</w:t>
      </w:r>
      <w:r w:rsidR="00A02BD2" w:rsidRPr="00257F44">
        <w:rPr>
          <w:rFonts w:ascii="Gill Sans" w:hAnsi="Gill Sans" w:cs="Gill Sans"/>
          <w:noProof/>
          <w:sz w:val="22"/>
          <w:szCs w:val="22"/>
          <w:lang w:val="uk-UA"/>
        </w:rPr>
        <w:t>акону щодо перегляду грифів обмеження доступу на містобудівній документації відповідно до нових законодавчих положень. Ті ж, хто здійснив такий перегляд, у більшості випадків автоматично продовжили обмеження доступу всупереч закону.</w:t>
      </w:r>
      <w:r w:rsidR="00E60008" w:rsidRPr="00257F44">
        <w:rPr>
          <w:rFonts w:ascii="Gill Sans" w:hAnsi="Gill Sans" w:cs="Gill Sans"/>
          <w:noProof/>
          <w:sz w:val="22"/>
          <w:szCs w:val="22"/>
          <w:lang w:val="uk-UA"/>
        </w:rPr>
        <w:t xml:space="preserve"> Міністерство регіонального розвитку стверджувало, що існуюче законодавство не може бути виконано і що на практиці матеріали з обмеженим доступом (наприклад, плани мереж водопостачання та об’єктів цивільної оборони) не можуть бути відділені від решти містобудівної документації. Міністерство запропонувало змінити закон та скасувати відповідні положення</w:t>
      </w:r>
      <w:r w:rsidR="00E60008" w:rsidRPr="00257F44">
        <w:rPr>
          <w:rStyle w:val="EndnoteReference"/>
          <w:rFonts w:ascii="Gill Sans" w:hAnsi="Gill Sans" w:cs="Gill Sans"/>
          <w:noProof/>
          <w:sz w:val="22"/>
          <w:szCs w:val="22"/>
          <w:lang w:val="uk-UA"/>
        </w:rPr>
        <w:endnoteReference w:id="17"/>
      </w:r>
      <w:r w:rsidR="00E60008" w:rsidRPr="00257F44">
        <w:rPr>
          <w:rFonts w:ascii="Gill Sans" w:hAnsi="Gill Sans" w:cs="Gill Sans"/>
          <w:noProof/>
          <w:sz w:val="22"/>
          <w:szCs w:val="22"/>
          <w:lang w:val="uk-UA"/>
        </w:rPr>
        <w:t>. Існувала також проблема фінансування, оскільки підготовка нових генеральних планів дорого коштувала. В нових документах містобудівної документації, які розробляються за допомогою електронних засобів, відділення частин з обмеженим доступом від решти матеріалів не створює складнощів (оскільки такі електронні документи дозволяють багатошаровість). Досягнення такого ж результат</w:t>
      </w:r>
      <w:r w:rsidR="002A2A0F" w:rsidRPr="00257F44">
        <w:rPr>
          <w:rFonts w:ascii="Gill Sans" w:hAnsi="Gill Sans" w:cs="Gill Sans"/>
          <w:noProof/>
          <w:sz w:val="22"/>
          <w:szCs w:val="22"/>
          <w:lang w:val="uk-UA"/>
        </w:rPr>
        <w:t>у в паперових документах вимагало</w:t>
      </w:r>
      <w:r w:rsidR="00E60008" w:rsidRPr="00257F44">
        <w:rPr>
          <w:rFonts w:ascii="Gill Sans" w:hAnsi="Gill Sans" w:cs="Gill Sans"/>
          <w:noProof/>
          <w:sz w:val="22"/>
          <w:szCs w:val="22"/>
          <w:lang w:val="uk-UA"/>
        </w:rPr>
        <w:t xml:space="preserve"> значних інвестицій часу та грошей.</w:t>
      </w:r>
      <w:r w:rsidR="002A2A0F" w:rsidRPr="00257F44">
        <w:rPr>
          <w:rFonts w:ascii="Gill Sans" w:hAnsi="Gill Sans" w:cs="Gill Sans"/>
          <w:noProof/>
          <w:sz w:val="22"/>
          <w:szCs w:val="22"/>
          <w:lang w:val="uk-UA"/>
        </w:rPr>
        <w:t xml:space="preserve"> За інформацією представників міністерства, в Україні більше 20 тисяч населених пунктів, які мають містобудівну документацію. З них, лише близько 1800 документів були оприлюднені онлайн, у тому числі 1500 генеральних планів</w:t>
      </w:r>
      <w:r w:rsidR="000265F8" w:rsidRPr="00257F44">
        <w:rPr>
          <w:rStyle w:val="EndnoteReference"/>
          <w:rFonts w:ascii="Gill Sans" w:hAnsi="Gill Sans" w:cs="Gill Sans"/>
          <w:noProof/>
          <w:sz w:val="22"/>
          <w:szCs w:val="22"/>
          <w:lang w:val="uk-UA"/>
        </w:rPr>
        <w:endnoteReference w:id="18"/>
      </w:r>
      <w:r w:rsidR="002A2A0F" w:rsidRPr="00257F44">
        <w:rPr>
          <w:rFonts w:ascii="Gill Sans" w:hAnsi="Gill Sans" w:cs="Gill Sans"/>
          <w:noProof/>
          <w:sz w:val="22"/>
          <w:szCs w:val="22"/>
          <w:lang w:val="uk-UA"/>
        </w:rPr>
        <w:t>.</w:t>
      </w:r>
    </w:p>
    <w:p w14:paraId="09D61CE7" w14:textId="7103F07C" w:rsidR="00FD2C3B" w:rsidRPr="00257F44" w:rsidRDefault="00FD2C3B" w:rsidP="00B01429">
      <w:pPr>
        <w:pStyle w:val="Normalrglronly"/>
        <w:rPr>
          <w:b/>
          <w:lang w:val="uk-UA"/>
        </w:rPr>
      </w:pPr>
      <w:r w:rsidRPr="00257F44">
        <w:rPr>
          <w:b/>
          <w:lang w:val="uk-UA"/>
        </w:rPr>
        <w:t>Підсумковий звіт: Обмежене виконання</w:t>
      </w:r>
    </w:p>
    <w:p w14:paraId="7ECA450D" w14:textId="74565259" w:rsidR="00FE1B43" w:rsidRPr="00257F44" w:rsidRDefault="00FE1B43" w:rsidP="00B01429">
      <w:pPr>
        <w:spacing w:after="120"/>
        <w:rPr>
          <w:rFonts w:ascii="Gill Sans" w:hAnsi="Gill Sans" w:cs="Gill Sans"/>
          <w:noProof/>
          <w:sz w:val="22"/>
          <w:szCs w:val="22"/>
          <w:lang w:val="uk-UA"/>
        </w:rPr>
      </w:pPr>
      <w:r w:rsidRPr="00257F44">
        <w:rPr>
          <w:rFonts w:ascii="Gill Sans" w:hAnsi="Gill Sans" w:cs="Gill Sans"/>
          <w:noProof/>
          <w:sz w:val="22"/>
          <w:szCs w:val="22"/>
          <w:lang w:val="uk-UA"/>
        </w:rPr>
        <w:t>З часу пр</w:t>
      </w:r>
      <w:r w:rsidR="004777C8" w:rsidRPr="00257F44">
        <w:rPr>
          <w:rFonts w:ascii="Gill Sans" w:hAnsi="Gill Sans" w:cs="Gill Sans"/>
          <w:noProof/>
          <w:sz w:val="22"/>
          <w:szCs w:val="22"/>
          <w:lang w:val="uk-UA"/>
        </w:rPr>
        <w:t>оміжного звіту не було досягнуто</w:t>
      </w:r>
      <w:r w:rsidRPr="00257F44">
        <w:rPr>
          <w:rFonts w:ascii="Gill Sans" w:hAnsi="Gill Sans" w:cs="Gill Sans"/>
          <w:noProof/>
          <w:sz w:val="22"/>
          <w:szCs w:val="22"/>
          <w:lang w:val="uk-UA"/>
        </w:rPr>
        <w:t xml:space="preserve"> подальшого прогресу. Навпаки, Міністерство регіонального розвитку запропонувало </w:t>
      </w:r>
      <w:r w:rsidR="007B720C" w:rsidRPr="00257F44">
        <w:rPr>
          <w:rFonts w:ascii="Gill Sans" w:hAnsi="Gill Sans" w:cs="Gill Sans"/>
          <w:noProof/>
          <w:sz w:val="22"/>
          <w:szCs w:val="22"/>
          <w:lang w:val="uk-UA"/>
        </w:rPr>
        <w:t>скасувати вимоги відкритості та закрити доступ до деякої інформації в містобудівних планах, зробивши публічним лише стислий виклад плану</w:t>
      </w:r>
      <w:r w:rsidR="007B720C" w:rsidRPr="00257F44">
        <w:rPr>
          <w:rStyle w:val="EndnoteReference"/>
          <w:rFonts w:ascii="Gill Sans" w:hAnsi="Gill Sans" w:cs="Gill Sans"/>
          <w:noProof/>
          <w:sz w:val="22"/>
          <w:szCs w:val="22"/>
          <w:lang w:val="uk-UA"/>
        </w:rPr>
        <w:endnoteReference w:id="19"/>
      </w:r>
      <w:r w:rsidR="007B720C" w:rsidRPr="00257F44">
        <w:rPr>
          <w:rFonts w:ascii="Gill Sans" w:hAnsi="Gill Sans" w:cs="Gill Sans"/>
          <w:noProof/>
          <w:sz w:val="22"/>
          <w:szCs w:val="22"/>
          <w:lang w:val="uk-UA"/>
        </w:rPr>
        <w:t>. Органи місцевої влади також продовжували відмовляти в доступі до містобудівних планів попри чіткі положення закону, що дозволяли такий доступ</w:t>
      </w:r>
      <w:r w:rsidR="007B720C" w:rsidRPr="00257F44">
        <w:rPr>
          <w:rStyle w:val="EndnoteReference"/>
          <w:rFonts w:ascii="Gill Sans" w:hAnsi="Gill Sans" w:cs="Gill Sans"/>
          <w:noProof/>
          <w:sz w:val="22"/>
          <w:szCs w:val="22"/>
          <w:lang w:val="uk-UA"/>
        </w:rPr>
        <w:endnoteReference w:id="20"/>
      </w:r>
      <w:r w:rsidR="007B720C" w:rsidRPr="00257F44">
        <w:rPr>
          <w:rFonts w:ascii="Gill Sans" w:hAnsi="Gill Sans" w:cs="Gill Sans"/>
          <w:noProof/>
          <w:sz w:val="22"/>
          <w:szCs w:val="22"/>
          <w:lang w:val="uk-UA"/>
        </w:rPr>
        <w:t>.</w:t>
      </w:r>
    </w:p>
    <w:p w14:paraId="3890D847" w14:textId="577F763E" w:rsidR="0089761F" w:rsidRPr="00257F44" w:rsidRDefault="00FD2C3B" w:rsidP="00B01429">
      <w:pPr>
        <w:pStyle w:val="Heading3"/>
        <w:spacing w:after="120"/>
        <w:rPr>
          <w:lang w:val="uk-UA"/>
        </w:rPr>
      </w:pPr>
      <w:r w:rsidRPr="00257F44">
        <w:rPr>
          <w:lang w:val="uk-UA"/>
        </w:rPr>
        <w:t>Чи змінило це уряд</w:t>
      </w:r>
      <w:r w:rsidR="0089761F" w:rsidRPr="00257F44">
        <w:rPr>
          <w:lang w:val="uk-UA"/>
        </w:rPr>
        <w:t>?</w:t>
      </w:r>
    </w:p>
    <w:p w14:paraId="27C5F99B" w14:textId="52272D7F" w:rsidR="0089761F" w:rsidRPr="00257F44" w:rsidRDefault="00FD2C3B" w:rsidP="00B01429">
      <w:pPr>
        <w:spacing w:after="120"/>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Доступ до інформації</w:t>
      </w:r>
      <w:r w:rsidR="0089761F" w:rsidRPr="00257F44">
        <w:rPr>
          <w:rFonts w:ascii="Gill Sans" w:hAnsi="Gill Sans" w:cs="Gill Sans"/>
          <w:b/>
          <w:color w:val="000000" w:themeColor="text1"/>
          <w:sz w:val="22"/>
          <w:szCs w:val="22"/>
          <w:lang w:val="uk-UA"/>
        </w:rPr>
        <w:t xml:space="preserve">: </w:t>
      </w:r>
      <w:r w:rsidRPr="00257F44">
        <w:rPr>
          <w:rFonts w:ascii="Gill Sans" w:hAnsi="Gill Sans" w:cs="Gill Sans"/>
          <w:b/>
          <w:color w:val="000000" w:themeColor="text1"/>
          <w:sz w:val="22"/>
          <w:szCs w:val="22"/>
          <w:lang w:val="uk-UA"/>
        </w:rPr>
        <w:t>Обмежено</w:t>
      </w:r>
    </w:p>
    <w:p w14:paraId="268208D7" w14:textId="7A1D5AF9" w:rsidR="00455340" w:rsidRPr="00257F44" w:rsidRDefault="007B720C" w:rsidP="00B01429">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Зобов’язання мало лише обмежений вплив на відкритий уряд. Воно </w:t>
      </w:r>
      <w:r w:rsidR="00917379" w:rsidRPr="00257F44">
        <w:rPr>
          <w:rFonts w:ascii="Gill Sans" w:hAnsi="Gill Sans" w:cs="Gill Sans"/>
          <w:noProof/>
          <w:sz w:val="22"/>
          <w:szCs w:val="22"/>
          <w:lang w:val="uk-UA"/>
        </w:rPr>
        <w:t>призвело до оприлюднення лише окремих містобудівних документів, але не змогло досягнути своєї мети забезпечення вільного суспільного доступу до всієї містобудівної документації та геоінформаційних даних (у тому числі в електронній формі). За інформацією громадських організацій, які працюють у сфері містобудування, вимоги закону про вільний доступ до містобудівної документації у більшості випадків не дотримуються</w:t>
      </w:r>
      <w:r w:rsidR="008B2AEA" w:rsidRPr="00257F44">
        <w:rPr>
          <w:rFonts w:ascii="Gill Sans" w:hAnsi="Gill Sans" w:cs="Gill Sans"/>
          <w:noProof/>
          <w:sz w:val="22"/>
          <w:szCs w:val="22"/>
          <w:lang w:val="uk-UA"/>
        </w:rPr>
        <w:t>. Дуже незначна кількість розпорядників інформації переглянули грифи обмеження доступу на відповідних документах, які все ще залишаються п</w:t>
      </w:r>
      <w:r w:rsidR="00A45BBD" w:rsidRPr="00257F44">
        <w:rPr>
          <w:rFonts w:ascii="Gill Sans" w:hAnsi="Gill Sans" w:cs="Gill Sans"/>
          <w:noProof/>
          <w:sz w:val="22"/>
          <w:szCs w:val="22"/>
          <w:lang w:val="uk-UA"/>
        </w:rPr>
        <w:t>ід обмеженим доступом</w:t>
      </w:r>
      <w:r w:rsidR="007913CC" w:rsidRPr="00257F44">
        <w:rPr>
          <w:rStyle w:val="EndnoteReference"/>
          <w:rFonts w:ascii="Gill Sans" w:hAnsi="Gill Sans" w:cs="Gill Sans"/>
          <w:noProof/>
          <w:sz w:val="22"/>
          <w:szCs w:val="22"/>
          <w:lang w:val="uk-UA"/>
        </w:rPr>
        <w:endnoteReference w:id="21"/>
      </w:r>
      <w:r w:rsidR="00A45BBD" w:rsidRPr="00257F44">
        <w:rPr>
          <w:rFonts w:ascii="Gill Sans" w:hAnsi="Gill Sans" w:cs="Gill Sans"/>
          <w:noProof/>
          <w:sz w:val="22"/>
          <w:szCs w:val="22"/>
          <w:lang w:val="uk-UA"/>
        </w:rPr>
        <w:t>.</w:t>
      </w:r>
      <w:r w:rsidR="007913CC" w:rsidRPr="00257F44">
        <w:rPr>
          <w:rFonts w:ascii="Gill Sans" w:hAnsi="Gill Sans" w:cs="Gill Sans"/>
          <w:noProof/>
          <w:sz w:val="22"/>
          <w:szCs w:val="22"/>
          <w:lang w:val="uk-UA"/>
        </w:rPr>
        <w:t xml:space="preserve"> </w:t>
      </w:r>
    </w:p>
    <w:p w14:paraId="6E570420" w14:textId="77777777" w:rsidR="0042522E" w:rsidRPr="00257F44" w:rsidRDefault="0042522E" w:rsidP="00B01429">
      <w:pPr>
        <w:pStyle w:val="Heading3"/>
        <w:spacing w:after="120"/>
        <w:rPr>
          <w:lang w:val="uk-UA"/>
        </w:rPr>
      </w:pPr>
      <w:r w:rsidRPr="00257F44">
        <w:rPr>
          <w:lang w:val="uk-UA"/>
        </w:rPr>
        <w:t>Чи перенесено до наступного плану дій?</w:t>
      </w:r>
    </w:p>
    <w:p w14:paraId="08D4B45B" w14:textId="251F9242" w:rsidR="00217AB0" w:rsidRPr="00257F44" w:rsidRDefault="00A45BBD" w:rsidP="00B01429">
      <w:pPr>
        <w:spacing w:after="120"/>
        <w:rPr>
          <w:rFonts w:ascii="Gill Sans" w:eastAsia="Times New Roman" w:hAnsi="Gill Sans" w:cs="Gill Sans"/>
          <w:color w:val="000000"/>
          <w:sz w:val="22"/>
          <w:szCs w:val="22"/>
          <w:shd w:val="clear" w:color="auto" w:fill="FFFFFF"/>
          <w:lang w:val="uk-UA"/>
        </w:rPr>
      </w:pPr>
      <w:r w:rsidRPr="00257F44">
        <w:rPr>
          <w:rFonts w:ascii="Gill Sans" w:hAnsi="Gill Sans" w:cs="Gill Sans"/>
          <w:sz w:val="22"/>
          <w:szCs w:val="22"/>
          <w:lang w:val="uk-UA"/>
        </w:rPr>
        <w:t>Ц</w:t>
      </w:r>
      <w:r w:rsidR="004777C8" w:rsidRPr="00257F44">
        <w:rPr>
          <w:rFonts w:ascii="Gill Sans" w:hAnsi="Gill Sans" w:cs="Gill Sans"/>
          <w:sz w:val="22"/>
          <w:szCs w:val="22"/>
          <w:lang w:val="uk-UA"/>
        </w:rPr>
        <w:t>е зобов’язання було перенесено до наступного</w:t>
      </w:r>
      <w:r w:rsidRPr="00257F44">
        <w:rPr>
          <w:rFonts w:ascii="Gill Sans" w:hAnsi="Gill Sans" w:cs="Gill Sans"/>
          <w:sz w:val="22"/>
          <w:szCs w:val="22"/>
          <w:lang w:val="uk-UA"/>
        </w:rPr>
        <w:t xml:space="preserve"> план</w:t>
      </w:r>
      <w:r w:rsidR="004777C8" w:rsidRPr="00257F44">
        <w:rPr>
          <w:rFonts w:ascii="Gill Sans" w:hAnsi="Gill Sans" w:cs="Gill Sans"/>
          <w:sz w:val="22"/>
          <w:szCs w:val="22"/>
          <w:lang w:val="uk-UA"/>
        </w:rPr>
        <w:t>у</w:t>
      </w:r>
      <w:r w:rsidRPr="00257F44">
        <w:rPr>
          <w:rFonts w:ascii="Gill Sans" w:hAnsi="Gill Sans" w:cs="Gill Sans"/>
          <w:sz w:val="22"/>
          <w:szCs w:val="22"/>
          <w:lang w:val="uk-UA"/>
        </w:rPr>
        <w:t xml:space="preserve"> дій. Новий план передбачає внесення змін до статті 18 Закон</w:t>
      </w:r>
      <w:r w:rsidR="004777C8" w:rsidRPr="00257F44">
        <w:rPr>
          <w:rFonts w:ascii="Gill Sans" w:hAnsi="Gill Sans" w:cs="Gill Sans"/>
          <w:sz w:val="22"/>
          <w:szCs w:val="22"/>
          <w:lang w:val="uk-UA"/>
        </w:rPr>
        <w:t>у</w:t>
      </w:r>
      <w:r w:rsidRPr="00257F44">
        <w:rPr>
          <w:rFonts w:ascii="Gill Sans" w:hAnsi="Gill Sans" w:cs="Gill Sans"/>
          <w:sz w:val="22"/>
          <w:szCs w:val="22"/>
          <w:lang w:val="uk-UA"/>
        </w:rPr>
        <w:t xml:space="preserve"> про містобудівну діяльність (до грудня 2017 року)</w:t>
      </w:r>
      <w:r w:rsidR="005C5AC9" w:rsidRPr="00257F44">
        <w:rPr>
          <w:rFonts w:ascii="Gill Sans" w:hAnsi="Gill Sans" w:cs="Gill Sans"/>
          <w:sz w:val="22"/>
          <w:szCs w:val="22"/>
          <w:lang w:val="uk-UA"/>
        </w:rPr>
        <w:t xml:space="preserve">, </w:t>
      </w:r>
      <w:r w:rsidR="005C5AC9" w:rsidRPr="00257F44">
        <w:rPr>
          <w:rFonts w:ascii="Gill Sans" w:eastAsia="Times New Roman" w:hAnsi="Gill Sans" w:cs="Gill Sans"/>
          <w:color w:val="000000"/>
          <w:sz w:val="22"/>
          <w:szCs w:val="22"/>
          <w:shd w:val="clear" w:color="auto" w:fill="FFFFFF"/>
          <w:lang w:val="uk-UA"/>
        </w:rPr>
        <w:t>приведення складу та змісту містобудівної документації у відповідність із законодавчими вимогами щодо її відкритості (</w:t>
      </w:r>
      <w:r w:rsidR="005C5AC9" w:rsidRPr="00257F44">
        <w:rPr>
          <w:rFonts w:ascii="Gill Sans" w:hAnsi="Gill Sans" w:cs="Gill Sans"/>
          <w:sz w:val="22"/>
          <w:szCs w:val="22"/>
          <w:lang w:val="uk-UA"/>
        </w:rPr>
        <w:t>до грудня 2017 року</w:t>
      </w:r>
      <w:r w:rsidR="005C5AC9" w:rsidRPr="00257F44">
        <w:rPr>
          <w:rFonts w:ascii="Gill Sans" w:eastAsia="Times New Roman" w:hAnsi="Gill Sans" w:cs="Gill Sans"/>
          <w:color w:val="000000"/>
          <w:sz w:val="22"/>
          <w:szCs w:val="22"/>
          <w:shd w:val="clear" w:color="auto" w:fill="FFFFFF"/>
          <w:lang w:val="uk-UA"/>
        </w:rPr>
        <w:t xml:space="preserve">) та </w:t>
      </w:r>
      <w:r w:rsidR="002D439E" w:rsidRPr="00257F44">
        <w:rPr>
          <w:rFonts w:ascii="Gill Sans" w:eastAsia="Times New Roman" w:hAnsi="Gill Sans" w:cs="Gill Sans"/>
          <w:color w:val="000000"/>
          <w:sz w:val="22"/>
          <w:szCs w:val="22"/>
          <w:shd w:val="clear" w:color="auto" w:fill="FFFFFF"/>
          <w:lang w:val="uk-UA"/>
        </w:rPr>
        <w:t xml:space="preserve">розроблення </w:t>
      </w:r>
      <w:r w:rsidR="004777C8" w:rsidRPr="00257F44">
        <w:rPr>
          <w:rFonts w:ascii="Gill Sans" w:eastAsia="Times New Roman" w:hAnsi="Gill Sans" w:cs="Gill Sans"/>
          <w:color w:val="000000"/>
          <w:sz w:val="22"/>
          <w:szCs w:val="22"/>
          <w:shd w:val="clear" w:color="auto" w:fill="FFFFFF"/>
          <w:lang w:val="uk-UA"/>
        </w:rPr>
        <w:t>і</w:t>
      </w:r>
      <w:r w:rsidR="002D439E" w:rsidRPr="00257F44">
        <w:rPr>
          <w:rFonts w:ascii="Gill Sans" w:eastAsia="Times New Roman" w:hAnsi="Gill Sans" w:cs="Gill Sans"/>
          <w:color w:val="000000"/>
          <w:sz w:val="22"/>
          <w:szCs w:val="22"/>
          <w:shd w:val="clear" w:color="auto" w:fill="FFFFFF"/>
          <w:lang w:val="uk-UA"/>
        </w:rPr>
        <w:t xml:space="preserve"> початок дослідної експлуатації програмно-технічного комплексу містобудівного кадастру державного рівня (до червня 2018 року).</w:t>
      </w:r>
      <w:r w:rsidR="00217AB0" w:rsidRPr="00257F44">
        <w:rPr>
          <w:rFonts w:ascii="Gill Sans" w:hAnsi="Gill Sans" w:cs="Gill Sans"/>
          <w:sz w:val="22"/>
          <w:szCs w:val="22"/>
          <w:lang w:val="uk-UA"/>
        </w:rPr>
        <w:br w:type="page"/>
      </w:r>
    </w:p>
    <w:p w14:paraId="67C076DF" w14:textId="77777777" w:rsidR="00217AB0" w:rsidRPr="00257F44" w:rsidRDefault="00217AB0" w:rsidP="0089761F">
      <w:pPr>
        <w:spacing w:after="120"/>
        <w:rPr>
          <w:rFonts w:ascii="Gill Sans" w:hAnsi="Gill Sans" w:cs="Gill Sans"/>
          <w:sz w:val="22"/>
          <w:szCs w:val="22"/>
          <w:lang w:val="uk-UA"/>
        </w:rPr>
        <w:sectPr w:rsidR="00217AB0" w:rsidRPr="00257F44" w:rsidSect="002A2966">
          <w:endnotePr>
            <w:numFmt w:val="decimal"/>
            <w:numRestart w:val="eachSect"/>
          </w:endnotePr>
          <w:pgSz w:w="11907" w:h="16839" w:code="9"/>
          <w:pgMar w:top="1417" w:right="1417" w:bottom="1417" w:left="1417" w:header="0" w:footer="0" w:gutter="0"/>
          <w:cols w:space="708"/>
          <w:docGrid w:linePitch="360"/>
        </w:sectPr>
      </w:pPr>
    </w:p>
    <w:p w14:paraId="33E40D02" w14:textId="77777777" w:rsidR="00F96953" w:rsidRPr="00257F44" w:rsidRDefault="006E6C92" w:rsidP="00F96953">
      <w:pPr>
        <w:pStyle w:val="Normalrglronly"/>
        <w:rPr>
          <w:b/>
          <w:lang w:val="uk-UA"/>
        </w:rPr>
      </w:pPr>
      <w:r w:rsidRPr="00257F44">
        <w:rPr>
          <w:rFonts w:ascii="MS Mincho" w:eastAsia="MS Mincho" w:hAnsi="MS Mincho" w:cs="MS Mincho"/>
          <w:lang w:val="uk-UA"/>
        </w:rPr>
        <w:lastRenderedPageBreak/>
        <w:t>✪</w:t>
      </w:r>
      <w:r w:rsidR="001472DB" w:rsidRPr="00257F44">
        <w:rPr>
          <w:b/>
          <w:lang w:val="uk-UA"/>
        </w:rPr>
        <w:t>5.3</w:t>
      </w:r>
      <w:r w:rsidR="0020660D" w:rsidRPr="00257F44">
        <w:rPr>
          <w:b/>
          <w:lang w:val="uk-UA"/>
        </w:rPr>
        <w:t>.</w:t>
      </w:r>
      <w:r w:rsidR="00217AB0" w:rsidRPr="00257F44">
        <w:rPr>
          <w:b/>
          <w:lang w:val="uk-UA"/>
        </w:rPr>
        <w:t xml:space="preserve"> </w:t>
      </w:r>
      <w:r w:rsidR="00F96953" w:rsidRPr="00257F44">
        <w:rPr>
          <w:b/>
          <w:lang w:val="uk-UA"/>
        </w:rPr>
        <w:t>Доступ до архівів комуністичного режиму</w:t>
      </w:r>
    </w:p>
    <w:p w14:paraId="4ED3DDB1" w14:textId="77777777" w:rsidR="00F96953" w:rsidRPr="00257F44" w:rsidRDefault="00F96953" w:rsidP="00F96953">
      <w:pPr>
        <w:spacing w:after="120"/>
        <w:rPr>
          <w:rFonts w:ascii="Gill Sans" w:hAnsi="Gill Sans" w:cs="Gill Sans"/>
          <w:i/>
          <w:noProof/>
          <w:sz w:val="22"/>
          <w:szCs w:val="22"/>
          <w:lang w:val="uk-UA"/>
        </w:rPr>
      </w:pPr>
      <w:r w:rsidRPr="00257F44">
        <w:rPr>
          <w:rFonts w:ascii="Gill Sans" w:hAnsi="Gill Sans" w:cs="Gill Sans"/>
          <w:b/>
          <w:bCs/>
          <w:iCs/>
          <w:noProof/>
          <w:sz w:val="22"/>
          <w:szCs w:val="22"/>
          <w:lang w:val="uk-UA"/>
        </w:rPr>
        <w:t>Текст зобов’язання:</w:t>
      </w:r>
      <w:r w:rsidRPr="00257F44">
        <w:rPr>
          <w:rFonts w:ascii="Gill Sans" w:hAnsi="Gill Sans" w:cs="Gill Sans"/>
          <w:i/>
          <w:noProof/>
          <w:sz w:val="22"/>
          <w:szCs w:val="22"/>
          <w:lang w:val="uk-UA"/>
        </w:rPr>
        <w:t xml:space="preserve"> 5.3. Забезпечення безперешкодного доступу громадськості до публічної інформації шляхом: підготовки та подання в установленому порядку Кабінетові Міністрів України законопроекту, який регулюватиме порядок та умови доступу до архівів органів внутрішніх справ та спецслужб СРСР 1917 – 1991 років.</w:t>
      </w:r>
    </w:p>
    <w:p w14:paraId="30ECBE15" w14:textId="77777777" w:rsidR="00F96953" w:rsidRPr="00257F44" w:rsidRDefault="00F96953" w:rsidP="00F96953">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схвалення Кабінетом Міністрів України відповідного законопроекту, подання його Верховній Раді України та супроводження до прийняття.</w:t>
      </w:r>
    </w:p>
    <w:p w14:paraId="054507A5" w14:textId="77777777" w:rsidR="00F96953" w:rsidRPr="00257F44" w:rsidRDefault="00F96953" w:rsidP="00F96953">
      <w:pPr>
        <w:spacing w:after="120"/>
        <w:rPr>
          <w:rFonts w:ascii="Gill Sans" w:hAnsi="Gill Sans" w:cs="Gill Sans"/>
          <w:sz w:val="22"/>
          <w:szCs w:val="22"/>
          <w:lang w:val="uk-UA"/>
        </w:rPr>
      </w:pPr>
      <w:r w:rsidRPr="00257F44">
        <w:rPr>
          <w:rFonts w:ascii="Gill Sans" w:hAnsi="Gill Sans" w:cs="Gill Sans"/>
          <w:sz w:val="22"/>
          <w:szCs w:val="22"/>
          <w:lang w:val="uk-UA"/>
        </w:rPr>
        <w:t>Головна інституція, відповідальна за виконання: Український інститут національної пам’яті.</w:t>
      </w:r>
    </w:p>
    <w:p w14:paraId="4442FA84" w14:textId="77777777" w:rsidR="00F96953" w:rsidRPr="00257F44" w:rsidRDefault="00F96953" w:rsidP="00F96953">
      <w:pPr>
        <w:spacing w:after="120"/>
        <w:rPr>
          <w:rFonts w:ascii="Gill Sans" w:hAnsi="Gill Sans" w:cs="Gill Sans"/>
          <w:sz w:val="22"/>
          <w:szCs w:val="22"/>
          <w:lang w:val="uk-UA"/>
        </w:rPr>
      </w:pPr>
      <w:r w:rsidRPr="00257F44">
        <w:rPr>
          <w:rFonts w:ascii="Gill Sans" w:hAnsi="Gill Sans" w:cs="Gill Sans"/>
          <w:sz w:val="22"/>
          <w:szCs w:val="22"/>
          <w:lang w:val="uk-UA"/>
        </w:rPr>
        <w:t>Інші виконавці: Міністерство культури, Державна архівна служба, Міністерство юстиції, ГО “Центр досліджень визвольного руху”, інші невизначені організації громадянського суспільства та міжнародні організації.</w:t>
      </w:r>
    </w:p>
    <w:p w14:paraId="1374BE1D" w14:textId="5E592CD3" w:rsidR="00F96953" w:rsidRPr="00257F44" w:rsidRDefault="00F96953" w:rsidP="00F96953">
      <w:pPr>
        <w:pStyle w:val="Normalrglronly"/>
        <w:rPr>
          <w:noProof/>
          <w:lang w:val="uk-UA"/>
        </w:rPr>
      </w:pPr>
      <w:r w:rsidRPr="00257F44">
        <w:rPr>
          <w:lang w:val="uk-UA"/>
        </w:rPr>
        <w:t xml:space="preserve">Дата початку: Не визначено </w:t>
      </w:r>
      <w:r w:rsidRPr="00257F44">
        <w:rPr>
          <w:lang w:val="uk-UA"/>
        </w:rPr>
        <w:tab/>
      </w:r>
      <w:r w:rsidRPr="00257F44">
        <w:rPr>
          <w:lang w:val="uk-UA"/>
        </w:rPr>
        <w:tab/>
      </w:r>
      <w:r w:rsidRPr="00257F44">
        <w:rPr>
          <w:lang w:val="uk-UA"/>
        </w:rPr>
        <w:tab/>
      </w:r>
      <w:r w:rsidRPr="00257F44">
        <w:rPr>
          <w:lang w:val="uk-UA"/>
        </w:rPr>
        <w:tab/>
        <w:t>Термін виконання: 31 грудня 2014 р.</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53"/>
        <w:gridCol w:w="349"/>
        <w:gridCol w:w="349"/>
        <w:gridCol w:w="350"/>
        <w:gridCol w:w="432"/>
        <w:gridCol w:w="350"/>
        <w:gridCol w:w="350"/>
        <w:gridCol w:w="844"/>
        <w:gridCol w:w="350"/>
        <w:gridCol w:w="350"/>
        <w:gridCol w:w="432"/>
        <w:gridCol w:w="350"/>
        <w:gridCol w:w="597"/>
        <w:gridCol w:w="432"/>
        <w:gridCol w:w="432"/>
        <w:gridCol w:w="515"/>
        <w:gridCol w:w="350"/>
        <w:gridCol w:w="350"/>
        <w:gridCol w:w="350"/>
        <w:gridCol w:w="350"/>
        <w:gridCol w:w="432"/>
      </w:tblGrid>
      <w:tr w:rsidR="00F96953" w:rsidRPr="00257F44" w14:paraId="118655E7" w14:textId="77777777" w:rsidTr="00F96953">
        <w:trPr>
          <w:trHeight w:val="405"/>
        </w:trPr>
        <w:tc>
          <w:tcPr>
            <w:tcW w:w="1413" w:type="dxa"/>
            <w:vMerge w:val="restart"/>
            <w:tcBorders>
              <w:top w:val="single" w:sz="18" w:space="0" w:color="FFFFFF"/>
              <w:left w:val="single" w:sz="4" w:space="0" w:color="FFFFFF"/>
              <w:right w:val="single" w:sz="18" w:space="0" w:color="FFFFFF"/>
            </w:tcBorders>
            <w:shd w:val="clear" w:color="auto" w:fill="000000"/>
          </w:tcPr>
          <w:p w14:paraId="78AF765C" w14:textId="3B8ADD0D" w:rsidR="00F96953" w:rsidRPr="00257F44" w:rsidRDefault="00F96953" w:rsidP="0020660D">
            <w:pPr>
              <w:rPr>
                <w:rFonts w:ascii="Gill Sans" w:hAnsi="Gill Sans" w:cs="Gill Sans"/>
                <w:color w:val="FFFFFF" w:themeColor="background1"/>
                <w:sz w:val="22"/>
                <w:szCs w:val="22"/>
                <w:lang w:val="uk-UA"/>
              </w:rPr>
            </w:pPr>
            <w:r w:rsidRPr="00257F44">
              <w:rPr>
                <w:rFonts w:ascii="Gill Sans" w:hAnsi="Gill Sans" w:cs="Gill Sans"/>
                <w:sz w:val="20"/>
                <w:szCs w:val="20"/>
                <w:lang w:val="uk-UA"/>
              </w:rPr>
              <w:t>Опис зобов’язання</w:t>
            </w:r>
          </w:p>
        </w:tc>
        <w:tc>
          <w:tcPr>
            <w:tcW w:w="1401" w:type="dxa"/>
            <w:gridSpan w:val="4"/>
            <w:vMerge w:val="restart"/>
            <w:tcBorders>
              <w:top w:val="single" w:sz="18" w:space="0" w:color="FFFFFF"/>
              <w:left w:val="single" w:sz="18" w:space="0" w:color="FFFFFF"/>
              <w:right w:val="single" w:sz="18" w:space="0" w:color="FFFFFF"/>
            </w:tcBorders>
            <w:shd w:val="clear" w:color="auto" w:fill="D6E3BC"/>
          </w:tcPr>
          <w:p w14:paraId="7E5C92A4" w14:textId="49FDE6DB"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Конкретність</w:t>
            </w:r>
          </w:p>
        </w:tc>
        <w:tc>
          <w:tcPr>
            <w:tcW w:w="1976" w:type="dxa"/>
            <w:gridSpan w:val="4"/>
            <w:vMerge w:val="restart"/>
            <w:tcBorders>
              <w:top w:val="single" w:sz="18" w:space="0" w:color="FFFFFF"/>
              <w:left w:val="single" w:sz="18" w:space="0" w:color="FFFFFF"/>
              <w:right w:val="single" w:sz="18" w:space="0" w:color="FFFFFF"/>
            </w:tcBorders>
            <w:shd w:val="clear" w:color="auto" w:fill="FBD4B4"/>
          </w:tcPr>
          <w:p w14:paraId="40729B15" w14:textId="668D779D"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Відповідність цінностям ПВУ (як сформульовано)</w:t>
            </w:r>
          </w:p>
        </w:tc>
        <w:tc>
          <w:tcPr>
            <w:tcW w:w="1482" w:type="dxa"/>
            <w:gridSpan w:val="4"/>
            <w:vMerge w:val="restart"/>
            <w:tcBorders>
              <w:top w:val="single" w:sz="18" w:space="0" w:color="FFFFFF"/>
              <w:left w:val="single" w:sz="18" w:space="0" w:color="FFFFFF"/>
              <w:right w:val="single" w:sz="18" w:space="0" w:color="FFFFFF"/>
            </w:tcBorders>
            <w:shd w:val="clear" w:color="auto" w:fill="CCC0D9"/>
          </w:tcPr>
          <w:p w14:paraId="07B45810" w14:textId="1FAEEE3A"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Потенційний вплив</w:t>
            </w:r>
          </w:p>
        </w:tc>
        <w:tc>
          <w:tcPr>
            <w:tcW w:w="1029" w:type="dxa"/>
            <w:gridSpan w:val="2"/>
            <w:vMerge w:val="restart"/>
            <w:tcBorders>
              <w:top w:val="single" w:sz="18" w:space="0" w:color="FFFFFF"/>
              <w:left w:val="single" w:sz="18" w:space="0" w:color="FFFFFF"/>
              <w:right w:val="single" w:sz="2" w:space="0" w:color="FFFFFF"/>
            </w:tcBorders>
            <w:shd w:val="clear" w:color="auto" w:fill="B8CCE4"/>
          </w:tcPr>
          <w:p w14:paraId="2CA312B7" w14:textId="38240F24"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Стан вико-нання</w:t>
            </w:r>
          </w:p>
        </w:tc>
        <w:tc>
          <w:tcPr>
            <w:tcW w:w="947"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0711B31A" w14:textId="0B952878"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Про-міжний</w:t>
            </w:r>
          </w:p>
        </w:tc>
        <w:tc>
          <w:tcPr>
            <w:tcW w:w="1832" w:type="dxa"/>
            <w:gridSpan w:val="5"/>
            <w:vMerge w:val="restart"/>
            <w:tcBorders>
              <w:top w:val="single" w:sz="18" w:space="0" w:color="FFFFFF"/>
              <w:left w:val="single" w:sz="18" w:space="0" w:color="FFFFFF"/>
              <w:right w:val="single" w:sz="18" w:space="0" w:color="FFFFFF"/>
            </w:tcBorders>
            <w:shd w:val="clear" w:color="auto" w:fill="D99594"/>
          </w:tcPr>
          <w:p w14:paraId="4D109DE6" w14:textId="1027327C"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Чи відкрило це уряд?</w:t>
            </w:r>
          </w:p>
        </w:tc>
      </w:tr>
      <w:tr w:rsidR="0020660D" w:rsidRPr="00257F44" w14:paraId="4225FA13" w14:textId="77777777" w:rsidTr="00F96953">
        <w:trPr>
          <w:trHeight w:val="373"/>
        </w:trPr>
        <w:tc>
          <w:tcPr>
            <w:tcW w:w="1413" w:type="dxa"/>
            <w:vMerge/>
            <w:tcBorders>
              <w:left w:val="single" w:sz="4" w:space="0" w:color="FFFFFF"/>
              <w:right w:val="single" w:sz="18" w:space="0" w:color="FFFFFF"/>
            </w:tcBorders>
            <w:shd w:val="clear" w:color="auto" w:fill="000000"/>
          </w:tcPr>
          <w:p w14:paraId="699A2E1F" w14:textId="4E864D08" w:rsidR="0020660D" w:rsidRPr="00257F44" w:rsidRDefault="0020660D" w:rsidP="0020660D">
            <w:pPr>
              <w:rPr>
                <w:rFonts w:ascii="Gill Sans" w:hAnsi="Gill Sans" w:cs="Gill Sans"/>
                <w:color w:val="FFFFFF" w:themeColor="background1"/>
                <w:sz w:val="22"/>
                <w:szCs w:val="22"/>
                <w:lang w:val="uk-UA"/>
              </w:rPr>
            </w:pPr>
          </w:p>
        </w:tc>
        <w:tc>
          <w:tcPr>
            <w:tcW w:w="1401" w:type="dxa"/>
            <w:gridSpan w:val="4"/>
            <w:vMerge/>
            <w:tcBorders>
              <w:left w:val="single" w:sz="18" w:space="0" w:color="FFFFFF"/>
              <w:bottom w:val="single" w:sz="18" w:space="0" w:color="FFFFFF"/>
              <w:right w:val="single" w:sz="18" w:space="0" w:color="FFFFFF"/>
            </w:tcBorders>
            <w:shd w:val="clear" w:color="auto" w:fill="D6E3BC"/>
          </w:tcPr>
          <w:p w14:paraId="5AE845BC" w14:textId="77777777" w:rsidR="0020660D" w:rsidRPr="00257F44" w:rsidRDefault="0020660D" w:rsidP="0020660D">
            <w:pPr>
              <w:rPr>
                <w:rFonts w:ascii="Gill Sans" w:hAnsi="Gill Sans" w:cs="Gill Sans"/>
                <w:sz w:val="22"/>
                <w:szCs w:val="22"/>
                <w:lang w:val="uk-UA"/>
              </w:rPr>
            </w:pPr>
          </w:p>
        </w:tc>
        <w:tc>
          <w:tcPr>
            <w:tcW w:w="1976" w:type="dxa"/>
            <w:gridSpan w:val="4"/>
            <w:vMerge/>
            <w:tcBorders>
              <w:left w:val="single" w:sz="18" w:space="0" w:color="FFFFFF"/>
              <w:bottom w:val="single" w:sz="18" w:space="0" w:color="FFFFFF"/>
              <w:right w:val="single" w:sz="18" w:space="0" w:color="FFFFFF"/>
            </w:tcBorders>
            <w:shd w:val="clear" w:color="auto" w:fill="FBD4B4"/>
          </w:tcPr>
          <w:p w14:paraId="1BC81B69" w14:textId="77777777" w:rsidR="0020660D" w:rsidRPr="00257F44" w:rsidRDefault="0020660D" w:rsidP="0020660D">
            <w:pPr>
              <w:rPr>
                <w:rFonts w:ascii="Gill Sans" w:hAnsi="Gill Sans" w:cs="Gill Sans"/>
                <w:sz w:val="22"/>
                <w:szCs w:val="22"/>
                <w:lang w:val="uk-UA"/>
              </w:rPr>
            </w:pPr>
          </w:p>
        </w:tc>
        <w:tc>
          <w:tcPr>
            <w:tcW w:w="1482" w:type="dxa"/>
            <w:gridSpan w:val="4"/>
            <w:vMerge/>
            <w:tcBorders>
              <w:left w:val="single" w:sz="18" w:space="0" w:color="FFFFFF"/>
              <w:bottom w:val="single" w:sz="18" w:space="0" w:color="FFFFFF"/>
              <w:right w:val="single" w:sz="18" w:space="0" w:color="FFFFFF"/>
            </w:tcBorders>
            <w:shd w:val="clear" w:color="auto" w:fill="CCC0D9"/>
          </w:tcPr>
          <w:p w14:paraId="66D04403" w14:textId="77777777" w:rsidR="0020660D" w:rsidRPr="00257F44" w:rsidRDefault="0020660D" w:rsidP="0020660D">
            <w:pPr>
              <w:rPr>
                <w:rFonts w:ascii="Gill Sans" w:hAnsi="Gill Sans" w:cs="Gill Sans"/>
                <w:sz w:val="22"/>
                <w:szCs w:val="22"/>
                <w:lang w:val="uk-UA"/>
              </w:rPr>
            </w:pPr>
          </w:p>
        </w:tc>
        <w:tc>
          <w:tcPr>
            <w:tcW w:w="1029" w:type="dxa"/>
            <w:gridSpan w:val="2"/>
            <w:vMerge/>
            <w:tcBorders>
              <w:left w:val="single" w:sz="18" w:space="0" w:color="FFFFFF"/>
              <w:bottom w:val="single" w:sz="18" w:space="0" w:color="FFFFFF"/>
              <w:right w:val="single" w:sz="2" w:space="0" w:color="FFFFFF"/>
            </w:tcBorders>
            <w:shd w:val="clear" w:color="auto" w:fill="B8CCE4"/>
          </w:tcPr>
          <w:p w14:paraId="5ECE221F" w14:textId="77777777" w:rsidR="0020660D" w:rsidRPr="00257F44" w:rsidRDefault="0020660D" w:rsidP="0020660D">
            <w:pPr>
              <w:rPr>
                <w:rFonts w:ascii="Gill Sans" w:hAnsi="Gill Sans" w:cs="Gill Sans"/>
                <w:sz w:val="22"/>
                <w:szCs w:val="22"/>
                <w:lang w:val="uk-UA"/>
              </w:rPr>
            </w:pPr>
          </w:p>
        </w:tc>
        <w:tc>
          <w:tcPr>
            <w:tcW w:w="947"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24FFE2D8" w14:textId="06D8909D" w:rsidR="0020660D" w:rsidRPr="00257F44" w:rsidRDefault="00F96953" w:rsidP="0020660D">
            <w:pPr>
              <w:rPr>
                <w:rFonts w:ascii="Gill Sans" w:hAnsi="Gill Sans" w:cs="Gill Sans"/>
                <w:sz w:val="20"/>
                <w:szCs w:val="20"/>
                <w:lang w:val="uk-UA"/>
              </w:rPr>
            </w:pPr>
            <w:r w:rsidRPr="00257F44">
              <w:rPr>
                <w:rFonts w:ascii="Gill Sans" w:hAnsi="Gill Sans" w:cs="Gill Sans"/>
                <w:sz w:val="20"/>
                <w:szCs w:val="20"/>
                <w:lang w:val="uk-UA"/>
              </w:rPr>
              <w:t>Підсум-ковий</w:t>
            </w:r>
          </w:p>
        </w:tc>
        <w:tc>
          <w:tcPr>
            <w:tcW w:w="1832" w:type="dxa"/>
            <w:gridSpan w:val="5"/>
            <w:vMerge/>
            <w:tcBorders>
              <w:left w:val="single" w:sz="18" w:space="0" w:color="FFFFFF"/>
              <w:bottom w:val="single" w:sz="18" w:space="0" w:color="FFFFFF"/>
              <w:right w:val="single" w:sz="18" w:space="0" w:color="FFFFFF"/>
            </w:tcBorders>
            <w:shd w:val="clear" w:color="auto" w:fill="D99594"/>
          </w:tcPr>
          <w:p w14:paraId="07AE3B4F" w14:textId="77777777" w:rsidR="0020660D" w:rsidRPr="00257F44" w:rsidRDefault="0020660D" w:rsidP="0020660D">
            <w:pPr>
              <w:rPr>
                <w:rFonts w:ascii="Gill Sans" w:hAnsi="Gill Sans" w:cs="Gill Sans"/>
                <w:sz w:val="22"/>
                <w:szCs w:val="22"/>
                <w:lang w:val="uk-UA"/>
              </w:rPr>
            </w:pPr>
          </w:p>
        </w:tc>
      </w:tr>
      <w:tr w:rsidR="00F96953" w:rsidRPr="00257F44" w14:paraId="68FD46CC" w14:textId="77777777" w:rsidTr="009D7923">
        <w:trPr>
          <w:cantSplit/>
          <w:trHeight w:val="2336"/>
        </w:trPr>
        <w:tc>
          <w:tcPr>
            <w:tcW w:w="1413" w:type="dxa"/>
            <w:vMerge/>
            <w:tcBorders>
              <w:left w:val="single" w:sz="4" w:space="0" w:color="FFFFFF"/>
              <w:right w:val="single" w:sz="18" w:space="0" w:color="FFFFFF"/>
            </w:tcBorders>
            <w:shd w:val="clear" w:color="auto" w:fill="000000"/>
          </w:tcPr>
          <w:p w14:paraId="45F78378" w14:textId="47F1BF5D" w:rsidR="00F96953" w:rsidRPr="00257F44" w:rsidRDefault="00F96953" w:rsidP="0020660D">
            <w:pPr>
              <w:rPr>
                <w:rFonts w:ascii="Gill Sans" w:hAnsi="Gill Sans" w:cs="Gill Sans"/>
                <w:color w:val="FFFFFF" w:themeColor="background1"/>
                <w:sz w:val="22"/>
                <w:szCs w:val="22"/>
                <w:lang w:val="uk-UA"/>
              </w:rPr>
            </w:pPr>
          </w:p>
        </w:tc>
        <w:tc>
          <w:tcPr>
            <w:tcW w:w="353"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437B60E5" w14:textId="3A5B9F78"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Відсутня</w:t>
            </w:r>
          </w:p>
        </w:tc>
        <w:tc>
          <w:tcPr>
            <w:tcW w:w="349"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6F4103E9" w14:textId="214FDFD7"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Низька</w:t>
            </w:r>
          </w:p>
        </w:tc>
        <w:tc>
          <w:tcPr>
            <w:tcW w:w="349"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2C3FEFDE" w14:textId="2ACE60D4"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Середня</w:t>
            </w:r>
          </w:p>
        </w:tc>
        <w:tc>
          <w:tcPr>
            <w:tcW w:w="350"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2BE1D29E" w14:textId="32C628F9"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Висока</w:t>
            </w:r>
          </w:p>
        </w:tc>
        <w:tc>
          <w:tcPr>
            <w:tcW w:w="432"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1159CF5E" w14:textId="6E5D6E48"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Доступ до інформації</w:t>
            </w:r>
          </w:p>
        </w:tc>
        <w:tc>
          <w:tcPr>
            <w:tcW w:w="350"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3D750611" w14:textId="2B277F62"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Громадська участь</w:t>
            </w:r>
          </w:p>
        </w:tc>
        <w:tc>
          <w:tcPr>
            <w:tcW w:w="350"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4D768780" w14:textId="51E78E83"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Підзвітність влади</w:t>
            </w:r>
          </w:p>
        </w:tc>
        <w:tc>
          <w:tcPr>
            <w:tcW w:w="844"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573924B9" w14:textId="7ECD43BD"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Технології та інновації для прозорості й підзвітності</w:t>
            </w:r>
          </w:p>
        </w:tc>
        <w:tc>
          <w:tcPr>
            <w:tcW w:w="350"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4642A446" w14:textId="31D7F6CA"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Жодного</w:t>
            </w:r>
          </w:p>
        </w:tc>
        <w:tc>
          <w:tcPr>
            <w:tcW w:w="35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05A4EDD2" w14:textId="7C14F60F"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Незначний</w:t>
            </w:r>
          </w:p>
        </w:tc>
        <w:tc>
          <w:tcPr>
            <w:tcW w:w="432"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23444358" w14:textId="2239CB8F"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Помірний</w:t>
            </w:r>
          </w:p>
        </w:tc>
        <w:tc>
          <w:tcPr>
            <w:tcW w:w="350"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0CD84756" w14:textId="096307D9"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Трансформуючий</w:t>
            </w:r>
          </w:p>
        </w:tc>
        <w:tc>
          <w:tcPr>
            <w:tcW w:w="597"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603562D7" w14:textId="6417E700"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Не розпочато</w:t>
            </w:r>
          </w:p>
        </w:tc>
        <w:tc>
          <w:tcPr>
            <w:tcW w:w="432"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7B1DBF93" w14:textId="6E3D482D"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Обмежене</w:t>
            </w:r>
          </w:p>
        </w:tc>
        <w:tc>
          <w:tcPr>
            <w:tcW w:w="432"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3F4B52B4" w14:textId="640F5DA9"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Значне</w:t>
            </w:r>
          </w:p>
        </w:tc>
        <w:tc>
          <w:tcPr>
            <w:tcW w:w="515"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47B0973C" w14:textId="6F18B96C"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Повне</w:t>
            </w:r>
          </w:p>
        </w:tc>
        <w:tc>
          <w:tcPr>
            <w:tcW w:w="350"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5CA6BC73" w14:textId="47E17A33"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Погіршило</w:t>
            </w:r>
          </w:p>
        </w:tc>
        <w:tc>
          <w:tcPr>
            <w:tcW w:w="35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39877F3" w14:textId="6BAE7D0C"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Не змінило</w:t>
            </w:r>
          </w:p>
        </w:tc>
        <w:tc>
          <w:tcPr>
            <w:tcW w:w="35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B3E5589" w14:textId="41A69769"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Обмежено</w:t>
            </w:r>
          </w:p>
        </w:tc>
        <w:tc>
          <w:tcPr>
            <w:tcW w:w="35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71641B58" w14:textId="62DAFDA9"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Значною мірою</w:t>
            </w:r>
          </w:p>
        </w:tc>
        <w:tc>
          <w:tcPr>
            <w:tcW w:w="432"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2879F01D" w14:textId="32081A33" w:rsidR="00F96953" w:rsidRPr="00257F44" w:rsidRDefault="00F96953" w:rsidP="0020660D">
            <w:pPr>
              <w:rPr>
                <w:rFonts w:ascii="Gill Sans" w:hAnsi="Gill Sans" w:cs="Gill Sans"/>
                <w:sz w:val="22"/>
                <w:szCs w:val="22"/>
                <w:lang w:val="uk-UA"/>
              </w:rPr>
            </w:pPr>
            <w:r w:rsidRPr="00257F44">
              <w:rPr>
                <w:rFonts w:ascii="Gill Sans" w:hAnsi="Gill Sans" w:cs="Gill Sans"/>
                <w:sz w:val="20"/>
                <w:szCs w:val="20"/>
                <w:lang w:val="uk-UA"/>
              </w:rPr>
              <w:t>Визначною мірою</w:t>
            </w:r>
          </w:p>
        </w:tc>
      </w:tr>
      <w:tr w:rsidR="0020660D" w:rsidRPr="00257F44" w14:paraId="730DAE72" w14:textId="77777777" w:rsidTr="00F96953">
        <w:trPr>
          <w:trHeight w:val="340"/>
        </w:trPr>
        <w:tc>
          <w:tcPr>
            <w:tcW w:w="1413" w:type="dxa"/>
            <w:vMerge/>
            <w:tcBorders>
              <w:left w:val="single" w:sz="4" w:space="0" w:color="FFFFFF"/>
              <w:right w:val="single" w:sz="18" w:space="0" w:color="FFFFFF"/>
            </w:tcBorders>
            <w:shd w:val="clear" w:color="auto" w:fill="000000"/>
          </w:tcPr>
          <w:p w14:paraId="5791FE23" w14:textId="554989C3" w:rsidR="0020660D" w:rsidRPr="00257F44" w:rsidRDefault="0020660D" w:rsidP="0020660D">
            <w:pPr>
              <w:rPr>
                <w:rFonts w:ascii="Gill Sans" w:hAnsi="Gill Sans" w:cs="Gill Sans"/>
                <w:noProof/>
                <w:color w:val="FFFFFF" w:themeColor="background1"/>
                <w:sz w:val="22"/>
                <w:szCs w:val="22"/>
                <w:lang w:val="uk-UA"/>
              </w:rPr>
            </w:pPr>
          </w:p>
        </w:tc>
        <w:tc>
          <w:tcPr>
            <w:tcW w:w="353" w:type="dxa"/>
            <w:vMerge w:val="restart"/>
            <w:tcBorders>
              <w:top w:val="single" w:sz="18" w:space="0" w:color="FFFFFF"/>
              <w:left w:val="single" w:sz="18" w:space="0" w:color="FFFFFF"/>
              <w:right w:val="single" w:sz="2" w:space="0" w:color="FFFFFF"/>
            </w:tcBorders>
            <w:shd w:val="clear" w:color="auto" w:fill="D6E3BC"/>
          </w:tcPr>
          <w:p w14:paraId="16CF727D" w14:textId="77777777" w:rsidR="0020660D" w:rsidRPr="00257F44" w:rsidRDefault="0020660D" w:rsidP="0020660D">
            <w:pPr>
              <w:rPr>
                <w:rFonts w:ascii="Gill Sans" w:hAnsi="Gill Sans" w:cs="Gill Sans"/>
                <w:sz w:val="22"/>
                <w:szCs w:val="22"/>
                <w:lang w:val="uk-UA"/>
              </w:rPr>
            </w:pPr>
          </w:p>
        </w:tc>
        <w:tc>
          <w:tcPr>
            <w:tcW w:w="349" w:type="dxa"/>
            <w:vMerge w:val="restart"/>
            <w:tcBorders>
              <w:top w:val="single" w:sz="18" w:space="0" w:color="FFFFFF"/>
              <w:left w:val="single" w:sz="2" w:space="0" w:color="FFFFFF"/>
              <w:right w:val="single" w:sz="2" w:space="0" w:color="FFFFFF"/>
            </w:tcBorders>
            <w:shd w:val="clear" w:color="auto" w:fill="D6E3BC"/>
          </w:tcPr>
          <w:p w14:paraId="2F67DCDC" w14:textId="77777777" w:rsidR="0020660D" w:rsidRPr="00257F44" w:rsidRDefault="0020660D" w:rsidP="0020660D">
            <w:pPr>
              <w:rPr>
                <w:rFonts w:ascii="Gill Sans" w:hAnsi="Gill Sans" w:cs="Gill Sans"/>
                <w:sz w:val="22"/>
                <w:szCs w:val="22"/>
                <w:lang w:val="uk-UA"/>
              </w:rPr>
            </w:pPr>
          </w:p>
        </w:tc>
        <w:tc>
          <w:tcPr>
            <w:tcW w:w="349" w:type="dxa"/>
            <w:vMerge w:val="restart"/>
            <w:tcBorders>
              <w:top w:val="single" w:sz="18" w:space="0" w:color="FFFFFF"/>
              <w:left w:val="single" w:sz="2" w:space="0" w:color="FFFFFF"/>
              <w:right w:val="single" w:sz="2" w:space="0" w:color="FFFFFF"/>
            </w:tcBorders>
            <w:shd w:val="clear" w:color="auto" w:fill="D6E3BC"/>
          </w:tcPr>
          <w:p w14:paraId="3E90A748" w14:textId="77777777" w:rsidR="0020660D" w:rsidRPr="00257F44" w:rsidRDefault="0020660D" w:rsidP="0020660D">
            <w:pPr>
              <w:rPr>
                <w:rFonts w:ascii="Zapf Dingbats" w:hAnsi="Zapf Dingbats" w:cs="Gill Sans"/>
                <w:sz w:val="22"/>
                <w:szCs w:val="22"/>
                <w:lang w:val="uk-UA"/>
              </w:rPr>
            </w:pPr>
          </w:p>
        </w:tc>
        <w:tc>
          <w:tcPr>
            <w:tcW w:w="350" w:type="dxa"/>
            <w:vMerge w:val="restart"/>
            <w:tcBorders>
              <w:top w:val="single" w:sz="18" w:space="0" w:color="FFFFFF"/>
              <w:left w:val="single" w:sz="2" w:space="0" w:color="FFFFFF"/>
              <w:right w:val="single" w:sz="18" w:space="0" w:color="FFFFFF"/>
            </w:tcBorders>
            <w:shd w:val="clear" w:color="auto" w:fill="D6E3BC"/>
          </w:tcPr>
          <w:p w14:paraId="4E6E5A4F" w14:textId="77777777" w:rsidR="0020660D" w:rsidRPr="00257F44" w:rsidRDefault="0020660D" w:rsidP="0020660D">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432" w:type="dxa"/>
            <w:vMerge w:val="restart"/>
            <w:tcBorders>
              <w:top w:val="single" w:sz="18" w:space="0" w:color="FFFFFF"/>
              <w:left w:val="single" w:sz="2" w:space="0" w:color="FFFFFF"/>
              <w:right w:val="single" w:sz="2" w:space="0" w:color="FFFFFF"/>
            </w:tcBorders>
            <w:shd w:val="clear" w:color="auto" w:fill="FBD4B4"/>
          </w:tcPr>
          <w:p w14:paraId="7A8B6AC7" w14:textId="77777777" w:rsidR="0020660D" w:rsidRPr="00257F44" w:rsidRDefault="0020660D" w:rsidP="0020660D">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50" w:type="dxa"/>
            <w:vMerge w:val="restart"/>
            <w:tcBorders>
              <w:top w:val="single" w:sz="18" w:space="0" w:color="FFFFFF"/>
              <w:left w:val="single" w:sz="2" w:space="0" w:color="FFFFFF"/>
              <w:right w:val="single" w:sz="2" w:space="0" w:color="FFFFFF"/>
            </w:tcBorders>
            <w:shd w:val="clear" w:color="auto" w:fill="FBD4B4"/>
          </w:tcPr>
          <w:p w14:paraId="518C4B94" w14:textId="77777777" w:rsidR="0020660D" w:rsidRPr="00257F44" w:rsidRDefault="0020660D" w:rsidP="0020660D">
            <w:pPr>
              <w:rPr>
                <w:rFonts w:ascii="Zapf Dingbats" w:hAnsi="Zapf Dingbats" w:cs="Gill Sans"/>
                <w:noProof/>
                <w:sz w:val="22"/>
                <w:szCs w:val="22"/>
                <w:lang w:val="uk-UA"/>
              </w:rPr>
            </w:pPr>
          </w:p>
        </w:tc>
        <w:tc>
          <w:tcPr>
            <w:tcW w:w="350" w:type="dxa"/>
            <w:vMerge w:val="restart"/>
            <w:tcBorders>
              <w:top w:val="single" w:sz="18" w:space="0" w:color="FFFFFF"/>
              <w:left w:val="single" w:sz="2" w:space="0" w:color="FFFFFF"/>
              <w:right w:val="single" w:sz="2" w:space="0" w:color="FFFFFF"/>
            </w:tcBorders>
            <w:shd w:val="clear" w:color="auto" w:fill="FBD4B4"/>
          </w:tcPr>
          <w:p w14:paraId="0E3C4D34" w14:textId="77777777" w:rsidR="0020660D" w:rsidRPr="00257F44" w:rsidRDefault="0020660D" w:rsidP="0020660D">
            <w:pPr>
              <w:rPr>
                <w:rFonts w:ascii="Zapf Dingbats" w:hAnsi="Zapf Dingbats" w:cs="Gill Sans"/>
                <w:noProof/>
                <w:sz w:val="22"/>
                <w:szCs w:val="22"/>
                <w:lang w:val="uk-UA"/>
              </w:rPr>
            </w:pPr>
          </w:p>
        </w:tc>
        <w:tc>
          <w:tcPr>
            <w:tcW w:w="844" w:type="dxa"/>
            <w:vMerge w:val="restart"/>
            <w:tcBorders>
              <w:top w:val="single" w:sz="18" w:space="0" w:color="FFFFFF"/>
              <w:left w:val="single" w:sz="2" w:space="0" w:color="FFFFFF"/>
              <w:right w:val="single" w:sz="18" w:space="0" w:color="FFFFFF"/>
            </w:tcBorders>
            <w:shd w:val="clear" w:color="auto" w:fill="FBD4B4"/>
          </w:tcPr>
          <w:p w14:paraId="3A6A6E9A" w14:textId="411B15B6" w:rsidR="0020660D" w:rsidRPr="00257F44" w:rsidRDefault="0020660D" w:rsidP="0020660D">
            <w:pPr>
              <w:rPr>
                <w:rFonts w:ascii="Zapf Dingbats" w:hAnsi="Zapf Dingbats" w:cs="Gill Sans"/>
                <w:sz w:val="22"/>
                <w:szCs w:val="22"/>
                <w:lang w:val="uk-UA"/>
              </w:rPr>
            </w:pPr>
          </w:p>
        </w:tc>
        <w:tc>
          <w:tcPr>
            <w:tcW w:w="350" w:type="dxa"/>
            <w:vMerge w:val="restart"/>
            <w:tcBorders>
              <w:top w:val="single" w:sz="18" w:space="0" w:color="FFFFFF"/>
              <w:left w:val="single" w:sz="18" w:space="0" w:color="FFFFFF"/>
              <w:right w:val="single" w:sz="2" w:space="0" w:color="FFFFFF"/>
            </w:tcBorders>
            <w:shd w:val="clear" w:color="auto" w:fill="CCC0D9"/>
          </w:tcPr>
          <w:p w14:paraId="2021D1F4" w14:textId="77777777" w:rsidR="0020660D" w:rsidRPr="00257F44" w:rsidRDefault="0020660D" w:rsidP="0020660D">
            <w:pPr>
              <w:rPr>
                <w:rFonts w:ascii="Zapf Dingbats" w:hAnsi="Zapf Dingbats" w:cs="Gill Sans"/>
                <w:sz w:val="22"/>
                <w:szCs w:val="22"/>
                <w:lang w:val="uk-UA"/>
              </w:rPr>
            </w:pPr>
          </w:p>
        </w:tc>
        <w:tc>
          <w:tcPr>
            <w:tcW w:w="350" w:type="dxa"/>
            <w:vMerge w:val="restart"/>
            <w:tcBorders>
              <w:top w:val="single" w:sz="18" w:space="0" w:color="FFFFFF"/>
              <w:left w:val="single" w:sz="2" w:space="0" w:color="FFFFFF"/>
              <w:right w:val="single" w:sz="2" w:space="0" w:color="FFFFFF"/>
            </w:tcBorders>
            <w:shd w:val="clear" w:color="auto" w:fill="CCC0D9"/>
          </w:tcPr>
          <w:p w14:paraId="4C804678" w14:textId="77777777" w:rsidR="0020660D" w:rsidRPr="00257F44" w:rsidRDefault="0020660D" w:rsidP="0020660D">
            <w:pPr>
              <w:rPr>
                <w:rFonts w:ascii="Zapf Dingbats" w:hAnsi="Zapf Dingbats" w:cs="Gill Sans"/>
                <w:sz w:val="22"/>
                <w:szCs w:val="22"/>
                <w:lang w:val="uk-UA"/>
              </w:rPr>
            </w:pPr>
          </w:p>
        </w:tc>
        <w:tc>
          <w:tcPr>
            <w:tcW w:w="432" w:type="dxa"/>
            <w:vMerge w:val="restart"/>
            <w:tcBorders>
              <w:top w:val="single" w:sz="18" w:space="0" w:color="FFFFFF"/>
              <w:left w:val="single" w:sz="2" w:space="0" w:color="FFFFFF"/>
              <w:right w:val="single" w:sz="2" w:space="0" w:color="FFFFFF"/>
            </w:tcBorders>
            <w:shd w:val="clear" w:color="auto" w:fill="CCC0D9"/>
          </w:tcPr>
          <w:p w14:paraId="701C58B6" w14:textId="77777777" w:rsidR="0020660D" w:rsidRPr="00257F44" w:rsidRDefault="0020660D" w:rsidP="0020660D">
            <w:pPr>
              <w:rPr>
                <w:rFonts w:ascii="Zapf Dingbats" w:hAnsi="Zapf Dingbats" w:cs="Gill Sans"/>
                <w:noProof/>
                <w:sz w:val="22"/>
                <w:szCs w:val="22"/>
                <w:lang w:val="uk-UA"/>
              </w:rPr>
            </w:pPr>
          </w:p>
        </w:tc>
        <w:tc>
          <w:tcPr>
            <w:tcW w:w="350" w:type="dxa"/>
            <w:vMerge w:val="restart"/>
            <w:tcBorders>
              <w:top w:val="single" w:sz="18" w:space="0" w:color="FFFFFF"/>
              <w:left w:val="single" w:sz="2" w:space="0" w:color="FFFFFF"/>
              <w:right w:val="single" w:sz="18" w:space="0" w:color="FFFFFF"/>
            </w:tcBorders>
            <w:shd w:val="clear" w:color="auto" w:fill="CCC0D9"/>
          </w:tcPr>
          <w:p w14:paraId="0A842645" w14:textId="77777777" w:rsidR="0020660D" w:rsidRPr="00257F44" w:rsidRDefault="0020660D" w:rsidP="0020660D">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597" w:type="dxa"/>
            <w:tcBorders>
              <w:top w:val="single" w:sz="18" w:space="0" w:color="FFFFFF"/>
              <w:left w:val="single" w:sz="18" w:space="0" w:color="FFFFFF"/>
              <w:bottom w:val="single" w:sz="2" w:space="0" w:color="auto"/>
              <w:right w:val="single" w:sz="4" w:space="0" w:color="FFFFFF" w:themeColor="background1"/>
            </w:tcBorders>
            <w:shd w:val="clear" w:color="auto" w:fill="B8CCE4"/>
          </w:tcPr>
          <w:p w14:paraId="0ABCEB21" w14:textId="77777777" w:rsidR="0020660D" w:rsidRPr="00257F44" w:rsidRDefault="0020660D" w:rsidP="0020660D">
            <w:pPr>
              <w:rPr>
                <w:rFonts w:ascii="Zapf Dingbats" w:hAnsi="Zapf Dingbats" w:cs="Gill Sans"/>
                <w:sz w:val="22"/>
                <w:szCs w:val="22"/>
                <w:lang w:val="uk-UA"/>
              </w:rPr>
            </w:pPr>
          </w:p>
        </w:tc>
        <w:tc>
          <w:tcPr>
            <w:tcW w:w="432" w:type="dxa"/>
            <w:tcBorders>
              <w:top w:val="single" w:sz="18" w:space="0" w:color="FFFFFF"/>
              <w:left w:val="single" w:sz="4" w:space="0" w:color="FFFFFF" w:themeColor="background1"/>
              <w:bottom w:val="single" w:sz="2" w:space="0" w:color="auto"/>
              <w:right w:val="single" w:sz="4" w:space="0" w:color="FFFFFF" w:themeColor="background1"/>
            </w:tcBorders>
            <w:shd w:val="clear" w:color="auto" w:fill="B8CCE4"/>
          </w:tcPr>
          <w:p w14:paraId="0C94FE19" w14:textId="50D5C7D1" w:rsidR="0020660D" w:rsidRPr="00257F44" w:rsidRDefault="0020660D" w:rsidP="0020660D">
            <w:pPr>
              <w:rPr>
                <w:rFonts w:ascii="Zapf Dingbats" w:hAnsi="Zapf Dingbats" w:cs="Gill Sans"/>
                <w:sz w:val="22"/>
                <w:szCs w:val="22"/>
                <w:lang w:val="uk-UA"/>
              </w:rPr>
            </w:pPr>
          </w:p>
        </w:tc>
        <w:tc>
          <w:tcPr>
            <w:tcW w:w="432" w:type="dxa"/>
            <w:tcBorders>
              <w:top w:val="single" w:sz="18" w:space="0" w:color="FFFFFF"/>
              <w:left w:val="single" w:sz="4" w:space="0" w:color="FFFFFF" w:themeColor="background1"/>
              <w:bottom w:val="single" w:sz="2" w:space="0" w:color="auto"/>
              <w:right w:val="single" w:sz="4" w:space="0" w:color="FFFFFF" w:themeColor="background1"/>
            </w:tcBorders>
            <w:shd w:val="clear" w:color="auto" w:fill="B8CCE4"/>
          </w:tcPr>
          <w:p w14:paraId="4AE4C5E5" w14:textId="77777777" w:rsidR="0020660D" w:rsidRPr="00257F44" w:rsidRDefault="0020660D" w:rsidP="0020660D">
            <w:pPr>
              <w:rPr>
                <w:rFonts w:ascii="Zapf Dingbats" w:hAnsi="Zapf Dingbats" w:cs="Gill Sans"/>
                <w:sz w:val="22"/>
                <w:szCs w:val="22"/>
                <w:lang w:val="uk-UA"/>
              </w:rPr>
            </w:pPr>
          </w:p>
        </w:tc>
        <w:tc>
          <w:tcPr>
            <w:tcW w:w="515" w:type="dxa"/>
            <w:tcBorders>
              <w:top w:val="single" w:sz="18" w:space="0" w:color="FFFFFF"/>
              <w:left w:val="single" w:sz="4" w:space="0" w:color="FFFFFF" w:themeColor="background1"/>
              <w:bottom w:val="single" w:sz="2" w:space="0" w:color="auto"/>
              <w:right w:val="single" w:sz="18" w:space="0" w:color="FFFFFF"/>
            </w:tcBorders>
            <w:shd w:val="clear" w:color="auto" w:fill="B8CCE4"/>
          </w:tcPr>
          <w:p w14:paraId="4588C09A" w14:textId="345F8800" w:rsidR="0020660D" w:rsidRPr="00257F44" w:rsidRDefault="0020660D" w:rsidP="0020660D">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50" w:type="dxa"/>
            <w:vMerge w:val="restart"/>
            <w:tcBorders>
              <w:top w:val="single" w:sz="18" w:space="0" w:color="FFFFFF"/>
              <w:left w:val="single" w:sz="18" w:space="0" w:color="FFFFFF"/>
              <w:right w:val="single" w:sz="2" w:space="0" w:color="FFFFFF"/>
            </w:tcBorders>
            <w:shd w:val="clear" w:color="auto" w:fill="D99594"/>
          </w:tcPr>
          <w:p w14:paraId="2A51A8B1" w14:textId="77777777" w:rsidR="0020660D" w:rsidRPr="00257F44" w:rsidRDefault="0020660D" w:rsidP="0020660D">
            <w:pPr>
              <w:rPr>
                <w:rFonts w:ascii="Gill Sans" w:hAnsi="Gill Sans" w:cs="Gill Sans"/>
                <w:sz w:val="22"/>
                <w:szCs w:val="22"/>
                <w:lang w:val="uk-UA"/>
              </w:rPr>
            </w:pPr>
          </w:p>
        </w:tc>
        <w:tc>
          <w:tcPr>
            <w:tcW w:w="350" w:type="dxa"/>
            <w:vMerge w:val="restart"/>
            <w:tcBorders>
              <w:top w:val="single" w:sz="18" w:space="0" w:color="FFFFFF"/>
              <w:left w:val="single" w:sz="2" w:space="0" w:color="FFFFFF"/>
              <w:right w:val="single" w:sz="2" w:space="0" w:color="FFFFFF"/>
            </w:tcBorders>
            <w:shd w:val="clear" w:color="auto" w:fill="D99594"/>
          </w:tcPr>
          <w:p w14:paraId="19C1527D" w14:textId="77777777" w:rsidR="0020660D" w:rsidRPr="00257F44" w:rsidRDefault="0020660D" w:rsidP="0020660D">
            <w:pPr>
              <w:rPr>
                <w:rFonts w:ascii="Gill Sans" w:hAnsi="Gill Sans" w:cs="Gill Sans"/>
                <w:sz w:val="22"/>
                <w:szCs w:val="22"/>
                <w:lang w:val="uk-UA"/>
              </w:rPr>
            </w:pPr>
          </w:p>
        </w:tc>
        <w:tc>
          <w:tcPr>
            <w:tcW w:w="350" w:type="dxa"/>
            <w:vMerge w:val="restart"/>
            <w:tcBorders>
              <w:top w:val="single" w:sz="18" w:space="0" w:color="FFFFFF"/>
              <w:left w:val="single" w:sz="2" w:space="0" w:color="FFFFFF"/>
              <w:right w:val="single" w:sz="2" w:space="0" w:color="FFFFFF"/>
            </w:tcBorders>
            <w:shd w:val="clear" w:color="auto" w:fill="D99594"/>
          </w:tcPr>
          <w:p w14:paraId="28864420" w14:textId="77777777" w:rsidR="0020660D" w:rsidRPr="00257F44" w:rsidRDefault="0020660D" w:rsidP="0020660D">
            <w:pPr>
              <w:rPr>
                <w:rFonts w:ascii="Gill Sans" w:hAnsi="Gill Sans" w:cs="Gill Sans"/>
                <w:sz w:val="22"/>
                <w:szCs w:val="22"/>
                <w:lang w:val="uk-UA"/>
              </w:rPr>
            </w:pPr>
          </w:p>
        </w:tc>
        <w:tc>
          <w:tcPr>
            <w:tcW w:w="350" w:type="dxa"/>
            <w:vMerge w:val="restart"/>
            <w:tcBorders>
              <w:top w:val="single" w:sz="18" w:space="0" w:color="FFFFFF"/>
              <w:left w:val="single" w:sz="2" w:space="0" w:color="FFFFFF"/>
              <w:right w:val="single" w:sz="2" w:space="0" w:color="FFFFFF"/>
            </w:tcBorders>
            <w:shd w:val="clear" w:color="auto" w:fill="D99594"/>
          </w:tcPr>
          <w:p w14:paraId="41F05ABD" w14:textId="77777777" w:rsidR="0020660D" w:rsidRPr="00257F44" w:rsidRDefault="0020660D" w:rsidP="0020660D">
            <w:pPr>
              <w:rPr>
                <w:rFonts w:ascii="Gill Sans" w:hAnsi="Gill Sans" w:cs="Gill Sans"/>
                <w:noProof/>
                <w:sz w:val="22"/>
                <w:szCs w:val="22"/>
                <w:lang w:val="uk-UA"/>
              </w:rPr>
            </w:pPr>
          </w:p>
        </w:tc>
        <w:tc>
          <w:tcPr>
            <w:tcW w:w="432" w:type="dxa"/>
            <w:vMerge w:val="restart"/>
            <w:tcBorders>
              <w:top w:val="single" w:sz="18" w:space="0" w:color="FFFFFF"/>
              <w:left w:val="single" w:sz="2" w:space="0" w:color="FFFFFF"/>
              <w:right w:val="single" w:sz="18" w:space="0" w:color="FFFFFF"/>
            </w:tcBorders>
            <w:shd w:val="clear" w:color="auto" w:fill="D99594"/>
          </w:tcPr>
          <w:p w14:paraId="5BA336F4" w14:textId="77777777" w:rsidR="0020660D" w:rsidRPr="00257F44" w:rsidRDefault="0020660D" w:rsidP="0020660D">
            <w:pPr>
              <w:rPr>
                <w:rFonts w:ascii="Zapf Dingbats" w:eastAsia="MS Mincho" w:hAnsi="Zapf Dingbats" w:cs="MS Mincho"/>
                <w:noProof/>
                <w:sz w:val="22"/>
                <w:szCs w:val="22"/>
                <w:lang w:val="uk-UA"/>
              </w:rPr>
            </w:pPr>
          </w:p>
          <w:p w14:paraId="3CD5D9B4" w14:textId="72F6A39D" w:rsidR="0020660D" w:rsidRPr="00257F44" w:rsidRDefault="0020660D" w:rsidP="0020660D">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r>
      <w:tr w:rsidR="0020660D" w:rsidRPr="00257F44" w14:paraId="5A59B2B1" w14:textId="77777777" w:rsidTr="00F96953">
        <w:trPr>
          <w:trHeight w:val="340"/>
        </w:trPr>
        <w:tc>
          <w:tcPr>
            <w:tcW w:w="1413" w:type="dxa"/>
            <w:vMerge/>
            <w:tcBorders>
              <w:left w:val="single" w:sz="4" w:space="0" w:color="FFFFFF"/>
              <w:right w:val="single" w:sz="18" w:space="0" w:color="FFFFFF"/>
            </w:tcBorders>
            <w:shd w:val="clear" w:color="auto" w:fill="000000"/>
          </w:tcPr>
          <w:p w14:paraId="6EEA465E" w14:textId="77777777" w:rsidR="0020660D" w:rsidRPr="00257F44" w:rsidRDefault="0020660D" w:rsidP="0020660D">
            <w:pPr>
              <w:rPr>
                <w:rFonts w:ascii="Gill Sans" w:hAnsi="Gill Sans" w:cs="Gill Sans"/>
                <w:color w:val="FFFFFF" w:themeColor="background1"/>
                <w:sz w:val="22"/>
                <w:szCs w:val="22"/>
                <w:lang w:val="uk-UA"/>
              </w:rPr>
            </w:pPr>
          </w:p>
        </w:tc>
        <w:tc>
          <w:tcPr>
            <w:tcW w:w="353" w:type="dxa"/>
            <w:vMerge/>
            <w:tcBorders>
              <w:left w:val="single" w:sz="18" w:space="0" w:color="FFFFFF"/>
              <w:right w:val="single" w:sz="2" w:space="0" w:color="FFFFFF"/>
            </w:tcBorders>
            <w:shd w:val="clear" w:color="auto" w:fill="D6E3BC"/>
          </w:tcPr>
          <w:p w14:paraId="2C9A8733" w14:textId="77777777" w:rsidR="0020660D" w:rsidRPr="00257F44" w:rsidRDefault="0020660D" w:rsidP="0020660D">
            <w:pPr>
              <w:rPr>
                <w:rFonts w:ascii="Gill Sans" w:hAnsi="Gill Sans" w:cs="Gill Sans"/>
                <w:sz w:val="22"/>
                <w:szCs w:val="22"/>
                <w:lang w:val="uk-UA"/>
              </w:rPr>
            </w:pPr>
          </w:p>
        </w:tc>
        <w:tc>
          <w:tcPr>
            <w:tcW w:w="349" w:type="dxa"/>
            <w:vMerge/>
            <w:tcBorders>
              <w:left w:val="single" w:sz="2" w:space="0" w:color="FFFFFF"/>
              <w:right w:val="single" w:sz="2" w:space="0" w:color="FFFFFF"/>
            </w:tcBorders>
            <w:shd w:val="clear" w:color="auto" w:fill="D6E3BC"/>
          </w:tcPr>
          <w:p w14:paraId="3F417D87" w14:textId="77777777" w:rsidR="0020660D" w:rsidRPr="00257F44" w:rsidRDefault="0020660D" w:rsidP="0020660D">
            <w:pPr>
              <w:rPr>
                <w:rFonts w:ascii="Gill Sans" w:hAnsi="Gill Sans" w:cs="Gill Sans"/>
                <w:sz w:val="22"/>
                <w:szCs w:val="22"/>
                <w:lang w:val="uk-UA"/>
              </w:rPr>
            </w:pPr>
          </w:p>
        </w:tc>
        <w:tc>
          <w:tcPr>
            <w:tcW w:w="349" w:type="dxa"/>
            <w:vMerge/>
            <w:tcBorders>
              <w:left w:val="single" w:sz="2" w:space="0" w:color="FFFFFF"/>
              <w:right w:val="single" w:sz="2" w:space="0" w:color="FFFFFF"/>
            </w:tcBorders>
            <w:shd w:val="clear" w:color="auto" w:fill="D6E3BC"/>
          </w:tcPr>
          <w:p w14:paraId="4E798141" w14:textId="77777777" w:rsidR="0020660D" w:rsidRPr="00257F44" w:rsidRDefault="0020660D" w:rsidP="0020660D">
            <w:pPr>
              <w:rPr>
                <w:rFonts w:ascii="Zapf Dingbats" w:hAnsi="Zapf Dingbats" w:cs="Gill Sans"/>
                <w:sz w:val="22"/>
                <w:szCs w:val="22"/>
                <w:lang w:val="uk-UA"/>
              </w:rPr>
            </w:pPr>
          </w:p>
        </w:tc>
        <w:tc>
          <w:tcPr>
            <w:tcW w:w="350" w:type="dxa"/>
            <w:vMerge/>
            <w:tcBorders>
              <w:left w:val="single" w:sz="2" w:space="0" w:color="FFFFFF"/>
              <w:right w:val="single" w:sz="18" w:space="0" w:color="FFFFFF"/>
            </w:tcBorders>
            <w:shd w:val="clear" w:color="auto" w:fill="D6E3BC"/>
          </w:tcPr>
          <w:p w14:paraId="266072F5" w14:textId="77777777" w:rsidR="0020660D" w:rsidRPr="00257F44" w:rsidRDefault="0020660D" w:rsidP="0020660D">
            <w:pPr>
              <w:rPr>
                <w:rFonts w:ascii="Zapf Dingbats" w:hAnsi="Zapf Dingbats" w:cs="Gill Sans"/>
                <w:noProof/>
                <w:sz w:val="22"/>
                <w:szCs w:val="22"/>
                <w:lang w:val="uk-UA"/>
              </w:rPr>
            </w:pPr>
          </w:p>
        </w:tc>
        <w:tc>
          <w:tcPr>
            <w:tcW w:w="432" w:type="dxa"/>
            <w:vMerge/>
            <w:tcBorders>
              <w:left w:val="single" w:sz="2" w:space="0" w:color="FFFFFF"/>
              <w:right w:val="single" w:sz="2" w:space="0" w:color="FFFFFF"/>
            </w:tcBorders>
            <w:shd w:val="clear" w:color="auto" w:fill="FBD4B4"/>
          </w:tcPr>
          <w:p w14:paraId="5D26DA66" w14:textId="77777777" w:rsidR="0020660D" w:rsidRPr="00257F44" w:rsidRDefault="0020660D" w:rsidP="0020660D">
            <w:pPr>
              <w:rPr>
                <w:rFonts w:ascii="Zapf Dingbats" w:hAnsi="Zapf Dingbats" w:cs="Gill Sans"/>
                <w:sz w:val="22"/>
                <w:szCs w:val="22"/>
                <w:lang w:val="uk-UA"/>
              </w:rPr>
            </w:pPr>
          </w:p>
        </w:tc>
        <w:tc>
          <w:tcPr>
            <w:tcW w:w="350" w:type="dxa"/>
            <w:vMerge/>
            <w:tcBorders>
              <w:left w:val="single" w:sz="2" w:space="0" w:color="FFFFFF"/>
              <w:right w:val="single" w:sz="2" w:space="0" w:color="FFFFFF"/>
            </w:tcBorders>
            <w:shd w:val="clear" w:color="auto" w:fill="FBD4B4"/>
          </w:tcPr>
          <w:p w14:paraId="36955A24" w14:textId="77777777" w:rsidR="0020660D" w:rsidRPr="00257F44" w:rsidRDefault="0020660D" w:rsidP="0020660D">
            <w:pPr>
              <w:rPr>
                <w:rFonts w:ascii="Zapf Dingbats" w:hAnsi="Zapf Dingbats" w:cs="Gill Sans"/>
                <w:noProof/>
                <w:sz w:val="22"/>
                <w:szCs w:val="22"/>
                <w:lang w:val="uk-UA"/>
              </w:rPr>
            </w:pPr>
          </w:p>
        </w:tc>
        <w:tc>
          <w:tcPr>
            <w:tcW w:w="350" w:type="dxa"/>
            <w:vMerge/>
            <w:tcBorders>
              <w:left w:val="single" w:sz="2" w:space="0" w:color="FFFFFF"/>
              <w:right w:val="single" w:sz="2" w:space="0" w:color="FFFFFF"/>
            </w:tcBorders>
            <w:shd w:val="clear" w:color="auto" w:fill="FBD4B4"/>
          </w:tcPr>
          <w:p w14:paraId="1AAFDDD0" w14:textId="77777777" w:rsidR="0020660D" w:rsidRPr="00257F44" w:rsidRDefault="0020660D" w:rsidP="0020660D">
            <w:pPr>
              <w:rPr>
                <w:rFonts w:ascii="Zapf Dingbats" w:hAnsi="Zapf Dingbats" w:cs="Gill Sans"/>
                <w:noProof/>
                <w:sz w:val="22"/>
                <w:szCs w:val="22"/>
                <w:lang w:val="uk-UA"/>
              </w:rPr>
            </w:pPr>
          </w:p>
        </w:tc>
        <w:tc>
          <w:tcPr>
            <w:tcW w:w="844" w:type="dxa"/>
            <w:vMerge/>
            <w:tcBorders>
              <w:left w:val="single" w:sz="2" w:space="0" w:color="FFFFFF"/>
              <w:right w:val="single" w:sz="18" w:space="0" w:color="FFFFFF"/>
            </w:tcBorders>
            <w:shd w:val="clear" w:color="auto" w:fill="FBD4B4"/>
          </w:tcPr>
          <w:p w14:paraId="67DD3A05" w14:textId="77777777" w:rsidR="0020660D" w:rsidRPr="00257F44" w:rsidRDefault="0020660D" w:rsidP="0020660D">
            <w:pPr>
              <w:rPr>
                <w:rFonts w:ascii="Zapf Dingbats" w:hAnsi="Zapf Dingbats" w:cs="Gill Sans"/>
                <w:sz w:val="22"/>
                <w:szCs w:val="22"/>
                <w:lang w:val="uk-UA"/>
              </w:rPr>
            </w:pPr>
          </w:p>
        </w:tc>
        <w:tc>
          <w:tcPr>
            <w:tcW w:w="350" w:type="dxa"/>
            <w:vMerge/>
            <w:tcBorders>
              <w:left w:val="single" w:sz="18" w:space="0" w:color="FFFFFF"/>
              <w:right w:val="single" w:sz="2" w:space="0" w:color="FFFFFF"/>
            </w:tcBorders>
            <w:shd w:val="clear" w:color="auto" w:fill="CCC0D9"/>
          </w:tcPr>
          <w:p w14:paraId="2D07BA45" w14:textId="77777777" w:rsidR="0020660D" w:rsidRPr="00257F44" w:rsidRDefault="0020660D" w:rsidP="0020660D">
            <w:pPr>
              <w:rPr>
                <w:rFonts w:ascii="Zapf Dingbats" w:hAnsi="Zapf Dingbats" w:cs="Gill Sans"/>
                <w:sz w:val="22"/>
                <w:szCs w:val="22"/>
                <w:lang w:val="uk-UA"/>
              </w:rPr>
            </w:pPr>
          </w:p>
        </w:tc>
        <w:tc>
          <w:tcPr>
            <w:tcW w:w="350" w:type="dxa"/>
            <w:vMerge/>
            <w:tcBorders>
              <w:left w:val="single" w:sz="2" w:space="0" w:color="FFFFFF"/>
              <w:right w:val="single" w:sz="2" w:space="0" w:color="FFFFFF"/>
            </w:tcBorders>
            <w:shd w:val="clear" w:color="auto" w:fill="CCC0D9"/>
          </w:tcPr>
          <w:p w14:paraId="1C81A47D" w14:textId="77777777" w:rsidR="0020660D" w:rsidRPr="00257F44" w:rsidRDefault="0020660D" w:rsidP="0020660D">
            <w:pPr>
              <w:rPr>
                <w:rFonts w:ascii="Zapf Dingbats" w:hAnsi="Zapf Dingbats" w:cs="Gill Sans"/>
                <w:sz w:val="22"/>
                <w:szCs w:val="22"/>
                <w:lang w:val="uk-UA"/>
              </w:rPr>
            </w:pPr>
          </w:p>
        </w:tc>
        <w:tc>
          <w:tcPr>
            <w:tcW w:w="432" w:type="dxa"/>
            <w:vMerge/>
            <w:tcBorders>
              <w:left w:val="single" w:sz="2" w:space="0" w:color="FFFFFF"/>
              <w:right w:val="single" w:sz="2" w:space="0" w:color="FFFFFF"/>
            </w:tcBorders>
            <w:shd w:val="clear" w:color="auto" w:fill="CCC0D9"/>
          </w:tcPr>
          <w:p w14:paraId="34900476" w14:textId="77777777" w:rsidR="0020660D" w:rsidRPr="00257F44" w:rsidRDefault="0020660D" w:rsidP="0020660D">
            <w:pPr>
              <w:rPr>
                <w:rFonts w:ascii="Zapf Dingbats" w:hAnsi="Zapf Dingbats" w:cs="Gill Sans"/>
                <w:noProof/>
                <w:sz w:val="22"/>
                <w:szCs w:val="22"/>
                <w:lang w:val="uk-UA"/>
              </w:rPr>
            </w:pPr>
          </w:p>
        </w:tc>
        <w:tc>
          <w:tcPr>
            <w:tcW w:w="350" w:type="dxa"/>
            <w:vMerge/>
            <w:tcBorders>
              <w:left w:val="single" w:sz="2" w:space="0" w:color="FFFFFF"/>
              <w:right w:val="single" w:sz="18" w:space="0" w:color="FFFFFF"/>
            </w:tcBorders>
            <w:shd w:val="clear" w:color="auto" w:fill="CCC0D9"/>
          </w:tcPr>
          <w:p w14:paraId="1407ED6D" w14:textId="77777777" w:rsidR="0020660D" w:rsidRPr="00257F44" w:rsidRDefault="0020660D" w:rsidP="0020660D">
            <w:pPr>
              <w:rPr>
                <w:rFonts w:ascii="Zapf Dingbats" w:hAnsi="Zapf Dingbats" w:cs="Gill Sans"/>
                <w:sz w:val="22"/>
                <w:szCs w:val="22"/>
                <w:lang w:val="uk-UA"/>
              </w:rPr>
            </w:pPr>
          </w:p>
        </w:tc>
        <w:tc>
          <w:tcPr>
            <w:tcW w:w="597" w:type="dxa"/>
            <w:tcBorders>
              <w:top w:val="single" w:sz="2" w:space="0" w:color="auto"/>
              <w:left w:val="single" w:sz="18" w:space="0" w:color="FFFFFF"/>
              <w:bottom w:val="single" w:sz="4" w:space="0" w:color="auto"/>
              <w:right w:val="single" w:sz="4" w:space="0" w:color="FFFFFF" w:themeColor="background1"/>
            </w:tcBorders>
            <w:shd w:val="clear" w:color="auto" w:fill="B8CCE4"/>
          </w:tcPr>
          <w:p w14:paraId="0F2C17D0" w14:textId="77777777" w:rsidR="0020660D" w:rsidRPr="00257F44" w:rsidRDefault="0020660D" w:rsidP="0020660D">
            <w:pPr>
              <w:rPr>
                <w:rFonts w:ascii="Zapf Dingbats" w:hAnsi="Zapf Dingbats" w:cs="Gill Sans"/>
                <w:sz w:val="22"/>
                <w:szCs w:val="22"/>
                <w:lang w:val="uk-UA"/>
              </w:rPr>
            </w:pPr>
          </w:p>
        </w:tc>
        <w:tc>
          <w:tcPr>
            <w:tcW w:w="432" w:type="dxa"/>
            <w:tcBorders>
              <w:top w:val="single" w:sz="2" w:space="0" w:color="auto"/>
              <w:left w:val="single" w:sz="4" w:space="0" w:color="FFFFFF" w:themeColor="background1"/>
              <w:bottom w:val="single" w:sz="4" w:space="0" w:color="auto"/>
              <w:right w:val="single" w:sz="4" w:space="0" w:color="FFFFFF" w:themeColor="background1"/>
            </w:tcBorders>
            <w:shd w:val="clear" w:color="auto" w:fill="B8CCE4"/>
          </w:tcPr>
          <w:p w14:paraId="299A364B" w14:textId="77777777" w:rsidR="0020660D" w:rsidRPr="00257F44" w:rsidRDefault="0020660D" w:rsidP="0020660D">
            <w:pPr>
              <w:rPr>
                <w:rFonts w:ascii="Zapf Dingbats" w:hAnsi="Zapf Dingbats" w:cs="Gill Sans"/>
                <w:sz w:val="22"/>
                <w:szCs w:val="22"/>
                <w:lang w:val="uk-UA"/>
              </w:rPr>
            </w:pPr>
          </w:p>
        </w:tc>
        <w:tc>
          <w:tcPr>
            <w:tcW w:w="432" w:type="dxa"/>
            <w:tcBorders>
              <w:top w:val="single" w:sz="2" w:space="0" w:color="auto"/>
              <w:left w:val="single" w:sz="4" w:space="0" w:color="FFFFFF" w:themeColor="background1"/>
              <w:bottom w:val="single" w:sz="4" w:space="0" w:color="auto"/>
              <w:right w:val="single" w:sz="4" w:space="0" w:color="FFFFFF" w:themeColor="background1"/>
            </w:tcBorders>
            <w:shd w:val="clear" w:color="auto" w:fill="B8CCE4"/>
          </w:tcPr>
          <w:p w14:paraId="1C21A9C6" w14:textId="77777777" w:rsidR="0020660D" w:rsidRPr="00257F44" w:rsidRDefault="0020660D" w:rsidP="0020660D">
            <w:pPr>
              <w:rPr>
                <w:rFonts w:ascii="Zapf Dingbats" w:hAnsi="Zapf Dingbats" w:cs="Gill Sans"/>
                <w:sz w:val="22"/>
                <w:szCs w:val="22"/>
                <w:lang w:val="uk-UA"/>
              </w:rPr>
            </w:pPr>
          </w:p>
        </w:tc>
        <w:tc>
          <w:tcPr>
            <w:tcW w:w="515" w:type="dxa"/>
            <w:tcBorders>
              <w:top w:val="single" w:sz="2" w:space="0" w:color="auto"/>
              <w:left w:val="single" w:sz="4" w:space="0" w:color="FFFFFF" w:themeColor="background1"/>
              <w:bottom w:val="single" w:sz="4" w:space="0" w:color="auto"/>
              <w:right w:val="single" w:sz="18" w:space="0" w:color="FFFFFF"/>
            </w:tcBorders>
            <w:shd w:val="clear" w:color="auto" w:fill="B8CCE4"/>
          </w:tcPr>
          <w:p w14:paraId="527AD231" w14:textId="4FF13121" w:rsidR="0020660D" w:rsidRPr="00257F44" w:rsidRDefault="0020660D" w:rsidP="0020660D">
            <w:pPr>
              <w:jc w:val="cente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50" w:type="dxa"/>
            <w:vMerge/>
            <w:tcBorders>
              <w:left w:val="single" w:sz="18" w:space="0" w:color="FFFFFF"/>
              <w:right w:val="single" w:sz="2" w:space="0" w:color="FFFFFF"/>
            </w:tcBorders>
            <w:shd w:val="clear" w:color="auto" w:fill="D99594"/>
          </w:tcPr>
          <w:p w14:paraId="4CDE83A8" w14:textId="77777777" w:rsidR="0020660D" w:rsidRPr="00257F44" w:rsidRDefault="0020660D" w:rsidP="0020660D">
            <w:pPr>
              <w:rPr>
                <w:rFonts w:ascii="Gill Sans" w:hAnsi="Gill Sans" w:cs="Gill Sans"/>
                <w:sz w:val="22"/>
                <w:szCs w:val="22"/>
                <w:lang w:val="uk-UA"/>
              </w:rPr>
            </w:pPr>
          </w:p>
        </w:tc>
        <w:tc>
          <w:tcPr>
            <w:tcW w:w="350" w:type="dxa"/>
            <w:vMerge/>
            <w:tcBorders>
              <w:left w:val="single" w:sz="2" w:space="0" w:color="FFFFFF"/>
              <w:right w:val="single" w:sz="2" w:space="0" w:color="FFFFFF"/>
            </w:tcBorders>
            <w:shd w:val="clear" w:color="auto" w:fill="D99594"/>
          </w:tcPr>
          <w:p w14:paraId="0F6DA66A" w14:textId="77777777" w:rsidR="0020660D" w:rsidRPr="00257F44" w:rsidRDefault="0020660D" w:rsidP="0020660D">
            <w:pPr>
              <w:rPr>
                <w:rFonts w:ascii="Gill Sans" w:hAnsi="Gill Sans" w:cs="Gill Sans"/>
                <w:sz w:val="22"/>
                <w:szCs w:val="22"/>
                <w:lang w:val="uk-UA"/>
              </w:rPr>
            </w:pPr>
          </w:p>
        </w:tc>
        <w:tc>
          <w:tcPr>
            <w:tcW w:w="350" w:type="dxa"/>
            <w:vMerge/>
            <w:tcBorders>
              <w:left w:val="single" w:sz="2" w:space="0" w:color="FFFFFF"/>
              <w:right w:val="single" w:sz="2" w:space="0" w:color="FFFFFF"/>
            </w:tcBorders>
            <w:shd w:val="clear" w:color="auto" w:fill="D99594"/>
          </w:tcPr>
          <w:p w14:paraId="7C95F6F0" w14:textId="77777777" w:rsidR="0020660D" w:rsidRPr="00257F44" w:rsidRDefault="0020660D" w:rsidP="0020660D">
            <w:pPr>
              <w:rPr>
                <w:rFonts w:ascii="Gill Sans" w:hAnsi="Gill Sans" w:cs="Gill Sans"/>
                <w:sz w:val="22"/>
                <w:szCs w:val="22"/>
                <w:lang w:val="uk-UA"/>
              </w:rPr>
            </w:pPr>
          </w:p>
        </w:tc>
        <w:tc>
          <w:tcPr>
            <w:tcW w:w="350" w:type="dxa"/>
            <w:vMerge/>
            <w:tcBorders>
              <w:left w:val="single" w:sz="2" w:space="0" w:color="FFFFFF"/>
              <w:right w:val="single" w:sz="2" w:space="0" w:color="FFFFFF"/>
            </w:tcBorders>
            <w:shd w:val="clear" w:color="auto" w:fill="D99594"/>
          </w:tcPr>
          <w:p w14:paraId="202F4B80" w14:textId="77777777" w:rsidR="0020660D" w:rsidRPr="00257F44" w:rsidRDefault="0020660D" w:rsidP="0020660D">
            <w:pPr>
              <w:rPr>
                <w:rFonts w:ascii="Gill Sans" w:hAnsi="Gill Sans" w:cs="Gill Sans"/>
                <w:noProof/>
                <w:sz w:val="22"/>
                <w:szCs w:val="22"/>
                <w:lang w:val="uk-UA"/>
              </w:rPr>
            </w:pPr>
          </w:p>
        </w:tc>
        <w:tc>
          <w:tcPr>
            <w:tcW w:w="432" w:type="dxa"/>
            <w:vMerge/>
            <w:tcBorders>
              <w:left w:val="single" w:sz="2" w:space="0" w:color="FFFFFF"/>
              <w:right w:val="single" w:sz="18" w:space="0" w:color="FFFFFF"/>
            </w:tcBorders>
            <w:shd w:val="clear" w:color="auto" w:fill="D99594"/>
          </w:tcPr>
          <w:p w14:paraId="51704025" w14:textId="77777777" w:rsidR="0020660D" w:rsidRPr="00257F44" w:rsidRDefault="0020660D" w:rsidP="0020660D">
            <w:pPr>
              <w:rPr>
                <w:rFonts w:ascii="Gill Sans" w:hAnsi="Gill Sans" w:cs="Gill Sans"/>
                <w:sz w:val="22"/>
                <w:szCs w:val="22"/>
                <w:lang w:val="uk-UA"/>
              </w:rPr>
            </w:pPr>
          </w:p>
        </w:tc>
      </w:tr>
    </w:tbl>
    <w:p w14:paraId="5BA62A65" w14:textId="77777777" w:rsidR="006E6C92" w:rsidRPr="00257F44" w:rsidRDefault="006E6C92" w:rsidP="006319F4">
      <w:pPr>
        <w:pStyle w:val="Heading3"/>
        <w:rPr>
          <w:rFonts w:eastAsiaTheme="minorEastAsia"/>
          <w:b w:val="0"/>
          <w:bCs w:val="0"/>
          <w:noProof w:val="0"/>
          <w:color w:val="auto"/>
          <w:szCs w:val="22"/>
          <w:lang w:val="uk-UA"/>
        </w:rPr>
      </w:pPr>
    </w:p>
    <w:p w14:paraId="5338377F" w14:textId="77777777" w:rsidR="006E6C92" w:rsidRPr="00257F44" w:rsidRDefault="006E6C92" w:rsidP="006023C3">
      <w:pPr>
        <w:rPr>
          <w:lang w:val="uk-UA"/>
        </w:rPr>
      </w:pPr>
    </w:p>
    <w:p w14:paraId="61DCB22F" w14:textId="53EBF767" w:rsidR="00217AB0" w:rsidRPr="00257F44" w:rsidRDefault="00F96953" w:rsidP="004777C8">
      <w:pPr>
        <w:pStyle w:val="Heading3"/>
        <w:spacing w:after="120"/>
        <w:rPr>
          <w:lang w:val="uk-UA"/>
        </w:rPr>
      </w:pPr>
      <w:r w:rsidRPr="00257F44">
        <w:rPr>
          <w:lang w:val="uk-UA"/>
        </w:rPr>
        <w:t>Мета зобов’язання</w:t>
      </w:r>
    </w:p>
    <w:p w14:paraId="1AA77983" w14:textId="4B6633B9" w:rsidR="00F96953" w:rsidRPr="00257F44" w:rsidRDefault="00F96953" w:rsidP="004777C8">
      <w:pPr>
        <w:spacing w:after="120"/>
        <w:rPr>
          <w:rFonts w:ascii="Gill Sans" w:hAnsi="Gill Sans" w:cs="Gill Sans"/>
          <w:sz w:val="22"/>
          <w:szCs w:val="22"/>
          <w:lang w:val="uk-UA"/>
        </w:rPr>
      </w:pPr>
      <w:r w:rsidRPr="00257F44">
        <w:rPr>
          <w:rFonts w:ascii="Gill Sans" w:hAnsi="Gill Sans" w:cs="Gill Sans"/>
          <w:sz w:val="22"/>
          <w:szCs w:val="22"/>
          <w:lang w:val="uk-UA"/>
        </w:rPr>
        <w:t xml:space="preserve">Метою зобов’язання було </w:t>
      </w:r>
      <w:r w:rsidR="00CD49EA" w:rsidRPr="00257F44">
        <w:rPr>
          <w:rFonts w:ascii="Gill Sans" w:hAnsi="Gill Sans" w:cs="Gill Sans"/>
          <w:sz w:val="22"/>
          <w:szCs w:val="22"/>
          <w:lang w:val="uk-UA"/>
        </w:rPr>
        <w:t>надати доступ до документів р</w:t>
      </w:r>
      <w:r w:rsidRPr="00257F44">
        <w:rPr>
          <w:rFonts w:ascii="Gill Sans" w:hAnsi="Gill Sans" w:cs="Gill Sans"/>
          <w:sz w:val="22"/>
          <w:szCs w:val="22"/>
          <w:lang w:val="uk-UA"/>
        </w:rPr>
        <w:t>адянського режиму, які були втаємничені впродовж багатьох років, а також документів періоду після здобуття незалежності</w:t>
      </w:r>
      <w:r w:rsidR="00EB2784" w:rsidRPr="00257F44">
        <w:rPr>
          <w:rFonts w:ascii="Gill Sans" w:hAnsi="Gill Sans" w:cs="Gill Sans"/>
          <w:sz w:val="22"/>
          <w:szCs w:val="22"/>
          <w:lang w:val="uk-UA"/>
        </w:rPr>
        <w:t xml:space="preserve"> в 1991 році. Зобов’язання ставило амбітну ціль порвати з тоталітарним минулим, дозволивши</w:t>
      </w:r>
      <w:r w:rsidR="00CD49EA" w:rsidRPr="00257F44">
        <w:rPr>
          <w:rFonts w:ascii="Gill Sans" w:hAnsi="Gill Sans" w:cs="Gill Sans"/>
          <w:sz w:val="22"/>
          <w:szCs w:val="22"/>
          <w:lang w:val="uk-UA"/>
        </w:rPr>
        <w:t xml:space="preserve"> дослідникам</w:t>
      </w:r>
      <w:r w:rsidR="00EB2784" w:rsidRPr="00257F44">
        <w:rPr>
          <w:rFonts w:ascii="Gill Sans" w:hAnsi="Gill Sans" w:cs="Gill Sans"/>
          <w:sz w:val="22"/>
          <w:szCs w:val="22"/>
          <w:lang w:val="uk-UA"/>
        </w:rPr>
        <w:t xml:space="preserve"> та іншим особам досліджувати архіви, які документували злочини попереднього режиму</w:t>
      </w:r>
      <w:r w:rsidR="00E647C4" w:rsidRPr="00257F44">
        <w:rPr>
          <w:rFonts w:ascii="Gill Sans" w:hAnsi="Gill Sans" w:cs="Gill Sans"/>
          <w:sz w:val="22"/>
          <w:szCs w:val="22"/>
          <w:lang w:val="uk-UA"/>
        </w:rPr>
        <w:t>, та дати можливість реалізувати право на правду.</w:t>
      </w:r>
    </w:p>
    <w:p w14:paraId="7DC1C153" w14:textId="0C70EB85" w:rsidR="00217AB0" w:rsidRPr="00257F44" w:rsidRDefault="00F96953" w:rsidP="004777C8">
      <w:pPr>
        <w:pStyle w:val="Heading3"/>
        <w:spacing w:after="120"/>
        <w:rPr>
          <w:lang w:val="uk-UA"/>
        </w:rPr>
      </w:pPr>
      <w:r w:rsidRPr="00257F44">
        <w:rPr>
          <w:lang w:val="uk-UA"/>
        </w:rPr>
        <w:t>Статус виконання</w:t>
      </w:r>
    </w:p>
    <w:p w14:paraId="44D6E022" w14:textId="6C02434E" w:rsidR="00F96953" w:rsidRPr="00257F44" w:rsidRDefault="00F96953" w:rsidP="004777C8">
      <w:pPr>
        <w:pStyle w:val="Normalrglronly"/>
        <w:rPr>
          <w:b/>
          <w:lang w:val="uk-UA"/>
        </w:rPr>
      </w:pPr>
      <w:r w:rsidRPr="00257F44">
        <w:rPr>
          <w:b/>
          <w:lang w:val="uk-UA"/>
        </w:rPr>
        <w:t>Проміжний звіт: Повне виконання</w:t>
      </w:r>
    </w:p>
    <w:p w14:paraId="677AA108" w14:textId="7B0F5245" w:rsidR="00CD6644" w:rsidRPr="00257F44" w:rsidRDefault="00CD49EA" w:rsidP="004777C8">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Уряд </w:t>
      </w:r>
      <w:r w:rsidR="008B2881" w:rsidRPr="00257F44">
        <w:rPr>
          <w:rFonts w:ascii="Gill Sans" w:hAnsi="Gill Sans" w:cs="Gill Sans"/>
          <w:noProof/>
          <w:sz w:val="22"/>
          <w:szCs w:val="22"/>
          <w:lang w:val="uk-UA"/>
        </w:rPr>
        <w:t xml:space="preserve">виконав </w:t>
      </w:r>
      <w:r w:rsidRPr="00257F44">
        <w:rPr>
          <w:rFonts w:ascii="Gill Sans" w:hAnsi="Gill Sans" w:cs="Gill Sans"/>
          <w:noProof/>
          <w:sz w:val="22"/>
          <w:szCs w:val="22"/>
          <w:lang w:val="uk-UA"/>
        </w:rPr>
        <w:t>зобов’язання</w:t>
      </w:r>
      <w:r w:rsidR="008B2881" w:rsidRPr="00257F44">
        <w:rPr>
          <w:rFonts w:ascii="Gill Sans" w:hAnsi="Gill Sans" w:cs="Gill Sans"/>
          <w:noProof/>
          <w:sz w:val="22"/>
          <w:szCs w:val="22"/>
          <w:lang w:val="uk-UA"/>
        </w:rPr>
        <w:t xml:space="preserve"> раніше ніж це планувалося</w:t>
      </w:r>
      <w:r w:rsidRPr="00257F44">
        <w:rPr>
          <w:rFonts w:ascii="Gill Sans" w:hAnsi="Gill Sans" w:cs="Gill Sans"/>
          <w:noProof/>
          <w:sz w:val="22"/>
          <w:szCs w:val="22"/>
          <w:lang w:val="uk-UA"/>
        </w:rPr>
        <w:t>.</w:t>
      </w:r>
      <w:r w:rsidR="008B2881" w:rsidRPr="00257F44">
        <w:rPr>
          <w:rFonts w:ascii="Gill Sans" w:hAnsi="Gill Sans" w:cs="Gill Sans"/>
          <w:noProof/>
          <w:sz w:val="22"/>
          <w:szCs w:val="22"/>
          <w:lang w:val="uk-UA"/>
        </w:rPr>
        <w:t xml:space="preserve"> Він вніс до парламенту законопроект, розроблений громадськими організаціями та Українським інститутом національної пам’яті, на початку квітня 2015 року і через кілька днів після того (9 квітня 2015 року) парламент ухвалив закон в першому та останньому читаннях</w:t>
      </w:r>
      <w:r w:rsidR="008B2881" w:rsidRPr="00257F44">
        <w:rPr>
          <w:rFonts w:ascii="Gill Sans" w:hAnsi="Gill Sans" w:cs="Gill Sans"/>
          <w:sz w:val="22"/>
          <w:szCs w:val="22"/>
          <w:vertAlign w:val="superscript"/>
          <w:lang w:val="uk-UA"/>
        </w:rPr>
        <w:endnoteReference w:id="22"/>
      </w:r>
      <w:r w:rsidR="008B2881" w:rsidRPr="00257F44">
        <w:rPr>
          <w:rFonts w:ascii="Gill Sans" w:hAnsi="Gill Sans" w:cs="Gill Sans"/>
          <w:noProof/>
          <w:sz w:val="22"/>
          <w:szCs w:val="22"/>
          <w:lang w:val="uk-UA"/>
        </w:rPr>
        <w:t xml:space="preserve">. Закон про доступ до архівів репресивних органів комуністичного тоталітарного режиму 1917 – 1991 </w:t>
      </w:r>
      <w:r w:rsidR="00CD6644" w:rsidRPr="00257F44">
        <w:rPr>
          <w:rFonts w:ascii="Gill Sans" w:hAnsi="Gill Sans" w:cs="Gill Sans"/>
          <w:noProof/>
          <w:sz w:val="22"/>
          <w:szCs w:val="22"/>
          <w:lang w:val="uk-UA"/>
        </w:rPr>
        <w:t>років визначив</w:t>
      </w:r>
      <w:r w:rsidR="008B2881" w:rsidRPr="00257F44">
        <w:rPr>
          <w:rFonts w:ascii="Gill Sans" w:hAnsi="Gill Sans" w:cs="Gill Sans"/>
          <w:noProof/>
          <w:sz w:val="22"/>
          <w:szCs w:val="22"/>
          <w:lang w:val="uk-UA"/>
        </w:rPr>
        <w:t xml:space="preserve"> спеціальні процедури доступу до відповідних архівів </w:t>
      </w:r>
      <w:r w:rsidR="00CD6644" w:rsidRPr="00257F44">
        <w:rPr>
          <w:rFonts w:ascii="Gill Sans" w:hAnsi="Gill Sans" w:cs="Gill Sans"/>
          <w:noProof/>
          <w:sz w:val="22"/>
          <w:szCs w:val="22"/>
          <w:lang w:val="uk-UA"/>
        </w:rPr>
        <w:t xml:space="preserve">та </w:t>
      </w:r>
      <w:r w:rsidR="008B2881" w:rsidRPr="00257F44">
        <w:rPr>
          <w:rFonts w:ascii="Gill Sans" w:hAnsi="Gill Sans" w:cs="Gill Sans"/>
          <w:noProof/>
          <w:sz w:val="22"/>
          <w:szCs w:val="22"/>
          <w:lang w:val="uk-UA"/>
        </w:rPr>
        <w:t xml:space="preserve">підстави для обмеження такого доступу. </w:t>
      </w:r>
    </w:p>
    <w:p w14:paraId="01A6ED09" w14:textId="7470450A" w:rsidR="00217AB0" w:rsidRPr="00257F44" w:rsidRDefault="00CD6644" w:rsidP="004777C8">
      <w:pPr>
        <w:spacing w:after="120"/>
        <w:rPr>
          <w:rFonts w:ascii="Gill Sans" w:hAnsi="Gill Sans" w:cs="Gill Sans"/>
          <w:noProof/>
          <w:sz w:val="22"/>
          <w:szCs w:val="22"/>
          <w:lang w:val="uk-UA"/>
        </w:rPr>
      </w:pPr>
      <w:r w:rsidRPr="00257F44">
        <w:rPr>
          <w:rFonts w:ascii="Gill Sans" w:hAnsi="Gill Sans" w:cs="Gill Sans"/>
          <w:noProof/>
          <w:sz w:val="22"/>
          <w:szCs w:val="22"/>
          <w:lang w:val="uk-UA"/>
        </w:rPr>
        <w:t>Закон зобов’язав</w:t>
      </w:r>
      <w:r w:rsidR="008B2881" w:rsidRPr="00257F44">
        <w:rPr>
          <w:rFonts w:ascii="Gill Sans" w:hAnsi="Gill Sans" w:cs="Gill Sans"/>
          <w:noProof/>
          <w:sz w:val="22"/>
          <w:szCs w:val="22"/>
          <w:lang w:val="uk-UA"/>
        </w:rPr>
        <w:t xml:space="preserve"> органи безпеки, правоохоронні та інші органи передати відповідні історичні документи, якими вони володіють, до спеціального державного архіву, який повинен бути створений Українським інститутом національної пам’яті</w:t>
      </w:r>
      <w:r w:rsidRPr="00257F44">
        <w:rPr>
          <w:rFonts w:ascii="Gill Sans" w:hAnsi="Gill Sans" w:cs="Gill Sans"/>
          <w:sz w:val="22"/>
          <w:szCs w:val="22"/>
          <w:vertAlign w:val="superscript"/>
          <w:lang w:val="uk-UA"/>
        </w:rPr>
        <w:endnoteReference w:id="23"/>
      </w:r>
      <w:r w:rsidR="008B2881" w:rsidRPr="00257F44">
        <w:rPr>
          <w:rFonts w:ascii="Gill Sans" w:hAnsi="Gill Sans" w:cs="Gill Sans"/>
          <w:noProof/>
          <w:sz w:val="22"/>
          <w:szCs w:val="22"/>
          <w:lang w:val="uk-UA"/>
        </w:rPr>
        <w:t>.</w:t>
      </w:r>
      <w:r w:rsidRPr="00257F44">
        <w:rPr>
          <w:rFonts w:ascii="Gill Sans" w:hAnsi="Gill Sans" w:cs="Gill Sans"/>
          <w:noProof/>
          <w:sz w:val="22"/>
          <w:szCs w:val="22"/>
          <w:lang w:val="uk-UA"/>
        </w:rPr>
        <w:t xml:space="preserve"> Закон стосується архівної інформації щодо боротьби за незалежність України у ХХ столітті, політичних репресій та порушень прав людини, які здійснювалися радянськими репресивними органами на території України, подій </w:t>
      </w:r>
      <w:r w:rsidRPr="00257F44">
        <w:rPr>
          <w:rFonts w:ascii="Gill Sans" w:hAnsi="Gill Sans" w:cs="Gill Sans"/>
          <w:noProof/>
          <w:sz w:val="22"/>
          <w:szCs w:val="22"/>
          <w:lang w:val="uk-UA"/>
        </w:rPr>
        <w:lastRenderedPageBreak/>
        <w:t xml:space="preserve">Другої світової війни, технологічних катастроф на території України у 1917 – 1991 роках тощо. </w:t>
      </w:r>
      <w:r w:rsidR="005B6930" w:rsidRPr="00257F44">
        <w:rPr>
          <w:rFonts w:ascii="Gill Sans" w:hAnsi="Gill Sans" w:cs="Gill Sans"/>
          <w:noProof/>
          <w:sz w:val="22"/>
          <w:szCs w:val="22"/>
          <w:lang w:val="uk-UA"/>
        </w:rPr>
        <w:t>Уся ця інформація становить значний суспільний інтерес та була обмежена в доступі дуже тривалий час</w:t>
      </w:r>
      <w:r w:rsidR="007F299B" w:rsidRPr="00257F44">
        <w:rPr>
          <w:rFonts w:ascii="Gill Sans" w:hAnsi="Gill Sans" w:cs="Gill Sans"/>
          <w:noProof/>
          <w:sz w:val="22"/>
          <w:szCs w:val="22"/>
          <w:vertAlign w:val="superscript"/>
          <w:lang w:val="uk-UA"/>
        </w:rPr>
        <w:endnoteReference w:id="24"/>
      </w:r>
      <w:r w:rsidR="005B6930" w:rsidRPr="00257F44">
        <w:rPr>
          <w:rFonts w:ascii="Gill Sans" w:hAnsi="Gill Sans" w:cs="Gill Sans"/>
          <w:noProof/>
          <w:sz w:val="22"/>
          <w:szCs w:val="22"/>
          <w:lang w:val="uk-UA"/>
        </w:rPr>
        <w:t>.</w:t>
      </w:r>
    </w:p>
    <w:p w14:paraId="4C5ABB05" w14:textId="10F05EFC" w:rsidR="00217AB0" w:rsidRPr="00257F44" w:rsidRDefault="00F96953" w:rsidP="004777C8">
      <w:pPr>
        <w:pStyle w:val="Heading3"/>
        <w:spacing w:after="120"/>
        <w:rPr>
          <w:lang w:val="uk-UA"/>
        </w:rPr>
      </w:pPr>
      <w:r w:rsidRPr="00257F44">
        <w:rPr>
          <w:lang w:val="uk-UA"/>
        </w:rPr>
        <w:t>Чи відкрило це уряд</w:t>
      </w:r>
      <w:r w:rsidR="00217AB0" w:rsidRPr="00257F44">
        <w:rPr>
          <w:lang w:val="uk-UA"/>
        </w:rPr>
        <w:t>?</w:t>
      </w:r>
    </w:p>
    <w:p w14:paraId="4FC59B03" w14:textId="17EEF8BB" w:rsidR="00217AB0" w:rsidRPr="00257F44" w:rsidRDefault="00F96953" w:rsidP="004777C8">
      <w:pPr>
        <w:spacing w:after="120"/>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Доступ до інформації</w:t>
      </w:r>
      <w:r w:rsidR="00217AB0" w:rsidRPr="00257F44">
        <w:rPr>
          <w:rFonts w:ascii="Gill Sans" w:hAnsi="Gill Sans" w:cs="Gill Sans"/>
          <w:b/>
          <w:color w:val="000000" w:themeColor="text1"/>
          <w:sz w:val="22"/>
          <w:szCs w:val="22"/>
          <w:lang w:val="uk-UA"/>
        </w:rPr>
        <w:t xml:space="preserve">: </w:t>
      </w:r>
      <w:r w:rsidRPr="00257F44">
        <w:rPr>
          <w:rFonts w:ascii="Gill Sans" w:hAnsi="Gill Sans" w:cs="Gill Sans"/>
          <w:b/>
          <w:color w:val="000000" w:themeColor="text1"/>
          <w:sz w:val="22"/>
          <w:szCs w:val="22"/>
          <w:lang w:val="uk-UA"/>
        </w:rPr>
        <w:t>Визначною мірою</w:t>
      </w:r>
    </w:p>
    <w:p w14:paraId="4CF6162D" w14:textId="6BF2C861" w:rsidR="00E822E8" w:rsidRPr="00257F44" w:rsidRDefault="00E822E8" w:rsidP="004777C8">
      <w:pPr>
        <w:spacing w:after="120"/>
        <w:rPr>
          <w:rFonts w:ascii="Gill Sans" w:hAnsi="Gill Sans" w:cs="Gill Sans"/>
          <w:noProof/>
          <w:sz w:val="22"/>
          <w:szCs w:val="22"/>
          <w:lang w:val="uk-UA"/>
        </w:rPr>
      </w:pPr>
      <w:r w:rsidRPr="00257F44">
        <w:rPr>
          <w:rFonts w:ascii="Gill Sans" w:hAnsi="Gill Sans" w:cs="Gill Sans"/>
          <w:noProof/>
          <w:sz w:val="22"/>
          <w:szCs w:val="22"/>
          <w:lang w:val="uk-UA"/>
        </w:rPr>
        <w:t>З часу проміжного звіту, державні органи зробили додаткові кроки для реалізації нового закону. Зокрема, Міністерство юстиції (яке координує роботу Державної архівної служби)</w:t>
      </w:r>
      <w:r w:rsidR="003E2ABB" w:rsidRPr="00257F44">
        <w:rPr>
          <w:rFonts w:ascii="Gill Sans" w:hAnsi="Gill Sans" w:cs="Gill Sans"/>
          <w:noProof/>
          <w:sz w:val="22"/>
          <w:szCs w:val="22"/>
          <w:lang w:val="uk-UA"/>
        </w:rPr>
        <w:t xml:space="preserve"> оновило свій порядок використання архівів у володінні державних органів або місцевих громад з метою його узгодження з новим законом. Державні та комунальні архівні установи оприлюднили на своїх веб-сайтах </w:t>
      </w:r>
      <w:r w:rsidR="00242308" w:rsidRPr="00257F44">
        <w:rPr>
          <w:rFonts w:ascii="Gill Sans" w:hAnsi="Gill Sans" w:cs="Gill Sans"/>
          <w:noProof/>
          <w:sz w:val="22"/>
          <w:szCs w:val="22"/>
          <w:lang w:val="uk-UA"/>
        </w:rPr>
        <w:t>інформацію про працівників, відповідальних згідно із законом за надання доступу до архівів репресивних органів</w:t>
      </w:r>
      <w:r w:rsidR="00025FA1" w:rsidRPr="00257F44">
        <w:rPr>
          <w:rFonts w:ascii="Gill Sans" w:hAnsi="Gill Sans" w:cs="Gill Sans"/>
          <w:noProof/>
          <w:sz w:val="22"/>
          <w:szCs w:val="22"/>
          <w:lang w:val="uk-UA"/>
        </w:rPr>
        <w:t>, які знаходят</w:t>
      </w:r>
      <w:r w:rsidR="00C86CC0" w:rsidRPr="00257F44">
        <w:rPr>
          <w:rFonts w:ascii="Gill Sans" w:hAnsi="Gill Sans" w:cs="Gill Sans"/>
          <w:noProof/>
          <w:sz w:val="22"/>
          <w:szCs w:val="22"/>
          <w:lang w:val="uk-UA"/>
        </w:rPr>
        <w:t>ь</w:t>
      </w:r>
      <w:r w:rsidR="00025FA1" w:rsidRPr="00257F44">
        <w:rPr>
          <w:rFonts w:ascii="Gill Sans" w:hAnsi="Gill Sans" w:cs="Gill Sans"/>
          <w:noProof/>
          <w:sz w:val="22"/>
          <w:szCs w:val="22"/>
          <w:lang w:val="uk-UA"/>
        </w:rPr>
        <w:t>с</w:t>
      </w:r>
      <w:r w:rsidR="00C86CC0" w:rsidRPr="00257F44">
        <w:rPr>
          <w:rFonts w:ascii="Gill Sans" w:hAnsi="Gill Sans" w:cs="Gill Sans"/>
          <w:noProof/>
          <w:sz w:val="22"/>
          <w:szCs w:val="22"/>
          <w:lang w:val="uk-UA"/>
        </w:rPr>
        <w:t xml:space="preserve">я у </w:t>
      </w:r>
      <w:r w:rsidR="00025FA1" w:rsidRPr="00257F44">
        <w:rPr>
          <w:rFonts w:ascii="Gill Sans" w:hAnsi="Gill Sans" w:cs="Gill Sans"/>
          <w:noProof/>
          <w:sz w:val="22"/>
          <w:szCs w:val="22"/>
          <w:lang w:val="uk-UA"/>
        </w:rPr>
        <w:t xml:space="preserve">їхньому володінні, а також інформацію про законні підстави для обмеження доступу до таких архівів. </w:t>
      </w:r>
      <w:r w:rsidR="00AF26E8" w:rsidRPr="00257F44">
        <w:rPr>
          <w:rFonts w:ascii="Gill Sans" w:hAnsi="Gill Sans" w:cs="Gill Sans"/>
          <w:noProof/>
          <w:sz w:val="22"/>
          <w:szCs w:val="22"/>
          <w:lang w:val="uk-UA"/>
        </w:rPr>
        <w:t xml:space="preserve">Після значної затримки, у грудні 2016 року Уряд затвердив рішення про створення </w:t>
      </w:r>
      <w:r w:rsidR="009E4887" w:rsidRPr="00257F44">
        <w:rPr>
          <w:rFonts w:ascii="Gill Sans" w:hAnsi="Gill Sans" w:cs="Gill Sans"/>
          <w:noProof/>
          <w:sz w:val="22"/>
          <w:szCs w:val="22"/>
          <w:lang w:val="uk-UA"/>
        </w:rPr>
        <w:t xml:space="preserve">галузевого </w:t>
      </w:r>
      <w:r w:rsidR="00772764" w:rsidRPr="00257F44">
        <w:rPr>
          <w:rFonts w:ascii="Gill Sans" w:hAnsi="Gill Sans" w:cs="Gill Sans"/>
          <w:noProof/>
          <w:sz w:val="22"/>
          <w:szCs w:val="22"/>
          <w:lang w:val="uk-UA"/>
        </w:rPr>
        <w:t xml:space="preserve">державного </w:t>
      </w:r>
      <w:r w:rsidR="009E4887" w:rsidRPr="00257F44">
        <w:rPr>
          <w:rFonts w:ascii="Gill Sans" w:hAnsi="Gill Sans" w:cs="Gill Sans"/>
          <w:noProof/>
          <w:sz w:val="22"/>
          <w:szCs w:val="22"/>
          <w:lang w:val="uk-UA"/>
        </w:rPr>
        <w:t xml:space="preserve">архіву Українського інституту національної пам’яті для обліку, зберігання, відновлення та надання доступу до архівних матеріалів, </w:t>
      </w:r>
      <w:r w:rsidR="00772764" w:rsidRPr="00257F44">
        <w:rPr>
          <w:rFonts w:ascii="Gill Sans" w:hAnsi="Gill Sans" w:cs="Gill Sans"/>
          <w:noProof/>
          <w:sz w:val="22"/>
          <w:szCs w:val="22"/>
          <w:lang w:val="uk-UA"/>
        </w:rPr>
        <w:t xml:space="preserve">на </w:t>
      </w:r>
      <w:r w:rsidR="009E4887" w:rsidRPr="00257F44">
        <w:rPr>
          <w:rFonts w:ascii="Gill Sans" w:hAnsi="Gill Sans" w:cs="Gill Sans"/>
          <w:noProof/>
          <w:sz w:val="22"/>
          <w:szCs w:val="22"/>
          <w:lang w:val="uk-UA"/>
        </w:rPr>
        <w:t xml:space="preserve">які </w:t>
      </w:r>
      <w:r w:rsidR="00772764" w:rsidRPr="00257F44">
        <w:rPr>
          <w:rFonts w:ascii="Gill Sans" w:hAnsi="Gill Sans" w:cs="Gill Sans"/>
          <w:noProof/>
          <w:sz w:val="22"/>
          <w:szCs w:val="22"/>
          <w:lang w:val="uk-UA"/>
        </w:rPr>
        <w:t xml:space="preserve">поширюється </w:t>
      </w:r>
      <w:r w:rsidR="009E4887" w:rsidRPr="00257F44">
        <w:rPr>
          <w:rFonts w:ascii="Gill Sans" w:hAnsi="Gill Sans" w:cs="Gill Sans"/>
          <w:noProof/>
          <w:sz w:val="22"/>
          <w:szCs w:val="22"/>
          <w:lang w:val="uk-UA"/>
        </w:rPr>
        <w:t>закон</w:t>
      </w:r>
      <w:r w:rsidR="009E4887" w:rsidRPr="00257F44">
        <w:rPr>
          <w:rStyle w:val="EndnoteReference"/>
          <w:rFonts w:ascii="Gill Sans" w:hAnsi="Gill Sans" w:cs="Gill Sans"/>
          <w:noProof/>
          <w:sz w:val="22"/>
          <w:szCs w:val="22"/>
          <w:lang w:val="uk-UA"/>
        </w:rPr>
        <w:endnoteReference w:id="25"/>
      </w:r>
      <w:r w:rsidR="009E4887" w:rsidRPr="00257F44">
        <w:rPr>
          <w:rFonts w:ascii="Gill Sans" w:hAnsi="Gill Sans" w:cs="Gill Sans"/>
          <w:noProof/>
          <w:sz w:val="22"/>
          <w:szCs w:val="22"/>
          <w:lang w:val="uk-UA"/>
        </w:rPr>
        <w:t>.</w:t>
      </w:r>
    </w:p>
    <w:p w14:paraId="2B07A2DA" w14:textId="4CA85D69" w:rsidR="001259ED" w:rsidRPr="00257F44" w:rsidRDefault="001259ED" w:rsidP="004777C8">
      <w:pPr>
        <w:spacing w:after="120"/>
        <w:rPr>
          <w:rFonts w:ascii="Gill Sans" w:hAnsi="Gill Sans" w:cs="Gill Sans"/>
          <w:noProof/>
          <w:sz w:val="22"/>
          <w:szCs w:val="22"/>
          <w:lang w:val="uk-UA"/>
        </w:rPr>
      </w:pPr>
      <w:r w:rsidRPr="00257F44">
        <w:rPr>
          <w:rFonts w:ascii="Gill Sans" w:hAnsi="Gill Sans" w:cs="Gill Sans"/>
          <w:noProof/>
          <w:sz w:val="22"/>
          <w:szCs w:val="22"/>
          <w:lang w:val="uk-UA"/>
        </w:rPr>
        <w:t>Закон про доступ до архівів репресивних органів</w:t>
      </w:r>
      <w:r w:rsidR="001B0EE8" w:rsidRPr="00257F44">
        <w:rPr>
          <w:rFonts w:ascii="Gill Sans" w:hAnsi="Gill Sans" w:cs="Gill Sans"/>
          <w:noProof/>
          <w:sz w:val="22"/>
          <w:szCs w:val="22"/>
          <w:lang w:val="uk-UA"/>
        </w:rPr>
        <w:t xml:space="preserve"> змінив “звичайну практику” у сфері </w:t>
      </w:r>
      <w:r w:rsidR="00FF5E9B" w:rsidRPr="00257F44">
        <w:rPr>
          <w:rFonts w:ascii="Gill Sans" w:hAnsi="Gill Sans" w:cs="Gill Sans"/>
          <w:noProof/>
          <w:sz w:val="22"/>
          <w:szCs w:val="22"/>
          <w:lang w:val="uk-UA"/>
        </w:rPr>
        <w:t xml:space="preserve">національних архівів та пам’яті, відкривши уряд. </w:t>
      </w:r>
      <w:r w:rsidR="007511C3" w:rsidRPr="00257F44">
        <w:rPr>
          <w:rFonts w:ascii="Gill Sans" w:hAnsi="Gill Sans" w:cs="Gill Sans"/>
          <w:noProof/>
          <w:sz w:val="22"/>
          <w:szCs w:val="22"/>
          <w:lang w:val="uk-UA"/>
        </w:rPr>
        <w:t>Він дозволив</w:t>
      </w:r>
      <w:r w:rsidR="00FF5E9B" w:rsidRPr="00257F44">
        <w:rPr>
          <w:rFonts w:ascii="Gill Sans" w:hAnsi="Gill Sans" w:cs="Gill Sans"/>
          <w:noProof/>
          <w:sz w:val="22"/>
          <w:szCs w:val="22"/>
          <w:lang w:val="uk-UA"/>
        </w:rPr>
        <w:t xml:space="preserve"> </w:t>
      </w:r>
      <w:r w:rsidR="00B76BD2" w:rsidRPr="00257F44">
        <w:rPr>
          <w:rFonts w:ascii="Gill Sans" w:hAnsi="Gill Sans" w:cs="Gill Sans"/>
          <w:noProof/>
          <w:sz w:val="22"/>
          <w:szCs w:val="22"/>
          <w:lang w:val="uk-UA"/>
        </w:rPr>
        <w:t>консолідувати розрізнені архіви, що становлять високий суспільний інтерес, в одн</w:t>
      </w:r>
      <w:r w:rsidR="00FF26CC" w:rsidRPr="00257F44">
        <w:rPr>
          <w:rFonts w:ascii="Gill Sans" w:hAnsi="Gill Sans" w:cs="Gill Sans"/>
          <w:noProof/>
          <w:sz w:val="22"/>
          <w:szCs w:val="22"/>
          <w:lang w:val="uk-UA"/>
        </w:rPr>
        <w:t>ій інституції, а також спростив</w:t>
      </w:r>
      <w:r w:rsidR="00B76BD2" w:rsidRPr="00257F44">
        <w:rPr>
          <w:rFonts w:ascii="Gill Sans" w:hAnsi="Gill Sans" w:cs="Gill Sans"/>
          <w:noProof/>
          <w:sz w:val="22"/>
          <w:szCs w:val="22"/>
          <w:lang w:val="uk-UA"/>
        </w:rPr>
        <w:t xml:space="preserve"> доступ до таких архівів</w:t>
      </w:r>
      <w:r w:rsidR="00D22784" w:rsidRPr="00257F44">
        <w:rPr>
          <w:rFonts w:ascii="Gill Sans" w:hAnsi="Gill Sans" w:cs="Gill Sans"/>
          <w:noProof/>
          <w:sz w:val="22"/>
          <w:szCs w:val="22"/>
          <w:lang w:val="uk-UA"/>
        </w:rPr>
        <w:t xml:space="preserve"> для дослідників, родичів та інших осіб. Закон передбачив дієвий механізм забезпечення дотримання права на правду. </w:t>
      </w:r>
      <w:r w:rsidR="00283E80" w:rsidRPr="00257F44">
        <w:rPr>
          <w:rFonts w:ascii="Gill Sans" w:hAnsi="Gill Sans" w:cs="Gill Sans"/>
          <w:noProof/>
          <w:sz w:val="22"/>
          <w:szCs w:val="22"/>
          <w:lang w:val="uk-UA"/>
        </w:rPr>
        <w:t>Як стверджує один</w:t>
      </w:r>
      <w:r w:rsidR="00D22784" w:rsidRPr="00257F44">
        <w:rPr>
          <w:rFonts w:ascii="Gill Sans" w:hAnsi="Gill Sans" w:cs="Gill Sans"/>
          <w:noProof/>
          <w:sz w:val="22"/>
          <w:szCs w:val="22"/>
          <w:lang w:val="uk-UA"/>
        </w:rPr>
        <w:t xml:space="preserve"> </w:t>
      </w:r>
      <w:r w:rsidR="00283E80" w:rsidRPr="00257F44">
        <w:rPr>
          <w:rFonts w:ascii="Gill Sans" w:hAnsi="Gill Sans" w:cs="Gill Sans"/>
          <w:noProof/>
          <w:sz w:val="22"/>
          <w:szCs w:val="22"/>
          <w:lang w:val="uk-UA"/>
        </w:rPr>
        <w:t>і</w:t>
      </w:r>
      <w:r w:rsidR="00D22784" w:rsidRPr="00257F44">
        <w:rPr>
          <w:rFonts w:ascii="Gill Sans" w:hAnsi="Gill Sans" w:cs="Gill Sans"/>
          <w:noProof/>
          <w:sz w:val="22"/>
          <w:szCs w:val="22"/>
          <w:lang w:val="uk-UA"/>
        </w:rPr>
        <w:t>з розробників за</w:t>
      </w:r>
      <w:r w:rsidR="00283E80" w:rsidRPr="00257F44">
        <w:rPr>
          <w:rFonts w:ascii="Gill Sans" w:hAnsi="Gill Sans" w:cs="Gill Sans"/>
          <w:noProof/>
          <w:sz w:val="22"/>
          <w:szCs w:val="22"/>
          <w:lang w:val="uk-UA"/>
        </w:rPr>
        <w:t>кону та теперішній керівник</w:t>
      </w:r>
      <w:r w:rsidR="00772764" w:rsidRPr="00257F44">
        <w:rPr>
          <w:rFonts w:ascii="Gill Sans" w:hAnsi="Gill Sans" w:cs="Gill Sans"/>
          <w:noProof/>
          <w:sz w:val="22"/>
          <w:szCs w:val="22"/>
          <w:lang w:val="uk-UA"/>
        </w:rPr>
        <w:t xml:space="preserve"> а</w:t>
      </w:r>
      <w:r w:rsidR="00D22784" w:rsidRPr="00257F44">
        <w:rPr>
          <w:rFonts w:ascii="Gill Sans" w:hAnsi="Gill Sans" w:cs="Gill Sans"/>
          <w:noProof/>
          <w:sz w:val="22"/>
          <w:szCs w:val="22"/>
          <w:lang w:val="uk-UA"/>
        </w:rPr>
        <w:t>рхіву Служби безпеки</w:t>
      </w:r>
      <w:r w:rsidR="00C76B55" w:rsidRPr="00257F44">
        <w:rPr>
          <w:rFonts w:ascii="Gill Sans" w:hAnsi="Gill Sans" w:cs="Gill Sans"/>
          <w:noProof/>
          <w:sz w:val="22"/>
          <w:szCs w:val="22"/>
          <w:lang w:val="uk-UA"/>
        </w:rPr>
        <w:t xml:space="preserve"> України, </w:t>
      </w:r>
      <w:r w:rsidR="00611E93" w:rsidRPr="00257F44">
        <w:rPr>
          <w:rFonts w:ascii="Gill Sans" w:hAnsi="Gill Sans" w:cs="Gill Sans"/>
          <w:noProof/>
          <w:sz w:val="22"/>
          <w:szCs w:val="22"/>
          <w:lang w:val="uk-UA"/>
        </w:rPr>
        <w:t xml:space="preserve">реалізація закону </w:t>
      </w:r>
      <w:r w:rsidR="00FF26CC" w:rsidRPr="00257F44">
        <w:rPr>
          <w:rFonts w:ascii="Gill Sans" w:hAnsi="Gill Sans" w:cs="Gill Sans"/>
          <w:noProof/>
          <w:sz w:val="22"/>
          <w:szCs w:val="22"/>
          <w:lang w:val="uk-UA"/>
        </w:rPr>
        <w:t>спричинила</w:t>
      </w:r>
      <w:r w:rsidR="00611E93" w:rsidRPr="00257F44">
        <w:rPr>
          <w:rFonts w:ascii="Gill Sans" w:hAnsi="Gill Sans" w:cs="Gill Sans"/>
          <w:noProof/>
          <w:sz w:val="22"/>
          <w:szCs w:val="22"/>
          <w:lang w:val="uk-UA"/>
        </w:rPr>
        <w:t xml:space="preserve"> </w:t>
      </w:r>
      <w:r w:rsidR="00FF26CC" w:rsidRPr="00257F44">
        <w:rPr>
          <w:rFonts w:ascii="Gill Sans" w:hAnsi="Gill Sans" w:cs="Gill Sans"/>
          <w:noProof/>
          <w:sz w:val="22"/>
          <w:szCs w:val="22"/>
          <w:lang w:val="uk-UA"/>
        </w:rPr>
        <w:t>значне</w:t>
      </w:r>
      <w:r w:rsidR="00611E93" w:rsidRPr="00257F44">
        <w:rPr>
          <w:rFonts w:ascii="Gill Sans" w:hAnsi="Gill Sans" w:cs="Gill Sans"/>
          <w:noProof/>
          <w:sz w:val="22"/>
          <w:szCs w:val="22"/>
          <w:lang w:val="uk-UA"/>
        </w:rPr>
        <w:t xml:space="preserve"> збільшен</w:t>
      </w:r>
      <w:r w:rsidR="00283E80" w:rsidRPr="00257F44">
        <w:rPr>
          <w:rFonts w:ascii="Gill Sans" w:hAnsi="Gill Sans" w:cs="Gill Sans"/>
          <w:noProof/>
          <w:sz w:val="22"/>
          <w:szCs w:val="22"/>
          <w:lang w:val="uk-UA"/>
        </w:rPr>
        <w:t>ня кількості запитів до архівів, а також</w:t>
      </w:r>
      <w:r w:rsidR="00611E93" w:rsidRPr="00257F44">
        <w:rPr>
          <w:rFonts w:ascii="Gill Sans" w:hAnsi="Gill Sans" w:cs="Gill Sans"/>
          <w:noProof/>
          <w:sz w:val="22"/>
          <w:szCs w:val="22"/>
          <w:lang w:val="uk-UA"/>
        </w:rPr>
        <w:t xml:space="preserve"> </w:t>
      </w:r>
      <w:r w:rsidR="00AF4BBB" w:rsidRPr="00257F44">
        <w:rPr>
          <w:rFonts w:ascii="Gill Sans" w:hAnsi="Gill Sans" w:cs="Gill Sans"/>
          <w:noProof/>
          <w:sz w:val="22"/>
          <w:szCs w:val="22"/>
          <w:lang w:val="uk-UA"/>
        </w:rPr>
        <w:t>до ініціативного оприлюднення архівами описів відповідних колекцій та документів у їхньому володінні. Іншим результатом стало збільшення кількості клопотань</w:t>
      </w:r>
      <w:r w:rsidR="00FF26CC" w:rsidRPr="00257F44">
        <w:rPr>
          <w:rFonts w:ascii="Gill Sans" w:hAnsi="Gill Sans" w:cs="Gill Sans"/>
          <w:noProof/>
          <w:sz w:val="22"/>
          <w:szCs w:val="22"/>
          <w:lang w:val="uk-UA"/>
        </w:rPr>
        <w:t xml:space="preserve"> про реабілітацію осіб, права я</w:t>
      </w:r>
      <w:r w:rsidR="00AF4BBB" w:rsidRPr="00257F44">
        <w:rPr>
          <w:rFonts w:ascii="Gill Sans" w:hAnsi="Gill Sans" w:cs="Gill Sans"/>
          <w:noProof/>
          <w:sz w:val="22"/>
          <w:szCs w:val="22"/>
          <w:lang w:val="uk-UA"/>
        </w:rPr>
        <w:t>к</w:t>
      </w:r>
      <w:r w:rsidR="00FF26CC" w:rsidRPr="00257F44">
        <w:rPr>
          <w:rFonts w:ascii="Gill Sans" w:hAnsi="Gill Sans" w:cs="Gill Sans"/>
          <w:noProof/>
          <w:sz w:val="22"/>
          <w:szCs w:val="22"/>
          <w:lang w:val="uk-UA"/>
        </w:rPr>
        <w:t>и</w:t>
      </w:r>
      <w:r w:rsidR="00AF4BBB" w:rsidRPr="00257F44">
        <w:rPr>
          <w:rFonts w:ascii="Gill Sans" w:hAnsi="Gill Sans" w:cs="Gill Sans"/>
          <w:noProof/>
          <w:sz w:val="22"/>
          <w:szCs w:val="22"/>
          <w:lang w:val="uk-UA"/>
        </w:rPr>
        <w:t>х були порушені</w:t>
      </w:r>
      <w:r w:rsidR="00690CE0" w:rsidRPr="00257F44">
        <w:rPr>
          <w:rFonts w:ascii="Gill Sans" w:hAnsi="Gill Sans" w:cs="Gill Sans"/>
          <w:noProof/>
          <w:sz w:val="22"/>
          <w:szCs w:val="22"/>
          <w:lang w:val="uk-UA"/>
        </w:rPr>
        <w:t xml:space="preserve"> тоталітарним комуністичним режимом</w:t>
      </w:r>
      <w:r w:rsidR="00690CE0" w:rsidRPr="00257F44">
        <w:rPr>
          <w:rStyle w:val="EndnoteReference"/>
          <w:rFonts w:ascii="Gill Sans" w:hAnsi="Gill Sans" w:cs="Gill Sans"/>
          <w:color w:val="000000"/>
          <w:sz w:val="22"/>
          <w:szCs w:val="22"/>
          <w:lang w:val="uk-UA"/>
        </w:rPr>
        <w:endnoteReference w:id="26"/>
      </w:r>
      <w:r w:rsidR="00772764" w:rsidRPr="00257F44">
        <w:rPr>
          <w:rFonts w:ascii="Gill Sans" w:hAnsi="Gill Sans" w:cs="Gill Sans"/>
          <w:noProof/>
          <w:sz w:val="22"/>
          <w:szCs w:val="22"/>
          <w:lang w:val="uk-UA"/>
        </w:rPr>
        <w:t>. За інформацією голови а</w:t>
      </w:r>
      <w:r w:rsidR="00690CE0" w:rsidRPr="00257F44">
        <w:rPr>
          <w:rFonts w:ascii="Gill Sans" w:hAnsi="Gill Sans" w:cs="Gill Sans"/>
          <w:noProof/>
          <w:sz w:val="22"/>
          <w:szCs w:val="22"/>
          <w:lang w:val="uk-UA"/>
        </w:rPr>
        <w:t xml:space="preserve">рхіву Служби безпеки України, більше 87 000 осіб отримали доступ до </w:t>
      </w:r>
      <w:r w:rsidR="00D51AE4" w:rsidRPr="00257F44">
        <w:rPr>
          <w:rFonts w:ascii="Gill Sans" w:hAnsi="Gill Sans" w:cs="Gill Sans"/>
          <w:noProof/>
          <w:sz w:val="22"/>
          <w:szCs w:val="22"/>
          <w:lang w:val="uk-UA"/>
        </w:rPr>
        <w:t>архівів</w:t>
      </w:r>
      <w:r w:rsidR="00690CE0" w:rsidRPr="00257F44">
        <w:rPr>
          <w:rFonts w:ascii="Gill Sans" w:hAnsi="Gill Sans" w:cs="Gill Sans"/>
          <w:noProof/>
          <w:sz w:val="22"/>
          <w:szCs w:val="22"/>
          <w:lang w:val="uk-UA"/>
        </w:rPr>
        <w:t xml:space="preserve"> в 2015 році. Порівняно з </w:t>
      </w:r>
      <w:r w:rsidR="00B85A63" w:rsidRPr="00257F44">
        <w:rPr>
          <w:rFonts w:ascii="Gill Sans" w:hAnsi="Gill Sans" w:cs="Gill Sans"/>
          <w:noProof/>
          <w:sz w:val="22"/>
          <w:szCs w:val="22"/>
          <w:lang w:val="uk-UA"/>
        </w:rPr>
        <w:t>першим кварталом 2014 року, кількість запитів в першому кварталі 2016 року зросла втричі</w:t>
      </w:r>
      <w:r w:rsidR="00B85A63" w:rsidRPr="00257F44">
        <w:rPr>
          <w:rStyle w:val="EndnoteReference"/>
          <w:rFonts w:ascii="Gill Sans" w:eastAsia="Times New Roman" w:hAnsi="Gill Sans" w:cs="Gill Sans"/>
          <w:color w:val="000000" w:themeColor="text1"/>
          <w:sz w:val="22"/>
          <w:szCs w:val="22"/>
          <w:lang w:val="uk-UA"/>
        </w:rPr>
        <w:endnoteReference w:id="27"/>
      </w:r>
      <w:r w:rsidR="00B85A63" w:rsidRPr="00257F44">
        <w:rPr>
          <w:rFonts w:ascii="Gill Sans" w:hAnsi="Gill Sans" w:cs="Gill Sans"/>
          <w:noProof/>
          <w:sz w:val="22"/>
          <w:szCs w:val="22"/>
          <w:lang w:val="uk-UA"/>
        </w:rPr>
        <w:t>.</w:t>
      </w:r>
    </w:p>
    <w:p w14:paraId="631CCC91" w14:textId="18EF9AAC" w:rsidR="00D51AE4" w:rsidRPr="00257F44" w:rsidRDefault="00D51AE4" w:rsidP="004777C8">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Закон також дозволяє громадянам </w:t>
      </w:r>
      <w:r w:rsidR="00D93458" w:rsidRPr="00257F44">
        <w:rPr>
          <w:rFonts w:ascii="Gill Sans" w:hAnsi="Gill Sans" w:cs="Gill Sans"/>
          <w:noProof/>
          <w:sz w:val="22"/>
          <w:szCs w:val="22"/>
          <w:lang w:val="uk-UA"/>
        </w:rPr>
        <w:t>безкоштовно копіювати архіви, що сприяє доступу та інтересу до архівів</w:t>
      </w:r>
      <w:r w:rsidR="00D93458" w:rsidRPr="00257F44">
        <w:rPr>
          <w:rStyle w:val="EndnoteReference"/>
          <w:rFonts w:ascii="Gill Sans" w:hAnsi="Gill Sans" w:cs="Gill Sans"/>
          <w:color w:val="000000"/>
          <w:sz w:val="22"/>
          <w:szCs w:val="22"/>
          <w:lang w:val="uk-UA"/>
        </w:rPr>
        <w:endnoteReference w:id="28"/>
      </w:r>
      <w:r w:rsidR="00D93458" w:rsidRPr="00257F44">
        <w:rPr>
          <w:rFonts w:ascii="Gill Sans" w:hAnsi="Gill Sans" w:cs="Gill Sans"/>
          <w:noProof/>
          <w:sz w:val="22"/>
          <w:szCs w:val="22"/>
          <w:lang w:val="uk-UA"/>
        </w:rPr>
        <w:t>.</w:t>
      </w:r>
    </w:p>
    <w:p w14:paraId="008E4E1B" w14:textId="77777777" w:rsidR="0042522E" w:rsidRPr="00257F44" w:rsidRDefault="0042522E" w:rsidP="004777C8">
      <w:pPr>
        <w:pStyle w:val="Heading3"/>
        <w:spacing w:after="120"/>
        <w:rPr>
          <w:lang w:val="uk-UA"/>
        </w:rPr>
      </w:pPr>
      <w:r w:rsidRPr="00257F44">
        <w:rPr>
          <w:lang w:val="uk-UA"/>
        </w:rPr>
        <w:t>Чи перенесено до наступного плану дій?</w:t>
      </w:r>
    </w:p>
    <w:p w14:paraId="212AE222" w14:textId="73DA6B24" w:rsidR="00217AB0" w:rsidRPr="00257F44" w:rsidRDefault="002A69D4" w:rsidP="004777C8">
      <w:pPr>
        <w:spacing w:after="120"/>
        <w:rPr>
          <w:rFonts w:ascii="Gill Sans" w:hAnsi="Gill Sans" w:cs="Gill Sans"/>
          <w:sz w:val="22"/>
          <w:szCs w:val="22"/>
          <w:lang w:val="uk-UA"/>
        </w:rPr>
      </w:pPr>
      <w:r w:rsidRPr="00257F44">
        <w:rPr>
          <w:rFonts w:ascii="Gill Sans" w:hAnsi="Gill Sans" w:cs="Gill Sans"/>
          <w:sz w:val="22"/>
          <w:szCs w:val="22"/>
          <w:lang w:val="uk-UA"/>
        </w:rPr>
        <w:t xml:space="preserve">Виконання зобов’язання було завершено; отже, </w:t>
      </w:r>
      <w:r w:rsidR="00122A2F" w:rsidRPr="00257F44">
        <w:rPr>
          <w:rFonts w:ascii="Gill Sans" w:hAnsi="Gill Sans" w:cs="Gill Sans"/>
          <w:sz w:val="22"/>
          <w:szCs w:val="22"/>
          <w:lang w:val="uk-UA"/>
        </w:rPr>
        <w:t>його не було перенесено до нового плану дій.</w:t>
      </w:r>
    </w:p>
    <w:p w14:paraId="48567086" w14:textId="77777777" w:rsidR="00E366DA" w:rsidRPr="00257F44" w:rsidRDefault="00E366DA" w:rsidP="0062372B">
      <w:pPr>
        <w:spacing w:after="120"/>
        <w:rPr>
          <w:noProof/>
          <w:lang w:val="uk-UA"/>
        </w:rPr>
        <w:sectPr w:rsidR="00E366DA" w:rsidRPr="00257F44" w:rsidSect="002A2966">
          <w:endnotePr>
            <w:numFmt w:val="decimal"/>
            <w:numRestart w:val="eachSect"/>
          </w:endnotePr>
          <w:pgSz w:w="11907" w:h="16839" w:code="9"/>
          <w:pgMar w:top="1417" w:right="1417" w:bottom="1417" w:left="1417" w:header="0" w:footer="0" w:gutter="0"/>
          <w:cols w:space="708"/>
          <w:docGrid w:linePitch="360"/>
        </w:sectPr>
      </w:pPr>
    </w:p>
    <w:p w14:paraId="72C90BFF" w14:textId="77777777" w:rsidR="00E1513A" w:rsidRPr="00257F44" w:rsidRDefault="006E6C92" w:rsidP="00E1513A">
      <w:pPr>
        <w:pStyle w:val="Normalrglronly"/>
        <w:rPr>
          <w:b/>
          <w:lang w:val="uk-UA"/>
        </w:rPr>
      </w:pPr>
      <w:r w:rsidRPr="00257F44">
        <w:rPr>
          <w:rFonts w:ascii="MS Mincho" w:eastAsia="MS Mincho" w:hAnsi="MS Mincho" w:cs="MS Mincho"/>
          <w:lang w:val="uk-UA"/>
        </w:rPr>
        <w:lastRenderedPageBreak/>
        <w:t>✪</w:t>
      </w:r>
      <w:r w:rsidR="00E366DA" w:rsidRPr="00257F44">
        <w:rPr>
          <w:b/>
          <w:lang w:val="uk-UA"/>
        </w:rPr>
        <w:t xml:space="preserve">7. </w:t>
      </w:r>
      <w:r w:rsidR="00E1513A" w:rsidRPr="00257F44">
        <w:rPr>
          <w:b/>
          <w:lang w:val="uk-UA"/>
        </w:rPr>
        <w:t>Наглядовий механізм для права на доступ до інформації</w:t>
      </w:r>
    </w:p>
    <w:p w14:paraId="25DE1E17" w14:textId="77777777" w:rsidR="00E1513A" w:rsidRPr="00257F44" w:rsidRDefault="00E1513A" w:rsidP="00E1513A">
      <w:pPr>
        <w:spacing w:after="120"/>
        <w:rPr>
          <w:rFonts w:ascii="Gill Sans" w:hAnsi="Gill Sans" w:cs="Gill Sans"/>
          <w:i/>
          <w:noProof/>
          <w:sz w:val="22"/>
          <w:szCs w:val="22"/>
          <w:lang w:val="uk-UA"/>
        </w:rPr>
      </w:pPr>
      <w:r w:rsidRPr="00257F44">
        <w:rPr>
          <w:rFonts w:ascii="Gill Sans" w:hAnsi="Gill Sans" w:cs="Gill Sans"/>
          <w:b/>
          <w:bCs/>
          <w:iCs/>
          <w:noProof/>
          <w:color w:val="000000" w:themeColor="text1"/>
          <w:sz w:val="22"/>
          <w:szCs w:val="22"/>
          <w:lang w:val="uk-UA"/>
        </w:rPr>
        <w:t>Текст зобов’язання:</w:t>
      </w:r>
      <w:r w:rsidRPr="00257F44">
        <w:rPr>
          <w:rFonts w:ascii="Gill Sans" w:hAnsi="Gill Sans" w:cs="Gill Sans"/>
          <w:i/>
          <w:noProof/>
          <w:color w:val="000000" w:themeColor="text1"/>
          <w:sz w:val="22"/>
          <w:szCs w:val="22"/>
          <w:lang w:val="uk-UA"/>
        </w:rPr>
        <w:t xml:space="preserve"> </w:t>
      </w:r>
      <w:r w:rsidRPr="00257F44">
        <w:rPr>
          <w:rFonts w:ascii="Gill Sans" w:hAnsi="Gill Sans" w:cs="Gill Sans"/>
          <w:i/>
          <w:noProof/>
          <w:sz w:val="22"/>
          <w:szCs w:val="22"/>
          <w:lang w:val="uk-UA"/>
        </w:rPr>
        <w:t>7. Підготовка та подання в установленому порядку Кабінетові Міністрів України законопроекту про здійснення державного нагляду у сфері реалізації права на доступ до публічної інформації.</w:t>
      </w:r>
    </w:p>
    <w:p w14:paraId="553513EC" w14:textId="77777777" w:rsidR="00E1513A" w:rsidRPr="00257F44" w:rsidRDefault="00E1513A" w:rsidP="00E1513A">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схвалення Кабінетом Міністрів України відповідного законопроекту, подання його Верховній Раді України та супроводження до прийняття.</w:t>
      </w:r>
    </w:p>
    <w:p w14:paraId="704A2E15" w14:textId="77777777" w:rsidR="00E1513A" w:rsidRPr="00257F44" w:rsidRDefault="00E1513A" w:rsidP="00E1513A">
      <w:pPr>
        <w:spacing w:after="120"/>
        <w:rPr>
          <w:rFonts w:ascii="Gill Sans" w:hAnsi="Gill Sans" w:cs="Gill Sans"/>
          <w:sz w:val="22"/>
          <w:szCs w:val="22"/>
          <w:lang w:val="uk-UA"/>
        </w:rPr>
      </w:pPr>
      <w:r w:rsidRPr="00257F44">
        <w:rPr>
          <w:rFonts w:ascii="Gill Sans" w:hAnsi="Gill Sans" w:cs="Gill Sans"/>
          <w:sz w:val="22"/>
          <w:szCs w:val="22"/>
          <w:lang w:val="uk-UA"/>
        </w:rPr>
        <w:t>Головна інституція, відповідальна за виконання: Державний комітет телебачення і радіомовлення.</w:t>
      </w:r>
    </w:p>
    <w:p w14:paraId="68D6C44D" w14:textId="77777777" w:rsidR="00E1513A" w:rsidRPr="00257F44" w:rsidRDefault="00E1513A" w:rsidP="00E1513A">
      <w:pPr>
        <w:spacing w:after="120"/>
        <w:rPr>
          <w:rFonts w:ascii="Gill Sans" w:hAnsi="Gill Sans" w:cs="Gill Sans"/>
          <w:sz w:val="22"/>
          <w:szCs w:val="22"/>
          <w:lang w:val="uk-UA"/>
        </w:rPr>
      </w:pPr>
      <w:r w:rsidRPr="00257F44">
        <w:rPr>
          <w:rFonts w:ascii="Gill Sans" w:hAnsi="Gill Sans" w:cs="Gill Sans"/>
          <w:sz w:val="22"/>
          <w:szCs w:val="22"/>
          <w:lang w:val="uk-UA"/>
        </w:rPr>
        <w:t>Інші виконавці: Міністерство юстиції, Уповноважений Верховної Ради України з прав людини, Міжнародний фонд “Відродження”, невизначені організації громадянського суспільства та міжнародні організації.</w:t>
      </w:r>
    </w:p>
    <w:p w14:paraId="1235B4BD" w14:textId="77777777" w:rsidR="00E1513A" w:rsidRPr="00257F44" w:rsidRDefault="00E1513A" w:rsidP="00E1513A">
      <w:pPr>
        <w:spacing w:after="120"/>
        <w:rPr>
          <w:rFonts w:ascii="Gill Sans" w:hAnsi="Gill Sans" w:cs="Gill Sans"/>
          <w:sz w:val="22"/>
          <w:szCs w:val="22"/>
          <w:lang w:val="uk-UA"/>
        </w:rPr>
      </w:pPr>
      <w:r w:rsidRPr="00257F44">
        <w:rPr>
          <w:rFonts w:ascii="Gill Sans" w:hAnsi="Gill Sans" w:cs="Gill Sans"/>
          <w:sz w:val="22"/>
          <w:szCs w:val="22"/>
          <w:lang w:val="uk-UA"/>
        </w:rPr>
        <w:t>Дата початку: Не визначено</w:t>
      </w:r>
      <w:r w:rsidRPr="00257F44">
        <w:rPr>
          <w:rFonts w:ascii="Gill Sans" w:hAnsi="Gill Sans" w:cs="Gill Sans"/>
          <w:sz w:val="22"/>
          <w:szCs w:val="22"/>
          <w:lang w:val="uk-UA"/>
        </w:rPr>
        <w:tab/>
      </w:r>
      <w:r w:rsidRPr="00257F44">
        <w:rPr>
          <w:rFonts w:ascii="Gill Sans" w:hAnsi="Gill Sans" w:cs="Gill Sans"/>
          <w:sz w:val="22"/>
          <w:szCs w:val="22"/>
          <w:lang w:val="uk-UA"/>
        </w:rPr>
        <w:tab/>
      </w:r>
      <w:r w:rsidRPr="00257F44">
        <w:rPr>
          <w:rFonts w:ascii="Gill Sans" w:hAnsi="Gill Sans" w:cs="Gill Sans"/>
          <w:sz w:val="22"/>
          <w:szCs w:val="22"/>
          <w:lang w:val="uk-UA"/>
        </w:rPr>
        <w:tab/>
      </w:r>
      <w:r w:rsidRPr="00257F44">
        <w:rPr>
          <w:rFonts w:ascii="Gill Sans" w:hAnsi="Gill Sans" w:cs="Gill Sans"/>
          <w:sz w:val="22"/>
          <w:szCs w:val="22"/>
          <w:lang w:val="uk-UA"/>
        </w:rPr>
        <w:tab/>
        <w:t>Термін виконання: 31 грудня 2015 р.</w:t>
      </w:r>
    </w:p>
    <w:tbl>
      <w:tblPr>
        <w:tblW w:w="10368"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489"/>
        <w:gridCol w:w="429"/>
        <w:gridCol w:w="349"/>
        <w:gridCol w:w="350"/>
        <w:gridCol w:w="373"/>
        <w:gridCol w:w="372"/>
        <w:gridCol w:w="373"/>
        <w:gridCol w:w="852"/>
        <w:gridCol w:w="340"/>
        <w:gridCol w:w="347"/>
        <w:gridCol w:w="428"/>
        <w:gridCol w:w="347"/>
        <w:gridCol w:w="435"/>
        <w:gridCol w:w="580"/>
        <w:gridCol w:w="532"/>
        <w:gridCol w:w="415"/>
        <w:gridCol w:w="347"/>
        <w:gridCol w:w="344"/>
        <w:gridCol w:w="347"/>
        <w:gridCol w:w="347"/>
        <w:gridCol w:w="584"/>
      </w:tblGrid>
      <w:tr w:rsidR="00E1513A" w:rsidRPr="00257F44" w14:paraId="1DBBE535" w14:textId="77777777" w:rsidTr="00E1513A">
        <w:trPr>
          <w:trHeight w:val="405"/>
        </w:trPr>
        <w:tc>
          <w:tcPr>
            <w:tcW w:w="1388" w:type="dxa"/>
            <w:vMerge w:val="restart"/>
            <w:tcBorders>
              <w:top w:val="single" w:sz="18" w:space="0" w:color="FFFFFF"/>
              <w:left w:val="single" w:sz="4" w:space="0" w:color="FFFFFF"/>
              <w:right w:val="single" w:sz="18" w:space="0" w:color="FFFFFF"/>
            </w:tcBorders>
            <w:shd w:val="clear" w:color="auto" w:fill="000000"/>
          </w:tcPr>
          <w:p w14:paraId="4CC75C0C" w14:textId="3F673C0C" w:rsidR="00E1513A" w:rsidRPr="00257F44" w:rsidRDefault="00E1513A" w:rsidP="0020660D">
            <w:pPr>
              <w:rPr>
                <w:rFonts w:ascii="Gill Sans" w:hAnsi="Gill Sans" w:cs="Gill Sans"/>
                <w:color w:val="FFFFFF" w:themeColor="background1"/>
                <w:sz w:val="22"/>
                <w:szCs w:val="22"/>
                <w:lang w:val="uk-UA"/>
              </w:rPr>
            </w:pPr>
            <w:r w:rsidRPr="00257F44">
              <w:rPr>
                <w:rFonts w:ascii="Gill Sans" w:hAnsi="Gill Sans" w:cs="Gill Sans"/>
                <w:sz w:val="20"/>
                <w:szCs w:val="20"/>
                <w:lang w:val="uk-UA"/>
              </w:rPr>
              <w:t>Опис зобов’язання</w:t>
            </w:r>
          </w:p>
        </w:tc>
        <w:tc>
          <w:tcPr>
            <w:tcW w:w="1617" w:type="dxa"/>
            <w:gridSpan w:val="4"/>
            <w:vMerge w:val="restart"/>
            <w:tcBorders>
              <w:top w:val="single" w:sz="18" w:space="0" w:color="FFFFFF"/>
              <w:left w:val="single" w:sz="18" w:space="0" w:color="FFFFFF"/>
              <w:right w:val="single" w:sz="18" w:space="0" w:color="FFFFFF"/>
            </w:tcBorders>
            <w:shd w:val="clear" w:color="auto" w:fill="D6E3BC"/>
          </w:tcPr>
          <w:p w14:paraId="17230730" w14:textId="5CA49FE2"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Конкретність</w:t>
            </w:r>
          </w:p>
        </w:tc>
        <w:tc>
          <w:tcPr>
            <w:tcW w:w="1970" w:type="dxa"/>
            <w:gridSpan w:val="4"/>
            <w:vMerge w:val="restart"/>
            <w:tcBorders>
              <w:top w:val="single" w:sz="18" w:space="0" w:color="FFFFFF"/>
              <w:left w:val="single" w:sz="18" w:space="0" w:color="FFFFFF"/>
              <w:right w:val="single" w:sz="18" w:space="0" w:color="FFFFFF"/>
            </w:tcBorders>
            <w:shd w:val="clear" w:color="auto" w:fill="FBD4B4"/>
          </w:tcPr>
          <w:p w14:paraId="35D77EAD" w14:textId="53BD6CCA"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Відповідність цінностям ПВУ (як сформульовано)</w:t>
            </w:r>
          </w:p>
        </w:tc>
        <w:tc>
          <w:tcPr>
            <w:tcW w:w="1462" w:type="dxa"/>
            <w:gridSpan w:val="4"/>
            <w:vMerge w:val="restart"/>
            <w:tcBorders>
              <w:top w:val="single" w:sz="18" w:space="0" w:color="FFFFFF"/>
              <w:left w:val="single" w:sz="18" w:space="0" w:color="FFFFFF"/>
              <w:right w:val="single" w:sz="18" w:space="0" w:color="FFFFFF"/>
            </w:tcBorders>
            <w:shd w:val="clear" w:color="auto" w:fill="CCC0D9"/>
          </w:tcPr>
          <w:p w14:paraId="27237C34" w14:textId="0CE66A59"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Потенційний вплив</w:t>
            </w:r>
          </w:p>
        </w:tc>
        <w:tc>
          <w:tcPr>
            <w:tcW w:w="1015" w:type="dxa"/>
            <w:gridSpan w:val="2"/>
            <w:vMerge w:val="restart"/>
            <w:tcBorders>
              <w:top w:val="single" w:sz="18" w:space="0" w:color="FFFFFF"/>
              <w:left w:val="single" w:sz="18" w:space="0" w:color="FFFFFF"/>
              <w:right w:val="single" w:sz="2" w:space="0" w:color="FFFFFF"/>
            </w:tcBorders>
            <w:shd w:val="clear" w:color="auto" w:fill="B8CCE4"/>
          </w:tcPr>
          <w:p w14:paraId="1760AA10" w14:textId="24E00D56"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Стан вико-нання</w:t>
            </w:r>
          </w:p>
        </w:tc>
        <w:tc>
          <w:tcPr>
            <w:tcW w:w="947"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7268F31D" w14:textId="55655C06"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Про-міжний</w:t>
            </w:r>
          </w:p>
        </w:tc>
        <w:tc>
          <w:tcPr>
            <w:tcW w:w="1969" w:type="dxa"/>
            <w:gridSpan w:val="5"/>
            <w:vMerge w:val="restart"/>
            <w:tcBorders>
              <w:top w:val="single" w:sz="18" w:space="0" w:color="FFFFFF"/>
              <w:left w:val="single" w:sz="18" w:space="0" w:color="FFFFFF"/>
              <w:right w:val="single" w:sz="18" w:space="0" w:color="FFFFFF"/>
            </w:tcBorders>
            <w:shd w:val="clear" w:color="auto" w:fill="D99594"/>
          </w:tcPr>
          <w:p w14:paraId="3F438E6E" w14:textId="025AA778"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Чи відкрило це уряд?</w:t>
            </w:r>
          </w:p>
        </w:tc>
      </w:tr>
      <w:tr w:rsidR="0020660D" w:rsidRPr="00257F44" w14:paraId="1D850A25" w14:textId="77777777" w:rsidTr="00E1513A">
        <w:trPr>
          <w:trHeight w:val="373"/>
        </w:trPr>
        <w:tc>
          <w:tcPr>
            <w:tcW w:w="1388" w:type="dxa"/>
            <w:vMerge/>
            <w:tcBorders>
              <w:left w:val="single" w:sz="4" w:space="0" w:color="FFFFFF"/>
              <w:right w:val="single" w:sz="18" w:space="0" w:color="FFFFFF"/>
            </w:tcBorders>
            <w:shd w:val="clear" w:color="auto" w:fill="000000"/>
          </w:tcPr>
          <w:p w14:paraId="4C54F486" w14:textId="7E3C1E71" w:rsidR="0020660D" w:rsidRPr="00257F44" w:rsidRDefault="0020660D" w:rsidP="0020660D">
            <w:pPr>
              <w:rPr>
                <w:rFonts w:ascii="Gill Sans" w:hAnsi="Gill Sans" w:cs="Gill Sans"/>
                <w:color w:val="FFFFFF" w:themeColor="background1"/>
                <w:sz w:val="22"/>
                <w:szCs w:val="22"/>
                <w:lang w:val="uk-UA"/>
              </w:rPr>
            </w:pPr>
          </w:p>
        </w:tc>
        <w:tc>
          <w:tcPr>
            <w:tcW w:w="1617" w:type="dxa"/>
            <w:gridSpan w:val="4"/>
            <w:vMerge/>
            <w:tcBorders>
              <w:left w:val="single" w:sz="18" w:space="0" w:color="FFFFFF"/>
              <w:bottom w:val="single" w:sz="18" w:space="0" w:color="FFFFFF"/>
              <w:right w:val="single" w:sz="18" w:space="0" w:color="FFFFFF"/>
            </w:tcBorders>
            <w:shd w:val="clear" w:color="auto" w:fill="D6E3BC"/>
          </w:tcPr>
          <w:p w14:paraId="7235A373" w14:textId="77777777" w:rsidR="0020660D" w:rsidRPr="00257F44" w:rsidRDefault="0020660D" w:rsidP="0020660D">
            <w:pPr>
              <w:rPr>
                <w:rFonts w:ascii="Gill Sans" w:hAnsi="Gill Sans" w:cs="Gill Sans"/>
                <w:sz w:val="22"/>
                <w:szCs w:val="22"/>
                <w:lang w:val="uk-UA"/>
              </w:rPr>
            </w:pPr>
          </w:p>
        </w:tc>
        <w:tc>
          <w:tcPr>
            <w:tcW w:w="1970" w:type="dxa"/>
            <w:gridSpan w:val="4"/>
            <w:vMerge/>
            <w:tcBorders>
              <w:left w:val="single" w:sz="18" w:space="0" w:color="FFFFFF"/>
              <w:bottom w:val="single" w:sz="18" w:space="0" w:color="FFFFFF"/>
              <w:right w:val="single" w:sz="18" w:space="0" w:color="FFFFFF"/>
            </w:tcBorders>
            <w:shd w:val="clear" w:color="auto" w:fill="FBD4B4"/>
          </w:tcPr>
          <w:p w14:paraId="0ECC6CC4" w14:textId="77777777" w:rsidR="0020660D" w:rsidRPr="00257F44" w:rsidRDefault="0020660D" w:rsidP="0020660D">
            <w:pPr>
              <w:rPr>
                <w:rFonts w:ascii="Gill Sans" w:hAnsi="Gill Sans" w:cs="Gill Sans"/>
                <w:sz w:val="22"/>
                <w:szCs w:val="22"/>
                <w:lang w:val="uk-UA"/>
              </w:rPr>
            </w:pPr>
          </w:p>
        </w:tc>
        <w:tc>
          <w:tcPr>
            <w:tcW w:w="1462" w:type="dxa"/>
            <w:gridSpan w:val="4"/>
            <w:vMerge/>
            <w:tcBorders>
              <w:left w:val="single" w:sz="18" w:space="0" w:color="FFFFFF"/>
              <w:bottom w:val="single" w:sz="18" w:space="0" w:color="FFFFFF"/>
              <w:right w:val="single" w:sz="18" w:space="0" w:color="FFFFFF"/>
            </w:tcBorders>
            <w:shd w:val="clear" w:color="auto" w:fill="CCC0D9"/>
          </w:tcPr>
          <w:p w14:paraId="53754397" w14:textId="77777777" w:rsidR="0020660D" w:rsidRPr="00257F44" w:rsidRDefault="0020660D" w:rsidP="0020660D">
            <w:pPr>
              <w:rPr>
                <w:rFonts w:ascii="Gill Sans" w:hAnsi="Gill Sans" w:cs="Gill Sans"/>
                <w:sz w:val="22"/>
                <w:szCs w:val="22"/>
                <w:lang w:val="uk-UA"/>
              </w:rPr>
            </w:pPr>
          </w:p>
        </w:tc>
        <w:tc>
          <w:tcPr>
            <w:tcW w:w="1015" w:type="dxa"/>
            <w:gridSpan w:val="2"/>
            <w:vMerge/>
            <w:tcBorders>
              <w:left w:val="single" w:sz="18" w:space="0" w:color="FFFFFF"/>
              <w:bottom w:val="single" w:sz="18" w:space="0" w:color="FFFFFF"/>
              <w:right w:val="single" w:sz="2" w:space="0" w:color="FFFFFF"/>
            </w:tcBorders>
            <w:shd w:val="clear" w:color="auto" w:fill="B8CCE4"/>
          </w:tcPr>
          <w:p w14:paraId="54AECE06" w14:textId="77777777" w:rsidR="0020660D" w:rsidRPr="00257F44" w:rsidRDefault="0020660D" w:rsidP="0020660D">
            <w:pPr>
              <w:rPr>
                <w:rFonts w:ascii="Gill Sans" w:hAnsi="Gill Sans" w:cs="Gill Sans"/>
                <w:sz w:val="22"/>
                <w:szCs w:val="22"/>
                <w:lang w:val="uk-UA"/>
              </w:rPr>
            </w:pPr>
          </w:p>
        </w:tc>
        <w:tc>
          <w:tcPr>
            <w:tcW w:w="947"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512291AC" w14:textId="64FD1B50" w:rsidR="0020660D" w:rsidRPr="00257F44" w:rsidRDefault="00E1513A" w:rsidP="0020660D">
            <w:pPr>
              <w:rPr>
                <w:rFonts w:ascii="Gill Sans" w:hAnsi="Gill Sans" w:cs="Gill Sans"/>
                <w:sz w:val="20"/>
                <w:szCs w:val="20"/>
                <w:lang w:val="uk-UA"/>
              </w:rPr>
            </w:pPr>
            <w:r w:rsidRPr="00257F44">
              <w:rPr>
                <w:rFonts w:ascii="Gill Sans" w:hAnsi="Gill Sans" w:cs="Gill Sans"/>
                <w:sz w:val="20"/>
                <w:szCs w:val="20"/>
                <w:lang w:val="uk-UA"/>
              </w:rPr>
              <w:t>Підсум-ковий</w:t>
            </w:r>
          </w:p>
        </w:tc>
        <w:tc>
          <w:tcPr>
            <w:tcW w:w="1969" w:type="dxa"/>
            <w:gridSpan w:val="5"/>
            <w:vMerge/>
            <w:tcBorders>
              <w:left w:val="single" w:sz="18" w:space="0" w:color="FFFFFF"/>
              <w:bottom w:val="single" w:sz="18" w:space="0" w:color="FFFFFF"/>
              <w:right w:val="single" w:sz="18" w:space="0" w:color="FFFFFF"/>
            </w:tcBorders>
            <w:shd w:val="clear" w:color="auto" w:fill="D99594"/>
          </w:tcPr>
          <w:p w14:paraId="363B56FD" w14:textId="77777777" w:rsidR="0020660D" w:rsidRPr="00257F44" w:rsidRDefault="0020660D" w:rsidP="0020660D">
            <w:pPr>
              <w:rPr>
                <w:rFonts w:ascii="Gill Sans" w:hAnsi="Gill Sans" w:cs="Gill Sans"/>
                <w:sz w:val="22"/>
                <w:szCs w:val="22"/>
                <w:lang w:val="uk-UA"/>
              </w:rPr>
            </w:pPr>
          </w:p>
        </w:tc>
      </w:tr>
      <w:tr w:rsidR="00E1513A" w:rsidRPr="00257F44" w14:paraId="34F1665F" w14:textId="77777777" w:rsidTr="009D7923">
        <w:trPr>
          <w:cantSplit/>
          <w:trHeight w:val="2336"/>
        </w:trPr>
        <w:tc>
          <w:tcPr>
            <w:tcW w:w="1388" w:type="dxa"/>
            <w:vMerge/>
            <w:tcBorders>
              <w:left w:val="single" w:sz="4" w:space="0" w:color="FFFFFF"/>
              <w:right w:val="single" w:sz="18" w:space="0" w:color="FFFFFF"/>
            </w:tcBorders>
            <w:shd w:val="clear" w:color="auto" w:fill="000000"/>
          </w:tcPr>
          <w:p w14:paraId="13E2E5F1" w14:textId="033A4F09" w:rsidR="00E1513A" w:rsidRPr="00257F44" w:rsidRDefault="00E1513A" w:rsidP="0020660D">
            <w:pPr>
              <w:rPr>
                <w:rFonts w:ascii="Gill Sans" w:hAnsi="Gill Sans" w:cs="Gill Sans"/>
                <w:color w:val="FFFFFF" w:themeColor="background1"/>
                <w:sz w:val="22"/>
                <w:szCs w:val="22"/>
                <w:lang w:val="uk-UA"/>
              </w:rPr>
            </w:pPr>
          </w:p>
        </w:tc>
        <w:tc>
          <w:tcPr>
            <w:tcW w:w="489"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029C0062" w14:textId="70A2105C"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Відсутня</w:t>
            </w:r>
          </w:p>
        </w:tc>
        <w:tc>
          <w:tcPr>
            <w:tcW w:w="429"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35C75B10" w14:textId="7251660B"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Низька</w:t>
            </w:r>
          </w:p>
        </w:tc>
        <w:tc>
          <w:tcPr>
            <w:tcW w:w="349"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3BFD35C7" w14:textId="0D311DA9"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Середня</w:t>
            </w:r>
          </w:p>
        </w:tc>
        <w:tc>
          <w:tcPr>
            <w:tcW w:w="350"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7C04F047" w14:textId="5C00E505"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Висока</w:t>
            </w:r>
          </w:p>
        </w:tc>
        <w:tc>
          <w:tcPr>
            <w:tcW w:w="373"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6482BD97" w14:textId="38AA9180"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Доступ до інформації</w:t>
            </w:r>
          </w:p>
        </w:tc>
        <w:tc>
          <w:tcPr>
            <w:tcW w:w="372"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06B035FB" w14:textId="4FA0CAE4"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Громадська участь</w:t>
            </w:r>
          </w:p>
        </w:tc>
        <w:tc>
          <w:tcPr>
            <w:tcW w:w="373"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311395C8" w14:textId="66EE6E63"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Підзвітність влади</w:t>
            </w:r>
          </w:p>
        </w:tc>
        <w:tc>
          <w:tcPr>
            <w:tcW w:w="852"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5765EAF4" w14:textId="7F0B2E8D"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Технології та інновації для прозорості й підзвітності</w:t>
            </w:r>
          </w:p>
        </w:tc>
        <w:tc>
          <w:tcPr>
            <w:tcW w:w="340"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7BF36F8C" w14:textId="5837D896"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Жодного</w:t>
            </w:r>
          </w:p>
        </w:tc>
        <w:tc>
          <w:tcPr>
            <w:tcW w:w="347"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450B570E" w14:textId="5F71FF9D"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Незначний</w:t>
            </w:r>
          </w:p>
        </w:tc>
        <w:tc>
          <w:tcPr>
            <w:tcW w:w="428"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5F177E0A" w14:textId="3A4C6452"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Помірний</w:t>
            </w:r>
          </w:p>
        </w:tc>
        <w:tc>
          <w:tcPr>
            <w:tcW w:w="347"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234B2A30" w14:textId="75F0F109"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Трансформуючий</w:t>
            </w:r>
          </w:p>
        </w:tc>
        <w:tc>
          <w:tcPr>
            <w:tcW w:w="435"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159E4423" w14:textId="5CDBF3BC"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Не розпочато</w:t>
            </w:r>
          </w:p>
        </w:tc>
        <w:tc>
          <w:tcPr>
            <w:tcW w:w="580"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73A8BE3D" w14:textId="2B3A83C1"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Обмежене</w:t>
            </w:r>
          </w:p>
        </w:tc>
        <w:tc>
          <w:tcPr>
            <w:tcW w:w="532"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2B972DF6" w14:textId="0BB7202A"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Значне</w:t>
            </w:r>
          </w:p>
        </w:tc>
        <w:tc>
          <w:tcPr>
            <w:tcW w:w="415"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61CAFD53" w14:textId="07177063"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Повне</w:t>
            </w:r>
          </w:p>
        </w:tc>
        <w:tc>
          <w:tcPr>
            <w:tcW w:w="347"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43653384" w14:textId="7B4621CE"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Погіршило</w:t>
            </w:r>
          </w:p>
        </w:tc>
        <w:tc>
          <w:tcPr>
            <w:tcW w:w="344"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C762B0B" w14:textId="2954E21C"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Не змінило</w:t>
            </w:r>
          </w:p>
        </w:tc>
        <w:tc>
          <w:tcPr>
            <w:tcW w:w="347"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7C5E0189" w14:textId="32ABC81A"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Обмежено</w:t>
            </w:r>
          </w:p>
        </w:tc>
        <w:tc>
          <w:tcPr>
            <w:tcW w:w="347"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D6DDBFB" w14:textId="3E68A034"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Значною мірою</w:t>
            </w:r>
          </w:p>
        </w:tc>
        <w:tc>
          <w:tcPr>
            <w:tcW w:w="584"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3A9D05B9" w14:textId="1F015139" w:rsidR="00E1513A" w:rsidRPr="00257F44" w:rsidRDefault="00E1513A" w:rsidP="0020660D">
            <w:pPr>
              <w:rPr>
                <w:rFonts w:ascii="Gill Sans" w:hAnsi="Gill Sans" w:cs="Gill Sans"/>
                <w:sz w:val="22"/>
                <w:szCs w:val="22"/>
                <w:lang w:val="uk-UA"/>
              </w:rPr>
            </w:pPr>
            <w:r w:rsidRPr="00257F44">
              <w:rPr>
                <w:rFonts w:ascii="Gill Sans" w:hAnsi="Gill Sans" w:cs="Gill Sans"/>
                <w:sz w:val="20"/>
                <w:szCs w:val="20"/>
                <w:lang w:val="uk-UA"/>
              </w:rPr>
              <w:t>Визначною мірою</w:t>
            </w:r>
          </w:p>
        </w:tc>
      </w:tr>
      <w:tr w:rsidR="0020660D" w:rsidRPr="00257F44" w14:paraId="7271256F" w14:textId="77777777" w:rsidTr="00E1513A">
        <w:trPr>
          <w:trHeight w:val="340"/>
        </w:trPr>
        <w:tc>
          <w:tcPr>
            <w:tcW w:w="1388" w:type="dxa"/>
            <w:vMerge/>
            <w:tcBorders>
              <w:left w:val="single" w:sz="4" w:space="0" w:color="FFFFFF"/>
              <w:right w:val="single" w:sz="18" w:space="0" w:color="FFFFFF"/>
            </w:tcBorders>
            <w:shd w:val="clear" w:color="auto" w:fill="000000"/>
          </w:tcPr>
          <w:p w14:paraId="2BF10E06" w14:textId="0B4920AF" w:rsidR="0020660D" w:rsidRPr="00257F44" w:rsidRDefault="0020660D" w:rsidP="0020660D">
            <w:pPr>
              <w:rPr>
                <w:rFonts w:ascii="Gill Sans" w:hAnsi="Gill Sans" w:cs="Gill Sans"/>
                <w:noProof/>
                <w:color w:val="FFFFFF" w:themeColor="background1"/>
                <w:sz w:val="22"/>
                <w:szCs w:val="22"/>
                <w:lang w:val="uk-UA"/>
              </w:rPr>
            </w:pPr>
          </w:p>
        </w:tc>
        <w:tc>
          <w:tcPr>
            <w:tcW w:w="489" w:type="dxa"/>
            <w:vMerge w:val="restart"/>
            <w:tcBorders>
              <w:top w:val="single" w:sz="18" w:space="0" w:color="FFFFFF"/>
              <w:left w:val="single" w:sz="18" w:space="0" w:color="FFFFFF"/>
              <w:right w:val="single" w:sz="2" w:space="0" w:color="FFFFFF"/>
            </w:tcBorders>
            <w:shd w:val="clear" w:color="auto" w:fill="D6E3BC"/>
          </w:tcPr>
          <w:p w14:paraId="59B3C8E8" w14:textId="77777777" w:rsidR="0020660D" w:rsidRPr="00257F44" w:rsidRDefault="0020660D" w:rsidP="0020660D">
            <w:pPr>
              <w:rPr>
                <w:rFonts w:ascii="Gill Sans" w:hAnsi="Gill Sans" w:cs="Gill Sans"/>
                <w:sz w:val="22"/>
                <w:szCs w:val="22"/>
                <w:lang w:val="uk-UA"/>
              </w:rPr>
            </w:pPr>
          </w:p>
        </w:tc>
        <w:tc>
          <w:tcPr>
            <w:tcW w:w="429" w:type="dxa"/>
            <w:vMerge w:val="restart"/>
            <w:tcBorders>
              <w:top w:val="single" w:sz="18" w:space="0" w:color="FFFFFF"/>
              <w:left w:val="single" w:sz="2" w:space="0" w:color="FFFFFF"/>
              <w:right w:val="single" w:sz="2" w:space="0" w:color="FFFFFF"/>
            </w:tcBorders>
            <w:shd w:val="clear" w:color="auto" w:fill="D6E3BC"/>
          </w:tcPr>
          <w:p w14:paraId="612F461E" w14:textId="77777777" w:rsidR="0020660D" w:rsidRPr="00257F44" w:rsidRDefault="0020660D" w:rsidP="0020660D">
            <w:pPr>
              <w:rPr>
                <w:rFonts w:ascii="Gill Sans" w:hAnsi="Gill Sans" w:cs="Gill Sans"/>
                <w:sz w:val="22"/>
                <w:szCs w:val="22"/>
                <w:lang w:val="uk-UA"/>
              </w:rPr>
            </w:pPr>
          </w:p>
        </w:tc>
        <w:tc>
          <w:tcPr>
            <w:tcW w:w="349" w:type="dxa"/>
            <w:vMerge w:val="restart"/>
            <w:tcBorders>
              <w:top w:val="single" w:sz="18" w:space="0" w:color="FFFFFF"/>
              <w:left w:val="single" w:sz="2" w:space="0" w:color="FFFFFF"/>
              <w:right w:val="single" w:sz="2" w:space="0" w:color="FFFFFF"/>
            </w:tcBorders>
            <w:shd w:val="clear" w:color="auto" w:fill="D6E3BC"/>
          </w:tcPr>
          <w:p w14:paraId="6DA1E4EE" w14:textId="77777777" w:rsidR="0020660D" w:rsidRPr="00257F44" w:rsidRDefault="0020660D" w:rsidP="0020660D">
            <w:pPr>
              <w:rPr>
                <w:rFonts w:ascii="Zapf Dingbats" w:hAnsi="Zapf Dingbats" w:cs="Gill Sans"/>
                <w:sz w:val="22"/>
                <w:szCs w:val="22"/>
                <w:lang w:val="uk-UA"/>
              </w:rPr>
            </w:pPr>
          </w:p>
        </w:tc>
        <w:tc>
          <w:tcPr>
            <w:tcW w:w="350" w:type="dxa"/>
            <w:vMerge w:val="restart"/>
            <w:tcBorders>
              <w:top w:val="single" w:sz="18" w:space="0" w:color="FFFFFF"/>
              <w:left w:val="single" w:sz="2" w:space="0" w:color="FFFFFF"/>
              <w:right w:val="single" w:sz="18" w:space="0" w:color="FFFFFF"/>
            </w:tcBorders>
            <w:shd w:val="clear" w:color="auto" w:fill="D6E3BC"/>
          </w:tcPr>
          <w:p w14:paraId="76D87E36" w14:textId="77777777" w:rsidR="0020660D" w:rsidRPr="00257F44" w:rsidRDefault="0020660D" w:rsidP="0020660D">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373" w:type="dxa"/>
            <w:vMerge w:val="restart"/>
            <w:tcBorders>
              <w:top w:val="single" w:sz="18" w:space="0" w:color="FFFFFF"/>
              <w:left w:val="single" w:sz="2" w:space="0" w:color="FFFFFF"/>
              <w:right w:val="single" w:sz="2" w:space="0" w:color="FFFFFF"/>
            </w:tcBorders>
            <w:shd w:val="clear" w:color="auto" w:fill="FBD4B4"/>
          </w:tcPr>
          <w:p w14:paraId="6A6ED247" w14:textId="77777777" w:rsidR="0020660D" w:rsidRPr="00257F44" w:rsidRDefault="0020660D" w:rsidP="0020660D">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72" w:type="dxa"/>
            <w:vMerge w:val="restart"/>
            <w:tcBorders>
              <w:top w:val="single" w:sz="18" w:space="0" w:color="FFFFFF"/>
              <w:left w:val="single" w:sz="2" w:space="0" w:color="FFFFFF"/>
              <w:right w:val="single" w:sz="2" w:space="0" w:color="FFFFFF"/>
            </w:tcBorders>
            <w:shd w:val="clear" w:color="auto" w:fill="FBD4B4"/>
          </w:tcPr>
          <w:p w14:paraId="3885E6F4" w14:textId="77777777" w:rsidR="0020660D" w:rsidRPr="00257F44" w:rsidRDefault="0020660D" w:rsidP="0020660D">
            <w:pPr>
              <w:rPr>
                <w:rFonts w:ascii="Zapf Dingbats" w:hAnsi="Zapf Dingbats" w:cs="Gill Sans"/>
                <w:noProof/>
                <w:sz w:val="22"/>
                <w:szCs w:val="22"/>
                <w:lang w:val="uk-UA"/>
              </w:rPr>
            </w:pPr>
          </w:p>
        </w:tc>
        <w:tc>
          <w:tcPr>
            <w:tcW w:w="373" w:type="dxa"/>
            <w:vMerge w:val="restart"/>
            <w:tcBorders>
              <w:top w:val="single" w:sz="18" w:space="0" w:color="FFFFFF"/>
              <w:left w:val="single" w:sz="2" w:space="0" w:color="FFFFFF"/>
              <w:right w:val="single" w:sz="2" w:space="0" w:color="FFFFFF"/>
            </w:tcBorders>
            <w:shd w:val="clear" w:color="auto" w:fill="FBD4B4"/>
          </w:tcPr>
          <w:p w14:paraId="03F9ED78" w14:textId="287C6736" w:rsidR="0020660D" w:rsidRPr="00257F44" w:rsidRDefault="0020660D" w:rsidP="0020660D">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852" w:type="dxa"/>
            <w:vMerge w:val="restart"/>
            <w:tcBorders>
              <w:top w:val="single" w:sz="18" w:space="0" w:color="FFFFFF"/>
              <w:left w:val="single" w:sz="2" w:space="0" w:color="FFFFFF"/>
              <w:right w:val="single" w:sz="18" w:space="0" w:color="FFFFFF"/>
            </w:tcBorders>
            <w:shd w:val="clear" w:color="auto" w:fill="FBD4B4"/>
          </w:tcPr>
          <w:p w14:paraId="2617CB5E" w14:textId="77777777" w:rsidR="0020660D" w:rsidRPr="00257F44" w:rsidRDefault="0020660D" w:rsidP="0020660D">
            <w:pPr>
              <w:rPr>
                <w:rFonts w:ascii="Zapf Dingbats" w:hAnsi="Zapf Dingbats" w:cs="Gill Sans"/>
                <w:sz w:val="22"/>
                <w:szCs w:val="22"/>
                <w:lang w:val="uk-UA"/>
              </w:rPr>
            </w:pPr>
          </w:p>
        </w:tc>
        <w:tc>
          <w:tcPr>
            <w:tcW w:w="340" w:type="dxa"/>
            <w:vMerge w:val="restart"/>
            <w:tcBorders>
              <w:top w:val="single" w:sz="18" w:space="0" w:color="FFFFFF"/>
              <w:left w:val="single" w:sz="18" w:space="0" w:color="FFFFFF"/>
              <w:right w:val="single" w:sz="2" w:space="0" w:color="FFFFFF"/>
            </w:tcBorders>
            <w:shd w:val="clear" w:color="auto" w:fill="CCC0D9"/>
          </w:tcPr>
          <w:p w14:paraId="79E1A684" w14:textId="77777777" w:rsidR="0020660D" w:rsidRPr="00257F44" w:rsidRDefault="0020660D" w:rsidP="0020660D">
            <w:pPr>
              <w:rPr>
                <w:rFonts w:ascii="Zapf Dingbats" w:hAnsi="Zapf Dingbats" w:cs="Gill Sans"/>
                <w:sz w:val="22"/>
                <w:szCs w:val="22"/>
                <w:lang w:val="uk-UA"/>
              </w:rPr>
            </w:pPr>
          </w:p>
        </w:tc>
        <w:tc>
          <w:tcPr>
            <w:tcW w:w="347" w:type="dxa"/>
            <w:vMerge w:val="restart"/>
            <w:tcBorders>
              <w:top w:val="single" w:sz="18" w:space="0" w:color="FFFFFF"/>
              <w:left w:val="single" w:sz="2" w:space="0" w:color="FFFFFF"/>
              <w:right w:val="single" w:sz="2" w:space="0" w:color="FFFFFF"/>
            </w:tcBorders>
            <w:shd w:val="clear" w:color="auto" w:fill="CCC0D9"/>
          </w:tcPr>
          <w:p w14:paraId="60BE2032" w14:textId="77777777" w:rsidR="0020660D" w:rsidRPr="00257F44" w:rsidRDefault="0020660D" w:rsidP="0020660D">
            <w:pPr>
              <w:rPr>
                <w:rFonts w:ascii="Zapf Dingbats" w:hAnsi="Zapf Dingbats" w:cs="Gill Sans"/>
                <w:sz w:val="22"/>
                <w:szCs w:val="22"/>
                <w:lang w:val="uk-UA"/>
              </w:rPr>
            </w:pPr>
          </w:p>
        </w:tc>
        <w:tc>
          <w:tcPr>
            <w:tcW w:w="428" w:type="dxa"/>
            <w:vMerge w:val="restart"/>
            <w:tcBorders>
              <w:top w:val="single" w:sz="18" w:space="0" w:color="FFFFFF"/>
              <w:left w:val="single" w:sz="2" w:space="0" w:color="FFFFFF"/>
              <w:right w:val="single" w:sz="2" w:space="0" w:color="FFFFFF"/>
            </w:tcBorders>
            <w:shd w:val="clear" w:color="auto" w:fill="CCC0D9"/>
          </w:tcPr>
          <w:p w14:paraId="78E5FCF2" w14:textId="77777777" w:rsidR="0020660D" w:rsidRPr="00257F44" w:rsidRDefault="0020660D" w:rsidP="0020660D">
            <w:pPr>
              <w:rPr>
                <w:rFonts w:ascii="Zapf Dingbats" w:hAnsi="Zapf Dingbats" w:cs="Gill Sans"/>
                <w:noProof/>
                <w:sz w:val="22"/>
                <w:szCs w:val="22"/>
                <w:lang w:val="uk-UA"/>
              </w:rPr>
            </w:pPr>
          </w:p>
        </w:tc>
        <w:tc>
          <w:tcPr>
            <w:tcW w:w="347" w:type="dxa"/>
            <w:vMerge w:val="restart"/>
            <w:tcBorders>
              <w:top w:val="single" w:sz="18" w:space="0" w:color="FFFFFF"/>
              <w:left w:val="single" w:sz="2" w:space="0" w:color="FFFFFF"/>
              <w:right w:val="single" w:sz="18" w:space="0" w:color="FFFFFF"/>
            </w:tcBorders>
            <w:shd w:val="clear" w:color="auto" w:fill="CCC0D9"/>
          </w:tcPr>
          <w:p w14:paraId="2A25C780" w14:textId="77777777" w:rsidR="0020660D" w:rsidRPr="00257F44" w:rsidRDefault="0020660D" w:rsidP="0020660D">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35"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06634F72" w14:textId="77777777" w:rsidR="0020660D" w:rsidRPr="00257F44" w:rsidRDefault="0020660D" w:rsidP="0020660D">
            <w:pPr>
              <w:rPr>
                <w:rFonts w:ascii="Zapf Dingbats" w:hAnsi="Zapf Dingbats" w:cs="Gill Sans"/>
                <w:sz w:val="22"/>
                <w:szCs w:val="22"/>
                <w:lang w:val="uk-UA"/>
              </w:rPr>
            </w:pPr>
          </w:p>
        </w:tc>
        <w:tc>
          <w:tcPr>
            <w:tcW w:w="580"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2AEB8901" w14:textId="77777777" w:rsidR="0020660D" w:rsidRPr="00257F44" w:rsidRDefault="0020660D" w:rsidP="0020660D">
            <w:pPr>
              <w:rPr>
                <w:rFonts w:ascii="Zapf Dingbats" w:hAnsi="Zapf Dingbats" w:cs="Gill Sans"/>
                <w:sz w:val="22"/>
                <w:szCs w:val="22"/>
                <w:lang w:val="uk-UA"/>
              </w:rPr>
            </w:pPr>
          </w:p>
        </w:tc>
        <w:tc>
          <w:tcPr>
            <w:tcW w:w="532"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28F3B4DF" w14:textId="57B1B93A" w:rsidR="0020660D" w:rsidRPr="00257F44" w:rsidRDefault="0020660D" w:rsidP="0020660D">
            <w:pPr>
              <w:rPr>
                <w:rFonts w:ascii="Zapf Dingbats" w:hAnsi="Zapf Dingbats" w:cs="Gill Sans"/>
                <w:sz w:val="22"/>
                <w:szCs w:val="22"/>
                <w:lang w:val="uk-UA"/>
              </w:rPr>
            </w:pPr>
          </w:p>
        </w:tc>
        <w:tc>
          <w:tcPr>
            <w:tcW w:w="415"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286E89C2" w14:textId="581BD63D" w:rsidR="0020660D" w:rsidRPr="00257F44" w:rsidRDefault="0020660D" w:rsidP="0020660D">
            <w:pPr>
              <w:rPr>
                <w:rFonts w:ascii="Gill Sans" w:hAnsi="Gill Sans" w:cs="Gill Sans"/>
                <w:sz w:val="22"/>
                <w:szCs w:val="22"/>
                <w:lang w:val="uk-UA"/>
              </w:rPr>
            </w:pPr>
            <w:r w:rsidRPr="00257F44">
              <w:rPr>
                <w:rFonts w:ascii="Zapf Dingbats" w:eastAsia="MS Mincho" w:hAnsi="Zapf Dingbats" w:cs="MS Mincho"/>
                <w:noProof/>
                <w:sz w:val="22"/>
                <w:szCs w:val="22"/>
                <w:lang w:val="uk-UA"/>
              </w:rPr>
              <w:t>✔</w:t>
            </w:r>
          </w:p>
        </w:tc>
        <w:tc>
          <w:tcPr>
            <w:tcW w:w="347" w:type="dxa"/>
            <w:vMerge w:val="restart"/>
            <w:tcBorders>
              <w:top w:val="single" w:sz="18" w:space="0" w:color="FFFFFF"/>
              <w:left w:val="single" w:sz="18" w:space="0" w:color="FFFFFF"/>
              <w:right w:val="single" w:sz="2" w:space="0" w:color="FFFFFF"/>
            </w:tcBorders>
            <w:shd w:val="clear" w:color="auto" w:fill="D99594"/>
          </w:tcPr>
          <w:p w14:paraId="33A79A8A" w14:textId="77777777" w:rsidR="0020660D" w:rsidRPr="00257F44" w:rsidRDefault="0020660D" w:rsidP="0020660D">
            <w:pPr>
              <w:rPr>
                <w:rFonts w:ascii="Gill Sans" w:hAnsi="Gill Sans" w:cs="Gill Sans"/>
                <w:sz w:val="22"/>
                <w:szCs w:val="22"/>
                <w:lang w:val="uk-UA"/>
              </w:rPr>
            </w:pPr>
          </w:p>
        </w:tc>
        <w:tc>
          <w:tcPr>
            <w:tcW w:w="344" w:type="dxa"/>
            <w:vMerge w:val="restart"/>
            <w:tcBorders>
              <w:top w:val="single" w:sz="18" w:space="0" w:color="FFFFFF"/>
              <w:left w:val="single" w:sz="2" w:space="0" w:color="FFFFFF"/>
              <w:right w:val="single" w:sz="2" w:space="0" w:color="FFFFFF"/>
            </w:tcBorders>
            <w:shd w:val="clear" w:color="auto" w:fill="D99594"/>
          </w:tcPr>
          <w:p w14:paraId="3FE0696A" w14:textId="03E7F7D7" w:rsidR="0020660D" w:rsidRPr="00257F44" w:rsidRDefault="0020660D" w:rsidP="0020660D">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47" w:type="dxa"/>
            <w:vMerge w:val="restart"/>
            <w:tcBorders>
              <w:top w:val="single" w:sz="18" w:space="0" w:color="FFFFFF"/>
              <w:left w:val="single" w:sz="2" w:space="0" w:color="FFFFFF"/>
              <w:right w:val="single" w:sz="2" w:space="0" w:color="FFFFFF"/>
            </w:tcBorders>
            <w:shd w:val="clear" w:color="auto" w:fill="D99594"/>
          </w:tcPr>
          <w:p w14:paraId="1F38D3B6" w14:textId="77777777" w:rsidR="0020660D" w:rsidRPr="00257F44" w:rsidRDefault="0020660D" w:rsidP="0020660D">
            <w:pPr>
              <w:rPr>
                <w:rFonts w:ascii="Gill Sans" w:hAnsi="Gill Sans" w:cs="Gill Sans"/>
                <w:sz w:val="22"/>
                <w:szCs w:val="22"/>
                <w:lang w:val="uk-UA"/>
              </w:rPr>
            </w:pPr>
          </w:p>
        </w:tc>
        <w:tc>
          <w:tcPr>
            <w:tcW w:w="347" w:type="dxa"/>
            <w:vMerge w:val="restart"/>
            <w:tcBorders>
              <w:top w:val="single" w:sz="18" w:space="0" w:color="FFFFFF"/>
              <w:left w:val="single" w:sz="2" w:space="0" w:color="FFFFFF"/>
              <w:right w:val="single" w:sz="2" w:space="0" w:color="FFFFFF"/>
            </w:tcBorders>
            <w:shd w:val="clear" w:color="auto" w:fill="D99594"/>
          </w:tcPr>
          <w:p w14:paraId="621EBC8A" w14:textId="77777777" w:rsidR="0020660D" w:rsidRPr="00257F44" w:rsidRDefault="0020660D" w:rsidP="0020660D">
            <w:pPr>
              <w:rPr>
                <w:rFonts w:ascii="Gill Sans" w:hAnsi="Gill Sans" w:cs="Gill Sans"/>
                <w:noProof/>
                <w:sz w:val="22"/>
                <w:szCs w:val="22"/>
                <w:lang w:val="uk-UA"/>
              </w:rPr>
            </w:pPr>
          </w:p>
        </w:tc>
        <w:tc>
          <w:tcPr>
            <w:tcW w:w="584" w:type="dxa"/>
            <w:vMerge w:val="restart"/>
            <w:tcBorders>
              <w:top w:val="single" w:sz="18" w:space="0" w:color="FFFFFF"/>
              <w:left w:val="single" w:sz="2" w:space="0" w:color="FFFFFF"/>
              <w:right w:val="single" w:sz="18" w:space="0" w:color="FFFFFF"/>
            </w:tcBorders>
            <w:shd w:val="clear" w:color="auto" w:fill="D99594"/>
          </w:tcPr>
          <w:p w14:paraId="5033E8A7" w14:textId="47903FAF" w:rsidR="0020660D" w:rsidRPr="00257F44" w:rsidRDefault="0020660D" w:rsidP="0020660D">
            <w:pPr>
              <w:rPr>
                <w:rFonts w:ascii="Gill Sans" w:hAnsi="Gill Sans" w:cs="Gill Sans"/>
                <w:sz w:val="22"/>
                <w:szCs w:val="22"/>
                <w:lang w:val="uk-UA"/>
              </w:rPr>
            </w:pPr>
          </w:p>
        </w:tc>
      </w:tr>
      <w:tr w:rsidR="0020660D" w:rsidRPr="00257F44" w14:paraId="259088B2" w14:textId="77777777" w:rsidTr="00E1513A">
        <w:trPr>
          <w:trHeight w:val="340"/>
        </w:trPr>
        <w:tc>
          <w:tcPr>
            <w:tcW w:w="1388" w:type="dxa"/>
            <w:vMerge/>
            <w:tcBorders>
              <w:left w:val="single" w:sz="4" w:space="0" w:color="FFFFFF"/>
              <w:right w:val="single" w:sz="18" w:space="0" w:color="FFFFFF"/>
            </w:tcBorders>
            <w:shd w:val="clear" w:color="auto" w:fill="000000"/>
          </w:tcPr>
          <w:p w14:paraId="79B5FA33" w14:textId="77777777" w:rsidR="0020660D" w:rsidRPr="00257F44" w:rsidRDefault="0020660D" w:rsidP="0020660D">
            <w:pPr>
              <w:rPr>
                <w:rFonts w:ascii="Gill Sans" w:hAnsi="Gill Sans" w:cs="Gill Sans"/>
                <w:color w:val="FFFFFF" w:themeColor="background1"/>
                <w:sz w:val="22"/>
                <w:szCs w:val="22"/>
                <w:lang w:val="uk-UA"/>
              </w:rPr>
            </w:pPr>
          </w:p>
        </w:tc>
        <w:tc>
          <w:tcPr>
            <w:tcW w:w="489" w:type="dxa"/>
            <w:vMerge/>
            <w:tcBorders>
              <w:left w:val="single" w:sz="18" w:space="0" w:color="FFFFFF"/>
              <w:right w:val="single" w:sz="2" w:space="0" w:color="FFFFFF"/>
            </w:tcBorders>
            <w:shd w:val="clear" w:color="auto" w:fill="D6E3BC"/>
          </w:tcPr>
          <w:p w14:paraId="554C5F80" w14:textId="77777777" w:rsidR="0020660D" w:rsidRPr="00257F44" w:rsidRDefault="0020660D" w:rsidP="0020660D">
            <w:pPr>
              <w:rPr>
                <w:rFonts w:ascii="Gill Sans" w:hAnsi="Gill Sans" w:cs="Gill Sans"/>
                <w:sz w:val="22"/>
                <w:szCs w:val="22"/>
                <w:lang w:val="uk-UA"/>
              </w:rPr>
            </w:pPr>
          </w:p>
        </w:tc>
        <w:tc>
          <w:tcPr>
            <w:tcW w:w="429" w:type="dxa"/>
            <w:vMerge/>
            <w:tcBorders>
              <w:left w:val="single" w:sz="2" w:space="0" w:color="FFFFFF"/>
              <w:right w:val="single" w:sz="2" w:space="0" w:color="FFFFFF"/>
            </w:tcBorders>
            <w:shd w:val="clear" w:color="auto" w:fill="D6E3BC"/>
          </w:tcPr>
          <w:p w14:paraId="6DF89DC5" w14:textId="77777777" w:rsidR="0020660D" w:rsidRPr="00257F44" w:rsidRDefault="0020660D" w:rsidP="0020660D">
            <w:pPr>
              <w:rPr>
                <w:rFonts w:ascii="Gill Sans" w:hAnsi="Gill Sans" w:cs="Gill Sans"/>
                <w:sz w:val="22"/>
                <w:szCs w:val="22"/>
                <w:lang w:val="uk-UA"/>
              </w:rPr>
            </w:pPr>
          </w:p>
        </w:tc>
        <w:tc>
          <w:tcPr>
            <w:tcW w:w="349" w:type="dxa"/>
            <w:vMerge/>
            <w:tcBorders>
              <w:left w:val="single" w:sz="2" w:space="0" w:color="FFFFFF"/>
              <w:right w:val="single" w:sz="2" w:space="0" w:color="FFFFFF"/>
            </w:tcBorders>
            <w:shd w:val="clear" w:color="auto" w:fill="D6E3BC"/>
          </w:tcPr>
          <w:p w14:paraId="75C97A76" w14:textId="77777777" w:rsidR="0020660D" w:rsidRPr="00257F44" w:rsidRDefault="0020660D" w:rsidP="0020660D">
            <w:pPr>
              <w:rPr>
                <w:rFonts w:ascii="Zapf Dingbats" w:hAnsi="Zapf Dingbats" w:cs="Gill Sans"/>
                <w:sz w:val="22"/>
                <w:szCs w:val="22"/>
                <w:lang w:val="uk-UA"/>
              </w:rPr>
            </w:pPr>
          </w:p>
        </w:tc>
        <w:tc>
          <w:tcPr>
            <w:tcW w:w="350" w:type="dxa"/>
            <w:vMerge/>
            <w:tcBorders>
              <w:left w:val="single" w:sz="2" w:space="0" w:color="FFFFFF"/>
              <w:right w:val="single" w:sz="18" w:space="0" w:color="FFFFFF"/>
            </w:tcBorders>
            <w:shd w:val="clear" w:color="auto" w:fill="D6E3BC"/>
          </w:tcPr>
          <w:p w14:paraId="4D6BF049" w14:textId="77777777" w:rsidR="0020660D" w:rsidRPr="00257F44" w:rsidRDefault="0020660D" w:rsidP="0020660D">
            <w:pPr>
              <w:rPr>
                <w:rFonts w:ascii="Zapf Dingbats" w:hAnsi="Zapf Dingbats" w:cs="Gill Sans"/>
                <w:noProof/>
                <w:sz w:val="22"/>
                <w:szCs w:val="22"/>
                <w:lang w:val="uk-UA"/>
              </w:rPr>
            </w:pPr>
          </w:p>
        </w:tc>
        <w:tc>
          <w:tcPr>
            <w:tcW w:w="373" w:type="dxa"/>
            <w:vMerge/>
            <w:tcBorders>
              <w:left w:val="single" w:sz="2" w:space="0" w:color="FFFFFF"/>
              <w:right w:val="single" w:sz="2" w:space="0" w:color="FFFFFF"/>
            </w:tcBorders>
            <w:shd w:val="clear" w:color="auto" w:fill="FBD4B4"/>
          </w:tcPr>
          <w:p w14:paraId="40EDFE41" w14:textId="77777777" w:rsidR="0020660D" w:rsidRPr="00257F44" w:rsidRDefault="0020660D" w:rsidP="0020660D">
            <w:pPr>
              <w:rPr>
                <w:rFonts w:ascii="Zapf Dingbats" w:hAnsi="Zapf Dingbats" w:cs="Gill Sans"/>
                <w:sz w:val="22"/>
                <w:szCs w:val="22"/>
                <w:lang w:val="uk-UA"/>
              </w:rPr>
            </w:pPr>
          </w:p>
        </w:tc>
        <w:tc>
          <w:tcPr>
            <w:tcW w:w="372" w:type="dxa"/>
            <w:vMerge/>
            <w:tcBorders>
              <w:left w:val="single" w:sz="2" w:space="0" w:color="FFFFFF"/>
              <w:right w:val="single" w:sz="2" w:space="0" w:color="FFFFFF"/>
            </w:tcBorders>
            <w:shd w:val="clear" w:color="auto" w:fill="FBD4B4"/>
          </w:tcPr>
          <w:p w14:paraId="053FE65F" w14:textId="77777777" w:rsidR="0020660D" w:rsidRPr="00257F44" w:rsidRDefault="0020660D" w:rsidP="0020660D">
            <w:pPr>
              <w:rPr>
                <w:rFonts w:ascii="Zapf Dingbats" w:hAnsi="Zapf Dingbats" w:cs="Gill Sans"/>
                <w:noProof/>
                <w:sz w:val="22"/>
                <w:szCs w:val="22"/>
                <w:lang w:val="uk-UA"/>
              </w:rPr>
            </w:pPr>
          </w:p>
        </w:tc>
        <w:tc>
          <w:tcPr>
            <w:tcW w:w="373" w:type="dxa"/>
            <w:vMerge/>
            <w:tcBorders>
              <w:left w:val="single" w:sz="2" w:space="0" w:color="FFFFFF"/>
              <w:right w:val="single" w:sz="2" w:space="0" w:color="FFFFFF"/>
            </w:tcBorders>
            <w:shd w:val="clear" w:color="auto" w:fill="FBD4B4"/>
          </w:tcPr>
          <w:p w14:paraId="7F758D6B" w14:textId="77777777" w:rsidR="0020660D" w:rsidRPr="00257F44" w:rsidRDefault="0020660D" w:rsidP="0020660D">
            <w:pPr>
              <w:rPr>
                <w:rFonts w:ascii="Zapf Dingbats" w:hAnsi="Zapf Dingbats" w:cs="Gill Sans"/>
                <w:noProof/>
                <w:sz w:val="22"/>
                <w:szCs w:val="22"/>
                <w:lang w:val="uk-UA"/>
              </w:rPr>
            </w:pPr>
          </w:p>
        </w:tc>
        <w:tc>
          <w:tcPr>
            <w:tcW w:w="852" w:type="dxa"/>
            <w:vMerge/>
            <w:tcBorders>
              <w:left w:val="single" w:sz="2" w:space="0" w:color="FFFFFF"/>
              <w:right w:val="single" w:sz="18" w:space="0" w:color="FFFFFF"/>
            </w:tcBorders>
            <w:shd w:val="clear" w:color="auto" w:fill="FBD4B4"/>
          </w:tcPr>
          <w:p w14:paraId="5BBF49F1" w14:textId="77777777" w:rsidR="0020660D" w:rsidRPr="00257F44" w:rsidRDefault="0020660D" w:rsidP="0020660D">
            <w:pPr>
              <w:rPr>
                <w:rFonts w:ascii="Zapf Dingbats" w:hAnsi="Zapf Dingbats" w:cs="Gill Sans"/>
                <w:sz w:val="22"/>
                <w:szCs w:val="22"/>
                <w:lang w:val="uk-UA"/>
              </w:rPr>
            </w:pPr>
          </w:p>
        </w:tc>
        <w:tc>
          <w:tcPr>
            <w:tcW w:w="340" w:type="dxa"/>
            <w:vMerge/>
            <w:tcBorders>
              <w:left w:val="single" w:sz="18" w:space="0" w:color="FFFFFF"/>
              <w:right w:val="single" w:sz="2" w:space="0" w:color="FFFFFF"/>
            </w:tcBorders>
            <w:shd w:val="clear" w:color="auto" w:fill="CCC0D9"/>
          </w:tcPr>
          <w:p w14:paraId="548476FE" w14:textId="77777777" w:rsidR="0020660D" w:rsidRPr="00257F44" w:rsidRDefault="0020660D" w:rsidP="0020660D">
            <w:pPr>
              <w:rPr>
                <w:rFonts w:ascii="Zapf Dingbats" w:hAnsi="Zapf Dingbats" w:cs="Gill Sans"/>
                <w:sz w:val="22"/>
                <w:szCs w:val="22"/>
                <w:lang w:val="uk-UA"/>
              </w:rPr>
            </w:pPr>
          </w:p>
        </w:tc>
        <w:tc>
          <w:tcPr>
            <w:tcW w:w="347" w:type="dxa"/>
            <w:vMerge/>
            <w:tcBorders>
              <w:left w:val="single" w:sz="2" w:space="0" w:color="FFFFFF"/>
              <w:right w:val="single" w:sz="2" w:space="0" w:color="FFFFFF"/>
            </w:tcBorders>
            <w:shd w:val="clear" w:color="auto" w:fill="CCC0D9"/>
          </w:tcPr>
          <w:p w14:paraId="78D5E34F" w14:textId="77777777" w:rsidR="0020660D" w:rsidRPr="00257F44" w:rsidRDefault="0020660D" w:rsidP="0020660D">
            <w:pPr>
              <w:rPr>
                <w:rFonts w:ascii="Zapf Dingbats" w:hAnsi="Zapf Dingbats" w:cs="Gill Sans"/>
                <w:sz w:val="22"/>
                <w:szCs w:val="22"/>
                <w:lang w:val="uk-UA"/>
              </w:rPr>
            </w:pPr>
          </w:p>
        </w:tc>
        <w:tc>
          <w:tcPr>
            <w:tcW w:w="428" w:type="dxa"/>
            <w:vMerge/>
            <w:tcBorders>
              <w:left w:val="single" w:sz="2" w:space="0" w:color="FFFFFF"/>
              <w:right w:val="single" w:sz="2" w:space="0" w:color="FFFFFF"/>
            </w:tcBorders>
            <w:shd w:val="clear" w:color="auto" w:fill="CCC0D9"/>
          </w:tcPr>
          <w:p w14:paraId="407E4343" w14:textId="77777777" w:rsidR="0020660D" w:rsidRPr="00257F44" w:rsidRDefault="0020660D" w:rsidP="0020660D">
            <w:pPr>
              <w:rPr>
                <w:rFonts w:ascii="Zapf Dingbats" w:hAnsi="Zapf Dingbats" w:cs="Gill Sans"/>
                <w:noProof/>
                <w:sz w:val="22"/>
                <w:szCs w:val="22"/>
                <w:lang w:val="uk-UA"/>
              </w:rPr>
            </w:pPr>
          </w:p>
        </w:tc>
        <w:tc>
          <w:tcPr>
            <w:tcW w:w="347" w:type="dxa"/>
            <w:vMerge/>
            <w:tcBorders>
              <w:left w:val="single" w:sz="2" w:space="0" w:color="FFFFFF"/>
              <w:right w:val="single" w:sz="18" w:space="0" w:color="FFFFFF"/>
            </w:tcBorders>
            <w:shd w:val="clear" w:color="auto" w:fill="CCC0D9"/>
          </w:tcPr>
          <w:p w14:paraId="46E73B07" w14:textId="77777777" w:rsidR="0020660D" w:rsidRPr="00257F44" w:rsidRDefault="0020660D" w:rsidP="0020660D">
            <w:pPr>
              <w:rPr>
                <w:rFonts w:ascii="Zapf Dingbats" w:hAnsi="Zapf Dingbats" w:cs="Gill Sans"/>
                <w:sz w:val="22"/>
                <w:szCs w:val="22"/>
                <w:lang w:val="uk-UA"/>
              </w:rPr>
            </w:pPr>
          </w:p>
        </w:tc>
        <w:tc>
          <w:tcPr>
            <w:tcW w:w="435"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2FD065A5" w14:textId="77777777" w:rsidR="0020660D" w:rsidRPr="00257F44" w:rsidRDefault="0020660D" w:rsidP="0020660D">
            <w:pPr>
              <w:rPr>
                <w:rFonts w:ascii="Zapf Dingbats" w:hAnsi="Zapf Dingbats" w:cs="Gill Sans"/>
                <w:sz w:val="22"/>
                <w:szCs w:val="22"/>
                <w:lang w:val="uk-UA"/>
              </w:rPr>
            </w:pPr>
          </w:p>
        </w:tc>
        <w:tc>
          <w:tcPr>
            <w:tcW w:w="580"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68D82635" w14:textId="77777777" w:rsidR="0020660D" w:rsidRPr="00257F44" w:rsidRDefault="0020660D" w:rsidP="0020660D">
            <w:pPr>
              <w:rPr>
                <w:rFonts w:ascii="Zapf Dingbats" w:hAnsi="Zapf Dingbats" w:cs="Gill Sans"/>
                <w:sz w:val="22"/>
                <w:szCs w:val="22"/>
                <w:lang w:val="uk-UA"/>
              </w:rPr>
            </w:pPr>
          </w:p>
        </w:tc>
        <w:tc>
          <w:tcPr>
            <w:tcW w:w="532"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473EB318" w14:textId="2C865F94" w:rsidR="0020660D" w:rsidRPr="00257F44" w:rsidRDefault="0020660D" w:rsidP="0020660D">
            <w:pPr>
              <w:rPr>
                <w:rFonts w:ascii="Zapf Dingbats" w:hAnsi="Zapf Dingbats" w:cs="Gill Sans"/>
                <w:sz w:val="22"/>
                <w:szCs w:val="22"/>
                <w:lang w:val="uk-UA"/>
              </w:rPr>
            </w:pPr>
          </w:p>
        </w:tc>
        <w:tc>
          <w:tcPr>
            <w:tcW w:w="415"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4B697284" w14:textId="3A0D6EE2" w:rsidR="0020660D" w:rsidRPr="00257F44" w:rsidRDefault="0020660D" w:rsidP="0020660D">
            <w:pPr>
              <w:jc w:val="center"/>
              <w:rPr>
                <w:rFonts w:ascii="Gill Sans" w:hAnsi="Gill Sans" w:cs="Gill Sans"/>
                <w:sz w:val="22"/>
                <w:szCs w:val="22"/>
                <w:lang w:val="uk-UA"/>
              </w:rPr>
            </w:pPr>
            <w:r w:rsidRPr="00257F44">
              <w:rPr>
                <w:rFonts w:ascii="Zapf Dingbats" w:eastAsia="MS Mincho" w:hAnsi="Zapf Dingbats" w:cs="MS Mincho"/>
                <w:noProof/>
                <w:sz w:val="22"/>
                <w:szCs w:val="22"/>
                <w:lang w:val="uk-UA"/>
              </w:rPr>
              <w:t>✔</w:t>
            </w:r>
          </w:p>
        </w:tc>
        <w:tc>
          <w:tcPr>
            <w:tcW w:w="347" w:type="dxa"/>
            <w:vMerge/>
            <w:tcBorders>
              <w:left w:val="single" w:sz="18" w:space="0" w:color="FFFFFF"/>
              <w:right w:val="single" w:sz="2" w:space="0" w:color="FFFFFF"/>
            </w:tcBorders>
            <w:shd w:val="clear" w:color="auto" w:fill="D99594"/>
          </w:tcPr>
          <w:p w14:paraId="275B00C8" w14:textId="77777777" w:rsidR="0020660D" w:rsidRPr="00257F44" w:rsidRDefault="0020660D" w:rsidP="0020660D">
            <w:pPr>
              <w:rPr>
                <w:rFonts w:ascii="Gill Sans" w:hAnsi="Gill Sans" w:cs="Gill Sans"/>
                <w:sz w:val="22"/>
                <w:szCs w:val="22"/>
                <w:lang w:val="uk-UA"/>
              </w:rPr>
            </w:pPr>
          </w:p>
        </w:tc>
        <w:tc>
          <w:tcPr>
            <w:tcW w:w="344" w:type="dxa"/>
            <w:vMerge/>
            <w:tcBorders>
              <w:left w:val="single" w:sz="2" w:space="0" w:color="FFFFFF"/>
              <w:right w:val="single" w:sz="2" w:space="0" w:color="FFFFFF"/>
            </w:tcBorders>
            <w:shd w:val="clear" w:color="auto" w:fill="D99594"/>
          </w:tcPr>
          <w:p w14:paraId="6939AF6D" w14:textId="77777777" w:rsidR="0020660D" w:rsidRPr="00257F44" w:rsidRDefault="0020660D" w:rsidP="0020660D">
            <w:pPr>
              <w:rPr>
                <w:rFonts w:ascii="Gill Sans" w:hAnsi="Gill Sans" w:cs="Gill Sans"/>
                <w:sz w:val="22"/>
                <w:szCs w:val="22"/>
                <w:lang w:val="uk-UA"/>
              </w:rPr>
            </w:pPr>
          </w:p>
        </w:tc>
        <w:tc>
          <w:tcPr>
            <w:tcW w:w="347" w:type="dxa"/>
            <w:vMerge/>
            <w:tcBorders>
              <w:left w:val="single" w:sz="2" w:space="0" w:color="FFFFFF"/>
              <w:right w:val="single" w:sz="2" w:space="0" w:color="FFFFFF"/>
            </w:tcBorders>
            <w:shd w:val="clear" w:color="auto" w:fill="D99594"/>
          </w:tcPr>
          <w:p w14:paraId="650BE055" w14:textId="77777777" w:rsidR="0020660D" w:rsidRPr="00257F44" w:rsidRDefault="0020660D" w:rsidP="0020660D">
            <w:pPr>
              <w:rPr>
                <w:rFonts w:ascii="Gill Sans" w:hAnsi="Gill Sans" w:cs="Gill Sans"/>
                <w:sz w:val="22"/>
                <w:szCs w:val="22"/>
                <w:lang w:val="uk-UA"/>
              </w:rPr>
            </w:pPr>
          </w:p>
        </w:tc>
        <w:tc>
          <w:tcPr>
            <w:tcW w:w="347" w:type="dxa"/>
            <w:vMerge/>
            <w:tcBorders>
              <w:left w:val="single" w:sz="2" w:space="0" w:color="FFFFFF"/>
              <w:right w:val="single" w:sz="2" w:space="0" w:color="FFFFFF"/>
            </w:tcBorders>
            <w:shd w:val="clear" w:color="auto" w:fill="D99594"/>
          </w:tcPr>
          <w:p w14:paraId="13AA00C3" w14:textId="77777777" w:rsidR="0020660D" w:rsidRPr="00257F44" w:rsidRDefault="0020660D" w:rsidP="0020660D">
            <w:pPr>
              <w:rPr>
                <w:rFonts w:ascii="Gill Sans" w:hAnsi="Gill Sans" w:cs="Gill Sans"/>
                <w:noProof/>
                <w:sz w:val="22"/>
                <w:szCs w:val="22"/>
                <w:lang w:val="uk-UA"/>
              </w:rPr>
            </w:pPr>
          </w:p>
        </w:tc>
        <w:tc>
          <w:tcPr>
            <w:tcW w:w="584" w:type="dxa"/>
            <w:vMerge/>
            <w:tcBorders>
              <w:left w:val="single" w:sz="2" w:space="0" w:color="FFFFFF"/>
              <w:right w:val="single" w:sz="18" w:space="0" w:color="FFFFFF"/>
            </w:tcBorders>
            <w:shd w:val="clear" w:color="auto" w:fill="D99594"/>
          </w:tcPr>
          <w:p w14:paraId="7BEBF12F" w14:textId="77777777" w:rsidR="0020660D" w:rsidRPr="00257F44" w:rsidRDefault="0020660D" w:rsidP="0020660D">
            <w:pPr>
              <w:rPr>
                <w:rFonts w:ascii="Gill Sans" w:hAnsi="Gill Sans" w:cs="Gill Sans"/>
                <w:sz w:val="22"/>
                <w:szCs w:val="22"/>
                <w:lang w:val="uk-UA"/>
              </w:rPr>
            </w:pPr>
          </w:p>
        </w:tc>
      </w:tr>
    </w:tbl>
    <w:p w14:paraId="751BAFB8" w14:textId="7F4D3B0B" w:rsidR="00113F13" w:rsidRPr="00257F44" w:rsidRDefault="00113F13" w:rsidP="006319F4">
      <w:pPr>
        <w:pStyle w:val="Heading3"/>
        <w:rPr>
          <w:lang w:val="uk-UA"/>
        </w:rPr>
      </w:pPr>
    </w:p>
    <w:p w14:paraId="097241A6" w14:textId="77777777" w:rsidR="003B756C" w:rsidRPr="00257F44" w:rsidRDefault="003B756C" w:rsidP="00163080">
      <w:pPr>
        <w:pStyle w:val="Heading3"/>
        <w:rPr>
          <w:lang w:val="uk-UA"/>
        </w:rPr>
      </w:pPr>
    </w:p>
    <w:p w14:paraId="5DF3C0C6" w14:textId="77777777" w:rsidR="00E1513A" w:rsidRPr="00257F44" w:rsidRDefault="00E1513A" w:rsidP="00283E80">
      <w:pPr>
        <w:pStyle w:val="Heading3"/>
        <w:spacing w:after="120"/>
        <w:rPr>
          <w:lang w:val="uk-UA"/>
        </w:rPr>
      </w:pPr>
      <w:r w:rsidRPr="00257F44">
        <w:rPr>
          <w:lang w:val="uk-UA"/>
        </w:rPr>
        <w:t>Мета зобов’язання</w:t>
      </w:r>
    </w:p>
    <w:p w14:paraId="2307755A" w14:textId="7CA115DD" w:rsidR="0081752C" w:rsidRPr="00257F44" w:rsidRDefault="0081752C" w:rsidP="00283E80">
      <w:pPr>
        <w:spacing w:after="120"/>
        <w:rPr>
          <w:rFonts w:ascii="Gill Sans" w:hAnsi="Gill Sans" w:cs="Gill Sans"/>
          <w:noProof/>
          <w:sz w:val="22"/>
          <w:szCs w:val="22"/>
          <w:lang w:val="uk-UA"/>
        </w:rPr>
      </w:pPr>
      <w:r w:rsidRPr="00257F44">
        <w:rPr>
          <w:rFonts w:ascii="Gill Sans" w:hAnsi="Gill Sans" w:cs="Gill Sans"/>
          <w:noProof/>
          <w:sz w:val="22"/>
          <w:szCs w:val="22"/>
          <w:lang w:val="uk-UA"/>
        </w:rPr>
        <w:t>У 2011 році парламент ухвалив новий Закон про доступ до публічної інформації. Він не передбачав окремий механізм нагляду за його виконанням, особливо шляхом</w:t>
      </w:r>
      <w:r w:rsidR="00D44CBB" w:rsidRPr="00257F44">
        <w:rPr>
          <w:rFonts w:ascii="Gill Sans" w:hAnsi="Gill Sans" w:cs="Gill Sans"/>
          <w:noProof/>
          <w:sz w:val="22"/>
          <w:szCs w:val="22"/>
          <w:lang w:val="uk-UA"/>
        </w:rPr>
        <w:t xml:space="preserve"> позасудового розгляду скарг. Відсутність відповідних положень була одним з головних недоліків нового закону. Зобов’язання мало на меті виправи</w:t>
      </w:r>
      <w:r w:rsidR="00880F4A" w:rsidRPr="00257F44">
        <w:rPr>
          <w:rFonts w:ascii="Gill Sans" w:hAnsi="Gill Sans" w:cs="Gill Sans"/>
          <w:noProof/>
          <w:sz w:val="22"/>
          <w:szCs w:val="22"/>
          <w:lang w:val="uk-UA"/>
        </w:rPr>
        <w:t>ти це</w:t>
      </w:r>
      <w:r w:rsidR="00D44CBB" w:rsidRPr="00257F44">
        <w:rPr>
          <w:rFonts w:ascii="Gill Sans" w:hAnsi="Gill Sans" w:cs="Gill Sans"/>
          <w:noProof/>
          <w:sz w:val="22"/>
          <w:szCs w:val="22"/>
          <w:lang w:val="uk-UA"/>
        </w:rPr>
        <w:t xml:space="preserve"> шляхом створення наглядового механізму для впровадження норм щодо доступу до інформації. Це посилило б право на доступ до інформації, підвищило б підзвітність органів публічної влади та зробило б уряд прозорішим.</w:t>
      </w:r>
    </w:p>
    <w:p w14:paraId="16449955" w14:textId="77777777" w:rsidR="00E1513A" w:rsidRPr="00257F44" w:rsidRDefault="00E1513A" w:rsidP="00283E80">
      <w:pPr>
        <w:pStyle w:val="Heading3"/>
        <w:spacing w:after="120"/>
        <w:rPr>
          <w:lang w:val="uk-UA"/>
        </w:rPr>
      </w:pPr>
      <w:r w:rsidRPr="00257F44">
        <w:rPr>
          <w:lang w:val="uk-UA"/>
        </w:rPr>
        <w:t>Статус виконання</w:t>
      </w:r>
    </w:p>
    <w:p w14:paraId="60BB20DA" w14:textId="77777777" w:rsidR="00E1513A" w:rsidRPr="00257F44" w:rsidRDefault="00E1513A" w:rsidP="00283E80">
      <w:pPr>
        <w:pStyle w:val="Normalrglronly"/>
        <w:rPr>
          <w:b/>
          <w:lang w:val="uk-UA"/>
        </w:rPr>
      </w:pPr>
      <w:r w:rsidRPr="00257F44">
        <w:rPr>
          <w:b/>
          <w:lang w:val="uk-UA"/>
        </w:rPr>
        <w:t>Проміжний звіт: Повне виконання</w:t>
      </w:r>
    </w:p>
    <w:p w14:paraId="407A9F92" w14:textId="423593DA" w:rsidR="004E0740" w:rsidRPr="00257F44" w:rsidRDefault="00A04CE7" w:rsidP="00283E80">
      <w:pPr>
        <w:spacing w:after="120"/>
        <w:rPr>
          <w:rFonts w:ascii="Gill Sans" w:hAnsi="Gill Sans" w:cs="Gill Sans"/>
          <w:noProof/>
          <w:sz w:val="22"/>
          <w:szCs w:val="22"/>
          <w:lang w:val="uk-UA"/>
        </w:rPr>
      </w:pPr>
      <w:r w:rsidRPr="00257F44">
        <w:rPr>
          <w:rFonts w:ascii="Gill Sans" w:hAnsi="Gill Sans" w:cs="Gill Sans"/>
          <w:noProof/>
          <w:sz w:val="22"/>
          <w:szCs w:val="22"/>
          <w:lang w:val="uk-UA"/>
        </w:rPr>
        <w:t>Зако</w:t>
      </w:r>
      <w:r w:rsidR="004E0740" w:rsidRPr="00257F44">
        <w:rPr>
          <w:rFonts w:ascii="Gill Sans" w:hAnsi="Gill Sans" w:cs="Gill Sans"/>
          <w:noProof/>
          <w:sz w:val="22"/>
          <w:szCs w:val="22"/>
          <w:lang w:val="uk-UA"/>
        </w:rPr>
        <w:t xml:space="preserve">н 2014 року </w:t>
      </w:r>
      <w:r w:rsidRPr="00257F44">
        <w:rPr>
          <w:rFonts w:ascii="Gill Sans" w:hAnsi="Gill Sans" w:cs="Gill Sans"/>
          <w:noProof/>
          <w:sz w:val="22"/>
          <w:szCs w:val="22"/>
          <w:lang w:val="uk-UA"/>
        </w:rPr>
        <w:t>про Антикорупційну стратегію України на 2014-2017 роки</w:t>
      </w:r>
      <w:r w:rsidRPr="00257F44">
        <w:rPr>
          <w:rStyle w:val="EndnoteReference"/>
          <w:rFonts w:ascii="Gill Sans" w:hAnsi="Gill Sans" w:cs="Gill Sans"/>
          <w:noProof/>
          <w:sz w:val="22"/>
          <w:szCs w:val="22"/>
          <w:lang w:val="uk-UA"/>
        </w:rPr>
        <w:endnoteReference w:id="29"/>
      </w:r>
      <w:r w:rsidRPr="00257F44">
        <w:rPr>
          <w:rFonts w:ascii="Gill Sans" w:hAnsi="Gill Sans" w:cs="Gill Sans"/>
          <w:noProof/>
          <w:sz w:val="22"/>
          <w:szCs w:val="22"/>
          <w:lang w:val="uk-UA"/>
        </w:rPr>
        <w:t xml:space="preserve"> визначив в якості одного з напрямів політики створення або визначення державного органу для нагляду за впровадженням права на доступ до інформації. Такий орган повинен відповідати стандартам ефективності та незалежності. У жовтні 2014 – квітні 2015 року, робоча</w:t>
      </w:r>
      <w:r w:rsidR="00880F4A" w:rsidRPr="00257F44">
        <w:rPr>
          <w:rFonts w:ascii="Gill Sans" w:hAnsi="Gill Sans" w:cs="Gill Sans"/>
          <w:noProof/>
          <w:sz w:val="22"/>
          <w:szCs w:val="22"/>
          <w:lang w:val="uk-UA"/>
        </w:rPr>
        <w:t xml:space="preserve"> група при секретаріаті омбудсма</w:t>
      </w:r>
      <w:r w:rsidRPr="00257F44">
        <w:rPr>
          <w:rFonts w:ascii="Gill Sans" w:hAnsi="Gill Sans" w:cs="Gill Sans"/>
          <w:noProof/>
          <w:sz w:val="22"/>
          <w:szCs w:val="22"/>
          <w:lang w:val="uk-UA"/>
        </w:rPr>
        <w:t>на</w:t>
      </w:r>
      <w:r w:rsidR="007D27FB" w:rsidRPr="00257F44">
        <w:rPr>
          <w:rFonts w:ascii="Gill Sans" w:hAnsi="Gill Sans" w:cs="Gill Sans"/>
          <w:noProof/>
          <w:sz w:val="22"/>
          <w:szCs w:val="22"/>
          <w:lang w:val="uk-UA"/>
        </w:rPr>
        <w:t xml:space="preserve"> розробила проект змін до Закону про доступ до публічної інформації, зокрема в частині наглядового органу.</w:t>
      </w:r>
    </w:p>
    <w:p w14:paraId="4918E9E0" w14:textId="75D00D1B" w:rsidR="00A7583C" w:rsidRPr="00257F44" w:rsidRDefault="00A7583C" w:rsidP="00283E80">
      <w:pPr>
        <w:spacing w:after="120"/>
        <w:rPr>
          <w:rFonts w:ascii="Gill Sans" w:hAnsi="Gill Sans" w:cs="Gill Sans"/>
          <w:noProof/>
          <w:sz w:val="22"/>
          <w:szCs w:val="22"/>
          <w:lang w:val="uk-UA"/>
        </w:rPr>
      </w:pPr>
      <w:r w:rsidRPr="00257F44">
        <w:rPr>
          <w:rFonts w:ascii="Gill Sans" w:hAnsi="Gill Sans" w:cs="Gill Sans"/>
          <w:noProof/>
          <w:sz w:val="22"/>
          <w:szCs w:val="22"/>
          <w:lang w:val="uk-UA"/>
        </w:rPr>
        <w:t>Група народних депутатів України подали законопроект, розроблений експертами, до парламенту в травні 2015 року</w:t>
      </w:r>
      <w:r w:rsidRPr="00257F44">
        <w:rPr>
          <w:rStyle w:val="EndnoteReference"/>
          <w:rFonts w:ascii="Gill Sans" w:hAnsi="Gill Sans" w:cs="Gill Sans"/>
          <w:noProof/>
          <w:sz w:val="22"/>
          <w:szCs w:val="22"/>
          <w:lang w:val="uk-UA"/>
        </w:rPr>
        <w:endnoteReference w:id="30"/>
      </w:r>
      <w:r w:rsidRPr="00257F44">
        <w:rPr>
          <w:rFonts w:ascii="Gill Sans" w:hAnsi="Gill Sans" w:cs="Gill Sans"/>
          <w:noProof/>
          <w:sz w:val="22"/>
          <w:szCs w:val="22"/>
          <w:lang w:val="uk-UA"/>
        </w:rPr>
        <w:t>. Відповідний комітет схвалив його,</w:t>
      </w:r>
      <w:r w:rsidR="00880F4A" w:rsidRPr="00257F44">
        <w:rPr>
          <w:rFonts w:ascii="Gill Sans" w:hAnsi="Gill Sans" w:cs="Gill Sans"/>
          <w:noProof/>
          <w:sz w:val="22"/>
          <w:szCs w:val="22"/>
          <w:lang w:val="uk-UA"/>
        </w:rPr>
        <w:t xml:space="preserve"> і законопроект очікував</w:t>
      </w:r>
      <w:r w:rsidR="00056ACB" w:rsidRPr="00257F44">
        <w:rPr>
          <w:rFonts w:ascii="Gill Sans" w:hAnsi="Gill Sans" w:cs="Gill Sans"/>
          <w:noProof/>
          <w:sz w:val="22"/>
          <w:szCs w:val="22"/>
          <w:lang w:val="uk-UA"/>
        </w:rPr>
        <w:t xml:space="preserve"> на розгляд у першому читанні. Хоча зобов’язання передбачало, що уряд повинен був розробити законопроект, його можна розглядати як виконане, оскільки група народних депутатів внесла </w:t>
      </w:r>
      <w:r w:rsidR="00056ACB" w:rsidRPr="00257F44">
        <w:rPr>
          <w:rFonts w:ascii="Gill Sans" w:hAnsi="Gill Sans" w:cs="Gill Sans"/>
          <w:noProof/>
          <w:sz w:val="22"/>
          <w:szCs w:val="22"/>
          <w:lang w:val="uk-UA"/>
        </w:rPr>
        <w:lastRenderedPageBreak/>
        <w:t>законопроект на розгляд парламенту. Зобов’язання не вимагало ухваленн</w:t>
      </w:r>
      <w:r w:rsidR="00880F4A" w:rsidRPr="00257F44">
        <w:rPr>
          <w:rFonts w:ascii="Gill Sans" w:hAnsi="Gill Sans" w:cs="Gill Sans"/>
          <w:noProof/>
          <w:sz w:val="22"/>
          <w:szCs w:val="22"/>
          <w:lang w:val="uk-UA"/>
        </w:rPr>
        <w:t>я</w:t>
      </w:r>
      <w:r w:rsidR="00056ACB" w:rsidRPr="00257F44">
        <w:rPr>
          <w:rFonts w:ascii="Gill Sans" w:hAnsi="Gill Sans" w:cs="Gill Sans"/>
          <w:noProof/>
          <w:sz w:val="22"/>
          <w:szCs w:val="22"/>
          <w:lang w:val="uk-UA"/>
        </w:rPr>
        <w:t xml:space="preserve"> або впровадження закону.</w:t>
      </w:r>
    </w:p>
    <w:p w14:paraId="011E5CD0" w14:textId="2A337773" w:rsidR="00056ACB" w:rsidRPr="00257F44" w:rsidRDefault="00880F4A" w:rsidP="00283E80">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Законопроект визначав Уповноваженого Верховної Ради України з прав людини </w:t>
      </w:r>
      <w:r w:rsidR="00056ACB" w:rsidRPr="00257F44">
        <w:rPr>
          <w:rFonts w:ascii="Gill Sans" w:hAnsi="Gill Sans" w:cs="Gill Sans"/>
          <w:noProof/>
          <w:sz w:val="22"/>
          <w:szCs w:val="22"/>
          <w:lang w:val="uk-UA"/>
        </w:rPr>
        <w:t>як наглядовий орган для доступу до інформації</w:t>
      </w:r>
      <w:r w:rsidR="00001497" w:rsidRPr="00257F44">
        <w:rPr>
          <w:rFonts w:ascii="Gill Sans" w:hAnsi="Gill Sans" w:cs="Gill Sans"/>
          <w:noProof/>
          <w:sz w:val="22"/>
          <w:szCs w:val="22"/>
          <w:lang w:val="uk-UA"/>
        </w:rPr>
        <w:t xml:space="preserve"> та на</w:t>
      </w:r>
      <w:r w:rsidRPr="00257F44">
        <w:rPr>
          <w:rFonts w:ascii="Gill Sans" w:hAnsi="Gill Sans" w:cs="Gill Sans"/>
          <w:noProof/>
          <w:sz w:val="22"/>
          <w:szCs w:val="22"/>
          <w:lang w:val="uk-UA"/>
        </w:rPr>
        <w:t>давав</w:t>
      </w:r>
      <w:r w:rsidR="00001497" w:rsidRPr="00257F44">
        <w:rPr>
          <w:rFonts w:ascii="Gill Sans" w:hAnsi="Gill Sans" w:cs="Gill Sans"/>
          <w:noProof/>
          <w:sz w:val="22"/>
          <w:szCs w:val="22"/>
          <w:lang w:val="uk-UA"/>
        </w:rPr>
        <w:t xml:space="preserve"> цій інституції низку повнов</w:t>
      </w:r>
      <w:r w:rsidRPr="00257F44">
        <w:rPr>
          <w:rFonts w:ascii="Gill Sans" w:hAnsi="Gill Sans" w:cs="Gill Sans"/>
          <w:noProof/>
          <w:sz w:val="22"/>
          <w:szCs w:val="22"/>
          <w:lang w:val="uk-UA"/>
        </w:rPr>
        <w:t>ажень. Ці повноваження включали</w:t>
      </w:r>
      <w:r w:rsidR="00001497" w:rsidRPr="00257F44">
        <w:rPr>
          <w:rFonts w:ascii="Gill Sans" w:hAnsi="Gill Sans" w:cs="Gill Sans"/>
          <w:noProof/>
          <w:sz w:val="22"/>
          <w:szCs w:val="22"/>
          <w:lang w:val="uk-UA"/>
        </w:rPr>
        <w:t xml:space="preserve"> отримання та розгляд скарг на порушення доступу до інформації; отримання будь-якої інформації (документів) від будь-якої особи, у тому числі секретної інформації; отримання пояснень та інших доказів; та видання обов’язкових рішень щодо розкриття запитуван</w:t>
      </w:r>
      <w:r w:rsidR="005B5A28" w:rsidRPr="00257F44">
        <w:rPr>
          <w:rFonts w:ascii="Gill Sans" w:hAnsi="Gill Sans" w:cs="Gill Sans"/>
          <w:noProof/>
          <w:sz w:val="22"/>
          <w:szCs w:val="22"/>
          <w:lang w:val="uk-UA"/>
        </w:rPr>
        <w:t xml:space="preserve">ої </w:t>
      </w:r>
      <w:r w:rsidR="00001497" w:rsidRPr="00257F44">
        <w:rPr>
          <w:rFonts w:ascii="Gill Sans" w:hAnsi="Gill Sans" w:cs="Gill Sans"/>
          <w:noProof/>
          <w:sz w:val="22"/>
          <w:szCs w:val="22"/>
          <w:lang w:val="uk-UA"/>
        </w:rPr>
        <w:t xml:space="preserve">інформації або для реагування на інші порушення законодавства про доступ до інформації. </w:t>
      </w:r>
      <w:r w:rsidR="005B5A28" w:rsidRPr="00257F44">
        <w:rPr>
          <w:rFonts w:ascii="Gill Sans" w:hAnsi="Gill Sans" w:cs="Gill Sans"/>
          <w:noProof/>
          <w:sz w:val="22"/>
          <w:szCs w:val="22"/>
          <w:lang w:val="uk-UA"/>
        </w:rPr>
        <w:t>Відповідні р</w:t>
      </w:r>
      <w:r w:rsidRPr="00257F44">
        <w:rPr>
          <w:rFonts w:ascii="Gill Sans" w:hAnsi="Gill Sans" w:cs="Gill Sans"/>
          <w:noProof/>
          <w:sz w:val="22"/>
          <w:szCs w:val="22"/>
          <w:lang w:val="uk-UA"/>
        </w:rPr>
        <w:t>ішення омбудсма</w:t>
      </w:r>
      <w:r w:rsidR="00001497" w:rsidRPr="00257F44">
        <w:rPr>
          <w:rFonts w:ascii="Gill Sans" w:hAnsi="Gill Sans" w:cs="Gill Sans"/>
          <w:noProof/>
          <w:sz w:val="22"/>
          <w:szCs w:val="22"/>
          <w:lang w:val="uk-UA"/>
        </w:rPr>
        <w:t xml:space="preserve">на </w:t>
      </w:r>
      <w:r w:rsidRPr="00257F44">
        <w:rPr>
          <w:rFonts w:ascii="Gill Sans" w:hAnsi="Gill Sans" w:cs="Gill Sans"/>
          <w:noProof/>
          <w:sz w:val="22"/>
          <w:szCs w:val="22"/>
          <w:lang w:val="uk-UA"/>
        </w:rPr>
        <w:t>виконувалися б</w:t>
      </w:r>
      <w:r w:rsidR="00001497" w:rsidRPr="00257F44">
        <w:rPr>
          <w:rFonts w:ascii="Gill Sans" w:hAnsi="Gill Sans" w:cs="Gill Sans"/>
          <w:noProof/>
          <w:sz w:val="22"/>
          <w:szCs w:val="22"/>
          <w:lang w:val="uk-UA"/>
        </w:rPr>
        <w:t xml:space="preserve"> виконавчою службою</w:t>
      </w:r>
      <w:r w:rsidR="00A424B2" w:rsidRPr="00257F44">
        <w:rPr>
          <w:rFonts w:ascii="Gill Sans" w:hAnsi="Gill Sans" w:cs="Gill Sans"/>
          <w:noProof/>
          <w:sz w:val="22"/>
          <w:szCs w:val="22"/>
          <w:lang w:val="uk-UA"/>
        </w:rPr>
        <w:t xml:space="preserve"> за тим самим принципом, що й судо</w:t>
      </w:r>
      <w:r w:rsidR="0090356D" w:rsidRPr="00257F44">
        <w:rPr>
          <w:rFonts w:ascii="Gill Sans" w:hAnsi="Gill Sans" w:cs="Gill Sans"/>
          <w:noProof/>
          <w:sz w:val="22"/>
          <w:szCs w:val="22"/>
          <w:lang w:val="uk-UA"/>
        </w:rPr>
        <w:t>ві</w:t>
      </w:r>
      <w:r w:rsidR="00A424B2" w:rsidRPr="00257F44">
        <w:rPr>
          <w:rFonts w:ascii="Gill Sans" w:hAnsi="Gill Sans" w:cs="Gill Sans"/>
          <w:noProof/>
          <w:sz w:val="22"/>
          <w:szCs w:val="22"/>
          <w:lang w:val="uk-UA"/>
        </w:rPr>
        <w:t xml:space="preserve"> рішення.</w:t>
      </w:r>
    </w:p>
    <w:p w14:paraId="046AACD6" w14:textId="4DE9D413" w:rsidR="005B5A28" w:rsidRPr="00257F44" w:rsidRDefault="005B5A28" w:rsidP="00283E80">
      <w:pPr>
        <w:spacing w:after="120"/>
        <w:rPr>
          <w:rFonts w:ascii="Gill Sans" w:hAnsi="Gill Sans" w:cs="Gill Sans"/>
          <w:color w:val="000000" w:themeColor="text1"/>
          <w:sz w:val="22"/>
          <w:szCs w:val="22"/>
          <w:lang w:val="uk-UA"/>
        </w:rPr>
      </w:pPr>
      <w:r w:rsidRPr="00257F44">
        <w:rPr>
          <w:rFonts w:ascii="Gill Sans" w:hAnsi="Gill Sans" w:cs="Gill Sans"/>
          <w:color w:val="000000" w:themeColor="text1"/>
          <w:sz w:val="22"/>
          <w:szCs w:val="22"/>
          <w:lang w:val="uk-UA"/>
        </w:rPr>
        <w:t xml:space="preserve">В існуючому формулюванні це зобов’язання було виконано ще в період проміжного звіту. Це пояснюється тим, що зміст зобов’язання не передбачав ухвалення або реалізацію закону. З часу проміжного звіту, </w:t>
      </w:r>
      <w:r w:rsidR="00A222BC" w:rsidRPr="00257F44">
        <w:rPr>
          <w:rFonts w:ascii="Gill Sans" w:hAnsi="Gill Sans" w:cs="Gill Sans"/>
          <w:color w:val="000000" w:themeColor="text1"/>
          <w:sz w:val="22"/>
          <w:szCs w:val="22"/>
          <w:lang w:val="uk-UA"/>
        </w:rPr>
        <w:t>будь-який подальший прогрес щодо розгляду законопроекту в парламенті був відсутній.</w:t>
      </w:r>
    </w:p>
    <w:p w14:paraId="3E6B68CB" w14:textId="77777777" w:rsidR="00E1513A" w:rsidRPr="00257F44" w:rsidRDefault="00E1513A" w:rsidP="00283E80">
      <w:pPr>
        <w:pStyle w:val="Heading3"/>
        <w:spacing w:after="120"/>
        <w:rPr>
          <w:lang w:val="uk-UA"/>
        </w:rPr>
      </w:pPr>
      <w:r w:rsidRPr="00257F44">
        <w:rPr>
          <w:lang w:val="uk-UA"/>
        </w:rPr>
        <w:t>Чи відкрило це уряд?</w:t>
      </w:r>
    </w:p>
    <w:p w14:paraId="5176F6D1" w14:textId="5EE11C95" w:rsidR="00E1513A" w:rsidRPr="00257F44" w:rsidRDefault="00E1513A" w:rsidP="00283E80">
      <w:pPr>
        <w:spacing w:after="120"/>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Доступ до інформації: Не змінило</w:t>
      </w:r>
    </w:p>
    <w:p w14:paraId="0D9375D5" w14:textId="6844661B" w:rsidR="00C80450" w:rsidRPr="00257F44" w:rsidRDefault="00E1513A" w:rsidP="00283E80">
      <w:pPr>
        <w:spacing w:after="120"/>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Підзвітність влади</w:t>
      </w:r>
      <w:r w:rsidR="00785D88" w:rsidRPr="00257F44">
        <w:rPr>
          <w:rFonts w:ascii="Gill Sans" w:hAnsi="Gill Sans" w:cs="Gill Sans"/>
          <w:b/>
          <w:color w:val="000000" w:themeColor="text1"/>
          <w:sz w:val="22"/>
          <w:szCs w:val="22"/>
          <w:lang w:val="uk-UA"/>
        </w:rPr>
        <w:t xml:space="preserve">: </w:t>
      </w:r>
      <w:r w:rsidRPr="00257F44">
        <w:rPr>
          <w:rFonts w:ascii="Gill Sans" w:hAnsi="Gill Sans" w:cs="Gill Sans"/>
          <w:b/>
          <w:color w:val="000000" w:themeColor="text1"/>
          <w:sz w:val="22"/>
          <w:szCs w:val="22"/>
          <w:lang w:val="uk-UA"/>
        </w:rPr>
        <w:t>Не змінило</w:t>
      </w:r>
    </w:p>
    <w:p w14:paraId="4B4DB53E" w14:textId="76D87CC7" w:rsidR="00FE6AE5" w:rsidRPr="00257F44" w:rsidRDefault="005F2B0A" w:rsidP="00283E80">
      <w:pPr>
        <w:spacing w:after="120"/>
        <w:rPr>
          <w:rFonts w:ascii="Gill Sans" w:hAnsi="Gill Sans" w:cs="Gill Sans"/>
          <w:sz w:val="22"/>
          <w:szCs w:val="22"/>
          <w:lang w:val="uk-UA"/>
        </w:rPr>
      </w:pPr>
      <w:r w:rsidRPr="00257F44">
        <w:rPr>
          <w:rFonts w:ascii="Gill Sans" w:hAnsi="Gill Sans" w:cs="Gill Sans"/>
          <w:sz w:val="22"/>
          <w:szCs w:val="22"/>
          <w:lang w:val="uk-UA"/>
        </w:rPr>
        <w:t xml:space="preserve">Закон не було ухвалено і тому </w:t>
      </w:r>
      <w:r w:rsidR="00432906" w:rsidRPr="00257F44">
        <w:rPr>
          <w:rFonts w:ascii="Gill Sans" w:hAnsi="Gill Sans" w:cs="Gill Sans"/>
          <w:sz w:val="22"/>
          <w:szCs w:val="22"/>
          <w:lang w:val="uk-UA"/>
        </w:rPr>
        <w:t>він не змінив</w:t>
      </w:r>
      <w:r w:rsidRPr="00257F44">
        <w:rPr>
          <w:rFonts w:ascii="Gill Sans" w:hAnsi="Gill Sans" w:cs="Gill Sans"/>
          <w:sz w:val="22"/>
          <w:szCs w:val="22"/>
          <w:lang w:val="uk-UA"/>
        </w:rPr>
        <w:t xml:space="preserve"> урядо</w:t>
      </w:r>
      <w:r w:rsidR="00432906" w:rsidRPr="00257F44">
        <w:rPr>
          <w:rFonts w:ascii="Gill Sans" w:hAnsi="Gill Sans" w:cs="Gill Sans"/>
          <w:sz w:val="22"/>
          <w:szCs w:val="22"/>
          <w:lang w:val="uk-UA"/>
        </w:rPr>
        <w:t xml:space="preserve">ву практику. У разі ухвалення, він міг би мати значний вплив шляхом посилення реалізації права на доступ до інформації в Україні. У громадян залишається обмежене коло варіантів оскарження обмежень доступу до інформації за допомогою </w:t>
      </w:r>
      <w:r w:rsidR="00FE6AE5" w:rsidRPr="00257F44">
        <w:rPr>
          <w:rFonts w:ascii="Gill Sans" w:hAnsi="Gill Sans" w:cs="Gill Sans"/>
          <w:sz w:val="22"/>
          <w:szCs w:val="22"/>
          <w:lang w:val="uk-UA"/>
        </w:rPr>
        <w:t xml:space="preserve">адміністративних скарг до органу влади, який порушив права доступу. Скарги до вищого адміністративного органу також довели свою недієвість, тоді як судові скарги займають багато часу та є дорогими. </w:t>
      </w:r>
      <w:r w:rsidR="00FA015A" w:rsidRPr="00257F44">
        <w:rPr>
          <w:rFonts w:ascii="Gill Sans" w:hAnsi="Gill Sans" w:cs="Gill Sans"/>
          <w:sz w:val="22"/>
          <w:szCs w:val="22"/>
          <w:lang w:val="uk-UA"/>
        </w:rPr>
        <w:t>Наглядовий механізм, який передбачений законопроектом, заповнив би цю прогалину, якби його було ухвалено як закон.</w:t>
      </w:r>
    </w:p>
    <w:p w14:paraId="527C2B19" w14:textId="77777777" w:rsidR="0042522E" w:rsidRPr="00257F44" w:rsidRDefault="0042522E" w:rsidP="00283E80">
      <w:pPr>
        <w:pStyle w:val="Heading3"/>
        <w:spacing w:after="120"/>
        <w:rPr>
          <w:lang w:val="uk-UA"/>
        </w:rPr>
      </w:pPr>
      <w:r w:rsidRPr="00257F44">
        <w:rPr>
          <w:lang w:val="uk-UA"/>
        </w:rPr>
        <w:t>Чи перенесено до наступного плану дій?</w:t>
      </w:r>
    </w:p>
    <w:p w14:paraId="359EF688" w14:textId="6EDE8BB5" w:rsidR="00073123" w:rsidRPr="00257F44" w:rsidRDefault="00274089" w:rsidP="00283E80">
      <w:pPr>
        <w:spacing w:after="120"/>
        <w:rPr>
          <w:rFonts w:ascii="Gill Sans" w:hAnsi="Gill Sans" w:cs="Gill Sans"/>
          <w:sz w:val="22"/>
          <w:szCs w:val="22"/>
          <w:lang w:val="uk-UA"/>
        </w:rPr>
      </w:pPr>
      <w:r w:rsidRPr="00257F44">
        <w:rPr>
          <w:rFonts w:ascii="Gill Sans" w:hAnsi="Gill Sans" w:cs="Gill Sans"/>
          <w:sz w:val="22"/>
          <w:szCs w:val="22"/>
          <w:lang w:val="uk-UA"/>
        </w:rPr>
        <w:t xml:space="preserve">Зобов’язання не було перенесено до нового плану дій. Дослідник МНЗ рекомендує ухвалити якнайшвидше законопроект, який знаходиться на розгляді в парламенті, та забезпечити його реалізацію. </w:t>
      </w:r>
      <w:r w:rsidR="00944C42" w:rsidRPr="00257F44">
        <w:rPr>
          <w:rFonts w:ascii="Gill Sans" w:hAnsi="Gill Sans" w:cs="Gill Sans"/>
          <w:sz w:val="22"/>
          <w:szCs w:val="22"/>
          <w:lang w:val="uk-UA"/>
        </w:rPr>
        <w:t xml:space="preserve">Законопроект наділяє секретаріат </w:t>
      </w:r>
      <w:r w:rsidR="00E022F8" w:rsidRPr="00257F44">
        <w:rPr>
          <w:rFonts w:ascii="Gill Sans" w:hAnsi="Gill Sans" w:cs="Gill Sans"/>
          <w:noProof/>
          <w:sz w:val="22"/>
          <w:szCs w:val="22"/>
          <w:lang w:val="uk-UA"/>
        </w:rPr>
        <w:t xml:space="preserve">Уповноваженого Верховної Ради України з прав людини </w:t>
      </w:r>
      <w:r w:rsidR="00944C42" w:rsidRPr="00257F44">
        <w:rPr>
          <w:rFonts w:ascii="Gill Sans" w:hAnsi="Gill Sans" w:cs="Gill Sans"/>
          <w:sz w:val="22"/>
          <w:szCs w:val="22"/>
          <w:lang w:val="uk-UA"/>
        </w:rPr>
        <w:t>значними додатковими повноваженнями та обов’язками, які повинні бути забезпеч</w:t>
      </w:r>
      <w:r w:rsidR="002C264C" w:rsidRPr="00257F44">
        <w:rPr>
          <w:rFonts w:ascii="Gill Sans" w:hAnsi="Gill Sans" w:cs="Gill Sans"/>
          <w:sz w:val="22"/>
          <w:szCs w:val="22"/>
          <w:lang w:val="uk-UA"/>
        </w:rPr>
        <w:t>ен</w:t>
      </w:r>
      <w:r w:rsidR="00944C42" w:rsidRPr="00257F44">
        <w:rPr>
          <w:rFonts w:ascii="Gill Sans" w:hAnsi="Gill Sans" w:cs="Gill Sans"/>
          <w:sz w:val="22"/>
          <w:szCs w:val="22"/>
          <w:lang w:val="uk-UA"/>
        </w:rPr>
        <w:t>і належними ресурсами. Уряду потрібно буде забезпечити, що</w:t>
      </w:r>
      <w:r w:rsidR="00FF3C38" w:rsidRPr="00257F44">
        <w:rPr>
          <w:rFonts w:ascii="Gill Sans" w:hAnsi="Gill Sans" w:cs="Gill Sans"/>
          <w:sz w:val="22"/>
          <w:szCs w:val="22"/>
          <w:lang w:val="uk-UA"/>
        </w:rPr>
        <w:t>б відповідне фінансування було</w:t>
      </w:r>
      <w:r w:rsidR="00944C42" w:rsidRPr="00257F44">
        <w:rPr>
          <w:rFonts w:ascii="Gill Sans" w:hAnsi="Gill Sans" w:cs="Gill Sans"/>
          <w:sz w:val="22"/>
          <w:szCs w:val="22"/>
          <w:lang w:val="uk-UA"/>
        </w:rPr>
        <w:t xml:space="preserve"> виділено в </w:t>
      </w:r>
      <w:r w:rsidR="0002285E" w:rsidRPr="00257F44">
        <w:rPr>
          <w:rFonts w:ascii="Gill Sans" w:hAnsi="Gill Sans" w:cs="Gill Sans"/>
          <w:sz w:val="22"/>
          <w:szCs w:val="22"/>
          <w:lang w:val="uk-UA"/>
        </w:rPr>
        <w:t>державному бюджеті і що</w:t>
      </w:r>
      <w:r w:rsidR="00FF3C38" w:rsidRPr="00257F44">
        <w:rPr>
          <w:rFonts w:ascii="Gill Sans" w:hAnsi="Gill Sans" w:cs="Gill Sans"/>
          <w:sz w:val="22"/>
          <w:szCs w:val="22"/>
          <w:lang w:val="uk-UA"/>
        </w:rPr>
        <w:t>б омбудсма</w:t>
      </w:r>
      <w:r w:rsidR="0002285E" w:rsidRPr="00257F44">
        <w:rPr>
          <w:rFonts w:ascii="Gill Sans" w:hAnsi="Gill Sans" w:cs="Gill Sans"/>
          <w:sz w:val="22"/>
          <w:szCs w:val="22"/>
          <w:lang w:val="uk-UA"/>
        </w:rPr>
        <w:t xml:space="preserve">н матиме необхідні людські та інші ресурси для виконання закону </w:t>
      </w:r>
      <w:r w:rsidR="00FF3C38" w:rsidRPr="00257F44">
        <w:rPr>
          <w:rFonts w:ascii="Gill Sans" w:hAnsi="Gill Sans" w:cs="Gill Sans"/>
          <w:sz w:val="22"/>
          <w:szCs w:val="22"/>
          <w:lang w:val="uk-UA"/>
        </w:rPr>
        <w:t>й</w:t>
      </w:r>
      <w:r w:rsidR="0002285E" w:rsidRPr="00257F44">
        <w:rPr>
          <w:rFonts w:ascii="Gill Sans" w:hAnsi="Gill Sans" w:cs="Gill Sans"/>
          <w:sz w:val="22"/>
          <w:szCs w:val="22"/>
          <w:lang w:val="uk-UA"/>
        </w:rPr>
        <w:t xml:space="preserve"> розгляду скарг, які стосуються стверджуваних порушень законодавства про доступ до інформації. </w:t>
      </w:r>
      <w:r w:rsidR="002C264C" w:rsidRPr="00257F44">
        <w:rPr>
          <w:rFonts w:ascii="Gill Sans" w:hAnsi="Gill Sans" w:cs="Gill Sans"/>
          <w:sz w:val="22"/>
          <w:szCs w:val="22"/>
          <w:lang w:val="uk-UA"/>
        </w:rPr>
        <w:t xml:space="preserve">У середньостроковій перспективі, органам влади слід також розглянути можливість внесення змін до Конституції України з тим, щоб дозволити створення </w:t>
      </w:r>
      <w:r w:rsidR="0040756E" w:rsidRPr="00257F44">
        <w:rPr>
          <w:rFonts w:ascii="Gill Sans" w:hAnsi="Gill Sans" w:cs="Gill Sans"/>
          <w:sz w:val="22"/>
          <w:szCs w:val="22"/>
          <w:lang w:val="uk-UA"/>
        </w:rPr>
        <w:t>окремого незалежного наглядового органу</w:t>
      </w:r>
      <w:r w:rsidR="002C264C" w:rsidRPr="00257F44">
        <w:rPr>
          <w:rFonts w:ascii="Gill Sans" w:hAnsi="Gill Sans" w:cs="Gill Sans"/>
          <w:sz w:val="22"/>
          <w:szCs w:val="22"/>
          <w:lang w:val="uk-UA"/>
        </w:rPr>
        <w:t xml:space="preserve"> з повноваженнями </w:t>
      </w:r>
      <w:r w:rsidR="005B3718" w:rsidRPr="00257F44">
        <w:rPr>
          <w:rFonts w:ascii="Gill Sans" w:hAnsi="Gill Sans" w:cs="Gill Sans"/>
          <w:sz w:val="22"/>
          <w:szCs w:val="22"/>
          <w:lang w:val="uk-UA"/>
        </w:rPr>
        <w:t xml:space="preserve">впровадження закону </w:t>
      </w:r>
      <w:r w:rsidR="00FF3C38" w:rsidRPr="00257F44">
        <w:rPr>
          <w:rFonts w:ascii="Gill Sans" w:hAnsi="Gill Sans" w:cs="Gill Sans"/>
          <w:sz w:val="22"/>
          <w:szCs w:val="22"/>
          <w:lang w:val="uk-UA"/>
        </w:rPr>
        <w:t>для того, щоб звільнити омбудсма</w:t>
      </w:r>
      <w:r w:rsidR="002C264C" w:rsidRPr="00257F44">
        <w:rPr>
          <w:rFonts w:ascii="Gill Sans" w:hAnsi="Gill Sans" w:cs="Gill Sans"/>
          <w:sz w:val="22"/>
          <w:szCs w:val="22"/>
          <w:lang w:val="uk-UA"/>
        </w:rPr>
        <w:t xml:space="preserve">на від </w:t>
      </w:r>
      <w:r w:rsidR="000E69F6" w:rsidRPr="00257F44">
        <w:rPr>
          <w:rFonts w:ascii="Gill Sans" w:hAnsi="Gill Sans" w:cs="Gill Sans"/>
          <w:sz w:val="22"/>
          <w:szCs w:val="22"/>
          <w:lang w:val="uk-UA"/>
        </w:rPr>
        <w:t xml:space="preserve">здійснення </w:t>
      </w:r>
      <w:r w:rsidR="002C264C" w:rsidRPr="00257F44">
        <w:rPr>
          <w:rFonts w:ascii="Gill Sans" w:hAnsi="Gill Sans" w:cs="Gill Sans"/>
          <w:sz w:val="22"/>
          <w:szCs w:val="22"/>
          <w:lang w:val="uk-UA"/>
        </w:rPr>
        <w:t xml:space="preserve">цієї функції. </w:t>
      </w:r>
      <w:r w:rsidR="000E69F6" w:rsidRPr="00257F44">
        <w:rPr>
          <w:rFonts w:ascii="Gill Sans" w:hAnsi="Gill Sans" w:cs="Gill Sans"/>
          <w:sz w:val="22"/>
          <w:szCs w:val="22"/>
          <w:lang w:val="uk-UA"/>
        </w:rPr>
        <w:t>Такий орган міг би також здійснювати нагляд за дотриманням права на захист персональних даних, яке часто стосується доступу до інформації.</w:t>
      </w:r>
    </w:p>
    <w:p w14:paraId="3CF779CA" w14:textId="77777777" w:rsidR="0014384C" w:rsidRPr="00257F44" w:rsidRDefault="0014384C">
      <w:pPr>
        <w:rPr>
          <w:noProof/>
          <w:lang w:val="uk-UA"/>
        </w:rPr>
        <w:sectPr w:rsidR="0014384C" w:rsidRPr="00257F44" w:rsidSect="002A2966">
          <w:endnotePr>
            <w:numFmt w:val="decimal"/>
            <w:numRestart w:val="eachSect"/>
          </w:endnotePr>
          <w:pgSz w:w="11907" w:h="16839" w:code="9"/>
          <w:pgMar w:top="1417" w:right="1417" w:bottom="1417" w:left="1417" w:header="0" w:footer="0" w:gutter="0"/>
          <w:cols w:space="708"/>
          <w:docGrid w:linePitch="360"/>
        </w:sectPr>
      </w:pPr>
    </w:p>
    <w:p w14:paraId="0D0F1252" w14:textId="77777777" w:rsidR="00741FD8" w:rsidRPr="00257F44" w:rsidRDefault="007C5980" w:rsidP="00741FD8">
      <w:pPr>
        <w:pStyle w:val="Normalrglronly"/>
        <w:rPr>
          <w:b/>
          <w:lang w:val="uk-UA"/>
        </w:rPr>
      </w:pPr>
      <w:r w:rsidRPr="00257F44">
        <w:rPr>
          <w:b/>
          <w:lang w:val="uk-UA"/>
        </w:rPr>
        <w:lastRenderedPageBreak/>
        <w:t>8</w:t>
      </w:r>
      <w:r w:rsidR="0014384C" w:rsidRPr="00257F44">
        <w:rPr>
          <w:b/>
          <w:lang w:val="uk-UA"/>
        </w:rPr>
        <w:t xml:space="preserve">. </w:t>
      </w:r>
      <w:r w:rsidR="00741FD8" w:rsidRPr="00257F44">
        <w:rPr>
          <w:b/>
          <w:lang w:val="uk-UA"/>
        </w:rPr>
        <w:t>Відповідність стандартам ІПВГ</w:t>
      </w:r>
    </w:p>
    <w:p w14:paraId="163E7BA7" w14:textId="77777777" w:rsidR="00741FD8" w:rsidRPr="00257F44" w:rsidRDefault="00741FD8" w:rsidP="00741FD8">
      <w:pPr>
        <w:spacing w:after="120"/>
        <w:rPr>
          <w:rFonts w:ascii="Gill Sans" w:hAnsi="Gill Sans" w:cs="Gill Sans"/>
          <w:i/>
          <w:noProof/>
          <w:sz w:val="22"/>
          <w:szCs w:val="22"/>
          <w:lang w:val="uk-UA"/>
        </w:rPr>
      </w:pPr>
      <w:r w:rsidRPr="00257F44">
        <w:rPr>
          <w:rFonts w:ascii="Gill Sans" w:hAnsi="Gill Sans" w:cs="Gill Sans"/>
          <w:b/>
          <w:bCs/>
          <w:iCs/>
          <w:noProof/>
          <w:sz w:val="22"/>
          <w:szCs w:val="22"/>
          <w:lang w:val="uk-UA"/>
        </w:rPr>
        <w:t>Текст зобов’язання:</w:t>
      </w:r>
      <w:r w:rsidRPr="00257F44">
        <w:rPr>
          <w:rFonts w:ascii="Gill Sans" w:hAnsi="Gill Sans" w:cs="Gill Sans"/>
          <w:i/>
          <w:noProof/>
          <w:sz w:val="22"/>
          <w:szCs w:val="22"/>
          <w:lang w:val="uk-UA"/>
        </w:rPr>
        <w:t xml:space="preserve"> 8. Здійснення заходів щодо набуття Україною статусу відповідності стандартам Ініціативи з прозорості видобувних галузей (Extractive Industries Transparency Initiative).</w:t>
      </w:r>
    </w:p>
    <w:p w14:paraId="761A816B" w14:textId="77777777" w:rsidR="00741FD8" w:rsidRPr="00257F44" w:rsidRDefault="00741FD8" w:rsidP="00741FD8">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приведення національної правової бази у відповідність з вимогами стандарту ЕІТІ, підготовка звіту українською та іноземною мовами згідно із зазначеним стандартом.</w:t>
      </w:r>
    </w:p>
    <w:p w14:paraId="71E3D835" w14:textId="77777777" w:rsidR="00741FD8" w:rsidRPr="00257F44" w:rsidRDefault="00741FD8" w:rsidP="00741FD8">
      <w:pPr>
        <w:spacing w:after="120"/>
        <w:rPr>
          <w:rFonts w:ascii="Gill Sans" w:hAnsi="Gill Sans" w:cs="Gill Sans"/>
          <w:sz w:val="22"/>
          <w:szCs w:val="22"/>
          <w:lang w:val="uk-UA"/>
        </w:rPr>
      </w:pPr>
      <w:r w:rsidRPr="00257F44">
        <w:rPr>
          <w:rFonts w:ascii="Gill Sans" w:hAnsi="Gill Sans" w:cs="Gill Sans"/>
          <w:sz w:val="22"/>
          <w:szCs w:val="22"/>
          <w:lang w:val="uk-UA"/>
        </w:rPr>
        <w:t>Головна інституція, відповідальна за виконання: Міністерство енергетики.</w:t>
      </w:r>
    </w:p>
    <w:p w14:paraId="4CEA70A6" w14:textId="77777777" w:rsidR="00741FD8" w:rsidRPr="00257F44" w:rsidRDefault="00741FD8" w:rsidP="00741FD8">
      <w:pPr>
        <w:spacing w:after="120"/>
        <w:rPr>
          <w:rFonts w:ascii="Gill Sans" w:hAnsi="Gill Sans" w:cs="Gill Sans"/>
          <w:sz w:val="22"/>
          <w:szCs w:val="22"/>
          <w:lang w:val="uk-UA"/>
        </w:rPr>
      </w:pPr>
      <w:r w:rsidRPr="00257F44">
        <w:rPr>
          <w:rFonts w:ascii="Gill Sans" w:hAnsi="Gill Sans" w:cs="Gill Sans"/>
          <w:sz w:val="22"/>
          <w:szCs w:val="22"/>
          <w:lang w:val="uk-UA"/>
        </w:rPr>
        <w:t>Інші виконавці: Міністерство економічного розвитку, Міністерство фінансів, Міністерство екології та природних ресурсів, Міжнародний фонд “Відродження”, ГО “ДІКСІ ГРУП”, ГО “Київський міжнародний енергетичний клуб “Q-Club”, ГО “Аналітичний центр регіонального співробітництва”, міжнародна ініціатива “Публікуй, за що сплачуєш”, інші невизначені організації громадянського суспільства та міжнародні організації.</w:t>
      </w:r>
    </w:p>
    <w:p w14:paraId="2F29890E" w14:textId="1B72501D" w:rsidR="0014384C" w:rsidRPr="00257F44" w:rsidRDefault="00741FD8" w:rsidP="00741FD8">
      <w:pPr>
        <w:spacing w:after="120"/>
        <w:rPr>
          <w:rFonts w:ascii="Gill Sans" w:hAnsi="Gill Sans" w:cs="Gill Sans"/>
          <w:noProof/>
          <w:sz w:val="22"/>
          <w:szCs w:val="22"/>
          <w:lang w:val="uk-UA"/>
        </w:rPr>
      </w:pPr>
      <w:r w:rsidRPr="00257F44">
        <w:rPr>
          <w:rFonts w:ascii="Gill Sans" w:hAnsi="Gill Sans" w:cs="Gill Sans"/>
          <w:sz w:val="22"/>
          <w:szCs w:val="22"/>
          <w:lang w:val="uk-UA"/>
        </w:rPr>
        <w:t>Дата початку: Не визначено</w:t>
      </w:r>
      <w:r w:rsidRPr="00257F44">
        <w:rPr>
          <w:rFonts w:ascii="Gill Sans" w:hAnsi="Gill Sans" w:cs="Gill Sans"/>
          <w:sz w:val="22"/>
          <w:szCs w:val="22"/>
          <w:lang w:val="uk-UA"/>
        </w:rPr>
        <w:tab/>
      </w:r>
      <w:r w:rsidRPr="00257F44">
        <w:rPr>
          <w:rFonts w:ascii="Gill Sans" w:hAnsi="Gill Sans" w:cs="Gill Sans"/>
          <w:sz w:val="22"/>
          <w:szCs w:val="22"/>
          <w:lang w:val="uk-UA"/>
        </w:rPr>
        <w:tab/>
      </w:r>
      <w:r w:rsidRPr="00257F44">
        <w:rPr>
          <w:rFonts w:ascii="Gill Sans" w:hAnsi="Gill Sans" w:cs="Gill Sans"/>
          <w:sz w:val="22"/>
          <w:szCs w:val="22"/>
          <w:lang w:val="uk-UA"/>
        </w:rPr>
        <w:tab/>
      </w:r>
      <w:r w:rsidRPr="00257F44">
        <w:rPr>
          <w:rFonts w:ascii="Gill Sans" w:hAnsi="Gill Sans" w:cs="Gill Sans"/>
          <w:sz w:val="22"/>
          <w:szCs w:val="22"/>
          <w:lang w:val="uk-UA"/>
        </w:rPr>
        <w:tab/>
        <w:t>Термін виконання: 31 грудня 2015 р.</w:t>
      </w:r>
    </w:p>
    <w:tbl>
      <w:tblPr>
        <w:tblpPr w:leftFromText="180" w:rightFromText="180" w:vertAnchor="page" w:horzAnchor="page" w:tblpX="1270" w:tblpY="540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357"/>
        <w:gridCol w:w="356"/>
        <w:gridCol w:w="356"/>
        <w:gridCol w:w="444"/>
        <w:gridCol w:w="444"/>
        <w:gridCol w:w="356"/>
        <w:gridCol w:w="356"/>
        <w:gridCol w:w="880"/>
        <w:gridCol w:w="356"/>
        <w:gridCol w:w="356"/>
        <w:gridCol w:w="356"/>
        <w:gridCol w:w="356"/>
        <w:gridCol w:w="531"/>
        <w:gridCol w:w="531"/>
        <w:gridCol w:w="444"/>
        <w:gridCol w:w="531"/>
        <w:gridCol w:w="356"/>
        <w:gridCol w:w="356"/>
        <w:gridCol w:w="444"/>
        <w:gridCol w:w="356"/>
        <w:gridCol w:w="444"/>
      </w:tblGrid>
      <w:tr w:rsidR="00741FD8" w:rsidRPr="00257F44" w14:paraId="739BE6D7" w14:textId="77777777" w:rsidTr="00741FD8">
        <w:trPr>
          <w:trHeight w:val="405"/>
        </w:trPr>
        <w:tc>
          <w:tcPr>
            <w:tcW w:w="1402" w:type="dxa"/>
            <w:vMerge w:val="restart"/>
            <w:tcBorders>
              <w:top w:val="single" w:sz="18" w:space="0" w:color="FFFFFF"/>
              <w:left w:val="single" w:sz="4" w:space="0" w:color="FFFFFF"/>
              <w:right w:val="single" w:sz="18" w:space="0" w:color="FFFFFF"/>
            </w:tcBorders>
            <w:shd w:val="clear" w:color="auto" w:fill="000000"/>
          </w:tcPr>
          <w:p w14:paraId="677BA856" w14:textId="1319C47C" w:rsidR="00741FD8" w:rsidRPr="00257F44" w:rsidRDefault="00741FD8" w:rsidP="009B0529">
            <w:pPr>
              <w:rPr>
                <w:rFonts w:ascii="Gill Sans" w:hAnsi="Gill Sans" w:cs="Gill Sans"/>
                <w:color w:val="FFFFFF" w:themeColor="background1"/>
                <w:sz w:val="22"/>
                <w:szCs w:val="22"/>
                <w:lang w:val="uk-UA"/>
              </w:rPr>
            </w:pPr>
            <w:r w:rsidRPr="00257F44">
              <w:rPr>
                <w:rFonts w:ascii="Gill Sans" w:hAnsi="Gill Sans" w:cs="Gill Sans"/>
                <w:sz w:val="20"/>
                <w:szCs w:val="20"/>
                <w:lang w:val="uk-UA"/>
              </w:rPr>
              <w:t>Опис зобов’язання</w:t>
            </w:r>
          </w:p>
        </w:tc>
        <w:tc>
          <w:tcPr>
            <w:tcW w:w="1513" w:type="dxa"/>
            <w:gridSpan w:val="4"/>
            <w:vMerge w:val="restart"/>
            <w:tcBorders>
              <w:top w:val="single" w:sz="18" w:space="0" w:color="FFFFFF"/>
              <w:left w:val="single" w:sz="18" w:space="0" w:color="FFFFFF"/>
              <w:right w:val="single" w:sz="18" w:space="0" w:color="FFFFFF"/>
            </w:tcBorders>
            <w:shd w:val="clear" w:color="auto" w:fill="D6E3BC"/>
          </w:tcPr>
          <w:p w14:paraId="0DF5EBAC" w14:textId="5A1D1DDC"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Конкретність</w:t>
            </w:r>
          </w:p>
        </w:tc>
        <w:tc>
          <w:tcPr>
            <w:tcW w:w="2036" w:type="dxa"/>
            <w:gridSpan w:val="4"/>
            <w:vMerge w:val="restart"/>
            <w:tcBorders>
              <w:top w:val="single" w:sz="18" w:space="0" w:color="FFFFFF"/>
              <w:left w:val="single" w:sz="18" w:space="0" w:color="FFFFFF"/>
              <w:right w:val="single" w:sz="18" w:space="0" w:color="FFFFFF"/>
            </w:tcBorders>
            <w:shd w:val="clear" w:color="auto" w:fill="FBD4B4"/>
          </w:tcPr>
          <w:p w14:paraId="2E5EE5B3" w14:textId="2D41782C"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Відповідність цінностям ПВУ (як сформульовано)</w:t>
            </w:r>
          </w:p>
        </w:tc>
        <w:tc>
          <w:tcPr>
            <w:tcW w:w="1424" w:type="dxa"/>
            <w:gridSpan w:val="4"/>
            <w:vMerge w:val="restart"/>
            <w:tcBorders>
              <w:top w:val="single" w:sz="18" w:space="0" w:color="FFFFFF"/>
              <w:left w:val="single" w:sz="18" w:space="0" w:color="FFFFFF"/>
              <w:right w:val="single" w:sz="18" w:space="0" w:color="FFFFFF"/>
            </w:tcBorders>
            <w:shd w:val="clear" w:color="auto" w:fill="CCC0D9"/>
          </w:tcPr>
          <w:p w14:paraId="099ED10F" w14:textId="38DF6263"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Потенційний вплив</w:t>
            </w:r>
          </w:p>
        </w:tc>
        <w:tc>
          <w:tcPr>
            <w:tcW w:w="1062" w:type="dxa"/>
            <w:gridSpan w:val="2"/>
            <w:vMerge w:val="restart"/>
            <w:tcBorders>
              <w:top w:val="single" w:sz="18" w:space="0" w:color="FFFFFF"/>
              <w:left w:val="single" w:sz="18" w:space="0" w:color="FFFFFF"/>
              <w:right w:val="single" w:sz="2" w:space="0" w:color="FFFFFF"/>
            </w:tcBorders>
            <w:shd w:val="clear" w:color="auto" w:fill="B8CCE4"/>
          </w:tcPr>
          <w:p w14:paraId="2CC6D570" w14:textId="4003A03E"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Стан вико-нання</w:t>
            </w:r>
          </w:p>
        </w:tc>
        <w:tc>
          <w:tcPr>
            <w:tcW w:w="975"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62F6EAE0" w14:textId="0AEC7BAB"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Про-міжний</w:t>
            </w:r>
          </w:p>
        </w:tc>
        <w:tc>
          <w:tcPr>
            <w:tcW w:w="1956" w:type="dxa"/>
            <w:gridSpan w:val="5"/>
            <w:vMerge w:val="restart"/>
            <w:tcBorders>
              <w:top w:val="single" w:sz="18" w:space="0" w:color="FFFFFF"/>
              <w:left w:val="single" w:sz="18" w:space="0" w:color="FFFFFF"/>
              <w:right w:val="single" w:sz="18" w:space="0" w:color="FFFFFF"/>
            </w:tcBorders>
            <w:shd w:val="clear" w:color="auto" w:fill="D99594"/>
          </w:tcPr>
          <w:p w14:paraId="359D6E44" w14:textId="18B22FB0"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Чи відкрило це уряд?</w:t>
            </w:r>
          </w:p>
        </w:tc>
      </w:tr>
      <w:tr w:rsidR="0020660D" w:rsidRPr="00257F44" w14:paraId="1F8C3F58" w14:textId="77777777" w:rsidTr="00741FD8">
        <w:trPr>
          <w:trHeight w:val="373"/>
        </w:trPr>
        <w:tc>
          <w:tcPr>
            <w:tcW w:w="1402" w:type="dxa"/>
            <w:vMerge/>
            <w:tcBorders>
              <w:left w:val="single" w:sz="4" w:space="0" w:color="FFFFFF"/>
              <w:right w:val="single" w:sz="18" w:space="0" w:color="FFFFFF"/>
            </w:tcBorders>
            <w:shd w:val="clear" w:color="auto" w:fill="000000"/>
          </w:tcPr>
          <w:p w14:paraId="3EF3B287" w14:textId="64BCE925" w:rsidR="0020660D" w:rsidRPr="00257F44" w:rsidRDefault="0020660D" w:rsidP="009B0529">
            <w:pPr>
              <w:rPr>
                <w:rFonts w:ascii="Gill Sans" w:hAnsi="Gill Sans" w:cs="Gill Sans"/>
                <w:color w:val="FFFFFF" w:themeColor="background1"/>
                <w:sz w:val="22"/>
                <w:szCs w:val="22"/>
                <w:lang w:val="uk-UA"/>
              </w:rPr>
            </w:pPr>
          </w:p>
        </w:tc>
        <w:tc>
          <w:tcPr>
            <w:tcW w:w="1513" w:type="dxa"/>
            <w:gridSpan w:val="4"/>
            <w:vMerge/>
            <w:tcBorders>
              <w:left w:val="single" w:sz="18" w:space="0" w:color="FFFFFF"/>
              <w:bottom w:val="single" w:sz="18" w:space="0" w:color="FFFFFF"/>
              <w:right w:val="single" w:sz="18" w:space="0" w:color="FFFFFF"/>
            </w:tcBorders>
            <w:shd w:val="clear" w:color="auto" w:fill="D6E3BC"/>
          </w:tcPr>
          <w:p w14:paraId="2614B897" w14:textId="77777777" w:rsidR="0020660D" w:rsidRPr="00257F44" w:rsidRDefault="0020660D" w:rsidP="00BF1742">
            <w:pPr>
              <w:rPr>
                <w:rFonts w:ascii="Gill Sans" w:hAnsi="Gill Sans" w:cs="Gill Sans"/>
                <w:sz w:val="22"/>
                <w:szCs w:val="22"/>
                <w:lang w:val="uk-UA"/>
              </w:rPr>
            </w:pPr>
          </w:p>
        </w:tc>
        <w:tc>
          <w:tcPr>
            <w:tcW w:w="2036" w:type="dxa"/>
            <w:gridSpan w:val="4"/>
            <w:vMerge/>
            <w:tcBorders>
              <w:left w:val="single" w:sz="18" w:space="0" w:color="FFFFFF"/>
              <w:bottom w:val="single" w:sz="18" w:space="0" w:color="FFFFFF"/>
              <w:right w:val="single" w:sz="18" w:space="0" w:color="FFFFFF"/>
            </w:tcBorders>
            <w:shd w:val="clear" w:color="auto" w:fill="FBD4B4"/>
          </w:tcPr>
          <w:p w14:paraId="03FA40A4" w14:textId="77777777" w:rsidR="0020660D" w:rsidRPr="00257F44" w:rsidRDefault="0020660D" w:rsidP="00BF1742">
            <w:pPr>
              <w:rPr>
                <w:rFonts w:ascii="Gill Sans" w:hAnsi="Gill Sans" w:cs="Gill Sans"/>
                <w:sz w:val="22"/>
                <w:szCs w:val="22"/>
                <w:lang w:val="uk-UA"/>
              </w:rPr>
            </w:pPr>
          </w:p>
        </w:tc>
        <w:tc>
          <w:tcPr>
            <w:tcW w:w="1424" w:type="dxa"/>
            <w:gridSpan w:val="4"/>
            <w:vMerge/>
            <w:tcBorders>
              <w:left w:val="single" w:sz="18" w:space="0" w:color="FFFFFF"/>
              <w:bottom w:val="single" w:sz="18" w:space="0" w:color="FFFFFF"/>
              <w:right w:val="single" w:sz="18" w:space="0" w:color="FFFFFF"/>
            </w:tcBorders>
            <w:shd w:val="clear" w:color="auto" w:fill="CCC0D9"/>
          </w:tcPr>
          <w:p w14:paraId="328E8781" w14:textId="77777777" w:rsidR="0020660D" w:rsidRPr="00257F44" w:rsidRDefault="0020660D" w:rsidP="00BF1742">
            <w:pPr>
              <w:rPr>
                <w:rFonts w:ascii="Gill Sans" w:hAnsi="Gill Sans" w:cs="Gill Sans"/>
                <w:sz w:val="22"/>
                <w:szCs w:val="22"/>
                <w:lang w:val="uk-UA"/>
              </w:rPr>
            </w:pPr>
          </w:p>
        </w:tc>
        <w:tc>
          <w:tcPr>
            <w:tcW w:w="1062" w:type="dxa"/>
            <w:gridSpan w:val="2"/>
            <w:vMerge/>
            <w:tcBorders>
              <w:left w:val="single" w:sz="18" w:space="0" w:color="FFFFFF"/>
              <w:bottom w:val="single" w:sz="18" w:space="0" w:color="FFFFFF"/>
              <w:right w:val="single" w:sz="2" w:space="0" w:color="FFFFFF"/>
            </w:tcBorders>
            <w:shd w:val="clear" w:color="auto" w:fill="B8CCE4"/>
          </w:tcPr>
          <w:p w14:paraId="20F134FC" w14:textId="77777777" w:rsidR="0020660D" w:rsidRPr="00257F44" w:rsidRDefault="0020660D" w:rsidP="00BF1742">
            <w:pPr>
              <w:rPr>
                <w:rFonts w:ascii="Gill Sans" w:hAnsi="Gill Sans" w:cs="Gill Sans"/>
                <w:sz w:val="22"/>
                <w:szCs w:val="22"/>
                <w:lang w:val="uk-UA"/>
              </w:rPr>
            </w:pPr>
          </w:p>
        </w:tc>
        <w:tc>
          <w:tcPr>
            <w:tcW w:w="975"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608A6835" w14:textId="46F3FF98" w:rsidR="0020660D" w:rsidRPr="00257F44" w:rsidRDefault="00741FD8" w:rsidP="00BF1742">
            <w:pPr>
              <w:rPr>
                <w:rFonts w:ascii="Gill Sans" w:hAnsi="Gill Sans" w:cs="Gill Sans"/>
                <w:sz w:val="20"/>
                <w:szCs w:val="20"/>
                <w:lang w:val="uk-UA"/>
              </w:rPr>
            </w:pPr>
            <w:r w:rsidRPr="00257F44">
              <w:rPr>
                <w:rFonts w:ascii="Gill Sans" w:hAnsi="Gill Sans" w:cs="Gill Sans"/>
                <w:sz w:val="20"/>
                <w:szCs w:val="20"/>
                <w:lang w:val="uk-UA"/>
              </w:rPr>
              <w:t>Підсум-ковий</w:t>
            </w:r>
          </w:p>
        </w:tc>
        <w:tc>
          <w:tcPr>
            <w:tcW w:w="1956" w:type="dxa"/>
            <w:gridSpan w:val="5"/>
            <w:vMerge/>
            <w:tcBorders>
              <w:left w:val="single" w:sz="18" w:space="0" w:color="FFFFFF"/>
              <w:bottom w:val="single" w:sz="18" w:space="0" w:color="FFFFFF"/>
              <w:right w:val="single" w:sz="18" w:space="0" w:color="FFFFFF"/>
            </w:tcBorders>
            <w:shd w:val="clear" w:color="auto" w:fill="D99594"/>
          </w:tcPr>
          <w:p w14:paraId="38CCB017" w14:textId="77777777" w:rsidR="0020660D" w:rsidRPr="00257F44" w:rsidRDefault="0020660D" w:rsidP="00BF1742">
            <w:pPr>
              <w:rPr>
                <w:rFonts w:ascii="Gill Sans" w:hAnsi="Gill Sans" w:cs="Gill Sans"/>
                <w:sz w:val="22"/>
                <w:szCs w:val="22"/>
                <w:lang w:val="uk-UA"/>
              </w:rPr>
            </w:pPr>
          </w:p>
        </w:tc>
      </w:tr>
      <w:tr w:rsidR="00741FD8" w:rsidRPr="00257F44" w14:paraId="58F3C39A" w14:textId="77777777" w:rsidTr="009D7923">
        <w:trPr>
          <w:cantSplit/>
          <w:trHeight w:val="2336"/>
        </w:trPr>
        <w:tc>
          <w:tcPr>
            <w:tcW w:w="1402" w:type="dxa"/>
            <w:vMerge/>
            <w:tcBorders>
              <w:left w:val="single" w:sz="4" w:space="0" w:color="FFFFFF"/>
              <w:right w:val="single" w:sz="18" w:space="0" w:color="FFFFFF"/>
            </w:tcBorders>
            <w:shd w:val="clear" w:color="auto" w:fill="000000"/>
          </w:tcPr>
          <w:p w14:paraId="6266D667" w14:textId="0BC99C7B" w:rsidR="00741FD8" w:rsidRPr="00257F44" w:rsidRDefault="00741FD8" w:rsidP="009B0529">
            <w:pPr>
              <w:rPr>
                <w:rFonts w:ascii="Gill Sans" w:hAnsi="Gill Sans" w:cs="Gill Sans"/>
                <w:color w:val="FFFFFF" w:themeColor="background1"/>
                <w:sz w:val="22"/>
                <w:szCs w:val="22"/>
                <w:lang w:val="uk-UA"/>
              </w:rPr>
            </w:pPr>
          </w:p>
        </w:tc>
        <w:tc>
          <w:tcPr>
            <w:tcW w:w="357"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1E3C198B" w14:textId="01EDFA62"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Відсутня</w:t>
            </w:r>
          </w:p>
        </w:tc>
        <w:tc>
          <w:tcPr>
            <w:tcW w:w="356"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02ACA119" w14:textId="3F511B40"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Низька</w:t>
            </w:r>
          </w:p>
        </w:tc>
        <w:tc>
          <w:tcPr>
            <w:tcW w:w="356"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33ACE704" w14:textId="0574CEB1"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Середня</w:t>
            </w:r>
          </w:p>
        </w:tc>
        <w:tc>
          <w:tcPr>
            <w:tcW w:w="444"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0B27615F" w14:textId="03302583"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Висока</w:t>
            </w:r>
          </w:p>
        </w:tc>
        <w:tc>
          <w:tcPr>
            <w:tcW w:w="444"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00CF269F" w14:textId="66992DBB"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Доступ до інформації</w:t>
            </w:r>
          </w:p>
        </w:tc>
        <w:tc>
          <w:tcPr>
            <w:tcW w:w="356"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26096294" w14:textId="45D0C51B"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Громадська участь</w:t>
            </w:r>
          </w:p>
        </w:tc>
        <w:tc>
          <w:tcPr>
            <w:tcW w:w="356"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51177FD0" w14:textId="5DF08381"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Підзвітність влади</w:t>
            </w:r>
          </w:p>
        </w:tc>
        <w:tc>
          <w:tcPr>
            <w:tcW w:w="880"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0D8F2ED0" w14:textId="4D70CE18"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Технології та інновації для прозорості й підзвітності</w:t>
            </w:r>
          </w:p>
        </w:tc>
        <w:tc>
          <w:tcPr>
            <w:tcW w:w="356"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49038E12" w14:textId="2AEE4DC2"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Жодного</w:t>
            </w:r>
          </w:p>
        </w:tc>
        <w:tc>
          <w:tcPr>
            <w:tcW w:w="356"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286E1E55" w14:textId="467AC6B0"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Незначний</w:t>
            </w:r>
          </w:p>
        </w:tc>
        <w:tc>
          <w:tcPr>
            <w:tcW w:w="356"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238E7BE5" w14:textId="7FCA0B15"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Помірний</w:t>
            </w:r>
          </w:p>
        </w:tc>
        <w:tc>
          <w:tcPr>
            <w:tcW w:w="356"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2C33D1F1" w14:textId="08F0E0A6"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Трансформуючий</w:t>
            </w:r>
          </w:p>
        </w:tc>
        <w:tc>
          <w:tcPr>
            <w:tcW w:w="531"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5B09C48B" w14:textId="067C2D53"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Не розпочато</w:t>
            </w:r>
          </w:p>
        </w:tc>
        <w:tc>
          <w:tcPr>
            <w:tcW w:w="531"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20C5F8F7" w14:textId="0439F4CC"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Обмежене</w:t>
            </w:r>
          </w:p>
        </w:tc>
        <w:tc>
          <w:tcPr>
            <w:tcW w:w="444"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65ECE7DB" w14:textId="0B849F44"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Значне</w:t>
            </w:r>
          </w:p>
        </w:tc>
        <w:tc>
          <w:tcPr>
            <w:tcW w:w="531"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4C87AB61" w14:textId="6C02D56D"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Повне</w:t>
            </w:r>
          </w:p>
        </w:tc>
        <w:tc>
          <w:tcPr>
            <w:tcW w:w="356"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0BC67485" w14:textId="1DDAC005"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Погіршило</w:t>
            </w:r>
          </w:p>
        </w:tc>
        <w:tc>
          <w:tcPr>
            <w:tcW w:w="356"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5770C258" w14:textId="1E2EBA30"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Не змінило</w:t>
            </w:r>
          </w:p>
        </w:tc>
        <w:tc>
          <w:tcPr>
            <w:tcW w:w="444"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BDC945F" w14:textId="60575D3E"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Обмежено</w:t>
            </w:r>
          </w:p>
        </w:tc>
        <w:tc>
          <w:tcPr>
            <w:tcW w:w="356"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7834B149" w14:textId="45EF4131"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Значною мірою</w:t>
            </w:r>
          </w:p>
        </w:tc>
        <w:tc>
          <w:tcPr>
            <w:tcW w:w="444"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1882473E" w14:textId="7D27C945" w:rsidR="00741FD8" w:rsidRPr="00257F44" w:rsidRDefault="00741FD8" w:rsidP="00BF1742">
            <w:pPr>
              <w:rPr>
                <w:rFonts w:ascii="Gill Sans" w:hAnsi="Gill Sans" w:cs="Gill Sans"/>
                <w:sz w:val="22"/>
                <w:szCs w:val="22"/>
                <w:lang w:val="uk-UA"/>
              </w:rPr>
            </w:pPr>
            <w:r w:rsidRPr="00257F44">
              <w:rPr>
                <w:rFonts w:ascii="Gill Sans" w:hAnsi="Gill Sans" w:cs="Gill Sans"/>
                <w:sz w:val="20"/>
                <w:szCs w:val="20"/>
                <w:lang w:val="uk-UA"/>
              </w:rPr>
              <w:t>Визначною мірою</w:t>
            </w:r>
          </w:p>
        </w:tc>
      </w:tr>
      <w:tr w:rsidR="0020660D" w:rsidRPr="00257F44" w14:paraId="731D42D0" w14:textId="77777777" w:rsidTr="00741FD8">
        <w:trPr>
          <w:trHeight w:val="340"/>
        </w:trPr>
        <w:tc>
          <w:tcPr>
            <w:tcW w:w="1402" w:type="dxa"/>
            <w:vMerge/>
            <w:tcBorders>
              <w:left w:val="single" w:sz="4" w:space="0" w:color="FFFFFF"/>
              <w:right w:val="single" w:sz="18" w:space="0" w:color="FFFFFF"/>
            </w:tcBorders>
            <w:shd w:val="clear" w:color="auto" w:fill="000000"/>
          </w:tcPr>
          <w:p w14:paraId="1AA3DFFC" w14:textId="2D8BEF75" w:rsidR="0020660D" w:rsidRPr="00257F44" w:rsidRDefault="0020660D" w:rsidP="00475D8F">
            <w:pPr>
              <w:rPr>
                <w:rFonts w:ascii="Gill Sans" w:hAnsi="Gill Sans" w:cs="Gill Sans"/>
                <w:noProof/>
                <w:color w:val="FFFFFF" w:themeColor="background1"/>
                <w:sz w:val="22"/>
                <w:szCs w:val="22"/>
                <w:lang w:val="uk-UA"/>
              </w:rPr>
            </w:pPr>
          </w:p>
        </w:tc>
        <w:tc>
          <w:tcPr>
            <w:tcW w:w="357" w:type="dxa"/>
            <w:vMerge w:val="restart"/>
            <w:tcBorders>
              <w:top w:val="single" w:sz="18" w:space="0" w:color="FFFFFF"/>
              <w:left w:val="single" w:sz="18" w:space="0" w:color="FFFFFF"/>
              <w:right w:val="single" w:sz="2" w:space="0" w:color="FFFFFF"/>
            </w:tcBorders>
            <w:shd w:val="clear" w:color="auto" w:fill="D6E3BC"/>
          </w:tcPr>
          <w:p w14:paraId="1BD495C0" w14:textId="77777777" w:rsidR="0020660D" w:rsidRPr="00257F44" w:rsidRDefault="0020660D" w:rsidP="00BF1742">
            <w:pPr>
              <w:rPr>
                <w:rFonts w:ascii="Gill Sans" w:hAnsi="Gill Sans" w:cs="Gill Sans"/>
                <w:sz w:val="22"/>
                <w:szCs w:val="22"/>
                <w:lang w:val="uk-UA"/>
              </w:rPr>
            </w:pPr>
          </w:p>
        </w:tc>
        <w:tc>
          <w:tcPr>
            <w:tcW w:w="356" w:type="dxa"/>
            <w:vMerge w:val="restart"/>
            <w:tcBorders>
              <w:top w:val="single" w:sz="18" w:space="0" w:color="FFFFFF"/>
              <w:left w:val="single" w:sz="2" w:space="0" w:color="FFFFFF"/>
              <w:right w:val="single" w:sz="2" w:space="0" w:color="FFFFFF"/>
            </w:tcBorders>
            <w:shd w:val="clear" w:color="auto" w:fill="D6E3BC"/>
          </w:tcPr>
          <w:p w14:paraId="45819A00" w14:textId="77777777" w:rsidR="0020660D" w:rsidRPr="00257F44" w:rsidRDefault="0020660D" w:rsidP="00BF1742">
            <w:pPr>
              <w:rPr>
                <w:rFonts w:ascii="Zapf Dingbats" w:hAnsi="Zapf Dingbats" w:cs="Gill Sans"/>
                <w:sz w:val="22"/>
                <w:szCs w:val="22"/>
                <w:lang w:val="uk-UA"/>
              </w:rPr>
            </w:pPr>
          </w:p>
        </w:tc>
        <w:tc>
          <w:tcPr>
            <w:tcW w:w="356" w:type="dxa"/>
            <w:vMerge w:val="restart"/>
            <w:tcBorders>
              <w:top w:val="single" w:sz="18" w:space="0" w:color="FFFFFF"/>
              <w:left w:val="single" w:sz="2" w:space="0" w:color="FFFFFF"/>
              <w:right w:val="single" w:sz="2" w:space="0" w:color="FFFFFF"/>
            </w:tcBorders>
            <w:shd w:val="clear" w:color="auto" w:fill="D6E3BC"/>
          </w:tcPr>
          <w:p w14:paraId="17FDD522" w14:textId="6A1DEF22" w:rsidR="0020660D" w:rsidRPr="00257F44" w:rsidRDefault="0020660D" w:rsidP="00BF1742">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44" w:type="dxa"/>
            <w:vMerge w:val="restart"/>
            <w:tcBorders>
              <w:top w:val="single" w:sz="18" w:space="0" w:color="FFFFFF"/>
              <w:left w:val="single" w:sz="2" w:space="0" w:color="FFFFFF"/>
              <w:right w:val="single" w:sz="18" w:space="0" w:color="FFFFFF"/>
            </w:tcBorders>
            <w:shd w:val="clear" w:color="auto" w:fill="D6E3BC"/>
          </w:tcPr>
          <w:p w14:paraId="7FE638BD" w14:textId="05FD8682" w:rsidR="0020660D" w:rsidRPr="00257F44" w:rsidRDefault="0020660D" w:rsidP="00BF1742">
            <w:pPr>
              <w:rPr>
                <w:rFonts w:ascii="Zapf Dingbats" w:hAnsi="Zapf Dingbats" w:cs="Gill Sans"/>
                <w:noProof/>
                <w:sz w:val="22"/>
                <w:szCs w:val="22"/>
                <w:lang w:val="uk-UA"/>
              </w:rPr>
            </w:pPr>
          </w:p>
        </w:tc>
        <w:tc>
          <w:tcPr>
            <w:tcW w:w="444" w:type="dxa"/>
            <w:vMerge w:val="restart"/>
            <w:tcBorders>
              <w:top w:val="single" w:sz="18" w:space="0" w:color="FFFFFF"/>
              <w:left w:val="single" w:sz="2" w:space="0" w:color="FFFFFF"/>
              <w:right w:val="single" w:sz="2" w:space="0" w:color="FFFFFF"/>
            </w:tcBorders>
            <w:shd w:val="clear" w:color="auto" w:fill="FBD4B4"/>
          </w:tcPr>
          <w:p w14:paraId="3E1B9E20" w14:textId="77777777" w:rsidR="0020660D" w:rsidRPr="00257F44" w:rsidRDefault="0020660D" w:rsidP="00BF1742">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56" w:type="dxa"/>
            <w:vMerge w:val="restart"/>
            <w:tcBorders>
              <w:top w:val="single" w:sz="18" w:space="0" w:color="FFFFFF"/>
              <w:left w:val="single" w:sz="2" w:space="0" w:color="FFFFFF"/>
              <w:right w:val="single" w:sz="2" w:space="0" w:color="FFFFFF"/>
            </w:tcBorders>
            <w:shd w:val="clear" w:color="auto" w:fill="FBD4B4"/>
          </w:tcPr>
          <w:p w14:paraId="448E0804" w14:textId="196BD740" w:rsidR="0020660D" w:rsidRPr="00257F44" w:rsidRDefault="0020660D" w:rsidP="00BF1742">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356" w:type="dxa"/>
            <w:vMerge w:val="restart"/>
            <w:tcBorders>
              <w:top w:val="single" w:sz="18" w:space="0" w:color="FFFFFF"/>
              <w:left w:val="single" w:sz="2" w:space="0" w:color="FFFFFF"/>
              <w:right w:val="single" w:sz="2" w:space="0" w:color="FFFFFF"/>
            </w:tcBorders>
            <w:shd w:val="clear" w:color="auto" w:fill="FBD4B4"/>
          </w:tcPr>
          <w:p w14:paraId="17D66BDB" w14:textId="77777777" w:rsidR="0020660D" w:rsidRPr="00257F44" w:rsidRDefault="0020660D" w:rsidP="00BF1742">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880" w:type="dxa"/>
            <w:vMerge w:val="restart"/>
            <w:tcBorders>
              <w:top w:val="single" w:sz="18" w:space="0" w:color="FFFFFF"/>
              <w:left w:val="single" w:sz="2" w:space="0" w:color="FFFFFF"/>
              <w:right w:val="single" w:sz="18" w:space="0" w:color="FFFFFF"/>
            </w:tcBorders>
            <w:shd w:val="clear" w:color="auto" w:fill="FBD4B4"/>
          </w:tcPr>
          <w:p w14:paraId="17F46157" w14:textId="77777777" w:rsidR="0020660D" w:rsidRPr="00257F44" w:rsidRDefault="0020660D" w:rsidP="00BF1742">
            <w:pPr>
              <w:rPr>
                <w:rFonts w:ascii="Zapf Dingbats" w:hAnsi="Zapf Dingbats" w:cs="Gill Sans"/>
                <w:sz w:val="22"/>
                <w:szCs w:val="22"/>
                <w:lang w:val="uk-UA"/>
              </w:rPr>
            </w:pPr>
          </w:p>
        </w:tc>
        <w:tc>
          <w:tcPr>
            <w:tcW w:w="356" w:type="dxa"/>
            <w:vMerge w:val="restart"/>
            <w:tcBorders>
              <w:top w:val="single" w:sz="18" w:space="0" w:color="FFFFFF"/>
              <w:left w:val="single" w:sz="18" w:space="0" w:color="FFFFFF"/>
              <w:right w:val="single" w:sz="2" w:space="0" w:color="FFFFFF"/>
            </w:tcBorders>
            <w:shd w:val="clear" w:color="auto" w:fill="CCC0D9"/>
          </w:tcPr>
          <w:p w14:paraId="1547039A" w14:textId="77777777" w:rsidR="0020660D" w:rsidRPr="00257F44" w:rsidRDefault="0020660D" w:rsidP="00BF1742">
            <w:pPr>
              <w:rPr>
                <w:rFonts w:ascii="Zapf Dingbats" w:hAnsi="Zapf Dingbats" w:cs="Gill Sans"/>
                <w:sz w:val="22"/>
                <w:szCs w:val="22"/>
                <w:lang w:val="uk-UA"/>
              </w:rPr>
            </w:pPr>
          </w:p>
        </w:tc>
        <w:tc>
          <w:tcPr>
            <w:tcW w:w="356" w:type="dxa"/>
            <w:vMerge w:val="restart"/>
            <w:tcBorders>
              <w:top w:val="single" w:sz="18" w:space="0" w:color="FFFFFF"/>
              <w:left w:val="single" w:sz="2" w:space="0" w:color="FFFFFF"/>
              <w:right w:val="single" w:sz="2" w:space="0" w:color="FFFFFF"/>
            </w:tcBorders>
            <w:shd w:val="clear" w:color="auto" w:fill="CCC0D9"/>
          </w:tcPr>
          <w:p w14:paraId="6061D8E0" w14:textId="77777777" w:rsidR="0020660D" w:rsidRPr="00257F44" w:rsidRDefault="0020660D" w:rsidP="00BF1742">
            <w:pPr>
              <w:rPr>
                <w:rFonts w:ascii="Zapf Dingbats" w:hAnsi="Zapf Dingbats" w:cs="Gill Sans"/>
                <w:sz w:val="22"/>
                <w:szCs w:val="22"/>
                <w:lang w:val="uk-UA"/>
              </w:rPr>
            </w:pPr>
          </w:p>
        </w:tc>
        <w:tc>
          <w:tcPr>
            <w:tcW w:w="356" w:type="dxa"/>
            <w:vMerge w:val="restart"/>
            <w:tcBorders>
              <w:top w:val="single" w:sz="18" w:space="0" w:color="FFFFFF"/>
              <w:left w:val="single" w:sz="2" w:space="0" w:color="FFFFFF"/>
              <w:right w:val="single" w:sz="2" w:space="0" w:color="FFFFFF"/>
            </w:tcBorders>
            <w:shd w:val="clear" w:color="auto" w:fill="CCC0D9"/>
          </w:tcPr>
          <w:p w14:paraId="24C9F07A" w14:textId="709FCEA2" w:rsidR="0020660D" w:rsidRPr="00257F44" w:rsidRDefault="0020660D" w:rsidP="00BF1742">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356" w:type="dxa"/>
            <w:vMerge w:val="restart"/>
            <w:tcBorders>
              <w:top w:val="single" w:sz="18" w:space="0" w:color="FFFFFF"/>
              <w:left w:val="single" w:sz="2" w:space="0" w:color="FFFFFF"/>
              <w:right w:val="single" w:sz="18" w:space="0" w:color="FFFFFF"/>
            </w:tcBorders>
            <w:shd w:val="clear" w:color="auto" w:fill="CCC0D9"/>
          </w:tcPr>
          <w:p w14:paraId="721B4FC2" w14:textId="3DC707DA" w:rsidR="0020660D" w:rsidRPr="00257F44" w:rsidRDefault="0020660D" w:rsidP="00BF1742">
            <w:pPr>
              <w:rPr>
                <w:rFonts w:ascii="Zapf Dingbats" w:hAnsi="Zapf Dingbats" w:cs="Gill Sans"/>
                <w:sz w:val="22"/>
                <w:szCs w:val="22"/>
                <w:lang w:val="uk-UA"/>
              </w:rPr>
            </w:pPr>
          </w:p>
        </w:tc>
        <w:tc>
          <w:tcPr>
            <w:tcW w:w="531"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1CCFC4B5" w14:textId="77777777" w:rsidR="0020660D" w:rsidRPr="00257F44" w:rsidRDefault="0020660D" w:rsidP="00BF1742">
            <w:pPr>
              <w:rPr>
                <w:rFonts w:ascii="Zapf Dingbats" w:hAnsi="Zapf Dingbats" w:cs="Gill Sans"/>
                <w:sz w:val="22"/>
                <w:szCs w:val="22"/>
                <w:lang w:val="uk-UA"/>
              </w:rPr>
            </w:pPr>
          </w:p>
        </w:tc>
        <w:tc>
          <w:tcPr>
            <w:tcW w:w="531"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69BA17B6" w14:textId="77777777" w:rsidR="0020660D" w:rsidRPr="00257F44" w:rsidRDefault="0020660D" w:rsidP="00BF1742">
            <w:pPr>
              <w:rPr>
                <w:rFonts w:ascii="Zapf Dingbats" w:hAnsi="Zapf Dingbats" w:cs="Gill Sans"/>
                <w:sz w:val="22"/>
                <w:szCs w:val="22"/>
                <w:lang w:val="uk-UA"/>
              </w:rPr>
            </w:pPr>
          </w:p>
        </w:tc>
        <w:tc>
          <w:tcPr>
            <w:tcW w:w="444"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232C97A8" w14:textId="1784F85C" w:rsidR="0020660D" w:rsidRPr="00257F44" w:rsidRDefault="0020660D" w:rsidP="00BF1742">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531"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00C2C926" w14:textId="6338A3CE" w:rsidR="0020660D" w:rsidRPr="00257F44" w:rsidRDefault="0020660D" w:rsidP="00BF1742">
            <w:pPr>
              <w:rPr>
                <w:rFonts w:ascii="Gill Sans" w:hAnsi="Gill Sans" w:cs="Gill Sans"/>
                <w:sz w:val="22"/>
                <w:szCs w:val="22"/>
                <w:lang w:val="uk-UA"/>
              </w:rPr>
            </w:pPr>
          </w:p>
        </w:tc>
        <w:tc>
          <w:tcPr>
            <w:tcW w:w="356" w:type="dxa"/>
            <w:vMerge w:val="restart"/>
            <w:tcBorders>
              <w:top w:val="single" w:sz="18" w:space="0" w:color="FFFFFF"/>
              <w:left w:val="single" w:sz="18" w:space="0" w:color="FFFFFF"/>
              <w:right w:val="single" w:sz="2" w:space="0" w:color="FFFFFF"/>
            </w:tcBorders>
            <w:shd w:val="clear" w:color="auto" w:fill="D99594"/>
          </w:tcPr>
          <w:p w14:paraId="4BAB645C" w14:textId="77777777" w:rsidR="0020660D" w:rsidRPr="00257F44" w:rsidRDefault="0020660D" w:rsidP="00BF1742">
            <w:pPr>
              <w:rPr>
                <w:rFonts w:ascii="Gill Sans" w:hAnsi="Gill Sans" w:cs="Gill Sans"/>
                <w:sz w:val="22"/>
                <w:szCs w:val="22"/>
                <w:lang w:val="uk-UA"/>
              </w:rPr>
            </w:pPr>
          </w:p>
        </w:tc>
        <w:tc>
          <w:tcPr>
            <w:tcW w:w="356" w:type="dxa"/>
            <w:vMerge w:val="restart"/>
            <w:tcBorders>
              <w:top w:val="single" w:sz="18" w:space="0" w:color="FFFFFF"/>
              <w:left w:val="single" w:sz="2" w:space="0" w:color="FFFFFF"/>
              <w:right w:val="single" w:sz="2" w:space="0" w:color="FFFFFF"/>
            </w:tcBorders>
            <w:shd w:val="clear" w:color="auto" w:fill="D99594"/>
          </w:tcPr>
          <w:p w14:paraId="0936080D" w14:textId="518593B3" w:rsidR="0020660D" w:rsidRPr="00257F44" w:rsidRDefault="0020660D" w:rsidP="00BF1742">
            <w:pPr>
              <w:rPr>
                <w:rFonts w:ascii="Gill Sans" w:hAnsi="Gill Sans" w:cs="Gill Sans"/>
                <w:sz w:val="22"/>
                <w:szCs w:val="22"/>
                <w:lang w:val="uk-UA"/>
              </w:rPr>
            </w:pPr>
          </w:p>
        </w:tc>
        <w:tc>
          <w:tcPr>
            <w:tcW w:w="444" w:type="dxa"/>
            <w:vMerge w:val="restart"/>
            <w:tcBorders>
              <w:top w:val="single" w:sz="18" w:space="0" w:color="FFFFFF"/>
              <w:left w:val="single" w:sz="2" w:space="0" w:color="FFFFFF"/>
              <w:right w:val="single" w:sz="2" w:space="0" w:color="FFFFFF"/>
            </w:tcBorders>
            <w:shd w:val="clear" w:color="auto" w:fill="D99594"/>
          </w:tcPr>
          <w:p w14:paraId="78DF8581" w14:textId="77777777" w:rsidR="0020660D" w:rsidRPr="00257F44" w:rsidRDefault="0020660D" w:rsidP="00BF1742">
            <w:pPr>
              <w:rPr>
                <w:rFonts w:ascii="Gill Sans" w:hAnsi="Gill Sans" w:cs="Gill Sans"/>
                <w:sz w:val="22"/>
                <w:szCs w:val="22"/>
                <w:lang w:val="uk-UA"/>
              </w:rPr>
            </w:pPr>
          </w:p>
        </w:tc>
        <w:tc>
          <w:tcPr>
            <w:tcW w:w="356" w:type="dxa"/>
            <w:vMerge w:val="restart"/>
            <w:tcBorders>
              <w:top w:val="single" w:sz="18" w:space="0" w:color="FFFFFF"/>
              <w:left w:val="single" w:sz="2" w:space="0" w:color="FFFFFF"/>
              <w:right w:val="single" w:sz="2" w:space="0" w:color="FFFFFF"/>
            </w:tcBorders>
            <w:shd w:val="clear" w:color="auto" w:fill="D99594"/>
          </w:tcPr>
          <w:p w14:paraId="32119B34" w14:textId="0C802C72" w:rsidR="0020660D" w:rsidRPr="00257F44" w:rsidRDefault="0020660D" w:rsidP="00BF1742">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444" w:type="dxa"/>
            <w:vMerge w:val="restart"/>
            <w:tcBorders>
              <w:top w:val="single" w:sz="18" w:space="0" w:color="FFFFFF"/>
              <w:left w:val="single" w:sz="2" w:space="0" w:color="FFFFFF"/>
              <w:right w:val="single" w:sz="18" w:space="0" w:color="FFFFFF"/>
            </w:tcBorders>
            <w:shd w:val="clear" w:color="auto" w:fill="D99594"/>
          </w:tcPr>
          <w:p w14:paraId="687BDEBF" w14:textId="77777777" w:rsidR="0020660D" w:rsidRPr="00257F44" w:rsidRDefault="0020660D" w:rsidP="00BF1742">
            <w:pPr>
              <w:rPr>
                <w:rFonts w:ascii="Gill Sans" w:hAnsi="Gill Sans" w:cs="Gill Sans"/>
                <w:sz w:val="22"/>
                <w:szCs w:val="22"/>
                <w:lang w:val="uk-UA"/>
              </w:rPr>
            </w:pPr>
          </w:p>
        </w:tc>
      </w:tr>
      <w:tr w:rsidR="0020660D" w:rsidRPr="00257F44" w14:paraId="4486F89F" w14:textId="77777777" w:rsidTr="00741FD8">
        <w:trPr>
          <w:trHeight w:val="340"/>
        </w:trPr>
        <w:tc>
          <w:tcPr>
            <w:tcW w:w="1402" w:type="dxa"/>
            <w:vMerge/>
            <w:tcBorders>
              <w:left w:val="single" w:sz="4" w:space="0" w:color="FFFFFF"/>
              <w:right w:val="single" w:sz="18" w:space="0" w:color="FFFFFF"/>
            </w:tcBorders>
            <w:shd w:val="clear" w:color="auto" w:fill="000000"/>
          </w:tcPr>
          <w:p w14:paraId="44992850" w14:textId="77777777" w:rsidR="0020660D" w:rsidRPr="00257F44" w:rsidRDefault="0020660D" w:rsidP="00BF1742">
            <w:pPr>
              <w:rPr>
                <w:rFonts w:ascii="Gill Sans" w:hAnsi="Gill Sans" w:cs="Gill Sans"/>
                <w:color w:val="FFFFFF" w:themeColor="background1"/>
                <w:sz w:val="22"/>
                <w:szCs w:val="22"/>
                <w:lang w:val="uk-UA"/>
              </w:rPr>
            </w:pPr>
          </w:p>
        </w:tc>
        <w:tc>
          <w:tcPr>
            <w:tcW w:w="357" w:type="dxa"/>
            <w:vMerge/>
            <w:tcBorders>
              <w:left w:val="single" w:sz="18" w:space="0" w:color="FFFFFF"/>
              <w:right w:val="single" w:sz="2" w:space="0" w:color="FFFFFF"/>
            </w:tcBorders>
            <w:shd w:val="clear" w:color="auto" w:fill="D6E3BC"/>
          </w:tcPr>
          <w:p w14:paraId="42AC5D8E" w14:textId="77777777" w:rsidR="0020660D" w:rsidRPr="00257F44" w:rsidRDefault="0020660D" w:rsidP="00BF1742">
            <w:pPr>
              <w:rPr>
                <w:rFonts w:ascii="Gill Sans" w:hAnsi="Gill Sans" w:cs="Gill Sans"/>
                <w:sz w:val="22"/>
                <w:szCs w:val="22"/>
                <w:lang w:val="uk-UA"/>
              </w:rPr>
            </w:pPr>
          </w:p>
        </w:tc>
        <w:tc>
          <w:tcPr>
            <w:tcW w:w="356" w:type="dxa"/>
            <w:vMerge/>
            <w:tcBorders>
              <w:left w:val="single" w:sz="2" w:space="0" w:color="FFFFFF"/>
              <w:right w:val="single" w:sz="2" w:space="0" w:color="FFFFFF"/>
            </w:tcBorders>
            <w:shd w:val="clear" w:color="auto" w:fill="D6E3BC"/>
          </w:tcPr>
          <w:p w14:paraId="698DD7EA" w14:textId="77777777" w:rsidR="0020660D" w:rsidRPr="00257F44" w:rsidRDefault="0020660D" w:rsidP="00BF1742">
            <w:pPr>
              <w:rPr>
                <w:rFonts w:ascii="Zapf Dingbats" w:hAnsi="Zapf Dingbats" w:cs="Gill Sans"/>
                <w:sz w:val="22"/>
                <w:szCs w:val="22"/>
                <w:lang w:val="uk-UA"/>
              </w:rPr>
            </w:pPr>
          </w:p>
        </w:tc>
        <w:tc>
          <w:tcPr>
            <w:tcW w:w="356" w:type="dxa"/>
            <w:vMerge/>
            <w:tcBorders>
              <w:left w:val="single" w:sz="2" w:space="0" w:color="FFFFFF"/>
              <w:right w:val="single" w:sz="2" w:space="0" w:color="FFFFFF"/>
            </w:tcBorders>
            <w:shd w:val="clear" w:color="auto" w:fill="D6E3BC"/>
          </w:tcPr>
          <w:p w14:paraId="01A12938" w14:textId="77777777" w:rsidR="0020660D" w:rsidRPr="00257F44" w:rsidRDefault="0020660D" w:rsidP="00BF1742">
            <w:pPr>
              <w:rPr>
                <w:rFonts w:ascii="Zapf Dingbats" w:hAnsi="Zapf Dingbats" w:cs="Gill Sans"/>
                <w:sz w:val="22"/>
                <w:szCs w:val="22"/>
                <w:lang w:val="uk-UA"/>
              </w:rPr>
            </w:pPr>
          </w:p>
        </w:tc>
        <w:tc>
          <w:tcPr>
            <w:tcW w:w="444" w:type="dxa"/>
            <w:vMerge/>
            <w:tcBorders>
              <w:left w:val="single" w:sz="2" w:space="0" w:color="FFFFFF"/>
              <w:right w:val="single" w:sz="18" w:space="0" w:color="FFFFFF"/>
            </w:tcBorders>
            <w:shd w:val="clear" w:color="auto" w:fill="D6E3BC"/>
          </w:tcPr>
          <w:p w14:paraId="1EB6EA77" w14:textId="77777777" w:rsidR="0020660D" w:rsidRPr="00257F44" w:rsidRDefault="0020660D" w:rsidP="00BF1742">
            <w:pPr>
              <w:rPr>
                <w:rFonts w:ascii="Zapf Dingbats" w:hAnsi="Zapf Dingbats" w:cs="Gill Sans"/>
                <w:noProof/>
                <w:sz w:val="22"/>
                <w:szCs w:val="22"/>
                <w:lang w:val="uk-UA"/>
              </w:rPr>
            </w:pPr>
          </w:p>
        </w:tc>
        <w:tc>
          <w:tcPr>
            <w:tcW w:w="444" w:type="dxa"/>
            <w:vMerge/>
            <w:tcBorders>
              <w:left w:val="single" w:sz="2" w:space="0" w:color="FFFFFF"/>
              <w:right w:val="single" w:sz="2" w:space="0" w:color="FFFFFF"/>
            </w:tcBorders>
            <w:shd w:val="clear" w:color="auto" w:fill="FBD4B4"/>
          </w:tcPr>
          <w:p w14:paraId="6A4D95A5" w14:textId="77777777" w:rsidR="0020660D" w:rsidRPr="00257F44" w:rsidRDefault="0020660D" w:rsidP="00BF1742">
            <w:pPr>
              <w:rPr>
                <w:rFonts w:ascii="Zapf Dingbats" w:hAnsi="Zapf Dingbats" w:cs="Gill Sans"/>
                <w:sz w:val="22"/>
                <w:szCs w:val="22"/>
                <w:lang w:val="uk-UA"/>
              </w:rPr>
            </w:pPr>
          </w:p>
        </w:tc>
        <w:tc>
          <w:tcPr>
            <w:tcW w:w="356" w:type="dxa"/>
            <w:vMerge/>
            <w:tcBorders>
              <w:left w:val="single" w:sz="2" w:space="0" w:color="FFFFFF"/>
              <w:right w:val="single" w:sz="2" w:space="0" w:color="FFFFFF"/>
            </w:tcBorders>
            <w:shd w:val="clear" w:color="auto" w:fill="FBD4B4"/>
          </w:tcPr>
          <w:p w14:paraId="3D72CC0C" w14:textId="77777777" w:rsidR="0020660D" w:rsidRPr="00257F44" w:rsidRDefault="0020660D" w:rsidP="00BF1742">
            <w:pPr>
              <w:rPr>
                <w:rFonts w:ascii="Zapf Dingbats" w:hAnsi="Zapf Dingbats" w:cs="Gill Sans"/>
                <w:noProof/>
                <w:sz w:val="22"/>
                <w:szCs w:val="22"/>
                <w:lang w:val="uk-UA"/>
              </w:rPr>
            </w:pPr>
          </w:p>
        </w:tc>
        <w:tc>
          <w:tcPr>
            <w:tcW w:w="356" w:type="dxa"/>
            <w:vMerge/>
            <w:tcBorders>
              <w:left w:val="single" w:sz="2" w:space="0" w:color="FFFFFF"/>
              <w:right w:val="single" w:sz="2" w:space="0" w:color="FFFFFF"/>
            </w:tcBorders>
            <w:shd w:val="clear" w:color="auto" w:fill="FBD4B4"/>
          </w:tcPr>
          <w:p w14:paraId="780AB622" w14:textId="77777777" w:rsidR="0020660D" w:rsidRPr="00257F44" w:rsidRDefault="0020660D" w:rsidP="00BF1742">
            <w:pPr>
              <w:rPr>
                <w:rFonts w:ascii="Zapf Dingbats" w:hAnsi="Zapf Dingbats" w:cs="Gill Sans"/>
                <w:noProof/>
                <w:sz w:val="22"/>
                <w:szCs w:val="22"/>
                <w:lang w:val="uk-UA"/>
              </w:rPr>
            </w:pPr>
          </w:p>
        </w:tc>
        <w:tc>
          <w:tcPr>
            <w:tcW w:w="880" w:type="dxa"/>
            <w:vMerge/>
            <w:tcBorders>
              <w:left w:val="single" w:sz="2" w:space="0" w:color="FFFFFF"/>
              <w:right w:val="single" w:sz="18" w:space="0" w:color="FFFFFF"/>
            </w:tcBorders>
            <w:shd w:val="clear" w:color="auto" w:fill="FBD4B4"/>
          </w:tcPr>
          <w:p w14:paraId="4DFA2505" w14:textId="77777777" w:rsidR="0020660D" w:rsidRPr="00257F44" w:rsidRDefault="0020660D" w:rsidP="00BF1742">
            <w:pPr>
              <w:rPr>
                <w:rFonts w:ascii="Zapf Dingbats" w:hAnsi="Zapf Dingbats" w:cs="Gill Sans"/>
                <w:sz w:val="22"/>
                <w:szCs w:val="22"/>
                <w:lang w:val="uk-UA"/>
              </w:rPr>
            </w:pPr>
          </w:p>
        </w:tc>
        <w:tc>
          <w:tcPr>
            <w:tcW w:w="356" w:type="dxa"/>
            <w:vMerge/>
            <w:tcBorders>
              <w:left w:val="single" w:sz="18" w:space="0" w:color="FFFFFF"/>
              <w:right w:val="single" w:sz="2" w:space="0" w:color="FFFFFF"/>
            </w:tcBorders>
            <w:shd w:val="clear" w:color="auto" w:fill="CCC0D9"/>
          </w:tcPr>
          <w:p w14:paraId="106B1599" w14:textId="77777777" w:rsidR="0020660D" w:rsidRPr="00257F44" w:rsidRDefault="0020660D" w:rsidP="00BF1742">
            <w:pPr>
              <w:rPr>
                <w:rFonts w:ascii="Zapf Dingbats" w:hAnsi="Zapf Dingbats" w:cs="Gill Sans"/>
                <w:sz w:val="22"/>
                <w:szCs w:val="22"/>
                <w:lang w:val="uk-UA"/>
              </w:rPr>
            </w:pPr>
          </w:p>
        </w:tc>
        <w:tc>
          <w:tcPr>
            <w:tcW w:w="356" w:type="dxa"/>
            <w:vMerge/>
            <w:tcBorders>
              <w:left w:val="single" w:sz="2" w:space="0" w:color="FFFFFF"/>
              <w:right w:val="single" w:sz="2" w:space="0" w:color="FFFFFF"/>
            </w:tcBorders>
            <w:shd w:val="clear" w:color="auto" w:fill="CCC0D9"/>
          </w:tcPr>
          <w:p w14:paraId="77284DD2" w14:textId="77777777" w:rsidR="0020660D" w:rsidRPr="00257F44" w:rsidRDefault="0020660D" w:rsidP="00BF1742">
            <w:pPr>
              <w:rPr>
                <w:rFonts w:ascii="Zapf Dingbats" w:hAnsi="Zapf Dingbats" w:cs="Gill Sans"/>
                <w:sz w:val="22"/>
                <w:szCs w:val="22"/>
                <w:lang w:val="uk-UA"/>
              </w:rPr>
            </w:pPr>
          </w:p>
        </w:tc>
        <w:tc>
          <w:tcPr>
            <w:tcW w:w="356" w:type="dxa"/>
            <w:vMerge/>
            <w:tcBorders>
              <w:left w:val="single" w:sz="2" w:space="0" w:color="FFFFFF"/>
              <w:right w:val="single" w:sz="2" w:space="0" w:color="FFFFFF"/>
            </w:tcBorders>
            <w:shd w:val="clear" w:color="auto" w:fill="CCC0D9"/>
          </w:tcPr>
          <w:p w14:paraId="603E56D1" w14:textId="77777777" w:rsidR="0020660D" w:rsidRPr="00257F44" w:rsidRDefault="0020660D" w:rsidP="00BF1742">
            <w:pPr>
              <w:rPr>
                <w:rFonts w:ascii="Zapf Dingbats" w:hAnsi="Zapf Dingbats" w:cs="Gill Sans"/>
                <w:noProof/>
                <w:sz w:val="22"/>
                <w:szCs w:val="22"/>
                <w:lang w:val="uk-UA"/>
              </w:rPr>
            </w:pPr>
          </w:p>
        </w:tc>
        <w:tc>
          <w:tcPr>
            <w:tcW w:w="356" w:type="dxa"/>
            <w:vMerge/>
            <w:tcBorders>
              <w:left w:val="single" w:sz="2" w:space="0" w:color="FFFFFF"/>
              <w:right w:val="single" w:sz="18" w:space="0" w:color="FFFFFF"/>
            </w:tcBorders>
            <w:shd w:val="clear" w:color="auto" w:fill="CCC0D9"/>
          </w:tcPr>
          <w:p w14:paraId="52956E8F" w14:textId="77777777" w:rsidR="0020660D" w:rsidRPr="00257F44" w:rsidRDefault="0020660D" w:rsidP="00BF1742">
            <w:pPr>
              <w:rPr>
                <w:rFonts w:ascii="Zapf Dingbats" w:hAnsi="Zapf Dingbats" w:cs="Gill Sans"/>
                <w:sz w:val="22"/>
                <w:szCs w:val="22"/>
                <w:lang w:val="uk-UA"/>
              </w:rPr>
            </w:pPr>
          </w:p>
        </w:tc>
        <w:tc>
          <w:tcPr>
            <w:tcW w:w="531"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49BF4D99" w14:textId="77777777" w:rsidR="0020660D" w:rsidRPr="00257F44" w:rsidRDefault="0020660D" w:rsidP="00BF1742">
            <w:pPr>
              <w:rPr>
                <w:rFonts w:ascii="Zapf Dingbats" w:hAnsi="Zapf Dingbats" w:cs="Gill Sans"/>
                <w:sz w:val="22"/>
                <w:szCs w:val="22"/>
                <w:lang w:val="uk-UA"/>
              </w:rPr>
            </w:pPr>
          </w:p>
        </w:tc>
        <w:tc>
          <w:tcPr>
            <w:tcW w:w="531"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4B10C4C4" w14:textId="77777777" w:rsidR="0020660D" w:rsidRPr="00257F44" w:rsidRDefault="0020660D" w:rsidP="00BF1742">
            <w:pPr>
              <w:rPr>
                <w:rFonts w:ascii="Zapf Dingbats" w:hAnsi="Zapf Dingbats" w:cs="Gill Sans"/>
                <w:sz w:val="22"/>
                <w:szCs w:val="22"/>
                <w:lang w:val="uk-UA"/>
              </w:rPr>
            </w:pPr>
          </w:p>
        </w:tc>
        <w:tc>
          <w:tcPr>
            <w:tcW w:w="444"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5D597967" w14:textId="167B4D21" w:rsidR="0020660D" w:rsidRPr="00257F44" w:rsidRDefault="0020660D" w:rsidP="00BF1742">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531"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4C935B54" w14:textId="0EF1137E" w:rsidR="0020660D" w:rsidRPr="00257F44" w:rsidRDefault="0020660D" w:rsidP="00BF1742">
            <w:pPr>
              <w:jc w:val="center"/>
              <w:rPr>
                <w:rFonts w:ascii="Gill Sans" w:hAnsi="Gill Sans" w:cs="Gill Sans"/>
                <w:sz w:val="22"/>
                <w:szCs w:val="22"/>
                <w:lang w:val="uk-UA"/>
              </w:rPr>
            </w:pPr>
          </w:p>
        </w:tc>
        <w:tc>
          <w:tcPr>
            <w:tcW w:w="356" w:type="dxa"/>
            <w:vMerge/>
            <w:tcBorders>
              <w:left w:val="single" w:sz="18" w:space="0" w:color="FFFFFF"/>
              <w:right w:val="single" w:sz="2" w:space="0" w:color="FFFFFF"/>
            </w:tcBorders>
            <w:shd w:val="clear" w:color="auto" w:fill="D99594"/>
          </w:tcPr>
          <w:p w14:paraId="4C238978" w14:textId="77777777" w:rsidR="0020660D" w:rsidRPr="00257F44" w:rsidRDefault="0020660D" w:rsidP="00BF1742">
            <w:pPr>
              <w:rPr>
                <w:rFonts w:ascii="Gill Sans" w:hAnsi="Gill Sans" w:cs="Gill Sans"/>
                <w:sz w:val="22"/>
                <w:szCs w:val="22"/>
                <w:lang w:val="uk-UA"/>
              </w:rPr>
            </w:pPr>
          </w:p>
        </w:tc>
        <w:tc>
          <w:tcPr>
            <w:tcW w:w="356" w:type="dxa"/>
            <w:vMerge/>
            <w:tcBorders>
              <w:left w:val="single" w:sz="2" w:space="0" w:color="FFFFFF"/>
              <w:right w:val="single" w:sz="2" w:space="0" w:color="FFFFFF"/>
            </w:tcBorders>
            <w:shd w:val="clear" w:color="auto" w:fill="D99594"/>
          </w:tcPr>
          <w:p w14:paraId="0A5DA646" w14:textId="77777777" w:rsidR="0020660D" w:rsidRPr="00257F44" w:rsidRDefault="0020660D" w:rsidP="00BF1742">
            <w:pPr>
              <w:rPr>
                <w:rFonts w:ascii="Gill Sans" w:hAnsi="Gill Sans" w:cs="Gill Sans"/>
                <w:sz w:val="22"/>
                <w:szCs w:val="22"/>
                <w:lang w:val="uk-UA"/>
              </w:rPr>
            </w:pPr>
          </w:p>
        </w:tc>
        <w:tc>
          <w:tcPr>
            <w:tcW w:w="444" w:type="dxa"/>
            <w:vMerge/>
            <w:tcBorders>
              <w:left w:val="single" w:sz="2" w:space="0" w:color="FFFFFF"/>
              <w:right w:val="single" w:sz="2" w:space="0" w:color="FFFFFF"/>
            </w:tcBorders>
            <w:shd w:val="clear" w:color="auto" w:fill="D99594"/>
          </w:tcPr>
          <w:p w14:paraId="45C09190" w14:textId="77777777" w:rsidR="0020660D" w:rsidRPr="00257F44" w:rsidRDefault="0020660D" w:rsidP="00BF1742">
            <w:pPr>
              <w:rPr>
                <w:rFonts w:ascii="Gill Sans" w:hAnsi="Gill Sans" w:cs="Gill Sans"/>
                <w:sz w:val="22"/>
                <w:szCs w:val="22"/>
                <w:lang w:val="uk-UA"/>
              </w:rPr>
            </w:pPr>
          </w:p>
        </w:tc>
        <w:tc>
          <w:tcPr>
            <w:tcW w:w="356" w:type="dxa"/>
            <w:vMerge/>
            <w:tcBorders>
              <w:left w:val="single" w:sz="2" w:space="0" w:color="FFFFFF"/>
              <w:right w:val="single" w:sz="2" w:space="0" w:color="FFFFFF"/>
            </w:tcBorders>
            <w:shd w:val="clear" w:color="auto" w:fill="D99594"/>
          </w:tcPr>
          <w:p w14:paraId="079D1BC1" w14:textId="77777777" w:rsidR="0020660D" w:rsidRPr="00257F44" w:rsidRDefault="0020660D" w:rsidP="00BF1742">
            <w:pPr>
              <w:rPr>
                <w:rFonts w:ascii="Gill Sans" w:hAnsi="Gill Sans" w:cs="Gill Sans"/>
                <w:noProof/>
                <w:sz w:val="22"/>
                <w:szCs w:val="22"/>
                <w:lang w:val="uk-UA"/>
              </w:rPr>
            </w:pPr>
          </w:p>
        </w:tc>
        <w:tc>
          <w:tcPr>
            <w:tcW w:w="444" w:type="dxa"/>
            <w:vMerge/>
            <w:tcBorders>
              <w:left w:val="single" w:sz="2" w:space="0" w:color="FFFFFF"/>
              <w:right w:val="single" w:sz="18" w:space="0" w:color="FFFFFF"/>
            </w:tcBorders>
            <w:shd w:val="clear" w:color="auto" w:fill="D99594"/>
          </w:tcPr>
          <w:p w14:paraId="313E77CE" w14:textId="77777777" w:rsidR="0020660D" w:rsidRPr="00257F44" w:rsidRDefault="0020660D" w:rsidP="00BF1742">
            <w:pPr>
              <w:rPr>
                <w:rFonts w:ascii="Gill Sans" w:hAnsi="Gill Sans" w:cs="Gill Sans"/>
                <w:sz w:val="22"/>
                <w:szCs w:val="22"/>
                <w:lang w:val="uk-UA"/>
              </w:rPr>
            </w:pPr>
          </w:p>
        </w:tc>
      </w:tr>
    </w:tbl>
    <w:p w14:paraId="5B07CB9E" w14:textId="77777777" w:rsidR="00B51958" w:rsidRPr="00257F44" w:rsidRDefault="00B51958" w:rsidP="006319F4">
      <w:pPr>
        <w:pStyle w:val="Heading3"/>
        <w:rPr>
          <w:lang w:val="uk-UA"/>
        </w:rPr>
      </w:pPr>
    </w:p>
    <w:p w14:paraId="078F35C6" w14:textId="77777777" w:rsidR="00741FD8" w:rsidRPr="00257F44" w:rsidRDefault="00741FD8" w:rsidP="00FF3C38">
      <w:pPr>
        <w:pStyle w:val="Heading3"/>
        <w:spacing w:after="120"/>
        <w:rPr>
          <w:lang w:val="uk-UA"/>
        </w:rPr>
      </w:pPr>
      <w:r w:rsidRPr="00257F44">
        <w:rPr>
          <w:lang w:val="uk-UA"/>
        </w:rPr>
        <w:t>Мета зобов’язання</w:t>
      </w:r>
    </w:p>
    <w:p w14:paraId="4EA69235" w14:textId="031B021E" w:rsidR="00536DEE" w:rsidRPr="00257F44" w:rsidRDefault="006E18E4" w:rsidP="00FF3C38">
      <w:pPr>
        <w:spacing w:after="120"/>
        <w:rPr>
          <w:rFonts w:ascii="Gill Sans" w:hAnsi="Gill Sans" w:cs="Gill Sans"/>
          <w:sz w:val="22"/>
          <w:szCs w:val="22"/>
          <w:lang w:val="uk-UA"/>
        </w:rPr>
      </w:pPr>
      <w:r w:rsidRPr="00257F44">
        <w:rPr>
          <w:rFonts w:ascii="Gill Sans" w:hAnsi="Gill Sans" w:cs="Gill Sans"/>
          <w:sz w:val="22"/>
          <w:szCs w:val="22"/>
          <w:lang w:val="uk-UA"/>
        </w:rPr>
        <w:t xml:space="preserve">У жовтні 2013 року, до початку періоду виконання плану дій, Україна була прийнята до Ініціативи прозорості видобувних галузей (ІПВГ) в якості країни-кандидата. Це зобов’язання мало на меті </w:t>
      </w:r>
      <w:r w:rsidR="00DE2735" w:rsidRPr="00257F44">
        <w:rPr>
          <w:rFonts w:ascii="Gill Sans" w:hAnsi="Gill Sans" w:cs="Gill Sans"/>
          <w:sz w:val="22"/>
          <w:szCs w:val="22"/>
          <w:lang w:val="uk-UA"/>
        </w:rPr>
        <w:t>просунути Україну на шляху до досягнення відповідності</w:t>
      </w:r>
      <w:r w:rsidR="00075044" w:rsidRPr="00257F44">
        <w:rPr>
          <w:rFonts w:ascii="Gill Sans" w:hAnsi="Gill Sans" w:cs="Gill Sans"/>
          <w:sz w:val="22"/>
          <w:szCs w:val="22"/>
          <w:lang w:val="uk-UA"/>
        </w:rPr>
        <w:t xml:space="preserve"> стандартам ІПВГ, що було </w:t>
      </w:r>
      <w:r w:rsidR="00E025E5" w:rsidRPr="00257F44">
        <w:rPr>
          <w:rFonts w:ascii="Gill Sans" w:hAnsi="Gill Sans" w:cs="Gill Sans"/>
          <w:sz w:val="22"/>
          <w:szCs w:val="22"/>
          <w:lang w:val="uk-UA"/>
        </w:rPr>
        <w:t xml:space="preserve">б </w:t>
      </w:r>
      <w:r w:rsidR="00075044" w:rsidRPr="00257F44">
        <w:rPr>
          <w:rFonts w:ascii="Gill Sans" w:hAnsi="Gill Sans" w:cs="Gill Sans"/>
          <w:sz w:val="22"/>
          <w:szCs w:val="22"/>
          <w:lang w:val="uk-UA"/>
        </w:rPr>
        <w:t>важливим кроком для забезпечення прозорості та запобігання розкраданню доходів, отриманих від видобувної галузі.</w:t>
      </w:r>
      <w:r w:rsidR="005215FB" w:rsidRPr="00257F44">
        <w:rPr>
          <w:rFonts w:ascii="Gill Sans" w:hAnsi="Gill Sans" w:cs="Gill Sans"/>
          <w:sz w:val="22"/>
          <w:szCs w:val="22"/>
          <w:lang w:val="uk-UA"/>
        </w:rPr>
        <w:t xml:space="preserve"> Хоча назва зобов’язання (“Здійснення заходів”) була надто широкою, очікувані результати включали приведення національного законодавства у відповідність до стандартів ІПВГ</w:t>
      </w:r>
      <w:r w:rsidR="009D7923" w:rsidRPr="00257F44">
        <w:rPr>
          <w:rFonts w:ascii="Gill Sans" w:hAnsi="Gill Sans" w:cs="Gill Sans"/>
          <w:sz w:val="22"/>
          <w:szCs w:val="22"/>
          <w:lang w:val="uk-UA"/>
        </w:rPr>
        <w:t xml:space="preserve"> та підготовку звіту відповідно до зазначених стандартів. Подібне зобов’язання було включено </w:t>
      </w:r>
      <w:r w:rsidR="00E025E5" w:rsidRPr="00257F44">
        <w:rPr>
          <w:rFonts w:ascii="Gill Sans" w:hAnsi="Gill Sans" w:cs="Gill Sans"/>
          <w:sz w:val="22"/>
          <w:szCs w:val="22"/>
          <w:lang w:val="uk-UA"/>
        </w:rPr>
        <w:t>й у</w:t>
      </w:r>
      <w:r w:rsidR="009D7923" w:rsidRPr="00257F44">
        <w:rPr>
          <w:rFonts w:ascii="Gill Sans" w:hAnsi="Gill Sans" w:cs="Gill Sans"/>
          <w:sz w:val="22"/>
          <w:szCs w:val="22"/>
          <w:lang w:val="uk-UA"/>
        </w:rPr>
        <w:t xml:space="preserve"> попередній план дій ПВУ. Відповідно до </w:t>
      </w:r>
      <w:r w:rsidR="00E025E5" w:rsidRPr="00257F44">
        <w:rPr>
          <w:rFonts w:ascii="Gill Sans" w:hAnsi="Gill Sans" w:cs="Gill Sans"/>
          <w:sz w:val="22"/>
          <w:szCs w:val="22"/>
          <w:lang w:val="uk-UA"/>
        </w:rPr>
        <w:t xml:space="preserve">даних </w:t>
      </w:r>
      <w:r w:rsidR="009D7923" w:rsidRPr="00257F44">
        <w:rPr>
          <w:rFonts w:ascii="Gill Sans" w:hAnsi="Gill Sans" w:cs="Gill Sans"/>
          <w:sz w:val="22"/>
          <w:szCs w:val="22"/>
          <w:lang w:val="uk-UA"/>
        </w:rPr>
        <w:t xml:space="preserve">Державної служби статистики, внесок нафтогазової галузі </w:t>
      </w:r>
      <w:r w:rsidR="009A136D" w:rsidRPr="00257F44">
        <w:rPr>
          <w:rFonts w:ascii="Gill Sans" w:hAnsi="Gill Sans" w:cs="Gill Sans"/>
          <w:sz w:val="22"/>
          <w:szCs w:val="22"/>
          <w:lang w:val="uk-UA"/>
        </w:rPr>
        <w:t>до ВВП України становить</w:t>
      </w:r>
      <w:r w:rsidR="00A34BB6" w:rsidRPr="00257F44">
        <w:rPr>
          <w:rFonts w:ascii="Gill Sans" w:hAnsi="Gill Sans" w:cs="Gill Sans"/>
          <w:sz w:val="22"/>
          <w:szCs w:val="22"/>
          <w:lang w:val="uk-UA"/>
        </w:rPr>
        <w:t xml:space="preserve"> приблизно 1,3%. Звіт ІПВГ </w:t>
      </w:r>
      <w:r w:rsidR="009A136D" w:rsidRPr="00257F44">
        <w:rPr>
          <w:rFonts w:ascii="Gill Sans" w:hAnsi="Gill Sans" w:cs="Gill Sans"/>
          <w:sz w:val="22"/>
          <w:szCs w:val="22"/>
          <w:lang w:val="uk-UA"/>
        </w:rPr>
        <w:t>за 2013 рік задокументував 3,3 мільярдів</w:t>
      </w:r>
      <w:r w:rsidR="00A34BB6" w:rsidRPr="00257F44">
        <w:rPr>
          <w:rFonts w:ascii="Gill Sans" w:hAnsi="Gill Sans" w:cs="Gill Sans"/>
          <w:sz w:val="22"/>
          <w:szCs w:val="22"/>
          <w:lang w:val="uk-UA"/>
        </w:rPr>
        <w:t xml:space="preserve"> доларів США платежів нафтогазовими компаніями (у тому числі компаніями, що здійснюють</w:t>
      </w:r>
      <w:r w:rsidR="009A136D" w:rsidRPr="00257F44">
        <w:rPr>
          <w:rFonts w:ascii="Gill Sans" w:hAnsi="Gill Sans" w:cs="Gill Sans"/>
          <w:sz w:val="22"/>
          <w:szCs w:val="22"/>
          <w:lang w:val="uk-UA"/>
        </w:rPr>
        <w:t xml:space="preserve"> транспортування нафти та газу)</w:t>
      </w:r>
      <w:r w:rsidR="00090F51" w:rsidRPr="00257F44">
        <w:rPr>
          <w:rStyle w:val="EndnoteReference"/>
          <w:rFonts w:ascii="Gill Sans" w:hAnsi="Gill Sans" w:cs="Gill Sans"/>
          <w:sz w:val="22"/>
          <w:szCs w:val="22"/>
          <w:lang w:val="uk-UA"/>
        </w:rPr>
        <w:endnoteReference w:id="31"/>
      </w:r>
      <w:r w:rsidR="009A136D" w:rsidRPr="00257F44">
        <w:rPr>
          <w:rFonts w:ascii="Gill Sans" w:hAnsi="Gill Sans" w:cs="Gill Sans"/>
          <w:sz w:val="22"/>
          <w:szCs w:val="22"/>
          <w:lang w:val="uk-UA"/>
        </w:rPr>
        <w:t>.</w:t>
      </w:r>
    </w:p>
    <w:p w14:paraId="3711A534" w14:textId="77777777" w:rsidR="00741FD8" w:rsidRPr="00257F44" w:rsidRDefault="00741FD8" w:rsidP="00FF3C38">
      <w:pPr>
        <w:pStyle w:val="Heading3"/>
        <w:spacing w:after="120"/>
        <w:rPr>
          <w:lang w:val="uk-UA"/>
        </w:rPr>
      </w:pPr>
      <w:r w:rsidRPr="00257F44">
        <w:rPr>
          <w:lang w:val="uk-UA"/>
        </w:rPr>
        <w:t>Статус виконання</w:t>
      </w:r>
    </w:p>
    <w:p w14:paraId="3337EE56" w14:textId="6EA35BCA" w:rsidR="0014384C" w:rsidRPr="00257F44" w:rsidRDefault="00741FD8" w:rsidP="00FF3C38">
      <w:pPr>
        <w:pStyle w:val="Normalrglronly"/>
        <w:rPr>
          <w:b/>
          <w:lang w:val="uk-UA"/>
        </w:rPr>
      </w:pPr>
      <w:r w:rsidRPr="00257F44">
        <w:rPr>
          <w:b/>
          <w:lang w:val="uk-UA"/>
        </w:rPr>
        <w:t>Проміжний звіт: Значне виконання</w:t>
      </w:r>
    </w:p>
    <w:p w14:paraId="4F21FBAB" w14:textId="5C74060A" w:rsidR="00441998" w:rsidRPr="00257F44" w:rsidRDefault="00441998" w:rsidP="00FF3C38">
      <w:pPr>
        <w:pStyle w:val="Normalrglronly"/>
        <w:rPr>
          <w:noProof/>
          <w:lang w:val="uk-UA"/>
        </w:rPr>
      </w:pPr>
      <w:r w:rsidRPr="00257F44">
        <w:rPr>
          <w:noProof/>
          <w:lang w:val="uk-UA"/>
        </w:rPr>
        <w:t>Національна багатостороння група заінтересованих осіб (БГЗО) розробила технічне завдання для незалежного адміністратора першого звіту України в рамках ІПВГ. Звіт повинен був включати нафтогазовий сектор. За графіком, перший національний звіт в рамках ІПВГ повинен був бути підготовлений до кінця 2015 року</w:t>
      </w:r>
      <w:r w:rsidRPr="00257F44">
        <w:rPr>
          <w:rStyle w:val="EndnoteReference"/>
          <w:noProof/>
          <w:lang w:val="uk-UA"/>
        </w:rPr>
        <w:endnoteReference w:id="32"/>
      </w:r>
      <w:r w:rsidRPr="00257F44">
        <w:rPr>
          <w:noProof/>
          <w:lang w:val="uk-UA"/>
        </w:rPr>
        <w:t>. У серпні 2015 року, БГЗО відібрала компанію, Ernst &amp; Young, яка повинна була незалежно підготовувати звіт ІПВГ. Група також обрала національний секретаріат БГЗО шляхом відкритого конкурсу</w:t>
      </w:r>
      <w:r w:rsidRPr="00257F44">
        <w:rPr>
          <w:rStyle w:val="EndnoteReference"/>
          <w:noProof/>
          <w:lang w:val="uk-UA"/>
        </w:rPr>
        <w:endnoteReference w:id="33"/>
      </w:r>
      <w:r w:rsidRPr="00257F44">
        <w:rPr>
          <w:noProof/>
          <w:lang w:val="uk-UA"/>
        </w:rPr>
        <w:t xml:space="preserve">. Підготовку звіту було затримано через </w:t>
      </w:r>
      <w:r w:rsidRPr="00257F44">
        <w:rPr>
          <w:noProof/>
          <w:lang w:val="uk-UA"/>
        </w:rPr>
        <w:lastRenderedPageBreak/>
        <w:t xml:space="preserve">ненадання компанією “Укрнафта” (більшість акцій у якій належить державі) та Державною фіскальною службою інформації, </w:t>
      </w:r>
      <w:r w:rsidR="008D5A10" w:rsidRPr="00257F44">
        <w:rPr>
          <w:noProof/>
          <w:lang w:val="uk-UA"/>
        </w:rPr>
        <w:t>що була потрібна</w:t>
      </w:r>
      <w:r w:rsidRPr="00257F44">
        <w:rPr>
          <w:noProof/>
          <w:lang w:val="uk-UA"/>
        </w:rPr>
        <w:t xml:space="preserve"> для звіту</w:t>
      </w:r>
      <w:r w:rsidRPr="00257F44">
        <w:rPr>
          <w:rStyle w:val="EndnoteReference"/>
          <w:noProof/>
          <w:lang w:val="uk-UA"/>
        </w:rPr>
        <w:endnoteReference w:id="34"/>
      </w:r>
      <w:r w:rsidRPr="00257F44">
        <w:rPr>
          <w:noProof/>
          <w:lang w:val="uk-UA"/>
        </w:rPr>
        <w:t>.</w:t>
      </w:r>
    </w:p>
    <w:p w14:paraId="0E09D728" w14:textId="6A189C99" w:rsidR="00441998" w:rsidRPr="00257F44" w:rsidRDefault="00441998" w:rsidP="00FF3C38">
      <w:pPr>
        <w:spacing w:after="120"/>
        <w:rPr>
          <w:rFonts w:ascii="Gill Sans" w:hAnsi="Gill Sans" w:cs="Gill Sans"/>
          <w:sz w:val="22"/>
          <w:szCs w:val="22"/>
          <w:lang w:val="uk-UA"/>
        </w:rPr>
      </w:pPr>
      <w:r w:rsidRPr="00257F44">
        <w:rPr>
          <w:rFonts w:ascii="Gill Sans" w:hAnsi="Gill Sans" w:cs="Gill Sans"/>
          <w:noProof/>
          <w:sz w:val="22"/>
          <w:szCs w:val="22"/>
          <w:lang w:val="uk-UA"/>
        </w:rPr>
        <w:t xml:space="preserve">Крім того, </w:t>
      </w:r>
      <w:r w:rsidRPr="00257F44">
        <w:rPr>
          <w:rFonts w:ascii="Gill Sans" w:hAnsi="Gill Sans" w:cs="Gill Sans"/>
          <w:sz w:val="22"/>
          <w:szCs w:val="22"/>
          <w:lang w:val="uk-UA"/>
        </w:rPr>
        <w:t>у червні 2015 року, Верховна Рада України схвалила Закон про внесення змін до деяких законодавчих актів України щодо забезпечення прозорості у видобувних галузях. Законопроект був підготовлений членами багатосторонньої групи заінтересованих осіб та експертами громадських організацій. У своїй преамбулі Закон прямо посилається на план дій ПВУ. Він передбачає важливі зміни до Кодексу про надра та Закону про нафту і газ. Він також доручає Урядові розробити порядок забезпечення прозорості у видобувних галузях та забезпечити перехід на звітування надрокористувачів в Україні відповідно до міжнародних стандартів звітності. Зміни від червня 2015 року розглядалися як проміжний крок. БГЗО розпочала робот</w:t>
      </w:r>
      <w:r w:rsidR="008D5A10" w:rsidRPr="00257F44">
        <w:rPr>
          <w:rFonts w:ascii="Gill Sans" w:hAnsi="Gill Sans" w:cs="Gill Sans"/>
          <w:sz w:val="22"/>
          <w:szCs w:val="22"/>
          <w:lang w:val="uk-UA"/>
        </w:rPr>
        <w:t>у</w:t>
      </w:r>
      <w:r w:rsidRPr="00257F44">
        <w:rPr>
          <w:rFonts w:ascii="Gill Sans" w:hAnsi="Gill Sans" w:cs="Gill Sans"/>
          <w:sz w:val="22"/>
          <w:szCs w:val="22"/>
          <w:lang w:val="uk-UA"/>
        </w:rPr>
        <w:t xml:space="preserve"> над новим комплексним законопроектом щодо прозорості видобувних галузей</w:t>
      </w:r>
      <w:r w:rsidRPr="00257F44">
        <w:rPr>
          <w:rStyle w:val="EndnoteReference"/>
          <w:rFonts w:ascii="Gill Sans" w:hAnsi="Gill Sans" w:cs="Gill Sans"/>
          <w:sz w:val="22"/>
          <w:szCs w:val="22"/>
          <w:lang w:val="uk-UA"/>
        </w:rPr>
        <w:endnoteReference w:id="35"/>
      </w:r>
      <w:r w:rsidRPr="00257F44">
        <w:rPr>
          <w:rFonts w:ascii="Gill Sans" w:hAnsi="Gill Sans" w:cs="Gill Sans"/>
          <w:sz w:val="22"/>
          <w:szCs w:val="22"/>
          <w:lang w:val="uk-UA"/>
        </w:rPr>
        <w:t>.</w:t>
      </w:r>
    </w:p>
    <w:p w14:paraId="063F6634" w14:textId="6AED47AE" w:rsidR="0014384C" w:rsidRPr="00257F44" w:rsidRDefault="00741FD8" w:rsidP="00FF3C38">
      <w:pPr>
        <w:pStyle w:val="Normalrglronly"/>
        <w:rPr>
          <w:b/>
          <w:lang w:val="uk-UA"/>
        </w:rPr>
      </w:pPr>
      <w:r w:rsidRPr="00257F44">
        <w:rPr>
          <w:b/>
          <w:lang w:val="uk-UA"/>
        </w:rPr>
        <w:t>Підсумковий звіт</w:t>
      </w:r>
      <w:r w:rsidR="0014384C" w:rsidRPr="00257F44">
        <w:rPr>
          <w:b/>
          <w:lang w:val="uk-UA"/>
        </w:rPr>
        <w:t xml:space="preserve">: </w:t>
      </w:r>
      <w:r w:rsidRPr="00257F44">
        <w:rPr>
          <w:b/>
          <w:lang w:val="uk-UA"/>
        </w:rPr>
        <w:t>Значне виконання</w:t>
      </w:r>
    </w:p>
    <w:p w14:paraId="4098DA76" w14:textId="442FF112" w:rsidR="00441998" w:rsidRPr="00257F44" w:rsidRDefault="000130C8" w:rsidP="00FF3C38">
      <w:pPr>
        <w:spacing w:after="120"/>
        <w:rPr>
          <w:rFonts w:ascii="Gill Sans" w:hAnsi="Gill Sans" w:cs="Gill Sans"/>
          <w:noProof/>
          <w:sz w:val="22"/>
          <w:szCs w:val="22"/>
          <w:lang w:val="uk-UA"/>
        </w:rPr>
      </w:pPr>
      <w:r w:rsidRPr="00257F44">
        <w:rPr>
          <w:rFonts w:ascii="Gill Sans" w:hAnsi="Gill Sans" w:cs="Gill Sans"/>
          <w:noProof/>
          <w:sz w:val="22"/>
          <w:szCs w:val="22"/>
          <w:lang w:val="uk-UA"/>
        </w:rPr>
        <w:t>Перший звіт України в рамках ІПВГ за 2013 рік був оприлюднений у листопаді 2015 року. Валідація країни за Стандартом ІПВГ розпочнеться 1 липня 2017 року</w:t>
      </w:r>
      <w:r w:rsidRPr="00257F44">
        <w:rPr>
          <w:rStyle w:val="EndnoteReference"/>
          <w:rFonts w:ascii="Gill Sans" w:hAnsi="Gill Sans" w:cs="Gill Sans"/>
          <w:noProof/>
          <w:sz w:val="22"/>
          <w:szCs w:val="22"/>
          <w:lang w:val="uk-UA"/>
        </w:rPr>
        <w:endnoteReference w:id="36"/>
      </w:r>
      <w:r w:rsidRPr="00257F44">
        <w:rPr>
          <w:rFonts w:ascii="Gill Sans" w:hAnsi="Gill Sans" w:cs="Gill Sans"/>
          <w:noProof/>
          <w:sz w:val="22"/>
          <w:szCs w:val="22"/>
          <w:lang w:val="uk-UA"/>
        </w:rPr>
        <w:t xml:space="preserve">. Відповідо до урядового звіту </w:t>
      </w:r>
      <w:r w:rsidR="00DD618E" w:rsidRPr="00257F44">
        <w:rPr>
          <w:rFonts w:ascii="Gill Sans" w:hAnsi="Gill Sans" w:cs="Gill Sans"/>
          <w:noProof/>
          <w:sz w:val="22"/>
          <w:szCs w:val="22"/>
          <w:lang w:val="uk-UA"/>
        </w:rPr>
        <w:t>самооцінки</w:t>
      </w:r>
      <w:r w:rsidRPr="00257F44">
        <w:rPr>
          <w:rFonts w:ascii="Gill Sans" w:hAnsi="Gill Sans" w:cs="Gill Sans"/>
          <w:noProof/>
          <w:sz w:val="22"/>
          <w:szCs w:val="22"/>
          <w:lang w:val="uk-UA"/>
        </w:rPr>
        <w:t>, підготовку другого національного звіту було розпочато; за результатами тендеру, уряд відібрав незалежного адміністратора для підготовки звіту, який повинен бути завершений у грудні 2016 року</w:t>
      </w:r>
      <w:r w:rsidRPr="00257F44">
        <w:rPr>
          <w:rStyle w:val="EndnoteReference"/>
          <w:rFonts w:ascii="Gill Sans" w:hAnsi="Gill Sans" w:cs="Gill Sans"/>
          <w:noProof/>
          <w:sz w:val="22"/>
          <w:szCs w:val="22"/>
          <w:lang w:val="uk-UA"/>
        </w:rPr>
        <w:endnoteReference w:id="37"/>
      </w:r>
      <w:r w:rsidRPr="00257F44">
        <w:rPr>
          <w:rFonts w:ascii="Gill Sans" w:hAnsi="Gill Sans" w:cs="Gill Sans"/>
          <w:noProof/>
          <w:sz w:val="22"/>
          <w:szCs w:val="22"/>
          <w:lang w:val="uk-UA"/>
        </w:rPr>
        <w:t>. Другий національний звіт охоплюватиме сектори вугілля та залізної руди. У грудні 2015 року, Уряд затвердив порядок забе</w:t>
      </w:r>
      <w:r w:rsidR="008D5A10" w:rsidRPr="00257F44">
        <w:rPr>
          <w:rFonts w:ascii="Gill Sans" w:hAnsi="Gill Sans" w:cs="Gill Sans"/>
          <w:noProof/>
          <w:sz w:val="22"/>
          <w:szCs w:val="22"/>
          <w:lang w:val="uk-UA"/>
        </w:rPr>
        <w:t>зпечення прозорості у видобувни</w:t>
      </w:r>
      <w:r w:rsidR="00257F44">
        <w:rPr>
          <w:rFonts w:ascii="Gill Sans" w:hAnsi="Gill Sans" w:cs="Gill Sans"/>
          <w:noProof/>
          <w:sz w:val="22"/>
          <w:szCs w:val="22"/>
          <w:lang w:val="uk-UA"/>
        </w:rPr>
        <w:t>х галу</w:t>
      </w:r>
      <w:r w:rsidR="008D5A10" w:rsidRPr="00257F44">
        <w:rPr>
          <w:rFonts w:ascii="Gill Sans" w:hAnsi="Gill Sans" w:cs="Gill Sans"/>
          <w:noProof/>
          <w:sz w:val="22"/>
          <w:szCs w:val="22"/>
          <w:lang w:val="uk-UA"/>
        </w:rPr>
        <w:t>з</w:t>
      </w:r>
      <w:r w:rsidRPr="00257F44">
        <w:rPr>
          <w:rFonts w:ascii="Gill Sans" w:hAnsi="Gill Sans" w:cs="Gill Sans"/>
          <w:noProof/>
          <w:sz w:val="22"/>
          <w:szCs w:val="22"/>
          <w:lang w:val="uk-UA"/>
        </w:rPr>
        <w:t>ях згідно із законом 2015 року. Уряд також повідомив про низку інформаційних заходів із залученням громадянського суспільства.</w:t>
      </w:r>
    </w:p>
    <w:p w14:paraId="1972FB5C" w14:textId="79854DA7" w:rsidR="000130C8" w:rsidRPr="00257F44" w:rsidRDefault="000130C8" w:rsidP="00FF3C38">
      <w:pPr>
        <w:spacing w:after="120"/>
        <w:rPr>
          <w:rFonts w:ascii="Gill Sans" w:hAnsi="Gill Sans" w:cs="Gill Sans"/>
          <w:noProof/>
          <w:sz w:val="22"/>
          <w:szCs w:val="22"/>
          <w:lang w:val="uk-UA"/>
        </w:rPr>
      </w:pPr>
      <w:r w:rsidRPr="00257F44">
        <w:rPr>
          <w:rFonts w:ascii="Gill Sans" w:hAnsi="Gill Sans" w:cs="Gill Sans"/>
          <w:noProof/>
          <w:sz w:val="22"/>
          <w:szCs w:val="22"/>
          <w:lang w:val="uk-UA"/>
        </w:rPr>
        <w:t>У червні 2016 року, група н</w:t>
      </w:r>
      <w:r w:rsidR="00257F44">
        <w:rPr>
          <w:rFonts w:ascii="Gill Sans" w:hAnsi="Gill Sans" w:cs="Gill Sans"/>
          <w:noProof/>
          <w:sz w:val="22"/>
          <w:szCs w:val="22"/>
          <w:lang w:val="uk-UA"/>
        </w:rPr>
        <w:t>ародних депутатів України внесла</w:t>
      </w:r>
      <w:r w:rsidRPr="00257F44">
        <w:rPr>
          <w:rFonts w:ascii="Gill Sans" w:hAnsi="Gill Sans" w:cs="Gill Sans"/>
          <w:noProof/>
          <w:sz w:val="22"/>
          <w:szCs w:val="22"/>
          <w:lang w:val="uk-UA"/>
        </w:rPr>
        <w:t xml:space="preserve"> на рогляд парламенту проект закону про розкриття інформації у видобувних галузях. Законопроект розвиває положення закону 2015 року та </w:t>
      </w:r>
      <w:r w:rsidR="00844459" w:rsidRPr="00257F44">
        <w:rPr>
          <w:rFonts w:ascii="Gill Sans" w:hAnsi="Gill Sans" w:cs="Gill Sans"/>
          <w:noProof/>
          <w:sz w:val="22"/>
          <w:szCs w:val="22"/>
          <w:lang w:val="uk-UA"/>
        </w:rPr>
        <w:t xml:space="preserve">передбачає </w:t>
      </w:r>
      <w:r w:rsidRPr="00257F44">
        <w:rPr>
          <w:rFonts w:ascii="Gill Sans" w:hAnsi="Gill Sans" w:cs="Gill Sans"/>
          <w:noProof/>
          <w:sz w:val="22"/>
          <w:szCs w:val="22"/>
          <w:lang w:val="uk-UA"/>
        </w:rPr>
        <w:t xml:space="preserve">комплексну </w:t>
      </w:r>
      <w:r w:rsidR="00AA1995" w:rsidRPr="00257F44">
        <w:rPr>
          <w:rFonts w:ascii="Gill Sans" w:hAnsi="Gill Sans" w:cs="Gill Sans"/>
          <w:noProof/>
          <w:sz w:val="22"/>
          <w:szCs w:val="22"/>
          <w:lang w:val="uk-UA"/>
        </w:rPr>
        <w:t xml:space="preserve">систему прозорості в секторі. Його розробила БГЗО України за участі зовнішніх експертів та членів парламенту відповідно до рекомендацій з першого звіту ІПВГ. Законопроект інституціоналізує національний механізм координування та звітування в рамках ІПВГ, узгоджує українське законодавство з відповідним </w:t>
      </w:r>
      <w:r w:rsidR="00257F44">
        <w:rPr>
          <w:rFonts w:ascii="Gill Sans" w:hAnsi="Gill Sans" w:cs="Gill Sans"/>
          <w:noProof/>
          <w:sz w:val="22"/>
          <w:szCs w:val="22"/>
          <w:lang w:val="uk-UA"/>
        </w:rPr>
        <w:t>правом</w:t>
      </w:r>
      <w:r w:rsidR="00AA1995" w:rsidRPr="00257F44">
        <w:rPr>
          <w:rFonts w:ascii="Gill Sans" w:hAnsi="Gill Sans" w:cs="Gill Sans"/>
          <w:noProof/>
          <w:sz w:val="22"/>
          <w:szCs w:val="22"/>
          <w:lang w:val="uk-UA"/>
        </w:rPr>
        <w:t xml:space="preserve"> ЄС та встановлює детальні вимоги щодо розкриття інформації в секторі, у тому числі щодо бенефіціарної власності.</w:t>
      </w:r>
    </w:p>
    <w:p w14:paraId="4BDFE91F" w14:textId="5AF8D261" w:rsidR="0014384C" w:rsidRPr="00257F44" w:rsidRDefault="00741FD8" w:rsidP="00FF3C38">
      <w:pPr>
        <w:pStyle w:val="Heading3"/>
        <w:spacing w:after="120"/>
        <w:rPr>
          <w:lang w:val="uk-UA"/>
        </w:rPr>
      </w:pPr>
      <w:r w:rsidRPr="00257F44">
        <w:rPr>
          <w:lang w:val="uk-UA"/>
        </w:rPr>
        <w:t>Чи відкрило це уряд</w:t>
      </w:r>
      <w:r w:rsidR="0014384C" w:rsidRPr="00257F44">
        <w:rPr>
          <w:lang w:val="uk-UA"/>
        </w:rPr>
        <w:t>?</w:t>
      </w:r>
    </w:p>
    <w:p w14:paraId="3E146078" w14:textId="1D9B1503" w:rsidR="00741FD8" w:rsidRPr="00257F44" w:rsidRDefault="00741FD8" w:rsidP="00FF3C38">
      <w:pPr>
        <w:spacing w:after="120"/>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 xml:space="preserve">Доступ до інформації: </w:t>
      </w:r>
      <w:r w:rsidR="006F7939" w:rsidRPr="00257F44">
        <w:rPr>
          <w:rFonts w:ascii="Gill Sans" w:hAnsi="Gill Sans" w:cs="Gill Sans"/>
          <w:b/>
          <w:color w:val="000000" w:themeColor="text1"/>
          <w:sz w:val="22"/>
          <w:szCs w:val="22"/>
          <w:lang w:val="uk-UA"/>
        </w:rPr>
        <w:t>Значною мірою</w:t>
      </w:r>
    </w:p>
    <w:p w14:paraId="6181D294" w14:textId="138F3E52" w:rsidR="006F7939" w:rsidRPr="00257F44" w:rsidRDefault="006F7939" w:rsidP="00FF3C38">
      <w:pPr>
        <w:spacing w:after="120"/>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Громадська участь: Значною мірою</w:t>
      </w:r>
    </w:p>
    <w:p w14:paraId="35F61F1D" w14:textId="2EC5B9A1" w:rsidR="00741FD8" w:rsidRPr="00257F44" w:rsidRDefault="00741FD8" w:rsidP="00FF3C38">
      <w:pPr>
        <w:spacing w:after="120"/>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Підзвітність влади: Не змінило</w:t>
      </w:r>
    </w:p>
    <w:p w14:paraId="2D276A29" w14:textId="7BC54042" w:rsidR="00844459" w:rsidRPr="00257F44" w:rsidRDefault="003466EE" w:rsidP="00FF3C38">
      <w:pPr>
        <w:spacing w:after="120"/>
        <w:rPr>
          <w:rFonts w:ascii="Gill Sans" w:hAnsi="Gill Sans" w:cs="Gill Sans"/>
          <w:noProof/>
          <w:sz w:val="22"/>
          <w:szCs w:val="22"/>
          <w:lang w:val="uk-UA"/>
        </w:rPr>
      </w:pPr>
      <w:r w:rsidRPr="00257F44">
        <w:rPr>
          <w:rFonts w:ascii="Gill Sans" w:hAnsi="Gill Sans" w:cs="Gill Sans"/>
          <w:noProof/>
          <w:sz w:val="22"/>
          <w:szCs w:val="22"/>
          <w:lang w:val="uk-UA"/>
        </w:rPr>
        <w:t>Зобов</w:t>
      </w:r>
      <w:r w:rsidR="00FE6F1D">
        <w:rPr>
          <w:rFonts w:ascii="Gill Sans" w:hAnsi="Gill Sans" w:cs="Gill Sans"/>
          <w:noProof/>
          <w:sz w:val="22"/>
          <w:szCs w:val="22"/>
          <w:lang w:val="uk-UA"/>
        </w:rPr>
        <w:t>’язання мало на меті продовжити роботу</w:t>
      </w:r>
      <w:r w:rsidRPr="00257F44">
        <w:rPr>
          <w:rFonts w:ascii="Gill Sans" w:hAnsi="Gill Sans" w:cs="Gill Sans"/>
          <w:noProof/>
          <w:sz w:val="22"/>
          <w:szCs w:val="22"/>
          <w:lang w:val="uk-UA"/>
        </w:rPr>
        <w:t xml:space="preserve"> в напрямі досягнення відповідності міжнародним стандартам щодо прозорості у видобувних галузях. </w:t>
      </w:r>
      <w:r w:rsidR="005179FF" w:rsidRPr="00257F44">
        <w:rPr>
          <w:rFonts w:ascii="Gill Sans" w:hAnsi="Gill Sans" w:cs="Gill Sans"/>
          <w:noProof/>
          <w:sz w:val="22"/>
          <w:szCs w:val="22"/>
          <w:lang w:val="uk-UA"/>
        </w:rPr>
        <w:t xml:space="preserve">Якби загальна мета зобов’язання (а саме здобути статус відповідності) була досягнена, воно могло б мати трансформуючий ефект. Після затримки, уряд оприлюднив свій перший національний звіт у рамках ІПВГ, що стало важливою віхою. Звіт розкриває інформацію про ключові українські нафтогазові родовища, ліцензіатів, обсяги виробництва, а також платежі, які компанії зробили до бюджетів </w:t>
      </w:r>
      <w:r w:rsidR="00FE6F1D">
        <w:rPr>
          <w:rFonts w:ascii="Gill Sans" w:hAnsi="Gill Sans" w:cs="Gill Sans"/>
          <w:noProof/>
          <w:sz w:val="22"/>
          <w:szCs w:val="22"/>
          <w:lang w:val="uk-UA"/>
        </w:rPr>
        <w:t>всіх рівнів</w:t>
      </w:r>
      <w:r w:rsidR="005179FF" w:rsidRPr="00257F44">
        <w:rPr>
          <w:rFonts w:ascii="Gill Sans" w:hAnsi="Gill Sans" w:cs="Gill Sans"/>
          <w:noProof/>
          <w:sz w:val="22"/>
          <w:szCs w:val="22"/>
          <w:lang w:val="uk-UA"/>
        </w:rPr>
        <w:t>.</w:t>
      </w:r>
    </w:p>
    <w:p w14:paraId="72D12C90" w14:textId="6311906C" w:rsidR="005179FF" w:rsidRPr="00257F44" w:rsidRDefault="005179FF" w:rsidP="00FF3C38">
      <w:pPr>
        <w:spacing w:after="120"/>
        <w:rPr>
          <w:rFonts w:ascii="Gill Sans" w:hAnsi="Gill Sans" w:cs="Gill Sans"/>
          <w:noProof/>
          <w:sz w:val="22"/>
          <w:szCs w:val="22"/>
          <w:lang w:val="uk-UA"/>
        </w:rPr>
      </w:pPr>
      <w:r w:rsidRPr="00257F44">
        <w:rPr>
          <w:rFonts w:ascii="Gill Sans" w:hAnsi="Gill Sans" w:cs="Gill Sans"/>
          <w:noProof/>
          <w:sz w:val="22"/>
          <w:szCs w:val="22"/>
          <w:lang w:val="uk-UA"/>
        </w:rPr>
        <w:t>Уряд також розпочав підготовку другого національ</w:t>
      </w:r>
      <w:r w:rsidR="00FE6F1D">
        <w:rPr>
          <w:rFonts w:ascii="Gill Sans" w:hAnsi="Gill Sans" w:cs="Gill Sans"/>
          <w:noProof/>
          <w:sz w:val="22"/>
          <w:szCs w:val="22"/>
          <w:lang w:val="uk-UA"/>
        </w:rPr>
        <w:t>ного звіту. Крім того, парламент</w:t>
      </w:r>
      <w:r w:rsidRPr="00257F44">
        <w:rPr>
          <w:rFonts w:ascii="Gill Sans" w:hAnsi="Gill Sans" w:cs="Gill Sans"/>
          <w:noProof/>
          <w:sz w:val="22"/>
          <w:szCs w:val="22"/>
          <w:lang w:val="uk-UA"/>
        </w:rPr>
        <w:t xml:space="preserve"> ухвалив важливі зміни до законодавства з метою запровадження інструментів прозорості у видобувних галузях та в державній політиці. Було розроблено комплексний законопроект про прозорість у видобувному секторі, розгляд якого триває в парламенті. Процес ІПВГ в України був першим, який спирався на справжній багатосторонній діалог заінтересованих осіб у рамках відповідної групи, що включає низку НДО та експертів.</w:t>
      </w:r>
    </w:p>
    <w:p w14:paraId="7D75F17B" w14:textId="12737C71" w:rsidR="00F13978" w:rsidRPr="00257F44" w:rsidRDefault="005179FF" w:rsidP="00FF3C38">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До багатосторонньої групи входять шість ОГС </w:t>
      </w:r>
      <w:r w:rsidR="00302157" w:rsidRPr="00257F44">
        <w:rPr>
          <w:rFonts w:ascii="Gill Sans" w:hAnsi="Gill Sans" w:cs="Gill Sans"/>
          <w:noProof/>
          <w:sz w:val="22"/>
          <w:szCs w:val="22"/>
          <w:lang w:val="uk-UA"/>
        </w:rPr>
        <w:t xml:space="preserve">(Міжнародний фонд “Відродження”, “Центр глобалістичних стратегій XXI”, DIXI Group, Інститут сталого розвитку, Аналітичний центр регіонального співробітництва, </w:t>
      </w:r>
      <w:r w:rsidR="0052796A" w:rsidRPr="00257F44">
        <w:rPr>
          <w:rFonts w:ascii="Gill Sans" w:hAnsi="Gill Sans" w:cs="Gill Sans"/>
          <w:noProof/>
          <w:sz w:val="22"/>
          <w:szCs w:val="22"/>
          <w:lang w:val="uk-UA"/>
        </w:rPr>
        <w:t xml:space="preserve">філія </w:t>
      </w:r>
      <w:r w:rsidR="00302157" w:rsidRPr="00257F44">
        <w:rPr>
          <w:rFonts w:ascii="Gill Sans" w:hAnsi="Gill Sans" w:cs="Gill Sans"/>
          <w:noProof/>
          <w:sz w:val="22"/>
          <w:szCs w:val="22"/>
          <w:lang w:val="uk-UA"/>
        </w:rPr>
        <w:t>в Донецькій області ГО “Всеукраїнський народний контроль”)</w:t>
      </w:r>
      <w:r w:rsidR="00DD18F8" w:rsidRPr="00257F44">
        <w:rPr>
          <w:rFonts w:ascii="Gill Sans" w:hAnsi="Gill Sans" w:cs="Gill Sans"/>
          <w:noProof/>
          <w:sz w:val="22"/>
          <w:szCs w:val="22"/>
          <w:lang w:val="uk-UA"/>
        </w:rPr>
        <w:t>, шість приватни</w:t>
      </w:r>
      <w:r w:rsidR="00FE6F1D">
        <w:rPr>
          <w:rFonts w:ascii="Gill Sans" w:hAnsi="Gill Sans" w:cs="Gill Sans"/>
          <w:noProof/>
          <w:sz w:val="22"/>
          <w:szCs w:val="22"/>
          <w:lang w:val="uk-UA"/>
        </w:rPr>
        <w:t>х компаній та представники шести</w:t>
      </w:r>
      <w:r w:rsidR="00DD18F8" w:rsidRPr="00257F44">
        <w:rPr>
          <w:rFonts w:ascii="Gill Sans" w:hAnsi="Gill Sans" w:cs="Gill Sans"/>
          <w:noProof/>
          <w:sz w:val="22"/>
          <w:szCs w:val="22"/>
          <w:lang w:val="uk-UA"/>
        </w:rPr>
        <w:t xml:space="preserve"> міністерств. Як члени БГЗО, </w:t>
      </w:r>
      <w:r w:rsidR="00FE6F1D">
        <w:rPr>
          <w:rFonts w:ascii="Gill Sans" w:hAnsi="Gill Sans" w:cs="Gill Sans"/>
          <w:noProof/>
          <w:sz w:val="22"/>
          <w:szCs w:val="22"/>
          <w:lang w:val="uk-UA"/>
        </w:rPr>
        <w:t xml:space="preserve">громадськи об’єднання </w:t>
      </w:r>
      <w:r w:rsidR="00DD18F8" w:rsidRPr="00257F44">
        <w:rPr>
          <w:rFonts w:ascii="Gill Sans" w:hAnsi="Gill Sans" w:cs="Gill Sans"/>
          <w:noProof/>
          <w:sz w:val="22"/>
          <w:szCs w:val="22"/>
          <w:lang w:val="uk-UA"/>
        </w:rPr>
        <w:t xml:space="preserve">відіграють активну роль у моніторингу та оцінці відповідності ІПВГ. </w:t>
      </w:r>
      <w:r w:rsidR="00DD18F8" w:rsidRPr="00257F44">
        <w:rPr>
          <w:rFonts w:ascii="Gill Sans" w:hAnsi="Gill Sans" w:cs="Gill Sans"/>
          <w:noProof/>
          <w:sz w:val="22"/>
          <w:szCs w:val="22"/>
          <w:lang w:val="uk-UA"/>
        </w:rPr>
        <w:lastRenderedPageBreak/>
        <w:t xml:space="preserve">БГЗО здійснює контроль за звітуванням в рамках ІПВГ, у тому числі вибір та спрямування незалежного адміністратора, що відповідає за </w:t>
      </w:r>
      <w:r w:rsidR="00FE6F1D">
        <w:rPr>
          <w:rFonts w:ascii="Gill Sans" w:hAnsi="Gill Sans" w:cs="Gill Sans"/>
          <w:noProof/>
          <w:sz w:val="22"/>
          <w:szCs w:val="22"/>
          <w:lang w:val="uk-UA"/>
        </w:rPr>
        <w:t>проведення</w:t>
      </w:r>
      <w:r w:rsidR="00DD18F8" w:rsidRPr="00257F44">
        <w:rPr>
          <w:rFonts w:ascii="Gill Sans" w:hAnsi="Gill Sans" w:cs="Gill Sans"/>
          <w:noProof/>
          <w:sz w:val="22"/>
          <w:szCs w:val="22"/>
          <w:lang w:val="uk-UA"/>
        </w:rPr>
        <w:t xml:space="preserve"> оцінки. ОГС мають рівні повноваження з прийняття рішень, що й інші члени групи, та мають можливість безпосередньо впливати та визначати політику стосовно діяльності ІПВГ</w:t>
      </w:r>
      <w:r w:rsidR="00DD18F8" w:rsidRPr="00257F44">
        <w:rPr>
          <w:rStyle w:val="EndnoteReference"/>
          <w:rFonts w:ascii="Gill Sans" w:hAnsi="Gill Sans" w:cs="Gill Sans"/>
          <w:noProof/>
          <w:sz w:val="22"/>
          <w:szCs w:val="22"/>
          <w:lang w:val="uk-UA"/>
        </w:rPr>
        <w:endnoteReference w:id="38"/>
      </w:r>
      <w:r w:rsidR="00DD18F8" w:rsidRPr="00257F44">
        <w:rPr>
          <w:rFonts w:ascii="Gill Sans" w:hAnsi="Gill Sans" w:cs="Gill Sans"/>
          <w:noProof/>
          <w:sz w:val="22"/>
          <w:szCs w:val="22"/>
          <w:lang w:val="uk-UA"/>
        </w:rPr>
        <w:t xml:space="preserve">. Під </w:t>
      </w:r>
      <w:r w:rsidR="0052796A" w:rsidRPr="00257F44">
        <w:rPr>
          <w:rFonts w:ascii="Gill Sans" w:hAnsi="Gill Sans" w:cs="Gill Sans"/>
          <w:noProof/>
          <w:sz w:val="22"/>
          <w:szCs w:val="22"/>
          <w:lang w:val="uk-UA"/>
        </w:rPr>
        <w:t>ч</w:t>
      </w:r>
      <w:r w:rsidR="00DD18F8" w:rsidRPr="00257F44">
        <w:rPr>
          <w:rFonts w:ascii="Gill Sans" w:hAnsi="Gill Sans" w:cs="Gill Sans"/>
          <w:noProof/>
          <w:sz w:val="22"/>
          <w:szCs w:val="22"/>
          <w:lang w:val="uk-UA"/>
        </w:rPr>
        <w:t xml:space="preserve">ас своєї зустрічі у листопаді 2016 року, </w:t>
      </w:r>
      <w:r w:rsidR="0052796A" w:rsidRPr="00257F44">
        <w:rPr>
          <w:rFonts w:ascii="Gill Sans" w:hAnsi="Gill Sans" w:cs="Gill Sans"/>
          <w:noProof/>
          <w:sz w:val="22"/>
          <w:szCs w:val="22"/>
          <w:lang w:val="uk-UA"/>
        </w:rPr>
        <w:t>БГЗО вирішила провести навчання місцевих ГО</w:t>
      </w:r>
      <w:r w:rsidR="007A2F36" w:rsidRPr="00257F44">
        <w:rPr>
          <w:rFonts w:ascii="Gill Sans" w:hAnsi="Gill Sans" w:cs="Gill Sans"/>
          <w:noProof/>
          <w:sz w:val="22"/>
          <w:szCs w:val="22"/>
          <w:lang w:val="uk-UA"/>
        </w:rPr>
        <w:t xml:space="preserve"> </w:t>
      </w:r>
      <w:r w:rsidR="0052796A" w:rsidRPr="00257F44">
        <w:rPr>
          <w:rFonts w:ascii="Gill Sans" w:hAnsi="Gill Sans" w:cs="Gill Sans"/>
          <w:noProof/>
          <w:sz w:val="22"/>
          <w:szCs w:val="22"/>
          <w:lang w:val="uk-UA"/>
        </w:rPr>
        <w:t>щодо використання даних із звітів ІПВГ та моніторингу виконання рекомендацій</w:t>
      </w:r>
      <w:r w:rsidR="0052796A" w:rsidRPr="00257F44">
        <w:rPr>
          <w:rStyle w:val="EndnoteReference"/>
          <w:rFonts w:ascii="Gill Sans" w:eastAsia="Times New Roman" w:hAnsi="Gill Sans" w:cs="Gill Sans"/>
          <w:color w:val="2C3134"/>
          <w:sz w:val="22"/>
          <w:szCs w:val="22"/>
          <w:shd w:val="clear" w:color="auto" w:fill="FFFFFF"/>
          <w:lang w:val="uk-UA"/>
        </w:rPr>
        <w:endnoteReference w:id="39"/>
      </w:r>
      <w:r w:rsidR="0052796A" w:rsidRPr="00257F44">
        <w:rPr>
          <w:rFonts w:ascii="Gill Sans" w:hAnsi="Gill Sans" w:cs="Gill Sans"/>
          <w:noProof/>
          <w:sz w:val="22"/>
          <w:szCs w:val="22"/>
          <w:lang w:val="uk-UA"/>
        </w:rPr>
        <w:t>.</w:t>
      </w:r>
    </w:p>
    <w:p w14:paraId="2DED52EE" w14:textId="221D1532" w:rsidR="007A2F36" w:rsidRPr="00257F44" w:rsidRDefault="00A86965" w:rsidP="00FF3C38">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Усі ці заходи </w:t>
      </w:r>
      <w:r w:rsidR="00AC3FA0" w:rsidRPr="00257F44">
        <w:rPr>
          <w:rFonts w:ascii="Gill Sans" w:hAnsi="Gill Sans" w:cs="Gill Sans"/>
          <w:noProof/>
          <w:sz w:val="22"/>
          <w:szCs w:val="22"/>
          <w:lang w:val="uk-UA"/>
        </w:rPr>
        <w:t>значно наблизили України до повної відповідності стандартам ІПВГ, як це передбачено зобов’язанням. Співпраця з громадськістю</w:t>
      </w:r>
      <w:r w:rsidR="00FE6F1D">
        <w:rPr>
          <w:rFonts w:ascii="Gill Sans" w:hAnsi="Gill Sans" w:cs="Gill Sans"/>
          <w:noProof/>
          <w:sz w:val="22"/>
          <w:szCs w:val="22"/>
          <w:lang w:val="uk-UA"/>
        </w:rPr>
        <w:t xml:space="preserve"> в цьому процесі також покращила</w:t>
      </w:r>
      <w:r w:rsidR="00AC3FA0" w:rsidRPr="00257F44">
        <w:rPr>
          <w:rFonts w:ascii="Gill Sans" w:hAnsi="Gill Sans" w:cs="Gill Sans"/>
          <w:noProof/>
          <w:sz w:val="22"/>
          <w:szCs w:val="22"/>
          <w:lang w:val="uk-UA"/>
        </w:rPr>
        <w:t xml:space="preserve"> доступ до інформації та громадську участь значним чином.</w:t>
      </w:r>
    </w:p>
    <w:p w14:paraId="75E0F74D" w14:textId="77777777" w:rsidR="0042522E" w:rsidRPr="00257F44" w:rsidRDefault="0042522E" w:rsidP="00FF3C38">
      <w:pPr>
        <w:pStyle w:val="Heading3"/>
        <w:spacing w:after="120"/>
        <w:rPr>
          <w:lang w:val="uk-UA"/>
        </w:rPr>
      </w:pPr>
      <w:r w:rsidRPr="00257F44">
        <w:rPr>
          <w:lang w:val="uk-UA"/>
        </w:rPr>
        <w:t>Чи перенесено до наступного плану дій?</w:t>
      </w:r>
    </w:p>
    <w:p w14:paraId="71378530" w14:textId="12D63F2E" w:rsidR="003A6622" w:rsidRPr="00257F44" w:rsidRDefault="00AC3FA0" w:rsidP="00FF3C38">
      <w:pPr>
        <w:spacing w:after="120"/>
        <w:rPr>
          <w:rFonts w:ascii="Gill Sans" w:hAnsi="Gill Sans" w:cs="Gill Sans"/>
          <w:sz w:val="22"/>
          <w:szCs w:val="22"/>
          <w:lang w:val="uk-UA"/>
        </w:rPr>
        <w:sectPr w:rsidR="003A6622" w:rsidRPr="00257F44" w:rsidSect="002A2966">
          <w:endnotePr>
            <w:numFmt w:val="decimal"/>
            <w:numRestart w:val="eachSect"/>
          </w:endnotePr>
          <w:pgSz w:w="11907" w:h="16839" w:code="9"/>
          <w:pgMar w:top="1417" w:right="1417" w:bottom="1417" w:left="1417" w:header="0" w:footer="0" w:gutter="0"/>
          <w:cols w:space="708"/>
          <w:docGrid w:linePitch="360"/>
        </w:sectPr>
      </w:pPr>
      <w:r w:rsidRPr="00257F44">
        <w:rPr>
          <w:rFonts w:ascii="Gill Sans" w:hAnsi="Gill Sans" w:cs="Gill Sans"/>
          <w:sz w:val="22"/>
          <w:szCs w:val="22"/>
          <w:lang w:val="uk-UA"/>
        </w:rPr>
        <w:t>Це зобов’язання було перенесено до нового плану дій. Воно передбачає ухвалення закону про розкриття інформації у видобувних галузях та оприлюднення другого і третього національних звітів (у грудні 2016 рок та грудні 2017 року відповідно). Зобов’язання більше не спрямовано на досягнення відповідності України Стандарту ІПВГ, і це понижує його амбітність.</w:t>
      </w:r>
    </w:p>
    <w:p w14:paraId="31137B38" w14:textId="77777777" w:rsidR="00664E20" w:rsidRPr="00257F44" w:rsidRDefault="00664E20" w:rsidP="00664E20">
      <w:pPr>
        <w:pStyle w:val="Heading2"/>
        <w:spacing w:before="0" w:after="120"/>
        <w:rPr>
          <w:noProof/>
          <w:lang w:val="uk-UA"/>
        </w:rPr>
      </w:pPr>
      <w:bookmarkStart w:id="4" w:name="_Toc315983738"/>
      <w:bookmarkStart w:id="5" w:name="_Toc437543866"/>
      <w:r w:rsidRPr="00257F44">
        <w:rPr>
          <w:noProof/>
          <w:lang w:val="uk-UA"/>
        </w:rPr>
        <w:lastRenderedPageBreak/>
        <w:t>Тема 3. Запобігання та протидія корупції</w:t>
      </w:r>
      <w:bookmarkEnd w:id="4"/>
    </w:p>
    <w:bookmarkEnd w:id="5"/>
    <w:p w14:paraId="536AE59D" w14:textId="77777777" w:rsidR="00664E20" w:rsidRPr="00257F44" w:rsidRDefault="00664E20" w:rsidP="00664E20">
      <w:pPr>
        <w:pStyle w:val="Normalrglronly"/>
        <w:rPr>
          <w:b/>
          <w:lang w:val="uk-UA"/>
        </w:rPr>
      </w:pPr>
      <w:r w:rsidRPr="00257F44">
        <w:rPr>
          <w:b/>
          <w:lang w:val="uk-UA"/>
        </w:rPr>
        <w:t>9. Моніторинг інфраструктурних проектів</w:t>
      </w:r>
    </w:p>
    <w:p w14:paraId="46F7A2CF" w14:textId="77777777" w:rsidR="00664E20" w:rsidRPr="00257F44" w:rsidRDefault="00664E20" w:rsidP="00664E20">
      <w:pPr>
        <w:spacing w:after="120"/>
        <w:rPr>
          <w:rFonts w:ascii="Gill Sans" w:hAnsi="Gill Sans" w:cs="Gill Sans"/>
          <w:i/>
          <w:noProof/>
          <w:sz w:val="22"/>
          <w:szCs w:val="22"/>
          <w:lang w:val="uk-UA"/>
        </w:rPr>
      </w:pPr>
      <w:r w:rsidRPr="00257F44">
        <w:rPr>
          <w:rFonts w:ascii="Gill Sans" w:hAnsi="Gill Sans" w:cs="Gill Sans"/>
          <w:b/>
          <w:bCs/>
          <w:iCs/>
          <w:noProof/>
          <w:sz w:val="22"/>
          <w:szCs w:val="22"/>
          <w:lang w:val="uk-UA"/>
        </w:rPr>
        <w:t>Текст зобов’язання:</w:t>
      </w:r>
      <w:r w:rsidRPr="00257F44">
        <w:rPr>
          <w:rFonts w:ascii="Gill Sans" w:hAnsi="Gill Sans" w:cs="Gill Sans"/>
          <w:i/>
          <w:noProof/>
          <w:sz w:val="22"/>
          <w:szCs w:val="22"/>
          <w:lang w:val="uk-UA"/>
        </w:rPr>
        <w:t xml:space="preserve"> 9. Підготовка та подання в установленому порядку Кабінетові Міністрів України проекту Типового положення про моніторинговий комітет інфраструктурних проектів, яким передбачаються процедури формування наглядових рад за реалізацією інфраструктурних проектів загальнодержавного та регіонального рівня.</w:t>
      </w:r>
    </w:p>
    <w:p w14:paraId="252DB2D2" w14:textId="77777777" w:rsidR="00664E20" w:rsidRPr="00257F44" w:rsidRDefault="00664E20" w:rsidP="00664E20">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прийняття відповідної постанови Кабінету Міністрів України.</w:t>
      </w:r>
    </w:p>
    <w:p w14:paraId="6531F109" w14:textId="77777777" w:rsidR="00664E20" w:rsidRPr="00257F44" w:rsidRDefault="00664E20" w:rsidP="00664E20">
      <w:pPr>
        <w:spacing w:after="120"/>
        <w:rPr>
          <w:rFonts w:ascii="Gill Sans" w:hAnsi="Gill Sans" w:cs="Gill Sans"/>
          <w:sz w:val="22"/>
          <w:szCs w:val="22"/>
          <w:lang w:val="uk-UA"/>
        </w:rPr>
      </w:pPr>
      <w:r w:rsidRPr="00257F44">
        <w:rPr>
          <w:rFonts w:ascii="Gill Sans" w:hAnsi="Gill Sans" w:cs="Gill Sans"/>
          <w:sz w:val="22"/>
          <w:szCs w:val="22"/>
          <w:lang w:val="uk-UA"/>
        </w:rPr>
        <w:t>Головна інституція, відповідальна за виконання: Міністерство інфраструктури.</w:t>
      </w:r>
    </w:p>
    <w:p w14:paraId="47F8E2CD" w14:textId="77777777" w:rsidR="00664E20" w:rsidRPr="00257F44" w:rsidRDefault="00664E20" w:rsidP="00664E20">
      <w:pPr>
        <w:spacing w:after="120"/>
        <w:rPr>
          <w:rFonts w:ascii="Gill Sans" w:hAnsi="Gill Sans" w:cs="Gill Sans"/>
          <w:sz w:val="22"/>
          <w:szCs w:val="22"/>
          <w:lang w:val="uk-UA"/>
        </w:rPr>
      </w:pPr>
      <w:r w:rsidRPr="00257F44">
        <w:rPr>
          <w:rFonts w:ascii="Gill Sans" w:hAnsi="Gill Sans" w:cs="Gill Sans"/>
          <w:sz w:val="22"/>
          <w:szCs w:val="22"/>
          <w:lang w:val="uk-UA"/>
        </w:rPr>
        <w:t>Інші виконавці: Міністерство регіонального розвитку, Міністерство фінансів, ГО “Трансперенсі Інтернешнл Україна”, інші невизначені організації громадянського суспільства та міжнародні організації.</w:t>
      </w:r>
    </w:p>
    <w:p w14:paraId="3221A7F8" w14:textId="77777777" w:rsidR="00664E20" w:rsidRPr="00257F44" w:rsidRDefault="00664E20" w:rsidP="00664E20">
      <w:pPr>
        <w:spacing w:after="120"/>
        <w:rPr>
          <w:rFonts w:ascii="Gill Sans" w:hAnsi="Gill Sans" w:cs="Gill Sans"/>
          <w:sz w:val="22"/>
          <w:szCs w:val="22"/>
          <w:lang w:val="uk-UA"/>
        </w:rPr>
      </w:pPr>
      <w:r w:rsidRPr="00257F44">
        <w:rPr>
          <w:rFonts w:ascii="Gill Sans" w:hAnsi="Gill Sans" w:cs="Gill Sans"/>
          <w:sz w:val="22"/>
          <w:szCs w:val="22"/>
          <w:lang w:val="uk-UA"/>
        </w:rPr>
        <w:t>Дата початку: Не визначено</w:t>
      </w:r>
      <w:r w:rsidRPr="00257F44">
        <w:rPr>
          <w:rFonts w:ascii="Gill Sans" w:hAnsi="Gill Sans" w:cs="Gill Sans"/>
          <w:sz w:val="22"/>
          <w:szCs w:val="22"/>
          <w:lang w:val="uk-UA"/>
        </w:rPr>
        <w:tab/>
      </w:r>
      <w:r w:rsidRPr="00257F44">
        <w:rPr>
          <w:rFonts w:ascii="Gill Sans" w:hAnsi="Gill Sans" w:cs="Gill Sans"/>
          <w:sz w:val="22"/>
          <w:szCs w:val="22"/>
          <w:lang w:val="uk-UA"/>
        </w:rPr>
        <w:tab/>
      </w:r>
      <w:r w:rsidRPr="00257F44">
        <w:rPr>
          <w:rFonts w:ascii="Gill Sans" w:hAnsi="Gill Sans" w:cs="Gill Sans"/>
          <w:sz w:val="22"/>
          <w:szCs w:val="22"/>
          <w:lang w:val="uk-UA"/>
        </w:rPr>
        <w:tab/>
      </w:r>
      <w:r w:rsidRPr="00257F44">
        <w:rPr>
          <w:rFonts w:ascii="Gill Sans" w:hAnsi="Gill Sans" w:cs="Gill Sans"/>
          <w:sz w:val="22"/>
          <w:szCs w:val="22"/>
          <w:lang w:val="uk-UA"/>
        </w:rPr>
        <w:tab/>
        <w:t>Термін виконання: 31 грудня 2014 р.</w:t>
      </w:r>
    </w:p>
    <w:p w14:paraId="3039B64D" w14:textId="77777777" w:rsidR="00664E20" w:rsidRPr="00257F44" w:rsidRDefault="00664E20" w:rsidP="00E00469">
      <w:pPr>
        <w:spacing w:after="120"/>
        <w:rPr>
          <w:rFonts w:ascii="Gill Sans" w:hAnsi="Gill Sans" w:cs="Gill Sans"/>
          <w:noProof/>
          <w:sz w:val="22"/>
          <w:szCs w:val="22"/>
          <w:lang w:val="uk-UA"/>
        </w:rPr>
      </w:pPr>
    </w:p>
    <w:tbl>
      <w:tblPr>
        <w:tblpPr w:leftFromText="180" w:rightFromText="180" w:vertAnchor="page" w:horzAnchor="page" w:tblpX="1270" w:tblpY="540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4"/>
        <w:gridCol w:w="347"/>
        <w:gridCol w:w="343"/>
        <w:gridCol w:w="343"/>
        <w:gridCol w:w="343"/>
        <w:gridCol w:w="420"/>
        <w:gridCol w:w="343"/>
        <w:gridCol w:w="420"/>
        <w:gridCol w:w="808"/>
        <w:gridCol w:w="343"/>
        <w:gridCol w:w="343"/>
        <w:gridCol w:w="343"/>
        <w:gridCol w:w="343"/>
        <w:gridCol w:w="420"/>
        <w:gridCol w:w="576"/>
        <w:gridCol w:w="498"/>
        <w:gridCol w:w="420"/>
        <w:gridCol w:w="343"/>
        <w:gridCol w:w="343"/>
        <w:gridCol w:w="343"/>
        <w:gridCol w:w="343"/>
        <w:gridCol w:w="711"/>
      </w:tblGrid>
      <w:tr w:rsidR="00CE72B2" w:rsidRPr="00257F44" w14:paraId="468AE1D0" w14:textId="77777777" w:rsidTr="00CE72B2">
        <w:trPr>
          <w:trHeight w:val="405"/>
        </w:trPr>
        <w:tc>
          <w:tcPr>
            <w:tcW w:w="1344" w:type="dxa"/>
            <w:vMerge w:val="restart"/>
            <w:tcBorders>
              <w:top w:val="single" w:sz="18" w:space="0" w:color="FFFFFF"/>
              <w:left w:val="single" w:sz="4" w:space="0" w:color="FFFFFF"/>
              <w:right w:val="single" w:sz="18" w:space="0" w:color="FFFFFF"/>
            </w:tcBorders>
            <w:shd w:val="clear" w:color="auto" w:fill="000000"/>
          </w:tcPr>
          <w:p w14:paraId="11C0D3EC" w14:textId="2748D806" w:rsidR="00CE72B2" w:rsidRPr="00257F44" w:rsidRDefault="00CE72B2" w:rsidP="009B0529">
            <w:pPr>
              <w:rPr>
                <w:rFonts w:ascii="Gill Sans" w:hAnsi="Gill Sans" w:cs="Gill Sans"/>
                <w:color w:val="FFFFFF" w:themeColor="background1"/>
                <w:sz w:val="22"/>
                <w:szCs w:val="22"/>
                <w:lang w:val="uk-UA"/>
              </w:rPr>
            </w:pPr>
            <w:r w:rsidRPr="00257F44">
              <w:rPr>
                <w:rFonts w:ascii="Gill Sans" w:hAnsi="Gill Sans" w:cs="Gill Sans"/>
                <w:sz w:val="20"/>
                <w:szCs w:val="20"/>
                <w:lang w:val="uk-UA"/>
              </w:rPr>
              <w:t>Опис зобов’язання</w:t>
            </w:r>
          </w:p>
        </w:tc>
        <w:tc>
          <w:tcPr>
            <w:tcW w:w="1376" w:type="dxa"/>
            <w:gridSpan w:val="4"/>
            <w:vMerge w:val="restart"/>
            <w:tcBorders>
              <w:top w:val="single" w:sz="18" w:space="0" w:color="FFFFFF"/>
              <w:left w:val="single" w:sz="18" w:space="0" w:color="FFFFFF"/>
              <w:right w:val="single" w:sz="18" w:space="0" w:color="FFFFFF"/>
            </w:tcBorders>
            <w:shd w:val="clear" w:color="auto" w:fill="D6E3BC"/>
          </w:tcPr>
          <w:p w14:paraId="2D8EB66A" w14:textId="3C845F8C" w:rsidR="00CE72B2" w:rsidRPr="00257F44" w:rsidRDefault="00CE72B2" w:rsidP="00C25C76">
            <w:pPr>
              <w:rPr>
                <w:rFonts w:ascii="Gill Sans" w:hAnsi="Gill Sans" w:cs="Gill Sans"/>
                <w:sz w:val="22"/>
                <w:szCs w:val="22"/>
                <w:lang w:val="uk-UA"/>
              </w:rPr>
            </w:pPr>
            <w:r w:rsidRPr="00257F44">
              <w:rPr>
                <w:rFonts w:ascii="Gill Sans" w:hAnsi="Gill Sans" w:cs="Gill Sans"/>
                <w:sz w:val="20"/>
                <w:szCs w:val="20"/>
                <w:lang w:val="uk-UA"/>
              </w:rPr>
              <w:t>Конкретність</w:t>
            </w:r>
          </w:p>
        </w:tc>
        <w:tc>
          <w:tcPr>
            <w:tcW w:w="1991" w:type="dxa"/>
            <w:gridSpan w:val="4"/>
            <w:vMerge w:val="restart"/>
            <w:tcBorders>
              <w:top w:val="single" w:sz="18" w:space="0" w:color="FFFFFF"/>
              <w:left w:val="single" w:sz="18" w:space="0" w:color="FFFFFF"/>
              <w:right w:val="single" w:sz="18" w:space="0" w:color="FFFFFF"/>
            </w:tcBorders>
            <w:shd w:val="clear" w:color="auto" w:fill="FBD4B4"/>
          </w:tcPr>
          <w:p w14:paraId="56F8C464" w14:textId="1A5A46F2" w:rsidR="00CE72B2" w:rsidRPr="00257F44" w:rsidRDefault="00CE72B2" w:rsidP="00C25C76">
            <w:pPr>
              <w:rPr>
                <w:rFonts w:ascii="Gill Sans" w:hAnsi="Gill Sans" w:cs="Gill Sans"/>
                <w:sz w:val="22"/>
                <w:szCs w:val="22"/>
                <w:lang w:val="uk-UA"/>
              </w:rPr>
            </w:pPr>
            <w:r w:rsidRPr="00257F44">
              <w:rPr>
                <w:rFonts w:ascii="Gill Sans" w:hAnsi="Gill Sans" w:cs="Gill Sans"/>
                <w:sz w:val="20"/>
                <w:szCs w:val="20"/>
                <w:lang w:val="uk-UA"/>
              </w:rPr>
              <w:t>Відповідність цінностям ПВУ (як сформульовано)</w:t>
            </w:r>
          </w:p>
        </w:tc>
        <w:tc>
          <w:tcPr>
            <w:tcW w:w="1372" w:type="dxa"/>
            <w:gridSpan w:val="4"/>
            <w:vMerge w:val="restart"/>
            <w:tcBorders>
              <w:top w:val="single" w:sz="18" w:space="0" w:color="FFFFFF"/>
              <w:left w:val="single" w:sz="18" w:space="0" w:color="FFFFFF"/>
              <w:right w:val="single" w:sz="18" w:space="0" w:color="FFFFFF"/>
            </w:tcBorders>
            <w:shd w:val="clear" w:color="auto" w:fill="CCC0D9"/>
          </w:tcPr>
          <w:p w14:paraId="20931FE6" w14:textId="51243EBE" w:rsidR="00CE72B2" w:rsidRPr="00257F44" w:rsidRDefault="00CE72B2" w:rsidP="00C25C76">
            <w:pPr>
              <w:rPr>
                <w:rFonts w:ascii="Gill Sans" w:hAnsi="Gill Sans" w:cs="Gill Sans"/>
                <w:sz w:val="22"/>
                <w:szCs w:val="22"/>
                <w:lang w:val="uk-UA"/>
              </w:rPr>
            </w:pPr>
            <w:r w:rsidRPr="00257F44">
              <w:rPr>
                <w:rFonts w:ascii="Gill Sans" w:hAnsi="Gill Sans" w:cs="Gill Sans"/>
                <w:sz w:val="20"/>
                <w:szCs w:val="20"/>
                <w:lang w:val="uk-UA"/>
              </w:rPr>
              <w:t>Потенційний вплив</w:t>
            </w:r>
          </w:p>
        </w:tc>
        <w:tc>
          <w:tcPr>
            <w:tcW w:w="996" w:type="dxa"/>
            <w:gridSpan w:val="2"/>
            <w:vMerge w:val="restart"/>
            <w:tcBorders>
              <w:top w:val="single" w:sz="18" w:space="0" w:color="FFFFFF"/>
              <w:left w:val="single" w:sz="18" w:space="0" w:color="FFFFFF"/>
              <w:right w:val="single" w:sz="2" w:space="0" w:color="FFFFFF"/>
            </w:tcBorders>
            <w:shd w:val="clear" w:color="auto" w:fill="B8CCE4"/>
          </w:tcPr>
          <w:p w14:paraId="473B7FCA" w14:textId="5349F6F5" w:rsidR="00CE72B2" w:rsidRPr="00257F44" w:rsidRDefault="00CE72B2" w:rsidP="00C25C76">
            <w:pPr>
              <w:rPr>
                <w:rFonts w:ascii="Gill Sans" w:hAnsi="Gill Sans" w:cs="Gill Sans"/>
                <w:sz w:val="22"/>
                <w:szCs w:val="22"/>
                <w:lang w:val="uk-UA"/>
              </w:rPr>
            </w:pPr>
            <w:r w:rsidRPr="00257F44">
              <w:rPr>
                <w:rFonts w:ascii="Gill Sans" w:hAnsi="Gill Sans" w:cs="Gill Sans"/>
                <w:sz w:val="20"/>
                <w:szCs w:val="20"/>
                <w:lang w:val="uk-UA"/>
              </w:rPr>
              <w:t>Стан вико-нання</w:t>
            </w:r>
          </w:p>
        </w:tc>
        <w:tc>
          <w:tcPr>
            <w:tcW w:w="918"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50A23BED" w14:textId="63D98823" w:rsidR="00CE72B2" w:rsidRPr="00257F44" w:rsidRDefault="00CE72B2" w:rsidP="00C25C76">
            <w:pPr>
              <w:rPr>
                <w:rFonts w:ascii="Gill Sans" w:hAnsi="Gill Sans" w:cs="Gill Sans"/>
                <w:sz w:val="22"/>
                <w:szCs w:val="22"/>
                <w:lang w:val="uk-UA"/>
              </w:rPr>
            </w:pPr>
            <w:r w:rsidRPr="00257F44">
              <w:rPr>
                <w:rFonts w:ascii="Gill Sans" w:hAnsi="Gill Sans" w:cs="Gill Sans"/>
                <w:sz w:val="20"/>
                <w:szCs w:val="20"/>
                <w:lang w:val="uk-UA"/>
              </w:rPr>
              <w:t>Про-міжний</w:t>
            </w:r>
          </w:p>
        </w:tc>
        <w:tc>
          <w:tcPr>
            <w:tcW w:w="2083" w:type="dxa"/>
            <w:gridSpan w:val="5"/>
            <w:vMerge w:val="restart"/>
            <w:tcBorders>
              <w:top w:val="single" w:sz="18" w:space="0" w:color="FFFFFF"/>
              <w:left w:val="single" w:sz="18" w:space="0" w:color="FFFFFF"/>
              <w:right w:val="single" w:sz="18" w:space="0" w:color="FFFFFF"/>
            </w:tcBorders>
            <w:shd w:val="clear" w:color="auto" w:fill="D99594"/>
          </w:tcPr>
          <w:p w14:paraId="7AE1E13D" w14:textId="17DA54DD" w:rsidR="00CE72B2" w:rsidRPr="00257F44" w:rsidRDefault="00CE72B2" w:rsidP="00C25C76">
            <w:pPr>
              <w:rPr>
                <w:rFonts w:ascii="Gill Sans" w:hAnsi="Gill Sans" w:cs="Gill Sans"/>
                <w:sz w:val="22"/>
                <w:szCs w:val="22"/>
                <w:lang w:val="uk-UA"/>
              </w:rPr>
            </w:pPr>
            <w:r w:rsidRPr="00257F44">
              <w:rPr>
                <w:rFonts w:ascii="Gill Sans" w:hAnsi="Gill Sans" w:cs="Gill Sans"/>
                <w:sz w:val="20"/>
                <w:szCs w:val="20"/>
                <w:lang w:val="uk-UA"/>
              </w:rPr>
              <w:t>Чи відкрило це уряд?</w:t>
            </w:r>
          </w:p>
        </w:tc>
      </w:tr>
      <w:tr w:rsidR="0020660D" w:rsidRPr="00257F44" w14:paraId="731B079F" w14:textId="77777777" w:rsidTr="00CE72B2">
        <w:trPr>
          <w:trHeight w:val="373"/>
        </w:trPr>
        <w:tc>
          <w:tcPr>
            <w:tcW w:w="1344" w:type="dxa"/>
            <w:vMerge/>
            <w:tcBorders>
              <w:left w:val="single" w:sz="4" w:space="0" w:color="FFFFFF"/>
              <w:right w:val="single" w:sz="18" w:space="0" w:color="FFFFFF"/>
            </w:tcBorders>
            <w:shd w:val="clear" w:color="auto" w:fill="000000"/>
          </w:tcPr>
          <w:p w14:paraId="5905BDC1" w14:textId="7AC04471" w:rsidR="0020660D" w:rsidRPr="00257F44" w:rsidRDefault="0020660D" w:rsidP="009B0529">
            <w:pPr>
              <w:rPr>
                <w:rFonts w:ascii="Gill Sans" w:hAnsi="Gill Sans" w:cs="Gill Sans"/>
                <w:color w:val="FFFFFF" w:themeColor="background1"/>
                <w:sz w:val="22"/>
                <w:szCs w:val="22"/>
                <w:lang w:val="uk-UA"/>
              </w:rPr>
            </w:pPr>
          </w:p>
        </w:tc>
        <w:tc>
          <w:tcPr>
            <w:tcW w:w="1376" w:type="dxa"/>
            <w:gridSpan w:val="4"/>
            <w:vMerge/>
            <w:tcBorders>
              <w:left w:val="single" w:sz="18" w:space="0" w:color="FFFFFF"/>
              <w:bottom w:val="single" w:sz="18" w:space="0" w:color="FFFFFF"/>
              <w:right w:val="single" w:sz="18" w:space="0" w:color="FFFFFF"/>
            </w:tcBorders>
            <w:shd w:val="clear" w:color="auto" w:fill="D6E3BC"/>
          </w:tcPr>
          <w:p w14:paraId="4C4D831C" w14:textId="77777777" w:rsidR="0020660D" w:rsidRPr="00257F44" w:rsidRDefault="0020660D" w:rsidP="00C25C76">
            <w:pPr>
              <w:rPr>
                <w:rFonts w:ascii="Gill Sans" w:hAnsi="Gill Sans" w:cs="Gill Sans"/>
                <w:sz w:val="22"/>
                <w:szCs w:val="22"/>
                <w:lang w:val="uk-UA"/>
              </w:rPr>
            </w:pPr>
          </w:p>
        </w:tc>
        <w:tc>
          <w:tcPr>
            <w:tcW w:w="1991" w:type="dxa"/>
            <w:gridSpan w:val="4"/>
            <w:vMerge/>
            <w:tcBorders>
              <w:left w:val="single" w:sz="18" w:space="0" w:color="FFFFFF"/>
              <w:bottom w:val="single" w:sz="18" w:space="0" w:color="FFFFFF"/>
              <w:right w:val="single" w:sz="18" w:space="0" w:color="FFFFFF"/>
            </w:tcBorders>
            <w:shd w:val="clear" w:color="auto" w:fill="FBD4B4"/>
          </w:tcPr>
          <w:p w14:paraId="54AB9586" w14:textId="77777777" w:rsidR="0020660D" w:rsidRPr="00257F44" w:rsidRDefault="0020660D" w:rsidP="00C25C76">
            <w:pPr>
              <w:rPr>
                <w:rFonts w:ascii="Gill Sans" w:hAnsi="Gill Sans" w:cs="Gill Sans"/>
                <w:sz w:val="22"/>
                <w:szCs w:val="22"/>
                <w:lang w:val="uk-UA"/>
              </w:rPr>
            </w:pPr>
          </w:p>
        </w:tc>
        <w:tc>
          <w:tcPr>
            <w:tcW w:w="1372" w:type="dxa"/>
            <w:gridSpan w:val="4"/>
            <w:vMerge/>
            <w:tcBorders>
              <w:left w:val="single" w:sz="18" w:space="0" w:color="FFFFFF"/>
              <w:bottom w:val="single" w:sz="18" w:space="0" w:color="FFFFFF"/>
              <w:right w:val="single" w:sz="18" w:space="0" w:color="FFFFFF"/>
            </w:tcBorders>
            <w:shd w:val="clear" w:color="auto" w:fill="CCC0D9"/>
          </w:tcPr>
          <w:p w14:paraId="5594130A" w14:textId="77777777" w:rsidR="0020660D" w:rsidRPr="00257F44" w:rsidRDefault="0020660D" w:rsidP="00C25C76">
            <w:pPr>
              <w:rPr>
                <w:rFonts w:ascii="Gill Sans" w:hAnsi="Gill Sans" w:cs="Gill Sans"/>
                <w:sz w:val="22"/>
                <w:szCs w:val="22"/>
                <w:lang w:val="uk-UA"/>
              </w:rPr>
            </w:pPr>
          </w:p>
        </w:tc>
        <w:tc>
          <w:tcPr>
            <w:tcW w:w="996" w:type="dxa"/>
            <w:gridSpan w:val="2"/>
            <w:vMerge/>
            <w:tcBorders>
              <w:left w:val="single" w:sz="18" w:space="0" w:color="FFFFFF"/>
              <w:bottom w:val="single" w:sz="18" w:space="0" w:color="FFFFFF"/>
              <w:right w:val="single" w:sz="2" w:space="0" w:color="FFFFFF"/>
            </w:tcBorders>
            <w:shd w:val="clear" w:color="auto" w:fill="B8CCE4"/>
          </w:tcPr>
          <w:p w14:paraId="2CAB4CE9" w14:textId="77777777" w:rsidR="0020660D" w:rsidRPr="00257F44" w:rsidRDefault="0020660D" w:rsidP="00C25C76">
            <w:pPr>
              <w:rPr>
                <w:rFonts w:ascii="Gill Sans" w:hAnsi="Gill Sans" w:cs="Gill Sans"/>
                <w:sz w:val="22"/>
                <w:szCs w:val="22"/>
                <w:lang w:val="uk-UA"/>
              </w:rPr>
            </w:pPr>
          </w:p>
        </w:tc>
        <w:tc>
          <w:tcPr>
            <w:tcW w:w="918"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42B25E29" w14:textId="60335544" w:rsidR="0020660D" w:rsidRPr="00257F44" w:rsidRDefault="00CE72B2" w:rsidP="00C25C76">
            <w:pPr>
              <w:rPr>
                <w:rFonts w:ascii="Gill Sans" w:hAnsi="Gill Sans" w:cs="Gill Sans"/>
                <w:sz w:val="20"/>
                <w:szCs w:val="20"/>
                <w:lang w:val="uk-UA"/>
              </w:rPr>
            </w:pPr>
            <w:r w:rsidRPr="00257F44">
              <w:rPr>
                <w:rFonts w:ascii="Gill Sans" w:hAnsi="Gill Sans" w:cs="Gill Sans"/>
                <w:sz w:val="20"/>
                <w:szCs w:val="20"/>
                <w:lang w:val="uk-UA"/>
              </w:rPr>
              <w:t>Підсум-ковий</w:t>
            </w:r>
          </w:p>
        </w:tc>
        <w:tc>
          <w:tcPr>
            <w:tcW w:w="2083" w:type="dxa"/>
            <w:gridSpan w:val="5"/>
            <w:vMerge/>
            <w:tcBorders>
              <w:left w:val="single" w:sz="18" w:space="0" w:color="FFFFFF"/>
              <w:bottom w:val="single" w:sz="18" w:space="0" w:color="FFFFFF"/>
              <w:right w:val="single" w:sz="18" w:space="0" w:color="FFFFFF"/>
            </w:tcBorders>
            <w:shd w:val="clear" w:color="auto" w:fill="D99594"/>
          </w:tcPr>
          <w:p w14:paraId="4FD32ABA" w14:textId="77777777" w:rsidR="0020660D" w:rsidRPr="00257F44" w:rsidRDefault="0020660D" w:rsidP="00C25C76">
            <w:pPr>
              <w:rPr>
                <w:rFonts w:ascii="Gill Sans" w:hAnsi="Gill Sans" w:cs="Gill Sans"/>
                <w:sz w:val="22"/>
                <w:szCs w:val="22"/>
                <w:lang w:val="uk-UA"/>
              </w:rPr>
            </w:pPr>
          </w:p>
        </w:tc>
      </w:tr>
      <w:tr w:rsidR="00CE72B2" w:rsidRPr="00257F44" w14:paraId="15B25EB4" w14:textId="77777777" w:rsidTr="00DD278C">
        <w:trPr>
          <w:cantSplit/>
          <w:trHeight w:val="2336"/>
        </w:trPr>
        <w:tc>
          <w:tcPr>
            <w:tcW w:w="1344" w:type="dxa"/>
            <w:vMerge/>
            <w:tcBorders>
              <w:left w:val="single" w:sz="4" w:space="0" w:color="FFFFFF"/>
              <w:right w:val="single" w:sz="18" w:space="0" w:color="FFFFFF"/>
            </w:tcBorders>
            <w:shd w:val="clear" w:color="auto" w:fill="000000"/>
          </w:tcPr>
          <w:p w14:paraId="6F0047BC" w14:textId="01083043" w:rsidR="00CE72B2" w:rsidRPr="00257F44" w:rsidRDefault="00CE72B2" w:rsidP="00CE72B2">
            <w:pPr>
              <w:rPr>
                <w:rFonts w:ascii="Gill Sans" w:hAnsi="Gill Sans" w:cs="Gill Sans"/>
                <w:color w:val="FFFFFF" w:themeColor="background1"/>
                <w:sz w:val="22"/>
                <w:szCs w:val="22"/>
                <w:lang w:val="uk-UA"/>
              </w:rPr>
            </w:pPr>
          </w:p>
        </w:tc>
        <w:tc>
          <w:tcPr>
            <w:tcW w:w="347"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78CCE391" w14:textId="6E4D02F6" w:rsidR="00CE72B2" w:rsidRPr="00257F44" w:rsidRDefault="00CE72B2" w:rsidP="00CE72B2">
            <w:pPr>
              <w:rPr>
                <w:rFonts w:ascii="Gill Sans" w:hAnsi="Gill Sans" w:cs="Gill Sans"/>
                <w:sz w:val="22"/>
                <w:szCs w:val="22"/>
                <w:lang w:val="uk-UA"/>
              </w:rPr>
            </w:pPr>
            <w:r w:rsidRPr="00257F44">
              <w:rPr>
                <w:rFonts w:ascii="Gill Sans" w:hAnsi="Gill Sans" w:cs="Gill Sans"/>
                <w:sz w:val="20"/>
                <w:szCs w:val="20"/>
                <w:lang w:val="uk-UA"/>
              </w:rPr>
              <w:t>Відсутня</w:t>
            </w:r>
          </w:p>
        </w:tc>
        <w:tc>
          <w:tcPr>
            <w:tcW w:w="343"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67431DA5" w14:textId="516F824B" w:rsidR="00CE72B2" w:rsidRPr="00257F44" w:rsidRDefault="00CE72B2" w:rsidP="00CE72B2">
            <w:pPr>
              <w:rPr>
                <w:rFonts w:ascii="Gill Sans" w:hAnsi="Gill Sans" w:cs="Gill Sans"/>
                <w:sz w:val="22"/>
                <w:szCs w:val="22"/>
                <w:lang w:val="uk-UA"/>
              </w:rPr>
            </w:pPr>
            <w:r w:rsidRPr="00257F44">
              <w:rPr>
                <w:rFonts w:ascii="Gill Sans" w:hAnsi="Gill Sans" w:cs="Gill Sans"/>
                <w:sz w:val="20"/>
                <w:szCs w:val="20"/>
                <w:lang w:val="uk-UA"/>
              </w:rPr>
              <w:t>Низька</w:t>
            </w:r>
          </w:p>
        </w:tc>
        <w:tc>
          <w:tcPr>
            <w:tcW w:w="343"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14D53968" w14:textId="46827905" w:rsidR="00CE72B2" w:rsidRPr="00257F44" w:rsidRDefault="00CE72B2" w:rsidP="00CE72B2">
            <w:pPr>
              <w:rPr>
                <w:rFonts w:ascii="Gill Sans" w:hAnsi="Gill Sans" w:cs="Gill Sans"/>
                <w:sz w:val="22"/>
                <w:szCs w:val="22"/>
                <w:lang w:val="uk-UA"/>
              </w:rPr>
            </w:pPr>
            <w:r w:rsidRPr="00257F44">
              <w:rPr>
                <w:rFonts w:ascii="Gill Sans" w:hAnsi="Gill Sans" w:cs="Gill Sans"/>
                <w:sz w:val="20"/>
                <w:szCs w:val="20"/>
                <w:lang w:val="uk-UA"/>
              </w:rPr>
              <w:t>Середня</w:t>
            </w:r>
          </w:p>
        </w:tc>
        <w:tc>
          <w:tcPr>
            <w:tcW w:w="343"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530804ED" w14:textId="6A113A85" w:rsidR="00CE72B2" w:rsidRPr="00257F44" w:rsidRDefault="00CE72B2" w:rsidP="00CE72B2">
            <w:pPr>
              <w:rPr>
                <w:rFonts w:ascii="Gill Sans" w:hAnsi="Gill Sans" w:cs="Gill Sans"/>
                <w:sz w:val="22"/>
                <w:szCs w:val="22"/>
                <w:lang w:val="uk-UA"/>
              </w:rPr>
            </w:pPr>
            <w:r w:rsidRPr="00257F44">
              <w:rPr>
                <w:rFonts w:ascii="Gill Sans" w:hAnsi="Gill Sans" w:cs="Gill Sans"/>
                <w:sz w:val="20"/>
                <w:szCs w:val="20"/>
                <w:lang w:val="uk-UA"/>
              </w:rPr>
              <w:t>Висока</w:t>
            </w:r>
          </w:p>
        </w:tc>
        <w:tc>
          <w:tcPr>
            <w:tcW w:w="420"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75B1D023" w14:textId="1DBE2BC2" w:rsidR="00CE72B2" w:rsidRPr="00257F44" w:rsidRDefault="00CE72B2" w:rsidP="00CE72B2">
            <w:pPr>
              <w:rPr>
                <w:rFonts w:ascii="Gill Sans" w:hAnsi="Gill Sans" w:cs="Gill Sans"/>
                <w:sz w:val="22"/>
                <w:szCs w:val="22"/>
                <w:lang w:val="uk-UA"/>
              </w:rPr>
            </w:pPr>
            <w:r w:rsidRPr="00257F44">
              <w:rPr>
                <w:rFonts w:ascii="Gill Sans" w:hAnsi="Gill Sans" w:cs="Gill Sans"/>
                <w:sz w:val="20"/>
                <w:szCs w:val="20"/>
                <w:lang w:val="uk-UA"/>
              </w:rPr>
              <w:t>Доступ до інформації</w:t>
            </w:r>
          </w:p>
        </w:tc>
        <w:tc>
          <w:tcPr>
            <w:tcW w:w="343"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418AB8F7" w14:textId="060EA3C0" w:rsidR="00CE72B2" w:rsidRPr="00257F44" w:rsidRDefault="00CE72B2" w:rsidP="00CE72B2">
            <w:pPr>
              <w:rPr>
                <w:rFonts w:ascii="Gill Sans" w:hAnsi="Gill Sans" w:cs="Gill Sans"/>
                <w:sz w:val="22"/>
                <w:szCs w:val="22"/>
                <w:lang w:val="uk-UA"/>
              </w:rPr>
            </w:pPr>
            <w:r w:rsidRPr="00257F44">
              <w:rPr>
                <w:rFonts w:ascii="Gill Sans" w:hAnsi="Gill Sans" w:cs="Gill Sans"/>
                <w:sz w:val="20"/>
                <w:szCs w:val="20"/>
                <w:lang w:val="uk-UA"/>
              </w:rPr>
              <w:t>Громадська участь</w:t>
            </w:r>
          </w:p>
        </w:tc>
        <w:tc>
          <w:tcPr>
            <w:tcW w:w="420"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01E6A517" w14:textId="4DDD53A6" w:rsidR="00CE72B2" w:rsidRPr="00257F44" w:rsidRDefault="00CE72B2" w:rsidP="00CE72B2">
            <w:pPr>
              <w:rPr>
                <w:rFonts w:ascii="Gill Sans" w:hAnsi="Gill Sans" w:cs="Gill Sans"/>
                <w:sz w:val="22"/>
                <w:szCs w:val="22"/>
                <w:lang w:val="uk-UA"/>
              </w:rPr>
            </w:pPr>
            <w:r w:rsidRPr="00257F44">
              <w:rPr>
                <w:rFonts w:ascii="Gill Sans" w:hAnsi="Gill Sans" w:cs="Gill Sans"/>
                <w:sz w:val="20"/>
                <w:szCs w:val="20"/>
                <w:lang w:val="uk-UA"/>
              </w:rPr>
              <w:t>Підзвітність влади</w:t>
            </w:r>
          </w:p>
        </w:tc>
        <w:tc>
          <w:tcPr>
            <w:tcW w:w="808"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0858102B" w14:textId="05F4AB30" w:rsidR="00CE72B2" w:rsidRPr="00257F44" w:rsidRDefault="00CE72B2" w:rsidP="00CE72B2">
            <w:pPr>
              <w:rPr>
                <w:rFonts w:ascii="Gill Sans" w:hAnsi="Gill Sans" w:cs="Gill Sans"/>
                <w:sz w:val="22"/>
                <w:szCs w:val="22"/>
                <w:lang w:val="uk-UA"/>
              </w:rPr>
            </w:pPr>
            <w:r w:rsidRPr="00257F44">
              <w:rPr>
                <w:rFonts w:ascii="Gill Sans" w:hAnsi="Gill Sans" w:cs="Gill Sans"/>
                <w:sz w:val="20"/>
                <w:szCs w:val="20"/>
                <w:lang w:val="uk-UA"/>
              </w:rPr>
              <w:t>Технології та інновації для прозорості й підзвітності</w:t>
            </w:r>
          </w:p>
        </w:tc>
        <w:tc>
          <w:tcPr>
            <w:tcW w:w="343"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3570E690" w14:textId="4A922E8F" w:rsidR="00CE72B2" w:rsidRPr="00257F44" w:rsidRDefault="00CE72B2" w:rsidP="00CE72B2">
            <w:pPr>
              <w:rPr>
                <w:rFonts w:ascii="Gill Sans" w:hAnsi="Gill Sans" w:cs="Gill Sans"/>
                <w:sz w:val="22"/>
                <w:szCs w:val="22"/>
                <w:lang w:val="uk-UA"/>
              </w:rPr>
            </w:pPr>
            <w:r w:rsidRPr="00257F44">
              <w:rPr>
                <w:rFonts w:ascii="Gill Sans" w:hAnsi="Gill Sans" w:cs="Gill Sans"/>
                <w:sz w:val="20"/>
                <w:szCs w:val="20"/>
                <w:lang w:val="uk-UA"/>
              </w:rPr>
              <w:t>Жодного</w:t>
            </w:r>
          </w:p>
        </w:tc>
        <w:tc>
          <w:tcPr>
            <w:tcW w:w="343"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474A01D6" w14:textId="5675109B" w:rsidR="00CE72B2" w:rsidRPr="00257F44" w:rsidRDefault="00CE72B2" w:rsidP="00CE72B2">
            <w:pPr>
              <w:rPr>
                <w:rFonts w:ascii="Gill Sans" w:hAnsi="Gill Sans" w:cs="Gill Sans"/>
                <w:sz w:val="22"/>
                <w:szCs w:val="22"/>
                <w:lang w:val="uk-UA"/>
              </w:rPr>
            </w:pPr>
            <w:r w:rsidRPr="00257F44">
              <w:rPr>
                <w:rFonts w:ascii="Gill Sans" w:hAnsi="Gill Sans" w:cs="Gill Sans"/>
                <w:sz w:val="20"/>
                <w:szCs w:val="20"/>
                <w:lang w:val="uk-UA"/>
              </w:rPr>
              <w:t>Незначний</w:t>
            </w:r>
          </w:p>
        </w:tc>
        <w:tc>
          <w:tcPr>
            <w:tcW w:w="343"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7D354FFF" w14:textId="151DE698" w:rsidR="00CE72B2" w:rsidRPr="00257F44" w:rsidRDefault="00CE72B2" w:rsidP="00CE72B2">
            <w:pPr>
              <w:rPr>
                <w:rFonts w:ascii="Gill Sans" w:hAnsi="Gill Sans" w:cs="Gill Sans"/>
                <w:sz w:val="22"/>
                <w:szCs w:val="22"/>
                <w:lang w:val="uk-UA"/>
              </w:rPr>
            </w:pPr>
            <w:r w:rsidRPr="00257F44">
              <w:rPr>
                <w:rFonts w:ascii="Gill Sans" w:hAnsi="Gill Sans" w:cs="Gill Sans"/>
                <w:sz w:val="20"/>
                <w:szCs w:val="20"/>
                <w:lang w:val="uk-UA"/>
              </w:rPr>
              <w:t>Помірний</w:t>
            </w:r>
          </w:p>
        </w:tc>
        <w:tc>
          <w:tcPr>
            <w:tcW w:w="343"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014AE100" w14:textId="7EA1CCFC" w:rsidR="00CE72B2" w:rsidRPr="00257F44" w:rsidRDefault="00CE72B2" w:rsidP="00CE72B2">
            <w:pPr>
              <w:rPr>
                <w:rFonts w:ascii="Gill Sans" w:hAnsi="Gill Sans" w:cs="Gill Sans"/>
                <w:sz w:val="22"/>
                <w:szCs w:val="22"/>
                <w:lang w:val="uk-UA"/>
              </w:rPr>
            </w:pPr>
            <w:r w:rsidRPr="00257F44">
              <w:rPr>
                <w:rFonts w:ascii="Gill Sans" w:hAnsi="Gill Sans" w:cs="Gill Sans"/>
                <w:sz w:val="20"/>
                <w:szCs w:val="20"/>
                <w:lang w:val="uk-UA"/>
              </w:rPr>
              <w:t>Трансформуючий</w:t>
            </w:r>
          </w:p>
        </w:tc>
        <w:tc>
          <w:tcPr>
            <w:tcW w:w="420"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30A67E1D" w14:textId="19CFDEE6" w:rsidR="00CE72B2" w:rsidRPr="00257F44" w:rsidRDefault="00CE72B2" w:rsidP="00CE72B2">
            <w:pPr>
              <w:rPr>
                <w:rFonts w:ascii="Gill Sans" w:hAnsi="Gill Sans" w:cs="Gill Sans"/>
                <w:sz w:val="22"/>
                <w:szCs w:val="22"/>
                <w:lang w:val="uk-UA"/>
              </w:rPr>
            </w:pPr>
            <w:r w:rsidRPr="00257F44">
              <w:rPr>
                <w:rFonts w:ascii="Gill Sans" w:hAnsi="Gill Sans" w:cs="Gill Sans"/>
                <w:sz w:val="20"/>
                <w:szCs w:val="20"/>
                <w:lang w:val="uk-UA"/>
              </w:rPr>
              <w:t>Не розпочато</w:t>
            </w:r>
          </w:p>
        </w:tc>
        <w:tc>
          <w:tcPr>
            <w:tcW w:w="576"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7E40F274" w14:textId="57A85D58" w:rsidR="00CE72B2" w:rsidRPr="00257F44" w:rsidRDefault="00CE72B2" w:rsidP="00CE72B2">
            <w:pPr>
              <w:rPr>
                <w:rFonts w:ascii="Gill Sans" w:hAnsi="Gill Sans" w:cs="Gill Sans"/>
                <w:sz w:val="22"/>
                <w:szCs w:val="22"/>
                <w:lang w:val="uk-UA"/>
              </w:rPr>
            </w:pPr>
            <w:r w:rsidRPr="00257F44">
              <w:rPr>
                <w:rFonts w:ascii="Gill Sans" w:hAnsi="Gill Sans" w:cs="Gill Sans"/>
                <w:sz w:val="20"/>
                <w:szCs w:val="20"/>
                <w:lang w:val="uk-UA"/>
              </w:rPr>
              <w:t>Обмежене</w:t>
            </w:r>
          </w:p>
        </w:tc>
        <w:tc>
          <w:tcPr>
            <w:tcW w:w="498"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1CA24244" w14:textId="58350E4E" w:rsidR="00CE72B2" w:rsidRPr="00257F44" w:rsidRDefault="00CE72B2" w:rsidP="00CE72B2">
            <w:pPr>
              <w:rPr>
                <w:rFonts w:ascii="Gill Sans" w:hAnsi="Gill Sans" w:cs="Gill Sans"/>
                <w:sz w:val="22"/>
                <w:szCs w:val="22"/>
                <w:lang w:val="uk-UA"/>
              </w:rPr>
            </w:pPr>
            <w:r w:rsidRPr="00257F44">
              <w:rPr>
                <w:rFonts w:ascii="Gill Sans" w:hAnsi="Gill Sans" w:cs="Gill Sans"/>
                <w:sz w:val="20"/>
                <w:szCs w:val="20"/>
                <w:lang w:val="uk-UA"/>
              </w:rPr>
              <w:t>Значне</w:t>
            </w:r>
          </w:p>
        </w:tc>
        <w:tc>
          <w:tcPr>
            <w:tcW w:w="420"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17D4FF26" w14:textId="766670CB" w:rsidR="00CE72B2" w:rsidRPr="00257F44" w:rsidRDefault="00CE72B2" w:rsidP="00CE72B2">
            <w:pPr>
              <w:rPr>
                <w:rFonts w:ascii="Gill Sans" w:hAnsi="Gill Sans" w:cs="Gill Sans"/>
                <w:sz w:val="22"/>
                <w:szCs w:val="22"/>
                <w:lang w:val="uk-UA"/>
              </w:rPr>
            </w:pPr>
            <w:r w:rsidRPr="00257F44">
              <w:rPr>
                <w:rFonts w:ascii="Gill Sans" w:hAnsi="Gill Sans" w:cs="Gill Sans"/>
                <w:sz w:val="20"/>
                <w:szCs w:val="20"/>
                <w:lang w:val="uk-UA"/>
              </w:rPr>
              <w:t>Повне</w:t>
            </w:r>
          </w:p>
        </w:tc>
        <w:tc>
          <w:tcPr>
            <w:tcW w:w="343"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614D237A" w14:textId="10DAA357" w:rsidR="00CE72B2" w:rsidRPr="00257F44" w:rsidRDefault="00CE72B2" w:rsidP="00CE72B2">
            <w:pPr>
              <w:rPr>
                <w:rFonts w:ascii="Gill Sans" w:hAnsi="Gill Sans" w:cs="Gill Sans"/>
                <w:sz w:val="22"/>
                <w:szCs w:val="22"/>
                <w:lang w:val="uk-UA"/>
              </w:rPr>
            </w:pPr>
            <w:r w:rsidRPr="00257F44">
              <w:rPr>
                <w:rFonts w:ascii="Gill Sans" w:hAnsi="Gill Sans" w:cs="Gill Sans"/>
                <w:sz w:val="20"/>
                <w:szCs w:val="20"/>
                <w:lang w:val="uk-UA"/>
              </w:rPr>
              <w:t>Погіршило</w:t>
            </w:r>
          </w:p>
        </w:tc>
        <w:tc>
          <w:tcPr>
            <w:tcW w:w="343"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6756F4E1" w14:textId="0A92231F" w:rsidR="00CE72B2" w:rsidRPr="00257F44" w:rsidRDefault="00CE72B2" w:rsidP="00CE72B2">
            <w:pPr>
              <w:rPr>
                <w:rFonts w:ascii="Gill Sans" w:hAnsi="Gill Sans" w:cs="Gill Sans"/>
                <w:sz w:val="22"/>
                <w:szCs w:val="22"/>
                <w:lang w:val="uk-UA"/>
              </w:rPr>
            </w:pPr>
            <w:r w:rsidRPr="00257F44">
              <w:rPr>
                <w:rFonts w:ascii="Gill Sans" w:hAnsi="Gill Sans" w:cs="Gill Sans"/>
                <w:sz w:val="20"/>
                <w:szCs w:val="20"/>
                <w:lang w:val="uk-UA"/>
              </w:rPr>
              <w:t>Не змінило</w:t>
            </w:r>
          </w:p>
        </w:tc>
        <w:tc>
          <w:tcPr>
            <w:tcW w:w="343"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DFD5BB8" w14:textId="5087FDED" w:rsidR="00CE72B2" w:rsidRPr="00257F44" w:rsidRDefault="00CE72B2" w:rsidP="00CE72B2">
            <w:pPr>
              <w:rPr>
                <w:rFonts w:ascii="Gill Sans" w:hAnsi="Gill Sans" w:cs="Gill Sans"/>
                <w:sz w:val="22"/>
                <w:szCs w:val="22"/>
                <w:lang w:val="uk-UA"/>
              </w:rPr>
            </w:pPr>
            <w:r w:rsidRPr="00257F44">
              <w:rPr>
                <w:rFonts w:ascii="Gill Sans" w:hAnsi="Gill Sans" w:cs="Gill Sans"/>
                <w:sz w:val="20"/>
                <w:szCs w:val="20"/>
                <w:lang w:val="uk-UA"/>
              </w:rPr>
              <w:t>Обмежено</w:t>
            </w:r>
          </w:p>
        </w:tc>
        <w:tc>
          <w:tcPr>
            <w:tcW w:w="343"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4BB45E9C" w14:textId="0FCE37F4" w:rsidR="00CE72B2" w:rsidRPr="00257F44" w:rsidRDefault="00CE72B2" w:rsidP="00CE72B2">
            <w:pPr>
              <w:rPr>
                <w:rFonts w:ascii="Gill Sans" w:hAnsi="Gill Sans" w:cs="Gill Sans"/>
                <w:sz w:val="22"/>
                <w:szCs w:val="22"/>
                <w:lang w:val="uk-UA"/>
              </w:rPr>
            </w:pPr>
            <w:r w:rsidRPr="00257F44">
              <w:rPr>
                <w:rFonts w:ascii="Gill Sans" w:hAnsi="Gill Sans" w:cs="Gill Sans"/>
                <w:sz w:val="20"/>
                <w:szCs w:val="20"/>
                <w:lang w:val="uk-UA"/>
              </w:rPr>
              <w:t>Значною мірою</w:t>
            </w:r>
          </w:p>
        </w:tc>
        <w:tc>
          <w:tcPr>
            <w:tcW w:w="711"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619E6C6C" w14:textId="7E61FEBF" w:rsidR="00CE72B2" w:rsidRPr="00257F44" w:rsidRDefault="00CE72B2" w:rsidP="00CE72B2">
            <w:pPr>
              <w:rPr>
                <w:rFonts w:ascii="Gill Sans" w:hAnsi="Gill Sans" w:cs="Gill Sans"/>
                <w:sz w:val="22"/>
                <w:szCs w:val="22"/>
                <w:lang w:val="uk-UA"/>
              </w:rPr>
            </w:pPr>
            <w:r w:rsidRPr="00257F44">
              <w:rPr>
                <w:rFonts w:ascii="Gill Sans" w:hAnsi="Gill Sans" w:cs="Gill Sans"/>
                <w:sz w:val="20"/>
                <w:szCs w:val="20"/>
                <w:lang w:val="uk-UA"/>
              </w:rPr>
              <w:t>Визначною мірою</w:t>
            </w:r>
          </w:p>
        </w:tc>
      </w:tr>
      <w:tr w:rsidR="0020660D" w:rsidRPr="00257F44" w14:paraId="692C7B11" w14:textId="77777777" w:rsidTr="00CE72B2">
        <w:trPr>
          <w:trHeight w:val="340"/>
        </w:trPr>
        <w:tc>
          <w:tcPr>
            <w:tcW w:w="1344" w:type="dxa"/>
            <w:vMerge/>
            <w:tcBorders>
              <w:left w:val="single" w:sz="4" w:space="0" w:color="FFFFFF"/>
              <w:right w:val="single" w:sz="18" w:space="0" w:color="FFFFFF"/>
            </w:tcBorders>
            <w:shd w:val="clear" w:color="auto" w:fill="000000"/>
          </w:tcPr>
          <w:p w14:paraId="76E7CF57" w14:textId="34AE17DD" w:rsidR="0020660D" w:rsidRPr="00257F44" w:rsidRDefault="0020660D" w:rsidP="00D61BD0">
            <w:pPr>
              <w:rPr>
                <w:rFonts w:ascii="Gill Sans" w:hAnsi="Gill Sans" w:cs="Gill Sans"/>
                <w:noProof/>
                <w:color w:val="FFFFFF" w:themeColor="background1"/>
                <w:sz w:val="22"/>
                <w:szCs w:val="22"/>
                <w:lang w:val="uk-UA"/>
              </w:rPr>
            </w:pPr>
          </w:p>
        </w:tc>
        <w:tc>
          <w:tcPr>
            <w:tcW w:w="347" w:type="dxa"/>
            <w:vMerge w:val="restart"/>
            <w:tcBorders>
              <w:top w:val="single" w:sz="18" w:space="0" w:color="FFFFFF"/>
              <w:left w:val="single" w:sz="18" w:space="0" w:color="FFFFFF"/>
              <w:right w:val="single" w:sz="2" w:space="0" w:color="FFFFFF"/>
            </w:tcBorders>
            <w:shd w:val="clear" w:color="auto" w:fill="D6E3BC"/>
          </w:tcPr>
          <w:p w14:paraId="360A4666" w14:textId="77777777" w:rsidR="0020660D" w:rsidRPr="00257F44" w:rsidRDefault="0020660D" w:rsidP="00C25C76">
            <w:pPr>
              <w:rPr>
                <w:rFonts w:ascii="Gill Sans" w:hAnsi="Gill Sans" w:cs="Gill Sans"/>
                <w:sz w:val="22"/>
                <w:szCs w:val="22"/>
                <w:lang w:val="uk-UA"/>
              </w:rPr>
            </w:pPr>
          </w:p>
        </w:tc>
        <w:tc>
          <w:tcPr>
            <w:tcW w:w="343" w:type="dxa"/>
            <w:vMerge w:val="restart"/>
            <w:tcBorders>
              <w:top w:val="single" w:sz="18" w:space="0" w:color="FFFFFF"/>
              <w:left w:val="single" w:sz="2" w:space="0" w:color="FFFFFF"/>
              <w:right w:val="single" w:sz="2" w:space="0" w:color="FFFFFF"/>
            </w:tcBorders>
            <w:shd w:val="clear" w:color="auto" w:fill="D6E3BC"/>
          </w:tcPr>
          <w:p w14:paraId="433B9264" w14:textId="77777777" w:rsidR="0020660D" w:rsidRPr="00257F44" w:rsidRDefault="0020660D" w:rsidP="00C25C76">
            <w:pPr>
              <w:rPr>
                <w:rFonts w:ascii="Zapf Dingbats" w:hAnsi="Zapf Dingbats" w:cs="Gill Sans"/>
                <w:sz w:val="22"/>
                <w:szCs w:val="22"/>
                <w:lang w:val="uk-UA"/>
              </w:rPr>
            </w:pPr>
          </w:p>
        </w:tc>
        <w:tc>
          <w:tcPr>
            <w:tcW w:w="343" w:type="dxa"/>
            <w:vMerge w:val="restart"/>
            <w:tcBorders>
              <w:top w:val="single" w:sz="18" w:space="0" w:color="FFFFFF"/>
              <w:left w:val="single" w:sz="2" w:space="0" w:color="FFFFFF"/>
              <w:right w:val="single" w:sz="2" w:space="0" w:color="FFFFFF"/>
            </w:tcBorders>
            <w:shd w:val="clear" w:color="auto" w:fill="D6E3BC"/>
          </w:tcPr>
          <w:p w14:paraId="5F6BF046" w14:textId="77777777" w:rsidR="0020660D" w:rsidRPr="00257F44" w:rsidRDefault="0020660D" w:rsidP="00C25C76">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43" w:type="dxa"/>
            <w:vMerge w:val="restart"/>
            <w:tcBorders>
              <w:top w:val="single" w:sz="18" w:space="0" w:color="FFFFFF"/>
              <w:left w:val="single" w:sz="2" w:space="0" w:color="FFFFFF"/>
              <w:right w:val="single" w:sz="18" w:space="0" w:color="FFFFFF"/>
            </w:tcBorders>
            <w:shd w:val="clear" w:color="auto" w:fill="D6E3BC"/>
          </w:tcPr>
          <w:p w14:paraId="4AEDA77D" w14:textId="77777777" w:rsidR="0020660D" w:rsidRPr="00257F44" w:rsidRDefault="0020660D" w:rsidP="00C25C76">
            <w:pPr>
              <w:rPr>
                <w:rFonts w:ascii="Zapf Dingbats" w:hAnsi="Zapf Dingbats" w:cs="Gill Sans"/>
                <w:noProof/>
                <w:sz w:val="22"/>
                <w:szCs w:val="22"/>
                <w:lang w:val="uk-UA"/>
              </w:rPr>
            </w:pPr>
          </w:p>
        </w:tc>
        <w:tc>
          <w:tcPr>
            <w:tcW w:w="420" w:type="dxa"/>
            <w:vMerge w:val="restart"/>
            <w:tcBorders>
              <w:top w:val="single" w:sz="18" w:space="0" w:color="FFFFFF"/>
              <w:left w:val="single" w:sz="2" w:space="0" w:color="FFFFFF"/>
              <w:right w:val="single" w:sz="2" w:space="0" w:color="FFFFFF"/>
            </w:tcBorders>
            <w:shd w:val="clear" w:color="auto" w:fill="FBD4B4"/>
          </w:tcPr>
          <w:p w14:paraId="1A3F3C21" w14:textId="134A9C72" w:rsidR="0020660D" w:rsidRPr="00257F44" w:rsidRDefault="0020660D" w:rsidP="00C25C76">
            <w:pPr>
              <w:rPr>
                <w:rFonts w:ascii="Zapf Dingbats" w:hAnsi="Zapf Dingbats" w:cs="Gill Sans"/>
                <w:sz w:val="22"/>
                <w:szCs w:val="22"/>
                <w:lang w:val="uk-UA"/>
              </w:rPr>
            </w:pPr>
          </w:p>
        </w:tc>
        <w:tc>
          <w:tcPr>
            <w:tcW w:w="343" w:type="dxa"/>
            <w:vMerge w:val="restart"/>
            <w:tcBorders>
              <w:top w:val="single" w:sz="18" w:space="0" w:color="FFFFFF"/>
              <w:left w:val="single" w:sz="2" w:space="0" w:color="FFFFFF"/>
              <w:right w:val="single" w:sz="2" w:space="0" w:color="FFFFFF"/>
            </w:tcBorders>
            <w:shd w:val="clear" w:color="auto" w:fill="FBD4B4"/>
          </w:tcPr>
          <w:p w14:paraId="06F2900A" w14:textId="77777777" w:rsidR="0020660D" w:rsidRPr="00257F44" w:rsidRDefault="0020660D" w:rsidP="00C25C76">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420" w:type="dxa"/>
            <w:vMerge w:val="restart"/>
            <w:tcBorders>
              <w:top w:val="single" w:sz="18" w:space="0" w:color="FFFFFF"/>
              <w:left w:val="single" w:sz="2" w:space="0" w:color="FFFFFF"/>
              <w:right w:val="single" w:sz="2" w:space="0" w:color="FFFFFF"/>
            </w:tcBorders>
            <w:shd w:val="clear" w:color="auto" w:fill="FBD4B4"/>
          </w:tcPr>
          <w:p w14:paraId="228C7F24" w14:textId="77777777" w:rsidR="0020660D" w:rsidRPr="00257F44" w:rsidRDefault="0020660D" w:rsidP="00C25C76">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808" w:type="dxa"/>
            <w:vMerge w:val="restart"/>
            <w:tcBorders>
              <w:top w:val="single" w:sz="18" w:space="0" w:color="FFFFFF"/>
              <w:left w:val="single" w:sz="2" w:space="0" w:color="FFFFFF"/>
              <w:right w:val="single" w:sz="18" w:space="0" w:color="FFFFFF"/>
            </w:tcBorders>
            <w:shd w:val="clear" w:color="auto" w:fill="FBD4B4"/>
          </w:tcPr>
          <w:p w14:paraId="02F641B4" w14:textId="77777777" w:rsidR="0020660D" w:rsidRPr="00257F44" w:rsidRDefault="0020660D" w:rsidP="00C25C76">
            <w:pPr>
              <w:rPr>
                <w:rFonts w:ascii="Zapf Dingbats" w:hAnsi="Zapf Dingbats" w:cs="Gill Sans"/>
                <w:sz w:val="22"/>
                <w:szCs w:val="22"/>
                <w:lang w:val="uk-UA"/>
              </w:rPr>
            </w:pPr>
          </w:p>
        </w:tc>
        <w:tc>
          <w:tcPr>
            <w:tcW w:w="343" w:type="dxa"/>
            <w:vMerge w:val="restart"/>
            <w:tcBorders>
              <w:top w:val="single" w:sz="18" w:space="0" w:color="FFFFFF"/>
              <w:left w:val="single" w:sz="18" w:space="0" w:color="FFFFFF"/>
              <w:right w:val="single" w:sz="2" w:space="0" w:color="FFFFFF"/>
            </w:tcBorders>
            <w:shd w:val="clear" w:color="auto" w:fill="CCC0D9"/>
          </w:tcPr>
          <w:p w14:paraId="3C433DA7" w14:textId="77777777" w:rsidR="0020660D" w:rsidRPr="00257F44" w:rsidRDefault="0020660D" w:rsidP="00C25C76">
            <w:pPr>
              <w:rPr>
                <w:rFonts w:ascii="Zapf Dingbats" w:hAnsi="Zapf Dingbats" w:cs="Gill Sans"/>
                <w:sz w:val="22"/>
                <w:szCs w:val="22"/>
                <w:lang w:val="uk-UA"/>
              </w:rPr>
            </w:pPr>
          </w:p>
        </w:tc>
        <w:tc>
          <w:tcPr>
            <w:tcW w:w="343" w:type="dxa"/>
            <w:vMerge w:val="restart"/>
            <w:tcBorders>
              <w:top w:val="single" w:sz="18" w:space="0" w:color="FFFFFF"/>
              <w:left w:val="single" w:sz="2" w:space="0" w:color="FFFFFF"/>
              <w:right w:val="single" w:sz="2" w:space="0" w:color="FFFFFF"/>
            </w:tcBorders>
            <w:shd w:val="clear" w:color="auto" w:fill="CCC0D9"/>
          </w:tcPr>
          <w:p w14:paraId="7AA11066" w14:textId="77777777" w:rsidR="0020660D" w:rsidRPr="00257F44" w:rsidRDefault="0020660D" w:rsidP="00C25C76">
            <w:pPr>
              <w:rPr>
                <w:rFonts w:ascii="Zapf Dingbats" w:hAnsi="Zapf Dingbats" w:cs="Gill Sans"/>
                <w:sz w:val="22"/>
                <w:szCs w:val="22"/>
                <w:lang w:val="uk-UA"/>
              </w:rPr>
            </w:pPr>
          </w:p>
        </w:tc>
        <w:tc>
          <w:tcPr>
            <w:tcW w:w="343" w:type="dxa"/>
            <w:vMerge w:val="restart"/>
            <w:tcBorders>
              <w:top w:val="single" w:sz="18" w:space="0" w:color="FFFFFF"/>
              <w:left w:val="single" w:sz="2" w:space="0" w:color="FFFFFF"/>
              <w:right w:val="single" w:sz="2" w:space="0" w:color="FFFFFF"/>
            </w:tcBorders>
            <w:shd w:val="clear" w:color="auto" w:fill="CCC0D9"/>
          </w:tcPr>
          <w:p w14:paraId="0FFF1D02" w14:textId="77777777" w:rsidR="0020660D" w:rsidRPr="00257F44" w:rsidRDefault="0020660D" w:rsidP="00C25C76">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343" w:type="dxa"/>
            <w:vMerge w:val="restart"/>
            <w:tcBorders>
              <w:top w:val="single" w:sz="18" w:space="0" w:color="FFFFFF"/>
              <w:left w:val="single" w:sz="2" w:space="0" w:color="FFFFFF"/>
              <w:right w:val="single" w:sz="18" w:space="0" w:color="FFFFFF"/>
            </w:tcBorders>
            <w:shd w:val="clear" w:color="auto" w:fill="CCC0D9"/>
          </w:tcPr>
          <w:p w14:paraId="49088442" w14:textId="77777777" w:rsidR="0020660D" w:rsidRPr="00257F44" w:rsidRDefault="0020660D" w:rsidP="00C25C76">
            <w:pPr>
              <w:rPr>
                <w:rFonts w:ascii="Zapf Dingbats" w:hAnsi="Zapf Dingbats" w:cs="Gill Sans"/>
                <w:sz w:val="22"/>
                <w:szCs w:val="22"/>
                <w:lang w:val="uk-UA"/>
              </w:rPr>
            </w:pPr>
          </w:p>
        </w:tc>
        <w:tc>
          <w:tcPr>
            <w:tcW w:w="420"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66C6AA19" w14:textId="77777777" w:rsidR="0020660D" w:rsidRPr="00257F44" w:rsidRDefault="0020660D" w:rsidP="00C25C76">
            <w:pPr>
              <w:rPr>
                <w:rFonts w:ascii="Zapf Dingbats" w:hAnsi="Zapf Dingbats" w:cs="Gill Sans"/>
                <w:sz w:val="22"/>
                <w:szCs w:val="22"/>
                <w:lang w:val="uk-UA"/>
              </w:rPr>
            </w:pPr>
          </w:p>
        </w:tc>
        <w:tc>
          <w:tcPr>
            <w:tcW w:w="576"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6E785DEA" w14:textId="77777777" w:rsidR="0020660D" w:rsidRPr="00257F44" w:rsidRDefault="0020660D" w:rsidP="00C25C76">
            <w:pPr>
              <w:rPr>
                <w:rFonts w:ascii="Zapf Dingbats" w:hAnsi="Zapf Dingbats" w:cs="Gill Sans"/>
                <w:sz w:val="22"/>
                <w:szCs w:val="22"/>
                <w:lang w:val="uk-UA"/>
              </w:rPr>
            </w:pPr>
          </w:p>
        </w:tc>
        <w:tc>
          <w:tcPr>
            <w:tcW w:w="498"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1AB7DC3C" w14:textId="77777777" w:rsidR="0020660D" w:rsidRPr="00257F44" w:rsidRDefault="0020660D" w:rsidP="00C25C76">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20"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1A88B7F3" w14:textId="77777777" w:rsidR="0020660D" w:rsidRPr="00257F44" w:rsidRDefault="0020660D" w:rsidP="00C25C76">
            <w:pPr>
              <w:rPr>
                <w:rFonts w:ascii="Zapf Dingbats" w:hAnsi="Zapf Dingbats" w:cs="Gill Sans"/>
                <w:sz w:val="22"/>
                <w:szCs w:val="22"/>
                <w:lang w:val="uk-UA"/>
              </w:rPr>
            </w:pPr>
          </w:p>
        </w:tc>
        <w:tc>
          <w:tcPr>
            <w:tcW w:w="343" w:type="dxa"/>
            <w:vMerge w:val="restart"/>
            <w:tcBorders>
              <w:top w:val="single" w:sz="18" w:space="0" w:color="FFFFFF"/>
              <w:left w:val="single" w:sz="18" w:space="0" w:color="FFFFFF"/>
              <w:right w:val="single" w:sz="2" w:space="0" w:color="FFFFFF"/>
            </w:tcBorders>
            <w:shd w:val="clear" w:color="auto" w:fill="D99594"/>
          </w:tcPr>
          <w:p w14:paraId="0A05AA11" w14:textId="77777777" w:rsidR="0020660D" w:rsidRPr="00257F44" w:rsidRDefault="0020660D" w:rsidP="00C25C76">
            <w:pPr>
              <w:rPr>
                <w:rFonts w:ascii="Zapf Dingbats" w:hAnsi="Zapf Dingbats" w:cs="Gill Sans"/>
                <w:sz w:val="22"/>
                <w:szCs w:val="22"/>
                <w:lang w:val="uk-UA"/>
              </w:rPr>
            </w:pPr>
          </w:p>
        </w:tc>
        <w:tc>
          <w:tcPr>
            <w:tcW w:w="343" w:type="dxa"/>
            <w:vMerge w:val="restart"/>
            <w:tcBorders>
              <w:top w:val="single" w:sz="18" w:space="0" w:color="FFFFFF"/>
              <w:left w:val="single" w:sz="2" w:space="0" w:color="FFFFFF"/>
              <w:right w:val="single" w:sz="2" w:space="0" w:color="FFFFFF"/>
            </w:tcBorders>
            <w:shd w:val="clear" w:color="auto" w:fill="D99594"/>
          </w:tcPr>
          <w:p w14:paraId="1659F7EA" w14:textId="7EC4A842" w:rsidR="0020660D" w:rsidRPr="00257F44" w:rsidRDefault="0020660D" w:rsidP="00C25C76">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43" w:type="dxa"/>
            <w:vMerge w:val="restart"/>
            <w:tcBorders>
              <w:top w:val="single" w:sz="18" w:space="0" w:color="FFFFFF"/>
              <w:left w:val="single" w:sz="2" w:space="0" w:color="FFFFFF"/>
              <w:right w:val="single" w:sz="2" w:space="0" w:color="FFFFFF"/>
            </w:tcBorders>
            <w:shd w:val="clear" w:color="auto" w:fill="D99594"/>
          </w:tcPr>
          <w:p w14:paraId="14888628" w14:textId="77777777" w:rsidR="0020660D" w:rsidRPr="00257F44" w:rsidRDefault="0020660D" w:rsidP="00C25C76">
            <w:pPr>
              <w:rPr>
                <w:rFonts w:ascii="Gill Sans" w:hAnsi="Gill Sans" w:cs="Gill Sans"/>
                <w:sz w:val="22"/>
                <w:szCs w:val="22"/>
                <w:lang w:val="uk-UA"/>
              </w:rPr>
            </w:pPr>
          </w:p>
        </w:tc>
        <w:tc>
          <w:tcPr>
            <w:tcW w:w="343" w:type="dxa"/>
            <w:vMerge w:val="restart"/>
            <w:tcBorders>
              <w:top w:val="single" w:sz="18" w:space="0" w:color="FFFFFF"/>
              <w:left w:val="single" w:sz="2" w:space="0" w:color="FFFFFF"/>
              <w:right w:val="single" w:sz="2" w:space="0" w:color="FFFFFF"/>
            </w:tcBorders>
            <w:shd w:val="clear" w:color="auto" w:fill="D99594"/>
          </w:tcPr>
          <w:p w14:paraId="548F5E35" w14:textId="5977D673" w:rsidR="0020660D" w:rsidRPr="00257F44" w:rsidRDefault="0020660D" w:rsidP="00C25C76">
            <w:pPr>
              <w:rPr>
                <w:rFonts w:ascii="Gill Sans" w:hAnsi="Gill Sans" w:cs="Gill Sans"/>
                <w:noProof/>
                <w:sz w:val="22"/>
                <w:szCs w:val="22"/>
                <w:lang w:val="uk-UA"/>
              </w:rPr>
            </w:pPr>
          </w:p>
        </w:tc>
        <w:tc>
          <w:tcPr>
            <w:tcW w:w="711" w:type="dxa"/>
            <w:vMerge w:val="restart"/>
            <w:tcBorders>
              <w:top w:val="single" w:sz="18" w:space="0" w:color="FFFFFF"/>
              <w:left w:val="single" w:sz="2" w:space="0" w:color="FFFFFF"/>
              <w:right w:val="single" w:sz="18" w:space="0" w:color="FFFFFF"/>
            </w:tcBorders>
            <w:shd w:val="clear" w:color="auto" w:fill="D99594"/>
          </w:tcPr>
          <w:p w14:paraId="1B1E0181" w14:textId="77777777" w:rsidR="0020660D" w:rsidRPr="00257F44" w:rsidRDefault="0020660D" w:rsidP="00C25C76">
            <w:pPr>
              <w:rPr>
                <w:rFonts w:ascii="Gill Sans" w:hAnsi="Gill Sans" w:cs="Gill Sans"/>
                <w:sz w:val="22"/>
                <w:szCs w:val="22"/>
                <w:lang w:val="uk-UA"/>
              </w:rPr>
            </w:pPr>
          </w:p>
        </w:tc>
      </w:tr>
      <w:tr w:rsidR="0020660D" w:rsidRPr="00257F44" w14:paraId="4CAEFF61" w14:textId="77777777" w:rsidTr="00CE72B2">
        <w:trPr>
          <w:trHeight w:val="340"/>
        </w:trPr>
        <w:tc>
          <w:tcPr>
            <w:tcW w:w="1344" w:type="dxa"/>
            <w:vMerge/>
            <w:tcBorders>
              <w:left w:val="single" w:sz="4" w:space="0" w:color="FFFFFF"/>
              <w:right w:val="single" w:sz="18" w:space="0" w:color="FFFFFF"/>
            </w:tcBorders>
            <w:shd w:val="clear" w:color="auto" w:fill="000000"/>
          </w:tcPr>
          <w:p w14:paraId="6A7A26C5" w14:textId="77777777" w:rsidR="0020660D" w:rsidRPr="00257F44" w:rsidRDefault="0020660D" w:rsidP="00C25C76">
            <w:pPr>
              <w:rPr>
                <w:rFonts w:ascii="Gill Sans" w:hAnsi="Gill Sans" w:cs="Gill Sans"/>
                <w:color w:val="FFFFFF" w:themeColor="background1"/>
                <w:sz w:val="22"/>
                <w:szCs w:val="22"/>
                <w:lang w:val="uk-UA"/>
              </w:rPr>
            </w:pPr>
          </w:p>
        </w:tc>
        <w:tc>
          <w:tcPr>
            <w:tcW w:w="347" w:type="dxa"/>
            <w:vMerge/>
            <w:tcBorders>
              <w:left w:val="single" w:sz="18" w:space="0" w:color="FFFFFF"/>
              <w:right w:val="single" w:sz="2" w:space="0" w:color="FFFFFF"/>
            </w:tcBorders>
            <w:shd w:val="clear" w:color="auto" w:fill="D6E3BC"/>
          </w:tcPr>
          <w:p w14:paraId="6B2E4D79" w14:textId="77777777" w:rsidR="0020660D" w:rsidRPr="00257F44" w:rsidRDefault="0020660D" w:rsidP="00C25C76">
            <w:pPr>
              <w:rPr>
                <w:rFonts w:ascii="Gill Sans" w:hAnsi="Gill Sans" w:cs="Gill Sans"/>
                <w:sz w:val="22"/>
                <w:szCs w:val="22"/>
                <w:lang w:val="uk-UA"/>
              </w:rPr>
            </w:pPr>
          </w:p>
        </w:tc>
        <w:tc>
          <w:tcPr>
            <w:tcW w:w="343" w:type="dxa"/>
            <w:vMerge/>
            <w:tcBorders>
              <w:left w:val="single" w:sz="2" w:space="0" w:color="FFFFFF"/>
              <w:right w:val="single" w:sz="2" w:space="0" w:color="FFFFFF"/>
            </w:tcBorders>
            <w:shd w:val="clear" w:color="auto" w:fill="D6E3BC"/>
          </w:tcPr>
          <w:p w14:paraId="6A5F0919" w14:textId="77777777" w:rsidR="0020660D" w:rsidRPr="00257F44" w:rsidRDefault="0020660D" w:rsidP="00C25C76">
            <w:pPr>
              <w:rPr>
                <w:rFonts w:ascii="Gill Sans" w:hAnsi="Gill Sans" w:cs="Gill Sans"/>
                <w:sz w:val="22"/>
                <w:szCs w:val="22"/>
                <w:lang w:val="uk-UA"/>
              </w:rPr>
            </w:pPr>
          </w:p>
        </w:tc>
        <w:tc>
          <w:tcPr>
            <w:tcW w:w="343" w:type="dxa"/>
            <w:vMerge/>
            <w:tcBorders>
              <w:left w:val="single" w:sz="2" w:space="0" w:color="FFFFFF"/>
              <w:right w:val="single" w:sz="2" w:space="0" w:color="FFFFFF"/>
            </w:tcBorders>
            <w:shd w:val="clear" w:color="auto" w:fill="D6E3BC"/>
          </w:tcPr>
          <w:p w14:paraId="5AED04E2" w14:textId="77777777" w:rsidR="0020660D" w:rsidRPr="00257F44" w:rsidRDefault="0020660D" w:rsidP="00C25C76">
            <w:pPr>
              <w:rPr>
                <w:rFonts w:ascii="Gill Sans" w:hAnsi="Gill Sans" w:cs="Gill Sans"/>
                <w:sz w:val="22"/>
                <w:szCs w:val="22"/>
                <w:lang w:val="uk-UA"/>
              </w:rPr>
            </w:pPr>
          </w:p>
        </w:tc>
        <w:tc>
          <w:tcPr>
            <w:tcW w:w="343" w:type="dxa"/>
            <w:vMerge/>
            <w:tcBorders>
              <w:left w:val="single" w:sz="2" w:space="0" w:color="FFFFFF"/>
              <w:right w:val="single" w:sz="18" w:space="0" w:color="FFFFFF"/>
            </w:tcBorders>
            <w:shd w:val="clear" w:color="auto" w:fill="D6E3BC"/>
          </w:tcPr>
          <w:p w14:paraId="51E13528" w14:textId="77777777" w:rsidR="0020660D" w:rsidRPr="00257F44" w:rsidRDefault="0020660D" w:rsidP="00C25C76">
            <w:pPr>
              <w:rPr>
                <w:rFonts w:ascii="Gill Sans" w:hAnsi="Gill Sans" w:cs="Gill Sans"/>
                <w:noProof/>
                <w:sz w:val="22"/>
                <w:szCs w:val="22"/>
                <w:lang w:val="uk-UA"/>
              </w:rPr>
            </w:pPr>
          </w:p>
        </w:tc>
        <w:tc>
          <w:tcPr>
            <w:tcW w:w="420" w:type="dxa"/>
            <w:vMerge/>
            <w:tcBorders>
              <w:left w:val="single" w:sz="2" w:space="0" w:color="FFFFFF"/>
              <w:right w:val="single" w:sz="2" w:space="0" w:color="FFFFFF"/>
            </w:tcBorders>
            <w:shd w:val="clear" w:color="auto" w:fill="FBD4B4"/>
          </w:tcPr>
          <w:p w14:paraId="47C11E51" w14:textId="77777777" w:rsidR="0020660D" w:rsidRPr="00257F44" w:rsidRDefault="0020660D" w:rsidP="00C25C76">
            <w:pPr>
              <w:rPr>
                <w:rFonts w:ascii="Gill Sans" w:hAnsi="Gill Sans" w:cs="Gill Sans"/>
                <w:sz w:val="22"/>
                <w:szCs w:val="22"/>
                <w:lang w:val="uk-UA"/>
              </w:rPr>
            </w:pPr>
          </w:p>
        </w:tc>
        <w:tc>
          <w:tcPr>
            <w:tcW w:w="343" w:type="dxa"/>
            <w:vMerge/>
            <w:tcBorders>
              <w:left w:val="single" w:sz="2" w:space="0" w:color="FFFFFF"/>
              <w:right w:val="single" w:sz="2" w:space="0" w:color="FFFFFF"/>
            </w:tcBorders>
            <w:shd w:val="clear" w:color="auto" w:fill="FBD4B4"/>
          </w:tcPr>
          <w:p w14:paraId="56B4DAA6" w14:textId="77777777" w:rsidR="0020660D" w:rsidRPr="00257F44" w:rsidRDefault="0020660D" w:rsidP="00C25C76">
            <w:pPr>
              <w:rPr>
                <w:rFonts w:ascii="Gill Sans" w:hAnsi="Gill Sans" w:cs="Gill Sans"/>
                <w:noProof/>
                <w:sz w:val="22"/>
                <w:szCs w:val="22"/>
                <w:lang w:val="uk-UA"/>
              </w:rPr>
            </w:pPr>
          </w:p>
        </w:tc>
        <w:tc>
          <w:tcPr>
            <w:tcW w:w="420" w:type="dxa"/>
            <w:vMerge/>
            <w:tcBorders>
              <w:left w:val="single" w:sz="2" w:space="0" w:color="FFFFFF"/>
              <w:right w:val="single" w:sz="2" w:space="0" w:color="FFFFFF"/>
            </w:tcBorders>
            <w:shd w:val="clear" w:color="auto" w:fill="FBD4B4"/>
          </w:tcPr>
          <w:p w14:paraId="7334E83F" w14:textId="77777777" w:rsidR="0020660D" w:rsidRPr="00257F44" w:rsidRDefault="0020660D" w:rsidP="00C25C76">
            <w:pPr>
              <w:rPr>
                <w:rFonts w:ascii="Gill Sans" w:hAnsi="Gill Sans" w:cs="Gill Sans"/>
                <w:noProof/>
                <w:sz w:val="22"/>
                <w:szCs w:val="22"/>
                <w:lang w:val="uk-UA"/>
              </w:rPr>
            </w:pPr>
          </w:p>
        </w:tc>
        <w:tc>
          <w:tcPr>
            <w:tcW w:w="808" w:type="dxa"/>
            <w:vMerge/>
            <w:tcBorders>
              <w:left w:val="single" w:sz="2" w:space="0" w:color="FFFFFF"/>
              <w:right w:val="single" w:sz="18" w:space="0" w:color="FFFFFF"/>
            </w:tcBorders>
            <w:shd w:val="clear" w:color="auto" w:fill="FBD4B4"/>
          </w:tcPr>
          <w:p w14:paraId="4FBE9FD6" w14:textId="77777777" w:rsidR="0020660D" w:rsidRPr="00257F44" w:rsidRDefault="0020660D" w:rsidP="00C25C76">
            <w:pPr>
              <w:rPr>
                <w:rFonts w:ascii="Gill Sans" w:hAnsi="Gill Sans" w:cs="Gill Sans"/>
                <w:sz w:val="22"/>
                <w:szCs w:val="22"/>
                <w:lang w:val="uk-UA"/>
              </w:rPr>
            </w:pPr>
          </w:p>
        </w:tc>
        <w:tc>
          <w:tcPr>
            <w:tcW w:w="343" w:type="dxa"/>
            <w:vMerge/>
            <w:tcBorders>
              <w:left w:val="single" w:sz="18" w:space="0" w:color="FFFFFF"/>
              <w:right w:val="single" w:sz="2" w:space="0" w:color="FFFFFF"/>
            </w:tcBorders>
            <w:shd w:val="clear" w:color="auto" w:fill="CCC0D9"/>
          </w:tcPr>
          <w:p w14:paraId="5F06C4C2" w14:textId="77777777" w:rsidR="0020660D" w:rsidRPr="00257F44" w:rsidRDefault="0020660D" w:rsidP="00C25C76">
            <w:pPr>
              <w:rPr>
                <w:rFonts w:ascii="Gill Sans" w:hAnsi="Gill Sans" w:cs="Gill Sans"/>
                <w:sz w:val="22"/>
                <w:szCs w:val="22"/>
                <w:lang w:val="uk-UA"/>
              </w:rPr>
            </w:pPr>
          </w:p>
        </w:tc>
        <w:tc>
          <w:tcPr>
            <w:tcW w:w="343" w:type="dxa"/>
            <w:vMerge/>
            <w:tcBorders>
              <w:left w:val="single" w:sz="2" w:space="0" w:color="FFFFFF"/>
              <w:right w:val="single" w:sz="2" w:space="0" w:color="FFFFFF"/>
            </w:tcBorders>
            <w:shd w:val="clear" w:color="auto" w:fill="CCC0D9"/>
          </w:tcPr>
          <w:p w14:paraId="21B73586" w14:textId="77777777" w:rsidR="0020660D" w:rsidRPr="00257F44" w:rsidRDefault="0020660D" w:rsidP="00C25C76">
            <w:pPr>
              <w:rPr>
                <w:rFonts w:ascii="Gill Sans" w:hAnsi="Gill Sans" w:cs="Gill Sans"/>
                <w:sz w:val="22"/>
                <w:szCs w:val="22"/>
                <w:lang w:val="uk-UA"/>
              </w:rPr>
            </w:pPr>
          </w:p>
        </w:tc>
        <w:tc>
          <w:tcPr>
            <w:tcW w:w="343" w:type="dxa"/>
            <w:vMerge/>
            <w:tcBorders>
              <w:left w:val="single" w:sz="2" w:space="0" w:color="FFFFFF"/>
              <w:right w:val="single" w:sz="2" w:space="0" w:color="FFFFFF"/>
            </w:tcBorders>
            <w:shd w:val="clear" w:color="auto" w:fill="CCC0D9"/>
          </w:tcPr>
          <w:p w14:paraId="0C8D1080" w14:textId="77777777" w:rsidR="0020660D" w:rsidRPr="00257F44" w:rsidRDefault="0020660D" w:rsidP="00C25C76">
            <w:pPr>
              <w:rPr>
                <w:rFonts w:ascii="Gill Sans" w:hAnsi="Gill Sans" w:cs="Gill Sans"/>
                <w:noProof/>
                <w:sz w:val="22"/>
                <w:szCs w:val="22"/>
                <w:lang w:val="uk-UA"/>
              </w:rPr>
            </w:pPr>
          </w:p>
        </w:tc>
        <w:tc>
          <w:tcPr>
            <w:tcW w:w="343" w:type="dxa"/>
            <w:vMerge/>
            <w:tcBorders>
              <w:left w:val="single" w:sz="2" w:space="0" w:color="FFFFFF"/>
              <w:right w:val="single" w:sz="18" w:space="0" w:color="FFFFFF"/>
            </w:tcBorders>
            <w:shd w:val="clear" w:color="auto" w:fill="CCC0D9"/>
          </w:tcPr>
          <w:p w14:paraId="1ABEC888" w14:textId="77777777" w:rsidR="0020660D" w:rsidRPr="00257F44" w:rsidRDefault="0020660D" w:rsidP="00C25C76">
            <w:pPr>
              <w:rPr>
                <w:rFonts w:ascii="Gill Sans" w:hAnsi="Gill Sans" w:cs="Gill Sans"/>
                <w:sz w:val="22"/>
                <w:szCs w:val="22"/>
                <w:lang w:val="uk-UA"/>
              </w:rPr>
            </w:pPr>
          </w:p>
        </w:tc>
        <w:tc>
          <w:tcPr>
            <w:tcW w:w="420"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241FCE91" w14:textId="77777777" w:rsidR="0020660D" w:rsidRPr="00257F44" w:rsidRDefault="0020660D" w:rsidP="00C25C76">
            <w:pPr>
              <w:rPr>
                <w:rFonts w:ascii="Gill Sans" w:hAnsi="Gill Sans" w:cs="Gill Sans"/>
                <w:sz w:val="22"/>
                <w:szCs w:val="22"/>
                <w:lang w:val="uk-UA"/>
              </w:rPr>
            </w:pPr>
          </w:p>
        </w:tc>
        <w:tc>
          <w:tcPr>
            <w:tcW w:w="576"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73445D40" w14:textId="13C837DA" w:rsidR="0020660D" w:rsidRPr="00257F44" w:rsidRDefault="0020660D" w:rsidP="00C25C76">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98"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20BA5285" w14:textId="031374F3" w:rsidR="0020660D" w:rsidRPr="00257F44" w:rsidRDefault="0020660D" w:rsidP="00C25C76">
            <w:pPr>
              <w:rPr>
                <w:rFonts w:ascii="Gill Sans" w:hAnsi="Gill Sans" w:cs="Gill Sans"/>
                <w:sz w:val="22"/>
                <w:szCs w:val="22"/>
                <w:lang w:val="uk-UA"/>
              </w:rPr>
            </w:pPr>
          </w:p>
        </w:tc>
        <w:tc>
          <w:tcPr>
            <w:tcW w:w="420"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26FC6BF2" w14:textId="77777777" w:rsidR="0020660D" w:rsidRPr="00257F44" w:rsidRDefault="0020660D" w:rsidP="00C25C76">
            <w:pPr>
              <w:jc w:val="center"/>
              <w:rPr>
                <w:rFonts w:ascii="Gill Sans" w:hAnsi="Gill Sans" w:cs="Gill Sans"/>
                <w:sz w:val="22"/>
                <w:szCs w:val="22"/>
                <w:lang w:val="uk-UA"/>
              </w:rPr>
            </w:pPr>
          </w:p>
        </w:tc>
        <w:tc>
          <w:tcPr>
            <w:tcW w:w="343" w:type="dxa"/>
            <w:vMerge/>
            <w:tcBorders>
              <w:left w:val="single" w:sz="18" w:space="0" w:color="FFFFFF"/>
              <w:right w:val="single" w:sz="2" w:space="0" w:color="FFFFFF"/>
            </w:tcBorders>
            <w:shd w:val="clear" w:color="auto" w:fill="D99594"/>
          </w:tcPr>
          <w:p w14:paraId="3CC5DC29" w14:textId="77777777" w:rsidR="0020660D" w:rsidRPr="00257F44" w:rsidRDefault="0020660D" w:rsidP="00C25C76">
            <w:pPr>
              <w:rPr>
                <w:rFonts w:ascii="Gill Sans" w:hAnsi="Gill Sans" w:cs="Gill Sans"/>
                <w:sz w:val="22"/>
                <w:szCs w:val="22"/>
                <w:lang w:val="uk-UA"/>
              </w:rPr>
            </w:pPr>
          </w:p>
        </w:tc>
        <w:tc>
          <w:tcPr>
            <w:tcW w:w="343" w:type="dxa"/>
            <w:vMerge/>
            <w:tcBorders>
              <w:left w:val="single" w:sz="2" w:space="0" w:color="FFFFFF"/>
              <w:right w:val="single" w:sz="2" w:space="0" w:color="FFFFFF"/>
            </w:tcBorders>
            <w:shd w:val="clear" w:color="auto" w:fill="D99594"/>
          </w:tcPr>
          <w:p w14:paraId="0D9BE20C" w14:textId="77777777" w:rsidR="0020660D" w:rsidRPr="00257F44" w:rsidRDefault="0020660D" w:rsidP="00C25C76">
            <w:pPr>
              <w:rPr>
                <w:rFonts w:ascii="Gill Sans" w:hAnsi="Gill Sans" w:cs="Gill Sans"/>
                <w:sz w:val="22"/>
                <w:szCs w:val="22"/>
                <w:lang w:val="uk-UA"/>
              </w:rPr>
            </w:pPr>
          </w:p>
        </w:tc>
        <w:tc>
          <w:tcPr>
            <w:tcW w:w="343" w:type="dxa"/>
            <w:vMerge/>
            <w:tcBorders>
              <w:left w:val="single" w:sz="2" w:space="0" w:color="FFFFFF"/>
              <w:right w:val="single" w:sz="2" w:space="0" w:color="FFFFFF"/>
            </w:tcBorders>
            <w:shd w:val="clear" w:color="auto" w:fill="D99594"/>
          </w:tcPr>
          <w:p w14:paraId="303B8EF9" w14:textId="77777777" w:rsidR="0020660D" w:rsidRPr="00257F44" w:rsidRDefault="0020660D" w:rsidP="00C25C76">
            <w:pPr>
              <w:rPr>
                <w:rFonts w:ascii="Gill Sans" w:hAnsi="Gill Sans" w:cs="Gill Sans"/>
                <w:sz w:val="22"/>
                <w:szCs w:val="22"/>
                <w:lang w:val="uk-UA"/>
              </w:rPr>
            </w:pPr>
          </w:p>
        </w:tc>
        <w:tc>
          <w:tcPr>
            <w:tcW w:w="343" w:type="dxa"/>
            <w:vMerge/>
            <w:tcBorders>
              <w:left w:val="single" w:sz="2" w:space="0" w:color="FFFFFF"/>
              <w:right w:val="single" w:sz="2" w:space="0" w:color="FFFFFF"/>
            </w:tcBorders>
            <w:shd w:val="clear" w:color="auto" w:fill="D99594"/>
          </w:tcPr>
          <w:p w14:paraId="77E8AB2A" w14:textId="77777777" w:rsidR="0020660D" w:rsidRPr="00257F44" w:rsidRDefault="0020660D" w:rsidP="00C25C76">
            <w:pPr>
              <w:rPr>
                <w:rFonts w:ascii="Gill Sans" w:hAnsi="Gill Sans" w:cs="Gill Sans"/>
                <w:noProof/>
                <w:sz w:val="22"/>
                <w:szCs w:val="22"/>
                <w:lang w:val="uk-UA"/>
              </w:rPr>
            </w:pPr>
          </w:p>
        </w:tc>
        <w:tc>
          <w:tcPr>
            <w:tcW w:w="711" w:type="dxa"/>
            <w:vMerge/>
            <w:tcBorders>
              <w:left w:val="single" w:sz="2" w:space="0" w:color="FFFFFF"/>
              <w:right w:val="single" w:sz="18" w:space="0" w:color="FFFFFF"/>
            </w:tcBorders>
            <w:shd w:val="clear" w:color="auto" w:fill="D99594"/>
          </w:tcPr>
          <w:p w14:paraId="33FB59C1" w14:textId="77777777" w:rsidR="0020660D" w:rsidRPr="00257F44" w:rsidRDefault="0020660D" w:rsidP="00C25C76">
            <w:pPr>
              <w:rPr>
                <w:rFonts w:ascii="Gill Sans" w:hAnsi="Gill Sans" w:cs="Gill Sans"/>
                <w:sz w:val="22"/>
                <w:szCs w:val="22"/>
                <w:lang w:val="uk-UA"/>
              </w:rPr>
            </w:pPr>
          </w:p>
        </w:tc>
      </w:tr>
    </w:tbl>
    <w:p w14:paraId="708803E7" w14:textId="1BF2DC82" w:rsidR="003A6622" w:rsidRPr="00257F44" w:rsidRDefault="002F0E44" w:rsidP="00FE6F1D">
      <w:pPr>
        <w:pStyle w:val="Heading3"/>
        <w:spacing w:after="120"/>
        <w:rPr>
          <w:lang w:val="uk-UA"/>
        </w:rPr>
      </w:pPr>
      <w:r w:rsidRPr="00257F44">
        <w:rPr>
          <w:lang w:val="uk-UA"/>
        </w:rPr>
        <w:t>Мета зобов’язання</w:t>
      </w:r>
    </w:p>
    <w:p w14:paraId="4F021F92" w14:textId="35017B3F" w:rsidR="002F0E44" w:rsidRPr="00257F44" w:rsidRDefault="002F0E44" w:rsidP="00FE6F1D">
      <w:pPr>
        <w:spacing w:after="120"/>
        <w:rPr>
          <w:rFonts w:ascii="Gill Sans" w:hAnsi="Gill Sans" w:cs="Gill Sans"/>
          <w:sz w:val="22"/>
          <w:szCs w:val="22"/>
          <w:lang w:val="uk-UA"/>
        </w:rPr>
      </w:pPr>
      <w:r w:rsidRPr="00257F44">
        <w:rPr>
          <w:rFonts w:ascii="Gill Sans" w:hAnsi="Gill Sans" w:cs="Gill Sans"/>
          <w:sz w:val="22"/>
          <w:szCs w:val="22"/>
          <w:lang w:val="uk-UA"/>
        </w:rPr>
        <w:t>Це зобов’язання мало на меті посилити прозорість, громадський нагляд та підзвітність органів влади у національних та регіональних інфраструктурних проектах. У таких проектах часто ви</w:t>
      </w:r>
      <w:r w:rsidR="000656EA" w:rsidRPr="00257F44">
        <w:rPr>
          <w:rFonts w:ascii="Gill Sans" w:hAnsi="Gill Sans" w:cs="Gill Sans"/>
          <w:sz w:val="22"/>
          <w:szCs w:val="22"/>
          <w:lang w:val="uk-UA"/>
        </w:rPr>
        <w:t>користовуються значні публічні кошти і їм бракує прозорості на стадіях проектування та реалізації. Оскільки це також є сферою, де поширена корупція, моніторинговий механізм із залученням громадськості допоможе зменшити корупцію.</w:t>
      </w:r>
    </w:p>
    <w:p w14:paraId="452E4ECE" w14:textId="77777777" w:rsidR="00CE72B2" w:rsidRPr="00257F44" w:rsidRDefault="00CE72B2" w:rsidP="00FE6F1D">
      <w:pPr>
        <w:pStyle w:val="Heading3"/>
        <w:spacing w:after="120"/>
        <w:rPr>
          <w:lang w:val="uk-UA"/>
        </w:rPr>
      </w:pPr>
      <w:r w:rsidRPr="00257F44">
        <w:rPr>
          <w:lang w:val="uk-UA"/>
        </w:rPr>
        <w:t>Статус виконання</w:t>
      </w:r>
    </w:p>
    <w:p w14:paraId="1C91FBF2" w14:textId="77777777" w:rsidR="00CE72B2" w:rsidRPr="00257F44" w:rsidRDefault="00CE72B2" w:rsidP="00FE6F1D">
      <w:pPr>
        <w:pStyle w:val="Normalrglronly"/>
        <w:rPr>
          <w:b/>
          <w:lang w:val="uk-UA"/>
        </w:rPr>
      </w:pPr>
      <w:r w:rsidRPr="00257F44">
        <w:rPr>
          <w:b/>
          <w:lang w:val="uk-UA"/>
        </w:rPr>
        <w:t>Проміжний звіт: Значне виконання</w:t>
      </w:r>
    </w:p>
    <w:p w14:paraId="14E1F349" w14:textId="5A6FA889" w:rsidR="000656EA" w:rsidRPr="00257F44" w:rsidRDefault="00D214D5" w:rsidP="00FE6F1D">
      <w:pPr>
        <w:spacing w:after="120"/>
        <w:rPr>
          <w:rFonts w:ascii="Gill Sans" w:hAnsi="Gill Sans" w:cs="Gill Sans"/>
          <w:noProof/>
          <w:sz w:val="22"/>
          <w:szCs w:val="22"/>
          <w:lang w:val="uk-UA"/>
        </w:rPr>
      </w:pPr>
      <w:r w:rsidRPr="00257F44">
        <w:rPr>
          <w:rFonts w:ascii="Gill Sans" w:hAnsi="Gill Sans" w:cs="Gill Sans"/>
          <w:noProof/>
          <w:sz w:val="22"/>
          <w:szCs w:val="22"/>
          <w:lang w:val="uk-UA"/>
        </w:rPr>
        <w:t>Антикорупційна стратегія України на 2014 – 2017 роки, ухвалена законом 14 жовтня 2014 року</w:t>
      </w:r>
      <w:r w:rsidRPr="00257F44">
        <w:rPr>
          <w:rStyle w:val="EndnoteReference"/>
          <w:rFonts w:ascii="Gill Sans" w:hAnsi="Gill Sans" w:cs="Gill Sans"/>
          <w:noProof/>
          <w:sz w:val="22"/>
          <w:szCs w:val="22"/>
          <w:lang w:val="uk-UA"/>
        </w:rPr>
        <w:endnoteReference w:id="40"/>
      </w:r>
      <w:r w:rsidRPr="00257F44">
        <w:rPr>
          <w:rFonts w:ascii="Gill Sans" w:hAnsi="Gill Sans" w:cs="Gill Sans"/>
          <w:noProof/>
          <w:sz w:val="22"/>
          <w:szCs w:val="22"/>
          <w:lang w:val="uk-UA"/>
        </w:rPr>
        <w:t>, передбачала як один із заходів “пілотні проекти "пактів доброчесності" в інфраструктурних проектах або інших проектах, що передбачають значні бюджетні витрати, шляхом формування тристороннього (держава - бізнес - громадськість) механізму контролю за плануванням та реалізацією таких проектів, цільового та ефективного витрачання відповідних коштів”. Моніторинг інфраструктурних проектів можна розглядати як реалізацію цього заходу. Міністерство інфраструктури розробило декілька версій проекту відповідного положення в 2015 році, але громадські</w:t>
      </w:r>
      <w:r w:rsidR="00FE6F1D">
        <w:rPr>
          <w:rFonts w:ascii="Gill Sans" w:hAnsi="Gill Sans" w:cs="Gill Sans"/>
          <w:noProof/>
          <w:sz w:val="22"/>
          <w:szCs w:val="22"/>
          <w:lang w:val="uk-UA"/>
        </w:rPr>
        <w:t xml:space="preserve"> організації їх розкритикували,</w:t>
      </w:r>
      <w:r w:rsidRPr="00257F44">
        <w:rPr>
          <w:rFonts w:ascii="Gill Sans" w:hAnsi="Gill Sans" w:cs="Gill Sans"/>
          <w:noProof/>
          <w:sz w:val="22"/>
          <w:szCs w:val="22"/>
          <w:lang w:val="uk-UA"/>
        </w:rPr>
        <w:t xml:space="preserve"> оскільки вони не надавали достатніх повноважень моніторинговим структурам. </w:t>
      </w:r>
      <w:r w:rsidR="00A02813" w:rsidRPr="00257F44">
        <w:rPr>
          <w:rFonts w:ascii="Gill Sans" w:hAnsi="Gill Sans" w:cs="Gill Sans"/>
          <w:noProof/>
          <w:sz w:val="22"/>
          <w:szCs w:val="22"/>
          <w:lang w:val="uk-UA"/>
        </w:rPr>
        <w:t xml:space="preserve">Проект положення передбачав створення постійних комітетів моніторингу інфраструктурних проектів на центральному та місцевому рівнях органів виконавчої влади. Комітети мали складатися з представників громадських організацій та інших </w:t>
      </w:r>
      <w:r w:rsidR="00A02813" w:rsidRPr="00257F44">
        <w:rPr>
          <w:rFonts w:ascii="Gill Sans" w:hAnsi="Gill Sans" w:cs="Gill Sans"/>
          <w:noProof/>
          <w:sz w:val="22"/>
          <w:szCs w:val="22"/>
          <w:lang w:val="uk-UA"/>
        </w:rPr>
        <w:lastRenderedPageBreak/>
        <w:t xml:space="preserve">недержавних заінтересованих сторін, які будуть відібрані шляхом відкритого конкурсу. Попри значні зусилля з розроблення положення, жодна </w:t>
      </w:r>
      <w:r w:rsidR="00FE6F1D">
        <w:rPr>
          <w:rFonts w:ascii="Gill Sans" w:hAnsi="Gill Sans" w:cs="Gill Sans"/>
          <w:noProof/>
          <w:sz w:val="22"/>
          <w:szCs w:val="22"/>
          <w:lang w:val="uk-UA"/>
        </w:rPr>
        <w:t>його версія</w:t>
      </w:r>
      <w:r w:rsidR="00A02813" w:rsidRPr="00257F44">
        <w:rPr>
          <w:rFonts w:ascii="Gill Sans" w:hAnsi="Gill Sans" w:cs="Gill Sans"/>
          <w:noProof/>
          <w:sz w:val="22"/>
          <w:szCs w:val="22"/>
          <w:lang w:val="uk-UA"/>
        </w:rPr>
        <w:t xml:space="preserve"> не була розглянута на засіданні уряду</w:t>
      </w:r>
      <w:r w:rsidR="00A02813" w:rsidRPr="00257F44">
        <w:rPr>
          <w:rStyle w:val="EndnoteReference"/>
          <w:rFonts w:ascii="Gill Sans" w:hAnsi="Gill Sans" w:cs="Gill Sans"/>
          <w:sz w:val="22"/>
          <w:szCs w:val="22"/>
          <w:lang w:val="uk-UA"/>
        </w:rPr>
        <w:endnoteReference w:id="41"/>
      </w:r>
      <w:r w:rsidR="00A02813" w:rsidRPr="00257F44">
        <w:rPr>
          <w:rFonts w:ascii="Gill Sans" w:hAnsi="Gill Sans" w:cs="Gill Sans"/>
          <w:noProof/>
          <w:sz w:val="22"/>
          <w:szCs w:val="22"/>
          <w:lang w:val="uk-UA"/>
        </w:rPr>
        <w:t>.</w:t>
      </w:r>
    </w:p>
    <w:p w14:paraId="3CA7630A" w14:textId="228792B0" w:rsidR="00CE72B2" w:rsidRPr="00257F44" w:rsidRDefault="00CE72B2" w:rsidP="00FE6F1D">
      <w:pPr>
        <w:pStyle w:val="Normalrglronly"/>
        <w:rPr>
          <w:b/>
          <w:lang w:val="uk-UA"/>
        </w:rPr>
      </w:pPr>
      <w:r w:rsidRPr="00257F44">
        <w:rPr>
          <w:b/>
          <w:lang w:val="uk-UA"/>
        </w:rPr>
        <w:t>Підсумковий звіт: Обмежене виконання</w:t>
      </w:r>
    </w:p>
    <w:p w14:paraId="5FBFAA37" w14:textId="1E87E122" w:rsidR="00D6272B" w:rsidRPr="00257F44" w:rsidRDefault="00D6272B" w:rsidP="00FE6F1D">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З часу проміжного звіту не було прогресу в ухваленні положення. Навпаки, із урядового звіту </w:t>
      </w:r>
      <w:r w:rsidR="00DD618E" w:rsidRPr="00257F44">
        <w:rPr>
          <w:rFonts w:ascii="Gill Sans" w:hAnsi="Gill Sans" w:cs="Gill Sans"/>
          <w:noProof/>
          <w:sz w:val="22"/>
          <w:szCs w:val="22"/>
          <w:lang w:val="uk-UA"/>
        </w:rPr>
        <w:t>самооцінки</w:t>
      </w:r>
      <w:r w:rsidRPr="00257F44">
        <w:rPr>
          <w:rFonts w:ascii="Gill Sans" w:hAnsi="Gill Sans" w:cs="Gill Sans"/>
          <w:noProof/>
          <w:sz w:val="22"/>
          <w:szCs w:val="22"/>
          <w:lang w:val="uk-UA"/>
        </w:rPr>
        <w:t xml:space="preserve"> випливає, що виконання зобов’язання було зупинено і не було нових спроб завершити підготовку або ухвалити відповідний документ. Уряд повідомив, що міністерство інфраструктури розглядає питання щодо доцільності подальшого виконання зобов’язання.</w:t>
      </w:r>
    </w:p>
    <w:p w14:paraId="4FF264BC" w14:textId="53C9D266" w:rsidR="00D6272B" w:rsidRPr="00257F44" w:rsidRDefault="00D6272B" w:rsidP="00FE6F1D">
      <w:pPr>
        <w:spacing w:after="120"/>
        <w:rPr>
          <w:rFonts w:ascii="Gill Sans" w:hAnsi="Gill Sans" w:cs="Gill Sans"/>
          <w:noProof/>
          <w:sz w:val="22"/>
          <w:szCs w:val="22"/>
          <w:lang w:val="uk-UA"/>
        </w:rPr>
      </w:pPr>
      <w:r w:rsidRPr="00257F44">
        <w:rPr>
          <w:rFonts w:ascii="Gill Sans" w:hAnsi="Gill Sans" w:cs="Gill Sans"/>
          <w:noProof/>
          <w:sz w:val="22"/>
          <w:szCs w:val="22"/>
          <w:lang w:val="uk-UA"/>
        </w:rPr>
        <w:t>Міністерство інфраструктури розробило проект положення у співпраці з НДО (зокрема, ТІ-Україна та Центром політичних студій та аналітики). Проте, текст документа необхідно було двічі переробляти, і після процесу міжвідомчого узгодження текст проекту було послаблено. Через небажання міністерств та відомств погодити проект для надання громадянам дієвих інструментів нагляду, розробку проекту положення було зупинено.</w:t>
      </w:r>
    </w:p>
    <w:p w14:paraId="3A9237C7" w14:textId="77777777" w:rsidR="00CE72B2" w:rsidRPr="00257F44" w:rsidRDefault="00CE72B2" w:rsidP="00FE6F1D">
      <w:pPr>
        <w:pStyle w:val="Heading3"/>
        <w:spacing w:after="120"/>
        <w:rPr>
          <w:lang w:val="uk-UA"/>
        </w:rPr>
      </w:pPr>
      <w:r w:rsidRPr="00257F44">
        <w:rPr>
          <w:lang w:val="uk-UA"/>
        </w:rPr>
        <w:t>Чи відкрило це уряд?</w:t>
      </w:r>
    </w:p>
    <w:p w14:paraId="6800DE0B" w14:textId="0749EE89" w:rsidR="00CE72B2" w:rsidRPr="00257F44" w:rsidRDefault="00CE72B2" w:rsidP="00FE6F1D">
      <w:pPr>
        <w:spacing w:after="120"/>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Громадська участь: Не змінило</w:t>
      </w:r>
    </w:p>
    <w:p w14:paraId="04533F9D" w14:textId="77777777" w:rsidR="00CE72B2" w:rsidRPr="00257F44" w:rsidRDefault="00CE72B2" w:rsidP="00FE6F1D">
      <w:pPr>
        <w:spacing w:after="120"/>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Підзвітність влади: Не змінило</w:t>
      </w:r>
    </w:p>
    <w:p w14:paraId="6E3F8121" w14:textId="5E3B8E05" w:rsidR="007C0712" w:rsidRPr="00257F44" w:rsidRDefault="007C0712" w:rsidP="00FE6F1D">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Зобов’язання ставило амбітну мету прямого залучення недержавних сторін до процесу проектування та реалізації інфраструктурних проектів з використанням публічних коштів. Такий нагляд мав би здійснюватися через спеціальні комісії (моніторингові комітети), які змогли б </w:t>
      </w:r>
      <w:r w:rsidRPr="00257F44">
        <w:rPr>
          <w:rFonts w:ascii="Gill Sans" w:hAnsi="Gill Sans" w:cs="Gill Sans"/>
          <w:sz w:val="22"/>
          <w:szCs w:val="22"/>
          <w:lang w:val="uk-UA"/>
        </w:rPr>
        <w:t xml:space="preserve">переглядати бюджет та плани проектів, процедури відбору підрядників, договори про закупівлі та інші угоди, виділення і використання публічних коштів. </w:t>
      </w:r>
      <w:r w:rsidR="00204473" w:rsidRPr="00257F44">
        <w:rPr>
          <w:rFonts w:ascii="Gill Sans" w:hAnsi="Gill Sans" w:cs="Gill Sans"/>
          <w:sz w:val="22"/>
          <w:szCs w:val="22"/>
          <w:lang w:val="uk-UA"/>
        </w:rPr>
        <w:t>Проте, з урахуванням стану виконання, це зобов’язання не призвело до жодних змін в урядовій практиці.</w:t>
      </w:r>
    </w:p>
    <w:p w14:paraId="30DEFEC7" w14:textId="77777777" w:rsidR="0042522E" w:rsidRPr="00257F44" w:rsidRDefault="0042522E" w:rsidP="00FE6F1D">
      <w:pPr>
        <w:pStyle w:val="Heading3"/>
        <w:spacing w:after="120"/>
        <w:rPr>
          <w:lang w:val="uk-UA"/>
        </w:rPr>
      </w:pPr>
      <w:r w:rsidRPr="00257F44">
        <w:rPr>
          <w:lang w:val="uk-UA"/>
        </w:rPr>
        <w:t>Чи перенесено до наступного плану дій?</w:t>
      </w:r>
    </w:p>
    <w:p w14:paraId="2DC4399F" w14:textId="295425C9" w:rsidR="00204473" w:rsidRPr="00257F44" w:rsidRDefault="001E3219" w:rsidP="00FE6F1D">
      <w:pPr>
        <w:spacing w:after="120"/>
        <w:rPr>
          <w:rFonts w:ascii="Gill Sans" w:hAnsi="Gill Sans" w:cs="Gill Sans"/>
          <w:sz w:val="22"/>
          <w:szCs w:val="22"/>
          <w:lang w:val="uk-UA"/>
        </w:rPr>
      </w:pPr>
      <w:r w:rsidRPr="00257F44">
        <w:rPr>
          <w:rFonts w:ascii="Gill Sans" w:hAnsi="Gill Sans" w:cs="Gill Sans"/>
          <w:sz w:val="22"/>
          <w:szCs w:val="22"/>
          <w:lang w:val="uk-UA"/>
        </w:rPr>
        <w:t xml:space="preserve">Зобов’язання не було перенесено до наступного плану дій. </w:t>
      </w:r>
      <w:r w:rsidR="00EB10F5" w:rsidRPr="00257F44">
        <w:rPr>
          <w:rFonts w:ascii="Gill Sans" w:hAnsi="Gill Sans" w:cs="Gill Sans"/>
          <w:sz w:val="22"/>
          <w:szCs w:val="22"/>
          <w:lang w:val="uk-UA"/>
        </w:rPr>
        <w:t>Новий план дій містить зобов’язання щодо реалізації Ініціативи прозорості в будівельному секторі (COST), проте</w:t>
      </w:r>
      <w:r w:rsidR="00206981" w:rsidRPr="00257F44">
        <w:rPr>
          <w:rFonts w:ascii="Gill Sans" w:hAnsi="Gill Sans" w:cs="Gill Sans"/>
          <w:sz w:val="22"/>
          <w:szCs w:val="22"/>
          <w:lang w:val="uk-UA"/>
        </w:rPr>
        <w:t xml:space="preserve"> остання</w:t>
      </w:r>
      <w:r w:rsidR="00EB10F5" w:rsidRPr="00257F44">
        <w:rPr>
          <w:rFonts w:ascii="Gill Sans" w:hAnsi="Gill Sans" w:cs="Gill Sans"/>
          <w:sz w:val="22"/>
          <w:szCs w:val="22"/>
          <w:lang w:val="uk-UA"/>
        </w:rPr>
        <w:t xml:space="preserve"> зосереджується на розкритті інформації і не передбачає інструментів громадського нагляду за конкретними проектами. Дослідник МНЗ рекомендує Уряду ухвалити, без подальшого зволікання, </w:t>
      </w:r>
      <w:r w:rsidR="000146F2" w:rsidRPr="00257F44">
        <w:rPr>
          <w:rFonts w:ascii="Gill Sans" w:hAnsi="Gill Sans" w:cs="Gill Sans"/>
          <w:sz w:val="22"/>
          <w:szCs w:val="22"/>
          <w:lang w:val="uk-UA"/>
        </w:rPr>
        <w:t xml:space="preserve">порядок, що визначатиме </w:t>
      </w:r>
      <w:r w:rsidR="00206981" w:rsidRPr="00257F44">
        <w:rPr>
          <w:rFonts w:ascii="Gill Sans" w:hAnsi="Gill Sans" w:cs="Gill Sans"/>
          <w:sz w:val="22"/>
          <w:szCs w:val="22"/>
          <w:lang w:val="uk-UA"/>
        </w:rPr>
        <w:t xml:space="preserve">розвинений </w:t>
      </w:r>
      <w:r w:rsidR="00291291" w:rsidRPr="00257F44">
        <w:rPr>
          <w:rFonts w:ascii="Gill Sans" w:hAnsi="Gill Sans" w:cs="Gill Sans"/>
          <w:sz w:val="22"/>
          <w:szCs w:val="22"/>
          <w:lang w:val="uk-UA"/>
        </w:rPr>
        <w:t>механізм громадського нагляду за реалізацією великих інфраструктурних проектів з використанням публічних коштів. Уряду слід також розглянути можливість включення положень про такий нагляд до закону з тим, що зробити його постійним та дієвим.</w:t>
      </w:r>
    </w:p>
    <w:p w14:paraId="3A0CE179" w14:textId="77777777" w:rsidR="002E495E" w:rsidRPr="00257F44" w:rsidRDefault="002E495E">
      <w:pPr>
        <w:rPr>
          <w:noProof/>
          <w:lang w:val="uk-UA"/>
        </w:rPr>
        <w:sectPr w:rsidR="002E495E" w:rsidRPr="00257F44" w:rsidSect="002A2966">
          <w:endnotePr>
            <w:numFmt w:val="decimal"/>
            <w:numRestart w:val="eachSect"/>
          </w:endnotePr>
          <w:pgSz w:w="11907" w:h="16839" w:code="9"/>
          <w:pgMar w:top="1417" w:right="1417" w:bottom="1417" w:left="1417" w:header="0" w:footer="0" w:gutter="0"/>
          <w:cols w:space="708"/>
          <w:docGrid w:linePitch="360"/>
        </w:sectPr>
      </w:pPr>
    </w:p>
    <w:p w14:paraId="7754D3F5" w14:textId="77777777" w:rsidR="003423A7" w:rsidRPr="00257F44" w:rsidRDefault="003423A7" w:rsidP="003423A7">
      <w:pPr>
        <w:pStyle w:val="Normalrglronly"/>
        <w:rPr>
          <w:b/>
          <w:lang w:val="uk-UA"/>
        </w:rPr>
      </w:pPr>
      <w:r w:rsidRPr="00257F44">
        <w:rPr>
          <w:b/>
          <w:lang w:val="uk-UA"/>
        </w:rPr>
        <w:lastRenderedPageBreak/>
        <w:t>10. Ухвалити регіональні антикорупційні програми</w:t>
      </w:r>
    </w:p>
    <w:p w14:paraId="0C5446E8" w14:textId="77777777" w:rsidR="003423A7" w:rsidRPr="00257F44" w:rsidRDefault="003423A7" w:rsidP="003423A7">
      <w:pPr>
        <w:spacing w:after="120"/>
        <w:rPr>
          <w:rFonts w:ascii="Gill Sans" w:hAnsi="Gill Sans" w:cs="Gill Sans"/>
          <w:i/>
          <w:noProof/>
          <w:sz w:val="22"/>
          <w:szCs w:val="22"/>
          <w:lang w:val="uk-UA"/>
        </w:rPr>
      </w:pPr>
      <w:r w:rsidRPr="00257F44">
        <w:rPr>
          <w:rFonts w:ascii="Gill Sans" w:hAnsi="Gill Sans" w:cs="Gill Sans"/>
          <w:b/>
          <w:bCs/>
          <w:iCs/>
          <w:noProof/>
          <w:sz w:val="22"/>
          <w:szCs w:val="22"/>
          <w:lang w:val="uk-UA"/>
        </w:rPr>
        <w:t xml:space="preserve">Текст зобов’язання: </w:t>
      </w:r>
      <w:r w:rsidRPr="00257F44">
        <w:rPr>
          <w:rFonts w:ascii="Gill Sans" w:hAnsi="Gill Sans" w:cs="Gill Sans"/>
          <w:i/>
          <w:noProof/>
          <w:sz w:val="22"/>
          <w:szCs w:val="22"/>
          <w:lang w:val="uk-UA"/>
        </w:rPr>
        <w:t>10. Розроблення із залученням представників громадськості антикорупційних регіональних програм.</w:t>
      </w:r>
    </w:p>
    <w:p w14:paraId="1830F126" w14:textId="77777777" w:rsidR="003423A7" w:rsidRPr="00257F44" w:rsidRDefault="003423A7" w:rsidP="003423A7">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затвердження зазначених програм обласними, Київською міською радами.</w:t>
      </w:r>
    </w:p>
    <w:p w14:paraId="28A0017E" w14:textId="77777777" w:rsidR="003423A7" w:rsidRPr="00257F44" w:rsidRDefault="003423A7" w:rsidP="003423A7">
      <w:pPr>
        <w:spacing w:after="120"/>
        <w:rPr>
          <w:rFonts w:ascii="Gill Sans" w:hAnsi="Gill Sans" w:cs="Gill Sans"/>
          <w:sz w:val="22"/>
          <w:szCs w:val="22"/>
          <w:lang w:val="uk-UA"/>
        </w:rPr>
      </w:pPr>
      <w:r w:rsidRPr="00257F44">
        <w:rPr>
          <w:rFonts w:ascii="Gill Sans" w:hAnsi="Gill Sans" w:cs="Gill Sans"/>
          <w:sz w:val="22"/>
          <w:szCs w:val="22"/>
          <w:lang w:val="uk-UA"/>
        </w:rPr>
        <w:t>Головна інституція, відповідальна за виконання: обласні, Київська міська держадміністрації.</w:t>
      </w:r>
    </w:p>
    <w:p w14:paraId="1D660B94" w14:textId="77777777" w:rsidR="003423A7" w:rsidRPr="00257F44" w:rsidRDefault="003423A7" w:rsidP="003423A7">
      <w:pPr>
        <w:spacing w:after="120"/>
        <w:rPr>
          <w:rFonts w:ascii="Gill Sans" w:hAnsi="Gill Sans" w:cs="Gill Sans"/>
          <w:sz w:val="22"/>
          <w:szCs w:val="22"/>
          <w:lang w:val="uk-UA"/>
        </w:rPr>
      </w:pPr>
      <w:r w:rsidRPr="00257F44">
        <w:rPr>
          <w:rFonts w:ascii="Gill Sans" w:hAnsi="Gill Sans" w:cs="Gill Sans"/>
          <w:sz w:val="22"/>
          <w:szCs w:val="22"/>
          <w:lang w:val="uk-UA"/>
        </w:rPr>
        <w:t>Інші виконавці: Міністерство юстиції, ГО “Всеукраїнська спеціальна колегія з питань боротьби з корупцією та організованою злочинністю”, інші невизначені організації громадянського суспільства та міжнародні організації.</w:t>
      </w:r>
    </w:p>
    <w:p w14:paraId="16F6061A" w14:textId="4570D02B" w:rsidR="003423A7" w:rsidRPr="00257F44" w:rsidRDefault="003423A7" w:rsidP="00415A7F">
      <w:pPr>
        <w:spacing w:after="120"/>
        <w:rPr>
          <w:rFonts w:ascii="Gill Sans" w:hAnsi="Gill Sans" w:cs="Gill Sans"/>
          <w:sz w:val="22"/>
          <w:szCs w:val="22"/>
          <w:lang w:val="uk-UA"/>
        </w:rPr>
      </w:pPr>
      <w:r w:rsidRPr="00257F44">
        <w:rPr>
          <w:rFonts w:ascii="Gill Sans" w:hAnsi="Gill Sans" w:cs="Gill Sans"/>
          <w:sz w:val="22"/>
          <w:szCs w:val="22"/>
          <w:lang w:val="uk-UA"/>
        </w:rPr>
        <w:t>Дата початку: Не визначено</w:t>
      </w:r>
      <w:r w:rsidRPr="00257F44">
        <w:rPr>
          <w:rFonts w:ascii="Gill Sans" w:hAnsi="Gill Sans" w:cs="Gill Sans"/>
          <w:sz w:val="22"/>
          <w:szCs w:val="22"/>
          <w:lang w:val="uk-UA"/>
        </w:rPr>
        <w:tab/>
      </w:r>
      <w:r w:rsidRPr="00257F44">
        <w:rPr>
          <w:rFonts w:ascii="Gill Sans" w:hAnsi="Gill Sans" w:cs="Gill Sans"/>
          <w:sz w:val="22"/>
          <w:szCs w:val="22"/>
          <w:lang w:val="uk-UA"/>
        </w:rPr>
        <w:tab/>
      </w:r>
      <w:r w:rsidRPr="00257F44">
        <w:rPr>
          <w:rFonts w:ascii="Gill Sans" w:hAnsi="Gill Sans" w:cs="Gill Sans"/>
          <w:sz w:val="22"/>
          <w:szCs w:val="22"/>
          <w:lang w:val="uk-UA"/>
        </w:rPr>
        <w:tab/>
      </w:r>
      <w:r w:rsidRPr="00257F44">
        <w:rPr>
          <w:rFonts w:ascii="Gill Sans" w:hAnsi="Gill Sans" w:cs="Gill Sans"/>
          <w:sz w:val="22"/>
          <w:szCs w:val="22"/>
          <w:lang w:val="uk-UA"/>
        </w:rPr>
        <w:tab/>
        <w:t>Термін виконання: 31 березня 2015 р.</w:t>
      </w:r>
    </w:p>
    <w:tbl>
      <w:tblPr>
        <w:tblW w:w="10080"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475"/>
        <w:gridCol w:w="418"/>
        <w:gridCol w:w="343"/>
        <w:gridCol w:w="343"/>
        <w:gridCol w:w="365"/>
        <w:gridCol w:w="365"/>
        <w:gridCol w:w="365"/>
        <w:gridCol w:w="735"/>
        <w:gridCol w:w="417"/>
        <w:gridCol w:w="341"/>
        <w:gridCol w:w="417"/>
        <w:gridCol w:w="341"/>
        <w:gridCol w:w="469"/>
        <w:gridCol w:w="516"/>
        <w:gridCol w:w="516"/>
        <w:gridCol w:w="405"/>
        <w:gridCol w:w="341"/>
        <w:gridCol w:w="338"/>
        <w:gridCol w:w="417"/>
        <w:gridCol w:w="341"/>
        <w:gridCol w:w="488"/>
      </w:tblGrid>
      <w:tr w:rsidR="003423A7" w:rsidRPr="00257F44" w14:paraId="5801B5DA" w14:textId="77777777" w:rsidTr="003423A7">
        <w:trPr>
          <w:trHeight w:val="405"/>
        </w:trPr>
        <w:tc>
          <w:tcPr>
            <w:tcW w:w="1324" w:type="dxa"/>
            <w:vMerge w:val="restart"/>
            <w:tcBorders>
              <w:top w:val="single" w:sz="18" w:space="0" w:color="FFFFFF"/>
              <w:left w:val="single" w:sz="4" w:space="0" w:color="FFFFFF"/>
              <w:right w:val="single" w:sz="18" w:space="0" w:color="FFFFFF"/>
            </w:tcBorders>
            <w:shd w:val="clear" w:color="auto" w:fill="000000"/>
          </w:tcPr>
          <w:p w14:paraId="583E899E" w14:textId="21669C70" w:rsidR="003423A7" w:rsidRPr="00257F44" w:rsidRDefault="003423A7" w:rsidP="003423A7">
            <w:pPr>
              <w:rPr>
                <w:rFonts w:ascii="Gill Sans" w:hAnsi="Gill Sans" w:cs="Gill Sans"/>
                <w:color w:val="FFFFFF" w:themeColor="background1"/>
                <w:sz w:val="22"/>
                <w:szCs w:val="22"/>
                <w:lang w:val="uk-UA"/>
              </w:rPr>
            </w:pPr>
            <w:r w:rsidRPr="00257F44">
              <w:rPr>
                <w:rFonts w:ascii="Gill Sans" w:hAnsi="Gill Sans" w:cs="Gill Sans"/>
                <w:sz w:val="20"/>
                <w:szCs w:val="20"/>
                <w:lang w:val="uk-UA"/>
              </w:rPr>
              <w:t>Опис зобов’язання</w:t>
            </w:r>
          </w:p>
        </w:tc>
        <w:tc>
          <w:tcPr>
            <w:tcW w:w="1579" w:type="dxa"/>
            <w:gridSpan w:val="4"/>
            <w:vMerge w:val="restart"/>
            <w:tcBorders>
              <w:top w:val="single" w:sz="18" w:space="0" w:color="FFFFFF"/>
              <w:left w:val="single" w:sz="18" w:space="0" w:color="FFFFFF"/>
              <w:right w:val="single" w:sz="18" w:space="0" w:color="FFFFFF"/>
            </w:tcBorders>
            <w:shd w:val="clear" w:color="auto" w:fill="D6E3BC"/>
          </w:tcPr>
          <w:p w14:paraId="72324ABC" w14:textId="368886ED"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Конкретність</w:t>
            </w:r>
          </w:p>
        </w:tc>
        <w:tc>
          <w:tcPr>
            <w:tcW w:w="1830" w:type="dxa"/>
            <w:gridSpan w:val="4"/>
            <w:vMerge w:val="restart"/>
            <w:tcBorders>
              <w:top w:val="single" w:sz="18" w:space="0" w:color="FFFFFF"/>
              <w:left w:val="single" w:sz="18" w:space="0" w:color="FFFFFF"/>
              <w:right w:val="single" w:sz="18" w:space="0" w:color="FFFFFF"/>
            </w:tcBorders>
            <w:shd w:val="clear" w:color="auto" w:fill="FBD4B4"/>
          </w:tcPr>
          <w:p w14:paraId="0E6A146C" w14:textId="40174334"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Відповідність цінностям ПВУ (як сформульовано)</w:t>
            </w:r>
          </w:p>
        </w:tc>
        <w:tc>
          <w:tcPr>
            <w:tcW w:w="1516" w:type="dxa"/>
            <w:gridSpan w:val="4"/>
            <w:vMerge w:val="restart"/>
            <w:tcBorders>
              <w:top w:val="single" w:sz="18" w:space="0" w:color="FFFFFF"/>
              <w:left w:val="single" w:sz="18" w:space="0" w:color="FFFFFF"/>
              <w:right w:val="single" w:sz="18" w:space="0" w:color="FFFFFF"/>
            </w:tcBorders>
            <w:shd w:val="clear" w:color="auto" w:fill="CCC0D9"/>
          </w:tcPr>
          <w:p w14:paraId="169E2C1C" w14:textId="7E6D3E95"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Потенційний вплив</w:t>
            </w:r>
          </w:p>
        </w:tc>
        <w:tc>
          <w:tcPr>
            <w:tcW w:w="985" w:type="dxa"/>
            <w:gridSpan w:val="2"/>
            <w:vMerge w:val="restart"/>
            <w:tcBorders>
              <w:top w:val="single" w:sz="18" w:space="0" w:color="FFFFFF"/>
              <w:left w:val="single" w:sz="18" w:space="0" w:color="FFFFFF"/>
              <w:right w:val="single" w:sz="2" w:space="0" w:color="FFFFFF"/>
            </w:tcBorders>
            <w:shd w:val="clear" w:color="auto" w:fill="B8CCE4"/>
          </w:tcPr>
          <w:p w14:paraId="4D0EDC7A" w14:textId="63D5AAE6"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Стан вико-нання</w:t>
            </w:r>
          </w:p>
        </w:tc>
        <w:tc>
          <w:tcPr>
            <w:tcW w:w="921"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4E2D17E6" w14:textId="794BF336"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Про-міжний</w:t>
            </w:r>
          </w:p>
        </w:tc>
        <w:tc>
          <w:tcPr>
            <w:tcW w:w="1925" w:type="dxa"/>
            <w:gridSpan w:val="5"/>
            <w:vMerge w:val="restart"/>
            <w:tcBorders>
              <w:top w:val="single" w:sz="18" w:space="0" w:color="FFFFFF"/>
              <w:left w:val="single" w:sz="18" w:space="0" w:color="FFFFFF"/>
              <w:right w:val="single" w:sz="18" w:space="0" w:color="FFFFFF"/>
            </w:tcBorders>
            <w:shd w:val="clear" w:color="auto" w:fill="D99594"/>
          </w:tcPr>
          <w:p w14:paraId="32FABBC1" w14:textId="308D4159"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Чи відкрило це уряд?</w:t>
            </w:r>
          </w:p>
        </w:tc>
      </w:tr>
      <w:tr w:rsidR="0020660D" w:rsidRPr="00257F44" w14:paraId="2D89EB1B" w14:textId="77777777" w:rsidTr="003423A7">
        <w:trPr>
          <w:trHeight w:val="373"/>
        </w:trPr>
        <w:tc>
          <w:tcPr>
            <w:tcW w:w="1324" w:type="dxa"/>
            <w:vMerge/>
            <w:tcBorders>
              <w:left w:val="single" w:sz="4" w:space="0" w:color="FFFFFF"/>
              <w:right w:val="single" w:sz="18" w:space="0" w:color="FFFFFF"/>
            </w:tcBorders>
            <w:shd w:val="clear" w:color="auto" w:fill="000000"/>
          </w:tcPr>
          <w:p w14:paraId="54AA44C2" w14:textId="55CA54C1" w:rsidR="0020660D" w:rsidRPr="00257F44" w:rsidRDefault="0020660D" w:rsidP="0020660D">
            <w:pPr>
              <w:rPr>
                <w:rFonts w:ascii="Gill Sans" w:hAnsi="Gill Sans" w:cs="Gill Sans"/>
                <w:color w:val="FFFFFF" w:themeColor="background1"/>
                <w:sz w:val="22"/>
                <w:szCs w:val="22"/>
                <w:lang w:val="uk-UA"/>
              </w:rPr>
            </w:pPr>
          </w:p>
        </w:tc>
        <w:tc>
          <w:tcPr>
            <w:tcW w:w="1579" w:type="dxa"/>
            <w:gridSpan w:val="4"/>
            <w:vMerge/>
            <w:tcBorders>
              <w:left w:val="single" w:sz="18" w:space="0" w:color="FFFFFF"/>
              <w:bottom w:val="single" w:sz="18" w:space="0" w:color="FFFFFF"/>
              <w:right w:val="single" w:sz="18" w:space="0" w:color="FFFFFF"/>
            </w:tcBorders>
            <w:shd w:val="clear" w:color="auto" w:fill="D6E3BC"/>
          </w:tcPr>
          <w:p w14:paraId="231CBB24" w14:textId="77777777" w:rsidR="0020660D" w:rsidRPr="00257F44" w:rsidRDefault="0020660D" w:rsidP="0020660D">
            <w:pPr>
              <w:rPr>
                <w:rFonts w:ascii="Gill Sans" w:hAnsi="Gill Sans" w:cs="Gill Sans"/>
                <w:sz w:val="22"/>
                <w:szCs w:val="22"/>
                <w:lang w:val="uk-UA"/>
              </w:rPr>
            </w:pPr>
          </w:p>
        </w:tc>
        <w:tc>
          <w:tcPr>
            <w:tcW w:w="1830" w:type="dxa"/>
            <w:gridSpan w:val="4"/>
            <w:vMerge/>
            <w:tcBorders>
              <w:left w:val="single" w:sz="18" w:space="0" w:color="FFFFFF"/>
              <w:bottom w:val="single" w:sz="18" w:space="0" w:color="FFFFFF"/>
              <w:right w:val="single" w:sz="18" w:space="0" w:color="FFFFFF"/>
            </w:tcBorders>
            <w:shd w:val="clear" w:color="auto" w:fill="FBD4B4"/>
          </w:tcPr>
          <w:p w14:paraId="204426CD" w14:textId="77777777" w:rsidR="0020660D" w:rsidRPr="00257F44" w:rsidRDefault="0020660D" w:rsidP="0020660D">
            <w:pPr>
              <w:rPr>
                <w:rFonts w:ascii="Gill Sans" w:hAnsi="Gill Sans" w:cs="Gill Sans"/>
                <w:sz w:val="22"/>
                <w:szCs w:val="22"/>
                <w:lang w:val="uk-UA"/>
              </w:rPr>
            </w:pPr>
          </w:p>
        </w:tc>
        <w:tc>
          <w:tcPr>
            <w:tcW w:w="1516" w:type="dxa"/>
            <w:gridSpan w:val="4"/>
            <w:vMerge/>
            <w:tcBorders>
              <w:left w:val="single" w:sz="18" w:space="0" w:color="FFFFFF"/>
              <w:bottom w:val="single" w:sz="18" w:space="0" w:color="FFFFFF"/>
              <w:right w:val="single" w:sz="18" w:space="0" w:color="FFFFFF"/>
            </w:tcBorders>
            <w:shd w:val="clear" w:color="auto" w:fill="CCC0D9"/>
          </w:tcPr>
          <w:p w14:paraId="71914E54" w14:textId="77777777" w:rsidR="0020660D" w:rsidRPr="00257F44" w:rsidRDefault="0020660D" w:rsidP="0020660D">
            <w:pPr>
              <w:rPr>
                <w:rFonts w:ascii="Gill Sans" w:hAnsi="Gill Sans" w:cs="Gill Sans"/>
                <w:sz w:val="22"/>
                <w:szCs w:val="22"/>
                <w:lang w:val="uk-UA"/>
              </w:rPr>
            </w:pPr>
          </w:p>
        </w:tc>
        <w:tc>
          <w:tcPr>
            <w:tcW w:w="985" w:type="dxa"/>
            <w:gridSpan w:val="2"/>
            <w:vMerge/>
            <w:tcBorders>
              <w:left w:val="single" w:sz="18" w:space="0" w:color="FFFFFF"/>
              <w:bottom w:val="single" w:sz="18" w:space="0" w:color="FFFFFF"/>
              <w:right w:val="single" w:sz="2" w:space="0" w:color="FFFFFF"/>
            </w:tcBorders>
            <w:shd w:val="clear" w:color="auto" w:fill="B8CCE4"/>
          </w:tcPr>
          <w:p w14:paraId="6E76CDC5" w14:textId="77777777" w:rsidR="0020660D" w:rsidRPr="00257F44" w:rsidRDefault="0020660D" w:rsidP="0020660D">
            <w:pPr>
              <w:rPr>
                <w:rFonts w:ascii="Gill Sans" w:hAnsi="Gill Sans" w:cs="Gill Sans"/>
                <w:sz w:val="22"/>
                <w:szCs w:val="22"/>
                <w:lang w:val="uk-UA"/>
              </w:rPr>
            </w:pPr>
          </w:p>
        </w:tc>
        <w:tc>
          <w:tcPr>
            <w:tcW w:w="921"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5EC0F613" w14:textId="3CC16C7C" w:rsidR="0020660D" w:rsidRPr="00257F44" w:rsidRDefault="003423A7" w:rsidP="0020660D">
            <w:pPr>
              <w:rPr>
                <w:rFonts w:ascii="Gill Sans" w:hAnsi="Gill Sans" w:cs="Gill Sans"/>
                <w:sz w:val="20"/>
                <w:szCs w:val="20"/>
                <w:lang w:val="uk-UA"/>
              </w:rPr>
            </w:pPr>
            <w:r w:rsidRPr="00257F44">
              <w:rPr>
                <w:rFonts w:ascii="Gill Sans" w:hAnsi="Gill Sans" w:cs="Gill Sans"/>
                <w:sz w:val="20"/>
                <w:szCs w:val="20"/>
                <w:lang w:val="uk-UA"/>
              </w:rPr>
              <w:t>Підсум-ковий</w:t>
            </w:r>
          </w:p>
        </w:tc>
        <w:tc>
          <w:tcPr>
            <w:tcW w:w="1925" w:type="dxa"/>
            <w:gridSpan w:val="5"/>
            <w:vMerge/>
            <w:tcBorders>
              <w:left w:val="single" w:sz="18" w:space="0" w:color="FFFFFF"/>
              <w:bottom w:val="single" w:sz="18" w:space="0" w:color="FFFFFF"/>
              <w:right w:val="single" w:sz="18" w:space="0" w:color="FFFFFF"/>
            </w:tcBorders>
            <w:shd w:val="clear" w:color="auto" w:fill="D99594"/>
          </w:tcPr>
          <w:p w14:paraId="2BAD2C51" w14:textId="77777777" w:rsidR="0020660D" w:rsidRPr="00257F44" w:rsidRDefault="0020660D" w:rsidP="0020660D">
            <w:pPr>
              <w:rPr>
                <w:rFonts w:ascii="Gill Sans" w:hAnsi="Gill Sans" w:cs="Gill Sans"/>
                <w:sz w:val="22"/>
                <w:szCs w:val="22"/>
                <w:lang w:val="uk-UA"/>
              </w:rPr>
            </w:pPr>
          </w:p>
        </w:tc>
      </w:tr>
      <w:tr w:rsidR="003423A7" w:rsidRPr="00257F44" w14:paraId="7F856089" w14:textId="77777777" w:rsidTr="00DD278C">
        <w:trPr>
          <w:cantSplit/>
          <w:trHeight w:val="2336"/>
        </w:trPr>
        <w:tc>
          <w:tcPr>
            <w:tcW w:w="1324" w:type="dxa"/>
            <w:vMerge/>
            <w:tcBorders>
              <w:left w:val="single" w:sz="4" w:space="0" w:color="FFFFFF"/>
              <w:right w:val="single" w:sz="18" w:space="0" w:color="FFFFFF"/>
            </w:tcBorders>
            <w:shd w:val="clear" w:color="auto" w:fill="000000"/>
          </w:tcPr>
          <w:p w14:paraId="1F0D2FD2" w14:textId="33C6342A" w:rsidR="003423A7" w:rsidRPr="00257F44" w:rsidRDefault="003423A7" w:rsidP="003423A7">
            <w:pPr>
              <w:rPr>
                <w:rFonts w:ascii="Gill Sans" w:hAnsi="Gill Sans" w:cs="Gill Sans"/>
                <w:color w:val="FFFFFF" w:themeColor="background1"/>
                <w:sz w:val="22"/>
                <w:szCs w:val="22"/>
                <w:lang w:val="uk-UA"/>
              </w:rPr>
            </w:pPr>
          </w:p>
        </w:tc>
        <w:tc>
          <w:tcPr>
            <w:tcW w:w="475"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57F049EE" w14:textId="2E2C3663"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Відсутня</w:t>
            </w:r>
          </w:p>
        </w:tc>
        <w:tc>
          <w:tcPr>
            <w:tcW w:w="418"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3851039B" w14:textId="3CA0C257"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Низька</w:t>
            </w:r>
          </w:p>
        </w:tc>
        <w:tc>
          <w:tcPr>
            <w:tcW w:w="343"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17042A7A" w14:textId="5076496F"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Середня</w:t>
            </w:r>
          </w:p>
        </w:tc>
        <w:tc>
          <w:tcPr>
            <w:tcW w:w="343"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15DE43A5" w14:textId="4D3A76D3"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Висока</w:t>
            </w:r>
          </w:p>
        </w:tc>
        <w:tc>
          <w:tcPr>
            <w:tcW w:w="365"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0AD5C2B3" w14:textId="6C779649"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Доступ до інформації</w:t>
            </w:r>
          </w:p>
        </w:tc>
        <w:tc>
          <w:tcPr>
            <w:tcW w:w="365"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459AF184" w14:textId="5AD626B7"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Громадська участь</w:t>
            </w:r>
          </w:p>
        </w:tc>
        <w:tc>
          <w:tcPr>
            <w:tcW w:w="365"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64304066" w14:textId="3C66DBE6"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Підзвітність влади</w:t>
            </w:r>
          </w:p>
        </w:tc>
        <w:tc>
          <w:tcPr>
            <w:tcW w:w="735"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2A237507" w14:textId="3F95D8F6"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Технології та інновації для прозорості й підзвітності</w:t>
            </w:r>
          </w:p>
        </w:tc>
        <w:tc>
          <w:tcPr>
            <w:tcW w:w="417"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2D4D5D91" w14:textId="14A8DC31"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Жодного</w:t>
            </w:r>
          </w:p>
        </w:tc>
        <w:tc>
          <w:tcPr>
            <w:tcW w:w="341"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0C0B5D38" w14:textId="7588C7DB"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Незначний</w:t>
            </w:r>
          </w:p>
        </w:tc>
        <w:tc>
          <w:tcPr>
            <w:tcW w:w="417"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2B03E325" w14:textId="7FDFE7BA"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Помірний</w:t>
            </w:r>
          </w:p>
        </w:tc>
        <w:tc>
          <w:tcPr>
            <w:tcW w:w="341"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4F2DC5F4" w14:textId="17668067"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Трансформуючий</w:t>
            </w:r>
          </w:p>
        </w:tc>
        <w:tc>
          <w:tcPr>
            <w:tcW w:w="469"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2A0FEE5E" w14:textId="2CCA243C"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Не розпочато</w:t>
            </w:r>
          </w:p>
        </w:tc>
        <w:tc>
          <w:tcPr>
            <w:tcW w:w="516"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403865FD" w14:textId="73EC7683"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Обмежене</w:t>
            </w:r>
          </w:p>
        </w:tc>
        <w:tc>
          <w:tcPr>
            <w:tcW w:w="516"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4EAD6C95" w14:textId="6EEC097D"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Значне</w:t>
            </w:r>
          </w:p>
        </w:tc>
        <w:tc>
          <w:tcPr>
            <w:tcW w:w="405"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6E2B6984" w14:textId="3B098882"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Повне</w:t>
            </w:r>
          </w:p>
        </w:tc>
        <w:tc>
          <w:tcPr>
            <w:tcW w:w="341"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127BE18B" w14:textId="1A95B1C9"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Погіршило</w:t>
            </w:r>
          </w:p>
        </w:tc>
        <w:tc>
          <w:tcPr>
            <w:tcW w:w="338"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5885D40" w14:textId="4AD4F15B"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Не змінило</w:t>
            </w:r>
          </w:p>
        </w:tc>
        <w:tc>
          <w:tcPr>
            <w:tcW w:w="417"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4B6E2C3A" w14:textId="27BF14F4"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Обмежено</w:t>
            </w:r>
          </w:p>
        </w:tc>
        <w:tc>
          <w:tcPr>
            <w:tcW w:w="341"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5CA38DF3" w14:textId="0226D28D"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Значною мірою</w:t>
            </w:r>
          </w:p>
        </w:tc>
        <w:tc>
          <w:tcPr>
            <w:tcW w:w="488"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09899E2A" w14:textId="05C46FCE" w:rsidR="003423A7" w:rsidRPr="00257F44" w:rsidRDefault="003423A7" w:rsidP="003423A7">
            <w:pPr>
              <w:rPr>
                <w:rFonts w:ascii="Gill Sans" w:hAnsi="Gill Sans" w:cs="Gill Sans"/>
                <w:sz w:val="22"/>
                <w:szCs w:val="22"/>
                <w:lang w:val="uk-UA"/>
              </w:rPr>
            </w:pPr>
            <w:r w:rsidRPr="00257F44">
              <w:rPr>
                <w:rFonts w:ascii="Gill Sans" w:hAnsi="Gill Sans" w:cs="Gill Sans"/>
                <w:sz w:val="20"/>
                <w:szCs w:val="20"/>
                <w:lang w:val="uk-UA"/>
              </w:rPr>
              <w:t>Визначною мірою</w:t>
            </w:r>
          </w:p>
        </w:tc>
      </w:tr>
      <w:tr w:rsidR="009B0529" w:rsidRPr="00257F44" w14:paraId="4797869D" w14:textId="77777777" w:rsidTr="003423A7">
        <w:trPr>
          <w:trHeight w:val="340"/>
        </w:trPr>
        <w:tc>
          <w:tcPr>
            <w:tcW w:w="1324" w:type="dxa"/>
            <w:vMerge/>
            <w:tcBorders>
              <w:left w:val="single" w:sz="4" w:space="0" w:color="FFFFFF"/>
              <w:right w:val="single" w:sz="18" w:space="0" w:color="FFFFFF"/>
            </w:tcBorders>
            <w:shd w:val="clear" w:color="auto" w:fill="000000"/>
          </w:tcPr>
          <w:p w14:paraId="3AD55936" w14:textId="6F5B667E" w:rsidR="0020660D" w:rsidRPr="00257F44" w:rsidRDefault="0020660D" w:rsidP="0020660D">
            <w:pPr>
              <w:rPr>
                <w:rFonts w:ascii="Gill Sans" w:hAnsi="Gill Sans" w:cs="Gill Sans"/>
                <w:noProof/>
                <w:color w:val="FFFFFF" w:themeColor="background1"/>
                <w:sz w:val="22"/>
                <w:szCs w:val="22"/>
                <w:lang w:val="uk-UA"/>
              </w:rPr>
            </w:pPr>
          </w:p>
        </w:tc>
        <w:tc>
          <w:tcPr>
            <w:tcW w:w="475" w:type="dxa"/>
            <w:vMerge w:val="restart"/>
            <w:tcBorders>
              <w:top w:val="single" w:sz="18" w:space="0" w:color="FFFFFF"/>
              <w:left w:val="single" w:sz="18" w:space="0" w:color="FFFFFF"/>
              <w:right w:val="single" w:sz="2" w:space="0" w:color="FFFFFF"/>
            </w:tcBorders>
            <w:shd w:val="clear" w:color="auto" w:fill="D6E3BC"/>
          </w:tcPr>
          <w:p w14:paraId="25CC46C2" w14:textId="77777777" w:rsidR="0020660D" w:rsidRPr="00257F44" w:rsidRDefault="0020660D" w:rsidP="0020660D">
            <w:pPr>
              <w:rPr>
                <w:rFonts w:ascii="Gill Sans" w:hAnsi="Gill Sans" w:cs="Gill Sans"/>
                <w:sz w:val="22"/>
                <w:szCs w:val="22"/>
                <w:lang w:val="uk-UA"/>
              </w:rPr>
            </w:pPr>
          </w:p>
        </w:tc>
        <w:tc>
          <w:tcPr>
            <w:tcW w:w="418" w:type="dxa"/>
            <w:vMerge w:val="restart"/>
            <w:tcBorders>
              <w:top w:val="single" w:sz="18" w:space="0" w:color="FFFFFF"/>
              <w:left w:val="single" w:sz="2" w:space="0" w:color="FFFFFF"/>
              <w:right w:val="single" w:sz="2" w:space="0" w:color="FFFFFF"/>
            </w:tcBorders>
            <w:shd w:val="clear" w:color="auto" w:fill="D6E3BC"/>
          </w:tcPr>
          <w:p w14:paraId="28C347A9" w14:textId="036B36D3" w:rsidR="0020660D" w:rsidRPr="00257F44" w:rsidRDefault="0020660D" w:rsidP="0020660D">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43" w:type="dxa"/>
            <w:vMerge w:val="restart"/>
            <w:tcBorders>
              <w:top w:val="single" w:sz="18" w:space="0" w:color="FFFFFF"/>
              <w:left w:val="single" w:sz="2" w:space="0" w:color="FFFFFF"/>
              <w:right w:val="single" w:sz="2" w:space="0" w:color="FFFFFF"/>
            </w:tcBorders>
            <w:shd w:val="clear" w:color="auto" w:fill="D6E3BC"/>
          </w:tcPr>
          <w:p w14:paraId="66A0E74C" w14:textId="05CC2319" w:rsidR="0020660D" w:rsidRPr="00257F44" w:rsidRDefault="0020660D" w:rsidP="0020660D">
            <w:pPr>
              <w:rPr>
                <w:rFonts w:ascii="Zapf Dingbats" w:hAnsi="Zapf Dingbats" w:cs="Gill Sans"/>
                <w:sz w:val="22"/>
                <w:szCs w:val="22"/>
                <w:lang w:val="uk-UA"/>
              </w:rPr>
            </w:pPr>
          </w:p>
        </w:tc>
        <w:tc>
          <w:tcPr>
            <w:tcW w:w="343" w:type="dxa"/>
            <w:vMerge w:val="restart"/>
            <w:tcBorders>
              <w:top w:val="single" w:sz="18" w:space="0" w:color="FFFFFF"/>
              <w:left w:val="single" w:sz="2" w:space="0" w:color="FFFFFF"/>
              <w:right w:val="single" w:sz="18" w:space="0" w:color="FFFFFF"/>
            </w:tcBorders>
            <w:shd w:val="clear" w:color="auto" w:fill="D6E3BC"/>
          </w:tcPr>
          <w:p w14:paraId="45D644B2" w14:textId="77777777" w:rsidR="0020660D" w:rsidRPr="00257F44" w:rsidRDefault="0020660D" w:rsidP="0020660D">
            <w:pPr>
              <w:rPr>
                <w:rFonts w:ascii="Zapf Dingbats" w:hAnsi="Zapf Dingbats" w:cs="Gill Sans"/>
                <w:noProof/>
                <w:sz w:val="22"/>
                <w:szCs w:val="22"/>
                <w:lang w:val="uk-UA"/>
              </w:rPr>
            </w:pPr>
          </w:p>
        </w:tc>
        <w:tc>
          <w:tcPr>
            <w:tcW w:w="365" w:type="dxa"/>
            <w:vMerge w:val="restart"/>
            <w:tcBorders>
              <w:top w:val="single" w:sz="18" w:space="0" w:color="FFFFFF"/>
              <w:left w:val="single" w:sz="2" w:space="0" w:color="FFFFFF"/>
              <w:right w:val="single" w:sz="2" w:space="0" w:color="FFFFFF"/>
            </w:tcBorders>
            <w:shd w:val="clear" w:color="auto" w:fill="FBD4B4"/>
          </w:tcPr>
          <w:p w14:paraId="481644B1" w14:textId="77777777" w:rsidR="0020660D" w:rsidRPr="00257F44" w:rsidRDefault="0020660D" w:rsidP="0020660D">
            <w:pPr>
              <w:rPr>
                <w:rFonts w:ascii="Zapf Dingbats" w:hAnsi="Zapf Dingbats" w:cs="Gill Sans"/>
                <w:sz w:val="22"/>
                <w:szCs w:val="22"/>
                <w:lang w:val="uk-UA"/>
              </w:rPr>
            </w:pPr>
          </w:p>
        </w:tc>
        <w:tc>
          <w:tcPr>
            <w:tcW w:w="365" w:type="dxa"/>
            <w:vMerge w:val="restart"/>
            <w:tcBorders>
              <w:top w:val="single" w:sz="18" w:space="0" w:color="FFFFFF"/>
              <w:left w:val="single" w:sz="2" w:space="0" w:color="FFFFFF"/>
              <w:right w:val="single" w:sz="2" w:space="0" w:color="FFFFFF"/>
            </w:tcBorders>
            <w:shd w:val="clear" w:color="auto" w:fill="FBD4B4"/>
          </w:tcPr>
          <w:p w14:paraId="195626F3" w14:textId="77777777" w:rsidR="0020660D" w:rsidRPr="00257F44" w:rsidRDefault="0020660D" w:rsidP="0020660D">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365" w:type="dxa"/>
            <w:vMerge w:val="restart"/>
            <w:tcBorders>
              <w:top w:val="single" w:sz="18" w:space="0" w:color="FFFFFF"/>
              <w:left w:val="single" w:sz="2" w:space="0" w:color="FFFFFF"/>
              <w:right w:val="single" w:sz="2" w:space="0" w:color="FFFFFF"/>
            </w:tcBorders>
            <w:shd w:val="clear" w:color="auto" w:fill="FBD4B4"/>
          </w:tcPr>
          <w:p w14:paraId="1920FA4B" w14:textId="77777777" w:rsidR="0020660D" w:rsidRPr="00257F44" w:rsidRDefault="0020660D" w:rsidP="0020660D">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735" w:type="dxa"/>
            <w:vMerge w:val="restart"/>
            <w:tcBorders>
              <w:top w:val="single" w:sz="18" w:space="0" w:color="FFFFFF"/>
              <w:left w:val="single" w:sz="2" w:space="0" w:color="FFFFFF"/>
              <w:right w:val="single" w:sz="18" w:space="0" w:color="FFFFFF"/>
            </w:tcBorders>
            <w:shd w:val="clear" w:color="auto" w:fill="FBD4B4"/>
          </w:tcPr>
          <w:p w14:paraId="212EC3B3" w14:textId="77777777" w:rsidR="0020660D" w:rsidRPr="00257F44" w:rsidRDefault="0020660D" w:rsidP="0020660D">
            <w:pPr>
              <w:rPr>
                <w:rFonts w:ascii="Zapf Dingbats" w:hAnsi="Zapf Dingbats" w:cs="Gill Sans"/>
                <w:sz w:val="22"/>
                <w:szCs w:val="22"/>
                <w:lang w:val="uk-UA"/>
              </w:rPr>
            </w:pPr>
          </w:p>
        </w:tc>
        <w:tc>
          <w:tcPr>
            <w:tcW w:w="417" w:type="dxa"/>
            <w:vMerge w:val="restart"/>
            <w:tcBorders>
              <w:top w:val="single" w:sz="18" w:space="0" w:color="FFFFFF"/>
              <w:left w:val="single" w:sz="18" w:space="0" w:color="FFFFFF"/>
              <w:right w:val="single" w:sz="2" w:space="0" w:color="FFFFFF"/>
            </w:tcBorders>
            <w:shd w:val="clear" w:color="auto" w:fill="CCC0D9"/>
          </w:tcPr>
          <w:p w14:paraId="1A166333" w14:textId="77777777" w:rsidR="0020660D" w:rsidRPr="00257F44" w:rsidRDefault="0020660D" w:rsidP="0020660D">
            <w:pPr>
              <w:rPr>
                <w:rFonts w:ascii="Zapf Dingbats" w:hAnsi="Zapf Dingbats" w:cs="Gill Sans"/>
                <w:sz w:val="22"/>
                <w:szCs w:val="22"/>
                <w:lang w:val="uk-UA"/>
              </w:rPr>
            </w:pPr>
          </w:p>
        </w:tc>
        <w:tc>
          <w:tcPr>
            <w:tcW w:w="341" w:type="dxa"/>
            <w:vMerge w:val="restart"/>
            <w:tcBorders>
              <w:top w:val="single" w:sz="18" w:space="0" w:color="FFFFFF"/>
              <w:left w:val="single" w:sz="2" w:space="0" w:color="FFFFFF"/>
              <w:right w:val="single" w:sz="2" w:space="0" w:color="FFFFFF"/>
            </w:tcBorders>
            <w:shd w:val="clear" w:color="auto" w:fill="CCC0D9"/>
          </w:tcPr>
          <w:p w14:paraId="67E865B4" w14:textId="2E06F7CD" w:rsidR="0020660D" w:rsidRPr="00257F44" w:rsidRDefault="0020660D" w:rsidP="0020660D">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17" w:type="dxa"/>
            <w:vMerge w:val="restart"/>
            <w:tcBorders>
              <w:top w:val="single" w:sz="18" w:space="0" w:color="FFFFFF"/>
              <w:left w:val="single" w:sz="2" w:space="0" w:color="FFFFFF"/>
              <w:right w:val="single" w:sz="2" w:space="0" w:color="FFFFFF"/>
            </w:tcBorders>
            <w:shd w:val="clear" w:color="auto" w:fill="CCC0D9"/>
          </w:tcPr>
          <w:p w14:paraId="5992A3D9" w14:textId="4322EDBB" w:rsidR="0020660D" w:rsidRPr="00257F44" w:rsidRDefault="0020660D" w:rsidP="0020660D">
            <w:pPr>
              <w:rPr>
                <w:rFonts w:ascii="Zapf Dingbats" w:hAnsi="Zapf Dingbats" w:cs="Gill Sans"/>
                <w:noProof/>
                <w:sz w:val="22"/>
                <w:szCs w:val="22"/>
                <w:lang w:val="uk-UA"/>
              </w:rPr>
            </w:pPr>
          </w:p>
        </w:tc>
        <w:tc>
          <w:tcPr>
            <w:tcW w:w="341" w:type="dxa"/>
            <w:vMerge w:val="restart"/>
            <w:tcBorders>
              <w:top w:val="single" w:sz="18" w:space="0" w:color="FFFFFF"/>
              <w:left w:val="single" w:sz="2" w:space="0" w:color="FFFFFF"/>
              <w:right w:val="single" w:sz="18" w:space="0" w:color="FFFFFF"/>
            </w:tcBorders>
            <w:shd w:val="clear" w:color="auto" w:fill="CCC0D9"/>
          </w:tcPr>
          <w:p w14:paraId="69A4A687" w14:textId="77777777" w:rsidR="0020660D" w:rsidRPr="00257F44" w:rsidRDefault="0020660D" w:rsidP="0020660D">
            <w:pPr>
              <w:rPr>
                <w:rFonts w:ascii="Zapf Dingbats" w:hAnsi="Zapf Dingbats" w:cs="Gill Sans"/>
                <w:sz w:val="22"/>
                <w:szCs w:val="22"/>
                <w:lang w:val="uk-UA"/>
              </w:rPr>
            </w:pPr>
          </w:p>
        </w:tc>
        <w:tc>
          <w:tcPr>
            <w:tcW w:w="469"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6C957C0E" w14:textId="77777777" w:rsidR="0020660D" w:rsidRPr="00257F44" w:rsidRDefault="0020660D" w:rsidP="0020660D">
            <w:pPr>
              <w:rPr>
                <w:rFonts w:ascii="Zapf Dingbats" w:hAnsi="Zapf Dingbats" w:cs="Gill Sans"/>
                <w:sz w:val="22"/>
                <w:szCs w:val="22"/>
                <w:lang w:val="uk-UA"/>
              </w:rPr>
            </w:pPr>
          </w:p>
        </w:tc>
        <w:tc>
          <w:tcPr>
            <w:tcW w:w="516"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3DC51E52" w14:textId="5C5D3748" w:rsidR="0020660D" w:rsidRPr="00257F44" w:rsidRDefault="0020660D" w:rsidP="0020660D">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516"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4E2905BB" w14:textId="37B222A0" w:rsidR="0020660D" w:rsidRPr="00257F44" w:rsidRDefault="0020660D" w:rsidP="0020660D">
            <w:pPr>
              <w:rPr>
                <w:rFonts w:ascii="Gill Sans" w:hAnsi="Gill Sans" w:cs="Gill Sans"/>
                <w:sz w:val="22"/>
                <w:szCs w:val="22"/>
                <w:lang w:val="uk-UA"/>
              </w:rPr>
            </w:pPr>
          </w:p>
        </w:tc>
        <w:tc>
          <w:tcPr>
            <w:tcW w:w="405"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16CDBDE3" w14:textId="77777777" w:rsidR="0020660D" w:rsidRPr="00257F44" w:rsidRDefault="0020660D" w:rsidP="0020660D">
            <w:pPr>
              <w:rPr>
                <w:rFonts w:ascii="Gill Sans" w:hAnsi="Gill Sans" w:cs="Gill Sans"/>
                <w:sz w:val="22"/>
                <w:szCs w:val="22"/>
                <w:lang w:val="uk-UA"/>
              </w:rPr>
            </w:pPr>
          </w:p>
        </w:tc>
        <w:tc>
          <w:tcPr>
            <w:tcW w:w="341" w:type="dxa"/>
            <w:vMerge w:val="restart"/>
            <w:tcBorders>
              <w:top w:val="single" w:sz="18" w:space="0" w:color="FFFFFF"/>
              <w:left w:val="single" w:sz="18" w:space="0" w:color="FFFFFF"/>
              <w:right w:val="single" w:sz="2" w:space="0" w:color="FFFFFF"/>
            </w:tcBorders>
            <w:shd w:val="clear" w:color="auto" w:fill="D99594"/>
          </w:tcPr>
          <w:p w14:paraId="6DFA76F8" w14:textId="77777777" w:rsidR="0020660D" w:rsidRPr="00257F44" w:rsidRDefault="0020660D" w:rsidP="0020660D">
            <w:pPr>
              <w:rPr>
                <w:rFonts w:ascii="Gill Sans" w:hAnsi="Gill Sans" w:cs="Gill Sans"/>
                <w:sz w:val="22"/>
                <w:szCs w:val="22"/>
                <w:lang w:val="uk-UA"/>
              </w:rPr>
            </w:pPr>
          </w:p>
        </w:tc>
        <w:tc>
          <w:tcPr>
            <w:tcW w:w="338" w:type="dxa"/>
            <w:vMerge w:val="restart"/>
            <w:tcBorders>
              <w:top w:val="single" w:sz="18" w:space="0" w:color="FFFFFF"/>
              <w:left w:val="single" w:sz="2" w:space="0" w:color="FFFFFF"/>
              <w:right w:val="single" w:sz="2" w:space="0" w:color="FFFFFF"/>
            </w:tcBorders>
            <w:shd w:val="clear" w:color="auto" w:fill="D99594"/>
          </w:tcPr>
          <w:p w14:paraId="3CB2E934" w14:textId="204BE6E6" w:rsidR="0020660D" w:rsidRPr="00257F44" w:rsidRDefault="0020660D" w:rsidP="0020660D">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17" w:type="dxa"/>
            <w:vMerge w:val="restart"/>
            <w:tcBorders>
              <w:top w:val="single" w:sz="18" w:space="0" w:color="FFFFFF"/>
              <w:left w:val="single" w:sz="2" w:space="0" w:color="FFFFFF"/>
              <w:right w:val="single" w:sz="2" w:space="0" w:color="FFFFFF"/>
            </w:tcBorders>
            <w:shd w:val="clear" w:color="auto" w:fill="D99594"/>
          </w:tcPr>
          <w:p w14:paraId="36A932F4" w14:textId="01D9EC53" w:rsidR="0020660D" w:rsidRPr="00257F44" w:rsidRDefault="0020660D" w:rsidP="0020660D">
            <w:pPr>
              <w:rPr>
                <w:rFonts w:ascii="Zapf Dingbats" w:hAnsi="Zapf Dingbats" w:cs="Gill Sans"/>
                <w:sz w:val="22"/>
                <w:szCs w:val="22"/>
                <w:lang w:val="uk-UA"/>
              </w:rPr>
            </w:pPr>
          </w:p>
        </w:tc>
        <w:tc>
          <w:tcPr>
            <w:tcW w:w="341" w:type="dxa"/>
            <w:vMerge w:val="restart"/>
            <w:tcBorders>
              <w:top w:val="single" w:sz="18" w:space="0" w:color="FFFFFF"/>
              <w:left w:val="single" w:sz="2" w:space="0" w:color="FFFFFF"/>
              <w:right w:val="single" w:sz="2" w:space="0" w:color="FFFFFF"/>
            </w:tcBorders>
            <w:shd w:val="clear" w:color="auto" w:fill="D99594"/>
          </w:tcPr>
          <w:p w14:paraId="141483EC" w14:textId="77777777" w:rsidR="0020660D" w:rsidRPr="00257F44" w:rsidRDefault="0020660D" w:rsidP="0020660D">
            <w:pPr>
              <w:rPr>
                <w:rFonts w:ascii="Gill Sans" w:hAnsi="Gill Sans" w:cs="Gill Sans"/>
                <w:noProof/>
                <w:sz w:val="22"/>
                <w:szCs w:val="22"/>
                <w:lang w:val="uk-UA"/>
              </w:rPr>
            </w:pPr>
          </w:p>
        </w:tc>
        <w:tc>
          <w:tcPr>
            <w:tcW w:w="488" w:type="dxa"/>
            <w:vMerge w:val="restart"/>
            <w:tcBorders>
              <w:top w:val="single" w:sz="18" w:space="0" w:color="FFFFFF"/>
              <w:left w:val="single" w:sz="2" w:space="0" w:color="FFFFFF"/>
              <w:right w:val="single" w:sz="18" w:space="0" w:color="FFFFFF"/>
            </w:tcBorders>
            <w:shd w:val="clear" w:color="auto" w:fill="D99594"/>
          </w:tcPr>
          <w:p w14:paraId="7215C0EF" w14:textId="77777777" w:rsidR="0020660D" w:rsidRPr="00257F44" w:rsidRDefault="0020660D" w:rsidP="0020660D">
            <w:pPr>
              <w:rPr>
                <w:rFonts w:ascii="Gill Sans" w:hAnsi="Gill Sans" w:cs="Gill Sans"/>
                <w:sz w:val="22"/>
                <w:szCs w:val="22"/>
                <w:lang w:val="uk-UA"/>
              </w:rPr>
            </w:pPr>
          </w:p>
        </w:tc>
      </w:tr>
      <w:tr w:rsidR="009B0529" w:rsidRPr="00257F44" w14:paraId="7410EA3B" w14:textId="77777777" w:rsidTr="003423A7">
        <w:trPr>
          <w:trHeight w:val="340"/>
        </w:trPr>
        <w:tc>
          <w:tcPr>
            <w:tcW w:w="1324" w:type="dxa"/>
            <w:vMerge/>
            <w:tcBorders>
              <w:left w:val="single" w:sz="4" w:space="0" w:color="FFFFFF"/>
              <w:right w:val="single" w:sz="18" w:space="0" w:color="FFFFFF"/>
            </w:tcBorders>
            <w:shd w:val="clear" w:color="auto" w:fill="000000"/>
          </w:tcPr>
          <w:p w14:paraId="1B13FD32" w14:textId="77777777" w:rsidR="0020660D" w:rsidRPr="00257F44" w:rsidRDefault="0020660D" w:rsidP="0020660D">
            <w:pPr>
              <w:rPr>
                <w:rFonts w:ascii="Gill Sans" w:hAnsi="Gill Sans" w:cs="Gill Sans"/>
                <w:color w:val="FFFFFF" w:themeColor="background1"/>
                <w:sz w:val="22"/>
                <w:szCs w:val="22"/>
                <w:lang w:val="uk-UA"/>
              </w:rPr>
            </w:pPr>
          </w:p>
        </w:tc>
        <w:tc>
          <w:tcPr>
            <w:tcW w:w="475" w:type="dxa"/>
            <w:vMerge/>
            <w:tcBorders>
              <w:left w:val="single" w:sz="18" w:space="0" w:color="FFFFFF"/>
              <w:right w:val="single" w:sz="2" w:space="0" w:color="FFFFFF"/>
            </w:tcBorders>
            <w:shd w:val="clear" w:color="auto" w:fill="D6E3BC"/>
          </w:tcPr>
          <w:p w14:paraId="68E51791" w14:textId="77777777" w:rsidR="0020660D" w:rsidRPr="00257F44" w:rsidRDefault="0020660D" w:rsidP="0020660D">
            <w:pPr>
              <w:rPr>
                <w:rFonts w:ascii="Gill Sans" w:hAnsi="Gill Sans" w:cs="Gill Sans"/>
                <w:sz w:val="22"/>
                <w:szCs w:val="22"/>
                <w:lang w:val="uk-UA"/>
              </w:rPr>
            </w:pPr>
          </w:p>
        </w:tc>
        <w:tc>
          <w:tcPr>
            <w:tcW w:w="418" w:type="dxa"/>
            <w:vMerge/>
            <w:tcBorders>
              <w:left w:val="single" w:sz="2" w:space="0" w:color="FFFFFF"/>
              <w:right w:val="single" w:sz="2" w:space="0" w:color="FFFFFF"/>
            </w:tcBorders>
            <w:shd w:val="clear" w:color="auto" w:fill="D6E3BC"/>
          </w:tcPr>
          <w:p w14:paraId="37C5FC8E" w14:textId="77777777" w:rsidR="0020660D" w:rsidRPr="00257F44" w:rsidRDefault="0020660D" w:rsidP="0020660D">
            <w:pPr>
              <w:rPr>
                <w:rFonts w:ascii="Zapf Dingbats" w:hAnsi="Zapf Dingbats" w:cs="Gill Sans"/>
                <w:sz w:val="22"/>
                <w:szCs w:val="22"/>
                <w:lang w:val="uk-UA"/>
              </w:rPr>
            </w:pPr>
          </w:p>
        </w:tc>
        <w:tc>
          <w:tcPr>
            <w:tcW w:w="343" w:type="dxa"/>
            <w:vMerge/>
            <w:tcBorders>
              <w:left w:val="single" w:sz="2" w:space="0" w:color="FFFFFF"/>
              <w:right w:val="single" w:sz="2" w:space="0" w:color="FFFFFF"/>
            </w:tcBorders>
            <w:shd w:val="clear" w:color="auto" w:fill="D6E3BC"/>
          </w:tcPr>
          <w:p w14:paraId="4176961F" w14:textId="77777777" w:rsidR="0020660D" w:rsidRPr="00257F44" w:rsidRDefault="0020660D" w:rsidP="0020660D">
            <w:pPr>
              <w:rPr>
                <w:rFonts w:ascii="Zapf Dingbats" w:hAnsi="Zapf Dingbats" w:cs="Gill Sans"/>
                <w:sz w:val="22"/>
                <w:szCs w:val="22"/>
                <w:lang w:val="uk-UA"/>
              </w:rPr>
            </w:pPr>
          </w:p>
        </w:tc>
        <w:tc>
          <w:tcPr>
            <w:tcW w:w="343" w:type="dxa"/>
            <w:vMerge/>
            <w:tcBorders>
              <w:left w:val="single" w:sz="2" w:space="0" w:color="FFFFFF"/>
              <w:right w:val="single" w:sz="18" w:space="0" w:color="FFFFFF"/>
            </w:tcBorders>
            <w:shd w:val="clear" w:color="auto" w:fill="D6E3BC"/>
          </w:tcPr>
          <w:p w14:paraId="7D6A087D" w14:textId="77777777" w:rsidR="0020660D" w:rsidRPr="00257F44" w:rsidRDefault="0020660D" w:rsidP="0020660D">
            <w:pPr>
              <w:rPr>
                <w:rFonts w:ascii="Zapf Dingbats" w:hAnsi="Zapf Dingbats" w:cs="Gill Sans"/>
                <w:noProof/>
                <w:sz w:val="22"/>
                <w:szCs w:val="22"/>
                <w:lang w:val="uk-UA"/>
              </w:rPr>
            </w:pPr>
          </w:p>
        </w:tc>
        <w:tc>
          <w:tcPr>
            <w:tcW w:w="365" w:type="dxa"/>
            <w:vMerge/>
            <w:tcBorders>
              <w:left w:val="single" w:sz="2" w:space="0" w:color="FFFFFF"/>
              <w:right w:val="single" w:sz="2" w:space="0" w:color="FFFFFF"/>
            </w:tcBorders>
            <w:shd w:val="clear" w:color="auto" w:fill="FBD4B4"/>
          </w:tcPr>
          <w:p w14:paraId="67D48C75" w14:textId="77777777" w:rsidR="0020660D" w:rsidRPr="00257F44" w:rsidRDefault="0020660D" w:rsidP="0020660D">
            <w:pPr>
              <w:rPr>
                <w:rFonts w:ascii="Zapf Dingbats" w:hAnsi="Zapf Dingbats" w:cs="Gill Sans"/>
                <w:sz w:val="22"/>
                <w:szCs w:val="22"/>
                <w:lang w:val="uk-UA"/>
              </w:rPr>
            </w:pPr>
          </w:p>
        </w:tc>
        <w:tc>
          <w:tcPr>
            <w:tcW w:w="365" w:type="dxa"/>
            <w:vMerge/>
            <w:tcBorders>
              <w:left w:val="single" w:sz="2" w:space="0" w:color="FFFFFF"/>
              <w:right w:val="single" w:sz="2" w:space="0" w:color="FFFFFF"/>
            </w:tcBorders>
            <w:shd w:val="clear" w:color="auto" w:fill="FBD4B4"/>
          </w:tcPr>
          <w:p w14:paraId="601D57D1" w14:textId="77777777" w:rsidR="0020660D" w:rsidRPr="00257F44" w:rsidRDefault="0020660D" w:rsidP="0020660D">
            <w:pPr>
              <w:rPr>
                <w:rFonts w:ascii="Zapf Dingbats" w:hAnsi="Zapf Dingbats" w:cs="Gill Sans"/>
                <w:noProof/>
                <w:sz w:val="22"/>
                <w:szCs w:val="22"/>
                <w:lang w:val="uk-UA"/>
              </w:rPr>
            </w:pPr>
          </w:p>
        </w:tc>
        <w:tc>
          <w:tcPr>
            <w:tcW w:w="365" w:type="dxa"/>
            <w:vMerge/>
            <w:tcBorders>
              <w:left w:val="single" w:sz="2" w:space="0" w:color="FFFFFF"/>
              <w:right w:val="single" w:sz="2" w:space="0" w:color="FFFFFF"/>
            </w:tcBorders>
            <w:shd w:val="clear" w:color="auto" w:fill="FBD4B4"/>
          </w:tcPr>
          <w:p w14:paraId="60BEDBAB" w14:textId="77777777" w:rsidR="0020660D" w:rsidRPr="00257F44" w:rsidRDefault="0020660D" w:rsidP="0020660D">
            <w:pPr>
              <w:rPr>
                <w:rFonts w:ascii="Zapf Dingbats" w:hAnsi="Zapf Dingbats" w:cs="Gill Sans"/>
                <w:noProof/>
                <w:sz w:val="22"/>
                <w:szCs w:val="22"/>
                <w:lang w:val="uk-UA"/>
              </w:rPr>
            </w:pPr>
          </w:p>
        </w:tc>
        <w:tc>
          <w:tcPr>
            <w:tcW w:w="735" w:type="dxa"/>
            <w:vMerge/>
            <w:tcBorders>
              <w:left w:val="single" w:sz="2" w:space="0" w:color="FFFFFF"/>
              <w:right w:val="single" w:sz="18" w:space="0" w:color="FFFFFF"/>
            </w:tcBorders>
            <w:shd w:val="clear" w:color="auto" w:fill="FBD4B4"/>
          </w:tcPr>
          <w:p w14:paraId="14FE1ACC" w14:textId="77777777" w:rsidR="0020660D" w:rsidRPr="00257F44" w:rsidRDefault="0020660D" w:rsidP="0020660D">
            <w:pPr>
              <w:rPr>
                <w:rFonts w:ascii="Zapf Dingbats" w:hAnsi="Zapf Dingbats" w:cs="Gill Sans"/>
                <w:sz w:val="22"/>
                <w:szCs w:val="22"/>
                <w:lang w:val="uk-UA"/>
              </w:rPr>
            </w:pPr>
          </w:p>
        </w:tc>
        <w:tc>
          <w:tcPr>
            <w:tcW w:w="417" w:type="dxa"/>
            <w:vMerge/>
            <w:tcBorders>
              <w:left w:val="single" w:sz="18" w:space="0" w:color="FFFFFF"/>
              <w:right w:val="single" w:sz="2" w:space="0" w:color="FFFFFF"/>
            </w:tcBorders>
            <w:shd w:val="clear" w:color="auto" w:fill="CCC0D9"/>
          </w:tcPr>
          <w:p w14:paraId="7356B842" w14:textId="77777777" w:rsidR="0020660D" w:rsidRPr="00257F44" w:rsidRDefault="0020660D" w:rsidP="0020660D">
            <w:pPr>
              <w:rPr>
                <w:rFonts w:ascii="Zapf Dingbats" w:hAnsi="Zapf Dingbats" w:cs="Gill Sans"/>
                <w:sz w:val="22"/>
                <w:szCs w:val="22"/>
                <w:lang w:val="uk-UA"/>
              </w:rPr>
            </w:pPr>
          </w:p>
        </w:tc>
        <w:tc>
          <w:tcPr>
            <w:tcW w:w="341" w:type="dxa"/>
            <w:vMerge/>
            <w:tcBorders>
              <w:left w:val="single" w:sz="2" w:space="0" w:color="FFFFFF"/>
              <w:right w:val="single" w:sz="2" w:space="0" w:color="FFFFFF"/>
            </w:tcBorders>
            <w:shd w:val="clear" w:color="auto" w:fill="CCC0D9"/>
          </w:tcPr>
          <w:p w14:paraId="60E7A600" w14:textId="77777777" w:rsidR="0020660D" w:rsidRPr="00257F44" w:rsidRDefault="0020660D" w:rsidP="0020660D">
            <w:pPr>
              <w:rPr>
                <w:rFonts w:ascii="Zapf Dingbats" w:hAnsi="Zapf Dingbats" w:cs="Gill Sans"/>
                <w:sz w:val="22"/>
                <w:szCs w:val="22"/>
                <w:lang w:val="uk-UA"/>
              </w:rPr>
            </w:pPr>
          </w:p>
        </w:tc>
        <w:tc>
          <w:tcPr>
            <w:tcW w:w="417" w:type="dxa"/>
            <w:vMerge/>
            <w:tcBorders>
              <w:left w:val="single" w:sz="2" w:space="0" w:color="FFFFFF"/>
              <w:right w:val="single" w:sz="2" w:space="0" w:color="FFFFFF"/>
            </w:tcBorders>
            <w:shd w:val="clear" w:color="auto" w:fill="CCC0D9"/>
          </w:tcPr>
          <w:p w14:paraId="31D828BD" w14:textId="77777777" w:rsidR="0020660D" w:rsidRPr="00257F44" w:rsidRDefault="0020660D" w:rsidP="0020660D">
            <w:pPr>
              <w:rPr>
                <w:rFonts w:ascii="Zapf Dingbats" w:hAnsi="Zapf Dingbats" w:cs="Gill Sans"/>
                <w:noProof/>
                <w:sz w:val="22"/>
                <w:szCs w:val="22"/>
                <w:lang w:val="uk-UA"/>
              </w:rPr>
            </w:pPr>
          </w:p>
        </w:tc>
        <w:tc>
          <w:tcPr>
            <w:tcW w:w="341" w:type="dxa"/>
            <w:vMerge/>
            <w:tcBorders>
              <w:left w:val="single" w:sz="2" w:space="0" w:color="FFFFFF"/>
              <w:right w:val="single" w:sz="18" w:space="0" w:color="FFFFFF"/>
            </w:tcBorders>
            <w:shd w:val="clear" w:color="auto" w:fill="CCC0D9"/>
          </w:tcPr>
          <w:p w14:paraId="4C9FB33A" w14:textId="77777777" w:rsidR="0020660D" w:rsidRPr="00257F44" w:rsidRDefault="0020660D" w:rsidP="0020660D">
            <w:pPr>
              <w:rPr>
                <w:rFonts w:ascii="Zapf Dingbats" w:hAnsi="Zapf Dingbats" w:cs="Gill Sans"/>
                <w:sz w:val="22"/>
                <w:szCs w:val="22"/>
                <w:lang w:val="uk-UA"/>
              </w:rPr>
            </w:pPr>
          </w:p>
        </w:tc>
        <w:tc>
          <w:tcPr>
            <w:tcW w:w="469"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25AB865F" w14:textId="77777777" w:rsidR="0020660D" w:rsidRPr="00257F44" w:rsidRDefault="0020660D" w:rsidP="0020660D">
            <w:pPr>
              <w:rPr>
                <w:rFonts w:ascii="Zapf Dingbats" w:hAnsi="Zapf Dingbats" w:cs="Gill Sans"/>
                <w:sz w:val="22"/>
                <w:szCs w:val="22"/>
                <w:lang w:val="uk-UA"/>
              </w:rPr>
            </w:pPr>
          </w:p>
        </w:tc>
        <w:tc>
          <w:tcPr>
            <w:tcW w:w="516"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404EBD3C" w14:textId="3E292CF5" w:rsidR="0020660D" w:rsidRPr="00257F44" w:rsidRDefault="0020660D" w:rsidP="0020660D">
            <w:pPr>
              <w:rPr>
                <w:rFonts w:ascii="Zapf Dingbats" w:hAnsi="Zapf Dingbats" w:cs="Gill Sans"/>
                <w:sz w:val="22"/>
                <w:szCs w:val="22"/>
                <w:lang w:val="uk-UA"/>
              </w:rPr>
            </w:pPr>
          </w:p>
        </w:tc>
        <w:tc>
          <w:tcPr>
            <w:tcW w:w="516"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27BE6EA8" w14:textId="21573544" w:rsidR="0020660D" w:rsidRPr="00257F44" w:rsidRDefault="0020660D" w:rsidP="0020660D">
            <w:pPr>
              <w:rPr>
                <w:rFonts w:ascii="Gill Sans" w:hAnsi="Gill Sans" w:cs="Gill Sans"/>
                <w:sz w:val="22"/>
                <w:szCs w:val="22"/>
                <w:lang w:val="uk-UA"/>
              </w:rPr>
            </w:pPr>
            <w:r w:rsidRPr="00257F44">
              <w:rPr>
                <w:rFonts w:ascii="Zapf Dingbats" w:eastAsia="MS Mincho" w:hAnsi="Zapf Dingbats" w:cs="MS Mincho"/>
                <w:noProof/>
                <w:sz w:val="22"/>
                <w:szCs w:val="22"/>
                <w:lang w:val="uk-UA"/>
              </w:rPr>
              <w:t>✔</w:t>
            </w:r>
          </w:p>
        </w:tc>
        <w:tc>
          <w:tcPr>
            <w:tcW w:w="405"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4FA7DDED" w14:textId="77777777" w:rsidR="0020660D" w:rsidRPr="00257F44" w:rsidRDefault="0020660D" w:rsidP="0020660D">
            <w:pPr>
              <w:jc w:val="center"/>
              <w:rPr>
                <w:rFonts w:ascii="Gill Sans" w:hAnsi="Gill Sans" w:cs="Gill Sans"/>
                <w:sz w:val="22"/>
                <w:szCs w:val="22"/>
                <w:lang w:val="uk-UA"/>
              </w:rPr>
            </w:pPr>
          </w:p>
        </w:tc>
        <w:tc>
          <w:tcPr>
            <w:tcW w:w="341" w:type="dxa"/>
            <w:vMerge/>
            <w:tcBorders>
              <w:left w:val="single" w:sz="18" w:space="0" w:color="FFFFFF"/>
              <w:right w:val="single" w:sz="2" w:space="0" w:color="FFFFFF"/>
            </w:tcBorders>
            <w:shd w:val="clear" w:color="auto" w:fill="D99594"/>
          </w:tcPr>
          <w:p w14:paraId="75F99E18" w14:textId="77777777" w:rsidR="0020660D" w:rsidRPr="00257F44" w:rsidRDefault="0020660D" w:rsidP="0020660D">
            <w:pPr>
              <w:rPr>
                <w:rFonts w:ascii="Gill Sans" w:hAnsi="Gill Sans" w:cs="Gill Sans"/>
                <w:sz w:val="22"/>
                <w:szCs w:val="22"/>
                <w:lang w:val="uk-UA"/>
              </w:rPr>
            </w:pPr>
          </w:p>
        </w:tc>
        <w:tc>
          <w:tcPr>
            <w:tcW w:w="338" w:type="dxa"/>
            <w:vMerge/>
            <w:tcBorders>
              <w:left w:val="single" w:sz="2" w:space="0" w:color="FFFFFF"/>
              <w:right w:val="single" w:sz="2" w:space="0" w:color="FFFFFF"/>
            </w:tcBorders>
            <w:shd w:val="clear" w:color="auto" w:fill="D99594"/>
          </w:tcPr>
          <w:p w14:paraId="0432E620" w14:textId="77777777" w:rsidR="0020660D" w:rsidRPr="00257F44" w:rsidRDefault="0020660D" w:rsidP="0020660D">
            <w:pPr>
              <w:rPr>
                <w:rFonts w:ascii="Gill Sans" w:hAnsi="Gill Sans" w:cs="Gill Sans"/>
                <w:sz w:val="22"/>
                <w:szCs w:val="22"/>
                <w:lang w:val="uk-UA"/>
              </w:rPr>
            </w:pPr>
          </w:p>
        </w:tc>
        <w:tc>
          <w:tcPr>
            <w:tcW w:w="417" w:type="dxa"/>
            <w:vMerge/>
            <w:tcBorders>
              <w:left w:val="single" w:sz="2" w:space="0" w:color="FFFFFF"/>
              <w:right w:val="single" w:sz="2" w:space="0" w:color="FFFFFF"/>
            </w:tcBorders>
            <w:shd w:val="clear" w:color="auto" w:fill="D99594"/>
          </w:tcPr>
          <w:p w14:paraId="2FB30037" w14:textId="77777777" w:rsidR="0020660D" w:rsidRPr="00257F44" w:rsidRDefault="0020660D" w:rsidP="0020660D">
            <w:pPr>
              <w:rPr>
                <w:rFonts w:ascii="Gill Sans" w:hAnsi="Gill Sans" w:cs="Gill Sans"/>
                <w:sz w:val="22"/>
                <w:szCs w:val="22"/>
                <w:lang w:val="uk-UA"/>
              </w:rPr>
            </w:pPr>
          </w:p>
        </w:tc>
        <w:tc>
          <w:tcPr>
            <w:tcW w:w="341" w:type="dxa"/>
            <w:vMerge/>
            <w:tcBorders>
              <w:left w:val="single" w:sz="2" w:space="0" w:color="FFFFFF"/>
              <w:right w:val="single" w:sz="2" w:space="0" w:color="FFFFFF"/>
            </w:tcBorders>
            <w:shd w:val="clear" w:color="auto" w:fill="D99594"/>
          </w:tcPr>
          <w:p w14:paraId="011C065E" w14:textId="77777777" w:rsidR="0020660D" w:rsidRPr="00257F44" w:rsidRDefault="0020660D" w:rsidP="0020660D">
            <w:pPr>
              <w:rPr>
                <w:rFonts w:ascii="Gill Sans" w:hAnsi="Gill Sans" w:cs="Gill Sans"/>
                <w:noProof/>
                <w:sz w:val="22"/>
                <w:szCs w:val="22"/>
                <w:lang w:val="uk-UA"/>
              </w:rPr>
            </w:pPr>
          </w:p>
        </w:tc>
        <w:tc>
          <w:tcPr>
            <w:tcW w:w="488" w:type="dxa"/>
            <w:vMerge/>
            <w:tcBorders>
              <w:left w:val="single" w:sz="2" w:space="0" w:color="FFFFFF"/>
              <w:right w:val="single" w:sz="18" w:space="0" w:color="FFFFFF"/>
            </w:tcBorders>
            <w:shd w:val="clear" w:color="auto" w:fill="D99594"/>
          </w:tcPr>
          <w:p w14:paraId="2B2CE318" w14:textId="77777777" w:rsidR="0020660D" w:rsidRPr="00257F44" w:rsidRDefault="0020660D" w:rsidP="0020660D">
            <w:pPr>
              <w:rPr>
                <w:rFonts w:ascii="Gill Sans" w:hAnsi="Gill Sans" w:cs="Gill Sans"/>
                <w:sz w:val="22"/>
                <w:szCs w:val="22"/>
                <w:lang w:val="uk-UA"/>
              </w:rPr>
            </w:pPr>
          </w:p>
        </w:tc>
      </w:tr>
    </w:tbl>
    <w:p w14:paraId="09DCEC65" w14:textId="77777777" w:rsidR="000B2CCA" w:rsidRPr="00257F44" w:rsidRDefault="000B2CCA" w:rsidP="00A75F1D">
      <w:pPr>
        <w:spacing w:after="120"/>
        <w:rPr>
          <w:rFonts w:ascii="Gill Sans" w:hAnsi="Gill Sans" w:cs="Gill Sans"/>
          <w:i/>
          <w:noProof/>
          <w:sz w:val="22"/>
          <w:szCs w:val="22"/>
          <w:lang w:val="uk-UA"/>
        </w:rPr>
      </w:pPr>
    </w:p>
    <w:p w14:paraId="3224EEFE" w14:textId="24B5D3EB" w:rsidR="00A75F1D" w:rsidRPr="00257F44" w:rsidRDefault="005C1366" w:rsidP="00FE6F1D">
      <w:pPr>
        <w:pStyle w:val="Heading3"/>
        <w:spacing w:after="120"/>
        <w:rPr>
          <w:lang w:val="uk-UA"/>
        </w:rPr>
      </w:pPr>
      <w:r w:rsidRPr="00257F44">
        <w:rPr>
          <w:lang w:val="uk-UA"/>
        </w:rPr>
        <w:t>Мета зобов’язання</w:t>
      </w:r>
    </w:p>
    <w:p w14:paraId="6E8F98D0" w14:textId="039E7181" w:rsidR="005C1366" w:rsidRPr="00257F44" w:rsidRDefault="005C1366" w:rsidP="00FE6F1D">
      <w:pPr>
        <w:spacing w:after="120"/>
        <w:rPr>
          <w:rFonts w:ascii="Gill Sans" w:hAnsi="Gill Sans" w:cs="Gill Sans"/>
          <w:sz w:val="22"/>
          <w:szCs w:val="22"/>
          <w:lang w:val="uk-UA"/>
        </w:rPr>
      </w:pPr>
      <w:r w:rsidRPr="00257F44">
        <w:rPr>
          <w:rFonts w:ascii="Gill Sans" w:hAnsi="Gill Sans" w:cs="Gill Sans"/>
          <w:sz w:val="22"/>
          <w:szCs w:val="22"/>
          <w:lang w:val="uk-UA"/>
        </w:rPr>
        <w:t xml:space="preserve">Зобов’язання </w:t>
      </w:r>
      <w:r w:rsidR="00670D8C" w:rsidRPr="00257F44">
        <w:rPr>
          <w:rFonts w:ascii="Gill Sans" w:hAnsi="Gill Sans" w:cs="Gill Sans"/>
          <w:sz w:val="22"/>
          <w:szCs w:val="22"/>
          <w:lang w:val="uk-UA"/>
        </w:rPr>
        <w:t xml:space="preserve">мало на меті </w:t>
      </w:r>
      <w:r w:rsidRPr="00257F44">
        <w:rPr>
          <w:rFonts w:ascii="Gill Sans" w:hAnsi="Gill Sans" w:cs="Gill Sans"/>
          <w:sz w:val="22"/>
          <w:szCs w:val="22"/>
          <w:lang w:val="uk-UA"/>
        </w:rPr>
        <w:t xml:space="preserve">посилити антикорупційні заходи на субнаціональному рівні шляхом розроблення регіональних антикорупційних програм. В Україні, корупція поширена на місцевому та регіональному рівнях, а </w:t>
      </w:r>
      <w:r w:rsidR="005719CA" w:rsidRPr="00257F44">
        <w:rPr>
          <w:rFonts w:ascii="Gill Sans" w:hAnsi="Gill Sans" w:cs="Gill Sans"/>
          <w:sz w:val="22"/>
          <w:szCs w:val="22"/>
          <w:lang w:val="uk-UA"/>
        </w:rPr>
        <w:t xml:space="preserve">заходи національної політики недостатні для протидії </w:t>
      </w:r>
      <w:r w:rsidR="007F7AE1">
        <w:rPr>
          <w:rFonts w:ascii="Gill Sans" w:hAnsi="Gill Sans" w:cs="Gill Sans"/>
          <w:sz w:val="22"/>
          <w:szCs w:val="22"/>
          <w:lang w:val="uk-UA"/>
        </w:rPr>
        <w:t>цьому</w:t>
      </w:r>
      <w:r w:rsidR="005719CA" w:rsidRPr="00257F44">
        <w:rPr>
          <w:rFonts w:ascii="Gill Sans" w:hAnsi="Gill Sans" w:cs="Gill Sans"/>
          <w:sz w:val="22"/>
          <w:szCs w:val="22"/>
          <w:lang w:val="uk-UA"/>
        </w:rPr>
        <w:t>. Регіональні програми могли б стати важливим антикорупційним інструментом, якби їх було розроблено за участі громадськості та ефективно реалізовано.</w:t>
      </w:r>
    </w:p>
    <w:p w14:paraId="562EED6B" w14:textId="77777777" w:rsidR="00670D8C" w:rsidRPr="00257F44" w:rsidRDefault="00670D8C" w:rsidP="00FE6F1D">
      <w:pPr>
        <w:pStyle w:val="Heading3"/>
        <w:spacing w:after="120"/>
        <w:rPr>
          <w:lang w:val="uk-UA"/>
        </w:rPr>
      </w:pPr>
      <w:r w:rsidRPr="00257F44">
        <w:rPr>
          <w:lang w:val="uk-UA"/>
        </w:rPr>
        <w:t>Статус виконання</w:t>
      </w:r>
    </w:p>
    <w:p w14:paraId="6156F7BD" w14:textId="012BA092" w:rsidR="00670D8C" w:rsidRPr="00257F44" w:rsidRDefault="00670D8C" w:rsidP="00FE6F1D">
      <w:pPr>
        <w:pStyle w:val="Normalrglronly"/>
        <w:rPr>
          <w:b/>
          <w:lang w:val="uk-UA"/>
        </w:rPr>
      </w:pPr>
      <w:r w:rsidRPr="00257F44">
        <w:rPr>
          <w:b/>
          <w:lang w:val="uk-UA"/>
        </w:rPr>
        <w:t>Проміжний звіт: Обмежене виконання</w:t>
      </w:r>
    </w:p>
    <w:p w14:paraId="7C636D03" w14:textId="707512DD" w:rsidR="005A2918" w:rsidRPr="00257F44" w:rsidRDefault="00536FB4" w:rsidP="00FE6F1D">
      <w:pPr>
        <w:spacing w:after="120"/>
        <w:rPr>
          <w:rFonts w:ascii="Gill Sans" w:hAnsi="Gill Sans" w:cs="Gill Sans"/>
          <w:noProof/>
          <w:sz w:val="22"/>
          <w:szCs w:val="22"/>
          <w:lang w:val="uk-UA"/>
        </w:rPr>
      </w:pPr>
      <w:r w:rsidRPr="00257F44">
        <w:rPr>
          <w:rFonts w:ascii="Gill Sans" w:hAnsi="Gill Sans" w:cs="Gill Sans"/>
          <w:noProof/>
          <w:sz w:val="22"/>
          <w:szCs w:val="22"/>
          <w:lang w:val="uk-UA"/>
        </w:rPr>
        <w:t>У своєму звіті самооцінки Уряд згадав про 13 програм, затверджених у 13 областях, та дев’ять проектів програм, які були оприлюднені для громадського обговорення. Незрозуміло, чи це нові програми, які були затверджені після ухвалення плану дій ПВУ на 2014-2015 рр. Попередній план дій містив поді</w:t>
      </w:r>
      <w:r w:rsidR="007F7AE1">
        <w:rPr>
          <w:rFonts w:ascii="Gill Sans" w:hAnsi="Gill Sans" w:cs="Gill Sans"/>
          <w:noProof/>
          <w:sz w:val="22"/>
          <w:szCs w:val="22"/>
          <w:lang w:val="uk-UA"/>
        </w:rPr>
        <w:t>б</w:t>
      </w:r>
      <w:r w:rsidRPr="00257F44">
        <w:rPr>
          <w:rFonts w:ascii="Gill Sans" w:hAnsi="Gill Sans" w:cs="Gill Sans"/>
          <w:noProof/>
          <w:sz w:val="22"/>
          <w:szCs w:val="22"/>
          <w:lang w:val="uk-UA"/>
        </w:rPr>
        <w:t xml:space="preserve">не зобов’язання. Звіт самооцінки не містив інформації про зміст цих регіональних програм і чи були вони розроблені у співпраці з громадськими організаціями, як це вимагається зобов’язанням. </w:t>
      </w:r>
      <w:r w:rsidRPr="00257F44">
        <w:rPr>
          <w:rFonts w:ascii="Gill Sans" w:hAnsi="Gill Sans" w:cs="Gill Sans"/>
          <w:sz w:val="22"/>
          <w:szCs w:val="22"/>
          <w:lang w:val="uk-UA"/>
        </w:rPr>
        <w:t>Представник НДО відзначив, що існувало дуже мало нових антикорупційних програм, а саме нові програми в містах Києві та Дніпропетровську. Існував також сумнів щодо взагалі доцільності включення цього зобов’язання до плану дій, оскільки воно було надто широким та вимагало значних координаційних зусиль, які механізм ПВУ не міг забезпечити</w:t>
      </w:r>
      <w:r w:rsidRPr="00257F44">
        <w:rPr>
          <w:rStyle w:val="EndnoteReference"/>
          <w:rFonts w:ascii="Gill Sans" w:hAnsi="Gill Sans" w:cs="Gill Sans"/>
          <w:sz w:val="22"/>
          <w:szCs w:val="22"/>
          <w:lang w:val="uk-UA"/>
        </w:rPr>
        <w:endnoteReference w:id="42"/>
      </w:r>
      <w:r w:rsidRPr="00257F44">
        <w:rPr>
          <w:rFonts w:ascii="Gill Sans" w:hAnsi="Gill Sans" w:cs="Gill Sans"/>
          <w:sz w:val="22"/>
          <w:szCs w:val="22"/>
          <w:lang w:val="uk-UA"/>
        </w:rPr>
        <w:t>.</w:t>
      </w:r>
    </w:p>
    <w:p w14:paraId="448ED9D4" w14:textId="06FC294C" w:rsidR="00A75F1D" w:rsidRPr="00257F44" w:rsidRDefault="00670D8C" w:rsidP="00FE6F1D">
      <w:pPr>
        <w:pStyle w:val="Normalrglronly"/>
        <w:rPr>
          <w:b/>
          <w:lang w:val="uk-UA"/>
        </w:rPr>
      </w:pPr>
      <w:r w:rsidRPr="00257F44">
        <w:rPr>
          <w:b/>
          <w:lang w:val="uk-UA"/>
        </w:rPr>
        <w:t>Підсумковий звіт: Значне виконання</w:t>
      </w:r>
      <w:r w:rsidR="00A75F1D" w:rsidRPr="00257F44">
        <w:rPr>
          <w:b/>
          <w:color w:val="FFFFFF" w:themeColor="background1"/>
          <w:lang w:val="uk-UA"/>
        </w:rPr>
        <w:t>d</w:t>
      </w:r>
    </w:p>
    <w:p w14:paraId="0B8B447B" w14:textId="3DFF39C6" w:rsidR="00536FB4" w:rsidRPr="00257F44" w:rsidRDefault="00536FB4" w:rsidP="00FE6F1D">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У підсумковому звіті </w:t>
      </w:r>
      <w:r w:rsidR="00DD618E" w:rsidRPr="00257F44">
        <w:rPr>
          <w:rFonts w:ascii="Gill Sans" w:hAnsi="Gill Sans" w:cs="Gill Sans"/>
          <w:noProof/>
          <w:sz w:val="22"/>
          <w:szCs w:val="22"/>
          <w:lang w:val="uk-UA"/>
        </w:rPr>
        <w:t>самооцінки</w:t>
      </w:r>
      <w:r w:rsidRPr="00257F44">
        <w:rPr>
          <w:rFonts w:ascii="Gill Sans" w:hAnsi="Gill Sans" w:cs="Gill Sans"/>
          <w:noProof/>
          <w:sz w:val="22"/>
          <w:szCs w:val="22"/>
          <w:lang w:val="uk-UA"/>
        </w:rPr>
        <w:t xml:space="preserve"> Уряд стверджує, що 17 із 24 областей затвердили антикорупційні програми (в якості окремого документа чи як частину програм у сфері правоохоронної діяльності). З них, 10 обласних адміністрацій також завтердили заходи на </w:t>
      </w:r>
      <w:r w:rsidRPr="00257F44">
        <w:rPr>
          <w:rFonts w:ascii="Gill Sans" w:hAnsi="Gill Sans" w:cs="Gill Sans"/>
          <w:noProof/>
          <w:sz w:val="22"/>
          <w:szCs w:val="22"/>
          <w:lang w:val="uk-UA"/>
        </w:rPr>
        <w:lastRenderedPageBreak/>
        <w:t>реалізацію національної антикорупційної стратегії на 2014-2017 рр. У грудні 2016 року, Київська міська рада ухвалила Рамкову програму управлінських реформ та впровадження заходів із запобігання корупції. Її було розроблено спільно з громадськими експертами та групами і Київською міською державною адміністрацією. Проте, незрозуміло, скільки з цих програм з’явилися як прямий результат виконання зобов’язання ПВУ. Багато антикорупційних програм були розроблені до початку реалізації плану дій як частина існуючої антикорупційної політики.</w:t>
      </w:r>
    </w:p>
    <w:p w14:paraId="5BF29735" w14:textId="1D6B6271" w:rsidR="00536FB4" w:rsidRPr="00257F44" w:rsidRDefault="00536FB4" w:rsidP="00FE6F1D">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Слід також зазначити, що в 2014 році було ухвалено Закон про запобігання корупції (та введено в дію у квітні 2015 року). Закон </w:t>
      </w:r>
      <w:r w:rsidR="00847AE4" w:rsidRPr="00257F44">
        <w:rPr>
          <w:rFonts w:ascii="Gill Sans" w:hAnsi="Gill Sans" w:cs="Gill Sans"/>
          <w:noProof/>
          <w:sz w:val="22"/>
          <w:szCs w:val="22"/>
          <w:lang w:val="uk-UA"/>
        </w:rPr>
        <w:t>вимагав від усіх органів виконавчої</w:t>
      </w:r>
      <w:r w:rsidR="00BE5BD3" w:rsidRPr="00257F44">
        <w:rPr>
          <w:rFonts w:ascii="Gill Sans" w:hAnsi="Gill Sans" w:cs="Gill Sans"/>
          <w:noProof/>
          <w:sz w:val="22"/>
          <w:szCs w:val="22"/>
          <w:lang w:val="uk-UA"/>
        </w:rPr>
        <w:t xml:space="preserve"> влади на рівні області ухвалити антикор</w:t>
      </w:r>
      <w:r w:rsidR="007F7AE1">
        <w:rPr>
          <w:rFonts w:ascii="Gill Sans" w:hAnsi="Gill Sans" w:cs="Gill Sans"/>
          <w:noProof/>
          <w:sz w:val="22"/>
          <w:szCs w:val="22"/>
          <w:lang w:val="uk-UA"/>
        </w:rPr>
        <w:t>упційні програми. Закон описує</w:t>
      </w:r>
      <w:r w:rsidR="00BE5BD3" w:rsidRPr="00257F44">
        <w:rPr>
          <w:rFonts w:ascii="Gill Sans" w:hAnsi="Gill Sans" w:cs="Gill Sans"/>
          <w:noProof/>
          <w:sz w:val="22"/>
          <w:szCs w:val="22"/>
          <w:lang w:val="uk-UA"/>
        </w:rPr>
        <w:t>, що такі програ</w:t>
      </w:r>
      <w:r w:rsidR="007F7AE1">
        <w:rPr>
          <w:rFonts w:ascii="Gill Sans" w:hAnsi="Gill Sans" w:cs="Gill Sans"/>
          <w:noProof/>
          <w:sz w:val="22"/>
          <w:szCs w:val="22"/>
          <w:lang w:val="uk-UA"/>
        </w:rPr>
        <w:t>ми повинні містити, і передбачає</w:t>
      </w:r>
      <w:r w:rsidR="00BE5BD3" w:rsidRPr="00257F44">
        <w:rPr>
          <w:rFonts w:ascii="Gill Sans" w:hAnsi="Gill Sans" w:cs="Gill Sans"/>
          <w:noProof/>
          <w:sz w:val="22"/>
          <w:szCs w:val="22"/>
          <w:lang w:val="uk-UA"/>
        </w:rPr>
        <w:t xml:space="preserve"> їх обов’язкове погодження Національним агентством з питань запобігання корупції. Хоча зобов’язання в рамках ПВУ стосувалося іншого виду регіональних властей – регіональних представницьких органів (обласних рад) – залишається незрозумілим, які заходи були вжиті як частина реалізації закону, а які були наслідком виконання зобов’язання.</w:t>
      </w:r>
    </w:p>
    <w:p w14:paraId="4F473D3F" w14:textId="77777777" w:rsidR="00670D8C" w:rsidRPr="00257F44" w:rsidRDefault="00670D8C" w:rsidP="00FE6F1D">
      <w:pPr>
        <w:pStyle w:val="Heading3"/>
        <w:spacing w:after="120"/>
        <w:rPr>
          <w:lang w:val="uk-UA"/>
        </w:rPr>
      </w:pPr>
      <w:r w:rsidRPr="00257F44">
        <w:rPr>
          <w:lang w:val="uk-UA"/>
        </w:rPr>
        <w:t>Чи відкрило це уряд?</w:t>
      </w:r>
    </w:p>
    <w:p w14:paraId="7B0573CC" w14:textId="77777777" w:rsidR="00670D8C" w:rsidRPr="00257F44" w:rsidRDefault="00670D8C" w:rsidP="00FE6F1D">
      <w:pPr>
        <w:spacing w:after="120"/>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Громадська участь: Не змінило</w:t>
      </w:r>
    </w:p>
    <w:p w14:paraId="1B38581E" w14:textId="77777777" w:rsidR="00670D8C" w:rsidRPr="00257F44" w:rsidRDefault="00670D8C" w:rsidP="00FE6F1D">
      <w:pPr>
        <w:spacing w:after="120"/>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Підзвітність влади: Не змінило</w:t>
      </w:r>
    </w:p>
    <w:p w14:paraId="648A59F2" w14:textId="3BAC4AD7" w:rsidR="007737AF" w:rsidRPr="00257F44" w:rsidRDefault="007737AF" w:rsidP="00FE6F1D">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Місцеві та регіональні антикорупційні програми (плани дій) можуть бути </w:t>
      </w:r>
      <w:r w:rsidR="00B101FB" w:rsidRPr="00257F44">
        <w:rPr>
          <w:rFonts w:ascii="Gill Sans" w:hAnsi="Gill Sans" w:cs="Gill Sans"/>
          <w:noProof/>
          <w:sz w:val="22"/>
          <w:szCs w:val="22"/>
          <w:lang w:val="uk-UA"/>
        </w:rPr>
        <w:t>корисним</w:t>
      </w:r>
      <w:r w:rsidRPr="00257F44">
        <w:rPr>
          <w:rFonts w:ascii="Gill Sans" w:hAnsi="Gill Sans" w:cs="Gill Sans"/>
          <w:noProof/>
          <w:sz w:val="22"/>
          <w:szCs w:val="22"/>
          <w:lang w:val="uk-UA"/>
        </w:rPr>
        <w:t xml:space="preserve"> інструментом для запобігання та боротьби проти корупції на субнаціональному рівні. Проте, </w:t>
      </w:r>
      <w:r w:rsidR="00156F16" w:rsidRPr="00257F44">
        <w:rPr>
          <w:rFonts w:ascii="Gill Sans" w:hAnsi="Gill Sans" w:cs="Gill Sans"/>
          <w:noProof/>
          <w:sz w:val="22"/>
          <w:szCs w:val="22"/>
          <w:lang w:val="uk-UA"/>
        </w:rPr>
        <w:t>подібні програми, які розроблялися в минулому, засвідчили, що часто їх готують формально</w:t>
      </w:r>
      <w:r w:rsidR="00B101FB" w:rsidRPr="00257F44">
        <w:rPr>
          <w:rFonts w:ascii="Gill Sans" w:hAnsi="Gill Sans" w:cs="Gill Sans"/>
          <w:noProof/>
          <w:sz w:val="22"/>
          <w:szCs w:val="22"/>
          <w:lang w:val="uk-UA"/>
        </w:rPr>
        <w:t>, і</w:t>
      </w:r>
      <w:r w:rsidR="00156F16" w:rsidRPr="00257F44">
        <w:rPr>
          <w:rFonts w:ascii="Gill Sans" w:hAnsi="Gill Sans" w:cs="Gill Sans"/>
          <w:noProof/>
          <w:sz w:val="22"/>
          <w:szCs w:val="22"/>
          <w:lang w:val="uk-UA"/>
        </w:rPr>
        <w:t xml:space="preserve"> вони не становлять справжнього зобов’язання змінити щось з боку місцевої влади. Загалом, такі плани розробляються без залучення громадянського суспільства, хоча є й винятки (наприклад, антикорупційний план дій міста Києва 2015 року та Рамкова програма управлінських реформ та впровадження заходів із запобігання корупції в місті Києві 2016 року).</w:t>
      </w:r>
      <w:r w:rsidR="00B101FB" w:rsidRPr="00257F44">
        <w:rPr>
          <w:rFonts w:ascii="Gill Sans" w:hAnsi="Gill Sans" w:cs="Gill Sans"/>
          <w:noProof/>
          <w:sz w:val="22"/>
          <w:szCs w:val="22"/>
          <w:lang w:val="uk-UA"/>
        </w:rPr>
        <w:t xml:space="preserve"> Тому урядова практика щодо громадської участі не змінилася порівняно з попереднім базовим рівнем, що існував до зобов’язання</w:t>
      </w:r>
      <w:r w:rsidR="00B101FB" w:rsidRPr="00257F44">
        <w:rPr>
          <w:noProof/>
          <w:vertAlign w:val="superscript"/>
          <w:lang w:val="uk-UA"/>
        </w:rPr>
        <w:endnoteReference w:id="43"/>
      </w:r>
      <w:r w:rsidR="00B101FB" w:rsidRPr="00257F44">
        <w:rPr>
          <w:rFonts w:ascii="Gill Sans" w:hAnsi="Gill Sans" w:cs="Gill Sans"/>
          <w:noProof/>
          <w:sz w:val="22"/>
          <w:szCs w:val="22"/>
          <w:lang w:val="uk-UA"/>
        </w:rPr>
        <w:t xml:space="preserve">. Урядовий звіт </w:t>
      </w:r>
      <w:r w:rsidR="00DD618E" w:rsidRPr="00257F44">
        <w:rPr>
          <w:rFonts w:ascii="Gill Sans" w:hAnsi="Gill Sans" w:cs="Gill Sans"/>
          <w:noProof/>
          <w:sz w:val="22"/>
          <w:szCs w:val="22"/>
          <w:lang w:val="uk-UA"/>
        </w:rPr>
        <w:t>самооцінки</w:t>
      </w:r>
      <w:r w:rsidR="00B101FB" w:rsidRPr="00257F44">
        <w:rPr>
          <w:rFonts w:ascii="Gill Sans" w:hAnsi="Gill Sans" w:cs="Gill Sans"/>
          <w:noProof/>
          <w:sz w:val="22"/>
          <w:szCs w:val="22"/>
          <w:lang w:val="uk-UA"/>
        </w:rPr>
        <w:t xml:space="preserve"> зазначає, які області затвердили антикорупційні програм</w:t>
      </w:r>
      <w:r w:rsidR="007F7AE1">
        <w:rPr>
          <w:rFonts w:ascii="Gill Sans" w:hAnsi="Gill Sans" w:cs="Gill Sans"/>
          <w:noProof/>
          <w:sz w:val="22"/>
          <w:szCs w:val="22"/>
          <w:lang w:val="uk-UA"/>
        </w:rPr>
        <w:t>и</w:t>
      </w:r>
      <w:r w:rsidR="00B101FB" w:rsidRPr="00257F44">
        <w:rPr>
          <w:rFonts w:ascii="Gill Sans" w:hAnsi="Gill Sans" w:cs="Gill Sans"/>
          <w:noProof/>
          <w:sz w:val="22"/>
          <w:szCs w:val="22"/>
          <w:lang w:val="uk-UA"/>
        </w:rPr>
        <w:t>, але не містить інформації про заходи, які були вжиті міністерствами та відомствами для виконання схвалених програм. Це зобов’язання не призвело до будь-яких змін на практиці.</w:t>
      </w:r>
    </w:p>
    <w:p w14:paraId="1D4EFE4F" w14:textId="7F58A0B4" w:rsidR="00670D8C" w:rsidRPr="00257F44" w:rsidRDefault="00670D8C" w:rsidP="00FE6F1D">
      <w:pPr>
        <w:pStyle w:val="Heading3"/>
        <w:spacing w:after="120"/>
        <w:rPr>
          <w:lang w:val="uk-UA"/>
        </w:rPr>
      </w:pPr>
      <w:r w:rsidRPr="00257F44">
        <w:rPr>
          <w:lang w:val="uk-UA"/>
        </w:rPr>
        <w:t xml:space="preserve">Чи перенесено </w:t>
      </w:r>
      <w:r w:rsidR="0042522E" w:rsidRPr="00257F44">
        <w:rPr>
          <w:lang w:val="uk-UA"/>
        </w:rPr>
        <w:t>до наступного</w:t>
      </w:r>
      <w:r w:rsidRPr="00257F44">
        <w:rPr>
          <w:lang w:val="uk-UA"/>
        </w:rPr>
        <w:t xml:space="preserve"> план</w:t>
      </w:r>
      <w:r w:rsidR="0042522E" w:rsidRPr="00257F44">
        <w:rPr>
          <w:lang w:val="uk-UA"/>
        </w:rPr>
        <w:t>у</w:t>
      </w:r>
      <w:r w:rsidRPr="00257F44">
        <w:rPr>
          <w:lang w:val="uk-UA"/>
        </w:rPr>
        <w:t xml:space="preserve"> дій?</w:t>
      </w:r>
    </w:p>
    <w:p w14:paraId="576711EE" w14:textId="6B01BEFC" w:rsidR="00A75F1D" w:rsidRPr="00257F44" w:rsidRDefault="00B101FB" w:rsidP="00FE6F1D">
      <w:pPr>
        <w:spacing w:after="120"/>
        <w:rPr>
          <w:rFonts w:ascii="Gill Sans" w:hAnsi="Gill Sans" w:cs="Gill Sans"/>
          <w:sz w:val="22"/>
          <w:szCs w:val="22"/>
          <w:lang w:val="uk-UA"/>
        </w:rPr>
      </w:pPr>
      <w:r w:rsidRPr="00257F44">
        <w:rPr>
          <w:rFonts w:ascii="Gill Sans" w:hAnsi="Gill Sans" w:cs="Gill Sans"/>
          <w:sz w:val="22"/>
          <w:szCs w:val="22"/>
          <w:lang w:val="uk-UA"/>
        </w:rPr>
        <w:t xml:space="preserve">Це зобов’язання не було перенесено до </w:t>
      </w:r>
      <w:r w:rsidR="007F7AE1">
        <w:rPr>
          <w:rFonts w:ascii="Gill Sans" w:hAnsi="Gill Sans" w:cs="Gill Sans"/>
          <w:sz w:val="22"/>
          <w:szCs w:val="22"/>
          <w:lang w:val="uk-UA"/>
        </w:rPr>
        <w:t>нового</w:t>
      </w:r>
      <w:r w:rsidRPr="00257F44">
        <w:rPr>
          <w:rFonts w:ascii="Gill Sans" w:hAnsi="Gill Sans" w:cs="Gill Sans"/>
          <w:sz w:val="22"/>
          <w:szCs w:val="22"/>
          <w:lang w:val="uk-UA"/>
        </w:rPr>
        <w:t xml:space="preserve"> плану дій.</w:t>
      </w:r>
    </w:p>
    <w:p w14:paraId="1092495D" w14:textId="77777777" w:rsidR="00C500B6" w:rsidRPr="00257F44" w:rsidRDefault="00C500B6" w:rsidP="00A75F1D">
      <w:pPr>
        <w:spacing w:after="120"/>
        <w:rPr>
          <w:rFonts w:ascii="Gill Sans" w:hAnsi="Gill Sans" w:cs="Gill Sans"/>
          <w:noProof/>
          <w:sz w:val="22"/>
          <w:szCs w:val="22"/>
          <w:lang w:val="uk-UA"/>
        </w:rPr>
        <w:sectPr w:rsidR="00C500B6" w:rsidRPr="00257F44" w:rsidSect="002A2966">
          <w:endnotePr>
            <w:numFmt w:val="decimal"/>
            <w:numRestart w:val="eachSect"/>
          </w:endnotePr>
          <w:pgSz w:w="11907" w:h="16839" w:code="9"/>
          <w:pgMar w:top="1417" w:right="1417" w:bottom="1417" w:left="1417" w:header="0" w:footer="0" w:gutter="0"/>
          <w:cols w:space="708"/>
          <w:docGrid w:linePitch="360"/>
        </w:sectPr>
      </w:pPr>
    </w:p>
    <w:p w14:paraId="52F8D846" w14:textId="77777777" w:rsidR="00481C68" w:rsidRPr="00257F44" w:rsidRDefault="00481C68" w:rsidP="00481C68">
      <w:pPr>
        <w:pStyle w:val="Normalrglronly"/>
        <w:rPr>
          <w:b/>
          <w:lang w:val="uk-UA"/>
        </w:rPr>
      </w:pPr>
      <w:r w:rsidRPr="00257F44">
        <w:rPr>
          <w:b/>
          <w:lang w:val="uk-UA"/>
        </w:rPr>
        <w:lastRenderedPageBreak/>
        <w:t>11. Методологія оцінювання корупційних ризиків</w:t>
      </w:r>
    </w:p>
    <w:p w14:paraId="2F8DE992" w14:textId="77777777" w:rsidR="00481C68" w:rsidRPr="00257F44" w:rsidRDefault="00481C68" w:rsidP="00481C68">
      <w:pPr>
        <w:spacing w:after="120"/>
        <w:rPr>
          <w:rFonts w:ascii="Gill Sans" w:hAnsi="Gill Sans" w:cs="Gill Sans"/>
          <w:i/>
          <w:noProof/>
          <w:sz w:val="22"/>
          <w:szCs w:val="22"/>
          <w:lang w:val="uk-UA"/>
        </w:rPr>
      </w:pPr>
      <w:r w:rsidRPr="00257F44">
        <w:rPr>
          <w:rFonts w:ascii="Gill Sans" w:hAnsi="Gill Sans" w:cs="Gill Sans"/>
          <w:b/>
          <w:bCs/>
          <w:iCs/>
          <w:noProof/>
          <w:sz w:val="22"/>
          <w:szCs w:val="22"/>
          <w:lang w:val="uk-UA"/>
        </w:rPr>
        <w:t>Текст зобов’язання:</w:t>
      </w:r>
      <w:r w:rsidRPr="00257F44">
        <w:rPr>
          <w:rFonts w:ascii="Gill Sans" w:hAnsi="Gill Sans" w:cs="Gill Sans"/>
          <w:i/>
          <w:noProof/>
          <w:sz w:val="22"/>
          <w:szCs w:val="22"/>
          <w:lang w:val="uk-UA"/>
        </w:rPr>
        <w:t xml:space="preserve"> 11. Розроблення із залученням представників громадськості методичних рекомендацій щодо виявлення корупційних ризиків у діяльності працівників органів юстиції та способів протидії їм.</w:t>
      </w:r>
    </w:p>
    <w:p w14:paraId="72464E58" w14:textId="77777777" w:rsidR="00481C68" w:rsidRPr="00257F44" w:rsidRDefault="00481C68" w:rsidP="00481C68">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затвердження Мін’юстом методичних рекомендацій щодо виявлення корупційних ризиків у діяльності працівників органів юстиції.</w:t>
      </w:r>
    </w:p>
    <w:p w14:paraId="0E386AAD" w14:textId="77777777" w:rsidR="00481C68" w:rsidRPr="00257F44" w:rsidRDefault="00481C68" w:rsidP="00481C68">
      <w:pPr>
        <w:spacing w:after="120"/>
        <w:rPr>
          <w:rFonts w:ascii="Gill Sans" w:hAnsi="Gill Sans" w:cs="Gill Sans"/>
          <w:noProof/>
          <w:sz w:val="22"/>
          <w:szCs w:val="22"/>
          <w:lang w:val="uk-UA"/>
        </w:rPr>
      </w:pPr>
      <w:r w:rsidRPr="00257F44">
        <w:rPr>
          <w:rFonts w:ascii="Gill Sans" w:hAnsi="Gill Sans" w:cs="Gill Sans"/>
          <w:noProof/>
          <w:sz w:val="22"/>
          <w:szCs w:val="22"/>
          <w:lang w:val="uk-UA"/>
        </w:rPr>
        <w:t>Головна інституція, відповідальна за виконання: Міністерство юстиції.</w:t>
      </w:r>
    </w:p>
    <w:p w14:paraId="2561271F" w14:textId="77777777" w:rsidR="00481C68" w:rsidRPr="00257F44" w:rsidRDefault="00481C68" w:rsidP="00481C68">
      <w:pPr>
        <w:spacing w:after="120"/>
        <w:rPr>
          <w:rFonts w:ascii="Gill Sans" w:hAnsi="Gill Sans" w:cs="Gill Sans"/>
          <w:noProof/>
          <w:sz w:val="22"/>
          <w:szCs w:val="22"/>
          <w:lang w:val="uk-UA"/>
        </w:rPr>
      </w:pPr>
      <w:r w:rsidRPr="00257F44">
        <w:rPr>
          <w:rFonts w:ascii="Gill Sans" w:hAnsi="Gill Sans" w:cs="Gill Sans"/>
          <w:noProof/>
          <w:sz w:val="22"/>
          <w:szCs w:val="22"/>
          <w:lang w:val="uk-UA"/>
        </w:rPr>
        <w:t>Інші виконавці: ГО “Трансперенсі Інтернешнл Україна”, Міжнародний фонд “Відродження”, ГО “Всеукраїнська спеціальна колегія з питань боротьби з корупцією та організованою злочинністю”, інші невизначені організації громадянського суспільства та міжнародні організації.</w:t>
      </w:r>
    </w:p>
    <w:p w14:paraId="0B6C40A6" w14:textId="31F7400C" w:rsidR="00481C68" w:rsidRPr="00257F44" w:rsidRDefault="00481C68" w:rsidP="009B622D">
      <w:pPr>
        <w:spacing w:after="120"/>
        <w:rPr>
          <w:rFonts w:ascii="Gill Sans" w:hAnsi="Gill Sans" w:cs="Gill Sans"/>
          <w:noProof/>
          <w:sz w:val="22"/>
          <w:szCs w:val="22"/>
          <w:lang w:val="uk-UA"/>
        </w:rPr>
      </w:pPr>
      <w:r w:rsidRPr="00257F44">
        <w:rPr>
          <w:rFonts w:ascii="Gill Sans" w:hAnsi="Gill Sans" w:cs="Gill Sans"/>
          <w:noProof/>
          <w:sz w:val="22"/>
          <w:szCs w:val="22"/>
          <w:lang w:val="uk-UA"/>
        </w:rPr>
        <w:t>Дата початку: Не визначено</w:t>
      </w:r>
      <w:r w:rsidRPr="00257F44">
        <w:rPr>
          <w:rFonts w:ascii="Gill Sans" w:hAnsi="Gill Sans" w:cs="Gill Sans"/>
          <w:noProof/>
          <w:sz w:val="22"/>
          <w:szCs w:val="22"/>
          <w:lang w:val="uk-UA"/>
        </w:rPr>
        <w:tab/>
      </w:r>
      <w:r w:rsidRPr="00257F44">
        <w:rPr>
          <w:rFonts w:ascii="Gill Sans" w:hAnsi="Gill Sans" w:cs="Gill Sans"/>
          <w:noProof/>
          <w:sz w:val="22"/>
          <w:szCs w:val="22"/>
          <w:lang w:val="uk-UA"/>
        </w:rPr>
        <w:tab/>
      </w:r>
      <w:r w:rsidRPr="00257F44">
        <w:rPr>
          <w:rFonts w:ascii="Gill Sans" w:hAnsi="Gill Sans" w:cs="Gill Sans"/>
          <w:noProof/>
          <w:sz w:val="22"/>
          <w:szCs w:val="22"/>
          <w:lang w:val="uk-UA"/>
        </w:rPr>
        <w:tab/>
      </w:r>
      <w:r w:rsidRPr="00257F44">
        <w:rPr>
          <w:rFonts w:ascii="Gill Sans" w:hAnsi="Gill Sans" w:cs="Gill Sans"/>
          <w:noProof/>
          <w:sz w:val="22"/>
          <w:szCs w:val="22"/>
          <w:lang w:val="uk-UA"/>
        </w:rPr>
        <w:tab/>
        <w:t>Термін виконання: 31 березня 2015 р.</w:t>
      </w:r>
    </w:p>
    <w:tbl>
      <w:tblPr>
        <w:tblW w:w="10080"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509"/>
        <w:gridCol w:w="403"/>
        <w:gridCol w:w="347"/>
        <w:gridCol w:w="348"/>
        <w:gridCol w:w="372"/>
        <w:gridCol w:w="371"/>
        <w:gridCol w:w="372"/>
        <w:gridCol w:w="759"/>
        <w:gridCol w:w="426"/>
        <w:gridCol w:w="346"/>
        <w:gridCol w:w="426"/>
        <w:gridCol w:w="346"/>
        <w:gridCol w:w="513"/>
        <w:gridCol w:w="426"/>
        <w:gridCol w:w="426"/>
        <w:gridCol w:w="505"/>
        <w:gridCol w:w="346"/>
        <w:gridCol w:w="346"/>
        <w:gridCol w:w="426"/>
        <w:gridCol w:w="346"/>
        <w:gridCol w:w="346"/>
      </w:tblGrid>
      <w:tr w:rsidR="00481C68" w:rsidRPr="00257F44" w14:paraId="0EF023D9" w14:textId="77777777" w:rsidTr="00481C68">
        <w:trPr>
          <w:trHeight w:val="405"/>
        </w:trPr>
        <w:tc>
          <w:tcPr>
            <w:tcW w:w="1375" w:type="dxa"/>
            <w:vMerge w:val="restart"/>
            <w:tcBorders>
              <w:top w:val="single" w:sz="18" w:space="0" w:color="FFFFFF"/>
              <w:left w:val="single" w:sz="4" w:space="0" w:color="FFFFFF"/>
              <w:right w:val="single" w:sz="18" w:space="0" w:color="FFFFFF"/>
            </w:tcBorders>
            <w:shd w:val="clear" w:color="auto" w:fill="000000"/>
          </w:tcPr>
          <w:p w14:paraId="4325770C" w14:textId="742DFCC1" w:rsidR="00481C68" w:rsidRPr="00257F44" w:rsidRDefault="00481C68" w:rsidP="0020660D">
            <w:pPr>
              <w:rPr>
                <w:rFonts w:ascii="Gill Sans" w:hAnsi="Gill Sans" w:cs="Gill Sans"/>
                <w:color w:val="FFFFFF" w:themeColor="background1"/>
                <w:sz w:val="22"/>
                <w:szCs w:val="22"/>
                <w:lang w:val="uk-UA"/>
              </w:rPr>
            </w:pPr>
            <w:r w:rsidRPr="00257F44">
              <w:rPr>
                <w:rFonts w:ascii="Gill Sans" w:hAnsi="Gill Sans" w:cs="Gill Sans"/>
                <w:sz w:val="20"/>
                <w:szCs w:val="20"/>
                <w:lang w:val="uk-UA"/>
              </w:rPr>
              <w:t>Опис зобов’язання</w:t>
            </w:r>
          </w:p>
        </w:tc>
        <w:tc>
          <w:tcPr>
            <w:tcW w:w="1607" w:type="dxa"/>
            <w:gridSpan w:val="4"/>
            <w:vMerge w:val="restart"/>
            <w:tcBorders>
              <w:top w:val="single" w:sz="18" w:space="0" w:color="FFFFFF"/>
              <w:left w:val="single" w:sz="18" w:space="0" w:color="FFFFFF"/>
              <w:right w:val="single" w:sz="18" w:space="0" w:color="FFFFFF"/>
            </w:tcBorders>
            <w:shd w:val="clear" w:color="auto" w:fill="D6E3BC"/>
          </w:tcPr>
          <w:p w14:paraId="0F54D849" w14:textId="61B36AE6"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Конкретність</w:t>
            </w:r>
          </w:p>
        </w:tc>
        <w:tc>
          <w:tcPr>
            <w:tcW w:w="1874" w:type="dxa"/>
            <w:gridSpan w:val="4"/>
            <w:vMerge w:val="restart"/>
            <w:tcBorders>
              <w:top w:val="single" w:sz="18" w:space="0" w:color="FFFFFF"/>
              <w:left w:val="single" w:sz="18" w:space="0" w:color="FFFFFF"/>
              <w:right w:val="single" w:sz="18" w:space="0" w:color="FFFFFF"/>
            </w:tcBorders>
            <w:shd w:val="clear" w:color="auto" w:fill="FBD4B4"/>
          </w:tcPr>
          <w:p w14:paraId="44FA2297" w14:textId="436130A1"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Відповідність цінностям ПВУ (як сформульовано)</w:t>
            </w:r>
          </w:p>
        </w:tc>
        <w:tc>
          <w:tcPr>
            <w:tcW w:w="1544" w:type="dxa"/>
            <w:gridSpan w:val="4"/>
            <w:vMerge w:val="restart"/>
            <w:tcBorders>
              <w:top w:val="single" w:sz="18" w:space="0" w:color="FFFFFF"/>
              <w:left w:val="single" w:sz="18" w:space="0" w:color="FFFFFF"/>
              <w:right w:val="single" w:sz="18" w:space="0" w:color="FFFFFF"/>
            </w:tcBorders>
            <w:shd w:val="clear" w:color="auto" w:fill="CCC0D9"/>
          </w:tcPr>
          <w:p w14:paraId="4B0DCBED" w14:textId="6CCD4566"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Потенційний вплив</w:t>
            </w:r>
          </w:p>
        </w:tc>
        <w:tc>
          <w:tcPr>
            <w:tcW w:w="939" w:type="dxa"/>
            <w:gridSpan w:val="2"/>
            <w:vMerge w:val="restart"/>
            <w:tcBorders>
              <w:top w:val="single" w:sz="18" w:space="0" w:color="FFFFFF"/>
              <w:left w:val="single" w:sz="18" w:space="0" w:color="FFFFFF"/>
              <w:right w:val="single" w:sz="2" w:space="0" w:color="FFFFFF"/>
            </w:tcBorders>
            <w:shd w:val="clear" w:color="auto" w:fill="B8CCE4"/>
          </w:tcPr>
          <w:p w14:paraId="6B553177" w14:textId="1B639DD3"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Стан вико-нання</w:t>
            </w:r>
          </w:p>
        </w:tc>
        <w:tc>
          <w:tcPr>
            <w:tcW w:w="931"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3E57916D" w14:textId="3E8226A2"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Про-міжний</w:t>
            </w:r>
          </w:p>
        </w:tc>
        <w:tc>
          <w:tcPr>
            <w:tcW w:w="1810" w:type="dxa"/>
            <w:gridSpan w:val="5"/>
            <w:vMerge w:val="restart"/>
            <w:tcBorders>
              <w:top w:val="single" w:sz="18" w:space="0" w:color="FFFFFF"/>
              <w:left w:val="single" w:sz="18" w:space="0" w:color="FFFFFF"/>
              <w:right w:val="single" w:sz="18" w:space="0" w:color="FFFFFF"/>
            </w:tcBorders>
            <w:shd w:val="clear" w:color="auto" w:fill="D99594"/>
          </w:tcPr>
          <w:p w14:paraId="4072CB5A" w14:textId="7E9EEE19"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Чи відкрило це уряд?</w:t>
            </w:r>
          </w:p>
        </w:tc>
      </w:tr>
      <w:tr w:rsidR="0020660D" w:rsidRPr="00257F44" w14:paraId="26245AF9" w14:textId="77777777" w:rsidTr="00481C68">
        <w:trPr>
          <w:trHeight w:val="373"/>
        </w:trPr>
        <w:tc>
          <w:tcPr>
            <w:tcW w:w="1375" w:type="dxa"/>
            <w:vMerge/>
            <w:tcBorders>
              <w:left w:val="single" w:sz="4" w:space="0" w:color="FFFFFF"/>
              <w:right w:val="single" w:sz="18" w:space="0" w:color="FFFFFF"/>
            </w:tcBorders>
            <w:shd w:val="clear" w:color="auto" w:fill="000000"/>
          </w:tcPr>
          <w:p w14:paraId="2D9C01BE" w14:textId="7CE99067" w:rsidR="0020660D" w:rsidRPr="00257F44" w:rsidRDefault="0020660D" w:rsidP="0020660D">
            <w:pPr>
              <w:rPr>
                <w:rFonts w:ascii="Gill Sans" w:hAnsi="Gill Sans" w:cs="Gill Sans"/>
                <w:color w:val="FFFFFF" w:themeColor="background1"/>
                <w:sz w:val="22"/>
                <w:szCs w:val="22"/>
                <w:lang w:val="uk-UA"/>
              </w:rPr>
            </w:pPr>
          </w:p>
        </w:tc>
        <w:tc>
          <w:tcPr>
            <w:tcW w:w="1607" w:type="dxa"/>
            <w:gridSpan w:val="4"/>
            <w:vMerge/>
            <w:tcBorders>
              <w:left w:val="single" w:sz="18" w:space="0" w:color="FFFFFF"/>
              <w:bottom w:val="single" w:sz="18" w:space="0" w:color="FFFFFF"/>
              <w:right w:val="single" w:sz="18" w:space="0" w:color="FFFFFF"/>
            </w:tcBorders>
            <w:shd w:val="clear" w:color="auto" w:fill="D6E3BC"/>
          </w:tcPr>
          <w:p w14:paraId="54FB9B8E" w14:textId="77777777" w:rsidR="0020660D" w:rsidRPr="00257F44" w:rsidRDefault="0020660D" w:rsidP="0020660D">
            <w:pPr>
              <w:rPr>
                <w:rFonts w:ascii="Gill Sans" w:hAnsi="Gill Sans" w:cs="Gill Sans"/>
                <w:sz w:val="22"/>
                <w:szCs w:val="22"/>
                <w:lang w:val="uk-UA"/>
              </w:rPr>
            </w:pPr>
          </w:p>
        </w:tc>
        <w:tc>
          <w:tcPr>
            <w:tcW w:w="1874" w:type="dxa"/>
            <w:gridSpan w:val="4"/>
            <w:vMerge/>
            <w:tcBorders>
              <w:left w:val="single" w:sz="18" w:space="0" w:color="FFFFFF"/>
              <w:bottom w:val="single" w:sz="18" w:space="0" w:color="FFFFFF"/>
              <w:right w:val="single" w:sz="18" w:space="0" w:color="FFFFFF"/>
            </w:tcBorders>
            <w:shd w:val="clear" w:color="auto" w:fill="FBD4B4"/>
          </w:tcPr>
          <w:p w14:paraId="538B8601" w14:textId="77777777" w:rsidR="0020660D" w:rsidRPr="00257F44" w:rsidRDefault="0020660D" w:rsidP="0020660D">
            <w:pPr>
              <w:rPr>
                <w:rFonts w:ascii="Gill Sans" w:hAnsi="Gill Sans" w:cs="Gill Sans"/>
                <w:sz w:val="22"/>
                <w:szCs w:val="22"/>
                <w:lang w:val="uk-UA"/>
              </w:rPr>
            </w:pPr>
          </w:p>
        </w:tc>
        <w:tc>
          <w:tcPr>
            <w:tcW w:w="1544" w:type="dxa"/>
            <w:gridSpan w:val="4"/>
            <w:vMerge/>
            <w:tcBorders>
              <w:left w:val="single" w:sz="18" w:space="0" w:color="FFFFFF"/>
              <w:bottom w:val="single" w:sz="18" w:space="0" w:color="FFFFFF"/>
              <w:right w:val="single" w:sz="18" w:space="0" w:color="FFFFFF"/>
            </w:tcBorders>
            <w:shd w:val="clear" w:color="auto" w:fill="CCC0D9"/>
          </w:tcPr>
          <w:p w14:paraId="2AA0B206" w14:textId="77777777" w:rsidR="0020660D" w:rsidRPr="00257F44" w:rsidRDefault="0020660D" w:rsidP="0020660D">
            <w:pPr>
              <w:rPr>
                <w:rFonts w:ascii="Gill Sans" w:hAnsi="Gill Sans" w:cs="Gill Sans"/>
                <w:sz w:val="22"/>
                <w:szCs w:val="22"/>
                <w:lang w:val="uk-UA"/>
              </w:rPr>
            </w:pPr>
          </w:p>
        </w:tc>
        <w:tc>
          <w:tcPr>
            <w:tcW w:w="939" w:type="dxa"/>
            <w:gridSpan w:val="2"/>
            <w:vMerge/>
            <w:tcBorders>
              <w:left w:val="single" w:sz="18" w:space="0" w:color="FFFFFF"/>
              <w:bottom w:val="single" w:sz="18" w:space="0" w:color="FFFFFF"/>
              <w:right w:val="single" w:sz="2" w:space="0" w:color="FFFFFF"/>
            </w:tcBorders>
            <w:shd w:val="clear" w:color="auto" w:fill="B8CCE4"/>
          </w:tcPr>
          <w:p w14:paraId="71DA6BF7" w14:textId="77777777" w:rsidR="0020660D" w:rsidRPr="00257F44" w:rsidRDefault="0020660D" w:rsidP="0020660D">
            <w:pPr>
              <w:rPr>
                <w:rFonts w:ascii="Gill Sans" w:hAnsi="Gill Sans" w:cs="Gill Sans"/>
                <w:sz w:val="22"/>
                <w:szCs w:val="22"/>
                <w:lang w:val="uk-UA"/>
              </w:rPr>
            </w:pPr>
          </w:p>
        </w:tc>
        <w:tc>
          <w:tcPr>
            <w:tcW w:w="931"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636CD020" w14:textId="3F92DCDB" w:rsidR="0020660D" w:rsidRPr="00257F44" w:rsidRDefault="00481C68" w:rsidP="0020660D">
            <w:pPr>
              <w:rPr>
                <w:rFonts w:ascii="Gill Sans" w:hAnsi="Gill Sans" w:cs="Gill Sans"/>
                <w:sz w:val="20"/>
                <w:szCs w:val="20"/>
                <w:lang w:val="uk-UA"/>
              </w:rPr>
            </w:pPr>
            <w:r w:rsidRPr="00257F44">
              <w:rPr>
                <w:rFonts w:ascii="Gill Sans" w:hAnsi="Gill Sans" w:cs="Gill Sans"/>
                <w:sz w:val="20"/>
                <w:szCs w:val="20"/>
                <w:lang w:val="uk-UA"/>
              </w:rPr>
              <w:t>Підсум-ковий</w:t>
            </w:r>
          </w:p>
        </w:tc>
        <w:tc>
          <w:tcPr>
            <w:tcW w:w="1810" w:type="dxa"/>
            <w:gridSpan w:val="5"/>
            <w:vMerge/>
            <w:tcBorders>
              <w:left w:val="single" w:sz="18" w:space="0" w:color="FFFFFF"/>
              <w:bottom w:val="single" w:sz="18" w:space="0" w:color="FFFFFF"/>
              <w:right w:val="single" w:sz="18" w:space="0" w:color="FFFFFF"/>
            </w:tcBorders>
            <w:shd w:val="clear" w:color="auto" w:fill="D99594"/>
          </w:tcPr>
          <w:p w14:paraId="60793CF5" w14:textId="77777777" w:rsidR="0020660D" w:rsidRPr="00257F44" w:rsidRDefault="0020660D" w:rsidP="0020660D">
            <w:pPr>
              <w:rPr>
                <w:rFonts w:ascii="Gill Sans" w:hAnsi="Gill Sans" w:cs="Gill Sans"/>
                <w:sz w:val="22"/>
                <w:szCs w:val="22"/>
                <w:lang w:val="uk-UA"/>
              </w:rPr>
            </w:pPr>
          </w:p>
        </w:tc>
      </w:tr>
      <w:tr w:rsidR="00481C68" w:rsidRPr="00257F44" w14:paraId="022682D5" w14:textId="77777777" w:rsidTr="00DD278C">
        <w:trPr>
          <w:cantSplit/>
          <w:trHeight w:val="2336"/>
        </w:trPr>
        <w:tc>
          <w:tcPr>
            <w:tcW w:w="1375" w:type="dxa"/>
            <w:vMerge/>
            <w:tcBorders>
              <w:left w:val="single" w:sz="4" w:space="0" w:color="FFFFFF"/>
              <w:right w:val="single" w:sz="18" w:space="0" w:color="FFFFFF"/>
            </w:tcBorders>
            <w:shd w:val="clear" w:color="auto" w:fill="000000"/>
          </w:tcPr>
          <w:p w14:paraId="5BC2BF5F" w14:textId="3333345E" w:rsidR="00481C68" w:rsidRPr="00257F44" w:rsidRDefault="00481C68" w:rsidP="0020660D">
            <w:pPr>
              <w:rPr>
                <w:rFonts w:ascii="Gill Sans" w:hAnsi="Gill Sans" w:cs="Gill Sans"/>
                <w:color w:val="FFFFFF" w:themeColor="background1"/>
                <w:sz w:val="22"/>
                <w:szCs w:val="22"/>
                <w:lang w:val="uk-UA"/>
              </w:rPr>
            </w:pPr>
          </w:p>
        </w:tc>
        <w:tc>
          <w:tcPr>
            <w:tcW w:w="509"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59349333" w14:textId="52D5EA24"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Відсутня</w:t>
            </w:r>
          </w:p>
        </w:tc>
        <w:tc>
          <w:tcPr>
            <w:tcW w:w="403"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50FFF6C0" w14:textId="3450C252"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Низька</w:t>
            </w:r>
          </w:p>
        </w:tc>
        <w:tc>
          <w:tcPr>
            <w:tcW w:w="347"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06A9FAD2" w14:textId="1BB1227A"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Середня</w:t>
            </w:r>
          </w:p>
        </w:tc>
        <w:tc>
          <w:tcPr>
            <w:tcW w:w="348"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42080050" w14:textId="7490DA1A"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Висока</w:t>
            </w:r>
          </w:p>
        </w:tc>
        <w:tc>
          <w:tcPr>
            <w:tcW w:w="372"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4800D57A" w14:textId="0C4DAB93"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Доступ до інформації</w:t>
            </w:r>
          </w:p>
        </w:tc>
        <w:tc>
          <w:tcPr>
            <w:tcW w:w="371"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630A900C" w14:textId="36A4BBC0"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Громадська участь</w:t>
            </w:r>
          </w:p>
        </w:tc>
        <w:tc>
          <w:tcPr>
            <w:tcW w:w="372"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2744F753" w14:textId="32673B56"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Підзвітність влади</w:t>
            </w:r>
          </w:p>
        </w:tc>
        <w:tc>
          <w:tcPr>
            <w:tcW w:w="759"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1BD0F243" w14:textId="1441F13C"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Технології та інновації для прозорості й підзвітності</w:t>
            </w:r>
          </w:p>
        </w:tc>
        <w:tc>
          <w:tcPr>
            <w:tcW w:w="426"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39EAB647" w14:textId="117E8342"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Жодного</w:t>
            </w:r>
          </w:p>
        </w:tc>
        <w:tc>
          <w:tcPr>
            <w:tcW w:w="346"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7C5F95A2" w14:textId="2DBA5EF3"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Незначний</w:t>
            </w:r>
          </w:p>
        </w:tc>
        <w:tc>
          <w:tcPr>
            <w:tcW w:w="426"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79FC71DE" w14:textId="6C9514E5"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Помірний</w:t>
            </w:r>
          </w:p>
        </w:tc>
        <w:tc>
          <w:tcPr>
            <w:tcW w:w="346"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64A941F7" w14:textId="3DB01A9D"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Трансформуючий</w:t>
            </w:r>
          </w:p>
        </w:tc>
        <w:tc>
          <w:tcPr>
            <w:tcW w:w="513"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4C54855C" w14:textId="330AF05B"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Не розпочато</w:t>
            </w:r>
          </w:p>
        </w:tc>
        <w:tc>
          <w:tcPr>
            <w:tcW w:w="426"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618CF216" w14:textId="150BD29F"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Обмежене</w:t>
            </w:r>
          </w:p>
        </w:tc>
        <w:tc>
          <w:tcPr>
            <w:tcW w:w="426"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773023C2" w14:textId="55B354EC"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Значне</w:t>
            </w:r>
          </w:p>
        </w:tc>
        <w:tc>
          <w:tcPr>
            <w:tcW w:w="505"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0CD8CDA7" w14:textId="7DCA3D3C"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Повне</w:t>
            </w:r>
          </w:p>
        </w:tc>
        <w:tc>
          <w:tcPr>
            <w:tcW w:w="346"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74564307" w14:textId="4A9F879C"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Погіршило</w:t>
            </w:r>
          </w:p>
        </w:tc>
        <w:tc>
          <w:tcPr>
            <w:tcW w:w="346"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2C5648B3" w14:textId="6FEE1775"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Не змінило</w:t>
            </w:r>
          </w:p>
        </w:tc>
        <w:tc>
          <w:tcPr>
            <w:tcW w:w="426"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52FB6E6" w14:textId="4BA2F33B"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Обмежено</w:t>
            </w:r>
          </w:p>
        </w:tc>
        <w:tc>
          <w:tcPr>
            <w:tcW w:w="346"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2884E0E" w14:textId="2AB86305"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Значною мірою</w:t>
            </w:r>
          </w:p>
        </w:tc>
        <w:tc>
          <w:tcPr>
            <w:tcW w:w="346"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122720EB" w14:textId="7CC32D89" w:rsidR="00481C68" w:rsidRPr="00257F44" w:rsidRDefault="00481C68" w:rsidP="0020660D">
            <w:pPr>
              <w:rPr>
                <w:rFonts w:ascii="Gill Sans" w:hAnsi="Gill Sans" w:cs="Gill Sans"/>
                <w:sz w:val="22"/>
                <w:szCs w:val="22"/>
                <w:lang w:val="uk-UA"/>
              </w:rPr>
            </w:pPr>
            <w:r w:rsidRPr="00257F44">
              <w:rPr>
                <w:rFonts w:ascii="Gill Sans" w:hAnsi="Gill Sans" w:cs="Gill Sans"/>
                <w:sz w:val="20"/>
                <w:szCs w:val="20"/>
                <w:lang w:val="uk-UA"/>
              </w:rPr>
              <w:t>Визначною мірою</w:t>
            </w:r>
          </w:p>
        </w:tc>
      </w:tr>
      <w:tr w:rsidR="009B0529" w:rsidRPr="00257F44" w14:paraId="08D7D0F0" w14:textId="77777777" w:rsidTr="00481C68">
        <w:trPr>
          <w:trHeight w:val="340"/>
        </w:trPr>
        <w:tc>
          <w:tcPr>
            <w:tcW w:w="1375" w:type="dxa"/>
            <w:vMerge/>
            <w:tcBorders>
              <w:left w:val="single" w:sz="4" w:space="0" w:color="FFFFFF"/>
              <w:right w:val="single" w:sz="18" w:space="0" w:color="FFFFFF"/>
            </w:tcBorders>
            <w:shd w:val="clear" w:color="auto" w:fill="000000"/>
          </w:tcPr>
          <w:p w14:paraId="1A75E658" w14:textId="1F75C1B2" w:rsidR="0020660D" w:rsidRPr="00257F44" w:rsidRDefault="0020660D" w:rsidP="0020660D">
            <w:pPr>
              <w:rPr>
                <w:rFonts w:ascii="Gill Sans" w:hAnsi="Gill Sans" w:cs="Gill Sans"/>
                <w:noProof/>
                <w:color w:val="FFFFFF" w:themeColor="background1"/>
                <w:sz w:val="22"/>
                <w:szCs w:val="22"/>
                <w:lang w:val="uk-UA"/>
              </w:rPr>
            </w:pPr>
          </w:p>
        </w:tc>
        <w:tc>
          <w:tcPr>
            <w:tcW w:w="509" w:type="dxa"/>
            <w:vMerge w:val="restart"/>
            <w:tcBorders>
              <w:top w:val="single" w:sz="18" w:space="0" w:color="FFFFFF"/>
              <w:left w:val="single" w:sz="18" w:space="0" w:color="FFFFFF"/>
              <w:right w:val="single" w:sz="2" w:space="0" w:color="FFFFFF"/>
            </w:tcBorders>
            <w:shd w:val="clear" w:color="auto" w:fill="D6E3BC"/>
          </w:tcPr>
          <w:p w14:paraId="381283F4" w14:textId="77777777" w:rsidR="0020660D" w:rsidRPr="00257F44" w:rsidRDefault="0020660D" w:rsidP="0020660D">
            <w:pPr>
              <w:rPr>
                <w:rFonts w:ascii="Gill Sans" w:hAnsi="Gill Sans" w:cs="Gill Sans"/>
                <w:sz w:val="22"/>
                <w:szCs w:val="22"/>
                <w:lang w:val="uk-UA"/>
              </w:rPr>
            </w:pPr>
          </w:p>
        </w:tc>
        <w:tc>
          <w:tcPr>
            <w:tcW w:w="403" w:type="dxa"/>
            <w:vMerge w:val="restart"/>
            <w:tcBorders>
              <w:top w:val="single" w:sz="18" w:space="0" w:color="FFFFFF"/>
              <w:left w:val="single" w:sz="2" w:space="0" w:color="FFFFFF"/>
              <w:right w:val="single" w:sz="2" w:space="0" w:color="FFFFFF"/>
            </w:tcBorders>
            <w:shd w:val="clear" w:color="auto" w:fill="D6E3BC"/>
          </w:tcPr>
          <w:p w14:paraId="395D0B25" w14:textId="3ED13704" w:rsidR="0020660D" w:rsidRPr="00257F44" w:rsidRDefault="0020660D" w:rsidP="0020660D">
            <w:pPr>
              <w:rPr>
                <w:rFonts w:ascii="Gill Sans" w:hAnsi="Gill Sans" w:cs="Gill Sans"/>
                <w:sz w:val="22"/>
                <w:szCs w:val="22"/>
                <w:lang w:val="uk-UA"/>
              </w:rPr>
            </w:pPr>
          </w:p>
        </w:tc>
        <w:tc>
          <w:tcPr>
            <w:tcW w:w="347" w:type="dxa"/>
            <w:vMerge w:val="restart"/>
            <w:tcBorders>
              <w:top w:val="single" w:sz="18" w:space="0" w:color="FFFFFF"/>
              <w:left w:val="single" w:sz="2" w:space="0" w:color="FFFFFF"/>
              <w:right w:val="single" w:sz="2" w:space="0" w:color="FFFFFF"/>
            </w:tcBorders>
            <w:shd w:val="clear" w:color="auto" w:fill="D6E3BC"/>
          </w:tcPr>
          <w:p w14:paraId="41816CAC" w14:textId="77777777" w:rsidR="0020660D" w:rsidRPr="00257F44" w:rsidRDefault="0020660D" w:rsidP="0020660D">
            <w:pPr>
              <w:rPr>
                <w:rFonts w:ascii="Zapf Dingbats" w:hAnsi="Zapf Dingbats" w:cs="Gill Sans"/>
                <w:sz w:val="22"/>
                <w:szCs w:val="22"/>
                <w:lang w:val="uk-UA"/>
              </w:rPr>
            </w:pPr>
          </w:p>
        </w:tc>
        <w:tc>
          <w:tcPr>
            <w:tcW w:w="348" w:type="dxa"/>
            <w:vMerge w:val="restart"/>
            <w:tcBorders>
              <w:top w:val="single" w:sz="18" w:space="0" w:color="FFFFFF"/>
              <w:left w:val="single" w:sz="2" w:space="0" w:color="FFFFFF"/>
              <w:right w:val="single" w:sz="18" w:space="0" w:color="FFFFFF"/>
            </w:tcBorders>
            <w:shd w:val="clear" w:color="auto" w:fill="D6E3BC"/>
          </w:tcPr>
          <w:p w14:paraId="1D32E159" w14:textId="7B386FDD" w:rsidR="0020660D" w:rsidRPr="00257F44" w:rsidRDefault="0020660D" w:rsidP="0020660D">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372" w:type="dxa"/>
            <w:vMerge w:val="restart"/>
            <w:tcBorders>
              <w:top w:val="single" w:sz="18" w:space="0" w:color="FFFFFF"/>
              <w:left w:val="single" w:sz="2" w:space="0" w:color="FFFFFF"/>
              <w:right w:val="single" w:sz="2" w:space="0" w:color="FFFFFF"/>
            </w:tcBorders>
            <w:shd w:val="clear" w:color="auto" w:fill="FBD4B4"/>
          </w:tcPr>
          <w:p w14:paraId="43FBC529" w14:textId="77777777" w:rsidR="0020660D" w:rsidRPr="00257F44" w:rsidRDefault="0020660D" w:rsidP="0020660D">
            <w:pPr>
              <w:rPr>
                <w:rFonts w:ascii="Zapf Dingbats" w:hAnsi="Zapf Dingbats" w:cs="Gill Sans"/>
                <w:sz w:val="22"/>
                <w:szCs w:val="22"/>
                <w:lang w:val="uk-UA"/>
              </w:rPr>
            </w:pPr>
          </w:p>
        </w:tc>
        <w:tc>
          <w:tcPr>
            <w:tcW w:w="371" w:type="dxa"/>
            <w:vMerge w:val="restart"/>
            <w:tcBorders>
              <w:top w:val="single" w:sz="18" w:space="0" w:color="FFFFFF"/>
              <w:left w:val="single" w:sz="2" w:space="0" w:color="FFFFFF"/>
              <w:right w:val="single" w:sz="2" w:space="0" w:color="FFFFFF"/>
            </w:tcBorders>
            <w:shd w:val="clear" w:color="auto" w:fill="FBD4B4"/>
          </w:tcPr>
          <w:p w14:paraId="2CC787B8" w14:textId="77777777" w:rsidR="0020660D" w:rsidRPr="00257F44" w:rsidRDefault="0020660D" w:rsidP="0020660D">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372" w:type="dxa"/>
            <w:vMerge w:val="restart"/>
            <w:tcBorders>
              <w:top w:val="single" w:sz="18" w:space="0" w:color="FFFFFF"/>
              <w:left w:val="single" w:sz="2" w:space="0" w:color="FFFFFF"/>
              <w:right w:val="single" w:sz="2" w:space="0" w:color="FFFFFF"/>
            </w:tcBorders>
            <w:shd w:val="clear" w:color="auto" w:fill="FBD4B4"/>
          </w:tcPr>
          <w:p w14:paraId="7DAE5ECE" w14:textId="77777777" w:rsidR="0020660D" w:rsidRPr="00257F44" w:rsidRDefault="0020660D" w:rsidP="0020660D">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759" w:type="dxa"/>
            <w:vMerge w:val="restart"/>
            <w:tcBorders>
              <w:top w:val="single" w:sz="18" w:space="0" w:color="FFFFFF"/>
              <w:left w:val="single" w:sz="2" w:space="0" w:color="FFFFFF"/>
              <w:right w:val="single" w:sz="18" w:space="0" w:color="FFFFFF"/>
            </w:tcBorders>
            <w:shd w:val="clear" w:color="auto" w:fill="FBD4B4"/>
          </w:tcPr>
          <w:p w14:paraId="2577F12F" w14:textId="77777777" w:rsidR="0020660D" w:rsidRPr="00257F44" w:rsidRDefault="0020660D" w:rsidP="0020660D">
            <w:pPr>
              <w:rPr>
                <w:rFonts w:ascii="Zapf Dingbats" w:hAnsi="Zapf Dingbats" w:cs="Gill Sans"/>
                <w:sz w:val="22"/>
                <w:szCs w:val="22"/>
                <w:lang w:val="uk-UA"/>
              </w:rPr>
            </w:pPr>
          </w:p>
        </w:tc>
        <w:tc>
          <w:tcPr>
            <w:tcW w:w="426" w:type="dxa"/>
            <w:vMerge w:val="restart"/>
            <w:tcBorders>
              <w:top w:val="single" w:sz="18" w:space="0" w:color="FFFFFF"/>
              <w:left w:val="single" w:sz="18" w:space="0" w:color="FFFFFF"/>
              <w:right w:val="single" w:sz="2" w:space="0" w:color="FFFFFF"/>
            </w:tcBorders>
            <w:shd w:val="clear" w:color="auto" w:fill="CCC0D9"/>
          </w:tcPr>
          <w:p w14:paraId="056C64BB" w14:textId="77777777" w:rsidR="0020660D" w:rsidRPr="00257F44" w:rsidRDefault="0020660D" w:rsidP="0020660D">
            <w:pPr>
              <w:rPr>
                <w:rFonts w:ascii="Zapf Dingbats" w:hAnsi="Zapf Dingbats" w:cs="Gill Sans"/>
                <w:sz w:val="22"/>
                <w:szCs w:val="22"/>
                <w:lang w:val="uk-UA"/>
              </w:rPr>
            </w:pPr>
          </w:p>
        </w:tc>
        <w:tc>
          <w:tcPr>
            <w:tcW w:w="346" w:type="dxa"/>
            <w:vMerge w:val="restart"/>
            <w:tcBorders>
              <w:top w:val="single" w:sz="18" w:space="0" w:color="FFFFFF"/>
              <w:left w:val="single" w:sz="2" w:space="0" w:color="FFFFFF"/>
              <w:right w:val="single" w:sz="2" w:space="0" w:color="FFFFFF"/>
            </w:tcBorders>
            <w:shd w:val="clear" w:color="auto" w:fill="CCC0D9"/>
          </w:tcPr>
          <w:p w14:paraId="2A610671" w14:textId="77777777" w:rsidR="0020660D" w:rsidRPr="00257F44" w:rsidRDefault="0020660D" w:rsidP="0020660D">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26" w:type="dxa"/>
            <w:vMerge w:val="restart"/>
            <w:tcBorders>
              <w:top w:val="single" w:sz="18" w:space="0" w:color="FFFFFF"/>
              <w:left w:val="single" w:sz="2" w:space="0" w:color="FFFFFF"/>
              <w:right w:val="single" w:sz="2" w:space="0" w:color="FFFFFF"/>
            </w:tcBorders>
            <w:shd w:val="clear" w:color="auto" w:fill="CCC0D9"/>
          </w:tcPr>
          <w:p w14:paraId="6740F2D7" w14:textId="77777777" w:rsidR="0020660D" w:rsidRPr="00257F44" w:rsidRDefault="0020660D" w:rsidP="0020660D">
            <w:pPr>
              <w:rPr>
                <w:rFonts w:ascii="Zapf Dingbats" w:hAnsi="Zapf Dingbats" w:cs="Gill Sans"/>
                <w:noProof/>
                <w:sz w:val="22"/>
                <w:szCs w:val="22"/>
                <w:lang w:val="uk-UA"/>
              </w:rPr>
            </w:pPr>
          </w:p>
        </w:tc>
        <w:tc>
          <w:tcPr>
            <w:tcW w:w="346" w:type="dxa"/>
            <w:vMerge w:val="restart"/>
            <w:tcBorders>
              <w:top w:val="single" w:sz="18" w:space="0" w:color="FFFFFF"/>
              <w:left w:val="single" w:sz="2" w:space="0" w:color="FFFFFF"/>
              <w:right w:val="single" w:sz="18" w:space="0" w:color="FFFFFF"/>
            </w:tcBorders>
            <w:shd w:val="clear" w:color="auto" w:fill="CCC0D9"/>
          </w:tcPr>
          <w:p w14:paraId="41B1217C" w14:textId="77777777" w:rsidR="0020660D" w:rsidRPr="00257F44" w:rsidRDefault="0020660D" w:rsidP="0020660D">
            <w:pPr>
              <w:rPr>
                <w:rFonts w:ascii="Zapf Dingbats" w:hAnsi="Zapf Dingbats" w:cs="Gill Sans"/>
                <w:sz w:val="22"/>
                <w:szCs w:val="22"/>
                <w:lang w:val="uk-UA"/>
              </w:rPr>
            </w:pPr>
          </w:p>
        </w:tc>
        <w:tc>
          <w:tcPr>
            <w:tcW w:w="513"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435E63CB" w14:textId="77777777" w:rsidR="0020660D" w:rsidRPr="00257F44" w:rsidRDefault="0020660D" w:rsidP="0020660D">
            <w:pPr>
              <w:rPr>
                <w:rFonts w:ascii="Zapf Dingbats" w:hAnsi="Zapf Dingbats" w:cs="Gill Sans"/>
                <w:sz w:val="22"/>
                <w:szCs w:val="22"/>
                <w:lang w:val="uk-UA"/>
              </w:rPr>
            </w:pPr>
          </w:p>
        </w:tc>
        <w:tc>
          <w:tcPr>
            <w:tcW w:w="426"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1727431B" w14:textId="2FF7AE1E" w:rsidR="0020660D" w:rsidRPr="00257F44" w:rsidRDefault="0020660D" w:rsidP="0020660D">
            <w:pPr>
              <w:rPr>
                <w:rFonts w:ascii="Zapf Dingbats" w:hAnsi="Zapf Dingbats" w:cs="Gill Sans"/>
                <w:sz w:val="22"/>
                <w:szCs w:val="22"/>
                <w:lang w:val="uk-UA"/>
              </w:rPr>
            </w:pPr>
          </w:p>
        </w:tc>
        <w:tc>
          <w:tcPr>
            <w:tcW w:w="426"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58462CE9" w14:textId="4BDF7D0E" w:rsidR="0020660D" w:rsidRPr="00257F44" w:rsidRDefault="0020660D" w:rsidP="0020660D">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505"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1735D923" w14:textId="77777777" w:rsidR="0020660D" w:rsidRPr="00257F44" w:rsidRDefault="0020660D" w:rsidP="0020660D">
            <w:pPr>
              <w:rPr>
                <w:rFonts w:ascii="Gill Sans" w:hAnsi="Gill Sans" w:cs="Gill Sans"/>
                <w:sz w:val="22"/>
                <w:szCs w:val="22"/>
                <w:lang w:val="uk-UA"/>
              </w:rPr>
            </w:pPr>
          </w:p>
        </w:tc>
        <w:tc>
          <w:tcPr>
            <w:tcW w:w="346" w:type="dxa"/>
            <w:vMerge w:val="restart"/>
            <w:tcBorders>
              <w:top w:val="single" w:sz="18" w:space="0" w:color="FFFFFF"/>
              <w:left w:val="single" w:sz="18" w:space="0" w:color="FFFFFF"/>
              <w:right w:val="single" w:sz="2" w:space="0" w:color="FFFFFF"/>
            </w:tcBorders>
            <w:shd w:val="clear" w:color="auto" w:fill="D99594"/>
          </w:tcPr>
          <w:p w14:paraId="07D7DC2D" w14:textId="77777777" w:rsidR="0020660D" w:rsidRPr="00257F44" w:rsidRDefault="0020660D" w:rsidP="0020660D">
            <w:pPr>
              <w:rPr>
                <w:rFonts w:ascii="Gill Sans" w:hAnsi="Gill Sans" w:cs="Gill Sans"/>
                <w:sz w:val="22"/>
                <w:szCs w:val="22"/>
                <w:lang w:val="uk-UA"/>
              </w:rPr>
            </w:pPr>
          </w:p>
        </w:tc>
        <w:tc>
          <w:tcPr>
            <w:tcW w:w="346" w:type="dxa"/>
            <w:vMerge w:val="restart"/>
            <w:tcBorders>
              <w:top w:val="single" w:sz="18" w:space="0" w:color="FFFFFF"/>
              <w:left w:val="single" w:sz="2" w:space="0" w:color="FFFFFF"/>
              <w:right w:val="single" w:sz="2" w:space="0" w:color="FFFFFF"/>
            </w:tcBorders>
            <w:shd w:val="clear" w:color="auto" w:fill="D99594"/>
          </w:tcPr>
          <w:p w14:paraId="7F265042" w14:textId="67E39B5E" w:rsidR="0020660D" w:rsidRPr="00257F44" w:rsidRDefault="0020660D" w:rsidP="0020660D">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26" w:type="dxa"/>
            <w:vMerge w:val="restart"/>
            <w:tcBorders>
              <w:top w:val="single" w:sz="18" w:space="0" w:color="FFFFFF"/>
              <w:left w:val="single" w:sz="2" w:space="0" w:color="FFFFFF"/>
              <w:right w:val="single" w:sz="2" w:space="0" w:color="FFFFFF"/>
            </w:tcBorders>
            <w:shd w:val="clear" w:color="auto" w:fill="D99594"/>
          </w:tcPr>
          <w:p w14:paraId="7BE1F0BB" w14:textId="6FC0C405" w:rsidR="0020660D" w:rsidRPr="00257F44" w:rsidRDefault="0020660D" w:rsidP="0020660D">
            <w:pPr>
              <w:rPr>
                <w:rFonts w:ascii="Gill Sans" w:hAnsi="Gill Sans" w:cs="Gill Sans"/>
                <w:sz w:val="22"/>
                <w:szCs w:val="22"/>
                <w:lang w:val="uk-UA"/>
              </w:rPr>
            </w:pPr>
          </w:p>
        </w:tc>
        <w:tc>
          <w:tcPr>
            <w:tcW w:w="346" w:type="dxa"/>
            <w:vMerge w:val="restart"/>
            <w:tcBorders>
              <w:top w:val="single" w:sz="18" w:space="0" w:color="FFFFFF"/>
              <w:left w:val="single" w:sz="2" w:space="0" w:color="FFFFFF"/>
              <w:right w:val="single" w:sz="2" w:space="0" w:color="FFFFFF"/>
            </w:tcBorders>
            <w:shd w:val="clear" w:color="auto" w:fill="D99594"/>
          </w:tcPr>
          <w:p w14:paraId="25DD2069" w14:textId="77777777" w:rsidR="0020660D" w:rsidRPr="00257F44" w:rsidRDefault="0020660D" w:rsidP="0020660D">
            <w:pPr>
              <w:rPr>
                <w:rFonts w:ascii="Gill Sans" w:hAnsi="Gill Sans" w:cs="Gill Sans"/>
                <w:noProof/>
                <w:sz w:val="22"/>
                <w:szCs w:val="22"/>
                <w:lang w:val="uk-UA"/>
              </w:rPr>
            </w:pPr>
          </w:p>
        </w:tc>
        <w:tc>
          <w:tcPr>
            <w:tcW w:w="346" w:type="dxa"/>
            <w:vMerge w:val="restart"/>
            <w:tcBorders>
              <w:top w:val="single" w:sz="18" w:space="0" w:color="FFFFFF"/>
              <w:left w:val="single" w:sz="2" w:space="0" w:color="FFFFFF"/>
              <w:right w:val="single" w:sz="18" w:space="0" w:color="FFFFFF"/>
            </w:tcBorders>
            <w:shd w:val="clear" w:color="auto" w:fill="D99594"/>
          </w:tcPr>
          <w:p w14:paraId="2F3113F8" w14:textId="77777777" w:rsidR="0020660D" w:rsidRPr="00257F44" w:rsidRDefault="0020660D" w:rsidP="0020660D">
            <w:pPr>
              <w:rPr>
                <w:rFonts w:ascii="Gill Sans" w:hAnsi="Gill Sans" w:cs="Gill Sans"/>
                <w:sz w:val="22"/>
                <w:szCs w:val="22"/>
                <w:lang w:val="uk-UA"/>
              </w:rPr>
            </w:pPr>
          </w:p>
        </w:tc>
      </w:tr>
      <w:tr w:rsidR="009B0529" w:rsidRPr="00257F44" w14:paraId="2BF11499" w14:textId="77777777" w:rsidTr="00481C68">
        <w:trPr>
          <w:trHeight w:val="340"/>
        </w:trPr>
        <w:tc>
          <w:tcPr>
            <w:tcW w:w="1375" w:type="dxa"/>
            <w:vMerge/>
            <w:tcBorders>
              <w:left w:val="single" w:sz="4" w:space="0" w:color="FFFFFF"/>
              <w:right w:val="single" w:sz="18" w:space="0" w:color="FFFFFF"/>
            </w:tcBorders>
            <w:shd w:val="clear" w:color="auto" w:fill="000000"/>
          </w:tcPr>
          <w:p w14:paraId="5A77315F" w14:textId="77777777" w:rsidR="0020660D" w:rsidRPr="00257F44" w:rsidRDefault="0020660D" w:rsidP="0020660D">
            <w:pPr>
              <w:rPr>
                <w:rFonts w:ascii="Gill Sans" w:hAnsi="Gill Sans" w:cs="Gill Sans"/>
                <w:color w:val="FFFFFF" w:themeColor="background1"/>
                <w:sz w:val="22"/>
                <w:szCs w:val="22"/>
                <w:lang w:val="uk-UA"/>
              </w:rPr>
            </w:pPr>
          </w:p>
        </w:tc>
        <w:tc>
          <w:tcPr>
            <w:tcW w:w="509" w:type="dxa"/>
            <w:vMerge/>
            <w:tcBorders>
              <w:left w:val="single" w:sz="18" w:space="0" w:color="FFFFFF"/>
              <w:right w:val="single" w:sz="2" w:space="0" w:color="FFFFFF"/>
            </w:tcBorders>
            <w:shd w:val="clear" w:color="auto" w:fill="D6E3BC"/>
          </w:tcPr>
          <w:p w14:paraId="29ADED78" w14:textId="77777777" w:rsidR="0020660D" w:rsidRPr="00257F44" w:rsidRDefault="0020660D" w:rsidP="0020660D">
            <w:pPr>
              <w:rPr>
                <w:rFonts w:ascii="Gill Sans" w:hAnsi="Gill Sans" w:cs="Gill Sans"/>
                <w:sz w:val="22"/>
                <w:szCs w:val="22"/>
                <w:lang w:val="uk-UA"/>
              </w:rPr>
            </w:pPr>
          </w:p>
        </w:tc>
        <w:tc>
          <w:tcPr>
            <w:tcW w:w="403" w:type="dxa"/>
            <w:vMerge/>
            <w:tcBorders>
              <w:left w:val="single" w:sz="2" w:space="0" w:color="FFFFFF"/>
              <w:right w:val="single" w:sz="2" w:space="0" w:color="FFFFFF"/>
            </w:tcBorders>
            <w:shd w:val="clear" w:color="auto" w:fill="D6E3BC"/>
          </w:tcPr>
          <w:p w14:paraId="107BD3E9" w14:textId="77777777" w:rsidR="0020660D" w:rsidRPr="00257F44" w:rsidRDefault="0020660D" w:rsidP="0020660D">
            <w:pPr>
              <w:rPr>
                <w:rFonts w:ascii="Gill Sans" w:hAnsi="Gill Sans" w:cs="Gill Sans"/>
                <w:sz w:val="22"/>
                <w:szCs w:val="22"/>
                <w:lang w:val="uk-UA"/>
              </w:rPr>
            </w:pPr>
          </w:p>
        </w:tc>
        <w:tc>
          <w:tcPr>
            <w:tcW w:w="347" w:type="dxa"/>
            <w:vMerge/>
            <w:tcBorders>
              <w:left w:val="single" w:sz="2" w:space="0" w:color="FFFFFF"/>
              <w:right w:val="single" w:sz="2" w:space="0" w:color="FFFFFF"/>
            </w:tcBorders>
            <w:shd w:val="clear" w:color="auto" w:fill="D6E3BC"/>
          </w:tcPr>
          <w:p w14:paraId="797D57C6" w14:textId="77777777" w:rsidR="0020660D" w:rsidRPr="00257F44" w:rsidRDefault="0020660D" w:rsidP="0020660D">
            <w:pPr>
              <w:rPr>
                <w:rFonts w:ascii="Zapf Dingbats" w:hAnsi="Zapf Dingbats" w:cs="Gill Sans"/>
                <w:sz w:val="22"/>
                <w:szCs w:val="22"/>
                <w:lang w:val="uk-UA"/>
              </w:rPr>
            </w:pPr>
          </w:p>
        </w:tc>
        <w:tc>
          <w:tcPr>
            <w:tcW w:w="348" w:type="dxa"/>
            <w:vMerge/>
            <w:tcBorders>
              <w:left w:val="single" w:sz="2" w:space="0" w:color="FFFFFF"/>
              <w:right w:val="single" w:sz="18" w:space="0" w:color="FFFFFF"/>
            </w:tcBorders>
            <w:shd w:val="clear" w:color="auto" w:fill="D6E3BC"/>
          </w:tcPr>
          <w:p w14:paraId="589D47BB" w14:textId="77777777" w:rsidR="0020660D" w:rsidRPr="00257F44" w:rsidRDefault="0020660D" w:rsidP="0020660D">
            <w:pPr>
              <w:rPr>
                <w:rFonts w:ascii="Zapf Dingbats" w:hAnsi="Zapf Dingbats" w:cs="Gill Sans"/>
                <w:noProof/>
                <w:sz w:val="22"/>
                <w:szCs w:val="22"/>
                <w:lang w:val="uk-UA"/>
              </w:rPr>
            </w:pPr>
          </w:p>
        </w:tc>
        <w:tc>
          <w:tcPr>
            <w:tcW w:w="372" w:type="dxa"/>
            <w:vMerge/>
            <w:tcBorders>
              <w:left w:val="single" w:sz="2" w:space="0" w:color="FFFFFF"/>
              <w:right w:val="single" w:sz="2" w:space="0" w:color="FFFFFF"/>
            </w:tcBorders>
            <w:shd w:val="clear" w:color="auto" w:fill="FBD4B4"/>
          </w:tcPr>
          <w:p w14:paraId="24D5B411" w14:textId="77777777" w:rsidR="0020660D" w:rsidRPr="00257F44" w:rsidRDefault="0020660D" w:rsidP="0020660D">
            <w:pPr>
              <w:rPr>
                <w:rFonts w:ascii="Zapf Dingbats" w:hAnsi="Zapf Dingbats" w:cs="Gill Sans"/>
                <w:sz w:val="22"/>
                <w:szCs w:val="22"/>
                <w:lang w:val="uk-UA"/>
              </w:rPr>
            </w:pPr>
          </w:p>
        </w:tc>
        <w:tc>
          <w:tcPr>
            <w:tcW w:w="371" w:type="dxa"/>
            <w:vMerge/>
            <w:tcBorders>
              <w:left w:val="single" w:sz="2" w:space="0" w:color="FFFFFF"/>
              <w:right w:val="single" w:sz="2" w:space="0" w:color="FFFFFF"/>
            </w:tcBorders>
            <w:shd w:val="clear" w:color="auto" w:fill="FBD4B4"/>
          </w:tcPr>
          <w:p w14:paraId="3569AF91" w14:textId="77777777" w:rsidR="0020660D" w:rsidRPr="00257F44" w:rsidRDefault="0020660D" w:rsidP="0020660D">
            <w:pPr>
              <w:rPr>
                <w:rFonts w:ascii="Zapf Dingbats" w:hAnsi="Zapf Dingbats" w:cs="Gill Sans"/>
                <w:noProof/>
                <w:sz w:val="22"/>
                <w:szCs w:val="22"/>
                <w:lang w:val="uk-UA"/>
              </w:rPr>
            </w:pPr>
          </w:p>
        </w:tc>
        <w:tc>
          <w:tcPr>
            <w:tcW w:w="372" w:type="dxa"/>
            <w:vMerge/>
            <w:tcBorders>
              <w:left w:val="single" w:sz="2" w:space="0" w:color="FFFFFF"/>
              <w:right w:val="single" w:sz="2" w:space="0" w:color="FFFFFF"/>
            </w:tcBorders>
            <w:shd w:val="clear" w:color="auto" w:fill="FBD4B4"/>
          </w:tcPr>
          <w:p w14:paraId="32811AC7" w14:textId="77777777" w:rsidR="0020660D" w:rsidRPr="00257F44" w:rsidRDefault="0020660D" w:rsidP="0020660D">
            <w:pPr>
              <w:rPr>
                <w:rFonts w:ascii="Zapf Dingbats" w:hAnsi="Zapf Dingbats" w:cs="Gill Sans"/>
                <w:noProof/>
                <w:sz w:val="22"/>
                <w:szCs w:val="22"/>
                <w:lang w:val="uk-UA"/>
              </w:rPr>
            </w:pPr>
          </w:p>
        </w:tc>
        <w:tc>
          <w:tcPr>
            <w:tcW w:w="759" w:type="dxa"/>
            <w:vMerge/>
            <w:tcBorders>
              <w:left w:val="single" w:sz="2" w:space="0" w:color="FFFFFF"/>
              <w:right w:val="single" w:sz="18" w:space="0" w:color="FFFFFF"/>
            </w:tcBorders>
            <w:shd w:val="clear" w:color="auto" w:fill="FBD4B4"/>
          </w:tcPr>
          <w:p w14:paraId="1DED1A9D" w14:textId="77777777" w:rsidR="0020660D" w:rsidRPr="00257F44" w:rsidRDefault="0020660D" w:rsidP="0020660D">
            <w:pPr>
              <w:rPr>
                <w:rFonts w:ascii="Zapf Dingbats" w:hAnsi="Zapf Dingbats" w:cs="Gill Sans"/>
                <w:sz w:val="22"/>
                <w:szCs w:val="22"/>
                <w:lang w:val="uk-UA"/>
              </w:rPr>
            </w:pPr>
          </w:p>
        </w:tc>
        <w:tc>
          <w:tcPr>
            <w:tcW w:w="426" w:type="dxa"/>
            <w:vMerge/>
            <w:tcBorders>
              <w:left w:val="single" w:sz="18" w:space="0" w:color="FFFFFF"/>
              <w:right w:val="single" w:sz="2" w:space="0" w:color="FFFFFF"/>
            </w:tcBorders>
            <w:shd w:val="clear" w:color="auto" w:fill="CCC0D9"/>
          </w:tcPr>
          <w:p w14:paraId="2C22B61A" w14:textId="77777777" w:rsidR="0020660D" w:rsidRPr="00257F44" w:rsidRDefault="0020660D" w:rsidP="0020660D">
            <w:pPr>
              <w:rPr>
                <w:rFonts w:ascii="Zapf Dingbats" w:hAnsi="Zapf Dingbats" w:cs="Gill Sans"/>
                <w:sz w:val="22"/>
                <w:szCs w:val="22"/>
                <w:lang w:val="uk-UA"/>
              </w:rPr>
            </w:pPr>
          </w:p>
        </w:tc>
        <w:tc>
          <w:tcPr>
            <w:tcW w:w="346" w:type="dxa"/>
            <w:vMerge/>
            <w:tcBorders>
              <w:left w:val="single" w:sz="2" w:space="0" w:color="FFFFFF"/>
              <w:right w:val="single" w:sz="2" w:space="0" w:color="FFFFFF"/>
            </w:tcBorders>
            <w:shd w:val="clear" w:color="auto" w:fill="CCC0D9"/>
          </w:tcPr>
          <w:p w14:paraId="4AB0DEB5" w14:textId="77777777" w:rsidR="0020660D" w:rsidRPr="00257F44" w:rsidRDefault="0020660D" w:rsidP="0020660D">
            <w:pPr>
              <w:rPr>
                <w:rFonts w:ascii="Zapf Dingbats" w:hAnsi="Zapf Dingbats" w:cs="Gill Sans"/>
                <w:sz w:val="22"/>
                <w:szCs w:val="22"/>
                <w:lang w:val="uk-UA"/>
              </w:rPr>
            </w:pPr>
          </w:p>
        </w:tc>
        <w:tc>
          <w:tcPr>
            <w:tcW w:w="426" w:type="dxa"/>
            <w:vMerge/>
            <w:tcBorders>
              <w:left w:val="single" w:sz="2" w:space="0" w:color="FFFFFF"/>
              <w:right w:val="single" w:sz="2" w:space="0" w:color="FFFFFF"/>
            </w:tcBorders>
            <w:shd w:val="clear" w:color="auto" w:fill="CCC0D9"/>
          </w:tcPr>
          <w:p w14:paraId="7E5CA8BB" w14:textId="77777777" w:rsidR="0020660D" w:rsidRPr="00257F44" w:rsidRDefault="0020660D" w:rsidP="0020660D">
            <w:pPr>
              <w:rPr>
                <w:rFonts w:ascii="Zapf Dingbats" w:hAnsi="Zapf Dingbats" w:cs="Gill Sans"/>
                <w:noProof/>
                <w:sz w:val="22"/>
                <w:szCs w:val="22"/>
                <w:lang w:val="uk-UA"/>
              </w:rPr>
            </w:pPr>
          </w:p>
        </w:tc>
        <w:tc>
          <w:tcPr>
            <w:tcW w:w="346" w:type="dxa"/>
            <w:vMerge/>
            <w:tcBorders>
              <w:left w:val="single" w:sz="2" w:space="0" w:color="FFFFFF"/>
              <w:right w:val="single" w:sz="18" w:space="0" w:color="FFFFFF"/>
            </w:tcBorders>
            <w:shd w:val="clear" w:color="auto" w:fill="CCC0D9"/>
          </w:tcPr>
          <w:p w14:paraId="43C20C1D" w14:textId="77777777" w:rsidR="0020660D" w:rsidRPr="00257F44" w:rsidRDefault="0020660D" w:rsidP="0020660D">
            <w:pPr>
              <w:rPr>
                <w:rFonts w:ascii="Zapf Dingbats" w:hAnsi="Zapf Dingbats" w:cs="Gill Sans"/>
                <w:sz w:val="22"/>
                <w:szCs w:val="22"/>
                <w:lang w:val="uk-UA"/>
              </w:rPr>
            </w:pPr>
          </w:p>
        </w:tc>
        <w:tc>
          <w:tcPr>
            <w:tcW w:w="513"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065789E2" w14:textId="77777777" w:rsidR="0020660D" w:rsidRPr="00257F44" w:rsidRDefault="0020660D" w:rsidP="0020660D">
            <w:pPr>
              <w:rPr>
                <w:rFonts w:ascii="Zapf Dingbats" w:hAnsi="Zapf Dingbats" w:cs="Gill Sans"/>
                <w:sz w:val="22"/>
                <w:szCs w:val="22"/>
                <w:lang w:val="uk-UA"/>
              </w:rPr>
            </w:pPr>
          </w:p>
        </w:tc>
        <w:tc>
          <w:tcPr>
            <w:tcW w:w="426"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6751524E" w14:textId="57CD58DA" w:rsidR="0020660D" w:rsidRPr="00257F44" w:rsidRDefault="0020660D" w:rsidP="0020660D">
            <w:pPr>
              <w:rPr>
                <w:rFonts w:ascii="Zapf Dingbats" w:hAnsi="Zapf Dingbats" w:cs="Gill Sans"/>
                <w:sz w:val="22"/>
                <w:szCs w:val="22"/>
                <w:lang w:val="uk-UA"/>
              </w:rPr>
            </w:pPr>
          </w:p>
        </w:tc>
        <w:tc>
          <w:tcPr>
            <w:tcW w:w="426"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35CF64CF" w14:textId="34DA65B3" w:rsidR="0020660D" w:rsidRPr="00257F44" w:rsidRDefault="0020660D" w:rsidP="0020660D">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505"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705B374E" w14:textId="288296A8" w:rsidR="0020660D" w:rsidRPr="00257F44" w:rsidRDefault="0020660D" w:rsidP="0020660D">
            <w:pPr>
              <w:jc w:val="center"/>
              <w:rPr>
                <w:rFonts w:ascii="Gill Sans" w:hAnsi="Gill Sans" w:cs="Gill Sans"/>
                <w:sz w:val="22"/>
                <w:szCs w:val="22"/>
                <w:lang w:val="uk-UA"/>
              </w:rPr>
            </w:pPr>
          </w:p>
        </w:tc>
        <w:tc>
          <w:tcPr>
            <w:tcW w:w="346" w:type="dxa"/>
            <w:vMerge/>
            <w:tcBorders>
              <w:left w:val="single" w:sz="18" w:space="0" w:color="FFFFFF"/>
              <w:right w:val="single" w:sz="2" w:space="0" w:color="FFFFFF"/>
            </w:tcBorders>
            <w:shd w:val="clear" w:color="auto" w:fill="D99594"/>
          </w:tcPr>
          <w:p w14:paraId="7665B0EE" w14:textId="77777777" w:rsidR="0020660D" w:rsidRPr="00257F44" w:rsidRDefault="0020660D" w:rsidP="0020660D">
            <w:pPr>
              <w:rPr>
                <w:rFonts w:ascii="Gill Sans" w:hAnsi="Gill Sans" w:cs="Gill Sans"/>
                <w:sz w:val="22"/>
                <w:szCs w:val="22"/>
                <w:lang w:val="uk-UA"/>
              </w:rPr>
            </w:pPr>
          </w:p>
        </w:tc>
        <w:tc>
          <w:tcPr>
            <w:tcW w:w="346" w:type="dxa"/>
            <w:vMerge/>
            <w:tcBorders>
              <w:left w:val="single" w:sz="2" w:space="0" w:color="FFFFFF"/>
              <w:right w:val="single" w:sz="2" w:space="0" w:color="FFFFFF"/>
            </w:tcBorders>
            <w:shd w:val="clear" w:color="auto" w:fill="D99594"/>
          </w:tcPr>
          <w:p w14:paraId="36419592" w14:textId="77777777" w:rsidR="0020660D" w:rsidRPr="00257F44" w:rsidRDefault="0020660D" w:rsidP="0020660D">
            <w:pPr>
              <w:rPr>
                <w:rFonts w:ascii="Gill Sans" w:hAnsi="Gill Sans" w:cs="Gill Sans"/>
                <w:sz w:val="22"/>
                <w:szCs w:val="22"/>
                <w:lang w:val="uk-UA"/>
              </w:rPr>
            </w:pPr>
          </w:p>
        </w:tc>
        <w:tc>
          <w:tcPr>
            <w:tcW w:w="426" w:type="dxa"/>
            <w:vMerge/>
            <w:tcBorders>
              <w:left w:val="single" w:sz="2" w:space="0" w:color="FFFFFF"/>
              <w:right w:val="single" w:sz="2" w:space="0" w:color="FFFFFF"/>
            </w:tcBorders>
            <w:shd w:val="clear" w:color="auto" w:fill="D99594"/>
          </w:tcPr>
          <w:p w14:paraId="0D13C64D" w14:textId="77777777" w:rsidR="0020660D" w:rsidRPr="00257F44" w:rsidRDefault="0020660D" w:rsidP="0020660D">
            <w:pPr>
              <w:rPr>
                <w:rFonts w:ascii="Gill Sans" w:hAnsi="Gill Sans" w:cs="Gill Sans"/>
                <w:sz w:val="22"/>
                <w:szCs w:val="22"/>
                <w:lang w:val="uk-UA"/>
              </w:rPr>
            </w:pPr>
          </w:p>
        </w:tc>
        <w:tc>
          <w:tcPr>
            <w:tcW w:w="346" w:type="dxa"/>
            <w:vMerge/>
            <w:tcBorders>
              <w:left w:val="single" w:sz="2" w:space="0" w:color="FFFFFF"/>
              <w:right w:val="single" w:sz="2" w:space="0" w:color="FFFFFF"/>
            </w:tcBorders>
            <w:shd w:val="clear" w:color="auto" w:fill="D99594"/>
          </w:tcPr>
          <w:p w14:paraId="4AAB3DA8" w14:textId="77777777" w:rsidR="0020660D" w:rsidRPr="00257F44" w:rsidRDefault="0020660D" w:rsidP="0020660D">
            <w:pPr>
              <w:rPr>
                <w:rFonts w:ascii="Gill Sans" w:hAnsi="Gill Sans" w:cs="Gill Sans"/>
                <w:noProof/>
                <w:sz w:val="22"/>
                <w:szCs w:val="22"/>
                <w:lang w:val="uk-UA"/>
              </w:rPr>
            </w:pPr>
          </w:p>
        </w:tc>
        <w:tc>
          <w:tcPr>
            <w:tcW w:w="346" w:type="dxa"/>
            <w:vMerge/>
            <w:tcBorders>
              <w:left w:val="single" w:sz="2" w:space="0" w:color="FFFFFF"/>
              <w:right w:val="single" w:sz="18" w:space="0" w:color="FFFFFF"/>
            </w:tcBorders>
            <w:shd w:val="clear" w:color="auto" w:fill="D99594"/>
          </w:tcPr>
          <w:p w14:paraId="26692D06" w14:textId="77777777" w:rsidR="0020660D" w:rsidRPr="00257F44" w:rsidRDefault="0020660D" w:rsidP="0020660D">
            <w:pPr>
              <w:rPr>
                <w:rFonts w:ascii="Gill Sans" w:hAnsi="Gill Sans" w:cs="Gill Sans"/>
                <w:sz w:val="22"/>
                <w:szCs w:val="22"/>
                <w:lang w:val="uk-UA"/>
              </w:rPr>
            </w:pPr>
          </w:p>
        </w:tc>
      </w:tr>
    </w:tbl>
    <w:p w14:paraId="06876AC0" w14:textId="77777777" w:rsidR="0020660D" w:rsidRPr="00257F44" w:rsidRDefault="0020660D" w:rsidP="006319F4">
      <w:pPr>
        <w:pStyle w:val="Heading3"/>
        <w:rPr>
          <w:lang w:val="uk-UA"/>
        </w:rPr>
      </w:pPr>
    </w:p>
    <w:p w14:paraId="569C919D" w14:textId="77777777" w:rsidR="00481C68" w:rsidRPr="00257F44" w:rsidRDefault="00481C68" w:rsidP="00BF2548">
      <w:pPr>
        <w:pStyle w:val="Heading3"/>
        <w:spacing w:after="120"/>
        <w:rPr>
          <w:lang w:val="uk-UA"/>
        </w:rPr>
      </w:pPr>
      <w:r w:rsidRPr="00257F44">
        <w:rPr>
          <w:lang w:val="uk-UA"/>
        </w:rPr>
        <w:t>Мета зобов’язання</w:t>
      </w:r>
    </w:p>
    <w:p w14:paraId="761EAF59" w14:textId="239F2324" w:rsidR="00FA47DA" w:rsidRPr="00257F44" w:rsidRDefault="002D7C5E" w:rsidP="00BF2548">
      <w:pPr>
        <w:spacing w:after="120"/>
        <w:rPr>
          <w:rFonts w:ascii="Gill Sans" w:hAnsi="Gill Sans" w:cs="Gill Sans"/>
          <w:sz w:val="22"/>
          <w:szCs w:val="22"/>
          <w:lang w:val="uk-UA"/>
        </w:rPr>
      </w:pPr>
      <w:r w:rsidRPr="00257F44">
        <w:rPr>
          <w:rFonts w:ascii="Gill Sans" w:hAnsi="Gill Sans" w:cs="Gill Sans"/>
          <w:sz w:val="22"/>
          <w:szCs w:val="22"/>
          <w:lang w:val="uk-UA"/>
        </w:rPr>
        <w:t xml:space="preserve">Зобов’язання передбачало розробку методології оцінювання корупційних ризиків для органів юстиції. </w:t>
      </w:r>
      <w:r w:rsidR="0034402D" w:rsidRPr="00257F44">
        <w:rPr>
          <w:rFonts w:ascii="Gill Sans" w:hAnsi="Gill Sans" w:cs="Gill Sans"/>
          <w:sz w:val="22"/>
          <w:szCs w:val="22"/>
          <w:lang w:val="uk-UA"/>
        </w:rPr>
        <w:t>Така методологія могла б використовуватися для визначення та управління ризиками в органах юстиції, а тако</w:t>
      </w:r>
      <w:r w:rsidR="00B4633E" w:rsidRPr="00257F44">
        <w:rPr>
          <w:rFonts w:ascii="Gill Sans" w:hAnsi="Gill Sans" w:cs="Gill Sans"/>
          <w:sz w:val="22"/>
          <w:szCs w:val="22"/>
          <w:lang w:val="uk-UA"/>
        </w:rPr>
        <w:t>ж для підготовки заходів із запобігання корупції у цій сфері. Зобов’язання було дуже обмеженим в обсязі, оскільки воно стосувалося лише одного міністерства. Крім того, воно втратило актуальність після введення в дію нового закону про запобігання корупції та створення Національного агентства з питань запобігання корупції. Останній передбачав розробку універсальної методології оцінювання корупційних ризиків для усіх органів влади.</w:t>
      </w:r>
    </w:p>
    <w:p w14:paraId="25359553" w14:textId="77777777" w:rsidR="00481C68" w:rsidRPr="00257F44" w:rsidRDefault="00481C68" w:rsidP="00BF2548">
      <w:pPr>
        <w:pStyle w:val="Heading3"/>
        <w:spacing w:after="120"/>
        <w:rPr>
          <w:lang w:val="uk-UA"/>
        </w:rPr>
      </w:pPr>
      <w:r w:rsidRPr="00257F44">
        <w:rPr>
          <w:lang w:val="uk-UA"/>
        </w:rPr>
        <w:t>Статус виконання</w:t>
      </w:r>
    </w:p>
    <w:p w14:paraId="13AE5411" w14:textId="7175B7F1" w:rsidR="00481C68" w:rsidRPr="00257F44" w:rsidRDefault="00481C68" w:rsidP="00BF2548">
      <w:pPr>
        <w:pStyle w:val="Normalrglronly"/>
        <w:rPr>
          <w:b/>
          <w:lang w:val="uk-UA"/>
        </w:rPr>
      </w:pPr>
      <w:r w:rsidRPr="00257F44">
        <w:rPr>
          <w:b/>
          <w:lang w:val="uk-UA"/>
        </w:rPr>
        <w:t xml:space="preserve">Проміжний звіт: </w:t>
      </w:r>
      <w:r w:rsidR="00FA47DA" w:rsidRPr="00257F44">
        <w:rPr>
          <w:b/>
          <w:lang w:val="uk-UA"/>
        </w:rPr>
        <w:t xml:space="preserve">Значне </w:t>
      </w:r>
      <w:r w:rsidRPr="00257F44">
        <w:rPr>
          <w:b/>
          <w:lang w:val="uk-UA"/>
        </w:rPr>
        <w:t>виконання</w:t>
      </w:r>
    </w:p>
    <w:p w14:paraId="39232E9E" w14:textId="323F95FE" w:rsidR="008D099B" w:rsidRPr="00257F44" w:rsidRDefault="008D099B" w:rsidP="00BF2548">
      <w:pPr>
        <w:spacing w:after="120"/>
        <w:rPr>
          <w:rFonts w:ascii="Gill Sans" w:hAnsi="Gill Sans" w:cs="Gill Sans"/>
          <w:sz w:val="22"/>
          <w:szCs w:val="22"/>
          <w:lang w:val="uk-UA"/>
        </w:rPr>
      </w:pPr>
      <w:r w:rsidRPr="00257F44">
        <w:rPr>
          <w:rFonts w:ascii="Gill Sans" w:hAnsi="Gill Sans" w:cs="Gill Sans"/>
          <w:sz w:val="22"/>
          <w:szCs w:val="22"/>
          <w:lang w:val="uk-UA"/>
        </w:rPr>
        <w:t xml:space="preserve">Уряд </w:t>
      </w:r>
      <w:r w:rsidRPr="00257F44">
        <w:rPr>
          <w:rFonts w:ascii="Gill Sans" w:hAnsi="Gill Sans" w:cs="Gill Sans"/>
          <w:noProof/>
          <w:sz w:val="22"/>
          <w:szCs w:val="22"/>
          <w:lang w:val="uk-UA"/>
        </w:rPr>
        <w:t>повідомив, що відповідно до нового Закону України “Про запобігання корупції” (ухвалений у жовтні 2014 р., введений в дію у квітні 2015 р.</w:t>
      </w:r>
      <w:r w:rsidRPr="00257F44">
        <w:rPr>
          <w:rStyle w:val="EndnoteReference"/>
          <w:rFonts w:ascii="Gill Sans" w:hAnsi="Gill Sans" w:cs="Gill Sans"/>
          <w:noProof/>
          <w:sz w:val="22"/>
          <w:szCs w:val="22"/>
          <w:lang w:val="uk-UA"/>
        </w:rPr>
        <w:endnoteReference w:id="44"/>
      </w:r>
      <w:r w:rsidRPr="00257F44">
        <w:rPr>
          <w:rFonts w:ascii="Gill Sans" w:hAnsi="Gill Sans" w:cs="Gill Sans"/>
          <w:noProof/>
          <w:sz w:val="22"/>
          <w:szCs w:val="22"/>
          <w:lang w:val="uk-UA"/>
        </w:rPr>
        <w:t xml:space="preserve">) Національне агентство з питань запобігання </w:t>
      </w:r>
      <w:r w:rsidRPr="00257F44">
        <w:rPr>
          <w:rFonts w:ascii="Gill Sans" w:hAnsi="Gill Sans" w:cs="Gill Sans"/>
          <w:sz w:val="22"/>
          <w:szCs w:val="22"/>
          <w:lang w:val="uk-UA"/>
        </w:rPr>
        <w:t xml:space="preserve">корупції повинно </w:t>
      </w:r>
      <w:r w:rsidRPr="00257F44">
        <w:rPr>
          <w:rFonts w:ascii="Gill Sans" w:hAnsi="Gill Sans" w:cs="Gill Sans"/>
          <w:noProof/>
          <w:sz w:val="22"/>
          <w:szCs w:val="22"/>
          <w:lang w:val="uk-UA"/>
        </w:rPr>
        <w:t>стежити за розробкою відомчих антикорупційних програм на основі єдиної методології оцінки ризиків, яку агентство мало виз</w:t>
      </w:r>
      <w:r w:rsidR="00175D6E">
        <w:rPr>
          <w:rFonts w:ascii="Gill Sans" w:hAnsi="Gill Sans" w:cs="Gill Sans"/>
          <w:noProof/>
          <w:sz w:val="22"/>
          <w:szCs w:val="22"/>
          <w:lang w:val="uk-UA"/>
        </w:rPr>
        <w:t>начи</w:t>
      </w:r>
      <w:r w:rsidRPr="00257F44">
        <w:rPr>
          <w:rFonts w:ascii="Gill Sans" w:hAnsi="Gill Sans" w:cs="Gill Sans"/>
          <w:noProof/>
          <w:sz w:val="22"/>
          <w:szCs w:val="22"/>
          <w:lang w:val="uk-UA"/>
        </w:rPr>
        <w:t xml:space="preserve">ти для всіх органів. Це завдання було згадано також у Державній програмі щодо реалізації засад державної антикорупційної політики в Україні </w:t>
      </w:r>
      <w:r w:rsidR="00175D6E">
        <w:rPr>
          <w:rFonts w:ascii="Gill Sans" w:hAnsi="Gill Sans" w:cs="Gill Sans"/>
          <w:noProof/>
          <w:sz w:val="22"/>
          <w:szCs w:val="22"/>
          <w:lang w:val="uk-UA"/>
        </w:rPr>
        <w:t xml:space="preserve">(Антикорупційної стратегії) на </w:t>
      </w:r>
      <w:r w:rsidRPr="00257F44">
        <w:rPr>
          <w:rFonts w:ascii="Gill Sans" w:hAnsi="Gill Sans" w:cs="Gill Sans"/>
          <w:noProof/>
          <w:sz w:val="22"/>
          <w:szCs w:val="22"/>
          <w:lang w:val="uk-UA"/>
        </w:rPr>
        <w:t>2015 – 2017 роки, яка була ухвалена Урядом у квітні 2015 року</w:t>
      </w:r>
      <w:r w:rsidRPr="00257F44">
        <w:rPr>
          <w:rStyle w:val="EndnoteReference"/>
          <w:rFonts w:ascii="Gill Sans" w:hAnsi="Gill Sans" w:cs="Gill Sans"/>
          <w:noProof/>
          <w:sz w:val="22"/>
          <w:szCs w:val="22"/>
          <w:lang w:val="uk-UA"/>
        </w:rPr>
        <w:endnoteReference w:id="45"/>
      </w:r>
      <w:r w:rsidRPr="00257F44">
        <w:rPr>
          <w:rFonts w:ascii="Gill Sans" w:hAnsi="Gill Sans" w:cs="Gill Sans"/>
          <w:sz w:val="22"/>
          <w:szCs w:val="22"/>
          <w:lang w:val="uk-UA"/>
        </w:rPr>
        <w:t xml:space="preserve">. </w:t>
      </w:r>
      <w:r w:rsidRPr="00257F44">
        <w:rPr>
          <w:rFonts w:ascii="Gill Sans" w:hAnsi="Gill Sans" w:cs="Gill Sans"/>
          <w:noProof/>
          <w:sz w:val="22"/>
          <w:szCs w:val="22"/>
          <w:lang w:val="uk-UA"/>
        </w:rPr>
        <w:t>Міністерство юстиції розробило Методологічні принципи проведення оцінки корупційних ризиків та розробки заходів їх усунення (мінімізації). Це детальні настанови щодо оцінювання корупційних ризиків та управління ними в органах влади</w:t>
      </w:r>
      <w:r w:rsidRPr="00257F44">
        <w:rPr>
          <w:rStyle w:val="EndnoteReference"/>
          <w:rFonts w:ascii="Gill Sans" w:hAnsi="Gill Sans" w:cs="Gill Sans"/>
          <w:sz w:val="22"/>
          <w:szCs w:val="22"/>
          <w:lang w:val="uk-UA"/>
        </w:rPr>
        <w:endnoteReference w:id="46"/>
      </w:r>
      <w:r w:rsidRPr="00257F44">
        <w:rPr>
          <w:rFonts w:ascii="Gill Sans" w:hAnsi="Gill Sans" w:cs="Gill Sans"/>
          <w:noProof/>
          <w:sz w:val="22"/>
          <w:szCs w:val="22"/>
          <w:lang w:val="uk-UA"/>
        </w:rPr>
        <w:t xml:space="preserve">. Інша методологія - </w:t>
      </w:r>
      <w:r w:rsidRPr="00257F44">
        <w:rPr>
          <w:rFonts w:ascii="Gill Sans" w:hAnsi="Gill Sans" w:cs="Gill Sans"/>
          <w:bCs/>
          <w:noProof/>
          <w:sz w:val="22"/>
          <w:szCs w:val="22"/>
          <w:lang w:val="uk-UA"/>
        </w:rPr>
        <w:t>Посібник з оцінки корупційних ризиків та розробки планів протидії корупції</w:t>
      </w:r>
      <w:r w:rsidRPr="00257F44">
        <w:rPr>
          <w:rFonts w:ascii="Gill Sans" w:hAnsi="Gill Sans" w:cs="Gill Sans"/>
          <w:noProof/>
          <w:sz w:val="22"/>
          <w:szCs w:val="22"/>
          <w:lang w:val="uk-UA"/>
        </w:rPr>
        <w:t xml:space="preserve"> - була підготовлена фінансованим Агентством США з міжнародного розвитку проектом FINREP-II. Цей посібник був підготовлений на основі нового антикорупційного закону, вимог</w:t>
      </w:r>
      <w:r w:rsidR="00175D6E">
        <w:rPr>
          <w:rFonts w:ascii="Gill Sans" w:hAnsi="Gill Sans" w:cs="Gill Sans"/>
          <w:noProof/>
          <w:sz w:val="22"/>
          <w:szCs w:val="22"/>
          <w:lang w:val="uk-UA"/>
        </w:rPr>
        <w:t xml:space="preserve"> </w:t>
      </w:r>
      <w:r w:rsidRPr="00257F44">
        <w:rPr>
          <w:rFonts w:ascii="Gill Sans" w:hAnsi="Gill Sans" w:cs="Gill Sans"/>
          <w:noProof/>
          <w:sz w:val="22"/>
          <w:szCs w:val="22"/>
          <w:lang w:val="uk-UA"/>
        </w:rPr>
        <w:lastRenderedPageBreak/>
        <w:t>міжнародного стандарту ISO/IEC 31000:2009 «Управління ризиками – Принципи та керівництво», а також міжнародного досвіду</w:t>
      </w:r>
      <w:r w:rsidRPr="00257F44">
        <w:rPr>
          <w:rStyle w:val="EndnoteReference"/>
          <w:rFonts w:ascii="Gill Sans" w:hAnsi="Gill Sans" w:cs="Gill Sans"/>
          <w:noProof/>
          <w:sz w:val="22"/>
          <w:szCs w:val="22"/>
          <w:lang w:val="uk-UA"/>
        </w:rPr>
        <w:endnoteReference w:id="47"/>
      </w:r>
      <w:r w:rsidRPr="00257F44">
        <w:rPr>
          <w:rFonts w:ascii="Gill Sans" w:hAnsi="Gill Sans" w:cs="Gill Sans"/>
          <w:noProof/>
          <w:sz w:val="22"/>
          <w:szCs w:val="22"/>
          <w:lang w:val="uk-UA"/>
        </w:rPr>
        <w:t xml:space="preserve">. </w:t>
      </w:r>
      <w:r w:rsidR="00175D6E">
        <w:rPr>
          <w:rFonts w:ascii="Gill Sans" w:hAnsi="Gill Sans" w:cs="Gill Sans"/>
          <w:noProof/>
          <w:sz w:val="22"/>
          <w:szCs w:val="22"/>
          <w:lang w:val="uk-UA"/>
        </w:rPr>
        <w:t>І</w:t>
      </w:r>
      <w:r w:rsidRPr="00257F44">
        <w:rPr>
          <w:rFonts w:ascii="Gill Sans" w:hAnsi="Gill Sans" w:cs="Gill Sans"/>
          <w:noProof/>
          <w:sz w:val="22"/>
          <w:szCs w:val="22"/>
          <w:lang w:val="uk-UA"/>
        </w:rPr>
        <w:t>нформація про залучення громадянського суспільства до розробки методології Міністерства юстиції або методології фінансованого донорами проекту</w:t>
      </w:r>
      <w:r w:rsidR="00181A97" w:rsidRPr="00257F44">
        <w:rPr>
          <w:rFonts w:ascii="Gill Sans" w:hAnsi="Gill Sans" w:cs="Gill Sans"/>
          <w:noProof/>
          <w:sz w:val="22"/>
          <w:szCs w:val="22"/>
          <w:lang w:val="uk-UA"/>
        </w:rPr>
        <w:t xml:space="preserve"> була відсутня</w:t>
      </w:r>
      <w:r w:rsidRPr="00257F44">
        <w:rPr>
          <w:rFonts w:ascii="Gill Sans" w:hAnsi="Gill Sans" w:cs="Gill Sans"/>
          <w:noProof/>
          <w:sz w:val="22"/>
          <w:szCs w:val="22"/>
          <w:lang w:val="uk-UA"/>
        </w:rPr>
        <w:t xml:space="preserve">. </w:t>
      </w:r>
      <w:r w:rsidR="00181A97" w:rsidRPr="00257F44">
        <w:rPr>
          <w:rFonts w:ascii="Gill Sans" w:hAnsi="Gill Sans" w:cs="Gill Sans"/>
          <w:noProof/>
          <w:sz w:val="22"/>
          <w:szCs w:val="22"/>
          <w:lang w:val="uk-UA"/>
        </w:rPr>
        <w:t>Також б</w:t>
      </w:r>
      <w:r w:rsidRPr="00257F44">
        <w:rPr>
          <w:rFonts w:ascii="Gill Sans" w:hAnsi="Gill Sans" w:cs="Gill Sans"/>
          <w:noProof/>
          <w:sz w:val="22"/>
          <w:szCs w:val="22"/>
          <w:lang w:val="uk-UA"/>
        </w:rPr>
        <w:t>уло незрозуміло, яким чином дві методології будуть співвідноситися і використовуватися, оскільки вони дублюють одна одну</w:t>
      </w:r>
      <w:r w:rsidRPr="00257F44">
        <w:rPr>
          <w:rStyle w:val="EndnoteReference"/>
          <w:rFonts w:ascii="Gill Sans" w:hAnsi="Gill Sans" w:cs="Gill Sans"/>
          <w:sz w:val="22"/>
          <w:szCs w:val="22"/>
          <w:lang w:val="uk-UA"/>
        </w:rPr>
        <w:endnoteReference w:id="48"/>
      </w:r>
      <w:r w:rsidRPr="00257F44">
        <w:rPr>
          <w:rFonts w:ascii="Gill Sans" w:hAnsi="Gill Sans" w:cs="Gill Sans"/>
          <w:noProof/>
          <w:sz w:val="22"/>
          <w:szCs w:val="22"/>
          <w:lang w:val="uk-UA"/>
        </w:rPr>
        <w:t>.</w:t>
      </w:r>
    </w:p>
    <w:p w14:paraId="4D2A5209" w14:textId="77777777" w:rsidR="00FA47DA" w:rsidRPr="00257F44" w:rsidRDefault="00FA47DA" w:rsidP="00BF2548">
      <w:pPr>
        <w:pStyle w:val="Normalrglronly"/>
        <w:rPr>
          <w:b/>
          <w:lang w:val="uk-UA"/>
        </w:rPr>
      </w:pPr>
      <w:r w:rsidRPr="00257F44">
        <w:rPr>
          <w:b/>
          <w:lang w:val="uk-UA"/>
        </w:rPr>
        <w:t>Підсумковий звіт: Значне виконання</w:t>
      </w:r>
      <w:r w:rsidRPr="00257F44">
        <w:rPr>
          <w:b/>
          <w:color w:val="FFFFFF" w:themeColor="background1"/>
          <w:lang w:val="uk-UA"/>
        </w:rPr>
        <w:t>d</w:t>
      </w:r>
    </w:p>
    <w:p w14:paraId="1075E054" w14:textId="36DF5E42" w:rsidR="00181A97" w:rsidRPr="00257F44" w:rsidRDefault="00181A97" w:rsidP="00BF2548">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На початку грудня 2016 року, Національне агентство з питань запобігання </w:t>
      </w:r>
      <w:r w:rsidRPr="00257F44">
        <w:rPr>
          <w:rFonts w:ascii="Gill Sans" w:hAnsi="Gill Sans" w:cs="Gill Sans"/>
          <w:sz w:val="22"/>
          <w:szCs w:val="22"/>
          <w:lang w:val="uk-UA"/>
        </w:rPr>
        <w:t>корупції (НАЗК) схвалило методологію оцінювання корупційних ризиків у діяльності органів влади</w:t>
      </w:r>
      <w:r w:rsidRPr="00257F44">
        <w:rPr>
          <w:rStyle w:val="EndnoteReference"/>
          <w:rFonts w:ascii="Gill Sans" w:hAnsi="Gill Sans" w:cs="Gill Sans"/>
          <w:noProof/>
          <w:sz w:val="22"/>
          <w:szCs w:val="22"/>
          <w:lang w:val="uk-UA"/>
        </w:rPr>
        <w:endnoteReference w:id="49"/>
      </w:r>
      <w:r w:rsidRPr="00257F44">
        <w:rPr>
          <w:rFonts w:ascii="Gill Sans" w:hAnsi="Gill Sans" w:cs="Gill Sans"/>
          <w:sz w:val="22"/>
          <w:szCs w:val="22"/>
          <w:lang w:val="uk-UA"/>
        </w:rPr>
        <w:t xml:space="preserve">. Розробка цієї методології була передбачена Законом про запобігання корупції. Проект методології обговорювався з громадськістю та аналізувався експертами Ради Європи. Вона набуде чинності після її реєстрації та оприлюднення Міністерством юстиції. Зобов’язання ПВУ стосувалося </w:t>
      </w:r>
      <w:r w:rsidRPr="00257F44">
        <w:rPr>
          <w:rFonts w:ascii="Gill Sans" w:hAnsi="Gill Sans" w:cs="Gill Sans"/>
          <w:noProof/>
          <w:sz w:val="22"/>
          <w:szCs w:val="22"/>
          <w:lang w:val="uk-UA"/>
        </w:rPr>
        <w:t xml:space="preserve">затвердження </w:t>
      </w:r>
      <w:r w:rsidRPr="00257F44">
        <w:rPr>
          <w:rFonts w:ascii="Gill Sans" w:hAnsi="Gill Sans" w:cs="Gill Sans"/>
          <w:sz w:val="22"/>
          <w:szCs w:val="22"/>
          <w:lang w:val="uk-UA"/>
        </w:rPr>
        <w:t xml:space="preserve">Міністерством юстиції </w:t>
      </w:r>
      <w:r w:rsidRPr="00257F44">
        <w:rPr>
          <w:rFonts w:ascii="Gill Sans" w:hAnsi="Gill Sans" w:cs="Gill Sans"/>
          <w:noProof/>
          <w:sz w:val="22"/>
          <w:szCs w:val="22"/>
          <w:lang w:val="uk-UA"/>
        </w:rPr>
        <w:t xml:space="preserve">методичних рекомендацій щодо виявлення корупційних ризиків у діяльності працівників органів юстиції. </w:t>
      </w:r>
      <w:r w:rsidR="00DD618E" w:rsidRPr="00257F44">
        <w:rPr>
          <w:rFonts w:ascii="Gill Sans" w:hAnsi="Gill Sans" w:cs="Gill Sans"/>
          <w:noProof/>
          <w:sz w:val="22"/>
          <w:szCs w:val="22"/>
          <w:lang w:val="uk-UA"/>
        </w:rPr>
        <w:t xml:space="preserve">У своєму </w:t>
      </w:r>
      <w:r w:rsidRPr="00257F44">
        <w:rPr>
          <w:rFonts w:ascii="Gill Sans" w:hAnsi="Gill Sans" w:cs="Gill Sans"/>
          <w:noProof/>
          <w:sz w:val="22"/>
          <w:szCs w:val="22"/>
          <w:lang w:val="uk-UA"/>
        </w:rPr>
        <w:t>звіт</w:t>
      </w:r>
      <w:r w:rsidR="00DD618E" w:rsidRPr="00257F44">
        <w:rPr>
          <w:rFonts w:ascii="Gill Sans" w:hAnsi="Gill Sans" w:cs="Gill Sans"/>
          <w:noProof/>
          <w:sz w:val="22"/>
          <w:szCs w:val="22"/>
          <w:lang w:val="uk-UA"/>
        </w:rPr>
        <w:t>і</w:t>
      </w:r>
      <w:r w:rsidRPr="00257F44">
        <w:rPr>
          <w:rFonts w:ascii="Gill Sans" w:hAnsi="Gill Sans" w:cs="Gill Sans"/>
          <w:noProof/>
          <w:sz w:val="22"/>
          <w:szCs w:val="22"/>
          <w:lang w:val="uk-UA"/>
        </w:rPr>
        <w:t xml:space="preserve"> </w:t>
      </w:r>
      <w:r w:rsidR="00DD618E" w:rsidRPr="00257F44">
        <w:rPr>
          <w:rFonts w:ascii="Gill Sans" w:hAnsi="Gill Sans" w:cs="Gill Sans"/>
          <w:noProof/>
          <w:sz w:val="22"/>
          <w:szCs w:val="22"/>
          <w:lang w:val="uk-UA"/>
        </w:rPr>
        <w:t>самооцінки</w:t>
      </w:r>
      <w:r w:rsidRPr="00257F44">
        <w:rPr>
          <w:rFonts w:ascii="Gill Sans" w:hAnsi="Gill Sans" w:cs="Gill Sans"/>
          <w:noProof/>
          <w:sz w:val="22"/>
          <w:szCs w:val="22"/>
          <w:lang w:val="uk-UA"/>
        </w:rPr>
        <w:t xml:space="preserve"> </w:t>
      </w:r>
      <w:r w:rsidR="00DD618E" w:rsidRPr="00257F44">
        <w:rPr>
          <w:rFonts w:ascii="Gill Sans" w:hAnsi="Gill Sans" w:cs="Gill Sans"/>
          <w:noProof/>
          <w:sz w:val="22"/>
          <w:szCs w:val="22"/>
          <w:lang w:val="uk-UA"/>
        </w:rPr>
        <w:t xml:space="preserve">Уряд </w:t>
      </w:r>
      <w:r w:rsidRPr="00257F44">
        <w:rPr>
          <w:rFonts w:ascii="Gill Sans" w:hAnsi="Gill Sans" w:cs="Gill Sans"/>
          <w:noProof/>
          <w:sz w:val="22"/>
          <w:szCs w:val="22"/>
          <w:lang w:val="uk-UA"/>
        </w:rPr>
        <w:t xml:space="preserve">повідомив, що такі методичні рекомендації можуть бути розроблені на основі </w:t>
      </w:r>
      <w:r w:rsidRPr="00257F44">
        <w:rPr>
          <w:rFonts w:ascii="Gill Sans" w:hAnsi="Gill Sans" w:cs="Gill Sans"/>
          <w:sz w:val="22"/>
          <w:szCs w:val="22"/>
          <w:lang w:val="uk-UA"/>
        </w:rPr>
        <w:t>методології оцінювання корупційних ризиків НАЗК.</w:t>
      </w:r>
    </w:p>
    <w:p w14:paraId="7ED1F176" w14:textId="77777777" w:rsidR="00FA47DA" w:rsidRPr="00257F44" w:rsidRDefault="00FA47DA" w:rsidP="00BF2548">
      <w:pPr>
        <w:pStyle w:val="Heading3"/>
        <w:spacing w:after="120"/>
        <w:rPr>
          <w:lang w:val="uk-UA"/>
        </w:rPr>
      </w:pPr>
      <w:r w:rsidRPr="00257F44">
        <w:rPr>
          <w:lang w:val="uk-UA"/>
        </w:rPr>
        <w:t>Чи відкрило це уряд?</w:t>
      </w:r>
    </w:p>
    <w:p w14:paraId="57292B36" w14:textId="77777777" w:rsidR="00FA47DA" w:rsidRPr="00257F44" w:rsidRDefault="00FA47DA" w:rsidP="00BF2548">
      <w:pPr>
        <w:spacing w:after="120"/>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Громадська участь: Не змінило</w:t>
      </w:r>
    </w:p>
    <w:p w14:paraId="616B8D75" w14:textId="77777777" w:rsidR="00FA47DA" w:rsidRPr="00257F44" w:rsidRDefault="00FA47DA" w:rsidP="00BF2548">
      <w:pPr>
        <w:spacing w:after="120"/>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Підзвітність влади: Не змінило</w:t>
      </w:r>
    </w:p>
    <w:p w14:paraId="165F9669" w14:textId="769CC8A8" w:rsidR="00B31EF7" w:rsidRPr="00257F44" w:rsidRDefault="00CD4CCC" w:rsidP="00BF2548">
      <w:pPr>
        <w:spacing w:after="120"/>
        <w:rPr>
          <w:rFonts w:ascii="Gill Sans" w:hAnsi="Gill Sans" w:cs="Gill Sans"/>
          <w:noProof/>
          <w:sz w:val="22"/>
          <w:szCs w:val="22"/>
          <w:lang w:val="uk-UA"/>
        </w:rPr>
      </w:pPr>
      <w:r w:rsidRPr="00257F44">
        <w:rPr>
          <w:rFonts w:ascii="Gill Sans" w:hAnsi="Gill Sans" w:cs="Gill Sans"/>
          <w:noProof/>
          <w:sz w:val="22"/>
          <w:szCs w:val="22"/>
          <w:lang w:val="uk-UA"/>
        </w:rPr>
        <w:t>Це зобов’</w:t>
      </w:r>
      <w:r w:rsidR="0043535E" w:rsidRPr="00257F44">
        <w:rPr>
          <w:rFonts w:ascii="Gill Sans" w:hAnsi="Gill Sans" w:cs="Gill Sans"/>
          <w:noProof/>
          <w:sz w:val="22"/>
          <w:szCs w:val="22"/>
          <w:lang w:val="uk-UA"/>
        </w:rPr>
        <w:t>язання не привело до зм</w:t>
      </w:r>
      <w:r w:rsidRPr="00257F44">
        <w:rPr>
          <w:rFonts w:ascii="Gill Sans" w:hAnsi="Gill Sans" w:cs="Gill Sans"/>
          <w:noProof/>
          <w:sz w:val="22"/>
          <w:szCs w:val="22"/>
          <w:lang w:val="uk-UA"/>
        </w:rPr>
        <w:t xml:space="preserve">ін в урядовій практиці, оскільки воно стосувалося лише Міністерства юстиції і втратило актуальність після введення в дію нового закону про запобігання корупції у квітні 2015 року. Новий закон передбачив створення Національного агентства з питань запобігання </w:t>
      </w:r>
      <w:r w:rsidRPr="00257F44">
        <w:rPr>
          <w:rFonts w:ascii="Gill Sans" w:hAnsi="Gill Sans" w:cs="Gill Sans"/>
          <w:sz w:val="22"/>
          <w:szCs w:val="22"/>
          <w:lang w:val="uk-UA"/>
        </w:rPr>
        <w:t>корупції</w:t>
      </w:r>
      <w:r w:rsidR="000B5D72" w:rsidRPr="00257F44">
        <w:rPr>
          <w:rFonts w:ascii="Gill Sans" w:hAnsi="Gill Sans" w:cs="Gill Sans"/>
          <w:sz w:val="22"/>
          <w:szCs w:val="22"/>
          <w:lang w:val="uk-UA"/>
        </w:rPr>
        <w:t xml:space="preserve"> та розширив вимогу щодо оцінки корупційних ризиків до всіх органів публічної влади. Антикорупційні заходи, що ґрунтуються на оцінці корупційних ризиків, це прогресивний підхід, що ще не застосовувався в публічному секторі України. Закон про </w:t>
      </w:r>
      <w:r w:rsidR="000B5D72" w:rsidRPr="00257F44">
        <w:rPr>
          <w:rFonts w:ascii="Gill Sans" w:hAnsi="Gill Sans" w:cs="Gill Sans"/>
          <w:noProof/>
          <w:sz w:val="22"/>
          <w:szCs w:val="22"/>
          <w:lang w:val="uk-UA"/>
        </w:rPr>
        <w:t xml:space="preserve">запобігання корупції впровадив цей підхід </w:t>
      </w:r>
      <w:r w:rsidR="00310CD5">
        <w:rPr>
          <w:rFonts w:ascii="Gill Sans" w:hAnsi="Gill Sans" w:cs="Gill Sans"/>
          <w:noProof/>
          <w:sz w:val="22"/>
          <w:szCs w:val="22"/>
          <w:lang w:val="uk-UA"/>
        </w:rPr>
        <w:t>у</w:t>
      </w:r>
      <w:r w:rsidR="000B5D72" w:rsidRPr="00257F44">
        <w:rPr>
          <w:rFonts w:ascii="Gill Sans" w:hAnsi="Gill Sans" w:cs="Gill Sans"/>
          <w:noProof/>
          <w:sz w:val="22"/>
          <w:szCs w:val="22"/>
          <w:lang w:val="uk-UA"/>
        </w:rPr>
        <w:t xml:space="preserve"> </w:t>
      </w:r>
      <w:r w:rsidR="0043535E" w:rsidRPr="00257F44">
        <w:rPr>
          <w:rFonts w:ascii="Gill Sans" w:hAnsi="Gill Sans" w:cs="Gill Sans"/>
          <w:noProof/>
          <w:sz w:val="22"/>
          <w:szCs w:val="22"/>
          <w:lang w:val="uk-UA"/>
        </w:rPr>
        <w:t xml:space="preserve">систему </w:t>
      </w:r>
      <w:r w:rsidR="000B5D72" w:rsidRPr="00257F44">
        <w:rPr>
          <w:rFonts w:ascii="Gill Sans" w:hAnsi="Gill Sans" w:cs="Gill Sans"/>
          <w:noProof/>
          <w:sz w:val="22"/>
          <w:szCs w:val="22"/>
          <w:lang w:val="uk-UA"/>
        </w:rPr>
        <w:t xml:space="preserve">антикорупційного планування та заходів окремих органів. Спеціалізований орган із запобігання корупції розробив методологію та надаватиме допомогу у застосуванні заснованого на ризиках підходу. На підставі загальної методології, Міністерство юстиції може підготувати рекомендації щодо оцінювання корупційних ризиків у діяльності органів юстиції. Зобов’язання в рамках ПВУ не змінило урядову практику, оскільки воно швидко стало неактуальним після вжиття нових антикорупційних заходів, які охопили та </w:t>
      </w:r>
      <w:r w:rsidR="00406A70" w:rsidRPr="00257F44">
        <w:rPr>
          <w:rFonts w:ascii="Gill Sans" w:hAnsi="Gill Sans" w:cs="Gill Sans"/>
          <w:noProof/>
          <w:sz w:val="22"/>
          <w:szCs w:val="22"/>
          <w:lang w:val="uk-UA"/>
        </w:rPr>
        <w:t xml:space="preserve">пішли далі ніж </w:t>
      </w:r>
      <w:r w:rsidR="000B5D72" w:rsidRPr="00257F44">
        <w:rPr>
          <w:rFonts w:ascii="Gill Sans" w:hAnsi="Gill Sans" w:cs="Gill Sans"/>
          <w:noProof/>
          <w:sz w:val="22"/>
          <w:szCs w:val="22"/>
          <w:lang w:val="uk-UA"/>
        </w:rPr>
        <w:t>зміст зобов’язання.</w:t>
      </w:r>
    </w:p>
    <w:p w14:paraId="2AFB0E61" w14:textId="77777777" w:rsidR="005A2918" w:rsidRPr="00257F44" w:rsidRDefault="005A2918" w:rsidP="00BF2548">
      <w:pPr>
        <w:pStyle w:val="Heading3"/>
        <w:spacing w:after="120"/>
        <w:rPr>
          <w:lang w:val="uk-UA"/>
        </w:rPr>
      </w:pPr>
      <w:r w:rsidRPr="00257F44">
        <w:rPr>
          <w:lang w:val="uk-UA"/>
        </w:rPr>
        <w:t>Чи перенесено до наступного плану дій?</w:t>
      </w:r>
    </w:p>
    <w:p w14:paraId="55C41732" w14:textId="3B325E35" w:rsidR="0043535E" w:rsidRPr="00257F44" w:rsidRDefault="0043535E" w:rsidP="00BF2548">
      <w:pPr>
        <w:spacing w:after="120"/>
        <w:rPr>
          <w:rFonts w:ascii="Gill Sans" w:hAnsi="Gill Sans" w:cs="Gill Sans"/>
          <w:noProof/>
          <w:sz w:val="22"/>
          <w:szCs w:val="22"/>
          <w:lang w:val="uk-UA"/>
        </w:rPr>
      </w:pPr>
      <w:r w:rsidRPr="00257F44">
        <w:rPr>
          <w:rFonts w:ascii="Gill Sans" w:hAnsi="Gill Sans" w:cs="Gill Sans"/>
          <w:noProof/>
          <w:sz w:val="22"/>
          <w:szCs w:val="22"/>
          <w:lang w:val="uk-UA"/>
        </w:rPr>
        <w:t>Зобов’язання не було перенесено до наступного</w:t>
      </w:r>
      <w:r w:rsidR="00310CD5">
        <w:rPr>
          <w:rFonts w:ascii="Gill Sans" w:hAnsi="Gill Sans" w:cs="Gill Sans"/>
          <w:noProof/>
          <w:sz w:val="22"/>
          <w:szCs w:val="22"/>
          <w:lang w:val="uk-UA"/>
        </w:rPr>
        <w:t xml:space="preserve"> плану дій. Дослідник МНЗ рекоме</w:t>
      </w:r>
      <w:r w:rsidRPr="00257F44">
        <w:rPr>
          <w:rFonts w:ascii="Gill Sans" w:hAnsi="Gill Sans" w:cs="Gill Sans"/>
          <w:noProof/>
          <w:sz w:val="22"/>
          <w:szCs w:val="22"/>
          <w:lang w:val="uk-UA"/>
        </w:rPr>
        <w:t>ндує Міністерству юстиції застосувати загальну методологію оцінювання ризиків до органів у підпорядкуванні міністерства для її перевірки на практиці.</w:t>
      </w:r>
    </w:p>
    <w:p w14:paraId="7AC38C74" w14:textId="77777777" w:rsidR="00CA30D5" w:rsidRPr="00257F44" w:rsidRDefault="00CA30D5" w:rsidP="001B5498">
      <w:pPr>
        <w:spacing w:after="120"/>
        <w:rPr>
          <w:rFonts w:ascii="Gill Sans" w:hAnsi="Gill Sans" w:cs="Gill Sans"/>
          <w:noProof/>
          <w:sz w:val="22"/>
          <w:szCs w:val="22"/>
          <w:lang w:val="uk-UA"/>
        </w:rPr>
        <w:sectPr w:rsidR="00CA30D5" w:rsidRPr="00257F44" w:rsidSect="002A2966">
          <w:endnotePr>
            <w:numFmt w:val="decimal"/>
            <w:numRestart w:val="eachSect"/>
          </w:endnotePr>
          <w:pgSz w:w="11907" w:h="16839" w:code="9"/>
          <w:pgMar w:top="1417" w:right="1417" w:bottom="1417" w:left="1417" w:header="0" w:footer="0" w:gutter="0"/>
          <w:cols w:space="708"/>
          <w:docGrid w:linePitch="360"/>
        </w:sectPr>
      </w:pPr>
    </w:p>
    <w:p w14:paraId="5FECD60C" w14:textId="77777777" w:rsidR="005D263C" w:rsidRPr="00257F44" w:rsidRDefault="005D263C" w:rsidP="005D263C">
      <w:pPr>
        <w:pStyle w:val="Normalrglronly"/>
        <w:rPr>
          <w:b/>
          <w:lang w:val="uk-UA"/>
        </w:rPr>
      </w:pPr>
      <w:r w:rsidRPr="00257F44">
        <w:rPr>
          <w:b/>
          <w:lang w:val="uk-UA"/>
        </w:rPr>
        <w:lastRenderedPageBreak/>
        <w:t xml:space="preserve">12. Розкриття активів на єдиному веб-порталі </w:t>
      </w:r>
    </w:p>
    <w:p w14:paraId="1BDC725D" w14:textId="77777777" w:rsidR="005D263C" w:rsidRPr="00257F44" w:rsidRDefault="005D263C" w:rsidP="005D263C">
      <w:pPr>
        <w:spacing w:after="120"/>
        <w:rPr>
          <w:rFonts w:ascii="Gill Sans" w:hAnsi="Gill Sans" w:cs="Gill Sans"/>
          <w:i/>
          <w:noProof/>
          <w:sz w:val="22"/>
          <w:szCs w:val="22"/>
          <w:lang w:val="uk-UA"/>
        </w:rPr>
      </w:pPr>
      <w:r w:rsidRPr="00257F44">
        <w:rPr>
          <w:rFonts w:ascii="Gill Sans" w:hAnsi="Gill Sans" w:cs="Gill Sans"/>
          <w:b/>
          <w:bCs/>
          <w:iCs/>
          <w:noProof/>
          <w:sz w:val="22"/>
          <w:szCs w:val="22"/>
          <w:lang w:val="uk-UA"/>
        </w:rPr>
        <w:t>Текст зобов’язання:</w:t>
      </w:r>
      <w:r w:rsidRPr="00257F44">
        <w:rPr>
          <w:rFonts w:ascii="Gill Sans" w:hAnsi="Gill Sans" w:cs="Gill Sans"/>
          <w:i/>
          <w:noProof/>
          <w:sz w:val="22"/>
          <w:szCs w:val="22"/>
          <w:lang w:val="uk-UA"/>
        </w:rPr>
        <w:t xml:space="preserve"> 12. Створення єдиного веб-порталу декларацій про доходи, майно і витрати державних службовців для їх оприлюднення у відкритому доступі.</w:t>
      </w:r>
    </w:p>
    <w:p w14:paraId="731C11C1" w14:textId="77777777" w:rsidR="005D263C" w:rsidRPr="00257F44" w:rsidRDefault="005D263C" w:rsidP="005D263C">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створення відповідного веб-порталу.</w:t>
      </w:r>
    </w:p>
    <w:p w14:paraId="16E20D41" w14:textId="77777777" w:rsidR="005D263C" w:rsidRPr="00257F44" w:rsidRDefault="005D263C" w:rsidP="005D263C">
      <w:pPr>
        <w:spacing w:after="120"/>
        <w:rPr>
          <w:rFonts w:ascii="Gill Sans" w:hAnsi="Gill Sans" w:cs="Gill Sans"/>
          <w:sz w:val="22"/>
          <w:szCs w:val="22"/>
          <w:lang w:val="uk-UA"/>
        </w:rPr>
      </w:pPr>
      <w:r w:rsidRPr="00257F44">
        <w:rPr>
          <w:rFonts w:ascii="Gill Sans" w:hAnsi="Gill Sans" w:cs="Gill Sans"/>
          <w:sz w:val="22"/>
          <w:szCs w:val="22"/>
          <w:lang w:val="uk-UA"/>
        </w:rPr>
        <w:t>Головна інституція, відповідальна за виконання: Національне агентство з питань запобігання корупції.</w:t>
      </w:r>
    </w:p>
    <w:p w14:paraId="79233F11" w14:textId="77777777" w:rsidR="005D263C" w:rsidRPr="00257F44" w:rsidRDefault="005D263C" w:rsidP="005D263C">
      <w:pPr>
        <w:spacing w:after="120"/>
        <w:rPr>
          <w:rFonts w:ascii="Gill Sans" w:hAnsi="Gill Sans" w:cs="Gill Sans"/>
          <w:sz w:val="22"/>
          <w:szCs w:val="22"/>
          <w:lang w:val="uk-UA"/>
        </w:rPr>
      </w:pPr>
      <w:r w:rsidRPr="00257F44">
        <w:rPr>
          <w:rFonts w:ascii="Gill Sans" w:hAnsi="Gill Sans" w:cs="Gill Sans"/>
          <w:sz w:val="22"/>
          <w:szCs w:val="22"/>
          <w:lang w:val="uk-UA"/>
        </w:rPr>
        <w:t>Інші виконавці: Державна фіскальна служба, Національне агентство з питань державної служби, Міністерство юстиції, Адміністрація Державної служби спеціального зв’язку та захисту інформації, Державне агентство з питань електронного урядування, ГО “Трансперенсі Інтернешнл Україна”, Міжнародний фонд “Відродження”, інші невизначені організації громадянського суспільства та міжнародні організації.</w:t>
      </w:r>
    </w:p>
    <w:p w14:paraId="0F7D95E9" w14:textId="5FB06577" w:rsidR="005D263C" w:rsidRPr="00257F44" w:rsidRDefault="005D263C" w:rsidP="005B3A16">
      <w:pPr>
        <w:spacing w:after="120"/>
        <w:rPr>
          <w:rFonts w:ascii="Gill Sans" w:hAnsi="Gill Sans" w:cs="Gill Sans"/>
          <w:sz w:val="22"/>
          <w:szCs w:val="22"/>
          <w:lang w:val="uk-UA"/>
        </w:rPr>
      </w:pPr>
      <w:r w:rsidRPr="00257F44">
        <w:rPr>
          <w:rFonts w:ascii="Gill Sans" w:hAnsi="Gill Sans" w:cs="Gill Sans"/>
          <w:sz w:val="22"/>
          <w:szCs w:val="22"/>
          <w:lang w:val="uk-UA"/>
        </w:rPr>
        <w:t>Дата початку: Не визначено</w:t>
      </w:r>
      <w:r w:rsidRPr="00257F44">
        <w:rPr>
          <w:rFonts w:ascii="Gill Sans" w:hAnsi="Gill Sans" w:cs="Gill Sans"/>
          <w:sz w:val="22"/>
          <w:szCs w:val="22"/>
          <w:lang w:val="uk-UA"/>
        </w:rPr>
        <w:tab/>
      </w:r>
      <w:r w:rsidRPr="00257F44">
        <w:rPr>
          <w:rFonts w:ascii="Gill Sans" w:hAnsi="Gill Sans" w:cs="Gill Sans"/>
          <w:sz w:val="22"/>
          <w:szCs w:val="22"/>
          <w:lang w:val="uk-UA"/>
        </w:rPr>
        <w:tab/>
      </w:r>
      <w:r w:rsidRPr="00257F44">
        <w:rPr>
          <w:rFonts w:ascii="Gill Sans" w:hAnsi="Gill Sans" w:cs="Gill Sans"/>
          <w:sz w:val="22"/>
          <w:szCs w:val="22"/>
          <w:lang w:val="uk-UA"/>
        </w:rPr>
        <w:tab/>
      </w:r>
      <w:r w:rsidRPr="00257F44">
        <w:rPr>
          <w:rFonts w:ascii="Gill Sans" w:hAnsi="Gill Sans" w:cs="Gill Sans"/>
          <w:sz w:val="22"/>
          <w:szCs w:val="22"/>
          <w:lang w:val="uk-UA"/>
        </w:rPr>
        <w:tab/>
        <w:t>Термін виконання: 31 грудня 2015 р.</w:t>
      </w:r>
    </w:p>
    <w:tbl>
      <w:tblPr>
        <w:tblW w:w="10179"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352"/>
        <w:gridCol w:w="351"/>
        <w:gridCol w:w="351"/>
        <w:gridCol w:w="434"/>
        <w:gridCol w:w="434"/>
        <w:gridCol w:w="351"/>
        <w:gridCol w:w="351"/>
        <w:gridCol w:w="852"/>
        <w:gridCol w:w="351"/>
        <w:gridCol w:w="351"/>
        <w:gridCol w:w="351"/>
        <w:gridCol w:w="351"/>
        <w:gridCol w:w="518"/>
        <w:gridCol w:w="518"/>
        <w:gridCol w:w="518"/>
        <w:gridCol w:w="434"/>
        <w:gridCol w:w="351"/>
        <w:gridCol w:w="434"/>
        <w:gridCol w:w="351"/>
        <w:gridCol w:w="351"/>
        <w:gridCol w:w="374"/>
      </w:tblGrid>
      <w:tr w:rsidR="00D352DD" w:rsidRPr="00257F44" w14:paraId="1F790DE7" w14:textId="77777777" w:rsidTr="000D7BDC">
        <w:trPr>
          <w:trHeight w:val="405"/>
        </w:trPr>
        <w:tc>
          <w:tcPr>
            <w:tcW w:w="1450" w:type="dxa"/>
            <w:vMerge w:val="restart"/>
            <w:tcBorders>
              <w:top w:val="single" w:sz="18" w:space="0" w:color="FFFFFF"/>
              <w:left w:val="single" w:sz="4" w:space="0" w:color="FFFFFF"/>
              <w:right w:val="single" w:sz="18" w:space="0" w:color="FFFFFF"/>
            </w:tcBorders>
            <w:shd w:val="clear" w:color="auto" w:fill="000000"/>
          </w:tcPr>
          <w:p w14:paraId="5C55B7EE" w14:textId="3ED81C90" w:rsidR="00D352DD" w:rsidRPr="00257F44" w:rsidRDefault="00D352DD" w:rsidP="0020660D">
            <w:pPr>
              <w:rPr>
                <w:rFonts w:ascii="Gill Sans" w:hAnsi="Gill Sans" w:cs="Gill Sans"/>
                <w:color w:val="FFFFFF" w:themeColor="background1"/>
                <w:sz w:val="22"/>
                <w:szCs w:val="22"/>
                <w:lang w:val="uk-UA"/>
              </w:rPr>
            </w:pPr>
            <w:r w:rsidRPr="00257F44">
              <w:rPr>
                <w:rFonts w:ascii="Gill Sans" w:hAnsi="Gill Sans" w:cs="Gill Sans"/>
                <w:sz w:val="20"/>
                <w:szCs w:val="20"/>
                <w:lang w:val="uk-UA"/>
              </w:rPr>
              <w:t>Опис зобов’язання</w:t>
            </w:r>
          </w:p>
        </w:tc>
        <w:tc>
          <w:tcPr>
            <w:tcW w:w="1488" w:type="dxa"/>
            <w:gridSpan w:val="4"/>
            <w:vMerge w:val="restart"/>
            <w:tcBorders>
              <w:top w:val="single" w:sz="18" w:space="0" w:color="FFFFFF"/>
              <w:left w:val="single" w:sz="18" w:space="0" w:color="FFFFFF"/>
              <w:right w:val="single" w:sz="18" w:space="0" w:color="FFFFFF"/>
            </w:tcBorders>
            <w:shd w:val="clear" w:color="auto" w:fill="D6E3BC"/>
          </w:tcPr>
          <w:p w14:paraId="5F7DFE06" w14:textId="5C848D5B"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Конкретність</w:t>
            </w:r>
          </w:p>
        </w:tc>
        <w:tc>
          <w:tcPr>
            <w:tcW w:w="1988" w:type="dxa"/>
            <w:gridSpan w:val="4"/>
            <w:vMerge w:val="restart"/>
            <w:tcBorders>
              <w:top w:val="single" w:sz="18" w:space="0" w:color="FFFFFF"/>
              <w:left w:val="single" w:sz="18" w:space="0" w:color="FFFFFF"/>
              <w:right w:val="single" w:sz="18" w:space="0" w:color="FFFFFF"/>
            </w:tcBorders>
            <w:shd w:val="clear" w:color="auto" w:fill="FBD4B4"/>
          </w:tcPr>
          <w:p w14:paraId="7F8720D7" w14:textId="1522CD13"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Відповідність цінностям ПВУ (як сформульовано)</w:t>
            </w:r>
          </w:p>
        </w:tc>
        <w:tc>
          <w:tcPr>
            <w:tcW w:w="1404" w:type="dxa"/>
            <w:gridSpan w:val="4"/>
            <w:vMerge w:val="restart"/>
            <w:tcBorders>
              <w:top w:val="single" w:sz="18" w:space="0" w:color="FFFFFF"/>
              <w:left w:val="single" w:sz="18" w:space="0" w:color="FFFFFF"/>
              <w:right w:val="single" w:sz="18" w:space="0" w:color="FFFFFF"/>
            </w:tcBorders>
            <w:shd w:val="clear" w:color="auto" w:fill="CCC0D9"/>
          </w:tcPr>
          <w:p w14:paraId="7E03D130" w14:textId="7D3A94A1"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Потенційний вплив</w:t>
            </w:r>
          </w:p>
        </w:tc>
        <w:tc>
          <w:tcPr>
            <w:tcW w:w="1036" w:type="dxa"/>
            <w:gridSpan w:val="2"/>
            <w:vMerge w:val="restart"/>
            <w:tcBorders>
              <w:top w:val="single" w:sz="18" w:space="0" w:color="FFFFFF"/>
              <w:left w:val="single" w:sz="18" w:space="0" w:color="FFFFFF"/>
              <w:right w:val="single" w:sz="2" w:space="0" w:color="FFFFFF"/>
            </w:tcBorders>
            <w:shd w:val="clear" w:color="auto" w:fill="B8CCE4"/>
          </w:tcPr>
          <w:p w14:paraId="737D0CA7" w14:textId="76AC42CE"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Стан вико-нання</w:t>
            </w:r>
          </w:p>
        </w:tc>
        <w:tc>
          <w:tcPr>
            <w:tcW w:w="952"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1F5B6A5E" w14:textId="1582416A"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Про-міжний</w:t>
            </w:r>
          </w:p>
        </w:tc>
        <w:tc>
          <w:tcPr>
            <w:tcW w:w="1861" w:type="dxa"/>
            <w:gridSpan w:val="5"/>
            <w:vMerge w:val="restart"/>
            <w:tcBorders>
              <w:top w:val="single" w:sz="18" w:space="0" w:color="FFFFFF"/>
              <w:left w:val="single" w:sz="18" w:space="0" w:color="FFFFFF"/>
              <w:right w:val="single" w:sz="18" w:space="0" w:color="FFFFFF"/>
            </w:tcBorders>
            <w:shd w:val="clear" w:color="auto" w:fill="D99594"/>
          </w:tcPr>
          <w:p w14:paraId="110C49D4" w14:textId="3FE3547C"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Чи відкрило це уряд?</w:t>
            </w:r>
          </w:p>
        </w:tc>
      </w:tr>
      <w:tr w:rsidR="0020660D" w:rsidRPr="00257F44" w14:paraId="7C2D5CAB" w14:textId="77777777" w:rsidTr="000D7BDC">
        <w:trPr>
          <w:trHeight w:val="373"/>
        </w:trPr>
        <w:tc>
          <w:tcPr>
            <w:tcW w:w="1450" w:type="dxa"/>
            <w:vMerge/>
            <w:tcBorders>
              <w:left w:val="single" w:sz="4" w:space="0" w:color="FFFFFF"/>
              <w:right w:val="single" w:sz="18" w:space="0" w:color="FFFFFF"/>
            </w:tcBorders>
            <w:shd w:val="clear" w:color="auto" w:fill="000000"/>
          </w:tcPr>
          <w:p w14:paraId="02172021" w14:textId="1380A574" w:rsidR="0020660D" w:rsidRPr="00257F44" w:rsidRDefault="0020660D" w:rsidP="0020660D">
            <w:pPr>
              <w:rPr>
                <w:rFonts w:ascii="Gill Sans" w:hAnsi="Gill Sans" w:cs="Gill Sans"/>
                <w:color w:val="FFFFFF" w:themeColor="background1"/>
                <w:sz w:val="22"/>
                <w:szCs w:val="22"/>
                <w:lang w:val="uk-UA"/>
              </w:rPr>
            </w:pPr>
          </w:p>
        </w:tc>
        <w:tc>
          <w:tcPr>
            <w:tcW w:w="1488" w:type="dxa"/>
            <w:gridSpan w:val="4"/>
            <w:vMerge/>
            <w:tcBorders>
              <w:left w:val="single" w:sz="18" w:space="0" w:color="FFFFFF"/>
              <w:bottom w:val="single" w:sz="18" w:space="0" w:color="FFFFFF"/>
              <w:right w:val="single" w:sz="18" w:space="0" w:color="FFFFFF"/>
            </w:tcBorders>
            <w:shd w:val="clear" w:color="auto" w:fill="D6E3BC"/>
          </w:tcPr>
          <w:p w14:paraId="4C3830DC" w14:textId="77777777" w:rsidR="0020660D" w:rsidRPr="00257F44" w:rsidRDefault="0020660D" w:rsidP="0020660D">
            <w:pPr>
              <w:rPr>
                <w:rFonts w:ascii="Gill Sans" w:hAnsi="Gill Sans" w:cs="Gill Sans"/>
                <w:sz w:val="22"/>
                <w:szCs w:val="22"/>
                <w:lang w:val="uk-UA"/>
              </w:rPr>
            </w:pPr>
          </w:p>
        </w:tc>
        <w:tc>
          <w:tcPr>
            <w:tcW w:w="1988" w:type="dxa"/>
            <w:gridSpan w:val="4"/>
            <w:vMerge/>
            <w:tcBorders>
              <w:left w:val="single" w:sz="18" w:space="0" w:color="FFFFFF"/>
              <w:bottom w:val="single" w:sz="18" w:space="0" w:color="FFFFFF"/>
              <w:right w:val="single" w:sz="18" w:space="0" w:color="FFFFFF"/>
            </w:tcBorders>
            <w:shd w:val="clear" w:color="auto" w:fill="FBD4B4"/>
          </w:tcPr>
          <w:p w14:paraId="22B73B79" w14:textId="77777777" w:rsidR="0020660D" w:rsidRPr="00257F44" w:rsidRDefault="0020660D" w:rsidP="0020660D">
            <w:pPr>
              <w:rPr>
                <w:rFonts w:ascii="Gill Sans" w:hAnsi="Gill Sans" w:cs="Gill Sans"/>
                <w:sz w:val="22"/>
                <w:szCs w:val="22"/>
                <w:lang w:val="uk-UA"/>
              </w:rPr>
            </w:pPr>
          </w:p>
        </w:tc>
        <w:tc>
          <w:tcPr>
            <w:tcW w:w="1404" w:type="dxa"/>
            <w:gridSpan w:val="4"/>
            <w:vMerge/>
            <w:tcBorders>
              <w:left w:val="single" w:sz="18" w:space="0" w:color="FFFFFF"/>
              <w:bottom w:val="single" w:sz="18" w:space="0" w:color="FFFFFF"/>
              <w:right w:val="single" w:sz="18" w:space="0" w:color="FFFFFF"/>
            </w:tcBorders>
            <w:shd w:val="clear" w:color="auto" w:fill="CCC0D9"/>
          </w:tcPr>
          <w:p w14:paraId="6A714960" w14:textId="77777777" w:rsidR="0020660D" w:rsidRPr="00257F44" w:rsidRDefault="0020660D" w:rsidP="0020660D">
            <w:pPr>
              <w:rPr>
                <w:rFonts w:ascii="Gill Sans" w:hAnsi="Gill Sans" w:cs="Gill Sans"/>
                <w:sz w:val="22"/>
                <w:szCs w:val="22"/>
                <w:lang w:val="uk-UA"/>
              </w:rPr>
            </w:pPr>
          </w:p>
        </w:tc>
        <w:tc>
          <w:tcPr>
            <w:tcW w:w="1036" w:type="dxa"/>
            <w:gridSpan w:val="2"/>
            <w:vMerge/>
            <w:tcBorders>
              <w:left w:val="single" w:sz="18" w:space="0" w:color="FFFFFF"/>
              <w:bottom w:val="single" w:sz="18" w:space="0" w:color="FFFFFF"/>
              <w:right w:val="single" w:sz="2" w:space="0" w:color="FFFFFF"/>
            </w:tcBorders>
            <w:shd w:val="clear" w:color="auto" w:fill="B8CCE4"/>
          </w:tcPr>
          <w:p w14:paraId="1718DF77" w14:textId="77777777" w:rsidR="0020660D" w:rsidRPr="00257F44" w:rsidRDefault="0020660D" w:rsidP="0020660D">
            <w:pPr>
              <w:rPr>
                <w:rFonts w:ascii="Gill Sans" w:hAnsi="Gill Sans" w:cs="Gill Sans"/>
                <w:sz w:val="22"/>
                <w:szCs w:val="22"/>
                <w:lang w:val="uk-UA"/>
              </w:rPr>
            </w:pPr>
          </w:p>
        </w:tc>
        <w:tc>
          <w:tcPr>
            <w:tcW w:w="952"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304187D0" w14:textId="4AD91B5A" w:rsidR="0020660D" w:rsidRPr="00257F44" w:rsidRDefault="00D352DD" w:rsidP="0020660D">
            <w:pPr>
              <w:rPr>
                <w:rFonts w:ascii="Gill Sans" w:hAnsi="Gill Sans" w:cs="Gill Sans"/>
                <w:sz w:val="20"/>
                <w:szCs w:val="20"/>
                <w:lang w:val="uk-UA"/>
              </w:rPr>
            </w:pPr>
            <w:r w:rsidRPr="00257F44">
              <w:rPr>
                <w:rFonts w:ascii="Gill Sans" w:hAnsi="Gill Sans" w:cs="Gill Sans"/>
                <w:sz w:val="20"/>
                <w:szCs w:val="20"/>
                <w:lang w:val="uk-UA"/>
              </w:rPr>
              <w:t>Підсум-ковий</w:t>
            </w:r>
          </w:p>
        </w:tc>
        <w:tc>
          <w:tcPr>
            <w:tcW w:w="1861" w:type="dxa"/>
            <w:gridSpan w:val="5"/>
            <w:vMerge/>
            <w:tcBorders>
              <w:left w:val="single" w:sz="18" w:space="0" w:color="FFFFFF"/>
              <w:bottom w:val="single" w:sz="18" w:space="0" w:color="FFFFFF"/>
              <w:right w:val="single" w:sz="18" w:space="0" w:color="FFFFFF"/>
            </w:tcBorders>
            <w:shd w:val="clear" w:color="auto" w:fill="D99594"/>
          </w:tcPr>
          <w:p w14:paraId="5D03F726" w14:textId="77777777" w:rsidR="0020660D" w:rsidRPr="00257F44" w:rsidRDefault="0020660D" w:rsidP="0020660D">
            <w:pPr>
              <w:rPr>
                <w:rFonts w:ascii="Gill Sans" w:hAnsi="Gill Sans" w:cs="Gill Sans"/>
                <w:sz w:val="22"/>
                <w:szCs w:val="22"/>
                <w:lang w:val="uk-UA"/>
              </w:rPr>
            </w:pPr>
          </w:p>
        </w:tc>
      </w:tr>
      <w:tr w:rsidR="00D352DD" w:rsidRPr="00257F44" w14:paraId="7A51B17A" w14:textId="77777777" w:rsidTr="00984830">
        <w:trPr>
          <w:cantSplit/>
          <w:trHeight w:val="2336"/>
        </w:trPr>
        <w:tc>
          <w:tcPr>
            <w:tcW w:w="1450" w:type="dxa"/>
            <w:vMerge/>
            <w:tcBorders>
              <w:left w:val="single" w:sz="4" w:space="0" w:color="FFFFFF"/>
              <w:right w:val="single" w:sz="18" w:space="0" w:color="FFFFFF"/>
            </w:tcBorders>
            <w:shd w:val="clear" w:color="auto" w:fill="000000"/>
          </w:tcPr>
          <w:p w14:paraId="73491397" w14:textId="527052AB" w:rsidR="00D352DD" w:rsidRPr="00257F44" w:rsidRDefault="00D352DD" w:rsidP="0020660D">
            <w:pPr>
              <w:rPr>
                <w:rFonts w:ascii="Gill Sans" w:hAnsi="Gill Sans" w:cs="Gill Sans"/>
                <w:color w:val="FFFFFF" w:themeColor="background1"/>
                <w:sz w:val="22"/>
                <w:szCs w:val="22"/>
                <w:lang w:val="uk-UA"/>
              </w:rPr>
            </w:pPr>
          </w:p>
        </w:tc>
        <w:tc>
          <w:tcPr>
            <w:tcW w:w="352"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55817147" w14:textId="2F5D124B"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Відсутня</w:t>
            </w:r>
          </w:p>
        </w:tc>
        <w:tc>
          <w:tcPr>
            <w:tcW w:w="351"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61E3A082" w14:textId="570B4388"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Низька</w:t>
            </w:r>
          </w:p>
        </w:tc>
        <w:tc>
          <w:tcPr>
            <w:tcW w:w="351"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749194C2" w14:textId="09D790F6"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Середня</w:t>
            </w:r>
          </w:p>
        </w:tc>
        <w:tc>
          <w:tcPr>
            <w:tcW w:w="434"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1004C825" w14:textId="250DA7F0"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Висока</w:t>
            </w:r>
          </w:p>
        </w:tc>
        <w:tc>
          <w:tcPr>
            <w:tcW w:w="434"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227EFC0D" w14:textId="7E68BA82"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Доступ до інформації</w:t>
            </w:r>
          </w:p>
        </w:tc>
        <w:tc>
          <w:tcPr>
            <w:tcW w:w="351"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7C983292" w14:textId="1CFAA644"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Громадська участь</w:t>
            </w:r>
          </w:p>
        </w:tc>
        <w:tc>
          <w:tcPr>
            <w:tcW w:w="351"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75D8FF8D" w14:textId="01C7672B"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Підзвітність влади</w:t>
            </w:r>
          </w:p>
        </w:tc>
        <w:tc>
          <w:tcPr>
            <w:tcW w:w="852"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20D0AF73" w14:textId="3E5A3E0A"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Технології та інновації для прозорості й підзвітності</w:t>
            </w:r>
          </w:p>
        </w:tc>
        <w:tc>
          <w:tcPr>
            <w:tcW w:w="351"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00E77F8F" w14:textId="6914A0A4"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Жодного</w:t>
            </w:r>
          </w:p>
        </w:tc>
        <w:tc>
          <w:tcPr>
            <w:tcW w:w="351"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4C154DF1" w14:textId="25626370"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Незначний</w:t>
            </w:r>
          </w:p>
        </w:tc>
        <w:tc>
          <w:tcPr>
            <w:tcW w:w="351"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685BEAD8" w14:textId="2FB0221F"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Помірний</w:t>
            </w:r>
          </w:p>
        </w:tc>
        <w:tc>
          <w:tcPr>
            <w:tcW w:w="351"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294D5309" w14:textId="5EB3AE42"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Трансформуючий</w:t>
            </w:r>
          </w:p>
        </w:tc>
        <w:tc>
          <w:tcPr>
            <w:tcW w:w="518"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16774FB2" w14:textId="29061394"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Не розпочато</w:t>
            </w:r>
          </w:p>
        </w:tc>
        <w:tc>
          <w:tcPr>
            <w:tcW w:w="518"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7A3927D1" w14:textId="07F00AC7"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Обмежене</w:t>
            </w:r>
          </w:p>
        </w:tc>
        <w:tc>
          <w:tcPr>
            <w:tcW w:w="518"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7DB97A0D" w14:textId="33E3AED7"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Значне</w:t>
            </w:r>
          </w:p>
        </w:tc>
        <w:tc>
          <w:tcPr>
            <w:tcW w:w="434"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4F8C521D" w14:textId="5197E8DD"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Повне</w:t>
            </w:r>
          </w:p>
        </w:tc>
        <w:tc>
          <w:tcPr>
            <w:tcW w:w="351"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5536F315" w14:textId="1B58A65A"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Погіршило</w:t>
            </w:r>
          </w:p>
        </w:tc>
        <w:tc>
          <w:tcPr>
            <w:tcW w:w="434"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8185096" w14:textId="1ECA8E09"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Не змінило</w:t>
            </w:r>
          </w:p>
        </w:tc>
        <w:tc>
          <w:tcPr>
            <w:tcW w:w="351"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7D849CF" w14:textId="2F41872E"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Обмежено</w:t>
            </w:r>
          </w:p>
        </w:tc>
        <w:tc>
          <w:tcPr>
            <w:tcW w:w="351"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5F945055" w14:textId="1247076B"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Значною мірою</w:t>
            </w:r>
          </w:p>
        </w:tc>
        <w:tc>
          <w:tcPr>
            <w:tcW w:w="374"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57DAA751" w14:textId="3AB57AC4" w:rsidR="00D352DD" w:rsidRPr="00257F44" w:rsidRDefault="00D352DD" w:rsidP="0020660D">
            <w:pPr>
              <w:rPr>
                <w:rFonts w:ascii="Gill Sans" w:hAnsi="Gill Sans" w:cs="Gill Sans"/>
                <w:sz w:val="22"/>
                <w:szCs w:val="22"/>
                <w:lang w:val="uk-UA"/>
              </w:rPr>
            </w:pPr>
            <w:r w:rsidRPr="00257F44">
              <w:rPr>
                <w:rFonts w:ascii="Gill Sans" w:hAnsi="Gill Sans" w:cs="Gill Sans"/>
                <w:sz w:val="20"/>
                <w:szCs w:val="20"/>
                <w:lang w:val="uk-UA"/>
              </w:rPr>
              <w:t>Визначною мірою</w:t>
            </w:r>
          </w:p>
        </w:tc>
      </w:tr>
      <w:tr w:rsidR="009B0529" w:rsidRPr="00257F44" w14:paraId="653E5290" w14:textId="77777777" w:rsidTr="000D7BDC">
        <w:trPr>
          <w:trHeight w:val="340"/>
        </w:trPr>
        <w:tc>
          <w:tcPr>
            <w:tcW w:w="1450" w:type="dxa"/>
            <w:vMerge/>
            <w:tcBorders>
              <w:left w:val="single" w:sz="4" w:space="0" w:color="FFFFFF"/>
              <w:right w:val="single" w:sz="18" w:space="0" w:color="FFFFFF"/>
            </w:tcBorders>
            <w:shd w:val="clear" w:color="auto" w:fill="000000"/>
          </w:tcPr>
          <w:p w14:paraId="2B129A78" w14:textId="482215B1" w:rsidR="0020660D" w:rsidRPr="00257F44" w:rsidRDefault="0020660D" w:rsidP="0020660D">
            <w:pPr>
              <w:rPr>
                <w:rFonts w:ascii="Gill Sans" w:hAnsi="Gill Sans" w:cs="Gill Sans"/>
                <w:noProof/>
                <w:color w:val="FFFFFF" w:themeColor="background1"/>
                <w:sz w:val="22"/>
                <w:szCs w:val="22"/>
                <w:lang w:val="uk-UA"/>
              </w:rPr>
            </w:pPr>
          </w:p>
        </w:tc>
        <w:tc>
          <w:tcPr>
            <w:tcW w:w="352" w:type="dxa"/>
            <w:vMerge w:val="restart"/>
            <w:tcBorders>
              <w:top w:val="single" w:sz="18" w:space="0" w:color="FFFFFF"/>
              <w:left w:val="single" w:sz="18" w:space="0" w:color="FFFFFF"/>
              <w:right w:val="single" w:sz="2" w:space="0" w:color="FFFFFF"/>
            </w:tcBorders>
            <w:shd w:val="clear" w:color="auto" w:fill="D6E3BC"/>
          </w:tcPr>
          <w:p w14:paraId="03BCBEE5" w14:textId="77777777" w:rsidR="0020660D" w:rsidRPr="00257F44" w:rsidRDefault="0020660D" w:rsidP="0020660D">
            <w:pPr>
              <w:jc w:val="center"/>
              <w:rPr>
                <w:rFonts w:ascii="Gill Sans" w:hAnsi="Gill Sans" w:cs="Gill Sans"/>
                <w:sz w:val="22"/>
                <w:szCs w:val="22"/>
                <w:lang w:val="uk-UA"/>
              </w:rPr>
            </w:pPr>
          </w:p>
        </w:tc>
        <w:tc>
          <w:tcPr>
            <w:tcW w:w="351" w:type="dxa"/>
            <w:vMerge w:val="restart"/>
            <w:tcBorders>
              <w:top w:val="single" w:sz="18" w:space="0" w:color="FFFFFF"/>
              <w:left w:val="single" w:sz="2" w:space="0" w:color="FFFFFF"/>
              <w:right w:val="single" w:sz="2" w:space="0" w:color="FFFFFF"/>
            </w:tcBorders>
            <w:shd w:val="clear" w:color="auto" w:fill="D6E3BC"/>
          </w:tcPr>
          <w:p w14:paraId="7AF40DBC" w14:textId="77777777" w:rsidR="0020660D" w:rsidRPr="00257F44" w:rsidRDefault="0020660D" w:rsidP="0020660D">
            <w:pPr>
              <w:jc w:val="center"/>
              <w:rPr>
                <w:rFonts w:ascii="Gill Sans" w:hAnsi="Gill Sans" w:cs="Gill Sans"/>
                <w:sz w:val="22"/>
                <w:szCs w:val="22"/>
                <w:lang w:val="uk-UA"/>
              </w:rPr>
            </w:pPr>
          </w:p>
        </w:tc>
        <w:tc>
          <w:tcPr>
            <w:tcW w:w="351" w:type="dxa"/>
            <w:vMerge w:val="restart"/>
            <w:tcBorders>
              <w:top w:val="single" w:sz="18" w:space="0" w:color="FFFFFF"/>
              <w:left w:val="single" w:sz="2" w:space="0" w:color="FFFFFF"/>
              <w:right w:val="single" w:sz="2" w:space="0" w:color="FFFFFF"/>
            </w:tcBorders>
            <w:shd w:val="clear" w:color="auto" w:fill="D6E3BC"/>
          </w:tcPr>
          <w:p w14:paraId="7FBFEE7D" w14:textId="77777777" w:rsidR="0020660D" w:rsidRPr="00257F44" w:rsidRDefault="0020660D" w:rsidP="0020660D">
            <w:pPr>
              <w:jc w:val="center"/>
              <w:rPr>
                <w:rFonts w:ascii="Gill Sans" w:hAnsi="Gill Sans" w:cs="Gill Sans"/>
                <w:sz w:val="22"/>
                <w:szCs w:val="22"/>
                <w:lang w:val="uk-UA"/>
              </w:rPr>
            </w:pPr>
          </w:p>
        </w:tc>
        <w:tc>
          <w:tcPr>
            <w:tcW w:w="434" w:type="dxa"/>
            <w:vMerge w:val="restart"/>
            <w:tcBorders>
              <w:top w:val="single" w:sz="18" w:space="0" w:color="FFFFFF"/>
              <w:left w:val="single" w:sz="2" w:space="0" w:color="FFFFFF"/>
              <w:right w:val="single" w:sz="18" w:space="0" w:color="FFFFFF"/>
            </w:tcBorders>
            <w:shd w:val="clear" w:color="auto" w:fill="D6E3BC"/>
          </w:tcPr>
          <w:p w14:paraId="012D21BB" w14:textId="77777777" w:rsidR="0020660D" w:rsidRPr="00257F44" w:rsidRDefault="0020660D" w:rsidP="0020660D">
            <w:pPr>
              <w:jc w:val="cente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434" w:type="dxa"/>
            <w:vMerge w:val="restart"/>
            <w:tcBorders>
              <w:top w:val="single" w:sz="18" w:space="0" w:color="FFFFFF"/>
              <w:left w:val="single" w:sz="2" w:space="0" w:color="FFFFFF"/>
              <w:right w:val="single" w:sz="2" w:space="0" w:color="FFFFFF"/>
            </w:tcBorders>
            <w:shd w:val="clear" w:color="auto" w:fill="FBD4B4"/>
          </w:tcPr>
          <w:p w14:paraId="3B73C133" w14:textId="43457A5C" w:rsidR="0020660D" w:rsidRPr="00257F44" w:rsidRDefault="0020660D" w:rsidP="0020660D">
            <w:pPr>
              <w:jc w:val="cente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51" w:type="dxa"/>
            <w:vMerge w:val="restart"/>
            <w:tcBorders>
              <w:top w:val="single" w:sz="18" w:space="0" w:color="FFFFFF"/>
              <w:left w:val="single" w:sz="2" w:space="0" w:color="FFFFFF"/>
              <w:right w:val="single" w:sz="2" w:space="0" w:color="FFFFFF"/>
            </w:tcBorders>
            <w:shd w:val="clear" w:color="auto" w:fill="FBD4B4"/>
          </w:tcPr>
          <w:p w14:paraId="62C79931" w14:textId="097BC104" w:rsidR="0020660D" w:rsidRPr="00257F44" w:rsidRDefault="0020660D" w:rsidP="0020660D">
            <w:pPr>
              <w:jc w:val="center"/>
              <w:rPr>
                <w:rFonts w:ascii="Zapf Dingbats" w:hAnsi="Zapf Dingbats" w:cs="Gill Sans"/>
                <w:noProof/>
                <w:sz w:val="22"/>
                <w:szCs w:val="22"/>
                <w:lang w:val="uk-UA"/>
              </w:rPr>
            </w:pPr>
          </w:p>
        </w:tc>
        <w:tc>
          <w:tcPr>
            <w:tcW w:w="351" w:type="dxa"/>
            <w:vMerge w:val="restart"/>
            <w:tcBorders>
              <w:top w:val="single" w:sz="18" w:space="0" w:color="FFFFFF"/>
              <w:left w:val="single" w:sz="2" w:space="0" w:color="FFFFFF"/>
              <w:right w:val="single" w:sz="2" w:space="0" w:color="FFFFFF"/>
            </w:tcBorders>
            <w:shd w:val="clear" w:color="auto" w:fill="FBD4B4"/>
          </w:tcPr>
          <w:p w14:paraId="1E4CE60A" w14:textId="77777777" w:rsidR="0020660D" w:rsidRPr="00257F44" w:rsidRDefault="0020660D" w:rsidP="0020660D">
            <w:pPr>
              <w:jc w:val="cente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852" w:type="dxa"/>
            <w:vMerge w:val="restart"/>
            <w:tcBorders>
              <w:top w:val="single" w:sz="18" w:space="0" w:color="FFFFFF"/>
              <w:left w:val="single" w:sz="2" w:space="0" w:color="FFFFFF"/>
              <w:right w:val="single" w:sz="18" w:space="0" w:color="FFFFFF"/>
            </w:tcBorders>
            <w:shd w:val="clear" w:color="auto" w:fill="FBD4B4"/>
          </w:tcPr>
          <w:p w14:paraId="0721BD11" w14:textId="2A002968" w:rsidR="0020660D" w:rsidRPr="00257F44" w:rsidRDefault="0020660D" w:rsidP="0020660D">
            <w:pPr>
              <w:jc w:val="cente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51" w:type="dxa"/>
            <w:vMerge w:val="restart"/>
            <w:tcBorders>
              <w:top w:val="single" w:sz="18" w:space="0" w:color="FFFFFF"/>
              <w:left w:val="single" w:sz="18" w:space="0" w:color="FFFFFF"/>
              <w:right w:val="single" w:sz="2" w:space="0" w:color="FFFFFF"/>
            </w:tcBorders>
            <w:shd w:val="clear" w:color="auto" w:fill="CCC0D9"/>
          </w:tcPr>
          <w:p w14:paraId="345EE7D4" w14:textId="77777777" w:rsidR="0020660D" w:rsidRPr="00257F44" w:rsidRDefault="0020660D" w:rsidP="0020660D">
            <w:pPr>
              <w:jc w:val="center"/>
              <w:rPr>
                <w:rFonts w:ascii="Zapf Dingbats" w:hAnsi="Zapf Dingbats" w:cs="Gill Sans"/>
                <w:sz w:val="22"/>
                <w:szCs w:val="22"/>
                <w:lang w:val="uk-UA"/>
              </w:rPr>
            </w:pPr>
          </w:p>
        </w:tc>
        <w:tc>
          <w:tcPr>
            <w:tcW w:w="351" w:type="dxa"/>
            <w:vMerge w:val="restart"/>
            <w:tcBorders>
              <w:top w:val="single" w:sz="18" w:space="0" w:color="FFFFFF"/>
              <w:left w:val="single" w:sz="2" w:space="0" w:color="FFFFFF"/>
              <w:right w:val="single" w:sz="2" w:space="0" w:color="FFFFFF"/>
            </w:tcBorders>
            <w:shd w:val="clear" w:color="auto" w:fill="CCC0D9"/>
          </w:tcPr>
          <w:p w14:paraId="37F081C3" w14:textId="63414FC0" w:rsidR="0020660D" w:rsidRPr="00257F44" w:rsidRDefault="0020660D" w:rsidP="0020660D">
            <w:pPr>
              <w:jc w:val="center"/>
              <w:rPr>
                <w:rFonts w:ascii="Zapf Dingbats" w:hAnsi="Zapf Dingbats" w:cs="Gill Sans"/>
                <w:sz w:val="22"/>
                <w:szCs w:val="22"/>
                <w:lang w:val="uk-UA"/>
              </w:rPr>
            </w:pPr>
          </w:p>
        </w:tc>
        <w:tc>
          <w:tcPr>
            <w:tcW w:w="351" w:type="dxa"/>
            <w:vMerge w:val="restart"/>
            <w:tcBorders>
              <w:top w:val="single" w:sz="18" w:space="0" w:color="FFFFFF"/>
              <w:left w:val="single" w:sz="2" w:space="0" w:color="FFFFFF"/>
              <w:right w:val="single" w:sz="2" w:space="0" w:color="FFFFFF"/>
            </w:tcBorders>
            <w:shd w:val="clear" w:color="auto" w:fill="CCC0D9"/>
          </w:tcPr>
          <w:p w14:paraId="20AEF633" w14:textId="77777777" w:rsidR="0020660D" w:rsidRPr="00257F44" w:rsidRDefault="0020660D" w:rsidP="0020660D">
            <w:pPr>
              <w:jc w:val="center"/>
              <w:rPr>
                <w:rFonts w:ascii="Zapf Dingbats" w:hAnsi="Zapf Dingbats" w:cs="Gill Sans"/>
                <w:noProof/>
                <w:sz w:val="22"/>
                <w:szCs w:val="22"/>
                <w:lang w:val="uk-UA"/>
              </w:rPr>
            </w:pPr>
          </w:p>
        </w:tc>
        <w:tc>
          <w:tcPr>
            <w:tcW w:w="351" w:type="dxa"/>
            <w:vMerge w:val="restart"/>
            <w:tcBorders>
              <w:top w:val="single" w:sz="18" w:space="0" w:color="FFFFFF"/>
              <w:left w:val="single" w:sz="2" w:space="0" w:color="FFFFFF"/>
              <w:right w:val="single" w:sz="18" w:space="0" w:color="FFFFFF"/>
            </w:tcBorders>
            <w:shd w:val="clear" w:color="auto" w:fill="CCC0D9"/>
          </w:tcPr>
          <w:p w14:paraId="7327CCA1" w14:textId="3C171349" w:rsidR="0020660D" w:rsidRPr="00257F44" w:rsidRDefault="0020660D" w:rsidP="0020660D">
            <w:pPr>
              <w:jc w:val="cente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518"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58E22EFA" w14:textId="77777777" w:rsidR="0020660D" w:rsidRPr="00257F44" w:rsidRDefault="0020660D" w:rsidP="0020660D">
            <w:pPr>
              <w:jc w:val="center"/>
              <w:rPr>
                <w:rFonts w:ascii="Zapf Dingbats" w:hAnsi="Zapf Dingbats" w:cs="Gill Sans"/>
                <w:sz w:val="22"/>
                <w:szCs w:val="22"/>
                <w:lang w:val="uk-UA"/>
              </w:rPr>
            </w:pPr>
          </w:p>
        </w:tc>
        <w:tc>
          <w:tcPr>
            <w:tcW w:w="518"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78311BA3" w14:textId="092053BB" w:rsidR="0020660D" w:rsidRPr="00257F44" w:rsidRDefault="0020660D" w:rsidP="0020660D">
            <w:pPr>
              <w:jc w:val="cente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518"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0EFE2EDC" w14:textId="3838E595" w:rsidR="0020660D" w:rsidRPr="00257F44" w:rsidRDefault="0020660D" w:rsidP="0020660D">
            <w:pPr>
              <w:jc w:val="center"/>
              <w:rPr>
                <w:rFonts w:ascii="Zapf Dingbats" w:hAnsi="Zapf Dingbats" w:cs="Gill Sans"/>
                <w:sz w:val="22"/>
                <w:szCs w:val="22"/>
                <w:lang w:val="uk-UA"/>
              </w:rPr>
            </w:pPr>
          </w:p>
        </w:tc>
        <w:tc>
          <w:tcPr>
            <w:tcW w:w="434"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48585E1A" w14:textId="77777777" w:rsidR="0020660D" w:rsidRPr="00257F44" w:rsidRDefault="0020660D" w:rsidP="0020660D">
            <w:pPr>
              <w:jc w:val="center"/>
              <w:rPr>
                <w:rFonts w:ascii="Zapf Dingbats" w:hAnsi="Zapf Dingbats" w:cs="Gill Sans"/>
                <w:sz w:val="22"/>
                <w:szCs w:val="22"/>
                <w:lang w:val="uk-UA"/>
              </w:rPr>
            </w:pPr>
          </w:p>
        </w:tc>
        <w:tc>
          <w:tcPr>
            <w:tcW w:w="351" w:type="dxa"/>
            <w:vMerge w:val="restart"/>
            <w:tcBorders>
              <w:top w:val="single" w:sz="18" w:space="0" w:color="FFFFFF"/>
              <w:left w:val="single" w:sz="18" w:space="0" w:color="FFFFFF"/>
              <w:right w:val="single" w:sz="2" w:space="0" w:color="FFFFFF"/>
            </w:tcBorders>
            <w:shd w:val="clear" w:color="auto" w:fill="D99594"/>
          </w:tcPr>
          <w:p w14:paraId="011EDD6C" w14:textId="77777777" w:rsidR="0020660D" w:rsidRPr="00257F44" w:rsidRDefault="0020660D" w:rsidP="0020660D">
            <w:pPr>
              <w:jc w:val="center"/>
              <w:rPr>
                <w:rFonts w:ascii="Gill Sans" w:hAnsi="Gill Sans" w:cs="Gill Sans"/>
                <w:sz w:val="22"/>
                <w:szCs w:val="22"/>
                <w:lang w:val="uk-UA"/>
              </w:rPr>
            </w:pPr>
          </w:p>
        </w:tc>
        <w:tc>
          <w:tcPr>
            <w:tcW w:w="434" w:type="dxa"/>
            <w:vMerge w:val="restart"/>
            <w:tcBorders>
              <w:top w:val="single" w:sz="18" w:space="0" w:color="FFFFFF"/>
              <w:left w:val="single" w:sz="2" w:space="0" w:color="FFFFFF"/>
              <w:right w:val="single" w:sz="2" w:space="0" w:color="FFFFFF"/>
            </w:tcBorders>
            <w:shd w:val="clear" w:color="auto" w:fill="D99594"/>
          </w:tcPr>
          <w:p w14:paraId="182120C6" w14:textId="77777777" w:rsidR="0020660D" w:rsidRPr="00257F44" w:rsidRDefault="0020660D" w:rsidP="0020660D">
            <w:pPr>
              <w:jc w:val="center"/>
              <w:rPr>
                <w:rFonts w:ascii="Gill Sans" w:hAnsi="Gill Sans" w:cs="Gill Sans"/>
                <w:sz w:val="22"/>
                <w:szCs w:val="22"/>
                <w:lang w:val="uk-UA"/>
              </w:rPr>
            </w:pPr>
          </w:p>
        </w:tc>
        <w:tc>
          <w:tcPr>
            <w:tcW w:w="351" w:type="dxa"/>
            <w:vMerge w:val="restart"/>
            <w:tcBorders>
              <w:top w:val="single" w:sz="18" w:space="0" w:color="FFFFFF"/>
              <w:left w:val="single" w:sz="2" w:space="0" w:color="FFFFFF"/>
              <w:right w:val="single" w:sz="2" w:space="0" w:color="FFFFFF"/>
            </w:tcBorders>
            <w:shd w:val="clear" w:color="auto" w:fill="D99594"/>
          </w:tcPr>
          <w:p w14:paraId="49F309AC" w14:textId="621783BC" w:rsidR="0020660D" w:rsidRPr="00257F44" w:rsidRDefault="0020660D" w:rsidP="0020660D">
            <w:pPr>
              <w:jc w:val="center"/>
              <w:rPr>
                <w:rFonts w:ascii="Gill Sans" w:hAnsi="Gill Sans" w:cs="Gill Sans"/>
                <w:sz w:val="22"/>
                <w:szCs w:val="22"/>
                <w:lang w:val="uk-UA"/>
              </w:rPr>
            </w:pPr>
          </w:p>
        </w:tc>
        <w:tc>
          <w:tcPr>
            <w:tcW w:w="351" w:type="dxa"/>
            <w:vMerge w:val="restart"/>
            <w:tcBorders>
              <w:top w:val="single" w:sz="18" w:space="0" w:color="FFFFFF"/>
              <w:left w:val="single" w:sz="2" w:space="0" w:color="FFFFFF"/>
              <w:right w:val="single" w:sz="2" w:space="0" w:color="FFFFFF"/>
            </w:tcBorders>
            <w:shd w:val="clear" w:color="auto" w:fill="D99594"/>
          </w:tcPr>
          <w:p w14:paraId="0BC6E43E" w14:textId="77777777" w:rsidR="0020660D" w:rsidRPr="00257F44" w:rsidRDefault="0020660D" w:rsidP="0020660D">
            <w:pPr>
              <w:jc w:val="center"/>
              <w:rPr>
                <w:rFonts w:ascii="Gill Sans" w:hAnsi="Gill Sans" w:cs="Gill Sans"/>
                <w:noProof/>
                <w:sz w:val="22"/>
                <w:szCs w:val="22"/>
                <w:lang w:val="uk-UA"/>
              </w:rPr>
            </w:pPr>
          </w:p>
        </w:tc>
        <w:tc>
          <w:tcPr>
            <w:tcW w:w="374" w:type="dxa"/>
            <w:vMerge w:val="restart"/>
            <w:tcBorders>
              <w:top w:val="single" w:sz="18" w:space="0" w:color="FFFFFF"/>
              <w:left w:val="single" w:sz="2" w:space="0" w:color="FFFFFF"/>
              <w:right w:val="single" w:sz="18" w:space="0" w:color="FFFFFF"/>
            </w:tcBorders>
            <w:shd w:val="clear" w:color="auto" w:fill="D99594"/>
          </w:tcPr>
          <w:p w14:paraId="682EC4BC" w14:textId="61C87403" w:rsidR="0020660D" w:rsidRPr="00257F44" w:rsidRDefault="0020660D" w:rsidP="0020660D">
            <w:pPr>
              <w:jc w:val="center"/>
              <w:rPr>
                <w:rFonts w:ascii="Gill Sans" w:hAnsi="Gill Sans" w:cs="Gill Sans"/>
                <w:sz w:val="22"/>
                <w:szCs w:val="22"/>
                <w:lang w:val="uk-UA"/>
              </w:rPr>
            </w:pPr>
            <w:r w:rsidRPr="00257F44">
              <w:rPr>
                <w:rFonts w:ascii="MS Mincho" w:eastAsia="MS Mincho" w:hAnsi="MS Mincho" w:cs="MS Mincho"/>
                <w:noProof/>
                <w:sz w:val="22"/>
                <w:szCs w:val="22"/>
                <w:lang w:val="uk-UA"/>
              </w:rPr>
              <w:t>✔</w:t>
            </w:r>
          </w:p>
        </w:tc>
      </w:tr>
      <w:tr w:rsidR="009B0529" w:rsidRPr="00257F44" w14:paraId="058F80C4" w14:textId="77777777" w:rsidTr="000D7BDC">
        <w:trPr>
          <w:trHeight w:val="340"/>
        </w:trPr>
        <w:tc>
          <w:tcPr>
            <w:tcW w:w="1450" w:type="dxa"/>
            <w:vMerge/>
            <w:tcBorders>
              <w:left w:val="single" w:sz="4" w:space="0" w:color="FFFFFF"/>
              <w:right w:val="single" w:sz="18" w:space="0" w:color="FFFFFF"/>
            </w:tcBorders>
            <w:shd w:val="clear" w:color="auto" w:fill="000000"/>
          </w:tcPr>
          <w:p w14:paraId="22F2383B" w14:textId="77777777" w:rsidR="0020660D" w:rsidRPr="00257F44" w:rsidRDefault="0020660D" w:rsidP="0020660D">
            <w:pPr>
              <w:rPr>
                <w:rFonts w:ascii="Gill Sans" w:hAnsi="Gill Sans" w:cs="Gill Sans"/>
                <w:color w:val="FFFFFF" w:themeColor="background1"/>
                <w:sz w:val="22"/>
                <w:szCs w:val="22"/>
                <w:lang w:val="uk-UA"/>
              </w:rPr>
            </w:pPr>
          </w:p>
        </w:tc>
        <w:tc>
          <w:tcPr>
            <w:tcW w:w="352" w:type="dxa"/>
            <w:vMerge/>
            <w:tcBorders>
              <w:left w:val="single" w:sz="18" w:space="0" w:color="FFFFFF"/>
              <w:right w:val="single" w:sz="2" w:space="0" w:color="FFFFFF"/>
            </w:tcBorders>
            <w:shd w:val="clear" w:color="auto" w:fill="D6E3BC"/>
          </w:tcPr>
          <w:p w14:paraId="4163E1B6" w14:textId="77777777" w:rsidR="0020660D" w:rsidRPr="00257F44" w:rsidRDefault="0020660D" w:rsidP="0020660D">
            <w:pPr>
              <w:rPr>
                <w:rFonts w:ascii="Gill Sans" w:hAnsi="Gill Sans" w:cs="Gill Sans"/>
                <w:sz w:val="22"/>
                <w:szCs w:val="22"/>
                <w:lang w:val="uk-UA"/>
              </w:rPr>
            </w:pPr>
          </w:p>
        </w:tc>
        <w:tc>
          <w:tcPr>
            <w:tcW w:w="351" w:type="dxa"/>
            <w:vMerge/>
            <w:tcBorders>
              <w:left w:val="single" w:sz="2" w:space="0" w:color="FFFFFF"/>
              <w:right w:val="single" w:sz="2" w:space="0" w:color="FFFFFF"/>
            </w:tcBorders>
            <w:shd w:val="clear" w:color="auto" w:fill="D6E3BC"/>
          </w:tcPr>
          <w:p w14:paraId="2FD6D863" w14:textId="77777777" w:rsidR="0020660D" w:rsidRPr="00257F44" w:rsidRDefault="0020660D" w:rsidP="0020660D">
            <w:pPr>
              <w:rPr>
                <w:rFonts w:ascii="Gill Sans" w:hAnsi="Gill Sans" w:cs="Gill Sans"/>
                <w:sz w:val="22"/>
                <w:szCs w:val="22"/>
                <w:lang w:val="uk-UA"/>
              </w:rPr>
            </w:pPr>
          </w:p>
        </w:tc>
        <w:tc>
          <w:tcPr>
            <w:tcW w:w="351" w:type="dxa"/>
            <w:vMerge/>
            <w:tcBorders>
              <w:left w:val="single" w:sz="2" w:space="0" w:color="FFFFFF"/>
              <w:right w:val="single" w:sz="2" w:space="0" w:color="FFFFFF"/>
            </w:tcBorders>
            <w:shd w:val="clear" w:color="auto" w:fill="D6E3BC"/>
          </w:tcPr>
          <w:p w14:paraId="60381C90" w14:textId="77777777" w:rsidR="0020660D" w:rsidRPr="00257F44" w:rsidRDefault="0020660D" w:rsidP="0020660D">
            <w:pPr>
              <w:rPr>
                <w:rFonts w:ascii="Gill Sans" w:hAnsi="Gill Sans" w:cs="Gill Sans"/>
                <w:sz w:val="22"/>
                <w:szCs w:val="22"/>
                <w:lang w:val="uk-UA"/>
              </w:rPr>
            </w:pPr>
          </w:p>
        </w:tc>
        <w:tc>
          <w:tcPr>
            <w:tcW w:w="434" w:type="dxa"/>
            <w:vMerge/>
            <w:tcBorders>
              <w:left w:val="single" w:sz="2" w:space="0" w:color="FFFFFF"/>
              <w:right w:val="single" w:sz="18" w:space="0" w:color="FFFFFF"/>
            </w:tcBorders>
            <w:shd w:val="clear" w:color="auto" w:fill="D6E3BC"/>
          </w:tcPr>
          <w:p w14:paraId="63ACAEE8" w14:textId="77777777" w:rsidR="0020660D" w:rsidRPr="00257F44" w:rsidRDefault="0020660D" w:rsidP="0020660D">
            <w:pPr>
              <w:rPr>
                <w:rFonts w:ascii="Zapf Dingbats" w:hAnsi="Zapf Dingbats" w:cs="Gill Sans"/>
                <w:noProof/>
                <w:sz w:val="22"/>
                <w:szCs w:val="22"/>
                <w:lang w:val="uk-UA"/>
              </w:rPr>
            </w:pPr>
          </w:p>
        </w:tc>
        <w:tc>
          <w:tcPr>
            <w:tcW w:w="434" w:type="dxa"/>
            <w:vMerge/>
            <w:tcBorders>
              <w:left w:val="single" w:sz="2" w:space="0" w:color="FFFFFF"/>
              <w:right w:val="single" w:sz="2" w:space="0" w:color="FFFFFF"/>
            </w:tcBorders>
            <w:shd w:val="clear" w:color="auto" w:fill="FBD4B4"/>
          </w:tcPr>
          <w:p w14:paraId="72BED804" w14:textId="77777777" w:rsidR="0020660D" w:rsidRPr="00257F44" w:rsidRDefault="0020660D" w:rsidP="0020660D">
            <w:pPr>
              <w:rPr>
                <w:rFonts w:ascii="Zapf Dingbats" w:hAnsi="Zapf Dingbats" w:cs="Gill Sans"/>
                <w:sz w:val="22"/>
                <w:szCs w:val="22"/>
                <w:lang w:val="uk-UA"/>
              </w:rPr>
            </w:pPr>
          </w:p>
        </w:tc>
        <w:tc>
          <w:tcPr>
            <w:tcW w:w="351" w:type="dxa"/>
            <w:vMerge/>
            <w:tcBorders>
              <w:left w:val="single" w:sz="2" w:space="0" w:color="FFFFFF"/>
              <w:right w:val="single" w:sz="2" w:space="0" w:color="FFFFFF"/>
            </w:tcBorders>
            <w:shd w:val="clear" w:color="auto" w:fill="FBD4B4"/>
          </w:tcPr>
          <w:p w14:paraId="1E71F436" w14:textId="77777777" w:rsidR="0020660D" w:rsidRPr="00257F44" w:rsidRDefault="0020660D" w:rsidP="0020660D">
            <w:pPr>
              <w:rPr>
                <w:rFonts w:ascii="Zapf Dingbats" w:hAnsi="Zapf Dingbats" w:cs="Gill Sans"/>
                <w:noProof/>
                <w:sz w:val="22"/>
                <w:szCs w:val="22"/>
                <w:lang w:val="uk-UA"/>
              </w:rPr>
            </w:pPr>
          </w:p>
        </w:tc>
        <w:tc>
          <w:tcPr>
            <w:tcW w:w="351" w:type="dxa"/>
            <w:vMerge/>
            <w:tcBorders>
              <w:left w:val="single" w:sz="2" w:space="0" w:color="FFFFFF"/>
              <w:right w:val="single" w:sz="2" w:space="0" w:color="FFFFFF"/>
            </w:tcBorders>
            <w:shd w:val="clear" w:color="auto" w:fill="FBD4B4"/>
          </w:tcPr>
          <w:p w14:paraId="14B27EAE" w14:textId="77777777" w:rsidR="0020660D" w:rsidRPr="00257F44" w:rsidRDefault="0020660D" w:rsidP="0020660D">
            <w:pPr>
              <w:rPr>
                <w:rFonts w:ascii="Zapf Dingbats" w:hAnsi="Zapf Dingbats" w:cs="Gill Sans"/>
                <w:noProof/>
                <w:sz w:val="22"/>
                <w:szCs w:val="22"/>
                <w:lang w:val="uk-UA"/>
              </w:rPr>
            </w:pPr>
          </w:p>
        </w:tc>
        <w:tc>
          <w:tcPr>
            <w:tcW w:w="852" w:type="dxa"/>
            <w:vMerge/>
            <w:tcBorders>
              <w:left w:val="single" w:sz="2" w:space="0" w:color="FFFFFF"/>
              <w:right w:val="single" w:sz="18" w:space="0" w:color="FFFFFF"/>
            </w:tcBorders>
            <w:shd w:val="clear" w:color="auto" w:fill="FBD4B4"/>
          </w:tcPr>
          <w:p w14:paraId="1EB2A27E" w14:textId="77777777" w:rsidR="0020660D" w:rsidRPr="00257F44" w:rsidRDefault="0020660D" w:rsidP="0020660D">
            <w:pPr>
              <w:rPr>
                <w:rFonts w:ascii="Zapf Dingbats" w:hAnsi="Zapf Dingbats" w:cs="Gill Sans"/>
                <w:sz w:val="22"/>
                <w:szCs w:val="22"/>
                <w:lang w:val="uk-UA"/>
              </w:rPr>
            </w:pPr>
          </w:p>
        </w:tc>
        <w:tc>
          <w:tcPr>
            <w:tcW w:w="351" w:type="dxa"/>
            <w:vMerge/>
            <w:tcBorders>
              <w:left w:val="single" w:sz="18" w:space="0" w:color="FFFFFF"/>
              <w:right w:val="single" w:sz="2" w:space="0" w:color="FFFFFF"/>
            </w:tcBorders>
            <w:shd w:val="clear" w:color="auto" w:fill="CCC0D9"/>
          </w:tcPr>
          <w:p w14:paraId="461087FA" w14:textId="77777777" w:rsidR="0020660D" w:rsidRPr="00257F44" w:rsidRDefault="0020660D" w:rsidP="0020660D">
            <w:pPr>
              <w:rPr>
                <w:rFonts w:ascii="Zapf Dingbats" w:hAnsi="Zapf Dingbats" w:cs="Gill Sans"/>
                <w:sz w:val="22"/>
                <w:szCs w:val="22"/>
                <w:lang w:val="uk-UA"/>
              </w:rPr>
            </w:pPr>
          </w:p>
        </w:tc>
        <w:tc>
          <w:tcPr>
            <w:tcW w:w="351" w:type="dxa"/>
            <w:vMerge/>
            <w:tcBorders>
              <w:left w:val="single" w:sz="2" w:space="0" w:color="FFFFFF"/>
              <w:right w:val="single" w:sz="2" w:space="0" w:color="FFFFFF"/>
            </w:tcBorders>
            <w:shd w:val="clear" w:color="auto" w:fill="CCC0D9"/>
          </w:tcPr>
          <w:p w14:paraId="033D5140" w14:textId="77777777" w:rsidR="0020660D" w:rsidRPr="00257F44" w:rsidRDefault="0020660D" w:rsidP="0020660D">
            <w:pPr>
              <w:rPr>
                <w:rFonts w:ascii="Zapf Dingbats" w:hAnsi="Zapf Dingbats" w:cs="Gill Sans"/>
                <w:sz w:val="22"/>
                <w:szCs w:val="22"/>
                <w:lang w:val="uk-UA"/>
              </w:rPr>
            </w:pPr>
          </w:p>
        </w:tc>
        <w:tc>
          <w:tcPr>
            <w:tcW w:w="351" w:type="dxa"/>
            <w:vMerge/>
            <w:tcBorders>
              <w:left w:val="single" w:sz="2" w:space="0" w:color="FFFFFF"/>
              <w:right w:val="single" w:sz="2" w:space="0" w:color="FFFFFF"/>
            </w:tcBorders>
            <w:shd w:val="clear" w:color="auto" w:fill="CCC0D9"/>
          </w:tcPr>
          <w:p w14:paraId="6262A60A" w14:textId="77777777" w:rsidR="0020660D" w:rsidRPr="00257F44" w:rsidRDefault="0020660D" w:rsidP="0020660D">
            <w:pPr>
              <w:rPr>
                <w:rFonts w:ascii="Zapf Dingbats" w:hAnsi="Zapf Dingbats" w:cs="Gill Sans"/>
                <w:noProof/>
                <w:sz w:val="22"/>
                <w:szCs w:val="22"/>
                <w:lang w:val="uk-UA"/>
              </w:rPr>
            </w:pPr>
          </w:p>
        </w:tc>
        <w:tc>
          <w:tcPr>
            <w:tcW w:w="351" w:type="dxa"/>
            <w:vMerge/>
            <w:tcBorders>
              <w:left w:val="single" w:sz="2" w:space="0" w:color="FFFFFF"/>
              <w:right w:val="single" w:sz="18" w:space="0" w:color="FFFFFF"/>
            </w:tcBorders>
            <w:shd w:val="clear" w:color="auto" w:fill="CCC0D9"/>
          </w:tcPr>
          <w:p w14:paraId="7D88CAC3" w14:textId="77777777" w:rsidR="0020660D" w:rsidRPr="00257F44" w:rsidRDefault="0020660D" w:rsidP="0020660D">
            <w:pPr>
              <w:rPr>
                <w:rFonts w:ascii="Zapf Dingbats" w:hAnsi="Zapf Dingbats" w:cs="Gill Sans"/>
                <w:sz w:val="22"/>
                <w:szCs w:val="22"/>
                <w:lang w:val="uk-UA"/>
              </w:rPr>
            </w:pPr>
          </w:p>
        </w:tc>
        <w:tc>
          <w:tcPr>
            <w:tcW w:w="518"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03D798B9" w14:textId="77777777" w:rsidR="0020660D" w:rsidRPr="00257F44" w:rsidRDefault="0020660D" w:rsidP="0020660D">
            <w:pPr>
              <w:rPr>
                <w:rFonts w:ascii="Zapf Dingbats" w:hAnsi="Zapf Dingbats" w:cs="Gill Sans"/>
                <w:sz w:val="22"/>
                <w:szCs w:val="22"/>
                <w:lang w:val="uk-UA"/>
              </w:rPr>
            </w:pPr>
          </w:p>
        </w:tc>
        <w:tc>
          <w:tcPr>
            <w:tcW w:w="518"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010AAAAE" w14:textId="77777777" w:rsidR="0020660D" w:rsidRPr="00257F44" w:rsidRDefault="0020660D" w:rsidP="0020660D">
            <w:pPr>
              <w:rPr>
                <w:rFonts w:ascii="Zapf Dingbats" w:hAnsi="Zapf Dingbats" w:cs="Gill Sans"/>
                <w:sz w:val="22"/>
                <w:szCs w:val="22"/>
                <w:lang w:val="uk-UA"/>
              </w:rPr>
            </w:pPr>
          </w:p>
        </w:tc>
        <w:tc>
          <w:tcPr>
            <w:tcW w:w="518"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114294E7" w14:textId="79CC44E4" w:rsidR="0020660D" w:rsidRPr="00257F44" w:rsidRDefault="0020660D" w:rsidP="0020660D">
            <w:pPr>
              <w:rPr>
                <w:rFonts w:ascii="Zapf Dingbats" w:hAnsi="Zapf Dingbats" w:cs="Gill Sans"/>
                <w:sz w:val="22"/>
                <w:szCs w:val="22"/>
                <w:lang w:val="uk-UA"/>
              </w:rPr>
            </w:pPr>
          </w:p>
        </w:tc>
        <w:tc>
          <w:tcPr>
            <w:tcW w:w="434"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42572488" w14:textId="5573AD90" w:rsidR="0020660D" w:rsidRPr="00257F44" w:rsidRDefault="0020660D" w:rsidP="0020660D">
            <w:pPr>
              <w:jc w:val="cente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51" w:type="dxa"/>
            <w:vMerge/>
            <w:tcBorders>
              <w:left w:val="single" w:sz="18" w:space="0" w:color="FFFFFF"/>
              <w:right w:val="single" w:sz="2" w:space="0" w:color="FFFFFF"/>
            </w:tcBorders>
            <w:shd w:val="clear" w:color="auto" w:fill="D99594"/>
          </w:tcPr>
          <w:p w14:paraId="242146BE" w14:textId="77777777" w:rsidR="0020660D" w:rsidRPr="00257F44" w:rsidRDefault="0020660D" w:rsidP="0020660D">
            <w:pPr>
              <w:rPr>
                <w:rFonts w:ascii="Gill Sans" w:hAnsi="Gill Sans" w:cs="Gill Sans"/>
                <w:sz w:val="22"/>
                <w:szCs w:val="22"/>
                <w:lang w:val="uk-UA"/>
              </w:rPr>
            </w:pPr>
          </w:p>
        </w:tc>
        <w:tc>
          <w:tcPr>
            <w:tcW w:w="434" w:type="dxa"/>
            <w:vMerge/>
            <w:tcBorders>
              <w:left w:val="single" w:sz="2" w:space="0" w:color="FFFFFF"/>
              <w:right w:val="single" w:sz="2" w:space="0" w:color="FFFFFF"/>
            </w:tcBorders>
            <w:shd w:val="clear" w:color="auto" w:fill="D99594"/>
          </w:tcPr>
          <w:p w14:paraId="2BA3B433" w14:textId="77777777" w:rsidR="0020660D" w:rsidRPr="00257F44" w:rsidRDefault="0020660D" w:rsidP="0020660D">
            <w:pPr>
              <w:rPr>
                <w:rFonts w:ascii="Gill Sans" w:hAnsi="Gill Sans" w:cs="Gill Sans"/>
                <w:sz w:val="22"/>
                <w:szCs w:val="22"/>
                <w:lang w:val="uk-UA"/>
              </w:rPr>
            </w:pPr>
          </w:p>
        </w:tc>
        <w:tc>
          <w:tcPr>
            <w:tcW w:w="351" w:type="dxa"/>
            <w:vMerge/>
            <w:tcBorders>
              <w:left w:val="single" w:sz="2" w:space="0" w:color="FFFFFF"/>
              <w:right w:val="single" w:sz="2" w:space="0" w:color="FFFFFF"/>
            </w:tcBorders>
            <w:shd w:val="clear" w:color="auto" w:fill="D99594"/>
          </w:tcPr>
          <w:p w14:paraId="4244E5D0" w14:textId="77777777" w:rsidR="0020660D" w:rsidRPr="00257F44" w:rsidRDefault="0020660D" w:rsidP="0020660D">
            <w:pPr>
              <w:rPr>
                <w:rFonts w:ascii="Gill Sans" w:hAnsi="Gill Sans" w:cs="Gill Sans"/>
                <w:sz w:val="22"/>
                <w:szCs w:val="22"/>
                <w:lang w:val="uk-UA"/>
              </w:rPr>
            </w:pPr>
          </w:p>
        </w:tc>
        <w:tc>
          <w:tcPr>
            <w:tcW w:w="351" w:type="dxa"/>
            <w:vMerge/>
            <w:tcBorders>
              <w:left w:val="single" w:sz="2" w:space="0" w:color="FFFFFF"/>
              <w:right w:val="single" w:sz="2" w:space="0" w:color="FFFFFF"/>
            </w:tcBorders>
            <w:shd w:val="clear" w:color="auto" w:fill="D99594"/>
          </w:tcPr>
          <w:p w14:paraId="68313BDF" w14:textId="77777777" w:rsidR="0020660D" w:rsidRPr="00257F44" w:rsidRDefault="0020660D" w:rsidP="0020660D">
            <w:pPr>
              <w:rPr>
                <w:rFonts w:ascii="Gill Sans" w:hAnsi="Gill Sans" w:cs="Gill Sans"/>
                <w:noProof/>
                <w:sz w:val="22"/>
                <w:szCs w:val="22"/>
                <w:lang w:val="uk-UA"/>
              </w:rPr>
            </w:pPr>
          </w:p>
        </w:tc>
        <w:tc>
          <w:tcPr>
            <w:tcW w:w="374" w:type="dxa"/>
            <w:vMerge/>
            <w:tcBorders>
              <w:left w:val="single" w:sz="2" w:space="0" w:color="FFFFFF"/>
              <w:right w:val="single" w:sz="18" w:space="0" w:color="FFFFFF"/>
            </w:tcBorders>
            <w:shd w:val="clear" w:color="auto" w:fill="D99594"/>
          </w:tcPr>
          <w:p w14:paraId="43D2B5A6" w14:textId="77777777" w:rsidR="0020660D" w:rsidRPr="00257F44" w:rsidRDefault="0020660D" w:rsidP="0020660D">
            <w:pPr>
              <w:rPr>
                <w:rFonts w:ascii="Gill Sans" w:hAnsi="Gill Sans" w:cs="Gill Sans"/>
                <w:sz w:val="22"/>
                <w:szCs w:val="22"/>
                <w:lang w:val="uk-UA"/>
              </w:rPr>
            </w:pPr>
          </w:p>
        </w:tc>
      </w:tr>
    </w:tbl>
    <w:p w14:paraId="4CA5C101" w14:textId="77777777" w:rsidR="00561192" w:rsidRPr="00257F44" w:rsidRDefault="00561192" w:rsidP="006319F4">
      <w:pPr>
        <w:pStyle w:val="Heading3"/>
        <w:rPr>
          <w:lang w:val="uk-UA"/>
        </w:rPr>
      </w:pPr>
    </w:p>
    <w:p w14:paraId="0F81B3F8" w14:textId="77777777" w:rsidR="006E6C92" w:rsidRPr="00257F44" w:rsidRDefault="006E6C92" w:rsidP="006023C3">
      <w:pPr>
        <w:rPr>
          <w:lang w:val="uk-UA"/>
        </w:rPr>
      </w:pPr>
    </w:p>
    <w:p w14:paraId="030646AC" w14:textId="77777777" w:rsidR="00D352DD" w:rsidRPr="00257F44" w:rsidRDefault="00D352DD" w:rsidP="00310CD5">
      <w:pPr>
        <w:pStyle w:val="Heading3"/>
        <w:spacing w:after="120"/>
        <w:rPr>
          <w:lang w:val="uk-UA"/>
        </w:rPr>
      </w:pPr>
      <w:r w:rsidRPr="00257F44">
        <w:rPr>
          <w:lang w:val="uk-UA"/>
        </w:rPr>
        <w:t>Мета зобов’язання</w:t>
      </w:r>
    </w:p>
    <w:p w14:paraId="62D8AF70" w14:textId="5E481D5B" w:rsidR="002F1F92" w:rsidRPr="00257F44" w:rsidRDefault="002F1F92" w:rsidP="00310CD5">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Оприлюднення </w:t>
      </w:r>
      <w:r w:rsidR="00CE4D6C">
        <w:rPr>
          <w:rFonts w:ascii="Gill Sans" w:hAnsi="Gill Sans" w:cs="Gill Sans"/>
          <w:noProof/>
          <w:sz w:val="22"/>
          <w:szCs w:val="22"/>
          <w:lang w:val="uk-UA"/>
        </w:rPr>
        <w:t xml:space="preserve">в мережі інтернет </w:t>
      </w:r>
      <w:r w:rsidRPr="00257F44">
        <w:rPr>
          <w:rFonts w:ascii="Gill Sans" w:hAnsi="Gill Sans" w:cs="Gill Sans"/>
          <w:noProof/>
          <w:sz w:val="22"/>
          <w:szCs w:val="22"/>
          <w:lang w:val="uk-UA"/>
        </w:rPr>
        <w:t>майнових декларацій публічних службовців є важливим засобом запобігання корупції та виявлення необ</w:t>
      </w:r>
      <w:r w:rsidR="00CE4D6C">
        <w:rPr>
          <w:rFonts w:ascii="Gill Sans" w:hAnsi="Gill Sans" w:cs="Gill Sans"/>
          <w:noProof/>
          <w:sz w:val="22"/>
          <w:szCs w:val="22"/>
          <w:lang w:val="uk-UA"/>
        </w:rPr>
        <w:t>ґрунтованих статків і конфлікту</w:t>
      </w:r>
      <w:r w:rsidRPr="00257F44">
        <w:rPr>
          <w:rFonts w:ascii="Gill Sans" w:hAnsi="Gill Sans" w:cs="Gill Sans"/>
          <w:noProof/>
          <w:sz w:val="22"/>
          <w:szCs w:val="22"/>
          <w:lang w:val="uk-UA"/>
        </w:rPr>
        <w:t xml:space="preserve"> інтересів. Зобов’язання мало на меті впровадити нову систему розкриття активів шляхом створення онлайн системи для подання та автоматичного оприлюднення майнових декларацій публічних службовців. Попередня система декларування майна в Україні була не</w:t>
      </w:r>
      <w:r w:rsidR="00CE4D6C">
        <w:rPr>
          <w:rFonts w:ascii="Gill Sans" w:hAnsi="Gill Sans" w:cs="Gill Sans"/>
          <w:noProof/>
          <w:sz w:val="22"/>
          <w:szCs w:val="22"/>
          <w:lang w:val="uk-UA"/>
        </w:rPr>
        <w:t>ефективною, оскільки вона перед</w:t>
      </w:r>
      <w:r w:rsidRPr="00257F44">
        <w:rPr>
          <w:rFonts w:ascii="Gill Sans" w:hAnsi="Gill Sans" w:cs="Gill Sans"/>
          <w:noProof/>
          <w:sz w:val="22"/>
          <w:szCs w:val="22"/>
          <w:lang w:val="uk-UA"/>
        </w:rPr>
        <w:t>б</w:t>
      </w:r>
      <w:r w:rsidR="00CE4D6C">
        <w:rPr>
          <w:rFonts w:ascii="Gill Sans" w:hAnsi="Gill Sans" w:cs="Gill Sans"/>
          <w:noProof/>
          <w:sz w:val="22"/>
          <w:szCs w:val="22"/>
          <w:lang w:val="uk-UA"/>
        </w:rPr>
        <w:t>а</w:t>
      </w:r>
      <w:r w:rsidRPr="00257F44">
        <w:rPr>
          <w:rFonts w:ascii="Gill Sans" w:hAnsi="Gill Sans" w:cs="Gill Sans"/>
          <w:noProof/>
          <w:sz w:val="22"/>
          <w:szCs w:val="22"/>
          <w:lang w:val="uk-UA"/>
        </w:rPr>
        <w:t>чала подання паперових форм та обмежений суспільний доступ до декларацій службовців.</w:t>
      </w:r>
    </w:p>
    <w:p w14:paraId="6C09DF87" w14:textId="77777777" w:rsidR="00D352DD" w:rsidRPr="00257F44" w:rsidRDefault="00D352DD" w:rsidP="00310CD5">
      <w:pPr>
        <w:pStyle w:val="Heading3"/>
        <w:spacing w:after="120"/>
        <w:rPr>
          <w:lang w:val="uk-UA"/>
        </w:rPr>
      </w:pPr>
      <w:r w:rsidRPr="00257F44">
        <w:rPr>
          <w:lang w:val="uk-UA"/>
        </w:rPr>
        <w:t>Статус виконання</w:t>
      </w:r>
    </w:p>
    <w:p w14:paraId="51D12D9C" w14:textId="230F787A" w:rsidR="00D352DD" w:rsidRPr="00257F44" w:rsidRDefault="00D352DD" w:rsidP="00310CD5">
      <w:pPr>
        <w:pStyle w:val="Normalrglronly"/>
        <w:rPr>
          <w:b/>
          <w:lang w:val="uk-UA"/>
        </w:rPr>
      </w:pPr>
      <w:r w:rsidRPr="00257F44">
        <w:rPr>
          <w:b/>
          <w:lang w:val="uk-UA"/>
        </w:rPr>
        <w:t xml:space="preserve">Проміжний звіт: </w:t>
      </w:r>
      <w:r w:rsidR="002F1F92" w:rsidRPr="00257F44">
        <w:rPr>
          <w:b/>
          <w:lang w:val="uk-UA"/>
        </w:rPr>
        <w:t xml:space="preserve">Обмежене </w:t>
      </w:r>
      <w:r w:rsidRPr="00257F44">
        <w:rPr>
          <w:b/>
          <w:lang w:val="uk-UA"/>
        </w:rPr>
        <w:t>виконання</w:t>
      </w:r>
    </w:p>
    <w:p w14:paraId="1222376B" w14:textId="551DEA19" w:rsidR="000F1788" w:rsidRPr="00257F44" w:rsidRDefault="000F1788" w:rsidP="00310CD5">
      <w:pPr>
        <w:spacing w:after="120"/>
        <w:rPr>
          <w:rFonts w:ascii="Gill Sans" w:hAnsi="Gill Sans" w:cs="Gill Sans"/>
          <w:noProof/>
          <w:sz w:val="22"/>
          <w:szCs w:val="22"/>
          <w:lang w:val="uk-UA"/>
        </w:rPr>
      </w:pPr>
      <w:r w:rsidRPr="00257F44">
        <w:rPr>
          <w:rFonts w:ascii="Gill Sans" w:hAnsi="Gill Sans" w:cs="Gill Sans"/>
          <w:noProof/>
          <w:sz w:val="22"/>
          <w:szCs w:val="22"/>
          <w:lang w:val="uk-UA"/>
        </w:rPr>
        <w:t>Новий Закон про запобігання корупції (</w:t>
      </w:r>
      <w:r w:rsidR="00B11108" w:rsidRPr="00257F44">
        <w:rPr>
          <w:rFonts w:ascii="Gill Sans" w:hAnsi="Gill Sans" w:cs="Gill Sans"/>
          <w:noProof/>
          <w:sz w:val="22"/>
          <w:szCs w:val="22"/>
          <w:lang w:val="uk-UA"/>
        </w:rPr>
        <w:t xml:space="preserve">введений в дію </w:t>
      </w:r>
      <w:r w:rsidRPr="00257F44">
        <w:rPr>
          <w:rFonts w:ascii="Gill Sans" w:hAnsi="Gill Sans" w:cs="Gill Sans"/>
          <w:noProof/>
          <w:sz w:val="22"/>
          <w:szCs w:val="22"/>
          <w:lang w:val="uk-UA"/>
        </w:rPr>
        <w:t>у квітні 2015 року</w:t>
      </w:r>
      <w:r w:rsidR="004E05E3" w:rsidRPr="00257F44">
        <w:rPr>
          <w:rStyle w:val="EndnoteReference"/>
          <w:rFonts w:ascii="Gill Sans" w:hAnsi="Gill Sans" w:cs="Gill Sans"/>
          <w:noProof/>
          <w:sz w:val="22"/>
          <w:szCs w:val="22"/>
          <w:lang w:val="uk-UA"/>
        </w:rPr>
        <w:endnoteReference w:id="50"/>
      </w:r>
      <w:r w:rsidRPr="00257F44">
        <w:rPr>
          <w:rFonts w:ascii="Gill Sans" w:hAnsi="Gill Sans" w:cs="Gill Sans"/>
          <w:noProof/>
          <w:sz w:val="22"/>
          <w:szCs w:val="22"/>
          <w:lang w:val="uk-UA"/>
        </w:rPr>
        <w:t xml:space="preserve">) </w:t>
      </w:r>
      <w:r w:rsidR="00D84240" w:rsidRPr="00257F44">
        <w:rPr>
          <w:rFonts w:ascii="Gill Sans" w:hAnsi="Gill Sans" w:cs="Gill Sans"/>
          <w:noProof/>
          <w:sz w:val="22"/>
          <w:szCs w:val="22"/>
          <w:lang w:val="uk-UA"/>
        </w:rPr>
        <w:t xml:space="preserve">замінив паперові форми декларацій, що подавалися службовцями за місцем їхньої роботи, онлайн системою, що передбачає доступ громадськості до всіх декларацій. Закон доручив новій антикорупційній інституції, Національному агентству з питань запобігання корупції (НАЗК), </w:t>
      </w:r>
      <w:r w:rsidR="00D84240" w:rsidRPr="00257F44">
        <w:rPr>
          <w:rFonts w:ascii="Gill Sans" w:hAnsi="Gill Sans" w:cs="Gill Sans"/>
          <w:noProof/>
          <w:sz w:val="22"/>
          <w:szCs w:val="22"/>
          <w:lang w:val="uk-UA"/>
        </w:rPr>
        <w:lastRenderedPageBreak/>
        <w:t>створити центральний державний веб-портал для подання та оприлюднення усіма публічними службовцями своїх майнових декларацій. Затримка із відбором Урядом членів НАЗК призвела також до відтермінування запуску нової системи електронного декларування (НАЗК відповідало за розробку відповідних підзаконних актів та запуск веб-порталу)</w:t>
      </w:r>
      <w:r w:rsidR="004E05E3" w:rsidRPr="00257F44">
        <w:rPr>
          <w:rStyle w:val="EndnoteReference"/>
          <w:rFonts w:ascii="Gill Sans" w:hAnsi="Gill Sans" w:cs="Gill Sans"/>
          <w:noProof/>
          <w:sz w:val="22"/>
          <w:szCs w:val="22"/>
          <w:lang w:val="uk-UA"/>
        </w:rPr>
        <w:endnoteReference w:id="51"/>
      </w:r>
      <w:r w:rsidR="00D84240" w:rsidRPr="00257F44">
        <w:rPr>
          <w:rFonts w:ascii="Gill Sans" w:hAnsi="Gill Sans" w:cs="Gill Sans"/>
          <w:noProof/>
          <w:sz w:val="22"/>
          <w:szCs w:val="22"/>
          <w:lang w:val="uk-UA"/>
        </w:rPr>
        <w:t>.</w:t>
      </w:r>
    </w:p>
    <w:p w14:paraId="7F2E0B56" w14:textId="1554A16A" w:rsidR="00D84240" w:rsidRPr="00257F44" w:rsidRDefault="00D84240" w:rsidP="00310CD5">
      <w:pPr>
        <w:spacing w:after="120"/>
        <w:rPr>
          <w:rFonts w:ascii="Gill Sans" w:hAnsi="Gill Sans" w:cs="Gill Sans"/>
          <w:noProof/>
          <w:sz w:val="22"/>
          <w:szCs w:val="22"/>
          <w:lang w:val="uk-UA"/>
        </w:rPr>
      </w:pPr>
      <w:r w:rsidRPr="00257F44">
        <w:rPr>
          <w:rFonts w:ascii="Gill Sans" w:hAnsi="Gill Sans" w:cs="Gill Sans"/>
          <w:noProof/>
          <w:sz w:val="22"/>
          <w:szCs w:val="22"/>
          <w:lang w:val="uk-UA"/>
        </w:rPr>
        <w:t>Тим часом Міністерство юстиції, за підтримки Програми розвитку ООН та Світового банку, розпочало підготовку майбутньої системи електронного декларування. У в</w:t>
      </w:r>
      <w:r w:rsidR="00CE4D6C">
        <w:rPr>
          <w:rFonts w:ascii="Gill Sans" w:hAnsi="Gill Sans" w:cs="Gill Sans"/>
          <w:noProof/>
          <w:sz w:val="22"/>
          <w:szCs w:val="22"/>
          <w:lang w:val="uk-UA"/>
        </w:rPr>
        <w:t>ересні 2015 року ПРООН оголосила</w:t>
      </w:r>
      <w:r w:rsidRPr="00257F44">
        <w:rPr>
          <w:rFonts w:ascii="Gill Sans" w:hAnsi="Gill Sans" w:cs="Gill Sans"/>
          <w:noProof/>
          <w:sz w:val="22"/>
          <w:szCs w:val="22"/>
          <w:lang w:val="uk-UA"/>
        </w:rPr>
        <w:t xml:space="preserve"> тендер для відбору підрядника </w:t>
      </w:r>
      <w:r w:rsidR="00CE4D6C">
        <w:rPr>
          <w:rFonts w:ascii="Gill Sans" w:hAnsi="Gill Sans" w:cs="Gill Sans"/>
          <w:noProof/>
          <w:sz w:val="22"/>
          <w:szCs w:val="22"/>
          <w:lang w:val="uk-UA"/>
        </w:rPr>
        <w:t>на розробку</w:t>
      </w:r>
      <w:r w:rsidRPr="00257F44">
        <w:rPr>
          <w:rFonts w:ascii="Gill Sans" w:hAnsi="Gill Sans" w:cs="Gill Sans"/>
          <w:noProof/>
          <w:sz w:val="22"/>
          <w:szCs w:val="22"/>
          <w:lang w:val="uk-UA"/>
        </w:rPr>
        <w:t xml:space="preserve"> програмного забезпечення системи електронного декларування відповідно до технічного завдання, підготовленого </w:t>
      </w:r>
      <w:r w:rsidR="00CE4D6C">
        <w:rPr>
          <w:rFonts w:ascii="Gill Sans" w:hAnsi="Gill Sans" w:cs="Gill Sans"/>
          <w:noProof/>
          <w:sz w:val="22"/>
          <w:szCs w:val="22"/>
          <w:lang w:val="uk-UA"/>
        </w:rPr>
        <w:t>консультантами Світового</w:t>
      </w:r>
      <w:r w:rsidRPr="00257F44">
        <w:rPr>
          <w:rFonts w:ascii="Gill Sans" w:hAnsi="Gill Sans" w:cs="Gill Sans"/>
          <w:noProof/>
          <w:sz w:val="22"/>
          <w:szCs w:val="22"/>
          <w:lang w:val="uk-UA"/>
        </w:rPr>
        <w:t xml:space="preserve"> банк</w:t>
      </w:r>
      <w:r w:rsidR="00CE4D6C">
        <w:rPr>
          <w:rFonts w:ascii="Gill Sans" w:hAnsi="Gill Sans" w:cs="Gill Sans"/>
          <w:noProof/>
          <w:sz w:val="22"/>
          <w:szCs w:val="22"/>
          <w:lang w:val="uk-UA"/>
        </w:rPr>
        <w:t>у</w:t>
      </w:r>
      <w:r w:rsidRPr="00257F44">
        <w:rPr>
          <w:rStyle w:val="EndnoteReference"/>
          <w:rFonts w:ascii="Gill Sans" w:hAnsi="Gill Sans" w:cs="Gill Sans"/>
          <w:noProof/>
          <w:sz w:val="22"/>
          <w:szCs w:val="22"/>
          <w:lang w:val="uk-UA"/>
        </w:rPr>
        <w:endnoteReference w:id="52"/>
      </w:r>
      <w:r w:rsidRPr="00257F44">
        <w:rPr>
          <w:rFonts w:ascii="Gill Sans" w:hAnsi="Gill Sans" w:cs="Gill Sans"/>
          <w:noProof/>
          <w:sz w:val="22"/>
          <w:szCs w:val="22"/>
          <w:lang w:val="uk-UA"/>
        </w:rPr>
        <w:t>.</w:t>
      </w:r>
    </w:p>
    <w:p w14:paraId="4E6EEC1B" w14:textId="0E1827D0" w:rsidR="00D84240" w:rsidRPr="00257F44" w:rsidRDefault="00D84240" w:rsidP="00310CD5">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Після </w:t>
      </w:r>
      <w:r w:rsidR="00CE4D6C">
        <w:rPr>
          <w:rFonts w:ascii="Gill Sans" w:hAnsi="Gill Sans" w:cs="Gill Sans"/>
          <w:noProof/>
          <w:sz w:val="22"/>
          <w:szCs w:val="22"/>
          <w:lang w:val="uk-UA"/>
        </w:rPr>
        <w:t xml:space="preserve">ухвалення </w:t>
      </w:r>
      <w:r w:rsidR="00CE4D6C" w:rsidRPr="00257F44">
        <w:rPr>
          <w:rFonts w:ascii="Gill Sans" w:hAnsi="Gill Sans" w:cs="Gill Sans"/>
          <w:noProof/>
          <w:sz w:val="22"/>
          <w:szCs w:val="22"/>
          <w:lang w:val="uk-UA"/>
        </w:rPr>
        <w:t xml:space="preserve">Закону про запобігання корупції </w:t>
      </w:r>
      <w:r w:rsidRPr="00257F44">
        <w:rPr>
          <w:rFonts w:ascii="Gill Sans" w:hAnsi="Gill Sans" w:cs="Gill Sans"/>
          <w:noProof/>
          <w:sz w:val="22"/>
          <w:szCs w:val="22"/>
          <w:lang w:val="uk-UA"/>
        </w:rPr>
        <w:t xml:space="preserve">парламент вніс низку змін до </w:t>
      </w:r>
      <w:r w:rsidR="00CE4D6C">
        <w:rPr>
          <w:rFonts w:ascii="Gill Sans" w:hAnsi="Gill Sans" w:cs="Gill Sans"/>
          <w:noProof/>
          <w:sz w:val="22"/>
          <w:szCs w:val="22"/>
          <w:lang w:val="uk-UA"/>
        </w:rPr>
        <w:t xml:space="preserve">нього </w:t>
      </w:r>
      <w:r w:rsidRPr="00257F44">
        <w:rPr>
          <w:rFonts w:ascii="Gill Sans" w:hAnsi="Gill Sans" w:cs="Gill Sans"/>
          <w:noProof/>
          <w:sz w:val="22"/>
          <w:szCs w:val="22"/>
          <w:lang w:val="uk-UA"/>
        </w:rPr>
        <w:t xml:space="preserve">з метою розширення форми майнової декларації, додавши до неї нові об’єкти, які належить декларувати (наприклад, бенефіціарна власність юридичних осіб або </w:t>
      </w:r>
      <w:r w:rsidR="00CE4D6C">
        <w:rPr>
          <w:rFonts w:ascii="Gill Sans" w:hAnsi="Gill Sans" w:cs="Gill Sans"/>
          <w:noProof/>
          <w:sz w:val="22"/>
          <w:szCs w:val="22"/>
          <w:lang w:val="uk-UA"/>
        </w:rPr>
        <w:t>на майно</w:t>
      </w:r>
      <w:r w:rsidRPr="00257F44">
        <w:rPr>
          <w:rFonts w:ascii="Gill Sans" w:hAnsi="Gill Sans" w:cs="Gill Sans"/>
          <w:noProof/>
          <w:sz w:val="22"/>
          <w:szCs w:val="22"/>
          <w:lang w:val="uk-UA"/>
        </w:rPr>
        <w:t>, об’єкти незавершеного будівництва)</w:t>
      </w:r>
      <w:r w:rsidRPr="00257F44">
        <w:rPr>
          <w:rStyle w:val="EndnoteReference"/>
          <w:rFonts w:ascii="Gill Sans" w:hAnsi="Gill Sans" w:cs="Gill Sans"/>
          <w:sz w:val="22"/>
          <w:szCs w:val="22"/>
          <w:lang w:val="uk-UA"/>
        </w:rPr>
        <w:endnoteReference w:id="53"/>
      </w:r>
      <w:r w:rsidRPr="00257F44">
        <w:rPr>
          <w:rFonts w:ascii="Gill Sans" w:hAnsi="Gill Sans" w:cs="Gill Sans"/>
          <w:noProof/>
          <w:sz w:val="22"/>
          <w:szCs w:val="22"/>
          <w:lang w:val="uk-UA"/>
        </w:rPr>
        <w:t xml:space="preserve">. </w:t>
      </w:r>
    </w:p>
    <w:p w14:paraId="50316A71" w14:textId="24004AE5" w:rsidR="004875C1" w:rsidRPr="00257F44" w:rsidRDefault="002F1F92" w:rsidP="00310CD5">
      <w:pPr>
        <w:pStyle w:val="Normalrglronly"/>
        <w:rPr>
          <w:b/>
          <w:lang w:val="uk-UA"/>
        </w:rPr>
      </w:pPr>
      <w:r w:rsidRPr="00257F44">
        <w:rPr>
          <w:b/>
          <w:lang w:val="uk-UA"/>
        </w:rPr>
        <w:t>Підсумковий звіт: Повне виконання</w:t>
      </w:r>
    </w:p>
    <w:p w14:paraId="281032D1" w14:textId="3E1C60F7" w:rsidR="00D84240" w:rsidRPr="00257F44" w:rsidRDefault="00191BAA" w:rsidP="00310CD5">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Між груднем 2015 року та березнем 2016 року Уряд призначив чотирьох з п’яти членів НАЗК. За результатами відкритого тендеру, у грудні 2015 року ПРООН визначила підрядника для розробки програмного забезпечення для електронного декларування та представило прототип системи у </w:t>
      </w:r>
      <w:r w:rsidR="009A3057" w:rsidRPr="00257F44">
        <w:rPr>
          <w:rFonts w:ascii="Gill Sans" w:hAnsi="Gill Sans" w:cs="Gill Sans"/>
          <w:noProof/>
          <w:sz w:val="22"/>
          <w:szCs w:val="22"/>
          <w:lang w:val="uk-UA"/>
        </w:rPr>
        <w:t xml:space="preserve">березні </w:t>
      </w:r>
      <w:r w:rsidRPr="00257F44">
        <w:rPr>
          <w:rFonts w:ascii="Gill Sans" w:hAnsi="Gill Sans" w:cs="Gill Sans"/>
          <w:noProof/>
          <w:sz w:val="22"/>
          <w:szCs w:val="22"/>
          <w:lang w:val="uk-UA"/>
        </w:rPr>
        <w:t xml:space="preserve">наступного року. У травні-червні 2016 року, програмне забезпечення було передано до НАЗК. У червні 2016 року, НАЗК ухвалило форму е-декларації та </w:t>
      </w:r>
      <w:r w:rsidR="00B72097" w:rsidRPr="00257F44">
        <w:rPr>
          <w:rFonts w:ascii="Gill Sans" w:hAnsi="Gill Sans" w:cs="Gill Sans"/>
          <w:noProof/>
          <w:sz w:val="22"/>
          <w:szCs w:val="22"/>
          <w:lang w:val="uk-UA"/>
        </w:rPr>
        <w:t xml:space="preserve">інші </w:t>
      </w:r>
      <w:r w:rsidRPr="00257F44">
        <w:rPr>
          <w:rFonts w:ascii="Gill Sans" w:hAnsi="Gill Sans" w:cs="Gill Sans"/>
          <w:noProof/>
          <w:sz w:val="22"/>
          <w:szCs w:val="22"/>
          <w:lang w:val="uk-UA"/>
        </w:rPr>
        <w:t>необхідні пі</w:t>
      </w:r>
      <w:r w:rsidR="00CE4D6C">
        <w:rPr>
          <w:rFonts w:ascii="Gill Sans" w:hAnsi="Gill Sans" w:cs="Gill Sans"/>
          <w:noProof/>
          <w:sz w:val="22"/>
          <w:szCs w:val="22"/>
          <w:lang w:val="uk-UA"/>
        </w:rPr>
        <w:t>дзаконні акти, а також визначило</w:t>
      </w:r>
      <w:r w:rsidRPr="00257F44">
        <w:rPr>
          <w:rFonts w:ascii="Gill Sans" w:hAnsi="Gill Sans" w:cs="Gill Sans"/>
          <w:noProof/>
          <w:sz w:val="22"/>
          <w:szCs w:val="22"/>
          <w:lang w:val="uk-UA"/>
        </w:rPr>
        <w:t xml:space="preserve"> дату початку роботи нової системи. Перший етап, який охоплював публічних службовців високого та середнього рівня, повинен був розпочатися 15 серпня 2016 року, тоді як усі інші декларанти були віднесені до другого етапу, що мав розпочатися 1січня 2017 року.</w:t>
      </w:r>
      <w:r w:rsidR="00B72097" w:rsidRPr="00257F44">
        <w:rPr>
          <w:rFonts w:ascii="Gill Sans" w:hAnsi="Gill Sans" w:cs="Gill Sans"/>
          <w:noProof/>
          <w:sz w:val="22"/>
          <w:szCs w:val="22"/>
          <w:lang w:val="uk-UA"/>
        </w:rPr>
        <w:t xml:space="preserve"> Затримка з отриманням атестату відповідності вимогам ІТ безпеки програмно</w:t>
      </w:r>
      <w:r w:rsidR="00CE4D6C">
        <w:rPr>
          <w:rFonts w:ascii="Gill Sans" w:hAnsi="Gill Sans" w:cs="Gill Sans"/>
          <w:noProof/>
          <w:sz w:val="22"/>
          <w:szCs w:val="22"/>
          <w:lang w:val="uk-UA"/>
        </w:rPr>
        <w:t>го забезпечення системи призвела</w:t>
      </w:r>
      <w:r w:rsidR="00B72097" w:rsidRPr="00257F44">
        <w:rPr>
          <w:rFonts w:ascii="Gill Sans" w:hAnsi="Gill Sans" w:cs="Gill Sans"/>
          <w:noProof/>
          <w:sz w:val="22"/>
          <w:szCs w:val="22"/>
          <w:lang w:val="uk-UA"/>
        </w:rPr>
        <w:t xml:space="preserve"> до відтермінування дати запуску, яка була перенесена на 1 вересня 2016 року. ПРООН покрила витрати, пов’язані з хостингом системи на початковому етапі. Роботу системи було успішно розпочато 1 вересня 2016 року</w:t>
      </w:r>
      <w:r w:rsidR="00F127F2" w:rsidRPr="00257F44">
        <w:rPr>
          <w:rFonts w:ascii="Gill Sans" w:hAnsi="Gill Sans" w:cs="Gill Sans"/>
          <w:noProof/>
          <w:sz w:val="22"/>
          <w:szCs w:val="22"/>
          <w:lang w:val="uk-UA"/>
        </w:rPr>
        <w:t>,</w:t>
      </w:r>
      <w:r w:rsidR="00B72097" w:rsidRPr="00257F44">
        <w:rPr>
          <w:rFonts w:ascii="Gill Sans" w:hAnsi="Gill Sans" w:cs="Gill Sans"/>
          <w:noProof/>
          <w:sz w:val="22"/>
          <w:szCs w:val="22"/>
          <w:lang w:val="uk-UA"/>
        </w:rPr>
        <w:t xml:space="preserve"> попри технічні проблеми, пов’язані із авторизацією декларантів у системі, зберіганням даних та зміненою формою декларації. Під час першого етапу (1 вересня – 30 жовтня) більше 100 тис. декларантів подали свої пе</w:t>
      </w:r>
      <w:r w:rsidR="00CE4D6C">
        <w:rPr>
          <w:rFonts w:ascii="Gill Sans" w:hAnsi="Gill Sans" w:cs="Gill Sans"/>
          <w:noProof/>
          <w:sz w:val="22"/>
          <w:szCs w:val="22"/>
          <w:lang w:val="uk-UA"/>
        </w:rPr>
        <w:t>р</w:t>
      </w:r>
      <w:r w:rsidR="00B72097" w:rsidRPr="00257F44">
        <w:rPr>
          <w:rFonts w:ascii="Gill Sans" w:hAnsi="Gill Sans" w:cs="Gill Sans"/>
          <w:noProof/>
          <w:sz w:val="22"/>
          <w:szCs w:val="22"/>
          <w:lang w:val="uk-UA"/>
        </w:rPr>
        <w:t>ші щорічні електронні декларації за 2015 рік. Станом на кінець грудня 2016 року, публічний веб-портал містив більше 135 тис. електронних документів (декларацій різних типів, повідомлень про суттєві зм</w:t>
      </w:r>
      <w:r w:rsidR="00CE4D6C">
        <w:rPr>
          <w:rFonts w:ascii="Gill Sans" w:hAnsi="Gill Sans" w:cs="Gill Sans"/>
          <w:noProof/>
          <w:sz w:val="22"/>
          <w:szCs w:val="22"/>
          <w:lang w:val="uk-UA"/>
        </w:rPr>
        <w:t>іни в майновому стані декларантив</w:t>
      </w:r>
      <w:r w:rsidR="00B72097" w:rsidRPr="00257F44">
        <w:rPr>
          <w:rFonts w:ascii="Gill Sans" w:hAnsi="Gill Sans" w:cs="Gill Sans"/>
          <w:noProof/>
          <w:sz w:val="22"/>
          <w:szCs w:val="22"/>
          <w:lang w:val="uk-UA"/>
        </w:rPr>
        <w:t>), усі з яких були доступні для публічного доступу, у тому числі в машиночитаному форматі.</w:t>
      </w:r>
    </w:p>
    <w:p w14:paraId="4B0177C8" w14:textId="77777777" w:rsidR="002F1F92" w:rsidRPr="00257F44" w:rsidRDefault="002F1F92" w:rsidP="00310CD5">
      <w:pPr>
        <w:pStyle w:val="Heading3"/>
        <w:spacing w:after="120"/>
        <w:rPr>
          <w:lang w:val="uk-UA"/>
        </w:rPr>
      </w:pPr>
      <w:r w:rsidRPr="00257F44">
        <w:rPr>
          <w:lang w:val="uk-UA"/>
        </w:rPr>
        <w:t>Чи відкрило це уряд?</w:t>
      </w:r>
    </w:p>
    <w:p w14:paraId="125D1896" w14:textId="79DB65BB" w:rsidR="002F1F92" w:rsidRPr="00257F44" w:rsidRDefault="002F1F92" w:rsidP="00310CD5">
      <w:pPr>
        <w:spacing w:after="120"/>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Доступ до інформації: Визначним чином</w:t>
      </w:r>
    </w:p>
    <w:p w14:paraId="1884FFAC" w14:textId="09A1D3D0" w:rsidR="002F1F92" w:rsidRPr="00257F44" w:rsidRDefault="002F1F92" w:rsidP="00310CD5">
      <w:pPr>
        <w:spacing w:after="120"/>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Підзвітність влади: Визначним чином</w:t>
      </w:r>
    </w:p>
    <w:p w14:paraId="6D6C3A28" w14:textId="3A6079C6" w:rsidR="00F127F2" w:rsidRPr="00257F44" w:rsidRDefault="00DF5579" w:rsidP="00310CD5">
      <w:pPr>
        <w:spacing w:after="120"/>
        <w:rPr>
          <w:rFonts w:ascii="Gill Sans" w:hAnsi="Gill Sans" w:cs="Gill Sans"/>
          <w:sz w:val="22"/>
          <w:szCs w:val="22"/>
          <w:lang w:val="uk-UA"/>
        </w:rPr>
      </w:pPr>
      <w:r w:rsidRPr="00257F44">
        <w:rPr>
          <w:rFonts w:ascii="Gill Sans" w:hAnsi="Gill Sans" w:cs="Gill Sans"/>
          <w:sz w:val="22"/>
          <w:szCs w:val="22"/>
          <w:lang w:val="uk-UA"/>
        </w:rPr>
        <w:t>Нова система електронного декларування активів для публічних службовців замінила попередню неефе</w:t>
      </w:r>
      <w:r w:rsidR="00CE4D6C">
        <w:rPr>
          <w:rFonts w:ascii="Gill Sans" w:hAnsi="Gill Sans" w:cs="Gill Sans"/>
          <w:sz w:val="22"/>
          <w:szCs w:val="22"/>
          <w:lang w:val="uk-UA"/>
        </w:rPr>
        <w:t>ктивну</w:t>
      </w:r>
      <w:r w:rsidRPr="00257F44">
        <w:rPr>
          <w:rFonts w:ascii="Gill Sans" w:hAnsi="Gill Sans" w:cs="Gill Sans"/>
          <w:sz w:val="22"/>
          <w:szCs w:val="22"/>
          <w:lang w:val="uk-UA"/>
        </w:rPr>
        <w:t xml:space="preserve"> паперову систему та дозволила </w:t>
      </w:r>
      <w:r w:rsidR="00733C11" w:rsidRPr="00257F44">
        <w:rPr>
          <w:rFonts w:ascii="Gill Sans" w:hAnsi="Gill Sans" w:cs="Gill Sans"/>
          <w:sz w:val="22"/>
          <w:szCs w:val="22"/>
          <w:lang w:val="uk-UA"/>
        </w:rPr>
        <w:t xml:space="preserve">здобути безпрецедентний рівень прозорості щодо статків публічних службовців. Це потужний інструмент проти корупції, що спрощує виявлення та переслідування незаконного збагачення та конфліктів інтересів. Нова система розпочала свою роботу 1 вересня 2016 року та </w:t>
      </w:r>
      <w:r w:rsidR="00D74B7D" w:rsidRPr="00257F44">
        <w:rPr>
          <w:rFonts w:ascii="Gill Sans" w:hAnsi="Gill Sans" w:cs="Gill Sans"/>
          <w:sz w:val="22"/>
          <w:szCs w:val="22"/>
          <w:lang w:val="uk-UA"/>
        </w:rPr>
        <w:t>привернула до себе</w:t>
      </w:r>
      <w:r w:rsidR="00733C11" w:rsidRPr="00257F44">
        <w:rPr>
          <w:rFonts w:ascii="Gill Sans" w:hAnsi="Gill Sans" w:cs="Gill Sans"/>
          <w:sz w:val="22"/>
          <w:szCs w:val="22"/>
          <w:lang w:val="uk-UA"/>
        </w:rPr>
        <w:t xml:space="preserve"> </w:t>
      </w:r>
      <w:r w:rsidR="00D74B7D" w:rsidRPr="00257F44">
        <w:rPr>
          <w:rFonts w:ascii="Gill Sans" w:hAnsi="Gill Sans" w:cs="Gill Sans"/>
          <w:sz w:val="22"/>
          <w:szCs w:val="22"/>
          <w:lang w:val="uk-UA"/>
        </w:rPr>
        <w:t xml:space="preserve">надзвичайну </w:t>
      </w:r>
      <w:r w:rsidR="00733C11" w:rsidRPr="00257F44">
        <w:rPr>
          <w:rFonts w:ascii="Gill Sans" w:hAnsi="Gill Sans" w:cs="Gill Sans"/>
          <w:sz w:val="22"/>
          <w:szCs w:val="22"/>
          <w:lang w:val="uk-UA"/>
        </w:rPr>
        <w:t>увагу ЗМІ та громадськості. Вона призвела до численних журналістських розслідувань та матеріалів у національних та іноземних ЗМІ</w:t>
      </w:r>
      <w:r w:rsidR="00733C11" w:rsidRPr="00257F44">
        <w:rPr>
          <w:rStyle w:val="EndnoteReference"/>
          <w:rFonts w:ascii="Gill Sans" w:hAnsi="Gill Sans" w:cs="Gill Sans"/>
          <w:sz w:val="22"/>
          <w:szCs w:val="22"/>
          <w:lang w:val="uk-UA"/>
        </w:rPr>
        <w:endnoteReference w:id="54"/>
      </w:r>
      <w:r w:rsidR="00733C11" w:rsidRPr="00257F44">
        <w:rPr>
          <w:rFonts w:ascii="Gill Sans" w:hAnsi="Gill Sans" w:cs="Gill Sans"/>
          <w:sz w:val="22"/>
          <w:szCs w:val="22"/>
          <w:lang w:val="uk-UA"/>
        </w:rPr>
        <w:t xml:space="preserve">. Веб-портал декларацій дозволив підвищити суспільний запит на підзвітність публічних службовців, статки яких </w:t>
      </w:r>
      <w:r w:rsidR="00733C11" w:rsidRPr="00257F44">
        <w:rPr>
          <w:rFonts w:ascii="Gill Sans" w:hAnsi="Gill Sans" w:cs="Gill Sans"/>
          <w:sz w:val="22"/>
          <w:szCs w:val="22"/>
          <w:lang w:val="uk-UA"/>
        </w:rPr>
        <w:lastRenderedPageBreak/>
        <w:t>стали відкритими завдяки системі електронного декларування.</w:t>
      </w:r>
      <w:r w:rsidR="00D74B7D" w:rsidRPr="00257F44">
        <w:rPr>
          <w:rFonts w:ascii="Gill Sans" w:hAnsi="Gill Sans" w:cs="Gill Sans"/>
          <w:sz w:val="22"/>
          <w:szCs w:val="22"/>
          <w:lang w:val="uk-UA"/>
        </w:rPr>
        <w:t xml:space="preserve"> Декларації автоматично оприлюднюються одразу після їх подання</w:t>
      </w:r>
      <w:r w:rsidR="00D41900" w:rsidRPr="00257F44">
        <w:rPr>
          <w:rFonts w:ascii="Gill Sans" w:hAnsi="Gill Sans" w:cs="Gill Sans"/>
          <w:sz w:val="22"/>
          <w:szCs w:val="22"/>
          <w:lang w:val="uk-UA"/>
        </w:rPr>
        <w:t>,</w:t>
      </w:r>
      <w:r w:rsidR="00D74B7D" w:rsidRPr="00257F44">
        <w:rPr>
          <w:rFonts w:ascii="Gill Sans" w:hAnsi="Gill Sans" w:cs="Gill Sans"/>
          <w:sz w:val="22"/>
          <w:szCs w:val="22"/>
          <w:lang w:val="uk-UA"/>
        </w:rPr>
        <w:t xml:space="preserve"> і НДО, медіа та громадяни можуть повідомляти </w:t>
      </w:r>
      <w:r w:rsidR="00D41900" w:rsidRPr="00257F44">
        <w:rPr>
          <w:rFonts w:ascii="Gill Sans" w:hAnsi="Gill Sans" w:cs="Gill Sans"/>
          <w:sz w:val="22"/>
          <w:szCs w:val="22"/>
          <w:lang w:val="uk-UA"/>
        </w:rPr>
        <w:t xml:space="preserve">органи влади </w:t>
      </w:r>
      <w:r w:rsidR="00D74B7D" w:rsidRPr="00257F44">
        <w:rPr>
          <w:rFonts w:ascii="Gill Sans" w:hAnsi="Gill Sans" w:cs="Gill Sans"/>
          <w:sz w:val="22"/>
          <w:szCs w:val="22"/>
          <w:lang w:val="uk-UA"/>
        </w:rPr>
        <w:t>про невідпов</w:t>
      </w:r>
      <w:r w:rsidR="00D41900" w:rsidRPr="00257F44">
        <w:rPr>
          <w:rFonts w:ascii="Gill Sans" w:hAnsi="Gill Sans" w:cs="Gill Sans"/>
          <w:sz w:val="22"/>
          <w:szCs w:val="22"/>
          <w:lang w:val="uk-UA"/>
        </w:rPr>
        <w:t>ідності, виявлені в деклараціях</w:t>
      </w:r>
      <w:r w:rsidR="00D74B7D" w:rsidRPr="00257F44">
        <w:rPr>
          <w:rFonts w:ascii="Gill Sans" w:hAnsi="Gill Sans" w:cs="Gill Sans"/>
          <w:sz w:val="22"/>
          <w:szCs w:val="22"/>
          <w:lang w:val="uk-UA"/>
        </w:rPr>
        <w:t>. За Законом про запобігання корупції (стаття 50</w:t>
      </w:r>
      <w:r w:rsidR="00262325" w:rsidRPr="00257F44">
        <w:rPr>
          <w:rStyle w:val="EndnoteReference"/>
          <w:rFonts w:ascii="Gill Sans" w:hAnsi="Gill Sans" w:cs="Gill Sans"/>
          <w:sz w:val="22"/>
          <w:szCs w:val="22"/>
          <w:lang w:val="uk-UA"/>
        </w:rPr>
        <w:endnoteReference w:id="55"/>
      </w:r>
      <w:r w:rsidR="00D74B7D" w:rsidRPr="00257F44">
        <w:rPr>
          <w:rFonts w:ascii="Gill Sans" w:hAnsi="Gill Sans" w:cs="Gill Sans"/>
          <w:sz w:val="22"/>
          <w:szCs w:val="22"/>
          <w:lang w:val="uk-UA"/>
        </w:rPr>
        <w:t>), НАЗК повинно проводити перевірку невідповідностей або повідомлень про недостовірні відомості в деклараціях. Процес перевірки</w:t>
      </w:r>
      <w:r w:rsidR="00262325" w:rsidRPr="00257F44">
        <w:rPr>
          <w:rFonts w:ascii="Gill Sans" w:hAnsi="Gill Sans" w:cs="Gill Sans"/>
          <w:sz w:val="22"/>
          <w:szCs w:val="22"/>
          <w:lang w:val="uk-UA"/>
        </w:rPr>
        <w:t xml:space="preserve"> може призвести до кримінальної відповідальності, що створює механізм підзвітності шляхом перевірки невідповідностей, виявлених завдяки більшій відкритості. Національне антикорупційне бюро розпочало кілька кримінальних розслідувань щодо незаконного збагачення та недостовірних відомостей на підставі нових е-декларацій</w:t>
      </w:r>
      <w:r w:rsidR="00262325" w:rsidRPr="00257F44">
        <w:rPr>
          <w:rStyle w:val="EndnoteReference"/>
          <w:rFonts w:ascii="Gill Sans" w:hAnsi="Gill Sans" w:cs="Gill Sans"/>
          <w:sz w:val="22"/>
          <w:szCs w:val="22"/>
          <w:lang w:val="uk-UA"/>
        </w:rPr>
        <w:endnoteReference w:id="56"/>
      </w:r>
      <w:r w:rsidR="00262325" w:rsidRPr="00257F44">
        <w:rPr>
          <w:rFonts w:ascii="Gill Sans" w:hAnsi="Gill Sans" w:cs="Gill Sans"/>
          <w:sz w:val="22"/>
          <w:szCs w:val="22"/>
          <w:lang w:val="uk-UA"/>
        </w:rPr>
        <w:t>. Міжнародні організації та іноземні уряди визнали нову систему е-декларування як визначний прорив</w:t>
      </w:r>
      <w:r w:rsidR="00262325" w:rsidRPr="00257F44">
        <w:rPr>
          <w:rStyle w:val="EndnoteReference"/>
          <w:rFonts w:ascii="Gill Sans" w:hAnsi="Gill Sans" w:cs="Gill Sans"/>
          <w:sz w:val="22"/>
          <w:szCs w:val="22"/>
          <w:lang w:val="uk-UA"/>
        </w:rPr>
        <w:endnoteReference w:id="57"/>
      </w:r>
      <w:r w:rsidR="00262325" w:rsidRPr="00257F44">
        <w:rPr>
          <w:rFonts w:ascii="Gill Sans" w:hAnsi="Gill Sans" w:cs="Gill Sans"/>
          <w:sz w:val="22"/>
          <w:szCs w:val="22"/>
          <w:lang w:val="uk-UA"/>
        </w:rPr>
        <w:t>. Відповідно до національного опитування від грудня 2016 року, українські громадяни визнали запуск системи електронного декларування четвертим найбільшим успіхом країни в 2016 році</w:t>
      </w:r>
      <w:r w:rsidR="00A43998" w:rsidRPr="00257F44">
        <w:rPr>
          <w:rStyle w:val="EndnoteReference"/>
          <w:rFonts w:ascii="Gill Sans" w:hAnsi="Gill Sans" w:cs="Gill Sans"/>
          <w:sz w:val="22"/>
          <w:szCs w:val="22"/>
          <w:lang w:val="uk-UA"/>
        </w:rPr>
        <w:endnoteReference w:id="58"/>
      </w:r>
      <w:r w:rsidR="00A43998" w:rsidRPr="00257F44">
        <w:rPr>
          <w:rFonts w:ascii="Gill Sans" w:hAnsi="Gill Sans" w:cs="Gill Sans"/>
          <w:sz w:val="22"/>
          <w:szCs w:val="22"/>
          <w:lang w:val="uk-UA"/>
        </w:rPr>
        <w:t>.</w:t>
      </w:r>
    </w:p>
    <w:p w14:paraId="0BB6C64C" w14:textId="77777777" w:rsidR="002F1F92" w:rsidRPr="00257F44" w:rsidRDefault="002F1F92" w:rsidP="00310CD5">
      <w:pPr>
        <w:pStyle w:val="Heading3"/>
        <w:spacing w:after="120"/>
        <w:rPr>
          <w:lang w:val="uk-UA"/>
        </w:rPr>
      </w:pPr>
      <w:r w:rsidRPr="00257F44">
        <w:rPr>
          <w:lang w:val="uk-UA"/>
        </w:rPr>
        <w:t>Чи перенесено до наступного плану дій?</w:t>
      </w:r>
    </w:p>
    <w:p w14:paraId="50A1B617" w14:textId="1BD9B27F" w:rsidR="00CE7362" w:rsidRPr="00257F44" w:rsidRDefault="00B7342F" w:rsidP="00310CD5">
      <w:pPr>
        <w:spacing w:after="120"/>
        <w:rPr>
          <w:rFonts w:ascii="Gill Sans" w:hAnsi="Gill Sans" w:cs="Gill Sans"/>
          <w:noProof/>
          <w:sz w:val="22"/>
          <w:szCs w:val="22"/>
          <w:lang w:val="uk-UA"/>
        </w:rPr>
        <w:sectPr w:rsidR="00CE7362" w:rsidRPr="00257F44" w:rsidSect="00F561B7">
          <w:endnotePr>
            <w:numFmt w:val="decimal"/>
            <w:numRestart w:val="eachSect"/>
          </w:endnotePr>
          <w:pgSz w:w="12240" w:h="15840"/>
          <w:pgMar w:top="1440" w:right="1800" w:bottom="1440" w:left="1800" w:header="720" w:footer="720" w:gutter="0"/>
          <w:cols w:space="720"/>
          <w:docGrid w:linePitch="360"/>
        </w:sectPr>
      </w:pPr>
      <w:r w:rsidRPr="00257F44">
        <w:rPr>
          <w:rFonts w:ascii="Gill Sans" w:hAnsi="Gill Sans" w:cs="Gill Sans"/>
          <w:noProof/>
          <w:sz w:val="22"/>
          <w:szCs w:val="22"/>
          <w:lang w:val="uk-UA"/>
        </w:rPr>
        <w:t xml:space="preserve">Зобов’язання було перенесено до </w:t>
      </w:r>
      <w:r w:rsidR="00CE4D6C">
        <w:rPr>
          <w:rFonts w:ascii="Gill Sans" w:hAnsi="Gill Sans" w:cs="Gill Sans"/>
          <w:noProof/>
          <w:sz w:val="22"/>
          <w:szCs w:val="22"/>
          <w:lang w:val="uk-UA"/>
        </w:rPr>
        <w:t>нового</w:t>
      </w:r>
      <w:r w:rsidRPr="00257F44">
        <w:rPr>
          <w:rFonts w:ascii="Gill Sans" w:hAnsi="Gill Sans" w:cs="Gill Sans"/>
          <w:noProof/>
          <w:sz w:val="22"/>
          <w:szCs w:val="22"/>
          <w:lang w:val="uk-UA"/>
        </w:rPr>
        <w:t xml:space="preserve"> плану дій. Важливо забезпечити належну роботу системи після 1 січня 2017 року, а також запровадити дієву процедуру перевірки поданих декларацій з боку НАЗК. Для цього, НАЗК повинно ухвалити, а Міністерство юстиції зареєструвати і оприлюднити відповідні підзааконні акти; НАЗК повинно отримати прямий та автоматизований доступ до реєстрів і баз даних, які знаходяться у володінні різних органів влади, а програмне забезпечення</w:t>
      </w:r>
      <w:r w:rsidR="004E05E3" w:rsidRPr="00257F44">
        <w:rPr>
          <w:rFonts w:ascii="Gill Sans" w:hAnsi="Gill Sans" w:cs="Gill Sans"/>
          <w:noProof/>
          <w:sz w:val="22"/>
          <w:szCs w:val="22"/>
          <w:lang w:val="uk-UA"/>
        </w:rPr>
        <w:t xml:space="preserve"> системи декларування</w:t>
      </w:r>
      <w:r w:rsidRPr="00257F44">
        <w:rPr>
          <w:rFonts w:ascii="Gill Sans" w:hAnsi="Gill Sans" w:cs="Gill Sans"/>
          <w:noProof/>
          <w:sz w:val="22"/>
          <w:szCs w:val="22"/>
          <w:lang w:val="uk-UA"/>
        </w:rPr>
        <w:t xml:space="preserve"> слід доповнити з тим, щоб воно дозволяло інтеграцію із зовнішніми реєстрами та автоматизовану перевірку декларацій. НАЗК повинно отримати достатнє фінансування для створення потужностей із хостингу та адміністрування системи всередині НАЗК із забезпеченням безпеки.</w:t>
      </w:r>
      <w:r w:rsidR="00405B34" w:rsidRPr="00257F44">
        <w:rPr>
          <w:rFonts w:ascii="Gill Sans" w:hAnsi="Gill Sans" w:cs="Gill Sans"/>
          <w:noProof/>
          <w:sz w:val="22"/>
          <w:szCs w:val="22"/>
          <w:lang w:val="uk-UA"/>
        </w:rPr>
        <w:t xml:space="preserve"> НАЗК також слід продовжувати проводити широку інформаційну кампанію та навчання публічних службовців щодо використання системи е-декларування.</w:t>
      </w:r>
    </w:p>
    <w:p w14:paraId="7727FC7B" w14:textId="77777777" w:rsidR="009D1A26" w:rsidRPr="00257F44" w:rsidRDefault="009D1A26" w:rsidP="009D1A26">
      <w:pPr>
        <w:pStyle w:val="Heading2"/>
        <w:spacing w:before="0" w:after="120"/>
        <w:rPr>
          <w:noProof/>
          <w:lang w:val="uk-UA"/>
        </w:rPr>
      </w:pPr>
      <w:bookmarkStart w:id="6" w:name="_Toc315983743"/>
      <w:bookmarkStart w:id="7" w:name="_Toc437543871"/>
      <w:r w:rsidRPr="00257F44">
        <w:rPr>
          <w:noProof/>
          <w:lang w:val="uk-UA"/>
        </w:rPr>
        <w:lastRenderedPageBreak/>
        <w:t>Тема 4. Надання адміністративних та соціальних послуг</w:t>
      </w:r>
      <w:bookmarkEnd w:id="6"/>
      <w:r w:rsidRPr="00257F44">
        <w:rPr>
          <w:noProof/>
          <w:lang w:val="uk-UA"/>
        </w:rPr>
        <w:t xml:space="preserve"> </w:t>
      </w:r>
    </w:p>
    <w:p w14:paraId="540E0261" w14:textId="77777777" w:rsidR="009D1A26" w:rsidRPr="00257F44" w:rsidRDefault="009D1A26" w:rsidP="009D1A26">
      <w:pPr>
        <w:pStyle w:val="Heading2"/>
        <w:spacing w:before="0" w:after="120"/>
        <w:rPr>
          <w:rFonts w:eastAsiaTheme="minorEastAsia"/>
          <w:bCs w:val="0"/>
          <w:color w:val="222222"/>
          <w:sz w:val="22"/>
          <w:szCs w:val="22"/>
          <w:lang w:val="uk-UA"/>
        </w:rPr>
      </w:pPr>
      <w:bookmarkStart w:id="8" w:name="_Toc437543872"/>
      <w:bookmarkEnd w:id="7"/>
      <w:r w:rsidRPr="00257F44">
        <w:rPr>
          <w:rFonts w:eastAsiaTheme="minorEastAsia"/>
          <w:bCs w:val="0"/>
          <w:color w:val="222222"/>
          <w:sz w:val="22"/>
          <w:szCs w:val="22"/>
          <w:lang w:val="uk-UA"/>
        </w:rPr>
        <w:t>13. Закон про адміністративну процедуру</w:t>
      </w:r>
      <w:bookmarkEnd w:id="8"/>
    </w:p>
    <w:p w14:paraId="387E1B48" w14:textId="77777777" w:rsidR="009D1A26" w:rsidRPr="00257F44" w:rsidRDefault="009D1A26" w:rsidP="009D1A26">
      <w:pPr>
        <w:spacing w:after="120"/>
        <w:rPr>
          <w:rFonts w:ascii="Gill Sans" w:hAnsi="Gill Sans" w:cs="Gill Sans"/>
          <w:i/>
          <w:noProof/>
          <w:sz w:val="22"/>
          <w:szCs w:val="22"/>
          <w:lang w:val="uk-UA"/>
        </w:rPr>
      </w:pPr>
      <w:r w:rsidRPr="00257F44">
        <w:rPr>
          <w:rFonts w:ascii="Gill Sans" w:hAnsi="Gill Sans" w:cs="Gill Sans"/>
          <w:b/>
          <w:bCs/>
          <w:iCs/>
          <w:noProof/>
          <w:sz w:val="22"/>
          <w:szCs w:val="22"/>
          <w:lang w:val="uk-UA"/>
        </w:rPr>
        <w:t>Текст зобов’язання:</w:t>
      </w:r>
      <w:r w:rsidRPr="00257F44">
        <w:rPr>
          <w:rFonts w:ascii="Gill Sans" w:hAnsi="Gill Sans" w:cs="Gill Sans"/>
          <w:i/>
          <w:noProof/>
          <w:sz w:val="22"/>
          <w:szCs w:val="22"/>
          <w:lang w:val="uk-UA"/>
        </w:rPr>
        <w:t xml:space="preserve"> 13. Підготовка та подання в установленому порядку Кабінетові Міністрів України проекту Закону України “Про адміністративну процедуру”.</w:t>
      </w:r>
    </w:p>
    <w:p w14:paraId="58E95D0A" w14:textId="77777777" w:rsidR="009D1A26" w:rsidRPr="00257F44" w:rsidRDefault="009D1A26" w:rsidP="009D1A26">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схвалення Кабінетом Міністрів України відповідного проекту Закону України, подання його Верховній Раді України та супроводження до прийняття.</w:t>
      </w:r>
    </w:p>
    <w:p w14:paraId="0BA33834" w14:textId="77777777" w:rsidR="009D1A26" w:rsidRPr="00257F44" w:rsidRDefault="009D1A26" w:rsidP="009D1A26">
      <w:pPr>
        <w:spacing w:after="120"/>
        <w:rPr>
          <w:rFonts w:ascii="Gill Sans" w:hAnsi="Gill Sans" w:cs="Gill Sans"/>
          <w:noProof/>
          <w:sz w:val="22"/>
          <w:szCs w:val="22"/>
          <w:lang w:val="uk-UA"/>
        </w:rPr>
      </w:pPr>
      <w:r w:rsidRPr="00257F44">
        <w:rPr>
          <w:rFonts w:ascii="Gill Sans" w:hAnsi="Gill Sans" w:cs="Gill Sans"/>
          <w:noProof/>
          <w:sz w:val="22"/>
          <w:szCs w:val="22"/>
          <w:lang w:val="uk-UA"/>
        </w:rPr>
        <w:t>Головна інституція, відповідальна за виконання: Міністерство юстиції.</w:t>
      </w:r>
    </w:p>
    <w:p w14:paraId="0FAFE821" w14:textId="77777777" w:rsidR="009D1A26" w:rsidRPr="00257F44" w:rsidRDefault="009D1A26" w:rsidP="009D1A26">
      <w:pPr>
        <w:spacing w:after="120"/>
        <w:rPr>
          <w:rFonts w:ascii="Gill Sans" w:hAnsi="Gill Sans" w:cs="Gill Sans"/>
          <w:noProof/>
          <w:sz w:val="22"/>
          <w:szCs w:val="22"/>
          <w:lang w:val="uk-UA"/>
        </w:rPr>
      </w:pPr>
      <w:r w:rsidRPr="00257F44">
        <w:rPr>
          <w:rFonts w:ascii="Gill Sans" w:hAnsi="Gill Sans" w:cs="Gill Sans"/>
          <w:noProof/>
          <w:sz w:val="22"/>
          <w:szCs w:val="22"/>
          <w:lang w:val="uk-UA"/>
        </w:rPr>
        <w:t>Інші виконавці: ГО “Центр політико-правових реформ”, інші невизначені організації громадянського суспільства та міжнародні організації.</w:t>
      </w:r>
    </w:p>
    <w:p w14:paraId="6A68E72B" w14:textId="77777777" w:rsidR="009D1A26" w:rsidRPr="00257F44" w:rsidRDefault="009D1A26" w:rsidP="009D1A26">
      <w:pPr>
        <w:spacing w:after="120"/>
        <w:rPr>
          <w:rFonts w:ascii="Gill Sans" w:hAnsi="Gill Sans" w:cs="Gill Sans"/>
          <w:noProof/>
          <w:sz w:val="22"/>
          <w:szCs w:val="22"/>
          <w:lang w:val="uk-UA"/>
        </w:rPr>
      </w:pPr>
      <w:r w:rsidRPr="00257F44">
        <w:rPr>
          <w:rFonts w:ascii="Gill Sans" w:hAnsi="Gill Sans" w:cs="Gill Sans"/>
          <w:noProof/>
          <w:sz w:val="22"/>
          <w:szCs w:val="22"/>
          <w:lang w:val="uk-UA"/>
        </w:rPr>
        <w:t>Дата початку: Не визначено</w:t>
      </w:r>
      <w:r w:rsidRPr="00257F44">
        <w:rPr>
          <w:rFonts w:ascii="Gill Sans" w:hAnsi="Gill Sans" w:cs="Gill Sans"/>
          <w:noProof/>
          <w:sz w:val="22"/>
          <w:szCs w:val="22"/>
          <w:lang w:val="uk-UA"/>
        </w:rPr>
        <w:tab/>
      </w:r>
      <w:r w:rsidRPr="00257F44">
        <w:rPr>
          <w:rFonts w:ascii="Gill Sans" w:hAnsi="Gill Sans" w:cs="Gill Sans"/>
          <w:noProof/>
          <w:sz w:val="22"/>
          <w:szCs w:val="22"/>
          <w:lang w:val="uk-UA"/>
        </w:rPr>
        <w:tab/>
      </w:r>
      <w:r w:rsidRPr="00257F44">
        <w:rPr>
          <w:rFonts w:ascii="Gill Sans" w:hAnsi="Gill Sans" w:cs="Gill Sans"/>
          <w:noProof/>
          <w:sz w:val="22"/>
          <w:szCs w:val="22"/>
          <w:lang w:val="uk-UA"/>
        </w:rPr>
        <w:tab/>
        <w:t>Термін виконання: 31 грудня 2014 р.</w:t>
      </w:r>
    </w:p>
    <w:p w14:paraId="306C9AB1" w14:textId="77777777" w:rsidR="00EB22DF" w:rsidRPr="00257F44" w:rsidRDefault="00EB22DF" w:rsidP="00EB22DF">
      <w:pPr>
        <w:spacing w:after="120"/>
        <w:rPr>
          <w:rFonts w:ascii="Gill Sans" w:hAnsi="Gill Sans" w:cs="Gill Sans"/>
          <w:noProof/>
          <w:sz w:val="22"/>
          <w:szCs w:val="22"/>
          <w:lang w:val="uk-UA"/>
        </w:rPr>
      </w:pPr>
    </w:p>
    <w:tbl>
      <w:tblPr>
        <w:tblpPr w:leftFromText="180" w:rightFromText="180" w:vertAnchor="page" w:horzAnchor="page" w:tblpX="1168" w:tblpY="5225"/>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348"/>
        <w:gridCol w:w="344"/>
        <w:gridCol w:w="344"/>
        <w:gridCol w:w="423"/>
        <w:gridCol w:w="344"/>
        <w:gridCol w:w="344"/>
        <w:gridCol w:w="344"/>
        <w:gridCol w:w="815"/>
        <w:gridCol w:w="344"/>
        <w:gridCol w:w="423"/>
        <w:gridCol w:w="423"/>
        <w:gridCol w:w="344"/>
        <w:gridCol w:w="501"/>
        <w:gridCol w:w="501"/>
        <w:gridCol w:w="423"/>
        <w:gridCol w:w="501"/>
        <w:gridCol w:w="344"/>
        <w:gridCol w:w="423"/>
        <w:gridCol w:w="423"/>
        <w:gridCol w:w="344"/>
        <w:gridCol w:w="423"/>
      </w:tblGrid>
      <w:tr w:rsidR="00A15E2A" w:rsidRPr="00257F44" w14:paraId="4A8FC84A" w14:textId="77777777" w:rsidTr="000D7BDC">
        <w:trPr>
          <w:trHeight w:val="405"/>
        </w:trPr>
        <w:tc>
          <w:tcPr>
            <w:tcW w:w="1459" w:type="dxa"/>
            <w:vMerge w:val="restart"/>
            <w:tcBorders>
              <w:top w:val="single" w:sz="18" w:space="0" w:color="FFFFFF"/>
              <w:left w:val="single" w:sz="4" w:space="0" w:color="FFFFFF"/>
              <w:right w:val="single" w:sz="18" w:space="0" w:color="FFFFFF"/>
            </w:tcBorders>
            <w:shd w:val="clear" w:color="auto" w:fill="000000"/>
          </w:tcPr>
          <w:p w14:paraId="51774361" w14:textId="1DE77650" w:rsidR="00A15E2A" w:rsidRPr="00257F44" w:rsidRDefault="00A15E2A" w:rsidP="000D7BDC">
            <w:pPr>
              <w:rPr>
                <w:rFonts w:ascii="Gill Sans" w:hAnsi="Gill Sans" w:cs="Gill Sans"/>
                <w:color w:val="FFFFFF" w:themeColor="background1"/>
                <w:sz w:val="22"/>
                <w:szCs w:val="22"/>
                <w:lang w:val="uk-UA"/>
              </w:rPr>
            </w:pPr>
            <w:r w:rsidRPr="00257F44">
              <w:rPr>
                <w:rFonts w:ascii="Gill Sans" w:hAnsi="Gill Sans" w:cs="Gill Sans"/>
                <w:sz w:val="20"/>
                <w:szCs w:val="20"/>
                <w:lang w:val="uk-UA"/>
              </w:rPr>
              <w:t>Опис зобов’язання</w:t>
            </w:r>
          </w:p>
        </w:tc>
        <w:tc>
          <w:tcPr>
            <w:tcW w:w="1459" w:type="dxa"/>
            <w:gridSpan w:val="4"/>
            <w:vMerge w:val="restart"/>
            <w:tcBorders>
              <w:top w:val="single" w:sz="18" w:space="0" w:color="FFFFFF"/>
              <w:left w:val="single" w:sz="18" w:space="0" w:color="FFFFFF"/>
              <w:right w:val="single" w:sz="18" w:space="0" w:color="FFFFFF"/>
            </w:tcBorders>
            <w:shd w:val="clear" w:color="auto" w:fill="D6E3BC"/>
          </w:tcPr>
          <w:p w14:paraId="6760BA3A" w14:textId="05D94160"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Конкретність</w:t>
            </w:r>
          </w:p>
        </w:tc>
        <w:tc>
          <w:tcPr>
            <w:tcW w:w="1847" w:type="dxa"/>
            <w:gridSpan w:val="4"/>
            <w:vMerge w:val="restart"/>
            <w:tcBorders>
              <w:top w:val="single" w:sz="18" w:space="0" w:color="FFFFFF"/>
              <w:left w:val="single" w:sz="18" w:space="0" w:color="FFFFFF"/>
              <w:right w:val="single" w:sz="18" w:space="0" w:color="FFFFFF"/>
            </w:tcBorders>
            <w:shd w:val="clear" w:color="auto" w:fill="FBD4B4"/>
          </w:tcPr>
          <w:p w14:paraId="04D522AF" w14:textId="74DD5454"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Відповідність цінностям ПВУ (як сформульовано)</w:t>
            </w:r>
          </w:p>
        </w:tc>
        <w:tc>
          <w:tcPr>
            <w:tcW w:w="1534" w:type="dxa"/>
            <w:gridSpan w:val="4"/>
            <w:vMerge w:val="restart"/>
            <w:tcBorders>
              <w:top w:val="single" w:sz="18" w:space="0" w:color="FFFFFF"/>
              <w:left w:val="single" w:sz="18" w:space="0" w:color="FFFFFF"/>
              <w:right w:val="single" w:sz="18" w:space="0" w:color="FFFFFF"/>
            </w:tcBorders>
            <w:shd w:val="clear" w:color="auto" w:fill="CCC0D9"/>
          </w:tcPr>
          <w:p w14:paraId="7FA03E5B" w14:textId="15464DCD"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Потенційний вплив</w:t>
            </w:r>
          </w:p>
        </w:tc>
        <w:tc>
          <w:tcPr>
            <w:tcW w:w="1002" w:type="dxa"/>
            <w:gridSpan w:val="2"/>
            <w:vMerge w:val="restart"/>
            <w:tcBorders>
              <w:top w:val="single" w:sz="18" w:space="0" w:color="FFFFFF"/>
              <w:left w:val="single" w:sz="18" w:space="0" w:color="FFFFFF"/>
              <w:right w:val="single" w:sz="2" w:space="0" w:color="FFFFFF"/>
            </w:tcBorders>
            <w:shd w:val="clear" w:color="auto" w:fill="B8CCE4"/>
          </w:tcPr>
          <w:p w14:paraId="41851E66" w14:textId="791E38DF"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Стан вико-нання</w:t>
            </w:r>
          </w:p>
        </w:tc>
        <w:tc>
          <w:tcPr>
            <w:tcW w:w="924"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2AEBF3EA" w14:textId="0B736E5C"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Про-міжний</w:t>
            </w:r>
          </w:p>
        </w:tc>
        <w:tc>
          <w:tcPr>
            <w:tcW w:w="1957" w:type="dxa"/>
            <w:gridSpan w:val="5"/>
            <w:vMerge w:val="restart"/>
            <w:tcBorders>
              <w:top w:val="single" w:sz="18" w:space="0" w:color="FFFFFF"/>
              <w:left w:val="single" w:sz="18" w:space="0" w:color="FFFFFF"/>
              <w:right w:val="single" w:sz="18" w:space="0" w:color="FFFFFF"/>
            </w:tcBorders>
            <w:shd w:val="clear" w:color="auto" w:fill="D99594"/>
          </w:tcPr>
          <w:p w14:paraId="38F92F13" w14:textId="29DCD56D"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Чи відкрило це уряд?</w:t>
            </w:r>
          </w:p>
        </w:tc>
      </w:tr>
      <w:tr w:rsidR="0020660D" w:rsidRPr="00257F44" w14:paraId="21FF463F" w14:textId="77777777" w:rsidTr="000D7BDC">
        <w:trPr>
          <w:trHeight w:val="373"/>
        </w:trPr>
        <w:tc>
          <w:tcPr>
            <w:tcW w:w="1459" w:type="dxa"/>
            <w:vMerge/>
            <w:tcBorders>
              <w:left w:val="single" w:sz="4" w:space="0" w:color="FFFFFF"/>
              <w:right w:val="single" w:sz="18" w:space="0" w:color="FFFFFF"/>
            </w:tcBorders>
            <w:shd w:val="clear" w:color="auto" w:fill="000000"/>
          </w:tcPr>
          <w:p w14:paraId="0903974D" w14:textId="004AEE4B" w:rsidR="0020660D" w:rsidRPr="00257F44" w:rsidRDefault="0020660D" w:rsidP="000D7BDC">
            <w:pPr>
              <w:rPr>
                <w:rFonts w:ascii="Gill Sans" w:hAnsi="Gill Sans" w:cs="Gill Sans"/>
                <w:color w:val="FFFFFF" w:themeColor="background1"/>
                <w:sz w:val="22"/>
                <w:szCs w:val="22"/>
                <w:lang w:val="uk-UA"/>
              </w:rPr>
            </w:pPr>
          </w:p>
        </w:tc>
        <w:tc>
          <w:tcPr>
            <w:tcW w:w="1459" w:type="dxa"/>
            <w:gridSpan w:val="4"/>
            <w:vMerge/>
            <w:tcBorders>
              <w:left w:val="single" w:sz="18" w:space="0" w:color="FFFFFF"/>
              <w:bottom w:val="single" w:sz="18" w:space="0" w:color="FFFFFF"/>
              <w:right w:val="single" w:sz="18" w:space="0" w:color="FFFFFF"/>
            </w:tcBorders>
            <w:shd w:val="clear" w:color="auto" w:fill="D6E3BC"/>
          </w:tcPr>
          <w:p w14:paraId="69D02555" w14:textId="77777777" w:rsidR="0020660D" w:rsidRPr="00257F44" w:rsidRDefault="0020660D" w:rsidP="000D7BDC">
            <w:pPr>
              <w:rPr>
                <w:rFonts w:ascii="Gill Sans" w:hAnsi="Gill Sans" w:cs="Gill Sans"/>
                <w:sz w:val="22"/>
                <w:szCs w:val="22"/>
                <w:lang w:val="uk-UA"/>
              </w:rPr>
            </w:pPr>
          </w:p>
        </w:tc>
        <w:tc>
          <w:tcPr>
            <w:tcW w:w="1847" w:type="dxa"/>
            <w:gridSpan w:val="4"/>
            <w:vMerge/>
            <w:tcBorders>
              <w:left w:val="single" w:sz="18" w:space="0" w:color="FFFFFF"/>
              <w:bottom w:val="single" w:sz="18" w:space="0" w:color="FFFFFF"/>
              <w:right w:val="single" w:sz="18" w:space="0" w:color="FFFFFF"/>
            </w:tcBorders>
            <w:shd w:val="clear" w:color="auto" w:fill="FBD4B4"/>
          </w:tcPr>
          <w:p w14:paraId="71352F34" w14:textId="77777777" w:rsidR="0020660D" w:rsidRPr="00257F44" w:rsidRDefault="0020660D" w:rsidP="000D7BDC">
            <w:pPr>
              <w:rPr>
                <w:rFonts w:ascii="Gill Sans" w:hAnsi="Gill Sans" w:cs="Gill Sans"/>
                <w:sz w:val="22"/>
                <w:szCs w:val="22"/>
                <w:lang w:val="uk-UA"/>
              </w:rPr>
            </w:pPr>
          </w:p>
        </w:tc>
        <w:tc>
          <w:tcPr>
            <w:tcW w:w="1534" w:type="dxa"/>
            <w:gridSpan w:val="4"/>
            <w:vMerge/>
            <w:tcBorders>
              <w:left w:val="single" w:sz="18" w:space="0" w:color="FFFFFF"/>
              <w:bottom w:val="single" w:sz="18" w:space="0" w:color="FFFFFF"/>
              <w:right w:val="single" w:sz="18" w:space="0" w:color="FFFFFF"/>
            </w:tcBorders>
            <w:shd w:val="clear" w:color="auto" w:fill="CCC0D9"/>
          </w:tcPr>
          <w:p w14:paraId="2060CB5D" w14:textId="77777777" w:rsidR="0020660D" w:rsidRPr="00257F44" w:rsidRDefault="0020660D" w:rsidP="000D7BDC">
            <w:pPr>
              <w:rPr>
                <w:rFonts w:ascii="Gill Sans" w:hAnsi="Gill Sans" w:cs="Gill Sans"/>
                <w:sz w:val="22"/>
                <w:szCs w:val="22"/>
                <w:lang w:val="uk-UA"/>
              </w:rPr>
            </w:pPr>
          </w:p>
        </w:tc>
        <w:tc>
          <w:tcPr>
            <w:tcW w:w="1002" w:type="dxa"/>
            <w:gridSpan w:val="2"/>
            <w:vMerge/>
            <w:tcBorders>
              <w:left w:val="single" w:sz="18" w:space="0" w:color="FFFFFF"/>
              <w:bottom w:val="single" w:sz="18" w:space="0" w:color="FFFFFF"/>
              <w:right w:val="single" w:sz="2" w:space="0" w:color="FFFFFF"/>
            </w:tcBorders>
            <w:shd w:val="clear" w:color="auto" w:fill="B8CCE4"/>
          </w:tcPr>
          <w:p w14:paraId="3C6670CC" w14:textId="77777777" w:rsidR="0020660D" w:rsidRPr="00257F44" w:rsidRDefault="0020660D" w:rsidP="000D7BDC">
            <w:pPr>
              <w:rPr>
                <w:rFonts w:ascii="Gill Sans" w:hAnsi="Gill Sans" w:cs="Gill Sans"/>
                <w:sz w:val="22"/>
                <w:szCs w:val="22"/>
                <w:lang w:val="uk-UA"/>
              </w:rPr>
            </w:pPr>
          </w:p>
        </w:tc>
        <w:tc>
          <w:tcPr>
            <w:tcW w:w="924"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41021CEC" w14:textId="3AEB5933" w:rsidR="0020660D" w:rsidRPr="00257F44" w:rsidRDefault="00A15E2A" w:rsidP="000D7BDC">
            <w:pPr>
              <w:rPr>
                <w:rFonts w:ascii="Gill Sans" w:hAnsi="Gill Sans" w:cs="Gill Sans"/>
                <w:sz w:val="20"/>
                <w:szCs w:val="20"/>
                <w:lang w:val="uk-UA"/>
              </w:rPr>
            </w:pPr>
            <w:r w:rsidRPr="00257F44">
              <w:rPr>
                <w:rFonts w:ascii="Gill Sans" w:hAnsi="Gill Sans" w:cs="Gill Sans"/>
                <w:sz w:val="20"/>
                <w:szCs w:val="20"/>
                <w:lang w:val="uk-UA"/>
              </w:rPr>
              <w:t>Підсум-ковий</w:t>
            </w:r>
          </w:p>
        </w:tc>
        <w:tc>
          <w:tcPr>
            <w:tcW w:w="1957" w:type="dxa"/>
            <w:gridSpan w:val="5"/>
            <w:vMerge/>
            <w:tcBorders>
              <w:left w:val="single" w:sz="18" w:space="0" w:color="FFFFFF"/>
              <w:bottom w:val="single" w:sz="18" w:space="0" w:color="FFFFFF"/>
              <w:right w:val="single" w:sz="18" w:space="0" w:color="FFFFFF"/>
            </w:tcBorders>
            <w:shd w:val="clear" w:color="auto" w:fill="D99594"/>
          </w:tcPr>
          <w:p w14:paraId="091C6946" w14:textId="77777777" w:rsidR="0020660D" w:rsidRPr="00257F44" w:rsidRDefault="0020660D" w:rsidP="000D7BDC">
            <w:pPr>
              <w:rPr>
                <w:rFonts w:ascii="Gill Sans" w:hAnsi="Gill Sans" w:cs="Gill Sans"/>
                <w:sz w:val="22"/>
                <w:szCs w:val="22"/>
                <w:lang w:val="uk-UA"/>
              </w:rPr>
            </w:pPr>
          </w:p>
        </w:tc>
      </w:tr>
      <w:tr w:rsidR="00A15E2A" w:rsidRPr="00257F44" w14:paraId="66F1C3EC" w14:textId="77777777" w:rsidTr="00984830">
        <w:trPr>
          <w:cantSplit/>
          <w:trHeight w:val="2336"/>
        </w:trPr>
        <w:tc>
          <w:tcPr>
            <w:tcW w:w="1459" w:type="dxa"/>
            <w:vMerge/>
            <w:tcBorders>
              <w:left w:val="single" w:sz="4" w:space="0" w:color="FFFFFF"/>
              <w:right w:val="single" w:sz="18" w:space="0" w:color="FFFFFF"/>
            </w:tcBorders>
            <w:shd w:val="clear" w:color="auto" w:fill="000000"/>
          </w:tcPr>
          <w:p w14:paraId="5936B1FB" w14:textId="50C71FF9" w:rsidR="00A15E2A" w:rsidRPr="00257F44" w:rsidRDefault="00A15E2A" w:rsidP="000D7BDC">
            <w:pPr>
              <w:rPr>
                <w:rFonts w:ascii="Gill Sans" w:hAnsi="Gill Sans" w:cs="Gill Sans"/>
                <w:color w:val="FFFFFF" w:themeColor="background1"/>
                <w:sz w:val="22"/>
                <w:szCs w:val="22"/>
                <w:lang w:val="uk-UA"/>
              </w:rPr>
            </w:pPr>
          </w:p>
        </w:tc>
        <w:tc>
          <w:tcPr>
            <w:tcW w:w="348"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2256D4E2" w14:textId="1664D560"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Відсутня</w:t>
            </w:r>
          </w:p>
        </w:tc>
        <w:tc>
          <w:tcPr>
            <w:tcW w:w="344"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7831AEC0" w14:textId="6C1CF84B"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Низька</w:t>
            </w:r>
          </w:p>
        </w:tc>
        <w:tc>
          <w:tcPr>
            <w:tcW w:w="344"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2509F4FC" w14:textId="58B73B32"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Середня</w:t>
            </w:r>
          </w:p>
        </w:tc>
        <w:tc>
          <w:tcPr>
            <w:tcW w:w="423"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0A083D7E" w14:textId="6DEF74DD"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Висока</w:t>
            </w:r>
          </w:p>
        </w:tc>
        <w:tc>
          <w:tcPr>
            <w:tcW w:w="344"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792BCB5C" w14:textId="76E6BF27"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Доступ до інформації</w:t>
            </w:r>
          </w:p>
        </w:tc>
        <w:tc>
          <w:tcPr>
            <w:tcW w:w="344"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2025784B" w14:textId="757D0E75"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Громадська участь</w:t>
            </w:r>
          </w:p>
        </w:tc>
        <w:tc>
          <w:tcPr>
            <w:tcW w:w="344"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58849010" w14:textId="01F277B6"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Підзвітність влади</w:t>
            </w:r>
          </w:p>
        </w:tc>
        <w:tc>
          <w:tcPr>
            <w:tcW w:w="815"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7097A634" w14:textId="36BD40B8"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Технології та інновації для прозорості й підзвітності</w:t>
            </w:r>
          </w:p>
        </w:tc>
        <w:tc>
          <w:tcPr>
            <w:tcW w:w="344"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04D0046B" w14:textId="67EFB2B3"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Жодного</w:t>
            </w:r>
          </w:p>
        </w:tc>
        <w:tc>
          <w:tcPr>
            <w:tcW w:w="423"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3B462329" w14:textId="3C350EE4"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Незначний</w:t>
            </w:r>
          </w:p>
        </w:tc>
        <w:tc>
          <w:tcPr>
            <w:tcW w:w="423"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0CBFAEC5" w14:textId="55CE8674"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Помірний</w:t>
            </w:r>
          </w:p>
        </w:tc>
        <w:tc>
          <w:tcPr>
            <w:tcW w:w="344"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30A06AFF" w14:textId="42BD6299"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Трансформуючий</w:t>
            </w:r>
          </w:p>
        </w:tc>
        <w:tc>
          <w:tcPr>
            <w:tcW w:w="501"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153591A8" w14:textId="1E0B2E64"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Не розпочато</w:t>
            </w:r>
          </w:p>
        </w:tc>
        <w:tc>
          <w:tcPr>
            <w:tcW w:w="501"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4321856A" w14:textId="3A86DAC9"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Обмежене</w:t>
            </w:r>
          </w:p>
        </w:tc>
        <w:tc>
          <w:tcPr>
            <w:tcW w:w="423"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780813DD" w14:textId="7FFD732A"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Значне</w:t>
            </w:r>
          </w:p>
        </w:tc>
        <w:tc>
          <w:tcPr>
            <w:tcW w:w="501"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68EEF5C0" w14:textId="365A13ED"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Повне</w:t>
            </w:r>
          </w:p>
        </w:tc>
        <w:tc>
          <w:tcPr>
            <w:tcW w:w="344"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3256B951" w14:textId="02C3A333"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Погіршило</w:t>
            </w:r>
          </w:p>
        </w:tc>
        <w:tc>
          <w:tcPr>
            <w:tcW w:w="423"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441027DA" w14:textId="2FE5BA5B"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Не змінило</w:t>
            </w:r>
          </w:p>
        </w:tc>
        <w:tc>
          <w:tcPr>
            <w:tcW w:w="423"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AD59E5A" w14:textId="5C5AB112"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Обмежено</w:t>
            </w:r>
          </w:p>
        </w:tc>
        <w:tc>
          <w:tcPr>
            <w:tcW w:w="344"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028B977" w14:textId="4A16FA1C"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Значною мірою</w:t>
            </w:r>
          </w:p>
        </w:tc>
        <w:tc>
          <w:tcPr>
            <w:tcW w:w="423"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255FCABF" w14:textId="225D96D9" w:rsidR="00A15E2A" w:rsidRPr="00257F44" w:rsidRDefault="00A15E2A" w:rsidP="000D7BDC">
            <w:pPr>
              <w:rPr>
                <w:rFonts w:ascii="Gill Sans" w:hAnsi="Gill Sans" w:cs="Gill Sans"/>
                <w:sz w:val="22"/>
                <w:szCs w:val="22"/>
                <w:lang w:val="uk-UA"/>
              </w:rPr>
            </w:pPr>
            <w:r w:rsidRPr="00257F44">
              <w:rPr>
                <w:rFonts w:ascii="Gill Sans" w:hAnsi="Gill Sans" w:cs="Gill Sans"/>
                <w:sz w:val="20"/>
                <w:szCs w:val="20"/>
                <w:lang w:val="uk-UA"/>
              </w:rPr>
              <w:t>Визначною мірою</w:t>
            </w:r>
          </w:p>
        </w:tc>
      </w:tr>
      <w:tr w:rsidR="0020660D" w:rsidRPr="00257F44" w14:paraId="6DBAD36D" w14:textId="77777777" w:rsidTr="000D7BDC">
        <w:trPr>
          <w:trHeight w:val="340"/>
        </w:trPr>
        <w:tc>
          <w:tcPr>
            <w:tcW w:w="1459" w:type="dxa"/>
            <w:vMerge/>
            <w:tcBorders>
              <w:left w:val="single" w:sz="4" w:space="0" w:color="FFFFFF"/>
              <w:right w:val="single" w:sz="18" w:space="0" w:color="FFFFFF"/>
            </w:tcBorders>
            <w:shd w:val="clear" w:color="auto" w:fill="000000"/>
          </w:tcPr>
          <w:p w14:paraId="63F619F6" w14:textId="4F77B1DF" w:rsidR="0020660D" w:rsidRPr="00257F44" w:rsidRDefault="0020660D" w:rsidP="000D7BDC">
            <w:pPr>
              <w:rPr>
                <w:rFonts w:ascii="Gill Sans" w:hAnsi="Gill Sans" w:cs="Gill Sans"/>
                <w:noProof/>
                <w:color w:val="FFFFFF" w:themeColor="background1"/>
                <w:sz w:val="22"/>
                <w:szCs w:val="22"/>
                <w:lang w:val="uk-UA"/>
              </w:rPr>
            </w:pPr>
          </w:p>
        </w:tc>
        <w:tc>
          <w:tcPr>
            <w:tcW w:w="348" w:type="dxa"/>
            <w:vMerge w:val="restart"/>
            <w:tcBorders>
              <w:top w:val="single" w:sz="18" w:space="0" w:color="FFFFFF"/>
              <w:left w:val="single" w:sz="18" w:space="0" w:color="FFFFFF"/>
              <w:right w:val="single" w:sz="2" w:space="0" w:color="FFFFFF"/>
            </w:tcBorders>
            <w:shd w:val="clear" w:color="auto" w:fill="D6E3BC"/>
          </w:tcPr>
          <w:p w14:paraId="734EDB6A" w14:textId="77777777" w:rsidR="0020660D" w:rsidRPr="00257F44" w:rsidRDefault="0020660D" w:rsidP="000D7BDC">
            <w:pPr>
              <w:jc w:val="center"/>
              <w:rPr>
                <w:rFonts w:ascii="Gill Sans" w:hAnsi="Gill Sans" w:cs="Gill Sans"/>
                <w:sz w:val="22"/>
                <w:szCs w:val="22"/>
                <w:lang w:val="uk-UA"/>
              </w:rPr>
            </w:pPr>
          </w:p>
        </w:tc>
        <w:tc>
          <w:tcPr>
            <w:tcW w:w="344" w:type="dxa"/>
            <w:vMerge w:val="restart"/>
            <w:tcBorders>
              <w:top w:val="single" w:sz="18" w:space="0" w:color="FFFFFF"/>
              <w:left w:val="single" w:sz="2" w:space="0" w:color="FFFFFF"/>
              <w:right w:val="single" w:sz="2" w:space="0" w:color="FFFFFF"/>
            </w:tcBorders>
            <w:shd w:val="clear" w:color="auto" w:fill="D6E3BC"/>
          </w:tcPr>
          <w:p w14:paraId="334464AC" w14:textId="77777777" w:rsidR="0020660D" w:rsidRPr="00257F44" w:rsidRDefault="0020660D" w:rsidP="000D7BDC">
            <w:pPr>
              <w:jc w:val="center"/>
              <w:rPr>
                <w:rFonts w:ascii="Gill Sans" w:hAnsi="Gill Sans" w:cs="Gill Sans"/>
                <w:sz w:val="22"/>
                <w:szCs w:val="22"/>
                <w:lang w:val="uk-UA"/>
              </w:rPr>
            </w:pPr>
          </w:p>
        </w:tc>
        <w:tc>
          <w:tcPr>
            <w:tcW w:w="344" w:type="dxa"/>
            <w:vMerge w:val="restart"/>
            <w:tcBorders>
              <w:top w:val="single" w:sz="18" w:space="0" w:color="FFFFFF"/>
              <w:left w:val="single" w:sz="2" w:space="0" w:color="FFFFFF"/>
              <w:right w:val="single" w:sz="2" w:space="0" w:color="FFFFFF"/>
            </w:tcBorders>
            <w:shd w:val="clear" w:color="auto" w:fill="D6E3BC"/>
          </w:tcPr>
          <w:p w14:paraId="61D6FB5D" w14:textId="77777777" w:rsidR="0020660D" w:rsidRPr="00257F44" w:rsidRDefault="0020660D" w:rsidP="000D7BDC">
            <w:pPr>
              <w:jc w:val="center"/>
              <w:rPr>
                <w:rFonts w:ascii="Zapf Dingbats" w:hAnsi="Zapf Dingbats" w:cs="Gill Sans"/>
                <w:sz w:val="22"/>
                <w:szCs w:val="22"/>
                <w:lang w:val="uk-UA"/>
              </w:rPr>
            </w:pPr>
          </w:p>
        </w:tc>
        <w:tc>
          <w:tcPr>
            <w:tcW w:w="423" w:type="dxa"/>
            <w:vMerge w:val="restart"/>
            <w:tcBorders>
              <w:top w:val="single" w:sz="18" w:space="0" w:color="FFFFFF"/>
              <w:left w:val="single" w:sz="2" w:space="0" w:color="FFFFFF"/>
              <w:right w:val="single" w:sz="18" w:space="0" w:color="FFFFFF"/>
            </w:tcBorders>
            <w:shd w:val="clear" w:color="auto" w:fill="D6E3BC"/>
          </w:tcPr>
          <w:p w14:paraId="0F7619AC" w14:textId="77777777" w:rsidR="0020660D" w:rsidRPr="00257F44" w:rsidRDefault="0020660D" w:rsidP="000D7BDC">
            <w:pPr>
              <w:jc w:val="cente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344" w:type="dxa"/>
            <w:vMerge w:val="restart"/>
            <w:tcBorders>
              <w:top w:val="single" w:sz="18" w:space="0" w:color="FFFFFF"/>
              <w:left w:val="single" w:sz="2" w:space="0" w:color="FFFFFF"/>
              <w:right w:val="single" w:sz="2" w:space="0" w:color="FFFFFF"/>
            </w:tcBorders>
            <w:shd w:val="clear" w:color="auto" w:fill="FBD4B4"/>
          </w:tcPr>
          <w:p w14:paraId="40C38AC4" w14:textId="77777777" w:rsidR="0020660D" w:rsidRPr="00257F44" w:rsidRDefault="0020660D" w:rsidP="000D7BDC">
            <w:pPr>
              <w:jc w:val="cente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44" w:type="dxa"/>
            <w:vMerge w:val="restart"/>
            <w:tcBorders>
              <w:top w:val="single" w:sz="18" w:space="0" w:color="FFFFFF"/>
              <w:left w:val="single" w:sz="2" w:space="0" w:color="FFFFFF"/>
              <w:right w:val="single" w:sz="2" w:space="0" w:color="FFFFFF"/>
            </w:tcBorders>
            <w:shd w:val="clear" w:color="auto" w:fill="FBD4B4"/>
          </w:tcPr>
          <w:p w14:paraId="28AF4C48" w14:textId="77777777" w:rsidR="0020660D" w:rsidRPr="00257F44" w:rsidRDefault="0020660D" w:rsidP="000D7BDC">
            <w:pPr>
              <w:jc w:val="center"/>
              <w:rPr>
                <w:rFonts w:ascii="Zapf Dingbats" w:hAnsi="Zapf Dingbats" w:cs="Gill Sans"/>
                <w:noProof/>
                <w:sz w:val="22"/>
                <w:szCs w:val="22"/>
                <w:lang w:val="uk-UA"/>
              </w:rPr>
            </w:pPr>
          </w:p>
        </w:tc>
        <w:tc>
          <w:tcPr>
            <w:tcW w:w="344" w:type="dxa"/>
            <w:vMerge w:val="restart"/>
            <w:tcBorders>
              <w:top w:val="single" w:sz="18" w:space="0" w:color="FFFFFF"/>
              <w:left w:val="single" w:sz="2" w:space="0" w:color="FFFFFF"/>
              <w:right w:val="single" w:sz="2" w:space="0" w:color="FFFFFF"/>
            </w:tcBorders>
            <w:shd w:val="clear" w:color="auto" w:fill="FBD4B4"/>
          </w:tcPr>
          <w:p w14:paraId="680E4025" w14:textId="77777777" w:rsidR="0020660D" w:rsidRPr="00257F44" w:rsidRDefault="0020660D" w:rsidP="000D7BDC">
            <w:pPr>
              <w:jc w:val="cente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815" w:type="dxa"/>
            <w:vMerge w:val="restart"/>
            <w:tcBorders>
              <w:top w:val="single" w:sz="18" w:space="0" w:color="FFFFFF"/>
              <w:left w:val="single" w:sz="2" w:space="0" w:color="FFFFFF"/>
              <w:right w:val="single" w:sz="18" w:space="0" w:color="FFFFFF"/>
            </w:tcBorders>
            <w:shd w:val="clear" w:color="auto" w:fill="FBD4B4"/>
          </w:tcPr>
          <w:p w14:paraId="05BFAB0E" w14:textId="6BB19267" w:rsidR="0020660D" w:rsidRPr="00257F44" w:rsidRDefault="0020660D" w:rsidP="000D7BDC">
            <w:pPr>
              <w:jc w:val="center"/>
              <w:rPr>
                <w:rFonts w:ascii="Zapf Dingbats" w:hAnsi="Zapf Dingbats" w:cs="Gill Sans"/>
                <w:sz w:val="22"/>
                <w:szCs w:val="22"/>
                <w:lang w:val="uk-UA"/>
              </w:rPr>
            </w:pPr>
          </w:p>
        </w:tc>
        <w:tc>
          <w:tcPr>
            <w:tcW w:w="344" w:type="dxa"/>
            <w:vMerge w:val="restart"/>
            <w:tcBorders>
              <w:top w:val="single" w:sz="18" w:space="0" w:color="FFFFFF"/>
              <w:left w:val="single" w:sz="18" w:space="0" w:color="FFFFFF"/>
              <w:right w:val="single" w:sz="2" w:space="0" w:color="FFFFFF"/>
            </w:tcBorders>
            <w:shd w:val="clear" w:color="auto" w:fill="CCC0D9"/>
          </w:tcPr>
          <w:p w14:paraId="2511E2DF" w14:textId="77777777" w:rsidR="0020660D" w:rsidRPr="00257F44" w:rsidRDefault="0020660D" w:rsidP="000D7BDC">
            <w:pPr>
              <w:jc w:val="center"/>
              <w:rPr>
                <w:rFonts w:ascii="Zapf Dingbats" w:hAnsi="Zapf Dingbats" w:cs="Gill Sans"/>
                <w:sz w:val="22"/>
                <w:szCs w:val="22"/>
                <w:lang w:val="uk-UA"/>
              </w:rPr>
            </w:pPr>
          </w:p>
        </w:tc>
        <w:tc>
          <w:tcPr>
            <w:tcW w:w="423" w:type="dxa"/>
            <w:vMerge w:val="restart"/>
            <w:tcBorders>
              <w:top w:val="single" w:sz="18" w:space="0" w:color="FFFFFF"/>
              <w:left w:val="single" w:sz="2" w:space="0" w:color="FFFFFF"/>
              <w:right w:val="single" w:sz="2" w:space="0" w:color="FFFFFF"/>
            </w:tcBorders>
            <w:shd w:val="clear" w:color="auto" w:fill="CCC0D9"/>
          </w:tcPr>
          <w:p w14:paraId="3A3953FD" w14:textId="77777777" w:rsidR="0020660D" w:rsidRPr="00257F44" w:rsidRDefault="0020660D" w:rsidP="000D7BDC">
            <w:pPr>
              <w:jc w:val="center"/>
              <w:rPr>
                <w:rFonts w:ascii="Zapf Dingbats" w:hAnsi="Zapf Dingbats" w:cs="Gill Sans"/>
                <w:sz w:val="22"/>
                <w:szCs w:val="22"/>
                <w:lang w:val="uk-UA"/>
              </w:rPr>
            </w:pPr>
          </w:p>
        </w:tc>
        <w:tc>
          <w:tcPr>
            <w:tcW w:w="423" w:type="dxa"/>
            <w:vMerge w:val="restart"/>
            <w:tcBorders>
              <w:top w:val="single" w:sz="18" w:space="0" w:color="FFFFFF"/>
              <w:left w:val="single" w:sz="2" w:space="0" w:color="FFFFFF"/>
              <w:right w:val="single" w:sz="2" w:space="0" w:color="FFFFFF"/>
            </w:tcBorders>
            <w:shd w:val="clear" w:color="auto" w:fill="CCC0D9"/>
          </w:tcPr>
          <w:p w14:paraId="4457D59F" w14:textId="77777777" w:rsidR="0020660D" w:rsidRPr="00257F44" w:rsidRDefault="0020660D" w:rsidP="000D7BDC">
            <w:pPr>
              <w:jc w:val="center"/>
              <w:rPr>
                <w:rFonts w:ascii="Zapf Dingbats" w:hAnsi="Zapf Dingbats" w:cs="Gill Sans"/>
                <w:noProof/>
                <w:sz w:val="22"/>
                <w:szCs w:val="22"/>
                <w:lang w:val="uk-UA"/>
              </w:rPr>
            </w:pPr>
          </w:p>
        </w:tc>
        <w:tc>
          <w:tcPr>
            <w:tcW w:w="344" w:type="dxa"/>
            <w:vMerge w:val="restart"/>
            <w:tcBorders>
              <w:top w:val="single" w:sz="18" w:space="0" w:color="FFFFFF"/>
              <w:left w:val="single" w:sz="2" w:space="0" w:color="FFFFFF"/>
              <w:right w:val="single" w:sz="18" w:space="0" w:color="FFFFFF"/>
            </w:tcBorders>
            <w:shd w:val="clear" w:color="auto" w:fill="CCC0D9"/>
          </w:tcPr>
          <w:p w14:paraId="78AAFDE3" w14:textId="77777777" w:rsidR="0020660D" w:rsidRPr="00257F44" w:rsidRDefault="0020660D" w:rsidP="000D7BDC">
            <w:pPr>
              <w:jc w:val="cente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501"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52DAF875" w14:textId="77777777" w:rsidR="0020660D" w:rsidRPr="00257F44" w:rsidRDefault="0020660D" w:rsidP="000D7BDC">
            <w:pPr>
              <w:jc w:val="center"/>
              <w:rPr>
                <w:rFonts w:ascii="Zapf Dingbats" w:hAnsi="Zapf Dingbats" w:cs="Gill Sans"/>
                <w:sz w:val="22"/>
                <w:szCs w:val="22"/>
                <w:lang w:val="uk-UA"/>
              </w:rPr>
            </w:pPr>
          </w:p>
        </w:tc>
        <w:tc>
          <w:tcPr>
            <w:tcW w:w="501"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357A783F" w14:textId="77777777" w:rsidR="0020660D" w:rsidRPr="00257F44" w:rsidRDefault="0020660D" w:rsidP="000D7BDC">
            <w:pPr>
              <w:jc w:val="cente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23"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3663D743" w14:textId="77777777" w:rsidR="0020660D" w:rsidRPr="00257F44" w:rsidRDefault="0020660D" w:rsidP="000D7BDC">
            <w:pPr>
              <w:jc w:val="center"/>
              <w:rPr>
                <w:rFonts w:ascii="Zapf Dingbats" w:hAnsi="Zapf Dingbats" w:cs="Gill Sans"/>
                <w:sz w:val="22"/>
                <w:szCs w:val="22"/>
                <w:lang w:val="uk-UA"/>
              </w:rPr>
            </w:pPr>
          </w:p>
        </w:tc>
        <w:tc>
          <w:tcPr>
            <w:tcW w:w="501"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2F45FF08" w14:textId="77777777" w:rsidR="0020660D" w:rsidRPr="00257F44" w:rsidRDefault="0020660D" w:rsidP="000D7BDC">
            <w:pPr>
              <w:jc w:val="center"/>
              <w:rPr>
                <w:rFonts w:ascii="Zapf Dingbats" w:hAnsi="Zapf Dingbats" w:cs="Gill Sans"/>
                <w:sz w:val="22"/>
                <w:szCs w:val="22"/>
                <w:lang w:val="uk-UA"/>
              </w:rPr>
            </w:pPr>
          </w:p>
        </w:tc>
        <w:tc>
          <w:tcPr>
            <w:tcW w:w="344" w:type="dxa"/>
            <w:vMerge w:val="restart"/>
            <w:tcBorders>
              <w:top w:val="single" w:sz="18" w:space="0" w:color="FFFFFF"/>
              <w:left w:val="single" w:sz="18" w:space="0" w:color="FFFFFF"/>
              <w:right w:val="single" w:sz="2" w:space="0" w:color="FFFFFF"/>
            </w:tcBorders>
            <w:shd w:val="clear" w:color="auto" w:fill="D99594"/>
          </w:tcPr>
          <w:p w14:paraId="2B5599A5" w14:textId="77777777" w:rsidR="0020660D" w:rsidRPr="00257F44" w:rsidRDefault="0020660D" w:rsidP="000D7BDC">
            <w:pPr>
              <w:jc w:val="center"/>
              <w:rPr>
                <w:rFonts w:ascii="Zapf Dingbats" w:hAnsi="Zapf Dingbats" w:cs="Gill Sans"/>
                <w:sz w:val="22"/>
                <w:szCs w:val="22"/>
                <w:lang w:val="uk-UA"/>
              </w:rPr>
            </w:pPr>
          </w:p>
        </w:tc>
        <w:tc>
          <w:tcPr>
            <w:tcW w:w="423" w:type="dxa"/>
            <w:vMerge w:val="restart"/>
            <w:tcBorders>
              <w:top w:val="single" w:sz="18" w:space="0" w:color="FFFFFF"/>
              <w:left w:val="single" w:sz="2" w:space="0" w:color="FFFFFF"/>
              <w:right w:val="single" w:sz="2" w:space="0" w:color="FFFFFF"/>
            </w:tcBorders>
            <w:shd w:val="clear" w:color="auto" w:fill="D99594"/>
          </w:tcPr>
          <w:p w14:paraId="0DF40A37" w14:textId="0F31B05F" w:rsidR="0020660D" w:rsidRPr="00257F44" w:rsidRDefault="0020660D" w:rsidP="000D7BDC">
            <w:pPr>
              <w:jc w:val="cente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23" w:type="dxa"/>
            <w:vMerge w:val="restart"/>
            <w:tcBorders>
              <w:top w:val="single" w:sz="18" w:space="0" w:color="FFFFFF"/>
              <w:left w:val="single" w:sz="2" w:space="0" w:color="FFFFFF"/>
              <w:right w:val="single" w:sz="2" w:space="0" w:color="FFFFFF"/>
            </w:tcBorders>
            <w:shd w:val="clear" w:color="auto" w:fill="D99594"/>
          </w:tcPr>
          <w:p w14:paraId="66388717" w14:textId="77777777" w:rsidR="0020660D" w:rsidRPr="00257F44" w:rsidRDefault="0020660D" w:rsidP="000D7BDC">
            <w:pPr>
              <w:jc w:val="center"/>
              <w:rPr>
                <w:rFonts w:ascii="Gill Sans" w:hAnsi="Gill Sans" w:cs="Gill Sans"/>
                <w:sz w:val="22"/>
                <w:szCs w:val="22"/>
                <w:lang w:val="uk-UA"/>
              </w:rPr>
            </w:pPr>
          </w:p>
        </w:tc>
        <w:tc>
          <w:tcPr>
            <w:tcW w:w="344" w:type="dxa"/>
            <w:vMerge w:val="restart"/>
            <w:tcBorders>
              <w:top w:val="single" w:sz="18" w:space="0" w:color="FFFFFF"/>
              <w:left w:val="single" w:sz="2" w:space="0" w:color="FFFFFF"/>
              <w:right w:val="single" w:sz="2" w:space="0" w:color="FFFFFF"/>
            </w:tcBorders>
            <w:shd w:val="clear" w:color="auto" w:fill="D99594"/>
          </w:tcPr>
          <w:p w14:paraId="21A37684" w14:textId="77777777" w:rsidR="0020660D" w:rsidRPr="00257F44" w:rsidRDefault="0020660D" w:rsidP="000D7BDC">
            <w:pPr>
              <w:jc w:val="center"/>
              <w:rPr>
                <w:rFonts w:ascii="Gill Sans" w:hAnsi="Gill Sans" w:cs="Gill Sans"/>
                <w:noProof/>
                <w:sz w:val="22"/>
                <w:szCs w:val="22"/>
                <w:lang w:val="uk-UA"/>
              </w:rPr>
            </w:pPr>
          </w:p>
        </w:tc>
        <w:tc>
          <w:tcPr>
            <w:tcW w:w="423" w:type="dxa"/>
            <w:vMerge w:val="restart"/>
            <w:tcBorders>
              <w:top w:val="single" w:sz="18" w:space="0" w:color="FFFFFF"/>
              <w:left w:val="single" w:sz="2" w:space="0" w:color="FFFFFF"/>
              <w:right w:val="single" w:sz="18" w:space="0" w:color="FFFFFF"/>
            </w:tcBorders>
            <w:shd w:val="clear" w:color="auto" w:fill="D99594"/>
          </w:tcPr>
          <w:p w14:paraId="170674C8" w14:textId="0047E516" w:rsidR="0020660D" w:rsidRPr="00257F44" w:rsidRDefault="0020660D" w:rsidP="000D7BDC">
            <w:pPr>
              <w:jc w:val="center"/>
              <w:rPr>
                <w:rFonts w:ascii="Gill Sans" w:hAnsi="Gill Sans" w:cs="Gill Sans"/>
                <w:sz w:val="22"/>
                <w:szCs w:val="22"/>
                <w:lang w:val="uk-UA"/>
              </w:rPr>
            </w:pPr>
          </w:p>
        </w:tc>
      </w:tr>
      <w:tr w:rsidR="0020660D" w:rsidRPr="00257F44" w14:paraId="28427355" w14:textId="77777777" w:rsidTr="000D7BDC">
        <w:trPr>
          <w:trHeight w:val="340"/>
        </w:trPr>
        <w:tc>
          <w:tcPr>
            <w:tcW w:w="1459" w:type="dxa"/>
            <w:vMerge/>
            <w:tcBorders>
              <w:left w:val="single" w:sz="4" w:space="0" w:color="FFFFFF"/>
              <w:right w:val="single" w:sz="18" w:space="0" w:color="FFFFFF"/>
            </w:tcBorders>
            <w:shd w:val="clear" w:color="auto" w:fill="000000"/>
          </w:tcPr>
          <w:p w14:paraId="334DF456" w14:textId="77777777" w:rsidR="0020660D" w:rsidRPr="00257F44" w:rsidRDefault="0020660D" w:rsidP="000D7BDC">
            <w:pPr>
              <w:rPr>
                <w:rFonts w:ascii="Gill Sans" w:hAnsi="Gill Sans" w:cs="Gill Sans"/>
                <w:color w:val="FFFFFF" w:themeColor="background1"/>
                <w:sz w:val="22"/>
                <w:szCs w:val="22"/>
                <w:lang w:val="uk-UA"/>
              </w:rPr>
            </w:pPr>
          </w:p>
        </w:tc>
        <w:tc>
          <w:tcPr>
            <w:tcW w:w="348" w:type="dxa"/>
            <w:vMerge/>
            <w:tcBorders>
              <w:left w:val="single" w:sz="18" w:space="0" w:color="FFFFFF"/>
              <w:right w:val="single" w:sz="2" w:space="0" w:color="FFFFFF"/>
            </w:tcBorders>
            <w:shd w:val="clear" w:color="auto" w:fill="D6E3BC"/>
          </w:tcPr>
          <w:p w14:paraId="50A344E8" w14:textId="77777777" w:rsidR="0020660D" w:rsidRPr="00257F44" w:rsidRDefault="0020660D" w:rsidP="000D7BDC">
            <w:pPr>
              <w:rPr>
                <w:rFonts w:ascii="Gill Sans" w:hAnsi="Gill Sans" w:cs="Gill Sans"/>
                <w:sz w:val="22"/>
                <w:szCs w:val="22"/>
                <w:lang w:val="uk-UA"/>
              </w:rPr>
            </w:pPr>
          </w:p>
        </w:tc>
        <w:tc>
          <w:tcPr>
            <w:tcW w:w="344" w:type="dxa"/>
            <w:vMerge/>
            <w:tcBorders>
              <w:left w:val="single" w:sz="2" w:space="0" w:color="FFFFFF"/>
              <w:right w:val="single" w:sz="2" w:space="0" w:color="FFFFFF"/>
            </w:tcBorders>
            <w:shd w:val="clear" w:color="auto" w:fill="D6E3BC"/>
          </w:tcPr>
          <w:p w14:paraId="229764EE" w14:textId="77777777" w:rsidR="0020660D" w:rsidRPr="00257F44" w:rsidRDefault="0020660D" w:rsidP="000D7BDC">
            <w:pPr>
              <w:rPr>
                <w:rFonts w:ascii="Gill Sans" w:hAnsi="Gill Sans" w:cs="Gill Sans"/>
                <w:sz w:val="22"/>
                <w:szCs w:val="22"/>
                <w:lang w:val="uk-UA"/>
              </w:rPr>
            </w:pPr>
          </w:p>
        </w:tc>
        <w:tc>
          <w:tcPr>
            <w:tcW w:w="344" w:type="dxa"/>
            <w:vMerge/>
            <w:tcBorders>
              <w:left w:val="single" w:sz="2" w:space="0" w:color="FFFFFF"/>
              <w:right w:val="single" w:sz="2" w:space="0" w:color="FFFFFF"/>
            </w:tcBorders>
            <w:shd w:val="clear" w:color="auto" w:fill="D6E3BC"/>
          </w:tcPr>
          <w:p w14:paraId="2507C07A" w14:textId="77777777" w:rsidR="0020660D" w:rsidRPr="00257F44" w:rsidRDefault="0020660D" w:rsidP="000D7BDC">
            <w:pPr>
              <w:rPr>
                <w:rFonts w:ascii="Gill Sans" w:hAnsi="Gill Sans" w:cs="Gill Sans"/>
                <w:sz w:val="22"/>
                <w:szCs w:val="22"/>
                <w:lang w:val="uk-UA"/>
              </w:rPr>
            </w:pPr>
          </w:p>
        </w:tc>
        <w:tc>
          <w:tcPr>
            <w:tcW w:w="423" w:type="dxa"/>
            <w:vMerge/>
            <w:tcBorders>
              <w:left w:val="single" w:sz="2" w:space="0" w:color="FFFFFF"/>
              <w:right w:val="single" w:sz="18" w:space="0" w:color="FFFFFF"/>
            </w:tcBorders>
            <w:shd w:val="clear" w:color="auto" w:fill="D6E3BC"/>
          </w:tcPr>
          <w:p w14:paraId="356FBCC5" w14:textId="77777777" w:rsidR="0020660D" w:rsidRPr="00257F44" w:rsidRDefault="0020660D" w:rsidP="000D7BDC">
            <w:pPr>
              <w:rPr>
                <w:rFonts w:ascii="Gill Sans" w:hAnsi="Gill Sans" w:cs="Gill Sans"/>
                <w:noProof/>
                <w:sz w:val="22"/>
                <w:szCs w:val="22"/>
                <w:lang w:val="uk-UA"/>
              </w:rPr>
            </w:pPr>
          </w:p>
        </w:tc>
        <w:tc>
          <w:tcPr>
            <w:tcW w:w="344" w:type="dxa"/>
            <w:vMerge/>
            <w:tcBorders>
              <w:left w:val="single" w:sz="2" w:space="0" w:color="FFFFFF"/>
              <w:right w:val="single" w:sz="2" w:space="0" w:color="FFFFFF"/>
            </w:tcBorders>
            <w:shd w:val="clear" w:color="auto" w:fill="FBD4B4"/>
          </w:tcPr>
          <w:p w14:paraId="1AA9B11A" w14:textId="77777777" w:rsidR="0020660D" w:rsidRPr="00257F44" w:rsidRDefault="0020660D" w:rsidP="000D7BDC">
            <w:pPr>
              <w:rPr>
                <w:rFonts w:ascii="Gill Sans" w:hAnsi="Gill Sans" w:cs="Gill Sans"/>
                <w:sz w:val="22"/>
                <w:szCs w:val="22"/>
                <w:lang w:val="uk-UA"/>
              </w:rPr>
            </w:pPr>
          </w:p>
        </w:tc>
        <w:tc>
          <w:tcPr>
            <w:tcW w:w="344" w:type="dxa"/>
            <w:vMerge/>
            <w:tcBorders>
              <w:left w:val="single" w:sz="2" w:space="0" w:color="FFFFFF"/>
              <w:right w:val="single" w:sz="2" w:space="0" w:color="FFFFFF"/>
            </w:tcBorders>
            <w:shd w:val="clear" w:color="auto" w:fill="FBD4B4"/>
          </w:tcPr>
          <w:p w14:paraId="7AFBFC9F" w14:textId="77777777" w:rsidR="0020660D" w:rsidRPr="00257F44" w:rsidRDefault="0020660D" w:rsidP="000D7BDC">
            <w:pPr>
              <w:rPr>
                <w:rFonts w:ascii="Gill Sans" w:hAnsi="Gill Sans" w:cs="Gill Sans"/>
                <w:noProof/>
                <w:sz w:val="22"/>
                <w:szCs w:val="22"/>
                <w:lang w:val="uk-UA"/>
              </w:rPr>
            </w:pPr>
          </w:p>
        </w:tc>
        <w:tc>
          <w:tcPr>
            <w:tcW w:w="344" w:type="dxa"/>
            <w:vMerge/>
            <w:tcBorders>
              <w:left w:val="single" w:sz="2" w:space="0" w:color="FFFFFF"/>
              <w:right w:val="single" w:sz="2" w:space="0" w:color="FFFFFF"/>
            </w:tcBorders>
            <w:shd w:val="clear" w:color="auto" w:fill="FBD4B4"/>
          </w:tcPr>
          <w:p w14:paraId="30175939" w14:textId="77777777" w:rsidR="0020660D" w:rsidRPr="00257F44" w:rsidRDefault="0020660D" w:rsidP="000D7BDC">
            <w:pPr>
              <w:rPr>
                <w:rFonts w:ascii="Gill Sans" w:hAnsi="Gill Sans" w:cs="Gill Sans"/>
                <w:noProof/>
                <w:sz w:val="22"/>
                <w:szCs w:val="22"/>
                <w:lang w:val="uk-UA"/>
              </w:rPr>
            </w:pPr>
          </w:p>
        </w:tc>
        <w:tc>
          <w:tcPr>
            <w:tcW w:w="815" w:type="dxa"/>
            <w:vMerge/>
            <w:tcBorders>
              <w:left w:val="single" w:sz="2" w:space="0" w:color="FFFFFF"/>
              <w:right w:val="single" w:sz="18" w:space="0" w:color="FFFFFF"/>
            </w:tcBorders>
            <w:shd w:val="clear" w:color="auto" w:fill="FBD4B4"/>
          </w:tcPr>
          <w:p w14:paraId="0AC6A41F" w14:textId="77777777" w:rsidR="0020660D" w:rsidRPr="00257F44" w:rsidRDefault="0020660D" w:rsidP="000D7BDC">
            <w:pPr>
              <w:rPr>
                <w:rFonts w:ascii="Gill Sans" w:hAnsi="Gill Sans" w:cs="Gill Sans"/>
                <w:sz w:val="22"/>
                <w:szCs w:val="22"/>
                <w:lang w:val="uk-UA"/>
              </w:rPr>
            </w:pPr>
          </w:p>
        </w:tc>
        <w:tc>
          <w:tcPr>
            <w:tcW w:w="344" w:type="dxa"/>
            <w:vMerge/>
            <w:tcBorders>
              <w:left w:val="single" w:sz="18" w:space="0" w:color="FFFFFF"/>
              <w:right w:val="single" w:sz="2" w:space="0" w:color="FFFFFF"/>
            </w:tcBorders>
            <w:shd w:val="clear" w:color="auto" w:fill="CCC0D9"/>
          </w:tcPr>
          <w:p w14:paraId="0192E686" w14:textId="77777777" w:rsidR="0020660D" w:rsidRPr="00257F44" w:rsidRDefault="0020660D" w:rsidP="000D7BDC">
            <w:pPr>
              <w:rPr>
                <w:rFonts w:ascii="Gill Sans" w:hAnsi="Gill Sans" w:cs="Gill Sans"/>
                <w:sz w:val="22"/>
                <w:szCs w:val="22"/>
                <w:lang w:val="uk-UA"/>
              </w:rPr>
            </w:pPr>
          </w:p>
        </w:tc>
        <w:tc>
          <w:tcPr>
            <w:tcW w:w="423" w:type="dxa"/>
            <w:vMerge/>
            <w:tcBorders>
              <w:left w:val="single" w:sz="2" w:space="0" w:color="FFFFFF"/>
              <w:right w:val="single" w:sz="2" w:space="0" w:color="FFFFFF"/>
            </w:tcBorders>
            <w:shd w:val="clear" w:color="auto" w:fill="CCC0D9"/>
          </w:tcPr>
          <w:p w14:paraId="7BA24B10" w14:textId="77777777" w:rsidR="0020660D" w:rsidRPr="00257F44" w:rsidRDefault="0020660D" w:rsidP="000D7BDC">
            <w:pPr>
              <w:rPr>
                <w:rFonts w:ascii="Gill Sans" w:hAnsi="Gill Sans" w:cs="Gill Sans"/>
                <w:sz w:val="22"/>
                <w:szCs w:val="22"/>
                <w:lang w:val="uk-UA"/>
              </w:rPr>
            </w:pPr>
          </w:p>
        </w:tc>
        <w:tc>
          <w:tcPr>
            <w:tcW w:w="423" w:type="dxa"/>
            <w:vMerge/>
            <w:tcBorders>
              <w:left w:val="single" w:sz="2" w:space="0" w:color="FFFFFF"/>
              <w:right w:val="single" w:sz="2" w:space="0" w:color="FFFFFF"/>
            </w:tcBorders>
            <w:shd w:val="clear" w:color="auto" w:fill="CCC0D9"/>
          </w:tcPr>
          <w:p w14:paraId="1C26A159" w14:textId="77777777" w:rsidR="0020660D" w:rsidRPr="00257F44" w:rsidRDefault="0020660D" w:rsidP="000D7BDC">
            <w:pPr>
              <w:rPr>
                <w:rFonts w:ascii="Gill Sans" w:hAnsi="Gill Sans" w:cs="Gill Sans"/>
                <w:noProof/>
                <w:sz w:val="22"/>
                <w:szCs w:val="22"/>
                <w:lang w:val="uk-UA"/>
              </w:rPr>
            </w:pPr>
          </w:p>
        </w:tc>
        <w:tc>
          <w:tcPr>
            <w:tcW w:w="344" w:type="dxa"/>
            <w:vMerge/>
            <w:tcBorders>
              <w:left w:val="single" w:sz="2" w:space="0" w:color="FFFFFF"/>
              <w:right w:val="single" w:sz="18" w:space="0" w:color="FFFFFF"/>
            </w:tcBorders>
            <w:shd w:val="clear" w:color="auto" w:fill="CCC0D9"/>
          </w:tcPr>
          <w:p w14:paraId="11088E01" w14:textId="77777777" w:rsidR="0020660D" w:rsidRPr="00257F44" w:rsidRDefault="0020660D" w:rsidP="000D7BDC">
            <w:pPr>
              <w:rPr>
                <w:rFonts w:ascii="Gill Sans" w:hAnsi="Gill Sans" w:cs="Gill Sans"/>
                <w:sz w:val="22"/>
                <w:szCs w:val="22"/>
                <w:lang w:val="uk-UA"/>
              </w:rPr>
            </w:pPr>
          </w:p>
        </w:tc>
        <w:tc>
          <w:tcPr>
            <w:tcW w:w="501"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103C7876" w14:textId="77777777" w:rsidR="0020660D" w:rsidRPr="00257F44" w:rsidRDefault="0020660D" w:rsidP="000D7BDC">
            <w:pPr>
              <w:rPr>
                <w:rFonts w:ascii="Gill Sans" w:hAnsi="Gill Sans" w:cs="Gill Sans"/>
                <w:sz w:val="22"/>
                <w:szCs w:val="22"/>
                <w:lang w:val="uk-UA"/>
              </w:rPr>
            </w:pPr>
          </w:p>
        </w:tc>
        <w:tc>
          <w:tcPr>
            <w:tcW w:w="501"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7AE5EDE7" w14:textId="161A6F6F" w:rsidR="0020660D" w:rsidRPr="00257F44" w:rsidRDefault="0020660D" w:rsidP="000D7BDC">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23"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61E4A91B" w14:textId="77777777" w:rsidR="0020660D" w:rsidRPr="00257F44" w:rsidRDefault="0020660D" w:rsidP="000D7BDC">
            <w:pPr>
              <w:rPr>
                <w:rFonts w:ascii="Gill Sans" w:hAnsi="Gill Sans" w:cs="Gill Sans"/>
                <w:sz w:val="22"/>
                <w:szCs w:val="22"/>
                <w:lang w:val="uk-UA"/>
              </w:rPr>
            </w:pPr>
          </w:p>
        </w:tc>
        <w:tc>
          <w:tcPr>
            <w:tcW w:w="501"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1C386A1F" w14:textId="4542288C" w:rsidR="0020660D" w:rsidRPr="00257F44" w:rsidRDefault="0020660D" w:rsidP="000D7BDC">
            <w:pPr>
              <w:jc w:val="center"/>
              <w:rPr>
                <w:rFonts w:ascii="Gill Sans" w:hAnsi="Gill Sans" w:cs="Gill Sans"/>
                <w:sz w:val="22"/>
                <w:szCs w:val="22"/>
                <w:lang w:val="uk-UA"/>
              </w:rPr>
            </w:pPr>
          </w:p>
        </w:tc>
        <w:tc>
          <w:tcPr>
            <w:tcW w:w="344" w:type="dxa"/>
            <w:vMerge/>
            <w:tcBorders>
              <w:left w:val="single" w:sz="18" w:space="0" w:color="FFFFFF"/>
              <w:right w:val="single" w:sz="2" w:space="0" w:color="FFFFFF"/>
            </w:tcBorders>
            <w:shd w:val="clear" w:color="auto" w:fill="D99594"/>
          </w:tcPr>
          <w:p w14:paraId="3B4BDDA9" w14:textId="77777777" w:rsidR="0020660D" w:rsidRPr="00257F44" w:rsidRDefault="0020660D" w:rsidP="000D7BDC">
            <w:pPr>
              <w:rPr>
                <w:rFonts w:ascii="Gill Sans" w:hAnsi="Gill Sans" w:cs="Gill Sans"/>
                <w:sz w:val="22"/>
                <w:szCs w:val="22"/>
                <w:lang w:val="uk-UA"/>
              </w:rPr>
            </w:pPr>
          </w:p>
        </w:tc>
        <w:tc>
          <w:tcPr>
            <w:tcW w:w="423" w:type="dxa"/>
            <w:vMerge/>
            <w:tcBorders>
              <w:left w:val="single" w:sz="2" w:space="0" w:color="FFFFFF"/>
              <w:right w:val="single" w:sz="2" w:space="0" w:color="FFFFFF"/>
            </w:tcBorders>
            <w:shd w:val="clear" w:color="auto" w:fill="D99594"/>
          </w:tcPr>
          <w:p w14:paraId="68837149" w14:textId="77777777" w:rsidR="0020660D" w:rsidRPr="00257F44" w:rsidRDefault="0020660D" w:rsidP="000D7BDC">
            <w:pPr>
              <w:rPr>
                <w:rFonts w:ascii="Gill Sans" w:hAnsi="Gill Sans" w:cs="Gill Sans"/>
                <w:sz w:val="22"/>
                <w:szCs w:val="22"/>
                <w:lang w:val="uk-UA"/>
              </w:rPr>
            </w:pPr>
          </w:p>
        </w:tc>
        <w:tc>
          <w:tcPr>
            <w:tcW w:w="423" w:type="dxa"/>
            <w:vMerge/>
            <w:tcBorders>
              <w:left w:val="single" w:sz="2" w:space="0" w:color="FFFFFF"/>
              <w:right w:val="single" w:sz="2" w:space="0" w:color="FFFFFF"/>
            </w:tcBorders>
            <w:shd w:val="clear" w:color="auto" w:fill="D99594"/>
          </w:tcPr>
          <w:p w14:paraId="159DF602" w14:textId="77777777" w:rsidR="0020660D" w:rsidRPr="00257F44" w:rsidRDefault="0020660D" w:rsidP="000D7BDC">
            <w:pPr>
              <w:rPr>
                <w:rFonts w:ascii="Gill Sans" w:hAnsi="Gill Sans" w:cs="Gill Sans"/>
                <w:sz w:val="22"/>
                <w:szCs w:val="22"/>
                <w:lang w:val="uk-UA"/>
              </w:rPr>
            </w:pPr>
          </w:p>
        </w:tc>
        <w:tc>
          <w:tcPr>
            <w:tcW w:w="344" w:type="dxa"/>
            <w:vMerge/>
            <w:tcBorders>
              <w:left w:val="single" w:sz="2" w:space="0" w:color="FFFFFF"/>
              <w:right w:val="single" w:sz="2" w:space="0" w:color="FFFFFF"/>
            </w:tcBorders>
            <w:shd w:val="clear" w:color="auto" w:fill="D99594"/>
          </w:tcPr>
          <w:p w14:paraId="67F36133" w14:textId="77777777" w:rsidR="0020660D" w:rsidRPr="00257F44" w:rsidRDefault="0020660D" w:rsidP="000D7BDC">
            <w:pPr>
              <w:rPr>
                <w:rFonts w:ascii="Gill Sans" w:hAnsi="Gill Sans" w:cs="Gill Sans"/>
                <w:noProof/>
                <w:sz w:val="22"/>
                <w:szCs w:val="22"/>
                <w:lang w:val="uk-UA"/>
              </w:rPr>
            </w:pPr>
          </w:p>
        </w:tc>
        <w:tc>
          <w:tcPr>
            <w:tcW w:w="423" w:type="dxa"/>
            <w:vMerge/>
            <w:tcBorders>
              <w:left w:val="single" w:sz="2" w:space="0" w:color="FFFFFF"/>
              <w:right w:val="single" w:sz="18" w:space="0" w:color="FFFFFF"/>
            </w:tcBorders>
            <w:shd w:val="clear" w:color="auto" w:fill="D99594"/>
          </w:tcPr>
          <w:p w14:paraId="7EE4BD63" w14:textId="77777777" w:rsidR="0020660D" w:rsidRPr="00257F44" w:rsidRDefault="0020660D" w:rsidP="000D7BDC">
            <w:pPr>
              <w:rPr>
                <w:rFonts w:ascii="Gill Sans" w:hAnsi="Gill Sans" w:cs="Gill Sans"/>
                <w:sz w:val="22"/>
                <w:szCs w:val="22"/>
                <w:lang w:val="uk-UA"/>
              </w:rPr>
            </w:pPr>
          </w:p>
        </w:tc>
      </w:tr>
    </w:tbl>
    <w:p w14:paraId="309E28E3" w14:textId="77777777" w:rsidR="00A15E2A" w:rsidRPr="00257F44" w:rsidRDefault="00A15E2A" w:rsidP="00E877D6">
      <w:pPr>
        <w:pStyle w:val="Heading3"/>
        <w:spacing w:after="120"/>
        <w:rPr>
          <w:lang w:val="uk-UA"/>
        </w:rPr>
      </w:pPr>
      <w:r w:rsidRPr="00257F44">
        <w:rPr>
          <w:lang w:val="uk-UA"/>
        </w:rPr>
        <w:t>Мета зобов’язання</w:t>
      </w:r>
    </w:p>
    <w:p w14:paraId="7C811ECB" w14:textId="724F9C67" w:rsidR="000B3C8A" w:rsidRPr="00257F44" w:rsidRDefault="000B3C8A" w:rsidP="00E877D6">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Зобов’язання було спрямовано на створення законодавчої основи для діяльності публічної адміністрації. Законодавчий акт з питань адміністративної процедури повинен регулювати порядок виконання публічною адміністрацією та її службовими особами своїх функцій. Закон </w:t>
      </w:r>
      <w:r w:rsidR="00194911" w:rsidRPr="00257F44">
        <w:rPr>
          <w:rFonts w:ascii="Gill Sans" w:hAnsi="Gill Sans" w:cs="Gill Sans"/>
          <w:noProof/>
          <w:sz w:val="22"/>
          <w:szCs w:val="22"/>
          <w:lang w:val="uk-UA"/>
        </w:rPr>
        <w:t xml:space="preserve">є </w:t>
      </w:r>
      <w:r w:rsidRPr="00257F44">
        <w:rPr>
          <w:rFonts w:ascii="Gill Sans" w:hAnsi="Gill Sans" w:cs="Gill Sans"/>
          <w:noProof/>
          <w:sz w:val="22"/>
          <w:szCs w:val="22"/>
          <w:lang w:val="uk-UA"/>
        </w:rPr>
        <w:t>важливий для забезпечення верховенства права та підзвітності публічних службовців, тим самим зменшуючи корупцію завдяки обмеженню дискреції та забезпеченню юридичної визначеності. Наразі адміністративні процедури в Україні регулюються переважно підзаконними актами і не містять необхідних гарантій.</w:t>
      </w:r>
    </w:p>
    <w:p w14:paraId="5DDF921B" w14:textId="77777777" w:rsidR="00A15E2A" w:rsidRPr="00257F44" w:rsidRDefault="00A15E2A" w:rsidP="00E877D6">
      <w:pPr>
        <w:pStyle w:val="Heading3"/>
        <w:spacing w:after="120"/>
        <w:rPr>
          <w:lang w:val="uk-UA"/>
        </w:rPr>
      </w:pPr>
      <w:r w:rsidRPr="00257F44">
        <w:rPr>
          <w:lang w:val="uk-UA"/>
        </w:rPr>
        <w:t>Статус виконання</w:t>
      </w:r>
    </w:p>
    <w:p w14:paraId="64F4F737" w14:textId="77777777" w:rsidR="00A15E2A" w:rsidRPr="00257F44" w:rsidRDefault="00A15E2A" w:rsidP="00E877D6">
      <w:pPr>
        <w:pStyle w:val="Normalrglronly"/>
        <w:rPr>
          <w:b/>
          <w:lang w:val="uk-UA"/>
        </w:rPr>
      </w:pPr>
      <w:r w:rsidRPr="00257F44">
        <w:rPr>
          <w:b/>
          <w:lang w:val="uk-UA"/>
        </w:rPr>
        <w:t>Проміжний звіт: Обмежене виконання</w:t>
      </w:r>
    </w:p>
    <w:p w14:paraId="03072B42" w14:textId="27F99257" w:rsidR="00194911" w:rsidRPr="00257F44" w:rsidRDefault="00194911" w:rsidP="00E877D6">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Ухвалення Кодексу адміністративної процедури (пізніше названий Законом про адміністративну процедуру) є довготривалим зобов’язанням Уряду. Перший проект тексту був внесений Урядом до парламенту ще в 2001 році і після цього переподавався кілька разів різними урядами. </w:t>
      </w:r>
      <w:r w:rsidR="00E57A54" w:rsidRPr="00257F44">
        <w:rPr>
          <w:rFonts w:ascii="Gill Sans" w:hAnsi="Gill Sans" w:cs="Gill Sans"/>
          <w:noProof/>
          <w:sz w:val="22"/>
          <w:szCs w:val="22"/>
          <w:lang w:val="uk-UA"/>
        </w:rPr>
        <w:t xml:space="preserve">Міжнародні </w:t>
      </w:r>
      <w:r w:rsidR="00B26B3F" w:rsidRPr="00257F44">
        <w:rPr>
          <w:rFonts w:ascii="Gill Sans" w:hAnsi="Gill Sans" w:cs="Gill Sans"/>
          <w:noProof/>
          <w:sz w:val="22"/>
          <w:szCs w:val="22"/>
          <w:lang w:val="uk-UA"/>
        </w:rPr>
        <w:t xml:space="preserve">антикорупційні </w:t>
      </w:r>
      <w:r w:rsidR="00E57A54" w:rsidRPr="00257F44">
        <w:rPr>
          <w:rFonts w:ascii="Gill Sans" w:hAnsi="Gill Sans" w:cs="Gill Sans"/>
          <w:noProof/>
          <w:sz w:val="22"/>
          <w:szCs w:val="22"/>
          <w:lang w:val="uk-UA"/>
        </w:rPr>
        <w:t>моніторингові механізми (</w:t>
      </w:r>
      <w:r w:rsidRPr="00257F44">
        <w:rPr>
          <w:rFonts w:ascii="Gill Sans" w:hAnsi="Gill Sans" w:cs="Gill Sans"/>
          <w:noProof/>
          <w:sz w:val="22"/>
          <w:szCs w:val="22"/>
          <w:lang w:val="uk-UA"/>
        </w:rPr>
        <w:t>Група держав Ради Європи проти корупції</w:t>
      </w:r>
      <w:r w:rsidR="00E57A54" w:rsidRPr="00257F44">
        <w:rPr>
          <w:rFonts w:ascii="Gill Sans" w:hAnsi="Gill Sans" w:cs="Gill Sans"/>
          <w:noProof/>
          <w:sz w:val="22"/>
          <w:szCs w:val="22"/>
          <w:lang w:val="uk-UA"/>
        </w:rPr>
        <w:t xml:space="preserve">, Антикорупційна мережа ОЕСР </w:t>
      </w:r>
      <w:r w:rsidR="00B26B3F" w:rsidRPr="00257F44">
        <w:rPr>
          <w:rFonts w:ascii="Gill Sans" w:hAnsi="Gill Sans" w:cs="Gill Sans"/>
          <w:noProof/>
          <w:sz w:val="22"/>
          <w:szCs w:val="22"/>
          <w:lang w:val="uk-UA"/>
        </w:rPr>
        <w:t xml:space="preserve">для країн Східної Європи та Центральної Азії </w:t>
      </w:r>
      <w:r w:rsidR="00E57A54" w:rsidRPr="00257F44">
        <w:rPr>
          <w:rFonts w:ascii="Gill Sans" w:hAnsi="Gill Sans" w:cs="Gill Sans"/>
          <w:noProof/>
          <w:sz w:val="22"/>
          <w:szCs w:val="22"/>
          <w:lang w:val="uk-UA"/>
        </w:rPr>
        <w:t>в рамках Стамбульського плану дій) рекомендували</w:t>
      </w:r>
      <w:r w:rsidRPr="00257F44">
        <w:rPr>
          <w:rFonts w:ascii="Gill Sans" w:hAnsi="Gill Sans" w:cs="Gill Sans"/>
          <w:noProof/>
          <w:sz w:val="22"/>
          <w:szCs w:val="22"/>
          <w:lang w:val="uk-UA"/>
        </w:rPr>
        <w:t xml:space="preserve"> Україні схвалити </w:t>
      </w:r>
      <w:r w:rsidRPr="00257F44">
        <w:rPr>
          <w:rFonts w:ascii="Gill Sans" w:hAnsi="Gill Sans" w:cs="Gill Sans"/>
          <w:noProof/>
          <w:sz w:val="22"/>
          <w:szCs w:val="22"/>
          <w:lang w:val="uk-UA"/>
        </w:rPr>
        <w:lastRenderedPageBreak/>
        <w:t>чіткий набір правил, що регулюють адміністративний процес та процес прийняття рішень</w:t>
      </w:r>
      <w:r w:rsidR="00E57A54" w:rsidRPr="00257F44">
        <w:rPr>
          <w:rStyle w:val="EndnoteReference"/>
          <w:rFonts w:ascii="Gill Sans" w:hAnsi="Gill Sans" w:cs="Gill Sans"/>
          <w:noProof/>
          <w:sz w:val="22"/>
          <w:szCs w:val="22"/>
          <w:lang w:val="uk-UA"/>
        </w:rPr>
        <w:endnoteReference w:id="59"/>
      </w:r>
      <w:r w:rsidRPr="00257F44">
        <w:rPr>
          <w:rFonts w:ascii="Gill Sans" w:hAnsi="Gill Sans" w:cs="Gill Sans"/>
          <w:noProof/>
          <w:sz w:val="22"/>
          <w:szCs w:val="22"/>
          <w:lang w:val="uk-UA"/>
        </w:rPr>
        <w:t xml:space="preserve">. </w:t>
      </w:r>
      <w:r w:rsidR="00E57A54" w:rsidRPr="00257F44">
        <w:rPr>
          <w:rFonts w:ascii="Gill Sans" w:hAnsi="Gill Sans" w:cs="Gill Sans"/>
          <w:noProof/>
          <w:sz w:val="22"/>
          <w:szCs w:val="22"/>
          <w:lang w:val="uk-UA"/>
        </w:rPr>
        <w:t>Низка офіційних планів дій передбачали зобов’язання з розробки та схвалення закону про адміністративну процедуру</w:t>
      </w:r>
      <w:r w:rsidR="00D837DF" w:rsidRPr="00257F44">
        <w:rPr>
          <w:rStyle w:val="EndnoteReference"/>
          <w:rFonts w:ascii="Gill Sans" w:hAnsi="Gill Sans" w:cs="Gill Sans"/>
          <w:noProof/>
          <w:sz w:val="22"/>
          <w:szCs w:val="22"/>
          <w:lang w:val="uk-UA"/>
        </w:rPr>
        <w:endnoteReference w:id="60"/>
      </w:r>
      <w:r w:rsidR="00D837DF" w:rsidRPr="00257F44">
        <w:rPr>
          <w:rFonts w:ascii="Gill Sans" w:hAnsi="Gill Sans" w:cs="Gill Sans"/>
          <w:noProof/>
          <w:sz w:val="22"/>
          <w:szCs w:val="22"/>
          <w:lang w:val="uk-UA"/>
        </w:rPr>
        <w:t>.</w:t>
      </w:r>
    </w:p>
    <w:p w14:paraId="2C6FCB0E" w14:textId="5BEDB097" w:rsidR="00B26B3F" w:rsidRPr="00257F44" w:rsidRDefault="00F776A3" w:rsidP="00E877D6">
      <w:pPr>
        <w:spacing w:after="120"/>
        <w:rPr>
          <w:rFonts w:ascii="Gill Sans" w:hAnsi="Gill Sans" w:cs="Gill Sans"/>
          <w:noProof/>
          <w:sz w:val="22"/>
          <w:szCs w:val="22"/>
          <w:lang w:val="uk-UA"/>
        </w:rPr>
      </w:pPr>
      <w:r w:rsidRPr="00257F44">
        <w:rPr>
          <w:rFonts w:ascii="Gill Sans" w:hAnsi="Gill Sans" w:cs="Gill Sans"/>
          <w:noProof/>
          <w:sz w:val="22"/>
          <w:szCs w:val="22"/>
          <w:lang w:val="uk-UA"/>
        </w:rPr>
        <w:t>Уряд повідомив, що Міністерство юстиції розробило проект Закону про адміністративну процедуру з урахуванням міжнародної практики, коментарів Програми ЄС/ОЕСР “СІГМА” та зауважень членів робочої групи, яку міністерство створило у 2014 році. Міністерство внесло законопроект на розгляд Уряду в січні 2015 року, але він був повернений для внесення змін у березн</w:t>
      </w:r>
      <w:r w:rsidR="007C23AA">
        <w:rPr>
          <w:rFonts w:ascii="Gill Sans" w:hAnsi="Gill Sans" w:cs="Gill Sans"/>
          <w:noProof/>
          <w:sz w:val="22"/>
          <w:szCs w:val="22"/>
          <w:lang w:val="uk-UA"/>
        </w:rPr>
        <w:t>і 2015 року. У серпні 2015 року</w:t>
      </w:r>
      <w:r w:rsidRPr="00257F44">
        <w:rPr>
          <w:rFonts w:ascii="Gill Sans" w:hAnsi="Gill Sans" w:cs="Gill Sans"/>
          <w:noProof/>
          <w:sz w:val="22"/>
          <w:szCs w:val="22"/>
          <w:lang w:val="uk-UA"/>
        </w:rPr>
        <w:t xml:space="preserve"> міністерство знову подало законопроект до Уряду, але він знову був повернений до міністерства</w:t>
      </w:r>
      <w:r w:rsidRPr="00257F44">
        <w:rPr>
          <w:rStyle w:val="EndnoteReference"/>
          <w:rFonts w:ascii="Gill Sans" w:hAnsi="Gill Sans" w:cs="Gill Sans"/>
          <w:noProof/>
          <w:sz w:val="22"/>
          <w:szCs w:val="22"/>
          <w:lang w:val="uk-UA"/>
        </w:rPr>
        <w:endnoteReference w:id="61"/>
      </w:r>
      <w:r w:rsidRPr="00257F44">
        <w:rPr>
          <w:rFonts w:ascii="Gill Sans" w:hAnsi="Gill Sans" w:cs="Gill Sans"/>
          <w:noProof/>
          <w:sz w:val="22"/>
          <w:szCs w:val="22"/>
          <w:lang w:val="uk-UA"/>
        </w:rPr>
        <w:t>.</w:t>
      </w:r>
    </w:p>
    <w:p w14:paraId="7BB40B2A" w14:textId="0DECB791" w:rsidR="00A15E2A" w:rsidRPr="00257F44" w:rsidRDefault="00A15E2A" w:rsidP="00E877D6">
      <w:pPr>
        <w:pStyle w:val="Normalrglronly"/>
        <w:rPr>
          <w:b/>
          <w:lang w:val="uk-UA"/>
        </w:rPr>
      </w:pPr>
      <w:r w:rsidRPr="00257F44">
        <w:rPr>
          <w:b/>
          <w:lang w:val="uk-UA"/>
        </w:rPr>
        <w:t>Підсумковий звіт: Обмежене виконання</w:t>
      </w:r>
    </w:p>
    <w:p w14:paraId="373C6637" w14:textId="0657EA93" w:rsidR="00F776A3" w:rsidRPr="00257F44" w:rsidRDefault="009753C6" w:rsidP="00E877D6">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Уряд не досягнув жодного прогресу у виконанні цього зобов’язання з часу проміжного звіту. У червні 2016 року, Уряд ухвалив Стратегію реформування державного управління </w:t>
      </w:r>
      <w:r w:rsidR="000B7734" w:rsidRPr="00257F44">
        <w:rPr>
          <w:rFonts w:ascii="Gill Sans" w:hAnsi="Gill Sans" w:cs="Gill Sans"/>
          <w:noProof/>
          <w:sz w:val="22"/>
          <w:szCs w:val="22"/>
          <w:lang w:val="uk-UA"/>
        </w:rPr>
        <w:t>на 2016-2020 роки</w:t>
      </w:r>
      <w:r w:rsidRPr="00257F44">
        <w:rPr>
          <w:rFonts w:ascii="Gill Sans" w:hAnsi="Gill Sans" w:cs="Gill Sans"/>
          <w:noProof/>
          <w:sz w:val="22"/>
          <w:szCs w:val="22"/>
          <w:lang w:val="uk-UA"/>
        </w:rPr>
        <w:t xml:space="preserve"> та план дій для реалізації стратегії. </w:t>
      </w:r>
      <w:r w:rsidR="000B7734" w:rsidRPr="00257F44">
        <w:rPr>
          <w:rFonts w:ascii="Gill Sans" w:hAnsi="Gill Sans" w:cs="Gill Sans"/>
          <w:noProof/>
          <w:sz w:val="22"/>
          <w:szCs w:val="22"/>
          <w:lang w:val="uk-UA"/>
        </w:rPr>
        <w:t>У п</w:t>
      </w:r>
      <w:r w:rsidRPr="00257F44">
        <w:rPr>
          <w:rFonts w:ascii="Gill Sans" w:hAnsi="Gill Sans" w:cs="Gill Sans"/>
          <w:noProof/>
          <w:sz w:val="22"/>
          <w:szCs w:val="22"/>
          <w:lang w:val="uk-UA"/>
        </w:rPr>
        <w:t>лан</w:t>
      </w:r>
      <w:r w:rsidR="000B7734" w:rsidRPr="00257F44">
        <w:rPr>
          <w:rFonts w:ascii="Gill Sans" w:hAnsi="Gill Sans" w:cs="Gill Sans"/>
          <w:noProof/>
          <w:sz w:val="22"/>
          <w:szCs w:val="22"/>
          <w:lang w:val="uk-UA"/>
        </w:rPr>
        <w:t>і</w:t>
      </w:r>
      <w:r w:rsidRPr="00257F44">
        <w:rPr>
          <w:rFonts w:ascii="Gill Sans" w:hAnsi="Gill Sans" w:cs="Gill Sans"/>
          <w:noProof/>
          <w:sz w:val="22"/>
          <w:szCs w:val="22"/>
          <w:lang w:val="uk-UA"/>
        </w:rPr>
        <w:t xml:space="preserve"> дій розробку Закону про адміністративну процедуру </w:t>
      </w:r>
      <w:r w:rsidR="000B7734" w:rsidRPr="00257F44">
        <w:rPr>
          <w:rFonts w:ascii="Gill Sans" w:hAnsi="Gill Sans" w:cs="Gill Sans"/>
          <w:noProof/>
          <w:sz w:val="22"/>
          <w:szCs w:val="22"/>
          <w:lang w:val="uk-UA"/>
        </w:rPr>
        <w:t xml:space="preserve">відкладено </w:t>
      </w:r>
      <w:r w:rsidRPr="00257F44">
        <w:rPr>
          <w:rFonts w:ascii="Gill Sans" w:hAnsi="Gill Sans" w:cs="Gill Sans"/>
          <w:noProof/>
          <w:sz w:val="22"/>
          <w:szCs w:val="22"/>
          <w:lang w:val="uk-UA"/>
        </w:rPr>
        <w:t>до середини 2018 року.</w:t>
      </w:r>
    </w:p>
    <w:p w14:paraId="685270D8" w14:textId="77777777" w:rsidR="00F543E5" w:rsidRPr="00257F44" w:rsidRDefault="00F543E5" w:rsidP="00E877D6">
      <w:pPr>
        <w:pStyle w:val="Heading3"/>
        <w:spacing w:after="120"/>
        <w:rPr>
          <w:lang w:val="uk-UA"/>
        </w:rPr>
      </w:pPr>
      <w:r w:rsidRPr="00257F44">
        <w:rPr>
          <w:lang w:val="uk-UA"/>
        </w:rPr>
        <w:t>Чи відкрило це уряд?</w:t>
      </w:r>
    </w:p>
    <w:p w14:paraId="3DBFF8CB" w14:textId="7B1C69C0" w:rsidR="00F543E5" w:rsidRPr="00257F44" w:rsidRDefault="00F543E5" w:rsidP="00E877D6">
      <w:pPr>
        <w:spacing w:after="120"/>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Доступ до інформації: Не змінило</w:t>
      </w:r>
    </w:p>
    <w:p w14:paraId="08B853EC" w14:textId="77777777" w:rsidR="00F543E5" w:rsidRPr="00257F44" w:rsidRDefault="00F543E5" w:rsidP="00E877D6">
      <w:pPr>
        <w:spacing w:after="120"/>
        <w:rPr>
          <w:rFonts w:ascii="Gill Sans" w:hAnsi="Gill Sans" w:cs="Gill Sans"/>
          <w:b/>
          <w:color w:val="000000" w:themeColor="text1"/>
          <w:sz w:val="22"/>
          <w:szCs w:val="22"/>
          <w:lang w:val="uk-UA"/>
        </w:rPr>
      </w:pPr>
      <w:r w:rsidRPr="00257F44">
        <w:rPr>
          <w:rFonts w:ascii="Gill Sans" w:hAnsi="Gill Sans" w:cs="Gill Sans"/>
          <w:b/>
          <w:color w:val="000000" w:themeColor="text1"/>
          <w:sz w:val="22"/>
          <w:szCs w:val="22"/>
          <w:lang w:val="uk-UA"/>
        </w:rPr>
        <w:t>Підзвітність влади: Не змінило</w:t>
      </w:r>
    </w:p>
    <w:p w14:paraId="75CEB109" w14:textId="59953ECF" w:rsidR="000B7734" w:rsidRPr="00257F44" w:rsidRDefault="009909F0" w:rsidP="00E877D6">
      <w:pPr>
        <w:spacing w:after="120"/>
        <w:rPr>
          <w:rFonts w:ascii="Gill Sans" w:hAnsi="Gill Sans" w:cs="Gill Sans"/>
          <w:noProof/>
          <w:sz w:val="22"/>
          <w:szCs w:val="22"/>
          <w:lang w:val="uk-UA"/>
        </w:rPr>
      </w:pPr>
      <w:r w:rsidRPr="00257F44">
        <w:rPr>
          <w:rFonts w:ascii="Gill Sans" w:hAnsi="Gill Sans" w:cs="Gill Sans"/>
          <w:noProof/>
          <w:sz w:val="22"/>
          <w:szCs w:val="22"/>
          <w:lang w:val="uk-UA"/>
        </w:rPr>
        <w:t>Закон про адміністративну процедуру є важливим законодавчим актом, що регулює взаємодію публічної адміністрації з фізичними та юридичними особами, розгляд адміністративних справ, адміністративне оскарження тощо. Закон є необхідним для забезпечення юридичної визначеності та гарантування прав осіб у їхній взаємодії з публічною адміністрацією, зокрема шляхом спрощення доступу до інформації та надання процедур оскарження адміністративних рішень. Закон також важливий для забезпечення підзвітності органів публічної влади та обмеження адміністративної дискреції, що сприяє корупції. Проте, законопроект має довгу та неуспішну історію в Україні. Як зазначено в проміжному звіті МНЗ, схоже, що існує брак розуміння серед вищих посадових осіб важливості цього закону як базового законодавчого акта для функціонування публічної адміністрації. Його історія також свідчить, що в Уряду відсутні справжня політична воля та намір ухвалити такий закон, що Уряд навмисно затягує його розгляд</w:t>
      </w:r>
      <w:r w:rsidRPr="00257F44">
        <w:rPr>
          <w:rStyle w:val="EndnoteReference"/>
          <w:rFonts w:ascii="Gill Sans" w:hAnsi="Gill Sans" w:cs="Gill Sans"/>
          <w:noProof/>
          <w:sz w:val="22"/>
          <w:szCs w:val="22"/>
          <w:lang w:val="uk-UA"/>
        </w:rPr>
        <w:endnoteReference w:id="62"/>
      </w:r>
      <w:r w:rsidRPr="00257F44">
        <w:rPr>
          <w:rFonts w:ascii="Gill Sans" w:hAnsi="Gill Sans" w:cs="Gill Sans"/>
          <w:noProof/>
          <w:sz w:val="22"/>
          <w:szCs w:val="22"/>
          <w:lang w:val="uk-UA"/>
        </w:rPr>
        <w:t>. Останнє рішення Уряду відкласти підготовку цього законопроекту до 2018 року підтверджує таку оцінку.</w:t>
      </w:r>
    </w:p>
    <w:p w14:paraId="4497B510" w14:textId="765ED5AA" w:rsidR="00EB22DF" w:rsidRPr="00257F44" w:rsidRDefault="00F543E5" w:rsidP="00E877D6">
      <w:pPr>
        <w:pStyle w:val="Heading3"/>
        <w:spacing w:after="120"/>
        <w:rPr>
          <w:lang w:val="uk-UA"/>
        </w:rPr>
      </w:pPr>
      <w:r w:rsidRPr="00257F44">
        <w:rPr>
          <w:lang w:val="uk-UA"/>
        </w:rPr>
        <w:t>Чи перенесено до наступного плану дій?</w:t>
      </w:r>
    </w:p>
    <w:p w14:paraId="0B09FB1C" w14:textId="69F584AC" w:rsidR="00EB22DF" w:rsidRPr="00257F44" w:rsidRDefault="009909F0" w:rsidP="00E877D6">
      <w:pPr>
        <w:spacing w:after="120"/>
        <w:rPr>
          <w:rFonts w:ascii="Gill Sans" w:hAnsi="Gill Sans" w:cs="Gill Sans"/>
          <w:noProof/>
          <w:sz w:val="22"/>
          <w:szCs w:val="22"/>
          <w:lang w:val="uk-UA"/>
        </w:rPr>
      </w:pPr>
      <w:r w:rsidRPr="00257F44">
        <w:rPr>
          <w:rFonts w:ascii="Gill Sans" w:hAnsi="Gill Sans" w:cs="Gill Sans"/>
          <w:noProof/>
          <w:sz w:val="22"/>
          <w:szCs w:val="22"/>
          <w:lang w:val="uk-UA"/>
        </w:rPr>
        <w:t>Зобов’язання не було перенесено до нового плану дій.</w:t>
      </w:r>
      <w:r w:rsidR="00EB22DF" w:rsidRPr="00257F44">
        <w:rPr>
          <w:rFonts w:ascii="Gill Sans" w:hAnsi="Gill Sans" w:cs="Gill Sans"/>
          <w:noProof/>
          <w:sz w:val="22"/>
          <w:szCs w:val="22"/>
          <w:lang w:val="uk-UA"/>
        </w:rPr>
        <w:t xml:space="preserve"> </w:t>
      </w:r>
    </w:p>
    <w:p w14:paraId="266AC5C3" w14:textId="77777777" w:rsidR="006D2ECF" w:rsidRPr="00257F44" w:rsidRDefault="006D2ECF" w:rsidP="00EB22DF">
      <w:pPr>
        <w:tabs>
          <w:tab w:val="left" w:pos="3037"/>
        </w:tabs>
        <w:rPr>
          <w:lang w:val="uk-UA"/>
        </w:rPr>
        <w:sectPr w:rsidR="006D2ECF" w:rsidRPr="00257F44" w:rsidSect="00F561B7">
          <w:endnotePr>
            <w:numFmt w:val="decimal"/>
            <w:numRestart w:val="eachSect"/>
          </w:endnotePr>
          <w:pgSz w:w="12240" w:h="15840"/>
          <w:pgMar w:top="1440" w:right="1800" w:bottom="1440" w:left="1800" w:header="720" w:footer="720" w:gutter="0"/>
          <w:cols w:space="720"/>
          <w:docGrid w:linePitch="360"/>
        </w:sectPr>
      </w:pPr>
    </w:p>
    <w:p w14:paraId="449B5140" w14:textId="77777777" w:rsidR="00984830" w:rsidRPr="00257F44" w:rsidRDefault="00984830" w:rsidP="00984830">
      <w:pPr>
        <w:pStyle w:val="Heading2"/>
        <w:spacing w:before="0" w:after="120"/>
        <w:rPr>
          <w:rFonts w:eastAsiaTheme="minorEastAsia"/>
          <w:bCs w:val="0"/>
          <w:color w:val="222222"/>
          <w:sz w:val="22"/>
          <w:szCs w:val="22"/>
          <w:lang w:val="uk-UA"/>
        </w:rPr>
      </w:pPr>
      <w:r w:rsidRPr="00257F44">
        <w:rPr>
          <w:rFonts w:eastAsiaTheme="minorEastAsia"/>
          <w:bCs w:val="0"/>
          <w:color w:val="222222"/>
          <w:sz w:val="22"/>
          <w:szCs w:val="22"/>
          <w:lang w:val="uk-UA"/>
        </w:rPr>
        <w:lastRenderedPageBreak/>
        <w:t xml:space="preserve">14. Впорядкувати плату за надання адміністративних послуг </w:t>
      </w:r>
    </w:p>
    <w:p w14:paraId="1588E549" w14:textId="77777777" w:rsidR="00984830" w:rsidRPr="00257F44" w:rsidRDefault="00984830" w:rsidP="00984830">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5-B) Впорядкувати плату за надання адміністративних послуг</w:t>
      </w:r>
      <w:r w:rsidRPr="00257F44">
        <w:rPr>
          <w:bCs/>
          <w:color w:val="222222"/>
          <w:sz w:val="22"/>
          <w:szCs w:val="22"/>
          <w:lang w:val="uk-UA"/>
        </w:rPr>
        <w:t xml:space="preserve"> </w:t>
      </w:r>
    </w:p>
    <w:p w14:paraId="3FD0DD9D" w14:textId="77777777" w:rsidR="00984830" w:rsidRPr="00257F44" w:rsidRDefault="00984830" w:rsidP="00984830">
      <w:pPr>
        <w:spacing w:after="120"/>
        <w:rPr>
          <w:rFonts w:ascii="Gill Sans" w:hAnsi="Gill Sans" w:cs="Gill Sans"/>
          <w:i/>
          <w:noProof/>
          <w:sz w:val="22"/>
          <w:szCs w:val="22"/>
          <w:lang w:val="uk-UA"/>
        </w:rPr>
      </w:pPr>
      <w:r w:rsidRPr="00257F44">
        <w:rPr>
          <w:rFonts w:ascii="Gill Sans" w:hAnsi="Gill Sans" w:cs="Gill Sans"/>
          <w:b/>
          <w:bCs/>
          <w:iCs/>
          <w:noProof/>
          <w:sz w:val="22"/>
          <w:szCs w:val="22"/>
          <w:lang w:val="uk-UA"/>
        </w:rPr>
        <w:t>Текст зобов’язання:</w:t>
      </w:r>
      <w:r w:rsidRPr="00257F44">
        <w:rPr>
          <w:rFonts w:ascii="Gill Sans" w:hAnsi="Gill Sans" w:cs="Gill Sans"/>
          <w:i/>
          <w:noProof/>
          <w:sz w:val="22"/>
          <w:szCs w:val="22"/>
          <w:lang w:val="uk-UA"/>
        </w:rPr>
        <w:t xml:space="preserve"> 14. Підготовка та подання в установленому порядку Кабінетові Міністрів України законопроекту щодо упорядкування відносин стосовно оплати адміністративних послуг.</w:t>
      </w:r>
    </w:p>
    <w:p w14:paraId="4AD29D70" w14:textId="77777777" w:rsidR="00984830" w:rsidRPr="00257F44" w:rsidRDefault="00984830" w:rsidP="00984830">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схвалення Кабінетом Міністрів України відповідного законопроекту, подання його Верховній Раді України та супроводження до прийняття.</w:t>
      </w:r>
    </w:p>
    <w:p w14:paraId="0CEE9D85" w14:textId="77777777" w:rsidR="00984830" w:rsidRPr="00257F44" w:rsidRDefault="00984830" w:rsidP="00984830">
      <w:pPr>
        <w:pStyle w:val="Heading2"/>
        <w:spacing w:before="0" w:after="120"/>
        <w:rPr>
          <w:rFonts w:eastAsiaTheme="minorEastAsia"/>
          <w:bCs w:val="0"/>
          <w:color w:val="222222"/>
          <w:sz w:val="22"/>
          <w:szCs w:val="22"/>
          <w:lang w:val="uk-UA"/>
        </w:rPr>
      </w:pPr>
      <w:bookmarkStart w:id="9" w:name="_Toc437543874"/>
      <w:r w:rsidRPr="00257F44">
        <w:rPr>
          <w:rFonts w:eastAsiaTheme="minorEastAsia"/>
          <w:bCs w:val="0"/>
          <w:color w:val="222222"/>
          <w:sz w:val="22"/>
          <w:szCs w:val="22"/>
          <w:lang w:val="uk-UA"/>
        </w:rPr>
        <w:t>16. Децентралізувати надання адміністративних послуг</w:t>
      </w:r>
      <w:bookmarkEnd w:id="9"/>
    </w:p>
    <w:p w14:paraId="391DA3E6" w14:textId="77777777" w:rsidR="00984830" w:rsidRPr="00257F44" w:rsidRDefault="00984830" w:rsidP="00984830">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5-C) Децентралізація надання адміністративних послуг</w:t>
      </w:r>
    </w:p>
    <w:p w14:paraId="41258B51" w14:textId="77777777" w:rsidR="00984830" w:rsidRPr="00257F44" w:rsidRDefault="00984830" w:rsidP="00984830">
      <w:pPr>
        <w:spacing w:after="120"/>
        <w:rPr>
          <w:rFonts w:ascii="Gill Sans" w:hAnsi="Gill Sans" w:cs="Gill Sans"/>
          <w:i/>
          <w:noProof/>
          <w:sz w:val="22"/>
          <w:szCs w:val="22"/>
          <w:lang w:val="uk-UA"/>
        </w:rPr>
      </w:pPr>
      <w:r w:rsidRPr="00257F44">
        <w:rPr>
          <w:rFonts w:ascii="Gill Sans" w:hAnsi="Gill Sans" w:cs="Gill Sans"/>
          <w:b/>
          <w:bCs/>
          <w:iCs/>
          <w:noProof/>
          <w:sz w:val="22"/>
          <w:szCs w:val="22"/>
          <w:lang w:val="uk-UA"/>
        </w:rPr>
        <w:t>Текст зобов’язання:</w:t>
      </w:r>
      <w:r w:rsidRPr="00257F44">
        <w:rPr>
          <w:rFonts w:ascii="Gill Sans" w:hAnsi="Gill Sans" w:cs="Gill Sans"/>
          <w:i/>
          <w:noProof/>
          <w:sz w:val="22"/>
          <w:szCs w:val="22"/>
          <w:lang w:val="uk-UA"/>
        </w:rPr>
        <w:t xml:space="preserve"> 16. Підготовка та подання в установленому порядку Кабінетові Міністрів України законопроекту щодо децентралізації повноважень з надання найбільш важливих для громадян адміністративних послуг, у тому числі з метою їх надання через центри надання адміністративних послуг, а саме: </w:t>
      </w:r>
    </w:p>
    <w:p w14:paraId="585E7752" w14:textId="77777777" w:rsidR="00984830" w:rsidRPr="00257F44" w:rsidRDefault="00984830" w:rsidP="00984830">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 xml:space="preserve">- реєстрації місця проживання (перебування) особи, оформлення документів, що посвідчують особу, у тому числі для виїзду за кордон; </w:t>
      </w:r>
    </w:p>
    <w:p w14:paraId="3B1456E9" w14:textId="77777777" w:rsidR="00984830" w:rsidRPr="00257F44" w:rsidRDefault="00984830" w:rsidP="00984830">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 xml:space="preserve">- державної реєстрації юридичних осіб та фізичних осіб – підприємців, речових прав на нерухоме майно та їх обтяжень, об’єднань громадян та актів цивільного стану; </w:t>
      </w:r>
    </w:p>
    <w:p w14:paraId="1657057C" w14:textId="77777777" w:rsidR="00984830" w:rsidRPr="00257F44" w:rsidRDefault="00984830" w:rsidP="00984830">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 xml:space="preserve">- державної реєстрації земельних ділянок, внесення та отримання відомостей з Державного земельного кадастру; </w:t>
      </w:r>
    </w:p>
    <w:p w14:paraId="237A1B8C" w14:textId="77777777" w:rsidR="00984830" w:rsidRPr="00257F44" w:rsidRDefault="00984830" w:rsidP="00984830">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 реєстрації автотранспортних засобів, оформлення посвідчень водія.</w:t>
      </w:r>
    </w:p>
    <w:p w14:paraId="1E7F97DD" w14:textId="77777777" w:rsidR="00984830" w:rsidRPr="00257F44" w:rsidRDefault="00984830" w:rsidP="00984830">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передача органам місцевого самоврядування, місцевим органам виконавчої влади зазначених повноважень</w:t>
      </w:r>
      <w:r w:rsidRPr="00257F44">
        <w:rPr>
          <w:i/>
          <w:noProof/>
          <w:lang w:val="uk-UA"/>
        </w:rPr>
        <w:t>.</w:t>
      </w:r>
    </w:p>
    <w:p w14:paraId="1FF1B023" w14:textId="77777777" w:rsidR="00984830" w:rsidRPr="00257F44" w:rsidRDefault="00984830" w:rsidP="00984830">
      <w:pPr>
        <w:spacing w:after="120"/>
        <w:rPr>
          <w:rFonts w:ascii="Gill Sans" w:hAnsi="Gill Sans" w:cs="Gill Sans"/>
          <w:sz w:val="22"/>
          <w:szCs w:val="22"/>
          <w:lang w:val="uk-UA"/>
        </w:rPr>
      </w:pPr>
      <w:r w:rsidRPr="00257F44">
        <w:rPr>
          <w:rFonts w:ascii="Gill Sans" w:hAnsi="Gill Sans" w:cs="Gill Sans"/>
          <w:sz w:val="22"/>
          <w:szCs w:val="22"/>
          <w:lang w:val="uk-UA"/>
        </w:rPr>
        <w:t>Головна інституція, відповідальна за виконання: Міністерство економічного розвитку (зобов’язання №14); Міністерство регіонального розвитку (зобов’язання №16).</w:t>
      </w:r>
    </w:p>
    <w:p w14:paraId="15FEE0B2" w14:textId="77777777" w:rsidR="00984830" w:rsidRPr="00257F44" w:rsidRDefault="00984830" w:rsidP="00984830">
      <w:pPr>
        <w:spacing w:after="120"/>
        <w:rPr>
          <w:rFonts w:ascii="Gill Sans" w:hAnsi="Gill Sans" w:cs="Gill Sans"/>
          <w:sz w:val="22"/>
          <w:szCs w:val="22"/>
          <w:lang w:val="uk-UA"/>
        </w:rPr>
      </w:pPr>
      <w:r w:rsidRPr="00257F44">
        <w:rPr>
          <w:rFonts w:ascii="Gill Sans" w:hAnsi="Gill Sans" w:cs="Gill Sans"/>
          <w:sz w:val="22"/>
          <w:szCs w:val="22"/>
          <w:lang w:val="uk-UA"/>
        </w:rPr>
        <w:t>Інші виконавці: Міністерство юстиції, Міністерство регіонального розвитку, Міністерство фінансів, ГО “Центр політико-правових реформ”, інші невизначені організації громадянського суспільства та міжнародні організації (зобов’язання №14); Міністерство юстиції, Міністерство внутрішніх справ, Міністерство аграрної політики, Міністерство економічного розвитку, Державна реєстраційна служба, Державна міграційна служба, Державне агентство земельних ресурсів, невизначені організації громадянського суспільства та міжнародні організації (зобов’язання №16).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800"/>
      </w:tblGrid>
      <w:tr w:rsidR="00984830" w:rsidRPr="00257F44" w14:paraId="5D4AAA93" w14:textId="77777777" w:rsidTr="00984830">
        <w:tc>
          <w:tcPr>
            <w:tcW w:w="2830" w:type="dxa"/>
          </w:tcPr>
          <w:p w14:paraId="6DFEC60F" w14:textId="77777777" w:rsidR="00984830" w:rsidRPr="00257F44" w:rsidRDefault="00984830" w:rsidP="00984830">
            <w:pPr>
              <w:spacing w:after="120"/>
              <w:rPr>
                <w:rFonts w:ascii="Gill Sans" w:hAnsi="Gill Sans" w:cs="Gill Sans"/>
                <w:sz w:val="22"/>
                <w:szCs w:val="22"/>
                <w:lang w:val="uk-UA"/>
              </w:rPr>
            </w:pPr>
            <w:r w:rsidRPr="00257F44">
              <w:rPr>
                <w:rFonts w:ascii="Gill Sans" w:hAnsi="Gill Sans" w:cs="Gill Sans"/>
                <w:sz w:val="22"/>
                <w:szCs w:val="22"/>
                <w:lang w:val="uk-UA"/>
              </w:rPr>
              <w:t>Дата початку: Не визначено</w:t>
            </w:r>
          </w:p>
        </w:tc>
        <w:tc>
          <w:tcPr>
            <w:tcW w:w="5800" w:type="dxa"/>
          </w:tcPr>
          <w:p w14:paraId="62010C88" w14:textId="77777777" w:rsidR="00984830" w:rsidRPr="00257F44" w:rsidRDefault="00984830" w:rsidP="00984830">
            <w:pPr>
              <w:spacing w:after="120"/>
              <w:rPr>
                <w:rFonts w:ascii="Gill Sans" w:hAnsi="Gill Sans" w:cs="Gill Sans"/>
                <w:sz w:val="22"/>
                <w:szCs w:val="22"/>
                <w:lang w:val="uk-UA"/>
              </w:rPr>
            </w:pPr>
            <w:r w:rsidRPr="00257F44">
              <w:rPr>
                <w:rFonts w:ascii="Gill Sans" w:hAnsi="Gill Sans" w:cs="Gill Sans"/>
                <w:sz w:val="22"/>
                <w:szCs w:val="22"/>
                <w:lang w:val="uk-UA"/>
              </w:rPr>
              <w:t>Термін виконання: 30 червня 2015 р. (зобов’язання №14); 31 грудня 2015 р. (зобов’язання №16).</w:t>
            </w:r>
          </w:p>
        </w:tc>
      </w:tr>
    </w:tbl>
    <w:p w14:paraId="6C244723" w14:textId="77777777" w:rsidR="0020660D" w:rsidRPr="00257F44" w:rsidRDefault="0020660D" w:rsidP="006023C3">
      <w:pPr>
        <w:ind w:left="3600" w:firstLine="720"/>
        <w:rPr>
          <w:rFonts w:ascii="Gill Sans" w:hAnsi="Gill Sans" w:cs="Gill Sans"/>
          <w:sz w:val="22"/>
          <w:szCs w:val="22"/>
          <w:lang w:val="uk-UA"/>
        </w:rPr>
      </w:pPr>
    </w:p>
    <w:p w14:paraId="46C9F77C" w14:textId="77777777" w:rsidR="0020660D" w:rsidRPr="00257F44" w:rsidRDefault="0020660D" w:rsidP="006023C3">
      <w:pPr>
        <w:ind w:left="3600" w:firstLine="720"/>
        <w:rPr>
          <w:rFonts w:ascii="Gill Sans" w:hAnsi="Gill Sans" w:cs="Gill Sans"/>
          <w:sz w:val="22"/>
          <w:szCs w:val="22"/>
          <w:lang w:val="uk-UA"/>
        </w:rPr>
      </w:pPr>
    </w:p>
    <w:p w14:paraId="4D282DEE" w14:textId="77777777" w:rsidR="0020660D" w:rsidRPr="00257F44" w:rsidRDefault="0020660D" w:rsidP="006023C3">
      <w:pPr>
        <w:ind w:left="3600" w:firstLine="720"/>
        <w:rPr>
          <w:rFonts w:ascii="Gill Sans" w:hAnsi="Gill Sans" w:cs="Gill Sans"/>
          <w:sz w:val="22"/>
          <w:szCs w:val="22"/>
          <w:lang w:val="uk-UA"/>
        </w:rPr>
      </w:pPr>
    </w:p>
    <w:p w14:paraId="1976F428" w14:textId="77777777" w:rsidR="0020660D" w:rsidRPr="00257F44" w:rsidRDefault="0020660D" w:rsidP="006023C3">
      <w:pPr>
        <w:ind w:left="3600" w:firstLine="720"/>
        <w:rPr>
          <w:rFonts w:ascii="Gill Sans" w:hAnsi="Gill Sans" w:cs="Gill Sans"/>
          <w:sz w:val="22"/>
          <w:szCs w:val="22"/>
          <w:lang w:val="uk-UA"/>
        </w:rPr>
      </w:pPr>
    </w:p>
    <w:p w14:paraId="03815D34" w14:textId="77777777" w:rsidR="0020660D" w:rsidRPr="00257F44" w:rsidRDefault="0020660D" w:rsidP="006023C3">
      <w:pPr>
        <w:ind w:left="3600" w:firstLine="720"/>
        <w:rPr>
          <w:rFonts w:ascii="Gill Sans" w:hAnsi="Gill Sans" w:cs="Gill Sans"/>
          <w:sz w:val="22"/>
          <w:szCs w:val="22"/>
          <w:lang w:val="uk-UA"/>
        </w:rPr>
      </w:pPr>
    </w:p>
    <w:p w14:paraId="14E14FFC" w14:textId="77777777" w:rsidR="0020660D" w:rsidRPr="00257F44" w:rsidRDefault="0020660D" w:rsidP="006023C3">
      <w:pPr>
        <w:ind w:left="3600" w:firstLine="720"/>
        <w:rPr>
          <w:rFonts w:ascii="Gill Sans" w:hAnsi="Gill Sans" w:cs="Gill Sans"/>
          <w:sz w:val="22"/>
          <w:szCs w:val="22"/>
          <w:lang w:val="uk-UA"/>
        </w:rPr>
      </w:pPr>
    </w:p>
    <w:p w14:paraId="22C643F3" w14:textId="77777777" w:rsidR="0020660D" w:rsidRPr="00257F44" w:rsidRDefault="0020660D" w:rsidP="006023C3">
      <w:pPr>
        <w:ind w:left="3600" w:firstLine="720"/>
        <w:rPr>
          <w:rFonts w:ascii="Gill Sans" w:hAnsi="Gill Sans" w:cs="Gill Sans"/>
          <w:sz w:val="22"/>
          <w:szCs w:val="22"/>
          <w:lang w:val="uk-UA"/>
        </w:rPr>
      </w:pPr>
    </w:p>
    <w:p w14:paraId="2B298D1B" w14:textId="77777777" w:rsidR="0020660D" w:rsidRPr="00257F44" w:rsidRDefault="0020660D" w:rsidP="006023C3">
      <w:pPr>
        <w:ind w:left="3600" w:firstLine="720"/>
        <w:rPr>
          <w:rFonts w:ascii="Gill Sans" w:hAnsi="Gill Sans" w:cs="Gill Sans"/>
          <w:sz w:val="22"/>
          <w:szCs w:val="22"/>
          <w:lang w:val="uk-UA"/>
        </w:rPr>
      </w:pPr>
    </w:p>
    <w:p w14:paraId="741717C0" w14:textId="77777777" w:rsidR="0020660D" w:rsidRPr="00257F44" w:rsidRDefault="0020660D" w:rsidP="006023C3">
      <w:pPr>
        <w:ind w:left="3600" w:firstLine="720"/>
        <w:rPr>
          <w:rFonts w:ascii="Gill Sans" w:hAnsi="Gill Sans" w:cs="Gill Sans"/>
          <w:sz w:val="22"/>
          <w:szCs w:val="22"/>
          <w:lang w:val="uk-UA"/>
        </w:rPr>
      </w:pPr>
    </w:p>
    <w:tbl>
      <w:tblPr>
        <w:tblW w:w="1020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95"/>
        <w:gridCol w:w="507"/>
        <w:gridCol w:w="345"/>
        <w:gridCol w:w="346"/>
        <w:gridCol w:w="368"/>
        <w:gridCol w:w="367"/>
        <w:gridCol w:w="368"/>
        <w:gridCol w:w="800"/>
        <w:gridCol w:w="366"/>
        <w:gridCol w:w="343"/>
        <w:gridCol w:w="421"/>
        <w:gridCol w:w="343"/>
        <w:gridCol w:w="553"/>
        <w:gridCol w:w="421"/>
        <w:gridCol w:w="421"/>
        <w:gridCol w:w="499"/>
        <w:gridCol w:w="376"/>
        <w:gridCol w:w="388"/>
        <w:gridCol w:w="343"/>
        <w:gridCol w:w="343"/>
        <w:gridCol w:w="421"/>
      </w:tblGrid>
      <w:tr w:rsidR="00984830" w:rsidRPr="00257F44" w14:paraId="2F727FC7" w14:textId="77777777" w:rsidTr="00B223BA">
        <w:trPr>
          <w:trHeight w:val="405"/>
        </w:trPr>
        <w:tc>
          <w:tcPr>
            <w:tcW w:w="1474" w:type="dxa"/>
            <w:vMerge w:val="restart"/>
            <w:tcBorders>
              <w:top w:val="single" w:sz="18" w:space="0" w:color="FFFFFF"/>
              <w:left w:val="single" w:sz="4" w:space="0" w:color="FFFFFF"/>
              <w:right w:val="single" w:sz="18" w:space="0" w:color="FFFFFF"/>
            </w:tcBorders>
            <w:shd w:val="clear" w:color="auto" w:fill="000000"/>
          </w:tcPr>
          <w:p w14:paraId="0F69C9CB" w14:textId="13060883" w:rsidR="00984830" w:rsidRPr="00257F44" w:rsidRDefault="00984830" w:rsidP="00984830">
            <w:pPr>
              <w:rPr>
                <w:rFonts w:ascii="Gill Sans" w:hAnsi="Gill Sans" w:cs="Gill Sans"/>
                <w:color w:val="FFFFFF" w:themeColor="background1"/>
                <w:sz w:val="22"/>
                <w:szCs w:val="22"/>
                <w:lang w:val="uk-UA"/>
              </w:rPr>
            </w:pPr>
            <w:r w:rsidRPr="00257F44">
              <w:rPr>
                <w:rFonts w:ascii="Gill Sans" w:hAnsi="Gill Sans" w:cs="Gill Sans"/>
                <w:sz w:val="20"/>
                <w:szCs w:val="20"/>
                <w:lang w:val="uk-UA"/>
              </w:rPr>
              <w:lastRenderedPageBreak/>
              <w:t>Опис зобов’язання</w:t>
            </w:r>
          </w:p>
        </w:tc>
        <w:tc>
          <w:tcPr>
            <w:tcW w:w="1593" w:type="dxa"/>
            <w:gridSpan w:val="4"/>
            <w:vMerge w:val="restart"/>
            <w:tcBorders>
              <w:top w:val="single" w:sz="18" w:space="0" w:color="FFFFFF"/>
              <w:left w:val="single" w:sz="18" w:space="0" w:color="FFFFFF"/>
              <w:right w:val="single" w:sz="18" w:space="0" w:color="FFFFFF"/>
            </w:tcBorders>
            <w:shd w:val="clear" w:color="auto" w:fill="D6E3BC"/>
          </w:tcPr>
          <w:p w14:paraId="686F32C1" w14:textId="21B6BCD2"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Конкретність</w:t>
            </w:r>
          </w:p>
        </w:tc>
        <w:tc>
          <w:tcPr>
            <w:tcW w:w="1903" w:type="dxa"/>
            <w:gridSpan w:val="4"/>
            <w:vMerge w:val="restart"/>
            <w:tcBorders>
              <w:top w:val="single" w:sz="18" w:space="0" w:color="FFFFFF"/>
              <w:left w:val="single" w:sz="18" w:space="0" w:color="FFFFFF"/>
              <w:right w:val="single" w:sz="18" w:space="0" w:color="FFFFFF"/>
            </w:tcBorders>
            <w:shd w:val="clear" w:color="auto" w:fill="FBD4B4"/>
          </w:tcPr>
          <w:p w14:paraId="0CFB174B" w14:textId="2E4D86D5"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Відповідність цінностям ПВУ (як сформульовано)</w:t>
            </w:r>
          </w:p>
        </w:tc>
        <w:tc>
          <w:tcPr>
            <w:tcW w:w="1473" w:type="dxa"/>
            <w:gridSpan w:val="4"/>
            <w:vMerge w:val="restart"/>
            <w:tcBorders>
              <w:top w:val="single" w:sz="18" w:space="0" w:color="FFFFFF"/>
              <w:left w:val="single" w:sz="18" w:space="0" w:color="FFFFFF"/>
              <w:right w:val="single" w:sz="18" w:space="0" w:color="FFFFFF"/>
            </w:tcBorders>
            <w:shd w:val="clear" w:color="auto" w:fill="CCC0D9"/>
          </w:tcPr>
          <w:p w14:paraId="17B9516B" w14:textId="2F3DCA35"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Потенційний вплив</w:t>
            </w:r>
          </w:p>
        </w:tc>
        <w:tc>
          <w:tcPr>
            <w:tcW w:w="974" w:type="dxa"/>
            <w:gridSpan w:val="2"/>
            <w:vMerge w:val="restart"/>
            <w:tcBorders>
              <w:top w:val="single" w:sz="18" w:space="0" w:color="FFFFFF"/>
              <w:left w:val="single" w:sz="18" w:space="0" w:color="FFFFFF"/>
              <w:right w:val="single" w:sz="2" w:space="0" w:color="FFFFFF"/>
            </w:tcBorders>
            <w:shd w:val="clear" w:color="auto" w:fill="B8CCE4"/>
          </w:tcPr>
          <w:p w14:paraId="3B75400D" w14:textId="73154702"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Стан вико-нання</w:t>
            </w:r>
          </w:p>
        </w:tc>
        <w:tc>
          <w:tcPr>
            <w:tcW w:w="920"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1C2705D2" w14:textId="726CD734"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Про-міжний</w:t>
            </w:r>
          </w:p>
        </w:tc>
        <w:tc>
          <w:tcPr>
            <w:tcW w:w="1871" w:type="dxa"/>
            <w:gridSpan w:val="5"/>
            <w:vMerge w:val="restart"/>
            <w:tcBorders>
              <w:top w:val="single" w:sz="18" w:space="0" w:color="FFFFFF"/>
              <w:left w:val="single" w:sz="18" w:space="0" w:color="FFFFFF"/>
              <w:right w:val="single" w:sz="18" w:space="0" w:color="FFFFFF"/>
            </w:tcBorders>
            <w:shd w:val="clear" w:color="auto" w:fill="D99594"/>
          </w:tcPr>
          <w:p w14:paraId="20170DA0" w14:textId="23EA0D4B"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Чи відкрило це уряд?</w:t>
            </w:r>
          </w:p>
        </w:tc>
      </w:tr>
      <w:tr w:rsidR="009C0C84" w:rsidRPr="00257F44" w14:paraId="1706D759" w14:textId="77777777" w:rsidTr="00B223BA">
        <w:trPr>
          <w:trHeight w:val="373"/>
        </w:trPr>
        <w:tc>
          <w:tcPr>
            <w:tcW w:w="1474" w:type="dxa"/>
            <w:vMerge/>
            <w:tcBorders>
              <w:left w:val="single" w:sz="4" w:space="0" w:color="FFFFFF"/>
              <w:right w:val="single" w:sz="18" w:space="0" w:color="FFFFFF"/>
            </w:tcBorders>
            <w:shd w:val="clear" w:color="auto" w:fill="000000"/>
          </w:tcPr>
          <w:p w14:paraId="569CC82A" w14:textId="77777777" w:rsidR="002A5063" w:rsidRPr="00257F44" w:rsidRDefault="002A5063" w:rsidP="002A5063">
            <w:pPr>
              <w:rPr>
                <w:rFonts w:ascii="Gill Sans" w:hAnsi="Gill Sans" w:cs="Gill Sans"/>
                <w:color w:val="FFFFFF" w:themeColor="background1"/>
                <w:sz w:val="22"/>
                <w:szCs w:val="22"/>
                <w:lang w:val="uk-UA"/>
              </w:rPr>
            </w:pPr>
          </w:p>
        </w:tc>
        <w:tc>
          <w:tcPr>
            <w:tcW w:w="1593" w:type="dxa"/>
            <w:gridSpan w:val="4"/>
            <w:vMerge/>
            <w:tcBorders>
              <w:left w:val="single" w:sz="18" w:space="0" w:color="FFFFFF"/>
              <w:bottom w:val="single" w:sz="18" w:space="0" w:color="FFFFFF"/>
              <w:right w:val="single" w:sz="18" w:space="0" w:color="FFFFFF"/>
            </w:tcBorders>
            <w:shd w:val="clear" w:color="auto" w:fill="D6E3BC"/>
          </w:tcPr>
          <w:p w14:paraId="57B7C90D" w14:textId="77777777" w:rsidR="002A5063" w:rsidRPr="00257F44" w:rsidRDefault="002A5063" w:rsidP="002A5063">
            <w:pPr>
              <w:rPr>
                <w:rFonts w:ascii="Gill Sans" w:hAnsi="Gill Sans" w:cs="Gill Sans"/>
                <w:sz w:val="22"/>
                <w:szCs w:val="22"/>
                <w:lang w:val="uk-UA"/>
              </w:rPr>
            </w:pPr>
          </w:p>
        </w:tc>
        <w:tc>
          <w:tcPr>
            <w:tcW w:w="1903" w:type="dxa"/>
            <w:gridSpan w:val="4"/>
            <w:vMerge/>
            <w:tcBorders>
              <w:left w:val="single" w:sz="18" w:space="0" w:color="FFFFFF"/>
              <w:bottom w:val="single" w:sz="18" w:space="0" w:color="FFFFFF"/>
              <w:right w:val="single" w:sz="18" w:space="0" w:color="FFFFFF"/>
            </w:tcBorders>
            <w:shd w:val="clear" w:color="auto" w:fill="FBD4B4"/>
          </w:tcPr>
          <w:p w14:paraId="40A8D0BD" w14:textId="77777777" w:rsidR="002A5063" w:rsidRPr="00257F44" w:rsidRDefault="002A5063" w:rsidP="002A5063">
            <w:pPr>
              <w:rPr>
                <w:rFonts w:ascii="Gill Sans" w:hAnsi="Gill Sans" w:cs="Gill Sans"/>
                <w:sz w:val="22"/>
                <w:szCs w:val="22"/>
                <w:lang w:val="uk-UA"/>
              </w:rPr>
            </w:pPr>
          </w:p>
        </w:tc>
        <w:tc>
          <w:tcPr>
            <w:tcW w:w="1473" w:type="dxa"/>
            <w:gridSpan w:val="4"/>
            <w:vMerge/>
            <w:tcBorders>
              <w:left w:val="single" w:sz="18" w:space="0" w:color="FFFFFF"/>
              <w:bottom w:val="single" w:sz="18" w:space="0" w:color="FFFFFF"/>
              <w:right w:val="single" w:sz="18" w:space="0" w:color="FFFFFF"/>
            </w:tcBorders>
            <w:shd w:val="clear" w:color="auto" w:fill="CCC0D9"/>
          </w:tcPr>
          <w:p w14:paraId="275CB469" w14:textId="77777777" w:rsidR="002A5063" w:rsidRPr="00257F44" w:rsidRDefault="002A5063" w:rsidP="002A5063">
            <w:pPr>
              <w:rPr>
                <w:rFonts w:ascii="Gill Sans" w:hAnsi="Gill Sans" w:cs="Gill Sans"/>
                <w:sz w:val="22"/>
                <w:szCs w:val="22"/>
                <w:lang w:val="uk-UA"/>
              </w:rPr>
            </w:pPr>
          </w:p>
        </w:tc>
        <w:tc>
          <w:tcPr>
            <w:tcW w:w="974" w:type="dxa"/>
            <w:gridSpan w:val="2"/>
            <w:vMerge/>
            <w:tcBorders>
              <w:left w:val="single" w:sz="18" w:space="0" w:color="FFFFFF"/>
              <w:bottom w:val="single" w:sz="18" w:space="0" w:color="FFFFFF"/>
              <w:right w:val="single" w:sz="2" w:space="0" w:color="FFFFFF"/>
            </w:tcBorders>
            <w:shd w:val="clear" w:color="auto" w:fill="B8CCE4"/>
          </w:tcPr>
          <w:p w14:paraId="2A81DA24" w14:textId="77777777" w:rsidR="002A5063" w:rsidRPr="00257F44" w:rsidRDefault="002A5063" w:rsidP="002A5063">
            <w:pPr>
              <w:rPr>
                <w:rFonts w:ascii="Gill Sans" w:hAnsi="Gill Sans" w:cs="Gill Sans"/>
                <w:sz w:val="22"/>
                <w:szCs w:val="22"/>
                <w:lang w:val="uk-UA"/>
              </w:rPr>
            </w:pPr>
          </w:p>
        </w:tc>
        <w:tc>
          <w:tcPr>
            <w:tcW w:w="920"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529A612E" w14:textId="31E08F7E" w:rsidR="002A5063" w:rsidRPr="00257F44" w:rsidRDefault="00984830" w:rsidP="002A5063">
            <w:pPr>
              <w:rPr>
                <w:rFonts w:ascii="Gill Sans" w:hAnsi="Gill Sans" w:cs="Gill Sans"/>
                <w:sz w:val="20"/>
                <w:szCs w:val="20"/>
                <w:lang w:val="uk-UA"/>
              </w:rPr>
            </w:pPr>
            <w:r w:rsidRPr="00257F44">
              <w:rPr>
                <w:rFonts w:ascii="Gill Sans" w:hAnsi="Gill Sans" w:cs="Gill Sans"/>
                <w:sz w:val="20"/>
                <w:szCs w:val="20"/>
                <w:lang w:val="uk-UA"/>
              </w:rPr>
              <w:t>Підсум-ковий</w:t>
            </w:r>
          </w:p>
        </w:tc>
        <w:tc>
          <w:tcPr>
            <w:tcW w:w="1871" w:type="dxa"/>
            <w:gridSpan w:val="5"/>
            <w:vMerge/>
            <w:tcBorders>
              <w:left w:val="single" w:sz="18" w:space="0" w:color="FFFFFF"/>
              <w:bottom w:val="single" w:sz="18" w:space="0" w:color="FFFFFF"/>
              <w:right w:val="single" w:sz="18" w:space="0" w:color="FFFFFF"/>
            </w:tcBorders>
            <w:shd w:val="clear" w:color="auto" w:fill="D99594"/>
          </w:tcPr>
          <w:p w14:paraId="078F1435" w14:textId="77777777" w:rsidR="002A5063" w:rsidRPr="00257F44" w:rsidRDefault="002A5063" w:rsidP="002A5063">
            <w:pPr>
              <w:rPr>
                <w:rFonts w:ascii="Gill Sans" w:hAnsi="Gill Sans" w:cs="Gill Sans"/>
                <w:sz w:val="22"/>
                <w:szCs w:val="22"/>
                <w:lang w:val="uk-UA"/>
              </w:rPr>
            </w:pPr>
          </w:p>
        </w:tc>
      </w:tr>
      <w:tr w:rsidR="00984830" w:rsidRPr="00257F44" w14:paraId="7FAD8037" w14:textId="77777777" w:rsidTr="00984830">
        <w:trPr>
          <w:cantSplit/>
          <w:trHeight w:val="2336"/>
        </w:trPr>
        <w:tc>
          <w:tcPr>
            <w:tcW w:w="1474" w:type="dxa"/>
            <w:vMerge/>
            <w:tcBorders>
              <w:left w:val="single" w:sz="4" w:space="0" w:color="FFFFFF"/>
              <w:bottom w:val="single" w:sz="18" w:space="0" w:color="FFFFFF"/>
              <w:right w:val="single" w:sz="18" w:space="0" w:color="FFFFFF"/>
            </w:tcBorders>
            <w:shd w:val="clear" w:color="auto" w:fill="000000"/>
          </w:tcPr>
          <w:p w14:paraId="7C803D9B" w14:textId="77777777" w:rsidR="00984830" w:rsidRPr="00257F44" w:rsidRDefault="00984830" w:rsidP="00984830">
            <w:pPr>
              <w:rPr>
                <w:rFonts w:ascii="Gill Sans" w:hAnsi="Gill Sans" w:cs="Gill Sans"/>
                <w:color w:val="FFFFFF" w:themeColor="background1"/>
                <w:sz w:val="22"/>
                <w:szCs w:val="22"/>
                <w:lang w:val="uk-UA"/>
              </w:rPr>
            </w:pPr>
          </w:p>
        </w:tc>
        <w:tc>
          <w:tcPr>
            <w:tcW w:w="395"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5EC86010" w14:textId="7178EE91"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Відсутня</w:t>
            </w:r>
          </w:p>
        </w:tc>
        <w:tc>
          <w:tcPr>
            <w:tcW w:w="507"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481A3049" w14:textId="0D7057C0"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Низька</w:t>
            </w:r>
          </w:p>
        </w:tc>
        <w:tc>
          <w:tcPr>
            <w:tcW w:w="345"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2FBB3EA1" w14:textId="094F1271"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Середня</w:t>
            </w:r>
          </w:p>
        </w:tc>
        <w:tc>
          <w:tcPr>
            <w:tcW w:w="346"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3D5E85B9" w14:textId="79052090"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Висока</w:t>
            </w:r>
          </w:p>
        </w:tc>
        <w:tc>
          <w:tcPr>
            <w:tcW w:w="368"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6E3CDEE0" w14:textId="47934F03"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Доступ до інформації</w:t>
            </w:r>
          </w:p>
        </w:tc>
        <w:tc>
          <w:tcPr>
            <w:tcW w:w="367"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303F1AF5" w14:textId="4C6BC917"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Громадська участь</w:t>
            </w:r>
          </w:p>
        </w:tc>
        <w:tc>
          <w:tcPr>
            <w:tcW w:w="368"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7FF9EBE9" w14:textId="67CEEB81"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Підзвітність влади</w:t>
            </w:r>
          </w:p>
        </w:tc>
        <w:tc>
          <w:tcPr>
            <w:tcW w:w="800"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31DC51B7" w14:textId="5A0BDCBF"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Технології та інновації для прозорості й підзвітності</w:t>
            </w:r>
          </w:p>
        </w:tc>
        <w:tc>
          <w:tcPr>
            <w:tcW w:w="366"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6C37ADEC" w14:textId="3BC0DDC2"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Жодного</w:t>
            </w:r>
          </w:p>
        </w:tc>
        <w:tc>
          <w:tcPr>
            <w:tcW w:w="343"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2F182BC6" w14:textId="615FC834"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Незначний</w:t>
            </w:r>
          </w:p>
        </w:tc>
        <w:tc>
          <w:tcPr>
            <w:tcW w:w="421"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4D541A47" w14:textId="650A7189"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Помірний</w:t>
            </w:r>
          </w:p>
        </w:tc>
        <w:tc>
          <w:tcPr>
            <w:tcW w:w="343"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2E80FD58" w14:textId="45D6D67F"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Трансформуючий</w:t>
            </w:r>
          </w:p>
        </w:tc>
        <w:tc>
          <w:tcPr>
            <w:tcW w:w="553"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2583F3DC" w14:textId="4DCA80A1"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Не розпочато</w:t>
            </w:r>
          </w:p>
        </w:tc>
        <w:tc>
          <w:tcPr>
            <w:tcW w:w="421"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522EFF0F" w14:textId="08EEFC85"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Обмежене</w:t>
            </w:r>
          </w:p>
        </w:tc>
        <w:tc>
          <w:tcPr>
            <w:tcW w:w="421"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6FFBCEDE" w14:textId="45289B97"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Значне</w:t>
            </w:r>
          </w:p>
        </w:tc>
        <w:tc>
          <w:tcPr>
            <w:tcW w:w="499"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2A3C147C" w14:textId="291B3075"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Повне</w:t>
            </w:r>
          </w:p>
        </w:tc>
        <w:tc>
          <w:tcPr>
            <w:tcW w:w="376"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5DEA9A02" w14:textId="1C78F9AF"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Погіршило</w:t>
            </w:r>
          </w:p>
        </w:tc>
        <w:tc>
          <w:tcPr>
            <w:tcW w:w="388"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C232B14" w14:textId="32848F23"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Не змінило</w:t>
            </w:r>
          </w:p>
        </w:tc>
        <w:tc>
          <w:tcPr>
            <w:tcW w:w="343"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C384468" w14:textId="54F845C8"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Обмежено</w:t>
            </w:r>
          </w:p>
        </w:tc>
        <w:tc>
          <w:tcPr>
            <w:tcW w:w="343"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55A50EB7" w14:textId="50941E00"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Значною мірою</w:t>
            </w:r>
          </w:p>
        </w:tc>
        <w:tc>
          <w:tcPr>
            <w:tcW w:w="421"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38326084" w14:textId="572EF066" w:rsidR="00984830" w:rsidRPr="00257F44" w:rsidRDefault="00984830" w:rsidP="00984830">
            <w:pPr>
              <w:rPr>
                <w:rFonts w:ascii="Gill Sans" w:hAnsi="Gill Sans" w:cs="Gill Sans"/>
                <w:sz w:val="22"/>
                <w:szCs w:val="22"/>
                <w:lang w:val="uk-UA"/>
              </w:rPr>
            </w:pPr>
            <w:r w:rsidRPr="00257F44">
              <w:rPr>
                <w:rFonts w:ascii="Gill Sans" w:hAnsi="Gill Sans" w:cs="Gill Sans"/>
                <w:sz w:val="20"/>
                <w:szCs w:val="20"/>
                <w:lang w:val="uk-UA"/>
              </w:rPr>
              <w:t>Визначною мірою</w:t>
            </w:r>
          </w:p>
        </w:tc>
      </w:tr>
      <w:tr w:rsidR="000D183E" w:rsidRPr="00257F44" w14:paraId="621662FC" w14:textId="77777777" w:rsidTr="00B223BA">
        <w:trPr>
          <w:trHeight w:val="340"/>
        </w:trPr>
        <w:tc>
          <w:tcPr>
            <w:tcW w:w="1474" w:type="dxa"/>
            <w:vMerge w:val="restart"/>
            <w:tcBorders>
              <w:top w:val="single" w:sz="18" w:space="0" w:color="FFFFFF"/>
              <w:left w:val="single" w:sz="4" w:space="0" w:color="FFFFFF"/>
            </w:tcBorders>
            <w:shd w:val="clear" w:color="auto" w:fill="000000"/>
          </w:tcPr>
          <w:p w14:paraId="3E1CBD22" w14:textId="247C5300" w:rsidR="00744206" w:rsidRPr="00257F44" w:rsidRDefault="00744206" w:rsidP="002A5063">
            <w:pPr>
              <w:rPr>
                <w:rFonts w:ascii="Gill Sans" w:hAnsi="Gill Sans" w:cs="Gill Sans"/>
                <w:color w:val="FFFFFF" w:themeColor="background1"/>
                <w:sz w:val="22"/>
                <w:szCs w:val="22"/>
                <w:lang w:val="uk-UA"/>
              </w:rPr>
            </w:pPr>
            <w:r w:rsidRPr="00257F44">
              <w:rPr>
                <w:rFonts w:ascii="Gill Sans" w:hAnsi="Gill Sans" w:cs="Gill Sans"/>
                <w:color w:val="FFFFFF" w:themeColor="background1"/>
                <w:sz w:val="22"/>
                <w:szCs w:val="22"/>
                <w:lang w:val="uk-UA"/>
              </w:rPr>
              <w:t xml:space="preserve">14. </w:t>
            </w:r>
            <w:r w:rsidR="00773967" w:rsidRPr="00257F44">
              <w:rPr>
                <w:rFonts w:ascii="Gill Sans" w:hAnsi="Gill Sans" w:cs="Gill Sans"/>
                <w:color w:val="FFFFFF" w:themeColor="background1"/>
                <w:sz w:val="22"/>
                <w:szCs w:val="22"/>
                <w:lang w:val="uk-UA"/>
              </w:rPr>
              <w:t>Впоряд-кувати плату за надання адміністра-тивних послуг</w:t>
            </w:r>
          </w:p>
        </w:tc>
        <w:tc>
          <w:tcPr>
            <w:tcW w:w="395" w:type="dxa"/>
            <w:vMerge w:val="restart"/>
            <w:tcBorders>
              <w:top w:val="single" w:sz="18" w:space="0" w:color="FFFFFF"/>
              <w:right w:val="single" w:sz="2" w:space="0" w:color="FFFFFF"/>
            </w:tcBorders>
            <w:shd w:val="clear" w:color="auto" w:fill="D6E3BC"/>
          </w:tcPr>
          <w:p w14:paraId="6F90A4A1" w14:textId="77777777" w:rsidR="00744206" w:rsidRPr="00257F44" w:rsidRDefault="00744206" w:rsidP="002A5063">
            <w:pPr>
              <w:rPr>
                <w:rFonts w:ascii="Gill Sans" w:hAnsi="Gill Sans" w:cs="Gill Sans"/>
                <w:sz w:val="22"/>
                <w:szCs w:val="22"/>
                <w:lang w:val="uk-UA"/>
              </w:rPr>
            </w:pPr>
          </w:p>
        </w:tc>
        <w:tc>
          <w:tcPr>
            <w:tcW w:w="507" w:type="dxa"/>
            <w:vMerge w:val="restart"/>
            <w:tcBorders>
              <w:top w:val="single" w:sz="18" w:space="0" w:color="FFFFFF"/>
              <w:left w:val="single" w:sz="2" w:space="0" w:color="FFFFFF"/>
              <w:right w:val="single" w:sz="2" w:space="0" w:color="FFFFFF"/>
            </w:tcBorders>
            <w:shd w:val="clear" w:color="auto" w:fill="D6E3BC"/>
          </w:tcPr>
          <w:p w14:paraId="1B08A82E" w14:textId="77777777" w:rsidR="00744206" w:rsidRPr="00257F44" w:rsidRDefault="00744206" w:rsidP="002A5063">
            <w:pPr>
              <w:rPr>
                <w:rFonts w:ascii="Gill Sans" w:hAnsi="Gill Sans" w:cs="Gill Sans"/>
                <w:sz w:val="22"/>
                <w:szCs w:val="22"/>
                <w:lang w:val="uk-UA"/>
              </w:rPr>
            </w:pPr>
          </w:p>
        </w:tc>
        <w:tc>
          <w:tcPr>
            <w:tcW w:w="345" w:type="dxa"/>
            <w:vMerge w:val="restart"/>
            <w:tcBorders>
              <w:top w:val="single" w:sz="18" w:space="0" w:color="FFFFFF"/>
              <w:left w:val="single" w:sz="2" w:space="0" w:color="FFFFFF"/>
              <w:right w:val="single" w:sz="2" w:space="0" w:color="FFFFFF"/>
            </w:tcBorders>
            <w:shd w:val="clear" w:color="auto" w:fill="D6E3BC"/>
          </w:tcPr>
          <w:p w14:paraId="3628B192" w14:textId="77777777" w:rsidR="00744206" w:rsidRPr="00257F44" w:rsidRDefault="00744206" w:rsidP="002A5063">
            <w:pPr>
              <w:rPr>
                <w:rFonts w:ascii="Gill Sans" w:hAnsi="Gill Sans" w:cs="Gill Sans"/>
                <w:sz w:val="22"/>
                <w:szCs w:val="22"/>
                <w:lang w:val="uk-UA"/>
              </w:rPr>
            </w:pPr>
          </w:p>
        </w:tc>
        <w:tc>
          <w:tcPr>
            <w:tcW w:w="346" w:type="dxa"/>
            <w:vMerge w:val="restart"/>
            <w:tcBorders>
              <w:top w:val="single" w:sz="18" w:space="0" w:color="FFFFFF"/>
              <w:left w:val="single" w:sz="2" w:space="0" w:color="FFFFFF"/>
              <w:right w:val="single" w:sz="18" w:space="0" w:color="FFFFFF"/>
            </w:tcBorders>
            <w:shd w:val="clear" w:color="auto" w:fill="D6E3BC"/>
          </w:tcPr>
          <w:p w14:paraId="5231051B" w14:textId="77777777" w:rsidR="00744206" w:rsidRPr="00257F44" w:rsidRDefault="00744206" w:rsidP="002A5063">
            <w:pP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1903" w:type="dxa"/>
            <w:gridSpan w:val="4"/>
            <w:vMerge w:val="restart"/>
            <w:tcBorders>
              <w:top w:val="single" w:sz="18" w:space="0" w:color="FFFFFF"/>
              <w:left w:val="single" w:sz="2" w:space="0" w:color="FFFFFF"/>
              <w:right w:val="single" w:sz="18" w:space="0" w:color="FFFFFF"/>
            </w:tcBorders>
            <w:shd w:val="clear" w:color="auto" w:fill="FBD4B4"/>
          </w:tcPr>
          <w:p w14:paraId="03E823BE" w14:textId="57353DC7" w:rsidR="00744206" w:rsidRPr="00257F44" w:rsidRDefault="00773967" w:rsidP="00744206">
            <w:pPr>
              <w:jc w:val="center"/>
              <w:rPr>
                <w:rFonts w:ascii="Gill Sans" w:hAnsi="Gill Sans" w:cs="Gill Sans"/>
                <w:noProof/>
                <w:sz w:val="22"/>
                <w:szCs w:val="22"/>
                <w:lang w:val="uk-UA"/>
              </w:rPr>
            </w:pPr>
            <w:r w:rsidRPr="00257F44">
              <w:rPr>
                <w:rFonts w:ascii="Gill Sans" w:eastAsia="MS Mincho" w:hAnsi="Gill Sans" w:cs="Gill Sans"/>
                <w:noProof/>
                <w:sz w:val="22"/>
                <w:szCs w:val="22"/>
                <w:lang w:val="uk-UA"/>
              </w:rPr>
              <w:t>Незрозуміло</w:t>
            </w:r>
          </w:p>
        </w:tc>
        <w:tc>
          <w:tcPr>
            <w:tcW w:w="366" w:type="dxa"/>
            <w:vMerge w:val="restart"/>
            <w:tcBorders>
              <w:top w:val="single" w:sz="18" w:space="0" w:color="FFFFFF"/>
              <w:left w:val="single" w:sz="18" w:space="0" w:color="FFFFFF"/>
              <w:right w:val="single" w:sz="2" w:space="0" w:color="FFFFFF"/>
            </w:tcBorders>
            <w:shd w:val="clear" w:color="auto" w:fill="CCC0D9"/>
          </w:tcPr>
          <w:p w14:paraId="7BAFD0C4" w14:textId="77777777" w:rsidR="00744206" w:rsidRPr="00257F44" w:rsidRDefault="00744206" w:rsidP="002A5063">
            <w:pPr>
              <w:rPr>
                <w:rFonts w:ascii="Zapf Dingbats" w:hAnsi="Zapf Dingbats" w:cs="Gill Sans"/>
                <w:sz w:val="22"/>
                <w:szCs w:val="22"/>
                <w:lang w:val="uk-UA"/>
              </w:rPr>
            </w:pPr>
          </w:p>
        </w:tc>
        <w:tc>
          <w:tcPr>
            <w:tcW w:w="343" w:type="dxa"/>
            <w:vMerge w:val="restart"/>
            <w:tcBorders>
              <w:top w:val="single" w:sz="18" w:space="0" w:color="FFFFFF"/>
              <w:left w:val="single" w:sz="2" w:space="0" w:color="FFFFFF"/>
              <w:right w:val="single" w:sz="2" w:space="0" w:color="FFFFFF"/>
            </w:tcBorders>
            <w:shd w:val="clear" w:color="auto" w:fill="CCC0D9"/>
          </w:tcPr>
          <w:p w14:paraId="22E8D781" w14:textId="3D1F7F4D" w:rsidR="00744206" w:rsidRPr="00257F44" w:rsidRDefault="00744206" w:rsidP="002A5063">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21" w:type="dxa"/>
            <w:vMerge w:val="restart"/>
            <w:tcBorders>
              <w:top w:val="single" w:sz="18" w:space="0" w:color="FFFFFF"/>
              <w:left w:val="single" w:sz="2" w:space="0" w:color="FFFFFF"/>
              <w:right w:val="single" w:sz="2" w:space="0" w:color="FFFFFF"/>
            </w:tcBorders>
            <w:shd w:val="clear" w:color="auto" w:fill="CCC0D9"/>
          </w:tcPr>
          <w:p w14:paraId="59A043B5" w14:textId="7B4264BC" w:rsidR="00744206" w:rsidRPr="00257F44" w:rsidRDefault="00744206" w:rsidP="002A5063">
            <w:pPr>
              <w:rPr>
                <w:rFonts w:ascii="Zapf Dingbats" w:hAnsi="Zapf Dingbats" w:cs="Gill Sans"/>
                <w:noProof/>
                <w:sz w:val="22"/>
                <w:szCs w:val="22"/>
                <w:lang w:val="uk-UA"/>
              </w:rPr>
            </w:pPr>
          </w:p>
        </w:tc>
        <w:tc>
          <w:tcPr>
            <w:tcW w:w="343" w:type="dxa"/>
            <w:vMerge w:val="restart"/>
            <w:tcBorders>
              <w:top w:val="single" w:sz="18" w:space="0" w:color="FFFFFF"/>
              <w:left w:val="single" w:sz="2" w:space="0" w:color="FFFFFF"/>
              <w:right w:val="single" w:sz="18" w:space="0" w:color="FFFFFF"/>
            </w:tcBorders>
            <w:shd w:val="clear" w:color="auto" w:fill="CCC0D9"/>
          </w:tcPr>
          <w:p w14:paraId="74525A68" w14:textId="77777777" w:rsidR="00744206" w:rsidRPr="00257F44" w:rsidRDefault="00744206" w:rsidP="002A5063">
            <w:pPr>
              <w:rPr>
                <w:rFonts w:ascii="Zapf Dingbats" w:hAnsi="Zapf Dingbats" w:cs="Gill Sans"/>
                <w:sz w:val="22"/>
                <w:szCs w:val="22"/>
                <w:lang w:val="uk-UA"/>
              </w:rPr>
            </w:pPr>
          </w:p>
        </w:tc>
        <w:tc>
          <w:tcPr>
            <w:tcW w:w="553"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166337F4" w14:textId="77777777" w:rsidR="00744206" w:rsidRPr="00257F44" w:rsidRDefault="00744206" w:rsidP="002A5063">
            <w:pPr>
              <w:rPr>
                <w:rFonts w:ascii="Zapf Dingbats" w:hAnsi="Zapf Dingbats" w:cs="Gill Sans"/>
                <w:sz w:val="22"/>
                <w:szCs w:val="22"/>
                <w:lang w:val="uk-UA"/>
              </w:rPr>
            </w:pPr>
          </w:p>
        </w:tc>
        <w:tc>
          <w:tcPr>
            <w:tcW w:w="421"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77663BF7" w14:textId="473024E5" w:rsidR="00744206" w:rsidRPr="00257F44" w:rsidRDefault="00744206" w:rsidP="002A5063">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21"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28177901" w14:textId="77777777" w:rsidR="00744206" w:rsidRPr="00257F44" w:rsidRDefault="00744206" w:rsidP="002A5063">
            <w:pPr>
              <w:rPr>
                <w:rFonts w:ascii="Zapf Dingbats" w:hAnsi="Zapf Dingbats" w:cs="Gill Sans"/>
                <w:sz w:val="22"/>
                <w:szCs w:val="22"/>
                <w:lang w:val="uk-UA"/>
              </w:rPr>
            </w:pPr>
          </w:p>
        </w:tc>
        <w:tc>
          <w:tcPr>
            <w:tcW w:w="499"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2789E206" w14:textId="1D04513E" w:rsidR="00744206" w:rsidRPr="00257F44" w:rsidRDefault="00744206" w:rsidP="002A5063">
            <w:pPr>
              <w:rPr>
                <w:rFonts w:ascii="Gill Sans" w:hAnsi="Gill Sans" w:cs="Gill Sans"/>
                <w:sz w:val="22"/>
                <w:szCs w:val="22"/>
                <w:lang w:val="uk-UA"/>
              </w:rPr>
            </w:pPr>
          </w:p>
        </w:tc>
        <w:tc>
          <w:tcPr>
            <w:tcW w:w="376" w:type="dxa"/>
            <w:vMerge w:val="restart"/>
            <w:tcBorders>
              <w:top w:val="single" w:sz="18" w:space="0" w:color="FFFFFF"/>
              <w:left w:val="single" w:sz="18" w:space="0" w:color="FFFFFF"/>
              <w:right w:val="single" w:sz="2" w:space="0" w:color="FFFFFF"/>
            </w:tcBorders>
            <w:shd w:val="clear" w:color="auto" w:fill="D99594"/>
          </w:tcPr>
          <w:p w14:paraId="6FB0BEAB" w14:textId="77777777" w:rsidR="00744206" w:rsidRPr="00257F44" w:rsidRDefault="00744206" w:rsidP="002A5063">
            <w:pPr>
              <w:rPr>
                <w:rFonts w:ascii="Gill Sans" w:hAnsi="Gill Sans" w:cs="Gill Sans"/>
                <w:sz w:val="22"/>
                <w:szCs w:val="22"/>
                <w:lang w:val="uk-UA"/>
              </w:rPr>
            </w:pPr>
          </w:p>
        </w:tc>
        <w:tc>
          <w:tcPr>
            <w:tcW w:w="388" w:type="dxa"/>
            <w:vMerge w:val="restart"/>
            <w:tcBorders>
              <w:top w:val="single" w:sz="18" w:space="0" w:color="FFFFFF"/>
              <w:left w:val="single" w:sz="2" w:space="0" w:color="FFFFFF"/>
              <w:right w:val="single" w:sz="2" w:space="0" w:color="FFFFFF"/>
            </w:tcBorders>
            <w:shd w:val="clear" w:color="auto" w:fill="D99594"/>
          </w:tcPr>
          <w:p w14:paraId="6A8F92B1" w14:textId="0EDB08DA" w:rsidR="00744206" w:rsidRPr="00257F44" w:rsidRDefault="00540420" w:rsidP="002A5063">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43" w:type="dxa"/>
            <w:vMerge w:val="restart"/>
            <w:tcBorders>
              <w:top w:val="single" w:sz="18" w:space="0" w:color="FFFFFF"/>
              <w:left w:val="single" w:sz="2" w:space="0" w:color="FFFFFF"/>
              <w:right w:val="single" w:sz="2" w:space="0" w:color="FFFFFF"/>
            </w:tcBorders>
            <w:shd w:val="clear" w:color="auto" w:fill="D99594"/>
          </w:tcPr>
          <w:p w14:paraId="20FB71C9" w14:textId="7115B1AC" w:rsidR="00744206" w:rsidRPr="00257F44" w:rsidRDefault="00744206" w:rsidP="002A5063">
            <w:pPr>
              <w:rPr>
                <w:rFonts w:ascii="Gill Sans" w:hAnsi="Gill Sans" w:cs="Gill Sans"/>
                <w:sz w:val="22"/>
                <w:szCs w:val="22"/>
                <w:lang w:val="uk-UA"/>
              </w:rPr>
            </w:pPr>
          </w:p>
        </w:tc>
        <w:tc>
          <w:tcPr>
            <w:tcW w:w="343" w:type="dxa"/>
            <w:vMerge w:val="restart"/>
            <w:tcBorders>
              <w:top w:val="single" w:sz="18" w:space="0" w:color="FFFFFF"/>
              <w:left w:val="single" w:sz="2" w:space="0" w:color="FFFFFF"/>
              <w:right w:val="single" w:sz="2" w:space="0" w:color="FFFFFF"/>
            </w:tcBorders>
            <w:shd w:val="clear" w:color="auto" w:fill="D99594"/>
          </w:tcPr>
          <w:p w14:paraId="6948EB8E" w14:textId="77777777" w:rsidR="00744206" w:rsidRPr="00257F44" w:rsidRDefault="00744206" w:rsidP="002A5063">
            <w:pPr>
              <w:rPr>
                <w:rFonts w:ascii="Gill Sans" w:hAnsi="Gill Sans" w:cs="Gill Sans"/>
                <w:noProof/>
                <w:sz w:val="22"/>
                <w:szCs w:val="22"/>
                <w:lang w:val="uk-UA"/>
              </w:rPr>
            </w:pPr>
          </w:p>
        </w:tc>
        <w:tc>
          <w:tcPr>
            <w:tcW w:w="421" w:type="dxa"/>
            <w:vMerge w:val="restart"/>
            <w:tcBorders>
              <w:top w:val="single" w:sz="18" w:space="0" w:color="FFFFFF"/>
              <w:left w:val="single" w:sz="2" w:space="0" w:color="FFFFFF"/>
              <w:right w:val="single" w:sz="18" w:space="0" w:color="FFFFFF"/>
            </w:tcBorders>
            <w:shd w:val="clear" w:color="auto" w:fill="D99594"/>
          </w:tcPr>
          <w:p w14:paraId="2D81A7FD" w14:textId="77777777" w:rsidR="00744206" w:rsidRPr="00257F44" w:rsidRDefault="00744206" w:rsidP="002A5063">
            <w:pPr>
              <w:rPr>
                <w:rFonts w:ascii="Gill Sans" w:hAnsi="Gill Sans" w:cs="Gill Sans"/>
                <w:sz w:val="22"/>
                <w:szCs w:val="22"/>
                <w:lang w:val="uk-UA"/>
              </w:rPr>
            </w:pPr>
          </w:p>
        </w:tc>
      </w:tr>
      <w:tr w:rsidR="000D183E" w:rsidRPr="00257F44" w14:paraId="368BC945" w14:textId="77777777" w:rsidTr="00B223BA">
        <w:trPr>
          <w:trHeight w:val="340"/>
        </w:trPr>
        <w:tc>
          <w:tcPr>
            <w:tcW w:w="1474" w:type="dxa"/>
            <w:vMerge/>
            <w:tcBorders>
              <w:left w:val="single" w:sz="4" w:space="0" w:color="FFFFFF"/>
            </w:tcBorders>
            <w:shd w:val="clear" w:color="auto" w:fill="000000"/>
          </w:tcPr>
          <w:p w14:paraId="0FE041BB" w14:textId="77777777" w:rsidR="00744206" w:rsidRPr="00257F44" w:rsidRDefault="00744206" w:rsidP="002A5063">
            <w:pPr>
              <w:rPr>
                <w:rFonts w:ascii="Gill Sans" w:hAnsi="Gill Sans" w:cs="Gill Sans"/>
                <w:color w:val="FFFFFF" w:themeColor="background1"/>
                <w:sz w:val="22"/>
                <w:szCs w:val="22"/>
                <w:lang w:val="uk-UA"/>
              </w:rPr>
            </w:pPr>
          </w:p>
        </w:tc>
        <w:tc>
          <w:tcPr>
            <w:tcW w:w="395" w:type="dxa"/>
            <w:vMerge/>
            <w:tcBorders>
              <w:right w:val="single" w:sz="2" w:space="0" w:color="FFFFFF"/>
            </w:tcBorders>
            <w:shd w:val="clear" w:color="auto" w:fill="D6E3BC"/>
          </w:tcPr>
          <w:p w14:paraId="294650CB" w14:textId="77777777" w:rsidR="00744206" w:rsidRPr="00257F44" w:rsidRDefault="00744206" w:rsidP="002A5063">
            <w:pPr>
              <w:rPr>
                <w:rFonts w:ascii="Gill Sans" w:hAnsi="Gill Sans" w:cs="Gill Sans"/>
                <w:sz w:val="22"/>
                <w:szCs w:val="22"/>
                <w:lang w:val="uk-UA"/>
              </w:rPr>
            </w:pPr>
          </w:p>
        </w:tc>
        <w:tc>
          <w:tcPr>
            <w:tcW w:w="507" w:type="dxa"/>
            <w:vMerge/>
            <w:tcBorders>
              <w:left w:val="single" w:sz="2" w:space="0" w:color="FFFFFF"/>
              <w:right w:val="single" w:sz="2" w:space="0" w:color="FFFFFF"/>
            </w:tcBorders>
            <w:shd w:val="clear" w:color="auto" w:fill="D6E3BC"/>
          </w:tcPr>
          <w:p w14:paraId="09963585" w14:textId="77777777" w:rsidR="00744206" w:rsidRPr="00257F44" w:rsidRDefault="00744206" w:rsidP="002A5063">
            <w:pPr>
              <w:rPr>
                <w:rFonts w:ascii="Gill Sans" w:hAnsi="Gill Sans" w:cs="Gill Sans"/>
                <w:sz w:val="22"/>
                <w:szCs w:val="22"/>
                <w:lang w:val="uk-UA"/>
              </w:rPr>
            </w:pPr>
          </w:p>
        </w:tc>
        <w:tc>
          <w:tcPr>
            <w:tcW w:w="345" w:type="dxa"/>
            <w:vMerge/>
            <w:tcBorders>
              <w:left w:val="single" w:sz="2" w:space="0" w:color="FFFFFF"/>
              <w:right w:val="single" w:sz="2" w:space="0" w:color="FFFFFF"/>
            </w:tcBorders>
            <w:shd w:val="clear" w:color="auto" w:fill="D6E3BC"/>
          </w:tcPr>
          <w:p w14:paraId="628FE484" w14:textId="77777777" w:rsidR="00744206" w:rsidRPr="00257F44" w:rsidRDefault="00744206" w:rsidP="002A5063">
            <w:pPr>
              <w:rPr>
                <w:rFonts w:ascii="Gill Sans" w:hAnsi="Gill Sans" w:cs="Gill Sans"/>
                <w:sz w:val="22"/>
                <w:szCs w:val="22"/>
                <w:lang w:val="uk-UA"/>
              </w:rPr>
            </w:pPr>
          </w:p>
        </w:tc>
        <w:tc>
          <w:tcPr>
            <w:tcW w:w="346" w:type="dxa"/>
            <w:vMerge/>
            <w:tcBorders>
              <w:left w:val="single" w:sz="2" w:space="0" w:color="FFFFFF"/>
              <w:right w:val="single" w:sz="18" w:space="0" w:color="FFFFFF"/>
            </w:tcBorders>
            <w:shd w:val="clear" w:color="auto" w:fill="D6E3BC"/>
          </w:tcPr>
          <w:p w14:paraId="453E7472" w14:textId="77777777" w:rsidR="00744206" w:rsidRPr="00257F44" w:rsidRDefault="00744206" w:rsidP="002A5063">
            <w:pPr>
              <w:rPr>
                <w:rFonts w:ascii="Gill Sans" w:hAnsi="Gill Sans" w:cs="Gill Sans"/>
                <w:noProof/>
                <w:sz w:val="22"/>
                <w:szCs w:val="22"/>
                <w:lang w:val="uk-UA"/>
              </w:rPr>
            </w:pPr>
          </w:p>
        </w:tc>
        <w:tc>
          <w:tcPr>
            <w:tcW w:w="1903" w:type="dxa"/>
            <w:gridSpan w:val="4"/>
            <w:vMerge/>
            <w:tcBorders>
              <w:left w:val="single" w:sz="2" w:space="0" w:color="FFFFFF"/>
              <w:right w:val="single" w:sz="18" w:space="0" w:color="FFFFFF"/>
            </w:tcBorders>
            <w:shd w:val="clear" w:color="auto" w:fill="FBD4B4"/>
          </w:tcPr>
          <w:p w14:paraId="794801C8" w14:textId="77777777" w:rsidR="00744206" w:rsidRPr="00257F44" w:rsidRDefault="00744206" w:rsidP="00744206">
            <w:pPr>
              <w:jc w:val="center"/>
              <w:rPr>
                <w:rFonts w:ascii="Gill Sans" w:hAnsi="Gill Sans" w:cs="Gill Sans"/>
                <w:sz w:val="22"/>
                <w:szCs w:val="22"/>
                <w:lang w:val="uk-UA"/>
              </w:rPr>
            </w:pPr>
          </w:p>
        </w:tc>
        <w:tc>
          <w:tcPr>
            <w:tcW w:w="366" w:type="dxa"/>
            <w:vMerge/>
            <w:tcBorders>
              <w:left w:val="single" w:sz="18" w:space="0" w:color="FFFFFF"/>
              <w:right w:val="single" w:sz="2" w:space="0" w:color="FFFFFF"/>
            </w:tcBorders>
            <w:shd w:val="clear" w:color="auto" w:fill="CCC0D9"/>
          </w:tcPr>
          <w:p w14:paraId="5A79619F" w14:textId="77777777" w:rsidR="00744206" w:rsidRPr="00257F44" w:rsidRDefault="00744206" w:rsidP="002A5063">
            <w:pPr>
              <w:rPr>
                <w:rFonts w:ascii="Zapf Dingbats" w:hAnsi="Zapf Dingbats" w:cs="Gill Sans"/>
                <w:sz w:val="22"/>
                <w:szCs w:val="22"/>
                <w:lang w:val="uk-UA"/>
              </w:rPr>
            </w:pPr>
          </w:p>
        </w:tc>
        <w:tc>
          <w:tcPr>
            <w:tcW w:w="343" w:type="dxa"/>
            <w:vMerge/>
            <w:tcBorders>
              <w:left w:val="single" w:sz="2" w:space="0" w:color="FFFFFF"/>
              <w:right w:val="single" w:sz="2" w:space="0" w:color="FFFFFF"/>
            </w:tcBorders>
            <w:shd w:val="clear" w:color="auto" w:fill="CCC0D9"/>
          </w:tcPr>
          <w:p w14:paraId="7DA2F649" w14:textId="77777777" w:rsidR="00744206" w:rsidRPr="00257F44" w:rsidRDefault="00744206" w:rsidP="002A5063">
            <w:pPr>
              <w:rPr>
                <w:rFonts w:ascii="Zapf Dingbats" w:hAnsi="Zapf Dingbats" w:cs="Gill Sans"/>
                <w:sz w:val="22"/>
                <w:szCs w:val="22"/>
                <w:lang w:val="uk-UA"/>
              </w:rPr>
            </w:pPr>
          </w:p>
        </w:tc>
        <w:tc>
          <w:tcPr>
            <w:tcW w:w="421" w:type="dxa"/>
            <w:vMerge/>
            <w:tcBorders>
              <w:left w:val="single" w:sz="2" w:space="0" w:color="FFFFFF"/>
              <w:right w:val="single" w:sz="2" w:space="0" w:color="FFFFFF"/>
            </w:tcBorders>
            <w:shd w:val="clear" w:color="auto" w:fill="CCC0D9"/>
          </w:tcPr>
          <w:p w14:paraId="6FCF5371" w14:textId="77777777" w:rsidR="00744206" w:rsidRPr="00257F44" w:rsidRDefault="00744206" w:rsidP="002A5063">
            <w:pPr>
              <w:rPr>
                <w:rFonts w:ascii="Zapf Dingbats" w:hAnsi="Zapf Dingbats" w:cs="Gill Sans"/>
                <w:noProof/>
                <w:sz w:val="22"/>
                <w:szCs w:val="22"/>
                <w:lang w:val="uk-UA"/>
              </w:rPr>
            </w:pPr>
          </w:p>
        </w:tc>
        <w:tc>
          <w:tcPr>
            <w:tcW w:w="343" w:type="dxa"/>
            <w:vMerge/>
            <w:tcBorders>
              <w:left w:val="single" w:sz="2" w:space="0" w:color="FFFFFF"/>
              <w:right w:val="single" w:sz="18" w:space="0" w:color="FFFFFF"/>
            </w:tcBorders>
            <w:shd w:val="clear" w:color="auto" w:fill="CCC0D9"/>
          </w:tcPr>
          <w:p w14:paraId="7FC0F8E1" w14:textId="77777777" w:rsidR="00744206" w:rsidRPr="00257F44" w:rsidRDefault="00744206" w:rsidP="002A5063">
            <w:pPr>
              <w:rPr>
                <w:rFonts w:ascii="Zapf Dingbats" w:hAnsi="Zapf Dingbats" w:cs="Gill Sans"/>
                <w:sz w:val="22"/>
                <w:szCs w:val="22"/>
                <w:lang w:val="uk-UA"/>
              </w:rPr>
            </w:pPr>
          </w:p>
        </w:tc>
        <w:tc>
          <w:tcPr>
            <w:tcW w:w="553" w:type="dxa"/>
            <w:tcBorders>
              <w:top w:val="single" w:sz="8" w:space="0" w:color="FFFFFF" w:themeColor="background1"/>
              <w:left w:val="single" w:sz="18" w:space="0" w:color="FFFFFF"/>
              <w:bottom w:val="single" w:sz="18" w:space="0" w:color="FFFFFF"/>
              <w:right w:val="single" w:sz="4" w:space="0" w:color="FFFFFF" w:themeColor="background1"/>
            </w:tcBorders>
            <w:shd w:val="clear" w:color="auto" w:fill="B8CCE4"/>
          </w:tcPr>
          <w:p w14:paraId="2918C00F" w14:textId="77777777" w:rsidR="00744206" w:rsidRPr="00257F44" w:rsidRDefault="00744206" w:rsidP="002A5063">
            <w:pPr>
              <w:rPr>
                <w:rFonts w:ascii="Zapf Dingbats" w:hAnsi="Zapf Dingbats" w:cs="Gill Sans"/>
                <w:sz w:val="22"/>
                <w:szCs w:val="22"/>
                <w:lang w:val="uk-UA"/>
              </w:rPr>
            </w:pPr>
          </w:p>
        </w:tc>
        <w:tc>
          <w:tcPr>
            <w:tcW w:w="421" w:type="dxa"/>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B8CCE4"/>
          </w:tcPr>
          <w:p w14:paraId="358CBDB7" w14:textId="0A95BA40" w:rsidR="00744206" w:rsidRPr="00257F44" w:rsidRDefault="00797D1E" w:rsidP="002A5063">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21" w:type="dxa"/>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B8CCE4"/>
          </w:tcPr>
          <w:p w14:paraId="7356ED25" w14:textId="77777777" w:rsidR="00744206" w:rsidRPr="00257F44" w:rsidRDefault="00744206" w:rsidP="002A5063">
            <w:pPr>
              <w:rPr>
                <w:rFonts w:ascii="Zapf Dingbats" w:hAnsi="Zapf Dingbats" w:cs="Gill Sans"/>
                <w:sz w:val="22"/>
                <w:szCs w:val="22"/>
                <w:lang w:val="uk-UA"/>
              </w:rPr>
            </w:pPr>
          </w:p>
        </w:tc>
        <w:tc>
          <w:tcPr>
            <w:tcW w:w="499" w:type="dxa"/>
            <w:tcBorders>
              <w:top w:val="single" w:sz="8" w:space="0" w:color="FFFFFF" w:themeColor="background1"/>
              <w:left w:val="single" w:sz="4" w:space="0" w:color="FFFFFF" w:themeColor="background1"/>
              <w:bottom w:val="single" w:sz="18" w:space="0" w:color="FFFFFF"/>
              <w:right w:val="single" w:sz="18" w:space="0" w:color="FFFFFF"/>
            </w:tcBorders>
            <w:shd w:val="clear" w:color="auto" w:fill="B8CCE4"/>
          </w:tcPr>
          <w:p w14:paraId="68D49236" w14:textId="49AD6827" w:rsidR="00744206" w:rsidRPr="00257F44" w:rsidRDefault="00744206" w:rsidP="002A5063">
            <w:pPr>
              <w:rPr>
                <w:rFonts w:ascii="Gill Sans" w:hAnsi="Gill Sans" w:cs="Gill Sans"/>
                <w:sz w:val="22"/>
                <w:szCs w:val="22"/>
                <w:lang w:val="uk-UA"/>
              </w:rPr>
            </w:pPr>
          </w:p>
        </w:tc>
        <w:tc>
          <w:tcPr>
            <w:tcW w:w="376" w:type="dxa"/>
            <w:vMerge/>
            <w:tcBorders>
              <w:left w:val="single" w:sz="18" w:space="0" w:color="FFFFFF"/>
              <w:right w:val="single" w:sz="2" w:space="0" w:color="FFFFFF"/>
            </w:tcBorders>
            <w:shd w:val="clear" w:color="auto" w:fill="D99594"/>
          </w:tcPr>
          <w:p w14:paraId="3DF9FF81" w14:textId="77777777" w:rsidR="00744206" w:rsidRPr="00257F44" w:rsidRDefault="00744206" w:rsidP="002A5063">
            <w:pPr>
              <w:rPr>
                <w:rFonts w:ascii="Gill Sans" w:hAnsi="Gill Sans" w:cs="Gill Sans"/>
                <w:sz w:val="22"/>
                <w:szCs w:val="22"/>
                <w:lang w:val="uk-UA"/>
              </w:rPr>
            </w:pPr>
          </w:p>
        </w:tc>
        <w:tc>
          <w:tcPr>
            <w:tcW w:w="388" w:type="dxa"/>
            <w:vMerge/>
            <w:tcBorders>
              <w:left w:val="single" w:sz="2" w:space="0" w:color="FFFFFF"/>
              <w:right w:val="single" w:sz="2" w:space="0" w:color="FFFFFF"/>
            </w:tcBorders>
            <w:shd w:val="clear" w:color="auto" w:fill="D99594"/>
          </w:tcPr>
          <w:p w14:paraId="3ACBC231" w14:textId="77777777" w:rsidR="00744206" w:rsidRPr="00257F44" w:rsidRDefault="00744206" w:rsidP="002A5063">
            <w:pPr>
              <w:rPr>
                <w:rFonts w:ascii="Gill Sans" w:hAnsi="Gill Sans" w:cs="Gill Sans"/>
                <w:sz w:val="22"/>
                <w:szCs w:val="22"/>
                <w:lang w:val="uk-UA"/>
              </w:rPr>
            </w:pPr>
          </w:p>
        </w:tc>
        <w:tc>
          <w:tcPr>
            <w:tcW w:w="343" w:type="dxa"/>
            <w:vMerge/>
            <w:tcBorders>
              <w:left w:val="single" w:sz="2" w:space="0" w:color="FFFFFF"/>
              <w:right w:val="single" w:sz="2" w:space="0" w:color="FFFFFF"/>
            </w:tcBorders>
            <w:shd w:val="clear" w:color="auto" w:fill="D99594"/>
          </w:tcPr>
          <w:p w14:paraId="35E5B2D5" w14:textId="77777777" w:rsidR="00744206" w:rsidRPr="00257F44" w:rsidRDefault="00744206" w:rsidP="002A5063">
            <w:pPr>
              <w:rPr>
                <w:rFonts w:ascii="Gill Sans" w:hAnsi="Gill Sans" w:cs="Gill Sans"/>
                <w:sz w:val="22"/>
                <w:szCs w:val="22"/>
                <w:lang w:val="uk-UA"/>
              </w:rPr>
            </w:pPr>
          </w:p>
        </w:tc>
        <w:tc>
          <w:tcPr>
            <w:tcW w:w="343" w:type="dxa"/>
            <w:vMerge/>
            <w:tcBorders>
              <w:left w:val="single" w:sz="2" w:space="0" w:color="FFFFFF"/>
              <w:right w:val="single" w:sz="2" w:space="0" w:color="FFFFFF"/>
            </w:tcBorders>
            <w:shd w:val="clear" w:color="auto" w:fill="D99594"/>
          </w:tcPr>
          <w:p w14:paraId="480A77D6" w14:textId="77777777" w:rsidR="00744206" w:rsidRPr="00257F44" w:rsidRDefault="00744206" w:rsidP="002A5063">
            <w:pPr>
              <w:rPr>
                <w:rFonts w:ascii="Gill Sans" w:hAnsi="Gill Sans" w:cs="Gill Sans"/>
                <w:noProof/>
                <w:sz w:val="22"/>
                <w:szCs w:val="22"/>
                <w:lang w:val="uk-UA"/>
              </w:rPr>
            </w:pPr>
          </w:p>
        </w:tc>
        <w:tc>
          <w:tcPr>
            <w:tcW w:w="421" w:type="dxa"/>
            <w:vMerge/>
            <w:tcBorders>
              <w:left w:val="single" w:sz="2" w:space="0" w:color="FFFFFF"/>
              <w:right w:val="single" w:sz="18" w:space="0" w:color="FFFFFF"/>
            </w:tcBorders>
            <w:shd w:val="clear" w:color="auto" w:fill="D99594"/>
          </w:tcPr>
          <w:p w14:paraId="54A41A24" w14:textId="77777777" w:rsidR="00744206" w:rsidRPr="00257F44" w:rsidRDefault="00744206" w:rsidP="002A5063">
            <w:pPr>
              <w:rPr>
                <w:rFonts w:ascii="Gill Sans" w:hAnsi="Gill Sans" w:cs="Gill Sans"/>
                <w:sz w:val="22"/>
                <w:szCs w:val="22"/>
                <w:lang w:val="uk-UA"/>
              </w:rPr>
            </w:pPr>
          </w:p>
        </w:tc>
      </w:tr>
      <w:tr w:rsidR="000D183E" w:rsidRPr="00257F44" w14:paraId="75938007" w14:textId="77777777" w:rsidTr="00B223BA">
        <w:trPr>
          <w:trHeight w:val="600"/>
        </w:trPr>
        <w:tc>
          <w:tcPr>
            <w:tcW w:w="1474" w:type="dxa"/>
            <w:vMerge w:val="restart"/>
            <w:tcBorders>
              <w:top w:val="single" w:sz="18" w:space="0" w:color="FFFFFF"/>
              <w:left w:val="single" w:sz="4" w:space="0" w:color="FFFFFF"/>
            </w:tcBorders>
            <w:shd w:val="clear" w:color="auto" w:fill="000000"/>
          </w:tcPr>
          <w:p w14:paraId="2BB52F03" w14:textId="0FF72AFD" w:rsidR="00744206" w:rsidRPr="00257F44" w:rsidRDefault="00744206" w:rsidP="002A5063">
            <w:pPr>
              <w:rPr>
                <w:rFonts w:ascii="Gill Sans" w:hAnsi="Gill Sans" w:cs="Gill Sans"/>
                <w:color w:val="FFFFFF" w:themeColor="background1"/>
                <w:sz w:val="22"/>
                <w:szCs w:val="22"/>
                <w:lang w:val="uk-UA"/>
              </w:rPr>
            </w:pPr>
            <w:r w:rsidRPr="00257F44">
              <w:rPr>
                <w:rFonts w:ascii="Gill Sans" w:hAnsi="Gill Sans" w:cs="Gill Sans"/>
                <w:color w:val="FFFFFF" w:themeColor="background1"/>
                <w:sz w:val="22"/>
                <w:szCs w:val="22"/>
                <w:lang w:val="uk-UA"/>
              </w:rPr>
              <w:t xml:space="preserve">16. </w:t>
            </w:r>
            <w:r w:rsidR="00773967" w:rsidRPr="00257F44">
              <w:rPr>
                <w:rFonts w:ascii="Gill Sans" w:hAnsi="Gill Sans" w:cs="Gill Sans"/>
                <w:color w:val="FFFFFF" w:themeColor="background1"/>
                <w:sz w:val="22"/>
                <w:szCs w:val="22"/>
                <w:lang w:val="uk-UA"/>
              </w:rPr>
              <w:t>Децентралі-зувати надання адміністра-тивних послуг</w:t>
            </w:r>
          </w:p>
        </w:tc>
        <w:tc>
          <w:tcPr>
            <w:tcW w:w="395" w:type="dxa"/>
            <w:vMerge w:val="restart"/>
            <w:tcBorders>
              <w:top w:val="single" w:sz="18" w:space="0" w:color="FFFFFF"/>
              <w:right w:val="single" w:sz="2" w:space="0" w:color="FFFFFF"/>
            </w:tcBorders>
            <w:shd w:val="clear" w:color="auto" w:fill="D6E3BC"/>
          </w:tcPr>
          <w:p w14:paraId="60D962D9" w14:textId="77777777" w:rsidR="00744206" w:rsidRPr="00257F44" w:rsidRDefault="00744206" w:rsidP="002A5063">
            <w:pPr>
              <w:rPr>
                <w:rFonts w:ascii="Gill Sans" w:hAnsi="Gill Sans" w:cs="Gill Sans"/>
                <w:sz w:val="22"/>
                <w:szCs w:val="22"/>
                <w:lang w:val="uk-UA"/>
              </w:rPr>
            </w:pPr>
          </w:p>
        </w:tc>
        <w:tc>
          <w:tcPr>
            <w:tcW w:w="507" w:type="dxa"/>
            <w:vMerge w:val="restart"/>
            <w:tcBorders>
              <w:top w:val="single" w:sz="18" w:space="0" w:color="FFFFFF"/>
              <w:left w:val="single" w:sz="2" w:space="0" w:color="FFFFFF"/>
              <w:right w:val="single" w:sz="2" w:space="0" w:color="FFFFFF"/>
            </w:tcBorders>
            <w:shd w:val="clear" w:color="auto" w:fill="D6E3BC"/>
          </w:tcPr>
          <w:p w14:paraId="0EB21A18" w14:textId="77777777" w:rsidR="00744206" w:rsidRPr="00257F44" w:rsidRDefault="00744206" w:rsidP="002A5063">
            <w:pPr>
              <w:rPr>
                <w:rFonts w:ascii="Gill Sans" w:hAnsi="Gill Sans" w:cs="Gill Sans"/>
                <w:sz w:val="22"/>
                <w:szCs w:val="22"/>
                <w:lang w:val="uk-UA"/>
              </w:rPr>
            </w:pPr>
          </w:p>
        </w:tc>
        <w:tc>
          <w:tcPr>
            <w:tcW w:w="345" w:type="dxa"/>
            <w:vMerge w:val="restart"/>
            <w:tcBorders>
              <w:top w:val="single" w:sz="18" w:space="0" w:color="FFFFFF"/>
              <w:left w:val="single" w:sz="2" w:space="0" w:color="FFFFFF"/>
              <w:right w:val="single" w:sz="2" w:space="0" w:color="FFFFFF"/>
            </w:tcBorders>
            <w:shd w:val="clear" w:color="auto" w:fill="D6E3BC"/>
          </w:tcPr>
          <w:p w14:paraId="619FB67A" w14:textId="77777777" w:rsidR="00744206" w:rsidRPr="00257F44" w:rsidRDefault="00744206" w:rsidP="002A5063">
            <w:pPr>
              <w:rPr>
                <w:rFonts w:ascii="Gill Sans" w:hAnsi="Gill Sans" w:cs="Gill Sans"/>
                <w:sz w:val="22"/>
                <w:szCs w:val="22"/>
                <w:lang w:val="uk-UA"/>
              </w:rPr>
            </w:pPr>
          </w:p>
        </w:tc>
        <w:tc>
          <w:tcPr>
            <w:tcW w:w="346" w:type="dxa"/>
            <w:vMerge w:val="restart"/>
            <w:tcBorders>
              <w:top w:val="single" w:sz="18" w:space="0" w:color="FFFFFF"/>
              <w:left w:val="single" w:sz="2" w:space="0" w:color="FFFFFF"/>
              <w:right w:val="single" w:sz="18" w:space="0" w:color="FFFFFF"/>
            </w:tcBorders>
            <w:shd w:val="clear" w:color="auto" w:fill="D6E3BC"/>
          </w:tcPr>
          <w:p w14:paraId="47284328" w14:textId="77777777" w:rsidR="00744206" w:rsidRPr="00257F44" w:rsidRDefault="00744206" w:rsidP="002A5063">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1903" w:type="dxa"/>
            <w:gridSpan w:val="4"/>
            <w:vMerge w:val="restart"/>
            <w:tcBorders>
              <w:top w:val="single" w:sz="18" w:space="0" w:color="FFFFFF"/>
              <w:left w:val="single" w:sz="2" w:space="0" w:color="FFFFFF"/>
              <w:right w:val="single" w:sz="18" w:space="0" w:color="FFFFFF"/>
            </w:tcBorders>
            <w:shd w:val="clear" w:color="auto" w:fill="FBD4B4"/>
          </w:tcPr>
          <w:p w14:paraId="64C5B5CD" w14:textId="2B3AC981" w:rsidR="00744206" w:rsidRPr="00257F44" w:rsidRDefault="00773967" w:rsidP="00744206">
            <w:pPr>
              <w:jc w:val="center"/>
              <w:rPr>
                <w:rFonts w:ascii="Gill Sans" w:hAnsi="Gill Sans" w:cs="Gill Sans"/>
                <w:sz w:val="22"/>
                <w:szCs w:val="22"/>
                <w:lang w:val="uk-UA"/>
              </w:rPr>
            </w:pPr>
            <w:r w:rsidRPr="00257F44">
              <w:rPr>
                <w:rFonts w:ascii="Gill Sans" w:eastAsia="MS Mincho" w:hAnsi="Gill Sans" w:cs="Gill Sans"/>
                <w:noProof/>
                <w:sz w:val="22"/>
                <w:szCs w:val="22"/>
                <w:lang w:val="uk-UA"/>
              </w:rPr>
              <w:t>Незрозуміло</w:t>
            </w:r>
          </w:p>
        </w:tc>
        <w:tc>
          <w:tcPr>
            <w:tcW w:w="366" w:type="dxa"/>
            <w:vMerge w:val="restart"/>
            <w:tcBorders>
              <w:top w:val="single" w:sz="18" w:space="0" w:color="FFFFFF"/>
              <w:left w:val="single" w:sz="18" w:space="0" w:color="FFFFFF"/>
              <w:right w:val="single" w:sz="2" w:space="0" w:color="FFFFFF"/>
            </w:tcBorders>
            <w:shd w:val="clear" w:color="auto" w:fill="CCC0D9"/>
          </w:tcPr>
          <w:p w14:paraId="0FDC551D" w14:textId="77777777" w:rsidR="00744206" w:rsidRPr="00257F44" w:rsidRDefault="00744206" w:rsidP="002A5063">
            <w:pPr>
              <w:rPr>
                <w:rFonts w:ascii="Gill Sans" w:hAnsi="Gill Sans" w:cs="Gill Sans"/>
                <w:sz w:val="22"/>
                <w:szCs w:val="22"/>
                <w:lang w:val="uk-UA"/>
              </w:rPr>
            </w:pPr>
          </w:p>
        </w:tc>
        <w:tc>
          <w:tcPr>
            <w:tcW w:w="343" w:type="dxa"/>
            <w:vMerge w:val="restart"/>
            <w:tcBorders>
              <w:top w:val="single" w:sz="18" w:space="0" w:color="FFFFFF"/>
              <w:left w:val="single" w:sz="2" w:space="0" w:color="FFFFFF"/>
              <w:right w:val="single" w:sz="2" w:space="0" w:color="FFFFFF"/>
            </w:tcBorders>
            <w:shd w:val="clear" w:color="auto" w:fill="CCC0D9"/>
          </w:tcPr>
          <w:p w14:paraId="12B9F2A2" w14:textId="77777777" w:rsidR="00744206" w:rsidRPr="00257F44" w:rsidRDefault="00744206" w:rsidP="002A5063">
            <w:pPr>
              <w:rPr>
                <w:rFonts w:ascii="Gill Sans" w:hAnsi="Gill Sans" w:cs="Gill Sans"/>
                <w:sz w:val="22"/>
                <w:szCs w:val="22"/>
                <w:lang w:val="uk-UA"/>
              </w:rPr>
            </w:pPr>
          </w:p>
        </w:tc>
        <w:tc>
          <w:tcPr>
            <w:tcW w:w="421" w:type="dxa"/>
            <w:vMerge w:val="restart"/>
            <w:tcBorders>
              <w:top w:val="single" w:sz="18" w:space="0" w:color="FFFFFF"/>
              <w:left w:val="single" w:sz="2" w:space="0" w:color="FFFFFF"/>
              <w:right w:val="single" w:sz="2" w:space="0" w:color="FFFFFF"/>
            </w:tcBorders>
            <w:shd w:val="clear" w:color="auto" w:fill="CCC0D9"/>
          </w:tcPr>
          <w:p w14:paraId="029DF411" w14:textId="7C638250" w:rsidR="00744206" w:rsidRPr="00257F44" w:rsidRDefault="00744206" w:rsidP="002A5063">
            <w:pPr>
              <w:rPr>
                <w:rFonts w:ascii="Zapf Dingbats" w:eastAsia="MS Mincho" w:hAnsi="Zapf Dingbats" w:cs="MS Mincho"/>
                <w:noProof/>
                <w:sz w:val="22"/>
                <w:szCs w:val="22"/>
                <w:lang w:val="uk-UA"/>
              </w:rPr>
            </w:pPr>
          </w:p>
        </w:tc>
        <w:tc>
          <w:tcPr>
            <w:tcW w:w="343" w:type="dxa"/>
            <w:vMerge w:val="restart"/>
            <w:tcBorders>
              <w:top w:val="single" w:sz="18" w:space="0" w:color="FFFFFF"/>
              <w:left w:val="single" w:sz="2" w:space="0" w:color="FFFFFF"/>
              <w:right w:val="single" w:sz="18" w:space="0" w:color="FFFFFF"/>
            </w:tcBorders>
            <w:shd w:val="clear" w:color="auto" w:fill="CCC0D9"/>
          </w:tcPr>
          <w:p w14:paraId="00A8E109" w14:textId="108B32FF" w:rsidR="00744206" w:rsidRPr="00257F44" w:rsidRDefault="00744206" w:rsidP="002A5063">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553"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69CDB3DE" w14:textId="77777777" w:rsidR="00744206" w:rsidRPr="00257F44" w:rsidRDefault="00744206" w:rsidP="002A5063">
            <w:pPr>
              <w:rPr>
                <w:rFonts w:ascii="Zapf Dingbats" w:eastAsia="MS Mincho" w:hAnsi="Zapf Dingbats" w:cs="MS Mincho"/>
                <w:noProof/>
                <w:sz w:val="22"/>
                <w:szCs w:val="22"/>
                <w:lang w:val="uk-UA"/>
              </w:rPr>
            </w:pPr>
          </w:p>
        </w:tc>
        <w:tc>
          <w:tcPr>
            <w:tcW w:w="421"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137A32D2" w14:textId="1C817597" w:rsidR="00744206" w:rsidRPr="00257F44" w:rsidRDefault="00744206" w:rsidP="002A5063">
            <w:pPr>
              <w:rPr>
                <w:rFonts w:ascii="Zapf Dingbats" w:eastAsia="MS Mincho" w:hAnsi="Zapf Dingbats" w:cs="MS Mincho"/>
                <w:noProof/>
                <w:sz w:val="22"/>
                <w:szCs w:val="22"/>
                <w:lang w:val="uk-UA"/>
              </w:rPr>
            </w:pPr>
          </w:p>
        </w:tc>
        <w:tc>
          <w:tcPr>
            <w:tcW w:w="421"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51FC6D97" w14:textId="2D88D808" w:rsidR="00744206" w:rsidRPr="00257F44" w:rsidRDefault="00744206" w:rsidP="002A5063">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499"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5C0528BF" w14:textId="77777777" w:rsidR="00744206" w:rsidRPr="00257F44" w:rsidRDefault="00744206" w:rsidP="002A5063">
            <w:pPr>
              <w:rPr>
                <w:rFonts w:ascii="Zapf Dingbats" w:eastAsia="MS Mincho" w:hAnsi="Zapf Dingbats" w:cs="MS Mincho"/>
                <w:noProof/>
                <w:sz w:val="22"/>
                <w:szCs w:val="22"/>
                <w:lang w:val="uk-UA"/>
              </w:rPr>
            </w:pPr>
          </w:p>
        </w:tc>
        <w:tc>
          <w:tcPr>
            <w:tcW w:w="376" w:type="dxa"/>
            <w:vMerge w:val="restart"/>
            <w:tcBorders>
              <w:top w:val="single" w:sz="18" w:space="0" w:color="FFFFFF"/>
              <w:left w:val="single" w:sz="18" w:space="0" w:color="FFFFFF"/>
              <w:right w:val="single" w:sz="2" w:space="0" w:color="FFFFFF"/>
            </w:tcBorders>
            <w:shd w:val="clear" w:color="auto" w:fill="D99594"/>
          </w:tcPr>
          <w:p w14:paraId="4CF920FF" w14:textId="77777777" w:rsidR="00744206" w:rsidRPr="00257F44" w:rsidRDefault="00744206" w:rsidP="002A5063">
            <w:pPr>
              <w:rPr>
                <w:rFonts w:ascii="Zapf Dingbats" w:eastAsia="MS Mincho" w:hAnsi="Zapf Dingbats" w:cs="MS Mincho"/>
                <w:noProof/>
                <w:sz w:val="22"/>
                <w:szCs w:val="22"/>
                <w:lang w:val="uk-UA"/>
              </w:rPr>
            </w:pPr>
          </w:p>
        </w:tc>
        <w:tc>
          <w:tcPr>
            <w:tcW w:w="388" w:type="dxa"/>
            <w:vMerge w:val="restart"/>
            <w:tcBorders>
              <w:top w:val="single" w:sz="18" w:space="0" w:color="FFFFFF"/>
              <w:left w:val="single" w:sz="2" w:space="0" w:color="FFFFFF"/>
              <w:right w:val="single" w:sz="2" w:space="0" w:color="FFFFFF"/>
            </w:tcBorders>
            <w:shd w:val="clear" w:color="auto" w:fill="D99594"/>
          </w:tcPr>
          <w:p w14:paraId="0C73A8E9" w14:textId="218DD582" w:rsidR="00744206" w:rsidRPr="00257F44" w:rsidRDefault="00835DF5" w:rsidP="002A5063">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43" w:type="dxa"/>
            <w:vMerge w:val="restart"/>
            <w:tcBorders>
              <w:top w:val="single" w:sz="18" w:space="0" w:color="FFFFFF"/>
              <w:left w:val="single" w:sz="2" w:space="0" w:color="FFFFFF"/>
              <w:right w:val="single" w:sz="2" w:space="0" w:color="FFFFFF"/>
            </w:tcBorders>
            <w:shd w:val="clear" w:color="auto" w:fill="D99594"/>
          </w:tcPr>
          <w:p w14:paraId="4C23B70E" w14:textId="2C9C5A97" w:rsidR="00744206" w:rsidRPr="00257F44" w:rsidRDefault="00744206" w:rsidP="002A5063">
            <w:pPr>
              <w:rPr>
                <w:rFonts w:ascii="Gill Sans" w:hAnsi="Gill Sans" w:cs="Gill Sans"/>
                <w:sz w:val="22"/>
                <w:szCs w:val="22"/>
                <w:lang w:val="uk-UA"/>
              </w:rPr>
            </w:pPr>
          </w:p>
        </w:tc>
        <w:tc>
          <w:tcPr>
            <w:tcW w:w="343" w:type="dxa"/>
            <w:vMerge w:val="restart"/>
            <w:tcBorders>
              <w:top w:val="single" w:sz="18" w:space="0" w:color="FFFFFF"/>
              <w:left w:val="single" w:sz="2" w:space="0" w:color="FFFFFF"/>
              <w:right w:val="single" w:sz="2" w:space="0" w:color="FFFFFF"/>
            </w:tcBorders>
            <w:shd w:val="clear" w:color="auto" w:fill="D99594"/>
          </w:tcPr>
          <w:p w14:paraId="113267B6" w14:textId="77777777" w:rsidR="00744206" w:rsidRPr="00257F44" w:rsidRDefault="00744206" w:rsidP="002A5063">
            <w:pPr>
              <w:rPr>
                <w:rFonts w:ascii="Gill Sans" w:hAnsi="Gill Sans" w:cs="Gill Sans"/>
                <w:sz w:val="22"/>
                <w:szCs w:val="22"/>
                <w:lang w:val="uk-UA"/>
              </w:rPr>
            </w:pPr>
          </w:p>
        </w:tc>
        <w:tc>
          <w:tcPr>
            <w:tcW w:w="421" w:type="dxa"/>
            <w:vMerge w:val="restart"/>
            <w:tcBorders>
              <w:top w:val="single" w:sz="18" w:space="0" w:color="FFFFFF"/>
              <w:left w:val="single" w:sz="2" w:space="0" w:color="FFFFFF"/>
              <w:right w:val="single" w:sz="18" w:space="0" w:color="FFFFFF"/>
            </w:tcBorders>
            <w:shd w:val="clear" w:color="auto" w:fill="D99594"/>
          </w:tcPr>
          <w:p w14:paraId="55C15981" w14:textId="77777777" w:rsidR="00744206" w:rsidRPr="00257F44" w:rsidRDefault="00744206" w:rsidP="002A5063">
            <w:pPr>
              <w:rPr>
                <w:rFonts w:ascii="Gill Sans" w:hAnsi="Gill Sans" w:cs="Gill Sans"/>
                <w:sz w:val="22"/>
                <w:szCs w:val="22"/>
                <w:lang w:val="uk-UA"/>
              </w:rPr>
            </w:pPr>
          </w:p>
        </w:tc>
      </w:tr>
      <w:tr w:rsidR="000D183E" w:rsidRPr="00257F44" w14:paraId="3E591408" w14:textId="77777777" w:rsidTr="00B223BA">
        <w:trPr>
          <w:trHeight w:val="663"/>
        </w:trPr>
        <w:tc>
          <w:tcPr>
            <w:tcW w:w="1474" w:type="dxa"/>
            <w:vMerge/>
            <w:tcBorders>
              <w:left w:val="nil"/>
              <w:bottom w:val="single" w:sz="18" w:space="0" w:color="FFFFFF"/>
            </w:tcBorders>
            <w:shd w:val="clear" w:color="auto" w:fill="000000"/>
          </w:tcPr>
          <w:p w14:paraId="36A38866" w14:textId="77777777" w:rsidR="00744206" w:rsidRPr="00257F44" w:rsidRDefault="00744206" w:rsidP="002A5063">
            <w:pPr>
              <w:rPr>
                <w:rFonts w:ascii="Gill Sans" w:hAnsi="Gill Sans" w:cs="Gill Sans"/>
                <w:sz w:val="22"/>
                <w:szCs w:val="22"/>
                <w:lang w:val="uk-UA"/>
              </w:rPr>
            </w:pPr>
          </w:p>
        </w:tc>
        <w:tc>
          <w:tcPr>
            <w:tcW w:w="395" w:type="dxa"/>
            <w:vMerge/>
            <w:tcBorders>
              <w:bottom w:val="single" w:sz="18" w:space="0" w:color="FFFFFF"/>
              <w:right w:val="single" w:sz="2" w:space="0" w:color="FFFFFF"/>
            </w:tcBorders>
            <w:shd w:val="clear" w:color="auto" w:fill="D6E3BC"/>
          </w:tcPr>
          <w:p w14:paraId="3AB494A3" w14:textId="77777777" w:rsidR="00744206" w:rsidRPr="00257F44" w:rsidRDefault="00744206" w:rsidP="002A5063">
            <w:pPr>
              <w:rPr>
                <w:rFonts w:ascii="Gill Sans" w:hAnsi="Gill Sans" w:cs="Gill Sans"/>
                <w:sz w:val="22"/>
                <w:szCs w:val="22"/>
                <w:lang w:val="uk-UA"/>
              </w:rPr>
            </w:pPr>
          </w:p>
        </w:tc>
        <w:tc>
          <w:tcPr>
            <w:tcW w:w="507" w:type="dxa"/>
            <w:vMerge/>
            <w:tcBorders>
              <w:left w:val="single" w:sz="2" w:space="0" w:color="FFFFFF"/>
              <w:bottom w:val="single" w:sz="18" w:space="0" w:color="FFFFFF"/>
              <w:right w:val="single" w:sz="2" w:space="0" w:color="FFFFFF"/>
            </w:tcBorders>
            <w:shd w:val="clear" w:color="auto" w:fill="D6E3BC"/>
          </w:tcPr>
          <w:p w14:paraId="3CB6F40D" w14:textId="77777777" w:rsidR="00744206" w:rsidRPr="00257F44" w:rsidRDefault="00744206" w:rsidP="002A5063">
            <w:pPr>
              <w:rPr>
                <w:rFonts w:ascii="Gill Sans" w:hAnsi="Gill Sans" w:cs="Gill Sans"/>
                <w:sz w:val="22"/>
                <w:szCs w:val="22"/>
                <w:lang w:val="uk-UA"/>
              </w:rPr>
            </w:pPr>
          </w:p>
        </w:tc>
        <w:tc>
          <w:tcPr>
            <w:tcW w:w="345" w:type="dxa"/>
            <w:vMerge/>
            <w:tcBorders>
              <w:left w:val="single" w:sz="2" w:space="0" w:color="FFFFFF"/>
              <w:bottom w:val="single" w:sz="18" w:space="0" w:color="FFFFFF"/>
              <w:right w:val="single" w:sz="2" w:space="0" w:color="FFFFFF"/>
            </w:tcBorders>
            <w:shd w:val="clear" w:color="auto" w:fill="D6E3BC"/>
          </w:tcPr>
          <w:p w14:paraId="51BD7176" w14:textId="77777777" w:rsidR="00744206" w:rsidRPr="00257F44" w:rsidRDefault="00744206" w:rsidP="002A5063">
            <w:pPr>
              <w:rPr>
                <w:rFonts w:ascii="Gill Sans" w:hAnsi="Gill Sans" w:cs="Gill Sans"/>
                <w:sz w:val="22"/>
                <w:szCs w:val="22"/>
                <w:lang w:val="uk-UA"/>
              </w:rPr>
            </w:pPr>
          </w:p>
        </w:tc>
        <w:tc>
          <w:tcPr>
            <w:tcW w:w="346" w:type="dxa"/>
            <w:vMerge/>
            <w:tcBorders>
              <w:left w:val="single" w:sz="2" w:space="0" w:color="FFFFFF"/>
              <w:bottom w:val="single" w:sz="18" w:space="0" w:color="FFFFFF"/>
              <w:right w:val="single" w:sz="18" w:space="0" w:color="FFFFFF"/>
            </w:tcBorders>
            <w:shd w:val="clear" w:color="auto" w:fill="D6E3BC"/>
          </w:tcPr>
          <w:p w14:paraId="6BB6946E" w14:textId="77777777" w:rsidR="00744206" w:rsidRPr="00257F44" w:rsidRDefault="00744206" w:rsidP="002A5063">
            <w:pPr>
              <w:rPr>
                <w:rFonts w:ascii="Gill Sans" w:hAnsi="Gill Sans" w:cs="Gill Sans"/>
                <w:sz w:val="22"/>
                <w:szCs w:val="22"/>
                <w:lang w:val="uk-UA"/>
              </w:rPr>
            </w:pPr>
          </w:p>
        </w:tc>
        <w:tc>
          <w:tcPr>
            <w:tcW w:w="1903" w:type="dxa"/>
            <w:gridSpan w:val="4"/>
            <w:vMerge/>
            <w:tcBorders>
              <w:left w:val="single" w:sz="2" w:space="0" w:color="FFFFFF"/>
              <w:bottom w:val="single" w:sz="18" w:space="0" w:color="FFFFFF"/>
              <w:right w:val="single" w:sz="18" w:space="0" w:color="FFFFFF"/>
            </w:tcBorders>
            <w:shd w:val="clear" w:color="auto" w:fill="FBD4B4"/>
          </w:tcPr>
          <w:p w14:paraId="0D587717" w14:textId="77777777" w:rsidR="00744206" w:rsidRPr="00257F44" w:rsidRDefault="00744206" w:rsidP="002A5063">
            <w:pPr>
              <w:rPr>
                <w:rFonts w:ascii="Gill Sans" w:hAnsi="Gill Sans" w:cs="Gill Sans"/>
                <w:sz w:val="22"/>
                <w:szCs w:val="22"/>
                <w:lang w:val="uk-UA"/>
              </w:rPr>
            </w:pPr>
          </w:p>
        </w:tc>
        <w:tc>
          <w:tcPr>
            <w:tcW w:w="366" w:type="dxa"/>
            <w:vMerge/>
            <w:tcBorders>
              <w:left w:val="single" w:sz="18" w:space="0" w:color="FFFFFF"/>
              <w:bottom w:val="single" w:sz="18" w:space="0" w:color="FFFFFF"/>
              <w:right w:val="single" w:sz="2" w:space="0" w:color="FFFFFF"/>
            </w:tcBorders>
            <w:shd w:val="clear" w:color="auto" w:fill="CCC0D9"/>
          </w:tcPr>
          <w:p w14:paraId="15DD585E" w14:textId="77777777" w:rsidR="00744206" w:rsidRPr="00257F44" w:rsidRDefault="00744206" w:rsidP="002A5063">
            <w:pPr>
              <w:rPr>
                <w:rFonts w:ascii="Gill Sans" w:hAnsi="Gill Sans" w:cs="Gill Sans"/>
                <w:sz w:val="22"/>
                <w:szCs w:val="22"/>
                <w:lang w:val="uk-UA"/>
              </w:rPr>
            </w:pPr>
          </w:p>
        </w:tc>
        <w:tc>
          <w:tcPr>
            <w:tcW w:w="343" w:type="dxa"/>
            <w:vMerge/>
            <w:tcBorders>
              <w:left w:val="single" w:sz="2" w:space="0" w:color="FFFFFF"/>
              <w:bottom w:val="single" w:sz="18" w:space="0" w:color="FFFFFF"/>
              <w:right w:val="single" w:sz="2" w:space="0" w:color="FFFFFF"/>
            </w:tcBorders>
            <w:shd w:val="clear" w:color="auto" w:fill="CCC0D9"/>
          </w:tcPr>
          <w:p w14:paraId="6793CBAA" w14:textId="77777777" w:rsidR="00744206" w:rsidRPr="00257F44" w:rsidRDefault="00744206" w:rsidP="002A5063">
            <w:pPr>
              <w:rPr>
                <w:rFonts w:ascii="Gill Sans" w:hAnsi="Gill Sans" w:cs="Gill Sans"/>
                <w:sz w:val="22"/>
                <w:szCs w:val="22"/>
                <w:lang w:val="uk-UA"/>
              </w:rPr>
            </w:pPr>
          </w:p>
        </w:tc>
        <w:tc>
          <w:tcPr>
            <w:tcW w:w="421" w:type="dxa"/>
            <w:vMerge/>
            <w:tcBorders>
              <w:left w:val="single" w:sz="2" w:space="0" w:color="FFFFFF"/>
              <w:bottom w:val="single" w:sz="18" w:space="0" w:color="FFFFFF"/>
              <w:right w:val="single" w:sz="2" w:space="0" w:color="FFFFFF"/>
            </w:tcBorders>
            <w:shd w:val="clear" w:color="auto" w:fill="CCC0D9"/>
          </w:tcPr>
          <w:p w14:paraId="2BF91778" w14:textId="77777777" w:rsidR="00744206" w:rsidRPr="00257F44" w:rsidRDefault="00744206" w:rsidP="002A5063">
            <w:pPr>
              <w:rPr>
                <w:rFonts w:ascii="Zapf Dingbats" w:eastAsia="MS Mincho" w:hAnsi="Zapf Dingbats" w:cs="MS Mincho"/>
                <w:noProof/>
                <w:sz w:val="22"/>
                <w:szCs w:val="22"/>
                <w:lang w:val="uk-UA"/>
              </w:rPr>
            </w:pPr>
          </w:p>
        </w:tc>
        <w:tc>
          <w:tcPr>
            <w:tcW w:w="343" w:type="dxa"/>
            <w:vMerge/>
            <w:tcBorders>
              <w:left w:val="single" w:sz="2" w:space="0" w:color="FFFFFF"/>
              <w:bottom w:val="single" w:sz="18" w:space="0" w:color="FFFFFF"/>
              <w:right w:val="single" w:sz="18" w:space="0" w:color="FFFFFF"/>
            </w:tcBorders>
            <w:shd w:val="clear" w:color="auto" w:fill="CCC0D9"/>
          </w:tcPr>
          <w:p w14:paraId="0E0620DA" w14:textId="77777777" w:rsidR="00744206" w:rsidRPr="00257F44" w:rsidRDefault="00744206" w:rsidP="002A5063">
            <w:pPr>
              <w:rPr>
                <w:rFonts w:ascii="Zapf Dingbats" w:eastAsia="MS Mincho" w:hAnsi="Zapf Dingbats" w:cs="MS Mincho"/>
                <w:noProof/>
                <w:sz w:val="22"/>
                <w:szCs w:val="22"/>
                <w:lang w:val="uk-UA"/>
              </w:rPr>
            </w:pPr>
          </w:p>
        </w:tc>
        <w:tc>
          <w:tcPr>
            <w:tcW w:w="553" w:type="dxa"/>
            <w:tcBorders>
              <w:top w:val="single" w:sz="8" w:space="0" w:color="FFFFFF" w:themeColor="background1"/>
              <w:left w:val="single" w:sz="18" w:space="0" w:color="FFFFFF"/>
              <w:bottom w:val="single" w:sz="18" w:space="0" w:color="FFFFFF"/>
              <w:right w:val="single" w:sz="4" w:space="0" w:color="FFFFFF" w:themeColor="background1"/>
            </w:tcBorders>
            <w:shd w:val="clear" w:color="auto" w:fill="B8CCE4"/>
          </w:tcPr>
          <w:p w14:paraId="1C26FEE6" w14:textId="77777777" w:rsidR="00744206" w:rsidRPr="00257F44" w:rsidRDefault="00744206" w:rsidP="002A5063">
            <w:pPr>
              <w:rPr>
                <w:rFonts w:ascii="Zapf Dingbats" w:eastAsia="MS Mincho" w:hAnsi="Zapf Dingbats" w:cs="MS Mincho"/>
                <w:noProof/>
                <w:sz w:val="22"/>
                <w:szCs w:val="22"/>
                <w:lang w:val="uk-UA"/>
              </w:rPr>
            </w:pPr>
          </w:p>
        </w:tc>
        <w:tc>
          <w:tcPr>
            <w:tcW w:w="421" w:type="dxa"/>
            <w:tcBorders>
              <w:top w:val="single" w:sz="8" w:space="0" w:color="FFFFFF" w:themeColor="background1"/>
              <w:left w:val="single" w:sz="4" w:space="0" w:color="FFFFFF" w:themeColor="background1"/>
              <w:bottom w:val="single" w:sz="18" w:space="0" w:color="FFFFFF"/>
              <w:right w:val="single" w:sz="2" w:space="0" w:color="FFFFFF"/>
            </w:tcBorders>
            <w:shd w:val="clear" w:color="auto" w:fill="B8CCE4"/>
          </w:tcPr>
          <w:p w14:paraId="1F0D7DC5" w14:textId="77777777" w:rsidR="00744206" w:rsidRPr="00257F44" w:rsidRDefault="00744206" w:rsidP="002A5063">
            <w:pPr>
              <w:rPr>
                <w:rFonts w:ascii="Zapf Dingbats" w:eastAsia="MS Mincho" w:hAnsi="Zapf Dingbats" w:cs="MS Mincho"/>
                <w:noProof/>
                <w:sz w:val="22"/>
                <w:szCs w:val="22"/>
                <w:lang w:val="uk-UA"/>
              </w:rPr>
            </w:pPr>
          </w:p>
        </w:tc>
        <w:tc>
          <w:tcPr>
            <w:tcW w:w="421" w:type="dxa"/>
            <w:tcBorders>
              <w:top w:val="single" w:sz="8" w:space="0" w:color="FFFFFF" w:themeColor="background1"/>
              <w:left w:val="single" w:sz="2" w:space="0" w:color="FFFFFF"/>
              <w:bottom w:val="single" w:sz="18" w:space="0" w:color="FFFFFF"/>
              <w:right w:val="single" w:sz="2" w:space="0" w:color="FFFFFF"/>
            </w:tcBorders>
            <w:shd w:val="clear" w:color="auto" w:fill="B8CCE4"/>
          </w:tcPr>
          <w:p w14:paraId="639EBB97" w14:textId="50881002" w:rsidR="00744206" w:rsidRPr="00257F44" w:rsidRDefault="00540420" w:rsidP="002A5063">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499" w:type="dxa"/>
            <w:tcBorders>
              <w:top w:val="single" w:sz="8" w:space="0" w:color="FFFFFF" w:themeColor="background1"/>
              <w:left w:val="single" w:sz="2" w:space="0" w:color="FFFFFF"/>
              <w:bottom w:val="single" w:sz="18" w:space="0" w:color="FFFFFF"/>
              <w:right w:val="single" w:sz="18" w:space="0" w:color="FFFFFF"/>
            </w:tcBorders>
            <w:shd w:val="clear" w:color="auto" w:fill="B8CCE4"/>
          </w:tcPr>
          <w:p w14:paraId="5B8F8591" w14:textId="77777777" w:rsidR="00744206" w:rsidRPr="00257F44" w:rsidRDefault="00744206" w:rsidP="002A5063">
            <w:pPr>
              <w:rPr>
                <w:rFonts w:ascii="Zapf Dingbats" w:eastAsia="MS Mincho" w:hAnsi="Zapf Dingbats" w:cs="MS Mincho"/>
                <w:noProof/>
                <w:sz w:val="22"/>
                <w:szCs w:val="22"/>
                <w:lang w:val="uk-UA"/>
              </w:rPr>
            </w:pPr>
          </w:p>
        </w:tc>
        <w:tc>
          <w:tcPr>
            <w:tcW w:w="376" w:type="dxa"/>
            <w:vMerge/>
            <w:tcBorders>
              <w:left w:val="single" w:sz="18" w:space="0" w:color="FFFFFF"/>
              <w:bottom w:val="single" w:sz="18" w:space="0" w:color="FFFFFF"/>
              <w:right w:val="single" w:sz="2" w:space="0" w:color="FFFFFF"/>
            </w:tcBorders>
            <w:shd w:val="clear" w:color="auto" w:fill="D99594"/>
          </w:tcPr>
          <w:p w14:paraId="2C03F33A" w14:textId="77777777" w:rsidR="00744206" w:rsidRPr="00257F44" w:rsidRDefault="00744206" w:rsidP="002A5063">
            <w:pPr>
              <w:rPr>
                <w:rFonts w:ascii="Gill Sans" w:hAnsi="Gill Sans" w:cs="Gill Sans"/>
                <w:sz w:val="22"/>
                <w:szCs w:val="22"/>
                <w:lang w:val="uk-UA"/>
              </w:rPr>
            </w:pPr>
          </w:p>
        </w:tc>
        <w:tc>
          <w:tcPr>
            <w:tcW w:w="388" w:type="dxa"/>
            <w:vMerge/>
            <w:tcBorders>
              <w:left w:val="single" w:sz="2" w:space="0" w:color="FFFFFF"/>
              <w:bottom w:val="single" w:sz="18" w:space="0" w:color="FFFFFF"/>
              <w:right w:val="single" w:sz="2" w:space="0" w:color="FFFFFF"/>
            </w:tcBorders>
            <w:shd w:val="clear" w:color="auto" w:fill="D99594"/>
          </w:tcPr>
          <w:p w14:paraId="2E96D2F6" w14:textId="77777777" w:rsidR="00744206" w:rsidRPr="00257F44" w:rsidRDefault="00744206" w:rsidP="002A5063">
            <w:pPr>
              <w:rPr>
                <w:rFonts w:ascii="Gill Sans" w:hAnsi="Gill Sans" w:cs="Gill Sans"/>
                <w:sz w:val="22"/>
                <w:szCs w:val="22"/>
                <w:lang w:val="uk-UA"/>
              </w:rPr>
            </w:pPr>
          </w:p>
        </w:tc>
        <w:tc>
          <w:tcPr>
            <w:tcW w:w="343" w:type="dxa"/>
            <w:vMerge/>
            <w:tcBorders>
              <w:left w:val="single" w:sz="2" w:space="0" w:color="FFFFFF"/>
              <w:bottom w:val="single" w:sz="18" w:space="0" w:color="FFFFFF"/>
              <w:right w:val="single" w:sz="2" w:space="0" w:color="FFFFFF"/>
            </w:tcBorders>
            <w:shd w:val="clear" w:color="auto" w:fill="D99594"/>
          </w:tcPr>
          <w:p w14:paraId="6B27E781" w14:textId="77777777" w:rsidR="00744206" w:rsidRPr="00257F44" w:rsidRDefault="00744206" w:rsidP="002A5063">
            <w:pPr>
              <w:rPr>
                <w:rFonts w:ascii="Gill Sans" w:hAnsi="Gill Sans" w:cs="Gill Sans"/>
                <w:sz w:val="22"/>
                <w:szCs w:val="22"/>
                <w:lang w:val="uk-UA"/>
              </w:rPr>
            </w:pPr>
          </w:p>
        </w:tc>
        <w:tc>
          <w:tcPr>
            <w:tcW w:w="343" w:type="dxa"/>
            <w:vMerge/>
            <w:tcBorders>
              <w:left w:val="single" w:sz="2" w:space="0" w:color="FFFFFF"/>
              <w:bottom w:val="single" w:sz="18" w:space="0" w:color="FFFFFF"/>
              <w:right w:val="single" w:sz="2" w:space="0" w:color="FFFFFF"/>
            </w:tcBorders>
            <w:shd w:val="clear" w:color="auto" w:fill="D99594"/>
          </w:tcPr>
          <w:p w14:paraId="74E92C48" w14:textId="77777777" w:rsidR="00744206" w:rsidRPr="00257F44" w:rsidRDefault="00744206" w:rsidP="002A5063">
            <w:pPr>
              <w:rPr>
                <w:rFonts w:ascii="Gill Sans" w:hAnsi="Gill Sans" w:cs="Gill Sans"/>
                <w:sz w:val="22"/>
                <w:szCs w:val="22"/>
                <w:lang w:val="uk-UA"/>
              </w:rPr>
            </w:pPr>
          </w:p>
        </w:tc>
        <w:tc>
          <w:tcPr>
            <w:tcW w:w="421" w:type="dxa"/>
            <w:vMerge/>
            <w:tcBorders>
              <w:left w:val="single" w:sz="2" w:space="0" w:color="FFFFFF"/>
              <w:bottom w:val="single" w:sz="18" w:space="0" w:color="FFFFFF"/>
              <w:right w:val="single" w:sz="18" w:space="0" w:color="FFFFFF"/>
            </w:tcBorders>
            <w:shd w:val="clear" w:color="auto" w:fill="D99594"/>
          </w:tcPr>
          <w:p w14:paraId="3054C011" w14:textId="77777777" w:rsidR="00744206" w:rsidRPr="00257F44" w:rsidRDefault="00744206" w:rsidP="002A5063">
            <w:pPr>
              <w:rPr>
                <w:rFonts w:ascii="Gill Sans" w:hAnsi="Gill Sans" w:cs="Gill Sans"/>
                <w:sz w:val="22"/>
                <w:szCs w:val="22"/>
                <w:lang w:val="uk-UA"/>
              </w:rPr>
            </w:pPr>
          </w:p>
        </w:tc>
      </w:tr>
    </w:tbl>
    <w:p w14:paraId="47EBCC0F" w14:textId="77777777" w:rsidR="00560451" w:rsidRPr="00257F44" w:rsidRDefault="00560451" w:rsidP="00163080">
      <w:pPr>
        <w:rPr>
          <w:lang w:val="uk-UA"/>
        </w:rPr>
      </w:pPr>
    </w:p>
    <w:p w14:paraId="67351ADC" w14:textId="77777777" w:rsidR="00773967" w:rsidRPr="00257F44" w:rsidRDefault="00773967" w:rsidP="0064500A">
      <w:pPr>
        <w:pStyle w:val="Heading3"/>
        <w:spacing w:after="120"/>
        <w:rPr>
          <w:lang w:val="uk-UA"/>
        </w:rPr>
      </w:pPr>
      <w:r w:rsidRPr="00257F44">
        <w:rPr>
          <w:lang w:val="uk-UA"/>
        </w:rPr>
        <w:t>Мета зобов’язання</w:t>
      </w:r>
    </w:p>
    <w:p w14:paraId="6C9167A1" w14:textId="732CAA22" w:rsidR="00EF656B" w:rsidRPr="00257F44" w:rsidRDefault="00EF656B" w:rsidP="0064500A">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 xml:space="preserve">14. </w:t>
      </w:r>
      <w:r w:rsidR="007C1C2C" w:rsidRPr="00257F44">
        <w:rPr>
          <w:rFonts w:ascii="Gill Sans" w:hAnsi="Gill Sans" w:cs="Gill Sans"/>
          <w:b/>
          <w:noProof/>
          <w:sz w:val="22"/>
          <w:szCs w:val="22"/>
          <w:lang w:val="uk-UA"/>
        </w:rPr>
        <w:t xml:space="preserve">Впорядкувати плату за надання адміністративних послуг </w:t>
      </w:r>
    </w:p>
    <w:p w14:paraId="0A96F7A8" w14:textId="246A62E2" w:rsidR="005D61AD" w:rsidRPr="00257F44" w:rsidRDefault="005D61AD" w:rsidP="0064500A">
      <w:pPr>
        <w:spacing w:after="120"/>
        <w:rPr>
          <w:rFonts w:ascii="Gill Sans" w:hAnsi="Gill Sans" w:cs="Gill Sans"/>
          <w:sz w:val="22"/>
          <w:szCs w:val="22"/>
          <w:lang w:val="uk-UA"/>
        </w:rPr>
      </w:pPr>
      <w:r w:rsidRPr="00257F44">
        <w:rPr>
          <w:rFonts w:ascii="Gill Sans" w:hAnsi="Gill Sans" w:cs="Gill Sans"/>
          <w:sz w:val="22"/>
          <w:szCs w:val="22"/>
          <w:lang w:val="uk-UA"/>
        </w:rPr>
        <w:t xml:space="preserve">Це зобов’язання мало на меті підготувати закон, що впорядковує оплату за надання адміністративних послуг. </w:t>
      </w:r>
      <w:r w:rsidRPr="00257F44">
        <w:rPr>
          <w:rFonts w:ascii="Gill Sans" w:hAnsi="Gill Sans" w:cs="Gill Sans"/>
          <w:noProof/>
          <w:sz w:val="22"/>
          <w:szCs w:val="22"/>
          <w:lang w:val="uk-UA"/>
        </w:rPr>
        <w:t>Впорядкування надання адміністративних послуг органами влади є важливим для забезпечення належного урядування та сервісної держави. Суперечлива практика стягнення адміністративного збору являє собою перешкоду для ефективного надання послуг та негативно впливає на задоволення громадян від отриманих послуг. У разі реалізації, запланований у зобов’язані закон забезпечив би юридичну визначеність і прозорість, зменшивши корупційні ризики у сфері адміністративних послуг.</w:t>
      </w:r>
    </w:p>
    <w:p w14:paraId="20A1CED2" w14:textId="5552D6AB" w:rsidR="00EF656B" w:rsidRPr="00257F44" w:rsidRDefault="00EF656B" w:rsidP="0064500A">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 xml:space="preserve">16. </w:t>
      </w:r>
      <w:r w:rsidR="007C1C2C" w:rsidRPr="00257F44">
        <w:rPr>
          <w:rFonts w:ascii="Gill Sans" w:hAnsi="Gill Sans" w:cs="Gill Sans"/>
          <w:b/>
          <w:noProof/>
          <w:sz w:val="22"/>
          <w:szCs w:val="22"/>
          <w:lang w:val="uk-UA"/>
        </w:rPr>
        <w:t>Децентралізувати надання адміністративних послуг</w:t>
      </w:r>
    </w:p>
    <w:p w14:paraId="5177DEC1" w14:textId="0497F15F" w:rsidR="00465C57" w:rsidRPr="00257F44" w:rsidRDefault="00465C57" w:rsidP="0064500A">
      <w:pPr>
        <w:spacing w:after="120"/>
        <w:rPr>
          <w:rFonts w:ascii="Gill Sans" w:hAnsi="Gill Sans" w:cs="Gill Sans"/>
          <w:noProof/>
          <w:sz w:val="22"/>
          <w:szCs w:val="22"/>
          <w:lang w:val="uk-UA"/>
        </w:rPr>
      </w:pPr>
      <w:r w:rsidRPr="00257F44">
        <w:rPr>
          <w:rFonts w:ascii="Gill Sans" w:hAnsi="Gill Sans" w:cs="Gill Sans"/>
          <w:noProof/>
          <w:sz w:val="22"/>
          <w:szCs w:val="22"/>
          <w:lang w:val="uk-UA"/>
        </w:rPr>
        <w:t>Зобов’язання передбачало розробку проекту закону про децентралізацію повноважень стосовно надання адміністративних послуг. Це включало реєстрацію місця проживання (перебування), оформлення документів, що посвідчують особу, державну реєстрацію юридичних осіб та фізичних осіб – підприємців, об’єднань громадян та актів цивільного стану, реєстрацію речових прав на рухоме та нерухомого майна, оформлення посвідчень водія. В Україні, де адміністративні послуги були значною мірою централізовані, вважається, що децентралізація є важливою для зниження рівня корупції та забезпечення кращих публічних послуг. Децентралізація державних функцій стала важливим питанням державної політики в Україні з початку 2014 року.</w:t>
      </w:r>
    </w:p>
    <w:p w14:paraId="437BB588" w14:textId="77777777" w:rsidR="00773967" w:rsidRPr="00257F44" w:rsidRDefault="00773967" w:rsidP="0064500A">
      <w:pPr>
        <w:pStyle w:val="Heading3"/>
        <w:spacing w:after="120"/>
        <w:rPr>
          <w:lang w:val="uk-UA"/>
        </w:rPr>
      </w:pPr>
      <w:r w:rsidRPr="00257F44">
        <w:rPr>
          <w:lang w:val="uk-UA"/>
        </w:rPr>
        <w:lastRenderedPageBreak/>
        <w:t>Статус виконання</w:t>
      </w:r>
    </w:p>
    <w:p w14:paraId="501473F7" w14:textId="2BC9E6FA" w:rsidR="00AE24E7" w:rsidRPr="00257F44" w:rsidRDefault="00AE24E7" w:rsidP="0064500A">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 xml:space="preserve">14. </w:t>
      </w:r>
      <w:r w:rsidR="007C1C2C" w:rsidRPr="00257F44">
        <w:rPr>
          <w:rFonts w:ascii="Gill Sans" w:hAnsi="Gill Sans" w:cs="Gill Sans"/>
          <w:b/>
          <w:noProof/>
          <w:sz w:val="22"/>
          <w:szCs w:val="22"/>
          <w:lang w:val="uk-UA"/>
        </w:rPr>
        <w:t>Впорядкувати плату за надання адміністративних послуг</w:t>
      </w:r>
      <w:r w:rsidRPr="00257F44">
        <w:rPr>
          <w:rFonts w:ascii="Gill Sans" w:hAnsi="Gill Sans" w:cs="Gill Sans"/>
          <w:b/>
          <w:noProof/>
          <w:sz w:val="22"/>
          <w:szCs w:val="22"/>
          <w:lang w:val="uk-UA"/>
        </w:rPr>
        <w:t xml:space="preserve"> </w:t>
      </w:r>
    </w:p>
    <w:p w14:paraId="42E075FB" w14:textId="77777777" w:rsidR="00773967" w:rsidRPr="00257F44" w:rsidRDefault="00773967" w:rsidP="0064500A">
      <w:pPr>
        <w:pStyle w:val="Normalrglronly"/>
        <w:rPr>
          <w:b/>
          <w:lang w:val="uk-UA"/>
        </w:rPr>
      </w:pPr>
      <w:r w:rsidRPr="00257F44">
        <w:rPr>
          <w:b/>
          <w:lang w:val="uk-UA"/>
        </w:rPr>
        <w:t>Проміжний звіт: Обмежене виконання</w:t>
      </w:r>
    </w:p>
    <w:p w14:paraId="4CC919E1" w14:textId="2D7C0F6F" w:rsidR="00C23A3E" w:rsidRPr="00257F44" w:rsidRDefault="00C23A3E" w:rsidP="0064500A">
      <w:pPr>
        <w:spacing w:after="120"/>
        <w:rPr>
          <w:rFonts w:ascii="Gill Sans" w:hAnsi="Gill Sans" w:cs="Gill Sans"/>
          <w:sz w:val="22"/>
          <w:szCs w:val="22"/>
          <w:lang w:val="uk-UA"/>
        </w:rPr>
      </w:pPr>
      <w:r w:rsidRPr="00257F44">
        <w:rPr>
          <w:rFonts w:ascii="Gill Sans" w:hAnsi="Gill Sans" w:cs="Gill Sans"/>
          <w:sz w:val="22"/>
          <w:szCs w:val="22"/>
          <w:lang w:val="uk-UA"/>
        </w:rPr>
        <w:t xml:space="preserve">Міністерство економічного розвитку підготувало проект закону про перелік адміністративних послуг та плату (адміністративний збір) за їх надання. Законопроект пропонував уніфікувати назви адміністративних послуг, встановити розмір плати за їх надання та заборонити надання послуг, не передбачених цим законом. У серпні 2015 року Уряд схвалив законопроект, але доручив міністерству доопрацювати його, встановивши, що розмір плати за надання </w:t>
      </w:r>
      <w:r w:rsidRPr="00257F44">
        <w:rPr>
          <w:rFonts w:ascii="Gill Sans" w:hAnsi="Gill Sans" w:cs="Gill Sans"/>
          <w:noProof/>
          <w:sz w:val="22"/>
          <w:szCs w:val="22"/>
          <w:lang w:val="uk-UA"/>
        </w:rPr>
        <w:t>адміністративних послуг визначає Кабінет Міністрів, а не закон. 15 вересня 2015 року міністерство знову подало законопроект до Уряду, який вніс його на розгляд парламенту 12 жовтня 2015 року</w:t>
      </w:r>
      <w:r w:rsidRPr="00257F44">
        <w:rPr>
          <w:rStyle w:val="EndnoteReference"/>
          <w:rFonts w:ascii="Gill Sans" w:hAnsi="Gill Sans" w:cs="Gill Sans"/>
          <w:sz w:val="22"/>
          <w:szCs w:val="22"/>
          <w:lang w:val="uk-UA"/>
        </w:rPr>
        <w:endnoteReference w:id="63"/>
      </w:r>
      <w:r w:rsidRPr="00257F44">
        <w:rPr>
          <w:rFonts w:ascii="Gill Sans" w:hAnsi="Gill Sans" w:cs="Gill Sans"/>
          <w:noProof/>
          <w:sz w:val="22"/>
          <w:szCs w:val="22"/>
          <w:lang w:val="uk-UA"/>
        </w:rPr>
        <w:t xml:space="preserve">. </w:t>
      </w:r>
      <w:r w:rsidRPr="00257F44">
        <w:rPr>
          <w:rFonts w:ascii="Gill Sans" w:hAnsi="Gill Sans" w:cs="Gill Sans"/>
          <w:sz w:val="22"/>
          <w:szCs w:val="22"/>
          <w:lang w:val="uk-UA"/>
        </w:rPr>
        <w:t xml:space="preserve">Він перелічує 563 </w:t>
      </w:r>
      <w:r w:rsidRPr="00257F44">
        <w:rPr>
          <w:rFonts w:ascii="Gill Sans" w:hAnsi="Gill Sans" w:cs="Gill Sans"/>
          <w:noProof/>
          <w:sz w:val="22"/>
          <w:szCs w:val="22"/>
          <w:lang w:val="uk-UA"/>
        </w:rPr>
        <w:t xml:space="preserve">адміністративні послуги (деякі складаються з кількох пунктів) та делегує повноваження із встановлення плати за надання адміністративних послуг Уряду. </w:t>
      </w:r>
      <w:r w:rsidRPr="00257F44">
        <w:rPr>
          <w:rFonts w:ascii="Gill Sans" w:hAnsi="Gill Sans" w:cs="Gill Sans"/>
          <w:sz w:val="22"/>
          <w:szCs w:val="22"/>
          <w:lang w:val="uk-UA"/>
        </w:rPr>
        <w:t xml:space="preserve">Експерти громадських організацій розкритикували законопроект, оскільки вони вважали, що перелік </w:t>
      </w:r>
      <w:r w:rsidRPr="00257F44">
        <w:rPr>
          <w:rFonts w:ascii="Gill Sans" w:hAnsi="Gill Sans" w:cs="Gill Sans"/>
          <w:noProof/>
          <w:sz w:val="22"/>
          <w:szCs w:val="22"/>
          <w:lang w:val="uk-UA"/>
        </w:rPr>
        <w:t>адміністративних послуг не слід визначати в законі, а достатньо оприлюднити в Реєстрі адміністративних послуг. Провідний громадський експерт у цій сфері зазначив, що закон не може вичерпно визначати всі послуги і що їх список повинен бути гнучким</w:t>
      </w:r>
      <w:r w:rsidRPr="00257F44">
        <w:rPr>
          <w:rStyle w:val="EndnoteReference"/>
          <w:rFonts w:ascii="Gill Sans" w:hAnsi="Gill Sans" w:cs="Gill Sans"/>
          <w:sz w:val="22"/>
          <w:szCs w:val="22"/>
          <w:lang w:val="uk-UA"/>
        </w:rPr>
        <w:endnoteReference w:id="64"/>
      </w:r>
      <w:r w:rsidRPr="00257F44">
        <w:rPr>
          <w:rFonts w:ascii="Gill Sans" w:hAnsi="Gill Sans" w:cs="Gill Sans"/>
          <w:noProof/>
          <w:sz w:val="22"/>
          <w:szCs w:val="22"/>
          <w:lang w:val="uk-UA"/>
        </w:rPr>
        <w:t>.</w:t>
      </w:r>
    </w:p>
    <w:p w14:paraId="2F727FA5" w14:textId="73B96A44" w:rsidR="00C23A3E" w:rsidRPr="00257F44" w:rsidRDefault="00C23A3E" w:rsidP="0064500A">
      <w:pPr>
        <w:spacing w:after="120"/>
        <w:rPr>
          <w:rFonts w:ascii="Gill Sans" w:hAnsi="Gill Sans" w:cs="Gill Sans"/>
          <w:sz w:val="22"/>
          <w:szCs w:val="22"/>
          <w:lang w:val="uk-UA"/>
        </w:rPr>
      </w:pPr>
      <w:r w:rsidRPr="00257F44">
        <w:rPr>
          <w:rFonts w:ascii="Gill Sans" w:hAnsi="Gill Sans" w:cs="Gill Sans"/>
          <w:sz w:val="22"/>
          <w:szCs w:val="22"/>
          <w:lang w:val="uk-UA"/>
        </w:rPr>
        <w:t>Загалом Уряд не виконав це зобов’язання. Поданий до парламенту законопроект суперечив зобов’язанню, оскільки він не містив положень щодо впорядкування плати за адміністративні послуги. Навпаки,</w:t>
      </w:r>
      <w:r w:rsidR="00527E40">
        <w:rPr>
          <w:rFonts w:ascii="Gill Sans" w:hAnsi="Gill Sans" w:cs="Gill Sans"/>
          <w:sz w:val="22"/>
          <w:szCs w:val="22"/>
          <w:lang w:val="uk-UA"/>
        </w:rPr>
        <w:t xml:space="preserve"> проект закону, по суті, вилучав</w:t>
      </w:r>
      <w:r w:rsidRPr="00257F44">
        <w:rPr>
          <w:rFonts w:ascii="Gill Sans" w:hAnsi="Gill Sans" w:cs="Gill Sans"/>
          <w:sz w:val="22"/>
          <w:szCs w:val="22"/>
          <w:lang w:val="uk-UA"/>
        </w:rPr>
        <w:t xml:space="preserve"> регулювання цього питання із закону</w:t>
      </w:r>
      <w:r w:rsidRPr="00257F44">
        <w:rPr>
          <w:rStyle w:val="EndnoteReference"/>
          <w:rFonts w:ascii="Gill Sans" w:hAnsi="Gill Sans" w:cs="Gill Sans"/>
          <w:noProof/>
          <w:sz w:val="22"/>
          <w:szCs w:val="22"/>
          <w:lang w:val="uk-UA"/>
        </w:rPr>
        <w:endnoteReference w:id="65"/>
      </w:r>
      <w:r w:rsidRPr="00257F44">
        <w:rPr>
          <w:rFonts w:ascii="Gill Sans" w:hAnsi="Gill Sans" w:cs="Gill Sans"/>
          <w:sz w:val="22"/>
          <w:szCs w:val="22"/>
          <w:lang w:val="uk-UA"/>
        </w:rPr>
        <w:t>.</w:t>
      </w:r>
    </w:p>
    <w:p w14:paraId="2D0C86B0" w14:textId="5497DD83" w:rsidR="00773967" w:rsidRPr="00257F44" w:rsidRDefault="00773967" w:rsidP="0064500A">
      <w:pPr>
        <w:pStyle w:val="Normalrglronly"/>
        <w:rPr>
          <w:b/>
          <w:lang w:val="uk-UA"/>
        </w:rPr>
      </w:pPr>
      <w:r w:rsidRPr="00257F44">
        <w:rPr>
          <w:b/>
          <w:lang w:val="uk-UA"/>
        </w:rPr>
        <w:t>Підсумковий звіт: Обмежене виконання</w:t>
      </w:r>
    </w:p>
    <w:p w14:paraId="11599AA5" w14:textId="44B064F5" w:rsidR="00422881" w:rsidRPr="00257F44" w:rsidRDefault="005617B9" w:rsidP="0064500A">
      <w:pPr>
        <w:spacing w:after="120"/>
        <w:rPr>
          <w:rFonts w:ascii="Gill Sans" w:hAnsi="Gill Sans" w:cs="Gill Sans"/>
          <w:noProof/>
          <w:sz w:val="22"/>
          <w:szCs w:val="22"/>
          <w:lang w:val="uk-UA"/>
        </w:rPr>
      </w:pPr>
      <w:r w:rsidRPr="00257F44">
        <w:rPr>
          <w:rFonts w:ascii="Gill Sans" w:hAnsi="Gill Sans" w:cs="Gill Sans"/>
          <w:noProof/>
          <w:sz w:val="22"/>
          <w:szCs w:val="22"/>
          <w:lang w:val="uk-UA"/>
        </w:rPr>
        <w:t>Відповідно до підсумкового урядового звіту самооцінки, законопроект, який було подано до парламенту, пізніше було відкликано і він заново не подавався до парламенту. Тим часом, у грудні 2015 року, парламент ухвалив зміни, встановивши, що плата за адміністративні послуги повинна визначатися законами, що регулюють відповідні послуги. У ході реалізації зобов’язання, Уряд по суті змінив свою позицію та відмовився від ідеї мати єдиний перелік адміністративних послуг, затверджений законом. Така позиція (щодо єдиного переліку) критикувалася громадськими експертами</w:t>
      </w:r>
      <w:r w:rsidRPr="00257F44">
        <w:rPr>
          <w:rStyle w:val="EndnoteReference"/>
          <w:rFonts w:ascii="Gill Sans" w:hAnsi="Gill Sans" w:cs="Gill Sans"/>
          <w:sz w:val="22"/>
          <w:szCs w:val="22"/>
          <w:lang w:val="uk-UA"/>
        </w:rPr>
        <w:endnoteReference w:id="66"/>
      </w:r>
      <w:r w:rsidRPr="00257F44">
        <w:rPr>
          <w:rFonts w:ascii="Gill Sans" w:hAnsi="Gill Sans" w:cs="Gill Sans"/>
          <w:noProof/>
          <w:sz w:val="22"/>
          <w:szCs w:val="22"/>
          <w:lang w:val="uk-UA"/>
        </w:rPr>
        <w:t>. Нові законодавчі зміни від грудня 2015 року</w:t>
      </w:r>
      <w:r w:rsidR="00D601E8" w:rsidRPr="00257F44">
        <w:rPr>
          <w:rFonts w:ascii="Gill Sans" w:hAnsi="Gill Sans" w:cs="Gill Sans"/>
          <w:noProof/>
          <w:sz w:val="22"/>
          <w:szCs w:val="22"/>
          <w:lang w:val="uk-UA"/>
        </w:rPr>
        <w:t xml:space="preserve"> визнали</w:t>
      </w:r>
      <w:r w:rsidR="002353A7" w:rsidRPr="00257F44">
        <w:rPr>
          <w:rFonts w:ascii="Gill Sans" w:hAnsi="Gill Sans" w:cs="Gill Sans"/>
          <w:noProof/>
          <w:sz w:val="22"/>
          <w:szCs w:val="22"/>
          <w:lang w:val="uk-UA"/>
        </w:rPr>
        <w:t xml:space="preserve"> </w:t>
      </w:r>
      <w:r w:rsidR="00E937A2">
        <w:rPr>
          <w:rFonts w:ascii="Gill Sans" w:hAnsi="Gill Sans" w:cs="Gill Sans"/>
          <w:noProof/>
          <w:sz w:val="22"/>
          <w:szCs w:val="22"/>
          <w:lang w:val="uk-UA"/>
        </w:rPr>
        <w:t>потребу регулювання оплати</w:t>
      </w:r>
      <w:r w:rsidR="00D601E8" w:rsidRPr="00257F44">
        <w:rPr>
          <w:rFonts w:ascii="Gill Sans" w:hAnsi="Gill Sans" w:cs="Gill Sans"/>
          <w:noProof/>
          <w:sz w:val="22"/>
          <w:szCs w:val="22"/>
          <w:lang w:val="uk-UA"/>
        </w:rPr>
        <w:t xml:space="preserve"> адміністративних послуг в законі, а не рішенням Уряду. Це також суперечило позиції Уряду. Таким чином, зобов’язання залишалося актуальним, але не було виконаним. На думку провідного громадського експерта у цій сфері, парламенту слід ухвалити рамковий закон, що регулює адміністративний збір, та визначити законом плату за базові адміністративні послуги</w:t>
      </w:r>
      <w:r w:rsidR="00D601E8" w:rsidRPr="00257F44">
        <w:rPr>
          <w:rStyle w:val="EndnoteReference"/>
          <w:rFonts w:ascii="Gill Sans" w:hAnsi="Gill Sans" w:cs="Gill Sans"/>
          <w:sz w:val="22"/>
          <w:szCs w:val="22"/>
          <w:lang w:val="uk-UA"/>
        </w:rPr>
        <w:endnoteReference w:id="67"/>
      </w:r>
      <w:r w:rsidR="00D601E8" w:rsidRPr="00257F44">
        <w:rPr>
          <w:rFonts w:ascii="Gill Sans" w:hAnsi="Gill Sans" w:cs="Gill Sans"/>
          <w:noProof/>
          <w:sz w:val="22"/>
          <w:szCs w:val="22"/>
          <w:lang w:val="uk-UA"/>
        </w:rPr>
        <w:t>.</w:t>
      </w:r>
    </w:p>
    <w:p w14:paraId="319AF299" w14:textId="60197751" w:rsidR="0038791B" w:rsidRPr="00257F44" w:rsidRDefault="0038791B" w:rsidP="0064500A">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 xml:space="preserve">16. </w:t>
      </w:r>
      <w:r w:rsidR="007C1C2C" w:rsidRPr="00257F44">
        <w:rPr>
          <w:rFonts w:ascii="Gill Sans" w:hAnsi="Gill Sans" w:cs="Gill Sans"/>
          <w:b/>
          <w:noProof/>
          <w:sz w:val="22"/>
          <w:szCs w:val="22"/>
          <w:lang w:val="uk-UA"/>
        </w:rPr>
        <w:t>Децентралізувати надання адміністративних послуг</w:t>
      </w:r>
    </w:p>
    <w:p w14:paraId="381AF327" w14:textId="76B6D4B0" w:rsidR="00773967" w:rsidRPr="00257F44" w:rsidRDefault="00773967" w:rsidP="0064500A">
      <w:pPr>
        <w:pStyle w:val="Normalrglronly"/>
        <w:rPr>
          <w:b/>
          <w:lang w:val="uk-UA"/>
        </w:rPr>
      </w:pPr>
      <w:r w:rsidRPr="00257F44">
        <w:rPr>
          <w:b/>
          <w:lang w:val="uk-UA"/>
        </w:rPr>
        <w:t>Проміжний звіт: Значне виконання</w:t>
      </w:r>
    </w:p>
    <w:p w14:paraId="5A70E6D5" w14:textId="4CBD5F9E" w:rsidR="00D601E8" w:rsidRPr="00257F44" w:rsidRDefault="002F107D" w:rsidP="0064500A">
      <w:pPr>
        <w:spacing w:after="120"/>
        <w:rPr>
          <w:rFonts w:ascii="Gill Sans" w:hAnsi="Gill Sans" w:cs="Gill Sans"/>
          <w:noProof/>
          <w:sz w:val="22"/>
          <w:szCs w:val="22"/>
          <w:lang w:val="uk-UA"/>
        </w:rPr>
      </w:pPr>
      <w:r w:rsidRPr="00257F44">
        <w:rPr>
          <w:rFonts w:ascii="Gill Sans" w:hAnsi="Gill Sans" w:cs="Gill Sans"/>
          <w:noProof/>
          <w:sz w:val="22"/>
          <w:szCs w:val="22"/>
          <w:lang w:val="uk-UA"/>
        </w:rPr>
        <w:t>Уряд значною мірою виконав зобов’язання, підготувавши та подавши до парламенту (прямо чи через народних депутатів) законопроекти для децентралізації таких адміністративних послуг: державна реєстрація юридичних осіб, фізичних осіб-підприємців, об’єднань громадян; реєстрація речових прав на нерухоме майно та їх обтяжень; державна реєстрація земельних ділянок, внесення та отримання відомостей з Державного земельного кадастру; реєстрація місця проживання (перебування) особи. Уряд запропонував децентралізувати послуги з реєстрації автотранспортних засобів та оформлення посвідчень водія у 2018 році. Не було підготовлено законопроекту для децентралізації оформлення документів, що посвідчують особу, у тому числі для виїзду за кордон, та реєстрації актів цивільного стану</w:t>
      </w:r>
      <w:r w:rsidRPr="00257F44">
        <w:rPr>
          <w:rStyle w:val="EndnoteReference"/>
          <w:rFonts w:ascii="Gill Sans" w:hAnsi="Gill Sans" w:cs="Gill Sans"/>
          <w:noProof/>
          <w:sz w:val="22"/>
          <w:szCs w:val="22"/>
          <w:lang w:val="uk-UA"/>
        </w:rPr>
        <w:endnoteReference w:id="68"/>
      </w:r>
      <w:r w:rsidRPr="00257F44">
        <w:rPr>
          <w:rFonts w:ascii="Gill Sans" w:hAnsi="Gill Sans" w:cs="Gill Sans"/>
          <w:noProof/>
          <w:sz w:val="22"/>
          <w:szCs w:val="22"/>
          <w:lang w:val="uk-UA"/>
        </w:rPr>
        <w:t>.</w:t>
      </w:r>
    </w:p>
    <w:p w14:paraId="5337C357" w14:textId="10A5D782" w:rsidR="002F107D" w:rsidRPr="00257F44" w:rsidRDefault="002F107D" w:rsidP="0064500A">
      <w:pPr>
        <w:spacing w:after="120"/>
        <w:rPr>
          <w:rFonts w:ascii="Gill Sans" w:hAnsi="Gill Sans" w:cs="Gill Sans"/>
          <w:sz w:val="22"/>
          <w:szCs w:val="22"/>
          <w:lang w:val="uk-UA"/>
        </w:rPr>
      </w:pPr>
      <w:r w:rsidRPr="00257F44">
        <w:rPr>
          <w:rFonts w:ascii="Gill Sans" w:hAnsi="Gill Sans" w:cs="Gill Sans"/>
          <w:sz w:val="22"/>
          <w:szCs w:val="22"/>
          <w:lang w:val="uk-UA"/>
        </w:rPr>
        <w:lastRenderedPageBreak/>
        <w:t>У липні 2015 року парламент України ухвалив декілька законопроектів</w:t>
      </w:r>
      <w:r w:rsidRPr="00257F44">
        <w:rPr>
          <w:rStyle w:val="EndnoteReference"/>
          <w:rFonts w:ascii="Gill Sans" w:hAnsi="Gill Sans" w:cs="Gill Sans"/>
          <w:noProof/>
          <w:sz w:val="22"/>
          <w:szCs w:val="22"/>
          <w:lang w:val="uk-UA"/>
        </w:rPr>
        <w:endnoteReference w:id="69"/>
      </w:r>
      <w:r w:rsidRPr="00257F44">
        <w:rPr>
          <w:rFonts w:ascii="Gill Sans" w:hAnsi="Gill Sans" w:cs="Gill Sans"/>
          <w:sz w:val="22"/>
          <w:szCs w:val="22"/>
          <w:lang w:val="uk-UA"/>
        </w:rPr>
        <w:t xml:space="preserve"> з метою децентралізації окремих послуг шляхом делегування їх надання органам місцевого самоврядування. Щодо реєстрації транспортних засобів та оформлення посвідчень водія, Уряд повідомив, що він подав до парламенту відповідний законопроект</w:t>
      </w:r>
      <w:r w:rsidRPr="00257F44">
        <w:rPr>
          <w:rStyle w:val="EndnoteReference"/>
          <w:rFonts w:ascii="Gill Sans" w:hAnsi="Gill Sans" w:cs="Gill Sans"/>
          <w:noProof/>
          <w:sz w:val="22"/>
          <w:szCs w:val="22"/>
          <w:lang w:val="uk-UA"/>
        </w:rPr>
        <w:endnoteReference w:id="70"/>
      </w:r>
      <w:r w:rsidRPr="00257F44">
        <w:rPr>
          <w:rFonts w:ascii="Gill Sans" w:hAnsi="Gill Sans" w:cs="Gill Sans"/>
          <w:sz w:val="22"/>
          <w:szCs w:val="22"/>
          <w:lang w:val="uk-UA"/>
        </w:rPr>
        <w:t>.</w:t>
      </w:r>
    </w:p>
    <w:p w14:paraId="43664EB5" w14:textId="42090F44" w:rsidR="00773967" w:rsidRPr="00257F44" w:rsidRDefault="00773967" w:rsidP="0064500A">
      <w:pPr>
        <w:pStyle w:val="Normalrglronly"/>
        <w:rPr>
          <w:lang w:val="uk-UA"/>
        </w:rPr>
      </w:pPr>
      <w:r w:rsidRPr="00257F44">
        <w:rPr>
          <w:b/>
          <w:lang w:val="uk-UA"/>
        </w:rPr>
        <w:t>Підсумковий звіт: Значне виконання</w:t>
      </w:r>
      <w:r w:rsidRPr="00257F44">
        <w:rPr>
          <w:lang w:val="uk-UA"/>
        </w:rPr>
        <w:t xml:space="preserve"> </w:t>
      </w:r>
    </w:p>
    <w:p w14:paraId="39202820" w14:textId="2690D9EB" w:rsidR="002F107D" w:rsidRPr="00257F44" w:rsidRDefault="002F107D" w:rsidP="0064500A">
      <w:pPr>
        <w:pStyle w:val="Normalrglronly"/>
        <w:rPr>
          <w:lang w:val="uk-UA"/>
        </w:rPr>
      </w:pPr>
      <w:r w:rsidRPr="00257F44">
        <w:rPr>
          <w:lang w:val="uk-UA"/>
        </w:rPr>
        <w:t xml:space="preserve">З часу проміжного звіту Верховна Рада України ухвалила низку законопроектів, які було згадано вище: </w:t>
      </w:r>
      <w:r w:rsidRPr="00257F44">
        <w:rPr>
          <w:noProof/>
          <w:lang w:val="uk-UA"/>
        </w:rPr>
        <w:t xml:space="preserve">№ 2982 </w:t>
      </w:r>
      <w:r w:rsidRPr="00257F44">
        <w:rPr>
          <w:rFonts w:cs="Arial"/>
          <w:bCs/>
          <w:color w:val="262626"/>
          <w:lang w:val="uk-UA"/>
        </w:rPr>
        <w:t>(державна реєстрація речових прав на нерухоме майно та їх обтяжень</w:t>
      </w:r>
      <w:r w:rsidRPr="00257F44">
        <w:rPr>
          <w:noProof/>
          <w:lang w:val="uk-UA"/>
        </w:rPr>
        <w:t xml:space="preserve">) та № 2983 </w:t>
      </w:r>
      <w:r w:rsidRPr="00257F44">
        <w:rPr>
          <w:rFonts w:cs="Arial"/>
          <w:bCs/>
          <w:color w:val="262626"/>
          <w:lang w:val="uk-UA"/>
        </w:rPr>
        <w:t xml:space="preserve">(державна реєстрація юридичних осіб) були прийняті в листопаді 2015 року та введені в дію </w:t>
      </w:r>
      <w:r w:rsidR="00066415" w:rsidRPr="00257F44">
        <w:rPr>
          <w:rFonts w:cs="Arial"/>
          <w:bCs/>
          <w:color w:val="262626"/>
          <w:lang w:val="uk-UA"/>
        </w:rPr>
        <w:t>у</w:t>
      </w:r>
      <w:r w:rsidRPr="00257F44">
        <w:rPr>
          <w:rFonts w:cs="Arial"/>
          <w:bCs/>
          <w:color w:val="262626"/>
          <w:lang w:val="uk-UA"/>
        </w:rPr>
        <w:t xml:space="preserve"> грудні 2015 року; </w:t>
      </w:r>
      <w:r w:rsidRPr="00257F44">
        <w:rPr>
          <w:noProof/>
          <w:lang w:val="uk-UA"/>
        </w:rPr>
        <w:t xml:space="preserve">№ 2984 </w:t>
      </w:r>
      <w:r w:rsidRPr="00257F44">
        <w:rPr>
          <w:rFonts w:cs="Arial"/>
          <w:bCs/>
          <w:color w:val="262626"/>
          <w:lang w:val="uk-UA"/>
        </w:rPr>
        <w:t>(делегування функцій щодо внесення відомостей до Державного земельного кадастру) був ухвалений та введений в дію у грудні 2015 року. Законопроект № 2567 (децентралізація реєстрації транспортних засобів через сервісні центри) був ухвалений в першому читанні в липні 2015 року. Нарешті, Міністерство юстиції розробило законопроект з метою реформування системи реєстрації актів цивільного стану.</w:t>
      </w:r>
    </w:p>
    <w:p w14:paraId="7633C658" w14:textId="3F0F42B4" w:rsidR="00BA033F" w:rsidRPr="00257F44" w:rsidRDefault="00773967" w:rsidP="0064500A">
      <w:pPr>
        <w:pStyle w:val="Heading3"/>
        <w:spacing w:after="120"/>
        <w:rPr>
          <w:lang w:val="uk-UA"/>
        </w:rPr>
      </w:pPr>
      <w:r w:rsidRPr="00257F44">
        <w:rPr>
          <w:lang w:val="uk-UA"/>
        </w:rPr>
        <w:t>Чи відкрило це уряд</w:t>
      </w:r>
      <w:r w:rsidR="00BA033F" w:rsidRPr="00257F44">
        <w:rPr>
          <w:lang w:val="uk-UA"/>
        </w:rPr>
        <w:t>?</w:t>
      </w:r>
    </w:p>
    <w:p w14:paraId="11FBB4B0" w14:textId="7C704448" w:rsidR="00DD5EDA" w:rsidRPr="00257F44" w:rsidRDefault="00DD5EDA" w:rsidP="0064500A">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 xml:space="preserve">14. </w:t>
      </w:r>
      <w:r w:rsidR="007C1C2C" w:rsidRPr="00257F44">
        <w:rPr>
          <w:rFonts w:ascii="Gill Sans" w:hAnsi="Gill Sans" w:cs="Gill Sans"/>
          <w:b/>
          <w:noProof/>
          <w:sz w:val="22"/>
          <w:szCs w:val="22"/>
          <w:lang w:val="uk-UA"/>
        </w:rPr>
        <w:t>Впорядкувати плату за надання адміністративних послуг</w:t>
      </w:r>
      <w:r w:rsidRPr="00257F44">
        <w:rPr>
          <w:rFonts w:ascii="Gill Sans" w:hAnsi="Gill Sans" w:cs="Gill Sans"/>
          <w:b/>
          <w:noProof/>
          <w:sz w:val="22"/>
          <w:szCs w:val="22"/>
          <w:lang w:val="uk-UA"/>
        </w:rPr>
        <w:t xml:space="preserve"> </w:t>
      </w:r>
    </w:p>
    <w:p w14:paraId="7C0B6EA7" w14:textId="0489C32A" w:rsidR="00D814EC" w:rsidRPr="00257F44" w:rsidRDefault="00E157A8" w:rsidP="0064500A">
      <w:pPr>
        <w:pStyle w:val="Normalrglronly"/>
        <w:rPr>
          <w:b/>
          <w:lang w:val="uk-UA"/>
        </w:rPr>
      </w:pPr>
      <w:r w:rsidRPr="00257F44">
        <w:rPr>
          <w:b/>
          <w:lang w:val="uk-UA"/>
        </w:rPr>
        <w:t>Доступ до інформації</w:t>
      </w:r>
      <w:r w:rsidR="00D814EC" w:rsidRPr="00257F44">
        <w:rPr>
          <w:b/>
          <w:lang w:val="uk-UA"/>
        </w:rPr>
        <w:t xml:space="preserve">: </w:t>
      </w:r>
      <w:r w:rsidRPr="00257F44">
        <w:rPr>
          <w:b/>
          <w:lang w:val="uk-UA"/>
        </w:rPr>
        <w:t>Не змінило</w:t>
      </w:r>
    </w:p>
    <w:p w14:paraId="5DA0E8A3" w14:textId="7783C029" w:rsidR="00D814EC" w:rsidRPr="00257F44" w:rsidRDefault="00E157A8" w:rsidP="0064500A">
      <w:pPr>
        <w:pStyle w:val="Normalrglronly"/>
        <w:rPr>
          <w:b/>
          <w:lang w:val="uk-UA"/>
        </w:rPr>
      </w:pPr>
      <w:r w:rsidRPr="00257F44">
        <w:rPr>
          <w:b/>
          <w:lang w:val="uk-UA"/>
        </w:rPr>
        <w:t>Громадська участь</w:t>
      </w:r>
      <w:r w:rsidR="00D814EC" w:rsidRPr="00257F44">
        <w:rPr>
          <w:b/>
          <w:lang w:val="uk-UA"/>
        </w:rPr>
        <w:t xml:space="preserve">: </w:t>
      </w:r>
      <w:r w:rsidRPr="00257F44">
        <w:rPr>
          <w:b/>
          <w:lang w:val="uk-UA"/>
        </w:rPr>
        <w:t>Не змінило</w:t>
      </w:r>
    </w:p>
    <w:p w14:paraId="0B6D52BA" w14:textId="1FB56FDF" w:rsidR="00D814EC" w:rsidRPr="00257F44" w:rsidRDefault="00E157A8" w:rsidP="0064500A">
      <w:pPr>
        <w:pStyle w:val="Normalrglronly"/>
        <w:rPr>
          <w:b/>
          <w:lang w:val="uk-UA"/>
        </w:rPr>
      </w:pPr>
      <w:r w:rsidRPr="00257F44">
        <w:rPr>
          <w:b/>
          <w:lang w:val="uk-UA"/>
        </w:rPr>
        <w:t>Підзвітність влади</w:t>
      </w:r>
      <w:r w:rsidR="00D814EC" w:rsidRPr="00257F44">
        <w:rPr>
          <w:b/>
          <w:lang w:val="uk-UA"/>
        </w:rPr>
        <w:t xml:space="preserve">: </w:t>
      </w:r>
      <w:r w:rsidRPr="00257F44">
        <w:rPr>
          <w:b/>
          <w:lang w:val="uk-UA"/>
        </w:rPr>
        <w:t>Не змінило</w:t>
      </w:r>
    </w:p>
    <w:p w14:paraId="1E04E311" w14:textId="0D08D367" w:rsidR="00066415" w:rsidRPr="00257F44" w:rsidRDefault="00066415" w:rsidP="0064500A">
      <w:pPr>
        <w:spacing w:after="120"/>
        <w:rPr>
          <w:rFonts w:ascii="Gill Sans" w:hAnsi="Gill Sans" w:cs="Gill Sans"/>
          <w:sz w:val="22"/>
          <w:szCs w:val="22"/>
          <w:lang w:val="uk-UA"/>
        </w:rPr>
      </w:pPr>
      <w:r w:rsidRPr="00257F44">
        <w:rPr>
          <w:rFonts w:ascii="Gill Sans" w:hAnsi="Gill Sans" w:cs="Gill Sans"/>
          <w:sz w:val="22"/>
          <w:szCs w:val="22"/>
          <w:lang w:val="uk-UA"/>
        </w:rPr>
        <w:t>Відповідність зобов’язання цінностям ПВУ була незрозуміла. Хоча воно й становило важливий крок на шляху до забезпечення кращого надання публічних послуг, не було ясно, яким чином його виконання призведе до покращення доступу до інформації, громадської участі або підзвітності влади. Зобов’язання було черговим кроком у правильному напрямі до децентралізації послуг, але не призвело до значних змін.</w:t>
      </w:r>
    </w:p>
    <w:p w14:paraId="1A14F806" w14:textId="35D11500" w:rsidR="000C1B93" w:rsidRPr="00257F44" w:rsidRDefault="000C1B93" w:rsidP="0064500A">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 xml:space="preserve">16. </w:t>
      </w:r>
      <w:r w:rsidR="007C1C2C" w:rsidRPr="00257F44">
        <w:rPr>
          <w:rFonts w:ascii="Gill Sans" w:hAnsi="Gill Sans" w:cs="Gill Sans"/>
          <w:b/>
          <w:noProof/>
          <w:sz w:val="22"/>
          <w:szCs w:val="22"/>
          <w:lang w:val="uk-UA"/>
        </w:rPr>
        <w:t>Децентралізувати надання адміністративних послуг</w:t>
      </w:r>
    </w:p>
    <w:p w14:paraId="266CC39C" w14:textId="77777777" w:rsidR="00E157A8" w:rsidRPr="00257F44" w:rsidRDefault="00E157A8" w:rsidP="0064500A">
      <w:pPr>
        <w:pStyle w:val="Normalrglronly"/>
        <w:rPr>
          <w:b/>
          <w:lang w:val="uk-UA"/>
        </w:rPr>
      </w:pPr>
      <w:r w:rsidRPr="00257F44">
        <w:rPr>
          <w:b/>
          <w:lang w:val="uk-UA"/>
        </w:rPr>
        <w:t>Доступ до інформації: Не змінило</w:t>
      </w:r>
    </w:p>
    <w:p w14:paraId="3598F6FD" w14:textId="77777777" w:rsidR="00E157A8" w:rsidRPr="00257F44" w:rsidRDefault="00E157A8" w:rsidP="0064500A">
      <w:pPr>
        <w:pStyle w:val="Normalrglronly"/>
        <w:rPr>
          <w:b/>
          <w:lang w:val="uk-UA"/>
        </w:rPr>
      </w:pPr>
      <w:r w:rsidRPr="00257F44">
        <w:rPr>
          <w:b/>
          <w:lang w:val="uk-UA"/>
        </w:rPr>
        <w:t>Громадська участь: Не змінило</w:t>
      </w:r>
    </w:p>
    <w:p w14:paraId="48480E0B" w14:textId="77777777" w:rsidR="00E157A8" w:rsidRPr="00257F44" w:rsidRDefault="00E157A8" w:rsidP="0064500A">
      <w:pPr>
        <w:pStyle w:val="Normalrglronly"/>
        <w:rPr>
          <w:b/>
          <w:lang w:val="uk-UA"/>
        </w:rPr>
      </w:pPr>
      <w:r w:rsidRPr="00257F44">
        <w:rPr>
          <w:b/>
          <w:lang w:val="uk-UA"/>
        </w:rPr>
        <w:t>Підзвітність влади: Не змінило</w:t>
      </w:r>
    </w:p>
    <w:p w14:paraId="4EF43EAE" w14:textId="5DBAA752" w:rsidR="00066415" w:rsidRPr="00257F44" w:rsidRDefault="00066415" w:rsidP="0064500A">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Це зобов’язання не призвело до змін в урядовій практиці в частині, яка стосується цінностей ПВУ, а саме доступу до інформації, громадської участі або підзвітності влади. Децентралізація адміністративних послуг розглядається як важливий захід для зменшення рівня корупції на національному рівні в Україні та посилення підзвітності органів влади, оскільки місцеві органи тепер відповідають за якість наданих послуг. З 2014 року органи влади України впровадили низку реформ для передачі повноважень і відповідальності на місцевий рівень. Відповідно до зобов’язання, були ухвалені закони з метою децентралізації таких послуг: </w:t>
      </w:r>
      <w:r w:rsidRPr="00257F44">
        <w:rPr>
          <w:rFonts w:ascii="Gill Sans" w:hAnsi="Gill Sans" w:cs="Gill Sans"/>
          <w:bCs/>
          <w:color w:val="262626"/>
          <w:sz w:val="22"/>
          <w:szCs w:val="22"/>
          <w:lang w:val="uk-UA"/>
        </w:rPr>
        <w:t>державна реєстрація юридичних осіб, фізичних осіб-підприємців та громадських формувань; державна реєстрація речових прав на нерухоме майно та їх обтяжень</w:t>
      </w:r>
      <w:r w:rsidRPr="00257F44">
        <w:rPr>
          <w:rFonts w:ascii="Gill Sans" w:hAnsi="Gill Sans" w:cs="Gill Sans"/>
          <w:noProof/>
          <w:sz w:val="22"/>
          <w:szCs w:val="22"/>
          <w:lang w:val="uk-UA"/>
        </w:rPr>
        <w:t>;</w:t>
      </w:r>
      <w:r w:rsidRPr="00257F44">
        <w:rPr>
          <w:rFonts w:ascii="Gill Sans" w:hAnsi="Gill Sans" w:cs="Gill Sans"/>
          <w:bCs/>
          <w:color w:val="262626"/>
          <w:sz w:val="22"/>
          <w:szCs w:val="22"/>
          <w:lang w:val="uk-UA"/>
        </w:rPr>
        <w:t xml:space="preserve"> </w:t>
      </w:r>
      <w:r w:rsidRPr="00257F44">
        <w:rPr>
          <w:rFonts w:ascii="Gill Sans" w:hAnsi="Gill Sans" w:cs="Gill Sans"/>
          <w:noProof/>
          <w:sz w:val="22"/>
          <w:szCs w:val="22"/>
          <w:lang w:val="uk-UA"/>
        </w:rPr>
        <w:t>державна реєстрація земельних ділянок; внесення та отримання відомостей з Державного земельного кадастру; оформлення документів, що посвідчують особу; реєстрація місця проживання (перебування) особи. Прооте не всі нові положення були реалізовані на практиці. Як повідомив громадський експерт, з низки технічних та логістичних причин, на практиці відсутня децент</w:t>
      </w:r>
      <w:r w:rsidR="00720761">
        <w:rPr>
          <w:rFonts w:ascii="Gill Sans" w:hAnsi="Gill Sans" w:cs="Gill Sans"/>
          <w:noProof/>
          <w:sz w:val="22"/>
          <w:szCs w:val="22"/>
          <w:lang w:val="uk-UA"/>
        </w:rPr>
        <w:t>р</w:t>
      </w:r>
      <w:r w:rsidRPr="00257F44">
        <w:rPr>
          <w:rFonts w:ascii="Gill Sans" w:hAnsi="Gill Sans" w:cs="Gill Sans"/>
          <w:noProof/>
          <w:sz w:val="22"/>
          <w:szCs w:val="22"/>
          <w:lang w:val="uk-UA"/>
        </w:rPr>
        <w:t xml:space="preserve">алізація таких послуг: оформлення документів, що посвідчують особу, у тому числі для виїзду за кордон (органи місцевого </w:t>
      </w:r>
      <w:r w:rsidRPr="00257F44">
        <w:rPr>
          <w:rFonts w:ascii="Gill Sans" w:hAnsi="Gill Sans" w:cs="Gill Sans"/>
          <w:noProof/>
          <w:sz w:val="22"/>
          <w:szCs w:val="22"/>
          <w:lang w:val="uk-UA"/>
        </w:rPr>
        <w:lastRenderedPageBreak/>
        <w:t>самоврядування та Центри надання адміністративних послуг мають повноваження з установ</w:t>
      </w:r>
      <w:r w:rsidR="00720761">
        <w:rPr>
          <w:rFonts w:ascii="Gill Sans" w:hAnsi="Gill Sans" w:cs="Gill Sans"/>
          <w:noProof/>
          <w:sz w:val="22"/>
          <w:szCs w:val="22"/>
          <w:lang w:val="uk-UA"/>
        </w:rPr>
        <w:t>л</w:t>
      </w:r>
      <w:r w:rsidRPr="00257F44">
        <w:rPr>
          <w:rFonts w:ascii="Gill Sans" w:hAnsi="Gill Sans" w:cs="Gill Sans"/>
          <w:noProof/>
          <w:sz w:val="22"/>
          <w:szCs w:val="22"/>
          <w:lang w:val="uk-UA"/>
        </w:rPr>
        <w:t>ення відповідного обладнання, але це було зроблено лише в небагатьох містах України); державна реєстрація земельних ділянок, а також внесення та отримання відомостей з Державного земельного кадастру</w:t>
      </w:r>
      <w:r w:rsidR="00CD1ED9" w:rsidRPr="00257F44">
        <w:rPr>
          <w:rStyle w:val="EndnoteReference"/>
          <w:rFonts w:ascii="Gill Sans" w:hAnsi="Gill Sans" w:cs="Gill Sans"/>
          <w:noProof/>
          <w:sz w:val="22"/>
          <w:szCs w:val="22"/>
          <w:lang w:val="uk-UA"/>
        </w:rPr>
        <w:endnoteReference w:id="71"/>
      </w:r>
      <w:r w:rsidRPr="00257F44">
        <w:rPr>
          <w:rFonts w:ascii="Gill Sans" w:hAnsi="Gill Sans" w:cs="Gill Sans"/>
          <w:noProof/>
          <w:sz w:val="22"/>
          <w:szCs w:val="22"/>
          <w:lang w:val="uk-UA"/>
        </w:rPr>
        <w:t>.</w:t>
      </w:r>
    </w:p>
    <w:p w14:paraId="4ADB6D1D" w14:textId="77777777" w:rsidR="00281CE5" w:rsidRPr="00257F44" w:rsidRDefault="00281CE5" w:rsidP="0064500A">
      <w:pPr>
        <w:pStyle w:val="Heading3"/>
        <w:spacing w:after="120"/>
        <w:rPr>
          <w:lang w:val="uk-UA"/>
        </w:rPr>
      </w:pPr>
      <w:r w:rsidRPr="00257F44">
        <w:rPr>
          <w:lang w:val="uk-UA"/>
        </w:rPr>
        <w:t>Чи перенесено до наступного плану дій?</w:t>
      </w:r>
    </w:p>
    <w:p w14:paraId="616D2CE2" w14:textId="73E80131" w:rsidR="004B4DA8" w:rsidRPr="00257F44" w:rsidRDefault="004B4DA8" w:rsidP="0064500A">
      <w:pPr>
        <w:spacing w:after="120"/>
        <w:rPr>
          <w:rFonts w:ascii="Gill Sans" w:hAnsi="Gill Sans" w:cs="Gill Sans"/>
          <w:noProof/>
          <w:sz w:val="22"/>
          <w:szCs w:val="22"/>
          <w:lang w:val="uk-UA"/>
        </w:rPr>
      </w:pPr>
      <w:r w:rsidRPr="00257F44">
        <w:rPr>
          <w:rFonts w:ascii="Gill Sans" w:hAnsi="Gill Sans" w:cs="Gill Sans"/>
          <w:noProof/>
          <w:sz w:val="22"/>
          <w:szCs w:val="22"/>
          <w:lang w:val="uk-UA"/>
        </w:rPr>
        <w:t>Зобов’язання № 14 щодо впорядкування плати за надання адміністративних послуг не було перенесено до нового плану дій. Зобов’язання № 16 щодо децентралізації надання адміністративних послуг було перенесено до нового плану дій. Нове зобов’язання передбачає делегування органам місцевого самоврядування повноваження з надання базових адміністративних послуг та/або забезпечення їх надання через центри адміністративних послуг. Це стосується таких послуг: видача паспорта громадянина України та паспорта громадянина України для виїзду за кордон; державна реєстрація земельних ділянок; внесення та отримання інформації з Державного земельного кадастру; державна реєстрація актів цивільного стану. Новий план дій також передбачає створення інформаційної системи моніторингу функціонування центрів надання адміністративних послуг та проведення широкого інформування громадян про роботу системи надання адміністративних послуг.</w:t>
      </w:r>
    </w:p>
    <w:p w14:paraId="281F78B5" w14:textId="77777777" w:rsidR="00BF13AA" w:rsidRPr="00257F44" w:rsidRDefault="00BF13AA" w:rsidP="00797D1E">
      <w:pPr>
        <w:spacing w:after="120"/>
        <w:rPr>
          <w:rFonts w:ascii="Gill Sans" w:hAnsi="Gill Sans" w:cs="Gill Sans"/>
          <w:noProof/>
          <w:sz w:val="22"/>
          <w:szCs w:val="22"/>
          <w:lang w:val="uk-UA"/>
        </w:rPr>
        <w:sectPr w:rsidR="00BF13AA" w:rsidRPr="00257F44" w:rsidSect="00F561B7">
          <w:endnotePr>
            <w:numFmt w:val="decimal"/>
            <w:numRestart w:val="eachSect"/>
          </w:endnotePr>
          <w:pgSz w:w="12240" w:h="15840"/>
          <w:pgMar w:top="1440" w:right="1800" w:bottom="1440" w:left="1800" w:header="720" w:footer="720" w:gutter="0"/>
          <w:cols w:space="720"/>
          <w:docGrid w:linePitch="360"/>
        </w:sectPr>
      </w:pPr>
    </w:p>
    <w:p w14:paraId="7C137E3D" w14:textId="77777777" w:rsidR="00F41454" w:rsidRPr="00257F44" w:rsidRDefault="00F41454" w:rsidP="00F41454">
      <w:pPr>
        <w:pStyle w:val="Heading2"/>
        <w:spacing w:before="0" w:after="120"/>
        <w:rPr>
          <w:rFonts w:eastAsiaTheme="minorEastAsia"/>
          <w:bCs w:val="0"/>
          <w:color w:val="222222"/>
          <w:sz w:val="22"/>
          <w:szCs w:val="22"/>
          <w:lang w:val="uk-UA"/>
        </w:rPr>
      </w:pPr>
      <w:r w:rsidRPr="00257F44">
        <w:rPr>
          <w:rFonts w:eastAsiaTheme="minorEastAsia"/>
          <w:bCs w:val="0"/>
          <w:color w:val="222222"/>
          <w:sz w:val="22"/>
          <w:szCs w:val="22"/>
          <w:lang w:val="uk-UA"/>
        </w:rPr>
        <w:lastRenderedPageBreak/>
        <w:t>15. Веб-портал адміністративних</w:t>
      </w:r>
      <w:r w:rsidRPr="00257F44">
        <w:rPr>
          <w:noProof/>
          <w:lang w:val="uk-UA"/>
        </w:rPr>
        <w:t xml:space="preserve"> </w:t>
      </w:r>
    </w:p>
    <w:p w14:paraId="12DEF48E" w14:textId="77777777" w:rsidR="00F41454" w:rsidRPr="00257F44" w:rsidRDefault="00F41454" w:rsidP="00F41454">
      <w:pPr>
        <w:spacing w:after="120"/>
        <w:rPr>
          <w:rFonts w:ascii="Gill Sans" w:hAnsi="Gill Sans" w:cs="Gill Sans"/>
          <w:i/>
          <w:noProof/>
          <w:sz w:val="22"/>
          <w:szCs w:val="22"/>
          <w:lang w:val="uk-UA"/>
        </w:rPr>
      </w:pPr>
      <w:r w:rsidRPr="00257F44">
        <w:rPr>
          <w:rFonts w:ascii="Gill Sans" w:hAnsi="Gill Sans" w:cs="Gill Sans"/>
          <w:b/>
          <w:bCs/>
          <w:iCs/>
          <w:noProof/>
          <w:sz w:val="22"/>
          <w:szCs w:val="22"/>
          <w:lang w:val="uk-UA"/>
        </w:rPr>
        <w:t>Текст зобов’язання:</w:t>
      </w:r>
      <w:r w:rsidRPr="00257F44">
        <w:rPr>
          <w:rFonts w:ascii="Gill Sans" w:hAnsi="Gill Sans" w:cs="Gill Sans"/>
          <w:i/>
          <w:noProof/>
          <w:sz w:val="22"/>
          <w:szCs w:val="22"/>
          <w:lang w:val="uk-UA"/>
        </w:rPr>
        <w:t xml:space="preserve"> 15. Впровадження пілотної версії Єдиного державного порталу адміністративних послуг для забезпечення доступу суб’єктів звернення до інформації про адміністративні послуги та суб’єктів надання таких послуг.</w:t>
      </w:r>
    </w:p>
    <w:p w14:paraId="0E58B1F2" w14:textId="77777777" w:rsidR="00F41454" w:rsidRPr="00257F44" w:rsidRDefault="00F41454" w:rsidP="00F41454">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впровадження пілотної версії Єдиного державного порталу адміністративних послуг (у разі передбачення необхідного фінансування).</w:t>
      </w:r>
    </w:p>
    <w:p w14:paraId="7BAF59E4" w14:textId="77777777" w:rsidR="00F41454" w:rsidRPr="00257F44" w:rsidRDefault="00F41454" w:rsidP="00F41454">
      <w:pPr>
        <w:spacing w:after="120"/>
        <w:rPr>
          <w:rFonts w:ascii="Gill Sans" w:hAnsi="Gill Sans" w:cs="Gill Sans"/>
          <w:noProof/>
          <w:sz w:val="22"/>
          <w:szCs w:val="22"/>
          <w:lang w:val="uk-UA"/>
        </w:rPr>
      </w:pPr>
      <w:r w:rsidRPr="00257F44">
        <w:rPr>
          <w:rFonts w:ascii="Gill Sans" w:hAnsi="Gill Sans" w:cs="Gill Sans"/>
          <w:noProof/>
          <w:sz w:val="22"/>
          <w:szCs w:val="22"/>
          <w:lang w:val="uk-UA"/>
        </w:rPr>
        <w:t>Головна інституція, відповідальна за виконання: Міністерство економічного розвитку.</w:t>
      </w:r>
    </w:p>
    <w:p w14:paraId="11187CE3" w14:textId="77777777" w:rsidR="00F41454" w:rsidRPr="00257F44" w:rsidRDefault="00F41454" w:rsidP="00F41454">
      <w:pPr>
        <w:spacing w:after="120"/>
        <w:rPr>
          <w:rFonts w:ascii="Gill Sans" w:hAnsi="Gill Sans" w:cs="Gill Sans"/>
          <w:noProof/>
          <w:sz w:val="22"/>
          <w:szCs w:val="22"/>
          <w:lang w:val="uk-UA"/>
        </w:rPr>
      </w:pPr>
      <w:r w:rsidRPr="00257F44">
        <w:rPr>
          <w:rFonts w:ascii="Gill Sans" w:hAnsi="Gill Sans" w:cs="Gill Sans"/>
          <w:noProof/>
          <w:sz w:val="22"/>
          <w:szCs w:val="22"/>
          <w:lang w:val="uk-UA"/>
        </w:rPr>
        <w:t>Інші виконавці: Міністерство фінансів, Державне агентство з питань електронного урядування, невизначені організації громадянського суспільства та міжнародні організації,</w:t>
      </w:r>
    </w:p>
    <w:p w14:paraId="737BCA15" w14:textId="77777777" w:rsidR="00F41454" w:rsidRPr="00257F44" w:rsidRDefault="00F41454" w:rsidP="00F41454">
      <w:pPr>
        <w:spacing w:after="120"/>
        <w:rPr>
          <w:rFonts w:ascii="Gill Sans" w:hAnsi="Gill Sans" w:cs="Gill Sans"/>
          <w:noProof/>
          <w:sz w:val="22"/>
          <w:szCs w:val="22"/>
          <w:lang w:val="uk-UA"/>
        </w:rPr>
      </w:pPr>
      <w:r w:rsidRPr="00257F44">
        <w:rPr>
          <w:rFonts w:ascii="Gill Sans" w:hAnsi="Gill Sans" w:cs="Gill Sans"/>
          <w:noProof/>
          <w:sz w:val="22"/>
          <w:szCs w:val="22"/>
          <w:lang w:val="uk-UA"/>
        </w:rPr>
        <w:t>Дата початку: Не визначено</w:t>
      </w:r>
      <w:r w:rsidRPr="00257F44">
        <w:rPr>
          <w:rFonts w:ascii="Gill Sans" w:hAnsi="Gill Sans" w:cs="Gill Sans"/>
          <w:noProof/>
          <w:sz w:val="22"/>
          <w:szCs w:val="22"/>
          <w:lang w:val="uk-UA"/>
        </w:rPr>
        <w:tab/>
      </w:r>
      <w:r w:rsidRPr="00257F44">
        <w:rPr>
          <w:rFonts w:ascii="Gill Sans" w:hAnsi="Gill Sans" w:cs="Gill Sans"/>
          <w:noProof/>
          <w:sz w:val="22"/>
          <w:szCs w:val="22"/>
          <w:lang w:val="uk-UA"/>
        </w:rPr>
        <w:tab/>
      </w:r>
      <w:r w:rsidRPr="00257F44">
        <w:rPr>
          <w:rFonts w:ascii="Gill Sans" w:hAnsi="Gill Sans" w:cs="Gill Sans"/>
          <w:noProof/>
          <w:sz w:val="22"/>
          <w:szCs w:val="22"/>
          <w:lang w:val="uk-UA"/>
        </w:rPr>
        <w:tab/>
      </w:r>
      <w:r w:rsidRPr="00257F44">
        <w:rPr>
          <w:rFonts w:ascii="Gill Sans" w:hAnsi="Gill Sans" w:cs="Gill Sans"/>
          <w:noProof/>
          <w:sz w:val="22"/>
          <w:szCs w:val="22"/>
          <w:lang w:val="uk-UA"/>
        </w:rPr>
        <w:tab/>
        <w:t>Термін виконання: 31 жовтня 2015 р.</w:t>
      </w:r>
    </w:p>
    <w:tbl>
      <w:tblPr>
        <w:tblW w:w="10179"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483"/>
        <w:gridCol w:w="423"/>
        <w:gridCol w:w="346"/>
        <w:gridCol w:w="347"/>
        <w:gridCol w:w="369"/>
        <w:gridCol w:w="369"/>
        <w:gridCol w:w="369"/>
        <w:gridCol w:w="836"/>
        <w:gridCol w:w="337"/>
        <w:gridCol w:w="344"/>
        <w:gridCol w:w="423"/>
        <w:gridCol w:w="344"/>
        <w:gridCol w:w="476"/>
        <w:gridCol w:w="525"/>
        <w:gridCol w:w="525"/>
        <w:gridCol w:w="410"/>
        <w:gridCol w:w="344"/>
        <w:gridCol w:w="342"/>
        <w:gridCol w:w="344"/>
        <w:gridCol w:w="344"/>
        <w:gridCol w:w="423"/>
      </w:tblGrid>
      <w:tr w:rsidR="00F41454" w:rsidRPr="00257F44" w14:paraId="65749643" w14:textId="77777777" w:rsidTr="00B223BA">
        <w:trPr>
          <w:trHeight w:val="405"/>
        </w:trPr>
        <w:tc>
          <w:tcPr>
            <w:tcW w:w="1456" w:type="dxa"/>
            <w:vMerge w:val="restart"/>
            <w:tcBorders>
              <w:top w:val="single" w:sz="18" w:space="0" w:color="FFFFFF"/>
              <w:left w:val="single" w:sz="4" w:space="0" w:color="FFFFFF"/>
              <w:right w:val="single" w:sz="18" w:space="0" w:color="FFFFFF"/>
            </w:tcBorders>
            <w:shd w:val="clear" w:color="auto" w:fill="000000"/>
          </w:tcPr>
          <w:p w14:paraId="1CBEEE4D" w14:textId="59360349" w:rsidR="00F41454" w:rsidRPr="00257F44" w:rsidRDefault="00F41454" w:rsidP="00D6486B">
            <w:pPr>
              <w:rPr>
                <w:rFonts w:ascii="Gill Sans" w:hAnsi="Gill Sans" w:cs="Gill Sans"/>
                <w:color w:val="FFFFFF" w:themeColor="background1"/>
                <w:sz w:val="22"/>
                <w:szCs w:val="22"/>
                <w:lang w:val="uk-UA"/>
              </w:rPr>
            </w:pPr>
            <w:r w:rsidRPr="00257F44">
              <w:rPr>
                <w:rFonts w:ascii="Gill Sans" w:hAnsi="Gill Sans" w:cs="Gill Sans"/>
                <w:sz w:val="20"/>
                <w:szCs w:val="20"/>
                <w:lang w:val="uk-UA"/>
              </w:rPr>
              <w:t>Опис зобов’язання</w:t>
            </w:r>
          </w:p>
        </w:tc>
        <w:tc>
          <w:tcPr>
            <w:tcW w:w="1599" w:type="dxa"/>
            <w:gridSpan w:val="4"/>
            <w:vMerge w:val="restart"/>
            <w:tcBorders>
              <w:top w:val="single" w:sz="18" w:space="0" w:color="FFFFFF"/>
              <w:left w:val="single" w:sz="18" w:space="0" w:color="FFFFFF"/>
              <w:right w:val="single" w:sz="18" w:space="0" w:color="FFFFFF"/>
            </w:tcBorders>
            <w:shd w:val="clear" w:color="auto" w:fill="D6E3BC"/>
          </w:tcPr>
          <w:p w14:paraId="63C8BEFC" w14:textId="25F819F6"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Конкретність</w:t>
            </w:r>
          </w:p>
        </w:tc>
        <w:tc>
          <w:tcPr>
            <w:tcW w:w="1943" w:type="dxa"/>
            <w:gridSpan w:val="4"/>
            <w:vMerge w:val="restart"/>
            <w:tcBorders>
              <w:top w:val="single" w:sz="18" w:space="0" w:color="FFFFFF"/>
              <w:left w:val="single" w:sz="18" w:space="0" w:color="FFFFFF"/>
              <w:right w:val="single" w:sz="18" w:space="0" w:color="FFFFFF"/>
            </w:tcBorders>
            <w:shd w:val="clear" w:color="auto" w:fill="FBD4B4"/>
          </w:tcPr>
          <w:p w14:paraId="2753C089" w14:textId="7E5281A3"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Відповідність цінностям ПВУ (як сформульовано)</w:t>
            </w:r>
          </w:p>
        </w:tc>
        <w:tc>
          <w:tcPr>
            <w:tcW w:w="1448" w:type="dxa"/>
            <w:gridSpan w:val="4"/>
            <w:vMerge w:val="restart"/>
            <w:tcBorders>
              <w:top w:val="single" w:sz="18" w:space="0" w:color="FFFFFF"/>
              <w:left w:val="single" w:sz="18" w:space="0" w:color="FFFFFF"/>
              <w:right w:val="single" w:sz="18" w:space="0" w:color="FFFFFF"/>
            </w:tcBorders>
            <w:shd w:val="clear" w:color="auto" w:fill="CCC0D9"/>
          </w:tcPr>
          <w:p w14:paraId="530E0C54" w14:textId="5E4F0C60"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Потенційний вплив</w:t>
            </w:r>
          </w:p>
        </w:tc>
        <w:tc>
          <w:tcPr>
            <w:tcW w:w="1001" w:type="dxa"/>
            <w:gridSpan w:val="2"/>
            <w:vMerge w:val="restart"/>
            <w:tcBorders>
              <w:top w:val="single" w:sz="18" w:space="0" w:color="FFFFFF"/>
              <w:left w:val="single" w:sz="18" w:space="0" w:color="FFFFFF"/>
              <w:right w:val="single" w:sz="2" w:space="0" w:color="FFFFFF"/>
            </w:tcBorders>
            <w:shd w:val="clear" w:color="auto" w:fill="B8CCE4"/>
          </w:tcPr>
          <w:p w14:paraId="5CFBD412" w14:textId="5E1A7109"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Стан вико-нання</w:t>
            </w:r>
          </w:p>
        </w:tc>
        <w:tc>
          <w:tcPr>
            <w:tcW w:w="935"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4403A369" w14:textId="42E4195E"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Про-міжний</w:t>
            </w:r>
          </w:p>
        </w:tc>
        <w:tc>
          <w:tcPr>
            <w:tcW w:w="1797" w:type="dxa"/>
            <w:gridSpan w:val="5"/>
            <w:vMerge w:val="restart"/>
            <w:tcBorders>
              <w:top w:val="single" w:sz="18" w:space="0" w:color="FFFFFF"/>
              <w:left w:val="single" w:sz="18" w:space="0" w:color="FFFFFF"/>
              <w:right w:val="single" w:sz="18" w:space="0" w:color="FFFFFF"/>
            </w:tcBorders>
            <w:shd w:val="clear" w:color="auto" w:fill="D99594"/>
          </w:tcPr>
          <w:p w14:paraId="5AA0CA0F" w14:textId="07A8BC93"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Чи відкрило це уряд?</w:t>
            </w:r>
          </w:p>
        </w:tc>
      </w:tr>
      <w:tr w:rsidR="00D6486B" w:rsidRPr="00257F44" w14:paraId="19AFE52F" w14:textId="77777777" w:rsidTr="00B223BA">
        <w:trPr>
          <w:trHeight w:val="373"/>
        </w:trPr>
        <w:tc>
          <w:tcPr>
            <w:tcW w:w="1456" w:type="dxa"/>
            <w:vMerge/>
            <w:tcBorders>
              <w:left w:val="single" w:sz="4" w:space="0" w:color="FFFFFF"/>
              <w:right w:val="single" w:sz="18" w:space="0" w:color="FFFFFF"/>
            </w:tcBorders>
            <w:shd w:val="clear" w:color="auto" w:fill="000000"/>
          </w:tcPr>
          <w:p w14:paraId="44B568FF" w14:textId="64691948" w:rsidR="00D6486B" w:rsidRPr="00257F44" w:rsidRDefault="00D6486B" w:rsidP="00D6486B">
            <w:pPr>
              <w:rPr>
                <w:rFonts w:ascii="Gill Sans" w:hAnsi="Gill Sans" w:cs="Gill Sans"/>
                <w:color w:val="FFFFFF" w:themeColor="background1"/>
                <w:sz w:val="22"/>
                <w:szCs w:val="22"/>
                <w:lang w:val="uk-UA"/>
              </w:rPr>
            </w:pPr>
          </w:p>
        </w:tc>
        <w:tc>
          <w:tcPr>
            <w:tcW w:w="1599" w:type="dxa"/>
            <w:gridSpan w:val="4"/>
            <w:vMerge/>
            <w:tcBorders>
              <w:left w:val="single" w:sz="18" w:space="0" w:color="FFFFFF"/>
              <w:bottom w:val="single" w:sz="18" w:space="0" w:color="FFFFFF"/>
              <w:right w:val="single" w:sz="18" w:space="0" w:color="FFFFFF"/>
            </w:tcBorders>
            <w:shd w:val="clear" w:color="auto" w:fill="D6E3BC"/>
          </w:tcPr>
          <w:p w14:paraId="7E89E49C" w14:textId="77777777" w:rsidR="00D6486B" w:rsidRPr="00257F44" w:rsidRDefault="00D6486B" w:rsidP="00D6486B">
            <w:pPr>
              <w:rPr>
                <w:rFonts w:ascii="Gill Sans" w:hAnsi="Gill Sans" w:cs="Gill Sans"/>
                <w:sz w:val="22"/>
                <w:szCs w:val="22"/>
                <w:lang w:val="uk-UA"/>
              </w:rPr>
            </w:pPr>
          </w:p>
        </w:tc>
        <w:tc>
          <w:tcPr>
            <w:tcW w:w="1943" w:type="dxa"/>
            <w:gridSpan w:val="4"/>
            <w:vMerge/>
            <w:tcBorders>
              <w:left w:val="single" w:sz="18" w:space="0" w:color="FFFFFF"/>
              <w:bottom w:val="single" w:sz="18" w:space="0" w:color="FFFFFF"/>
              <w:right w:val="single" w:sz="18" w:space="0" w:color="FFFFFF"/>
            </w:tcBorders>
            <w:shd w:val="clear" w:color="auto" w:fill="FBD4B4"/>
          </w:tcPr>
          <w:p w14:paraId="0B143D0B" w14:textId="77777777" w:rsidR="00D6486B" w:rsidRPr="00257F44" w:rsidRDefault="00D6486B" w:rsidP="00D6486B">
            <w:pPr>
              <w:rPr>
                <w:rFonts w:ascii="Gill Sans" w:hAnsi="Gill Sans" w:cs="Gill Sans"/>
                <w:sz w:val="22"/>
                <w:szCs w:val="22"/>
                <w:lang w:val="uk-UA"/>
              </w:rPr>
            </w:pPr>
          </w:p>
        </w:tc>
        <w:tc>
          <w:tcPr>
            <w:tcW w:w="1448" w:type="dxa"/>
            <w:gridSpan w:val="4"/>
            <w:vMerge/>
            <w:tcBorders>
              <w:left w:val="single" w:sz="18" w:space="0" w:color="FFFFFF"/>
              <w:bottom w:val="single" w:sz="18" w:space="0" w:color="FFFFFF"/>
              <w:right w:val="single" w:sz="18" w:space="0" w:color="FFFFFF"/>
            </w:tcBorders>
            <w:shd w:val="clear" w:color="auto" w:fill="CCC0D9"/>
          </w:tcPr>
          <w:p w14:paraId="227698F4" w14:textId="77777777" w:rsidR="00D6486B" w:rsidRPr="00257F44" w:rsidRDefault="00D6486B" w:rsidP="00D6486B">
            <w:pPr>
              <w:rPr>
                <w:rFonts w:ascii="Gill Sans" w:hAnsi="Gill Sans" w:cs="Gill Sans"/>
                <w:sz w:val="22"/>
                <w:szCs w:val="22"/>
                <w:lang w:val="uk-UA"/>
              </w:rPr>
            </w:pPr>
          </w:p>
        </w:tc>
        <w:tc>
          <w:tcPr>
            <w:tcW w:w="1001" w:type="dxa"/>
            <w:gridSpan w:val="2"/>
            <w:vMerge/>
            <w:tcBorders>
              <w:left w:val="single" w:sz="18" w:space="0" w:color="FFFFFF"/>
              <w:bottom w:val="single" w:sz="18" w:space="0" w:color="FFFFFF"/>
              <w:right w:val="single" w:sz="2" w:space="0" w:color="FFFFFF"/>
            </w:tcBorders>
            <w:shd w:val="clear" w:color="auto" w:fill="B8CCE4"/>
          </w:tcPr>
          <w:p w14:paraId="3AD686D5" w14:textId="77777777" w:rsidR="00D6486B" w:rsidRPr="00257F44" w:rsidRDefault="00D6486B" w:rsidP="00D6486B">
            <w:pPr>
              <w:rPr>
                <w:rFonts w:ascii="Gill Sans" w:hAnsi="Gill Sans" w:cs="Gill Sans"/>
                <w:sz w:val="22"/>
                <w:szCs w:val="22"/>
                <w:lang w:val="uk-UA"/>
              </w:rPr>
            </w:pPr>
          </w:p>
        </w:tc>
        <w:tc>
          <w:tcPr>
            <w:tcW w:w="935"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52FF6A13" w14:textId="79D20A58" w:rsidR="00D6486B" w:rsidRPr="00257F44" w:rsidRDefault="00F41454" w:rsidP="00D6486B">
            <w:pPr>
              <w:rPr>
                <w:rFonts w:ascii="Gill Sans" w:hAnsi="Gill Sans" w:cs="Gill Sans"/>
                <w:sz w:val="20"/>
                <w:szCs w:val="20"/>
                <w:lang w:val="uk-UA"/>
              </w:rPr>
            </w:pPr>
            <w:r w:rsidRPr="00257F44">
              <w:rPr>
                <w:rFonts w:ascii="Gill Sans" w:hAnsi="Gill Sans" w:cs="Gill Sans"/>
                <w:sz w:val="20"/>
                <w:szCs w:val="20"/>
                <w:lang w:val="uk-UA"/>
              </w:rPr>
              <w:t>Підсум-ковий</w:t>
            </w:r>
          </w:p>
        </w:tc>
        <w:tc>
          <w:tcPr>
            <w:tcW w:w="1797" w:type="dxa"/>
            <w:gridSpan w:val="5"/>
            <w:vMerge/>
            <w:tcBorders>
              <w:left w:val="single" w:sz="18" w:space="0" w:color="FFFFFF"/>
              <w:bottom w:val="single" w:sz="18" w:space="0" w:color="FFFFFF"/>
              <w:right w:val="single" w:sz="18" w:space="0" w:color="FFFFFF"/>
            </w:tcBorders>
            <w:shd w:val="clear" w:color="auto" w:fill="D99594"/>
          </w:tcPr>
          <w:p w14:paraId="2B954CCB" w14:textId="77777777" w:rsidR="00D6486B" w:rsidRPr="00257F44" w:rsidRDefault="00D6486B" w:rsidP="00D6486B">
            <w:pPr>
              <w:rPr>
                <w:rFonts w:ascii="Gill Sans" w:hAnsi="Gill Sans" w:cs="Gill Sans"/>
                <w:sz w:val="22"/>
                <w:szCs w:val="22"/>
                <w:lang w:val="uk-UA"/>
              </w:rPr>
            </w:pPr>
          </w:p>
        </w:tc>
      </w:tr>
      <w:tr w:rsidR="00F41454" w:rsidRPr="00257F44" w14:paraId="4DCC2C5C" w14:textId="77777777" w:rsidTr="00D75AEE">
        <w:trPr>
          <w:cantSplit/>
          <w:trHeight w:val="2336"/>
        </w:trPr>
        <w:tc>
          <w:tcPr>
            <w:tcW w:w="1456" w:type="dxa"/>
            <w:vMerge/>
            <w:tcBorders>
              <w:left w:val="single" w:sz="4" w:space="0" w:color="FFFFFF"/>
              <w:right w:val="single" w:sz="18" w:space="0" w:color="FFFFFF"/>
            </w:tcBorders>
            <w:shd w:val="clear" w:color="auto" w:fill="000000"/>
          </w:tcPr>
          <w:p w14:paraId="0BF802F6" w14:textId="24CD806A" w:rsidR="00F41454" w:rsidRPr="00257F44" w:rsidRDefault="00F41454" w:rsidP="00D6486B">
            <w:pPr>
              <w:rPr>
                <w:rFonts w:ascii="Gill Sans" w:hAnsi="Gill Sans" w:cs="Gill Sans"/>
                <w:color w:val="FFFFFF" w:themeColor="background1"/>
                <w:sz w:val="22"/>
                <w:szCs w:val="22"/>
                <w:lang w:val="uk-UA"/>
              </w:rPr>
            </w:pPr>
          </w:p>
        </w:tc>
        <w:tc>
          <w:tcPr>
            <w:tcW w:w="483"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44964466" w14:textId="47A94288"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Відсутня</w:t>
            </w:r>
          </w:p>
        </w:tc>
        <w:tc>
          <w:tcPr>
            <w:tcW w:w="423"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53CADD43" w14:textId="5E9A6BC3"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Низька</w:t>
            </w:r>
          </w:p>
        </w:tc>
        <w:tc>
          <w:tcPr>
            <w:tcW w:w="346"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289735DF" w14:textId="56A02323"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Середня</w:t>
            </w:r>
          </w:p>
        </w:tc>
        <w:tc>
          <w:tcPr>
            <w:tcW w:w="347"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4BFA8061" w14:textId="7F1B9B1C"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Висока</w:t>
            </w:r>
          </w:p>
        </w:tc>
        <w:tc>
          <w:tcPr>
            <w:tcW w:w="369"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641BF74E" w14:textId="51D94680"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Доступ до інформації</w:t>
            </w:r>
          </w:p>
        </w:tc>
        <w:tc>
          <w:tcPr>
            <w:tcW w:w="369"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1FEB6506" w14:textId="1CCE1DCE"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Громадська участь</w:t>
            </w:r>
          </w:p>
        </w:tc>
        <w:tc>
          <w:tcPr>
            <w:tcW w:w="369"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248F4A0F" w14:textId="62238C33"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Підзвітність влади</w:t>
            </w:r>
          </w:p>
        </w:tc>
        <w:tc>
          <w:tcPr>
            <w:tcW w:w="836"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2818E1BD" w14:textId="416241D3"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Технології та інновації для прозорості й підзвітності</w:t>
            </w:r>
          </w:p>
        </w:tc>
        <w:tc>
          <w:tcPr>
            <w:tcW w:w="337"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5D98E3A7" w14:textId="7034173B"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Жодного</w:t>
            </w:r>
          </w:p>
        </w:tc>
        <w:tc>
          <w:tcPr>
            <w:tcW w:w="344"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4D626F42" w14:textId="6638B076"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Незначний</w:t>
            </w:r>
          </w:p>
        </w:tc>
        <w:tc>
          <w:tcPr>
            <w:tcW w:w="423"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54531EE7" w14:textId="6C2ECEE9"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Помірний</w:t>
            </w:r>
          </w:p>
        </w:tc>
        <w:tc>
          <w:tcPr>
            <w:tcW w:w="344"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13D55B4A" w14:textId="48F638DA"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Трансформуючий</w:t>
            </w:r>
          </w:p>
        </w:tc>
        <w:tc>
          <w:tcPr>
            <w:tcW w:w="476"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7B1BD16A" w14:textId="1605082D"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Не розпочато</w:t>
            </w:r>
          </w:p>
        </w:tc>
        <w:tc>
          <w:tcPr>
            <w:tcW w:w="525"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753DBDCD" w14:textId="4E17173A"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Обмежене</w:t>
            </w:r>
          </w:p>
        </w:tc>
        <w:tc>
          <w:tcPr>
            <w:tcW w:w="525"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5CA749B2" w14:textId="2B35FAD3"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Значне</w:t>
            </w:r>
          </w:p>
        </w:tc>
        <w:tc>
          <w:tcPr>
            <w:tcW w:w="410"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18C324FB" w14:textId="5EE58E25"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Повне</w:t>
            </w:r>
          </w:p>
        </w:tc>
        <w:tc>
          <w:tcPr>
            <w:tcW w:w="344"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116E7991" w14:textId="1CBF4956"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Погіршило</w:t>
            </w:r>
          </w:p>
        </w:tc>
        <w:tc>
          <w:tcPr>
            <w:tcW w:w="34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563A74FC" w14:textId="02C18887"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Не змінило</w:t>
            </w:r>
          </w:p>
        </w:tc>
        <w:tc>
          <w:tcPr>
            <w:tcW w:w="344"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BA6C210" w14:textId="5BF8074D"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Обмежено</w:t>
            </w:r>
          </w:p>
        </w:tc>
        <w:tc>
          <w:tcPr>
            <w:tcW w:w="344"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676FA378" w14:textId="1F7CBDE6"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Значною мірою</w:t>
            </w:r>
          </w:p>
        </w:tc>
        <w:tc>
          <w:tcPr>
            <w:tcW w:w="423"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40DF339F" w14:textId="5090171E" w:rsidR="00F41454" w:rsidRPr="00257F44" w:rsidRDefault="00F41454" w:rsidP="00D6486B">
            <w:pPr>
              <w:rPr>
                <w:rFonts w:ascii="Gill Sans" w:hAnsi="Gill Sans" w:cs="Gill Sans"/>
                <w:sz w:val="22"/>
                <w:szCs w:val="22"/>
                <w:lang w:val="uk-UA"/>
              </w:rPr>
            </w:pPr>
            <w:r w:rsidRPr="00257F44">
              <w:rPr>
                <w:rFonts w:ascii="Gill Sans" w:hAnsi="Gill Sans" w:cs="Gill Sans"/>
                <w:sz w:val="20"/>
                <w:szCs w:val="20"/>
                <w:lang w:val="uk-UA"/>
              </w:rPr>
              <w:t>Визначною мірою</w:t>
            </w:r>
          </w:p>
        </w:tc>
      </w:tr>
      <w:tr w:rsidR="00D6486B" w:rsidRPr="00257F44" w14:paraId="1495278A" w14:textId="77777777" w:rsidTr="00B223BA">
        <w:trPr>
          <w:trHeight w:val="340"/>
        </w:trPr>
        <w:tc>
          <w:tcPr>
            <w:tcW w:w="1456" w:type="dxa"/>
            <w:vMerge/>
            <w:tcBorders>
              <w:left w:val="single" w:sz="4" w:space="0" w:color="FFFFFF"/>
              <w:right w:val="single" w:sz="18" w:space="0" w:color="FFFFFF"/>
            </w:tcBorders>
            <w:shd w:val="clear" w:color="auto" w:fill="000000"/>
          </w:tcPr>
          <w:p w14:paraId="2CCE97D8" w14:textId="0FA0F782" w:rsidR="00D6486B" w:rsidRPr="00257F44" w:rsidRDefault="00D6486B" w:rsidP="00D6486B">
            <w:pPr>
              <w:rPr>
                <w:rFonts w:ascii="Gill Sans" w:hAnsi="Gill Sans" w:cs="Gill Sans"/>
                <w:noProof/>
                <w:color w:val="FFFFFF" w:themeColor="background1"/>
                <w:sz w:val="22"/>
                <w:szCs w:val="22"/>
                <w:lang w:val="uk-UA"/>
              </w:rPr>
            </w:pPr>
          </w:p>
        </w:tc>
        <w:tc>
          <w:tcPr>
            <w:tcW w:w="483" w:type="dxa"/>
            <w:vMerge w:val="restart"/>
            <w:tcBorders>
              <w:top w:val="single" w:sz="18" w:space="0" w:color="FFFFFF"/>
              <w:left w:val="single" w:sz="18" w:space="0" w:color="FFFFFF"/>
              <w:right w:val="single" w:sz="2" w:space="0" w:color="FFFFFF"/>
            </w:tcBorders>
            <w:shd w:val="clear" w:color="auto" w:fill="D6E3BC"/>
          </w:tcPr>
          <w:p w14:paraId="0CA40BD2" w14:textId="77777777" w:rsidR="00D6486B" w:rsidRPr="00257F44" w:rsidRDefault="00D6486B" w:rsidP="00D6486B">
            <w:pPr>
              <w:jc w:val="center"/>
              <w:rPr>
                <w:rFonts w:ascii="Gill Sans" w:hAnsi="Gill Sans" w:cs="Gill Sans"/>
                <w:sz w:val="22"/>
                <w:szCs w:val="22"/>
                <w:lang w:val="uk-UA"/>
              </w:rPr>
            </w:pPr>
          </w:p>
        </w:tc>
        <w:tc>
          <w:tcPr>
            <w:tcW w:w="423" w:type="dxa"/>
            <w:vMerge w:val="restart"/>
            <w:tcBorders>
              <w:top w:val="single" w:sz="18" w:space="0" w:color="FFFFFF"/>
              <w:left w:val="single" w:sz="2" w:space="0" w:color="FFFFFF"/>
              <w:right w:val="single" w:sz="2" w:space="0" w:color="FFFFFF"/>
            </w:tcBorders>
            <w:shd w:val="clear" w:color="auto" w:fill="D6E3BC"/>
          </w:tcPr>
          <w:p w14:paraId="0C661C4F" w14:textId="77777777" w:rsidR="00D6486B" w:rsidRPr="00257F44" w:rsidRDefault="00D6486B" w:rsidP="00D6486B">
            <w:pPr>
              <w:jc w:val="center"/>
              <w:rPr>
                <w:rFonts w:ascii="Gill Sans" w:hAnsi="Gill Sans" w:cs="Gill Sans"/>
                <w:sz w:val="22"/>
                <w:szCs w:val="22"/>
                <w:lang w:val="uk-UA"/>
              </w:rPr>
            </w:pPr>
          </w:p>
        </w:tc>
        <w:tc>
          <w:tcPr>
            <w:tcW w:w="346" w:type="dxa"/>
            <w:vMerge w:val="restart"/>
            <w:tcBorders>
              <w:top w:val="single" w:sz="18" w:space="0" w:color="FFFFFF"/>
              <w:left w:val="single" w:sz="2" w:space="0" w:color="FFFFFF"/>
              <w:right w:val="single" w:sz="2" w:space="0" w:color="FFFFFF"/>
            </w:tcBorders>
            <w:shd w:val="clear" w:color="auto" w:fill="D6E3BC"/>
          </w:tcPr>
          <w:p w14:paraId="4458ABD6" w14:textId="77777777" w:rsidR="00D6486B" w:rsidRPr="00257F44" w:rsidRDefault="00D6486B" w:rsidP="00D6486B">
            <w:pPr>
              <w:jc w:val="center"/>
              <w:rPr>
                <w:rFonts w:ascii="Gill Sans" w:hAnsi="Gill Sans" w:cs="Gill Sans"/>
                <w:sz w:val="22"/>
                <w:szCs w:val="22"/>
                <w:lang w:val="uk-UA"/>
              </w:rPr>
            </w:pPr>
          </w:p>
        </w:tc>
        <w:tc>
          <w:tcPr>
            <w:tcW w:w="347" w:type="dxa"/>
            <w:vMerge w:val="restart"/>
            <w:tcBorders>
              <w:top w:val="single" w:sz="18" w:space="0" w:color="FFFFFF"/>
              <w:left w:val="single" w:sz="2" w:space="0" w:color="FFFFFF"/>
              <w:right w:val="single" w:sz="18" w:space="0" w:color="FFFFFF"/>
            </w:tcBorders>
            <w:shd w:val="clear" w:color="auto" w:fill="D6E3BC"/>
          </w:tcPr>
          <w:p w14:paraId="18C4FFDF" w14:textId="77777777" w:rsidR="00D6486B" w:rsidRPr="00257F44" w:rsidRDefault="00D6486B" w:rsidP="00D6486B">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69" w:type="dxa"/>
            <w:vMerge w:val="restart"/>
            <w:tcBorders>
              <w:top w:val="single" w:sz="18" w:space="0" w:color="FFFFFF"/>
              <w:left w:val="single" w:sz="2" w:space="0" w:color="FFFFFF"/>
              <w:right w:val="single" w:sz="2" w:space="0" w:color="FFFFFF"/>
            </w:tcBorders>
            <w:shd w:val="clear" w:color="auto" w:fill="FBD4B4"/>
          </w:tcPr>
          <w:p w14:paraId="5898BA4B" w14:textId="77777777" w:rsidR="00D6486B" w:rsidRPr="00257F44" w:rsidRDefault="00D6486B" w:rsidP="00D6486B">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69" w:type="dxa"/>
            <w:vMerge w:val="restart"/>
            <w:tcBorders>
              <w:top w:val="single" w:sz="18" w:space="0" w:color="FFFFFF"/>
              <w:left w:val="single" w:sz="2" w:space="0" w:color="FFFFFF"/>
              <w:right w:val="single" w:sz="2" w:space="0" w:color="FFFFFF"/>
            </w:tcBorders>
            <w:shd w:val="clear" w:color="auto" w:fill="FBD4B4"/>
          </w:tcPr>
          <w:p w14:paraId="762FB67F" w14:textId="77777777" w:rsidR="00D6486B" w:rsidRPr="00257F44" w:rsidRDefault="00D6486B" w:rsidP="00D6486B">
            <w:pPr>
              <w:rPr>
                <w:rFonts w:ascii="Zapf Dingbats" w:eastAsia="MS Mincho" w:hAnsi="Zapf Dingbats" w:cs="MS Mincho"/>
                <w:noProof/>
                <w:sz w:val="22"/>
                <w:szCs w:val="22"/>
                <w:lang w:val="uk-UA"/>
              </w:rPr>
            </w:pPr>
          </w:p>
        </w:tc>
        <w:tc>
          <w:tcPr>
            <w:tcW w:w="369" w:type="dxa"/>
            <w:vMerge w:val="restart"/>
            <w:tcBorders>
              <w:top w:val="single" w:sz="18" w:space="0" w:color="FFFFFF"/>
              <w:left w:val="single" w:sz="2" w:space="0" w:color="FFFFFF"/>
              <w:right w:val="single" w:sz="2" w:space="0" w:color="FFFFFF"/>
            </w:tcBorders>
            <w:shd w:val="clear" w:color="auto" w:fill="FBD4B4"/>
          </w:tcPr>
          <w:p w14:paraId="1F790B84" w14:textId="060A91BD" w:rsidR="00D6486B" w:rsidRPr="00257F44" w:rsidRDefault="00D6486B" w:rsidP="00D6486B">
            <w:pPr>
              <w:rPr>
                <w:rFonts w:ascii="Zapf Dingbats" w:eastAsia="MS Mincho" w:hAnsi="Zapf Dingbats" w:cs="MS Mincho"/>
                <w:noProof/>
                <w:sz w:val="22"/>
                <w:szCs w:val="22"/>
                <w:lang w:val="uk-UA"/>
              </w:rPr>
            </w:pPr>
          </w:p>
        </w:tc>
        <w:tc>
          <w:tcPr>
            <w:tcW w:w="836" w:type="dxa"/>
            <w:vMerge w:val="restart"/>
            <w:tcBorders>
              <w:top w:val="single" w:sz="18" w:space="0" w:color="FFFFFF"/>
              <w:left w:val="single" w:sz="2" w:space="0" w:color="FFFFFF"/>
              <w:right w:val="single" w:sz="18" w:space="0" w:color="FFFFFF"/>
            </w:tcBorders>
            <w:shd w:val="clear" w:color="auto" w:fill="FBD4B4"/>
          </w:tcPr>
          <w:p w14:paraId="01BB97A8" w14:textId="5E85A798" w:rsidR="00D6486B" w:rsidRPr="00257F44" w:rsidRDefault="00D6486B" w:rsidP="00D6486B">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37" w:type="dxa"/>
            <w:vMerge w:val="restart"/>
            <w:tcBorders>
              <w:top w:val="single" w:sz="18" w:space="0" w:color="FFFFFF"/>
              <w:left w:val="single" w:sz="18" w:space="0" w:color="FFFFFF"/>
              <w:right w:val="single" w:sz="2" w:space="0" w:color="FFFFFF"/>
            </w:tcBorders>
            <w:shd w:val="clear" w:color="auto" w:fill="CCC0D9"/>
          </w:tcPr>
          <w:p w14:paraId="14B5AD33" w14:textId="77777777" w:rsidR="00D6486B" w:rsidRPr="00257F44" w:rsidRDefault="00D6486B" w:rsidP="00D6486B">
            <w:pPr>
              <w:rPr>
                <w:rFonts w:ascii="Zapf Dingbats" w:eastAsia="MS Mincho" w:hAnsi="Zapf Dingbats" w:cs="MS Mincho"/>
                <w:noProof/>
                <w:sz w:val="22"/>
                <w:szCs w:val="22"/>
                <w:lang w:val="uk-UA"/>
              </w:rPr>
            </w:pPr>
          </w:p>
        </w:tc>
        <w:tc>
          <w:tcPr>
            <w:tcW w:w="344" w:type="dxa"/>
            <w:vMerge w:val="restart"/>
            <w:tcBorders>
              <w:top w:val="single" w:sz="18" w:space="0" w:color="FFFFFF"/>
              <w:left w:val="single" w:sz="2" w:space="0" w:color="FFFFFF"/>
              <w:right w:val="single" w:sz="2" w:space="0" w:color="FFFFFF"/>
            </w:tcBorders>
            <w:shd w:val="clear" w:color="auto" w:fill="CCC0D9"/>
          </w:tcPr>
          <w:p w14:paraId="18C2349B" w14:textId="41D05731" w:rsidR="00D6486B" w:rsidRPr="00257F44" w:rsidRDefault="00D6486B" w:rsidP="00D6486B">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423" w:type="dxa"/>
            <w:vMerge w:val="restart"/>
            <w:tcBorders>
              <w:top w:val="single" w:sz="18" w:space="0" w:color="FFFFFF"/>
              <w:left w:val="single" w:sz="2" w:space="0" w:color="FFFFFF"/>
              <w:right w:val="single" w:sz="2" w:space="0" w:color="FFFFFF"/>
            </w:tcBorders>
            <w:shd w:val="clear" w:color="auto" w:fill="CCC0D9"/>
          </w:tcPr>
          <w:p w14:paraId="6D68D5D4" w14:textId="77777777" w:rsidR="00D6486B" w:rsidRPr="00257F44" w:rsidRDefault="00D6486B" w:rsidP="00D6486B">
            <w:pPr>
              <w:rPr>
                <w:rFonts w:ascii="Zapf Dingbats" w:eastAsia="MS Mincho" w:hAnsi="Zapf Dingbats" w:cs="MS Mincho"/>
                <w:noProof/>
                <w:sz w:val="22"/>
                <w:szCs w:val="22"/>
                <w:lang w:val="uk-UA"/>
              </w:rPr>
            </w:pPr>
          </w:p>
        </w:tc>
        <w:tc>
          <w:tcPr>
            <w:tcW w:w="344" w:type="dxa"/>
            <w:vMerge w:val="restart"/>
            <w:tcBorders>
              <w:top w:val="single" w:sz="18" w:space="0" w:color="FFFFFF"/>
              <w:left w:val="single" w:sz="2" w:space="0" w:color="FFFFFF"/>
              <w:right w:val="single" w:sz="18" w:space="0" w:color="FFFFFF"/>
            </w:tcBorders>
            <w:shd w:val="clear" w:color="auto" w:fill="CCC0D9"/>
          </w:tcPr>
          <w:p w14:paraId="69E016B5" w14:textId="487B6B4D" w:rsidR="00D6486B" w:rsidRPr="00257F44" w:rsidRDefault="00D6486B" w:rsidP="00D6486B">
            <w:pPr>
              <w:rPr>
                <w:rFonts w:ascii="Zapf Dingbats" w:eastAsia="MS Mincho" w:hAnsi="Zapf Dingbats" w:cs="MS Mincho"/>
                <w:noProof/>
                <w:sz w:val="22"/>
                <w:szCs w:val="22"/>
                <w:lang w:val="uk-UA"/>
              </w:rPr>
            </w:pPr>
          </w:p>
        </w:tc>
        <w:tc>
          <w:tcPr>
            <w:tcW w:w="476"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54D3FEC9" w14:textId="77777777" w:rsidR="00D6486B" w:rsidRPr="00257F44" w:rsidRDefault="00D6486B" w:rsidP="00D6486B">
            <w:pPr>
              <w:rPr>
                <w:rFonts w:ascii="Zapf Dingbats" w:eastAsia="MS Mincho" w:hAnsi="Zapf Dingbats" w:cs="MS Mincho"/>
                <w:noProof/>
                <w:sz w:val="22"/>
                <w:szCs w:val="22"/>
                <w:lang w:val="uk-UA"/>
              </w:rPr>
            </w:pPr>
          </w:p>
        </w:tc>
        <w:tc>
          <w:tcPr>
            <w:tcW w:w="525"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63E24779" w14:textId="73243EBF" w:rsidR="00D6486B" w:rsidRPr="00257F44" w:rsidRDefault="00D6486B" w:rsidP="00D6486B">
            <w:pPr>
              <w:rPr>
                <w:rFonts w:ascii="Zapf Dingbats" w:eastAsia="MS Mincho" w:hAnsi="Zapf Dingbats" w:cs="MS Mincho"/>
                <w:noProof/>
                <w:sz w:val="22"/>
                <w:szCs w:val="22"/>
                <w:lang w:val="uk-UA"/>
              </w:rPr>
            </w:pPr>
          </w:p>
        </w:tc>
        <w:tc>
          <w:tcPr>
            <w:tcW w:w="525"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7ADCE0B8" w14:textId="77777777" w:rsidR="00D6486B" w:rsidRPr="00257F44" w:rsidRDefault="00D6486B" w:rsidP="00D6486B">
            <w:pPr>
              <w:rPr>
                <w:rFonts w:ascii="Zapf Dingbats" w:eastAsia="MS Mincho" w:hAnsi="Zapf Dingbats" w:cs="MS Mincho"/>
                <w:noProof/>
                <w:sz w:val="22"/>
                <w:szCs w:val="22"/>
                <w:lang w:val="uk-UA"/>
              </w:rPr>
            </w:pPr>
          </w:p>
        </w:tc>
        <w:tc>
          <w:tcPr>
            <w:tcW w:w="410"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06A5E50A" w14:textId="70ADD40E" w:rsidR="00D6486B" w:rsidRPr="00257F44" w:rsidRDefault="00D6486B" w:rsidP="00D6486B">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44" w:type="dxa"/>
            <w:vMerge w:val="restart"/>
            <w:tcBorders>
              <w:top w:val="single" w:sz="18" w:space="0" w:color="FFFFFF"/>
              <w:left w:val="single" w:sz="18" w:space="0" w:color="FFFFFF"/>
              <w:right w:val="single" w:sz="2" w:space="0" w:color="FFFFFF"/>
            </w:tcBorders>
            <w:shd w:val="clear" w:color="auto" w:fill="D99594"/>
          </w:tcPr>
          <w:p w14:paraId="25505D38" w14:textId="77777777" w:rsidR="00D6486B" w:rsidRPr="00257F44" w:rsidRDefault="00D6486B" w:rsidP="00D6486B">
            <w:pPr>
              <w:jc w:val="center"/>
              <w:rPr>
                <w:rFonts w:ascii="Gill Sans" w:hAnsi="Gill Sans" w:cs="Gill Sans"/>
                <w:sz w:val="22"/>
                <w:szCs w:val="22"/>
                <w:lang w:val="uk-UA"/>
              </w:rPr>
            </w:pPr>
          </w:p>
        </w:tc>
        <w:tc>
          <w:tcPr>
            <w:tcW w:w="342" w:type="dxa"/>
            <w:vMerge w:val="restart"/>
            <w:tcBorders>
              <w:top w:val="single" w:sz="18" w:space="0" w:color="FFFFFF"/>
              <w:left w:val="single" w:sz="2" w:space="0" w:color="FFFFFF"/>
              <w:right w:val="single" w:sz="2" w:space="0" w:color="FFFFFF"/>
            </w:tcBorders>
            <w:shd w:val="clear" w:color="auto" w:fill="D99594"/>
          </w:tcPr>
          <w:p w14:paraId="1714E3BF" w14:textId="59CB4AE8" w:rsidR="00D6486B" w:rsidRPr="00257F44" w:rsidRDefault="00D6486B" w:rsidP="00D6486B">
            <w:pPr>
              <w:rPr>
                <w:rFonts w:ascii="Zapf Dingbats" w:eastAsia="MS Mincho" w:hAnsi="Zapf Dingbats" w:cs="MS Mincho"/>
                <w:noProof/>
                <w:sz w:val="22"/>
                <w:szCs w:val="22"/>
                <w:lang w:val="uk-UA"/>
              </w:rPr>
            </w:pPr>
          </w:p>
        </w:tc>
        <w:tc>
          <w:tcPr>
            <w:tcW w:w="344" w:type="dxa"/>
            <w:vMerge w:val="restart"/>
            <w:tcBorders>
              <w:top w:val="single" w:sz="18" w:space="0" w:color="FFFFFF"/>
              <w:left w:val="single" w:sz="2" w:space="0" w:color="FFFFFF"/>
              <w:right w:val="single" w:sz="2" w:space="0" w:color="FFFFFF"/>
            </w:tcBorders>
            <w:shd w:val="clear" w:color="auto" w:fill="D99594"/>
          </w:tcPr>
          <w:p w14:paraId="1771C4EC" w14:textId="67059B9E" w:rsidR="00D6486B" w:rsidRPr="00257F44" w:rsidRDefault="00D6486B" w:rsidP="00D6486B">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44" w:type="dxa"/>
            <w:vMerge w:val="restart"/>
            <w:tcBorders>
              <w:top w:val="single" w:sz="18" w:space="0" w:color="FFFFFF"/>
              <w:left w:val="single" w:sz="2" w:space="0" w:color="FFFFFF"/>
              <w:right w:val="single" w:sz="2" w:space="0" w:color="FFFFFF"/>
            </w:tcBorders>
            <w:shd w:val="clear" w:color="auto" w:fill="D99594"/>
          </w:tcPr>
          <w:p w14:paraId="029C3D7F" w14:textId="77777777" w:rsidR="00D6486B" w:rsidRPr="00257F44" w:rsidRDefault="00D6486B" w:rsidP="00D6486B">
            <w:pPr>
              <w:rPr>
                <w:rFonts w:ascii="Zapf Dingbats" w:eastAsia="MS Mincho" w:hAnsi="Zapf Dingbats" w:cs="MS Mincho"/>
                <w:noProof/>
                <w:sz w:val="22"/>
                <w:szCs w:val="22"/>
                <w:lang w:val="uk-UA"/>
              </w:rPr>
            </w:pPr>
          </w:p>
        </w:tc>
        <w:tc>
          <w:tcPr>
            <w:tcW w:w="423" w:type="dxa"/>
            <w:vMerge w:val="restart"/>
            <w:tcBorders>
              <w:top w:val="single" w:sz="18" w:space="0" w:color="FFFFFF"/>
              <w:left w:val="single" w:sz="2" w:space="0" w:color="FFFFFF"/>
              <w:right w:val="single" w:sz="18" w:space="0" w:color="FFFFFF"/>
            </w:tcBorders>
            <w:shd w:val="clear" w:color="auto" w:fill="D99594"/>
          </w:tcPr>
          <w:p w14:paraId="3EEFE79C" w14:textId="77777777" w:rsidR="00D6486B" w:rsidRPr="00257F44" w:rsidRDefault="00D6486B" w:rsidP="00D6486B">
            <w:pPr>
              <w:jc w:val="center"/>
              <w:rPr>
                <w:rFonts w:ascii="Gill Sans" w:hAnsi="Gill Sans" w:cs="Gill Sans"/>
                <w:sz w:val="22"/>
                <w:szCs w:val="22"/>
                <w:lang w:val="uk-UA"/>
              </w:rPr>
            </w:pPr>
          </w:p>
        </w:tc>
      </w:tr>
      <w:tr w:rsidR="00D6486B" w:rsidRPr="00257F44" w14:paraId="712AF3F5" w14:textId="77777777" w:rsidTr="00B223BA">
        <w:trPr>
          <w:trHeight w:val="340"/>
        </w:trPr>
        <w:tc>
          <w:tcPr>
            <w:tcW w:w="1456" w:type="dxa"/>
            <w:vMerge/>
            <w:tcBorders>
              <w:left w:val="single" w:sz="4" w:space="0" w:color="FFFFFF"/>
              <w:right w:val="single" w:sz="18" w:space="0" w:color="FFFFFF"/>
            </w:tcBorders>
            <w:shd w:val="clear" w:color="auto" w:fill="000000"/>
          </w:tcPr>
          <w:p w14:paraId="391A97C6" w14:textId="77777777" w:rsidR="00D6486B" w:rsidRPr="00257F44" w:rsidRDefault="00D6486B" w:rsidP="00D6486B">
            <w:pPr>
              <w:rPr>
                <w:rFonts w:ascii="Gill Sans" w:hAnsi="Gill Sans" w:cs="Gill Sans"/>
                <w:color w:val="FFFFFF" w:themeColor="background1"/>
                <w:sz w:val="22"/>
                <w:szCs w:val="22"/>
                <w:lang w:val="uk-UA"/>
              </w:rPr>
            </w:pPr>
          </w:p>
        </w:tc>
        <w:tc>
          <w:tcPr>
            <w:tcW w:w="483" w:type="dxa"/>
            <w:vMerge/>
            <w:tcBorders>
              <w:left w:val="single" w:sz="18" w:space="0" w:color="FFFFFF"/>
              <w:right w:val="single" w:sz="2" w:space="0" w:color="FFFFFF"/>
            </w:tcBorders>
            <w:shd w:val="clear" w:color="auto" w:fill="D6E3BC"/>
          </w:tcPr>
          <w:p w14:paraId="4C3D5B13" w14:textId="77777777" w:rsidR="00D6486B" w:rsidRPr="00257F44" w:rsidRDefault="00D6486B" w:rsidP="00D6486B">
            <w:pPr>
              <w:rPr>
                <w:rFonts w:ascii="Gill Sans" w:hAnsi="Gill Sans" w:cs="Gill Sans"/>
                <w:sz w:val="22"/>
                <w:szCs w:val="22"/>
                <w:lang w:val="uk-UA"/>
              </w:rPr>
            </w:pPr>
          </w:p>
        </w:tc>
        <w:tc>
          <w:tcPr>
            <w:tcW w:w="423" w:type="dxa"/>
            <w:vMerge/>
            <w:tcBorders>
              <w:left w:val="single" w:sz="2" w:space="0" w:color="FFFFFF"/>
              <w:right w:val="single" w:sz="2" w:space="0" w:color="FFFFFF"/>
            </w:tcBorders>
            <w:shd w:val="clear" w:color="auto" w:fill="D6E3BC"/>
          </w:tcPr>
          <w:p w14:paraId="68DBC111" w14:textId="77777777" w:rsidR="00D6486B" w:rsidRPr="00257F44" w:rsidRDefault="00D6486B" w:rsidP="00D6486B">
            <w:pPr>
              <w:rPr>
                <w:rFonts w:ascii="Gill Sans" w:hAnsi="Gill Sans" w:cs="Gill Sans"/>
                <w:sz w:val="22"/>
                <w:szCs w:val="22"/>
                <w:lang w:val="uk-UA"/>
              </w:rPr>
            </w:pPr>
          </w:p>
        </w:tc>
        <w:tc>
          <w:tcPr>
            <w:tcW w:w="346" w:type="dxa"/>
            <w:vMerge/>
            <w:tcBorders>
              <w:left w:val="single" w:sz="2" w:space="0" w:color="FFFFFF"/>
              <w:right w:val="single" w:sz="2" w:space="0" w:color="FFFFFF"/>
            </w:tcBorders>
            <w:shd w:val="clear" w:color="auto" w:fill="D6E3BC"/>
          </w:tcPr>
          <w:p w14:paraId="518A88DC" w14:textId="77777777" w:rsidR="00D6486B" w:rsidRPr="00257F44" w:rsidRDefault="00D6486B" w:rsidP="00D6486B">
            <w:pPr>
              <w:rPr>
                <w:rFonts w:ascii="Gill Sans" w:hAnsi="Gill Sans" w:cs="Gill Sans"/>
                <w:sz w:val="22"/>
                <w:szCs w:val="22"/>
                <w:lang w:val="uk-UA"/>
              </w:rPr>
            </w:pPr>
          </w:p>
        </w:tc>
        <w:tc>
          <w:tcPr>
            <w:tcW w:w="347" w:type="dxa"/>
            <w:vMerge/>
            <w:tcBorders>
              <w:left w:val="single" w:sz="2" w:space="0" w:color="FFFFFF"/>
              <w:right w:val="single" w:sz="18" w:space="0" w:color="FFFFFF"/>
            </w:tcBorders>
            <w:shd w:val="clear" w:color="auto" w:fill="D6E3BC"/>
          </w:tcPr>
          <w:p w14:paraId="4AB1380A" w14:textId="77777777" w:rsidR="00D6486B" w:rsidRPr="00257F44" w:rsidRDefault="00D6486B" w:rsidP="00D6486B">
            <w:pPr>
              <w:rPr>
                <w:rFonts w:ascii="Zapf Dingbats" w:eastAsia="MS Mincho" w:hAnsi="Zapf Dingbats" w:cs="MS Mincho"/>
                <w:noProof/>
                <w:sz w:val="22"/>
                <w:szCs w:val="22"/>
                <w:lang w:val="uk-UA"/>
              </w:rPr>
            </w:pPr>
          </w:p>
        </w:tc>
        <w:tc>
          <w:tcPr>
            <w:tcW w:w="369" w:type="dxa"/>
            <w:vMerge/>
            <w:tcBorders>
              <w:left w:val="single" w:sz="2" w:space="0" w:color="FFFFFF"/>
              <w:right w:val="single" w:sz="2" w:space="0" w:color="FFFFFF"/>
            </w:tcBorders>
            <w:shd w:val="clear" w:color="auto" w:fill="FBD4B4"/>
          </w:tcPr>
          <w:p w14:paraId="0BBFA27D" w14:textId="77777777" w:rsidR="00D6486B" w:rsidRPr="00257F44" w:rsidRDefault="00D6486B" w:rsidP="00D6486B">
            <w:pPr>
              <w:rPr>
                <w:rFonts w:ascii="Zapf Dingbats" w:eastAsia="MS Mincho" w:hAnsi="Zapf Dingbats" w:cs="MS Mincho"/>
                <w:noProof/>
                <w:sz w:val="22"/>
                <w:szCs w:val="22"/>
                <w:lang w:val="uk-UA"/>
              </w:rPr>
            </w:pPr>
          </w:p>
        </w:tc>
        <w:tc>
          <w:tcPr>
            <w:tcW w:w="369" w:type="dxa"/>
            <w:vMerge/>
            <w:tcBorders>
              <w:left w:val="single" w:sz="2" w:space="0" w:color="FFFFFF"/>
              <w:right w:val="single" w:sz="2" w:space="0" w:color="FFFFFF"/>
            </w:tcBorders>
            <w:shd w:val="clear" w:color="auto" w:fill="FBD4B4"/>
          </w:tcPr>
          <w:p w14:paraId="51C95A7E" w14:textId="77777777" w:rsidR="00D6486B" w:rsidRPr="00257F44" w:rsidRDefault="00D6486B" w:rsidP="00D6486B">
            <w:pPr>
              <w:rPr>
                <w:rFonts w:ascii="Zapf Dingbats" w:eastAsia="MS Mincho" w:hAnsi="Zapf Dingbats" w:cs="MS Mincho"/>
                <w:noProof/>
                <w:sz w:val="22"/>
                <w:szCs w:val="22"/>
                <w:lang w:val="uk-UA"/>
              </w:rPr>
            </w:pPr>
          </w:p>
        </w:tc>
        <w:tc>
          <w:tcPr>
            <w:tcW w:w="369" w:type="dxa"/>
            <w:vMerge/>
            <w:tcBorders>
              <w:left w:val="single" w:sz="2" w:space="0" w:color="FFFFFF"/>
              <w:right w:val="single" w:sz="2" w:space="0" w:color="FFFFFF"/>
            </w:tcBorders>
            <w:shd w:val="clear" w:color="auto" w:fill="FBD4B4"/>
          </w:tcPr>
          <w:p w14:paraId="34A17FBF" w14:textId="77777777" w:rsidR="00D6486B" w:rsidRPr="00257F44" w:rsidRDefault="00D6486B" w:rsidP="00D6486B">
            <w:pPr>
              <w:rPr>
                <w:rFonts w:ascii="Zapf Dingbats" w:eastAsia="MS Mincho" w:hAnsi="Zapf Dingbats" w:cs="MS Mincho"/>
                <w:noProof/>
                <w:sz w:val="22"/>
                <w:szCs w:val="22"/>
                <w:lang w:val="uk-UA"/>
              </w:rPr>
            </w:pPr>
          </w:p>
        </w:tc>
        <w:tc>
          <w:tcPr>
            <w:tcW w:w="836" w:type="dxa"/>
            <w:vMerge/>
            <w:tcBorders>
              <w:left w:val="single" w:sz="2" w:space="0" w:color="FFFFFF"/>
              <w:right w:val="single" w:sz="18" w:space="0" w:color="FFFFFF"/>
            </w:tcBorders>
            <w:shd w:val="clear" w:color="auto" w:fill="FBD4B4"/>
          </w:tcPr>
          <w:p w14:paraId="32AE9269" w14:textId="77777777" w:rsidR="00D6486B" w:rsidRPr="00257F44" w:rsidRDefault="00D6486B" w:rsidP="00D6486B">
            <w:pPr>
              <w:rPr>
                <w:rFonts w:ascii="Zapf Dingbats" w:eastAsia="MS Mincho" w:hAnsi="Zapf Dingbats" w:cs="MS Mincho"/>
                <w:noProof/>
                <w:sz w:val="22"/>
                <w:szCs w:val="22"/>
                <w:lang w:val="uk-UA"/>
              </w:rPr>
            </w:pPr>
          </w:p>
        </w:tc>
        <w:tc>
          <w:tcPr>
            <w:tcW w:w="337" w:type="dxa"/>
            <w:vMerge/>
            <w:tcBorders>
              <w:left w:val="single" w:sz="18" w:space="0" w:color="FFFFFF"/>
              <w:right w:val="single" w:sz="2" w:space="0" w:color="FFFFFF"/>
            </w:tcBorders>
            <w:shd w:val="clear" w:color="auto" w:fill="CCC0D9"/>
          </w:tcPr>
          <w:p w14:paraId="6E339FAE" w14:textId="77777777" w:rsidR="00D6486B" w:rsidRPr="00257F44" w:rsidRDefault="00D6486B" w:rsidP="00D6486B">
            <w:pPr>
              <w:rPr>
                <w:rFonts w:ascii="Zapf Dingbats" w:eastAsia="MS Mincho" w:hAnsi="Zapf Dingbats" w:cs="MS Mincho"/>
                <w:noProof/>
                <w:sz w:val="22"/>
                <w:szCs w:val="22"/>
                <w:lang w:val="uk-UA"/>
              </w:rPr>
            </w:pPr>
          </w:p>
        </w:tc>
        <w:tc>
          <w:tcPr>
            <w:tcW w:w="344" w:type="dxa"/>
            <w:vMerge/>
            <w:tcBorders>
              <w:left w:val="single" w:sz="2" w:space="0" w:color="FFFFFF"/>
              <w:right w:val="single" w:sz="2" w:space="0" w:color="FFFFFF"/>
            </w:tcBorders>
            <w:shd w:val="clear" w:color="auto" w:fill="CCC0D9"/>
          </w:tcPr>
          <w:p w14:paraId="4D81D8BC" w14:textId="77777777" w:rsidR="00D6486B" w:rsidRPr="00257F44" w:rsidRDefault="00D6486B" w:rsidP="00D6486B">
            <w:pPr>
              <w:rPr>
                <w:rFonts w:ascii="Zapf Dingbats" w:eastAsia="MS Mincho" w:hAnsi="Zapf Dingbats" w:cs="MS Mincho"/>
                <w:noProof/>
                <w:sz w:val="22"/>
                <w:szCs w:val="22"/>
                <w:lang w:val="uk-UA"/>
              </w:rPr>
            </w:pPr>
          </w:p>
        </w:tc>
        <w:tc>
          <w:tcPr>
            <w:tcW w:w="423" w:type="dxa"/>
            <w:vMerge/>
            <w:tcBorders>
              <w:left w:val="single" w:sz="2" w:space="0" w:color="FFFFFF"/>
              <w:right w:val="single" w:sz="2" w:space="0" w:color="FFFFFF"/>
            </w:tcBorders>
            <w:shd w:val="clear" w:color="auto" w:fill="CCC0D9"/>
          </w:tcPr>
          <w:p w14:paraId="09648E53" w14:textId="77777777" w:rsidR="00D6486B" w:rsidRPr="00257F44" w:rsidRDefault="00D6486B" w:rsidP="00D6486B">
            <w:pPr>
              <w:rPr>
                <w:rFonts w:ascii="Zapf Dingbats" w:eastAsia="MS Mincho" w:hAnsi="Zapf Dingbats" w:cs="MS Mincho"/>
                <w:noProof/>
                <w:sz w:val="22"/>
                <w:szCs w:val="22"/>
                <w:lang w:val="uk-UA"/>
              </w:rPr>
            </w:pPr>
          </w:p>
        </w:tc>
        <w:tc>
          <w:tcPr>
            <w:tcW w:w="344" w:type="dxa"/>
            <w:vMerge/>
            <w:tcBorders>
              <w:left w:val="single" w:sz="2" w:space="0" w:color="FFFFFF"/>
              <w:right w:val="single" w:sz="18" w:space="0" w:color="FFFFFF"/>
            </w:tcBorders>
            <w:shd w:val="clear" w:color="auto" w:fill="CCC0D9"/>
          </w:tcPr>
          <w:p w14:paraId="71B4BA73" w14:textId="77777777" w:rsidR="00D6486B" w:rsidRPr="00257F44" w:rsidRDefault="00D6486B" w:rsidP="00D6486B">
            <w:pPr>
              <w:rPr>
                <w:rFonts w:ascii="Zapf Dingbats" w:eastAsia="MS Mincho" w:hAnsi="Zapf Dingbats" w:cs="MS Mincho"/>
                <w:noProof/>
                <w:sz w:val="22"/>
                <w:szCs w:val="22"/>
                <w:lang w:val="uk-UA"/>
              </w:rPr>
            </w:pPr>
          </w:p>
        </w:tc>
        <w:tc>
          <w:tcPr>
            <w:tcW w:w="476"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3D61C5BD" w14:textId="77777777" w:rsidR="00D6486B" w:rsidRPr="00257F44" w:rsidRDefault="00D6486B" w:rsidP="00D6486B">
            <w:pPr>
              <w:rPr>
                <w:rFonts w:ascii="Zapf Dingbats" w:eastAsia="MS Mincho" w:hAnsi="Zapf Dingbats" w:cs="MS Mincho"/>
                <w:noProof/>
                <w:sz w:val="22"/>
                <w:szCs w:val="22"/>
                <w:lang w:val="uk-UA"/>
              </w:rPr>
            </w:pPr>
          </w:p>
        </w:tc>
        <w:tc>
          <w:tcPr>
            <w:tcW w:w="525"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6AEBB627" w14:textId="25F640E4" w:rsidR="00D6486B" w:rsidRPr="00257F44" w:rsidRDefault="00D6486B" w:rsidP="00D6486B">
            <w:pPr>
              <w:rPr>
                <w:rFonts w:ascii="Zapf Dingbats" w:eastAsia="MS Mincho" w:hAnsi="Zapf Dingbats" w:cs="MS Mincho"/>
                <w:noProof/>
                <w:sz w:val="22"/>
                <w:szCs w:val="22"/>
                <w:lang w:val="uk-UA"/>
              </w:rPr>
            </w:pPr>
          </w:p>
        </w:tc>
        <w:tc>
          <w:tcPr>
            <w:tcW w:w="525"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6FB7F5D8" w14:textId="77777777" w:rsidR="00D6486B" w:rsidRPr="00257F44" w:rsidRDefault="00D6486B" w:rsidP="00D6486B">
            <w:pPr>
              <w:rPr>
                <w:rFonts w:ascii="Zapf Dingbats" w:eastAsia="MS Mincho" w:hAnsi="Zapf Dingbats" w:cs="MS Mincho"/>
                <w:noProof/>
                <w:sz w:val="22"/>
                <w:szCs w:val="22"/>
                <w:lang w:val="uk-UA"/>
              </w:rPr>
            </w:pPr>
          </w:p>
        </w:tc>
        <w:tc>
          <w:tcPr>
            <w:tcW w:w="410"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7F5F4D16" w14:textId="57AD1472" w:rsidR="00D6486B" w:rsidRPr="00257F44" w:rsidRDefault="00D6486B" w:rsidP="00D6486B">
            <w:pPr>
              <w:jc w:val="cente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44" w:type="dxa"/>
            <w:vMerge/>
            <w:tcBorders>
              <w:left w:val="single" w:sz="18" w:space="0" w:color="FFFFFF"/>
              <w:right w:val="single" w:sz="2" w:space="0" w:color="FFFFFF"/>
            </w:tcBorders>
            <w:shd w:val="clear" w:color="auto" w:fill="D99594"/>
          </w:tcPr>
          <w:p w14:paraId="061D3B4F" w14:textId="77777777" w:rsidR="00D6486B" w:rsidRPr="00257F44" w:rsidRDefault="00D6486B" w:rsidP="00D6486B">
            <w:pPr>
              <w:rPr>
                <w:rFonts w:ascii="Gill Sans" w:hAnsi="Gill Sans" w:cs="Gill Sans"/>
                <w:sz w:val="22"/>
                <w:szCs w:val="22"/>
                <w:lang w:val="uk-UA"/>
              </w:rPr>
            </w:pPr>
          </w:p>
        </w:tc>
        <w:tc>
          <w:tcPr>
            <w:tcW w:w="342" w:type="dxa"/>
            <w:vMerge/>
            <w:tcBorders>
              <w:left w:val="single" w:sz="2" w:space="0" w:color="FFFFFF"/>
              <w:right w:val="single" w:sz="2" w:space="0" w:color="FFFFFF"/>
            </w:tcBorders>
            <w:shd w:val="clear" w:color="auto" w:fill="D99594"/>
          </w:tcPr>
          <w:p w14:paraId="2A78F1FC" w14:textId="77777777" w:rsidR="00D6486B" w:rsidRPr="00257F44" w:rsidRDefault="00D6486B" w:rsidP="00D6486B">
            <w:pPr>
              <w:rPr>
                <w:rFonts w:ascii="Gill Sans" w:hAnsi="Gill Sans" w:cs="Gill Sans"/>
                <w:sz w:val="22"/>
                <w:szCs w:val="22"/>
                <w:lang w:val="uk-UA"/>
              </w:rPr>
            </w:pPr>
          </w:p>
        </w:tc>
        <w:tc>
          <w:tcPr>
            <w:tcW w:w="344" w:type="dxa"/>
            <w:vMerge/>
            <w:tcBorders>
              <w:left w:val="single" w:sz="2" w:space="0" w:color="FFFFFF"/>
              <w:right w:val="single" w:sz="2" w:space="0" w:color="FFFFFF"/>
            </w:tcBorders>
            <w:shd w:val="clear" w:color="auto" w:fill="D99594"/>
          </w:tcPr>
          <w:p w14:paraId="7CE8116E" w14:textId="77777777" w:rsidR="00D6486B" w:rsidRPr="00257F44" w:rsidRDefault="00D6486B" w:rsidP="00D6486B">
            <w:pPr>
              <w:rPr>
                <w:rFonts w:ascii="Gill Sans" w:hAnsi="Gill Sans" w:cs="Gill Sans"/>
                <w:sz w:val="22"/>
                <w:szCs w:val="22"/>
                <w:lang w:val="uk-UA"/>
              </w:rPr>
            </w:pPr>
          </w:p>
        </w:tc>
        <w:tc>
          <w:tcPr>
            <w:tcW w:w="344" w:type="dxa"/>
            <w:vMerge/>
            <w:tcBorders>
              <w:left w:val="single" w:sz="2" w:space="0" w:color="FFFFFF"/>
              <w:right w:val="single" w:sz="2" w:space="0" w:color="FFFFFF"/>
            </w:tcBorders>
            <w:shd w:val="clear" w:color="auto" w:fill="D99594"/>
          </w:tcPr>
          <w:p w14:paraId="6DF1B4B3" w14:textId="77777777" w:rsidR="00D6486B" w:rsidRPr="00257F44" w:rsidRDefault="00D6486B" w:rsidP="00D6486B">
            <w:pPr>
              <w:rPr>
                <w:rFonts w:ascii="Gill Sans" w:hAnsi="Gill Sans" w:cs="Gill Sans"/>
                <w:noProof/>
                <w:sz w:val="22"/>
                <w:szCs w:val="22"/>
                <w:lang w:val="uk-UA"/>
              </w:rPr>
            </w:pPr>
          </w:p>
        </w:tc>
        <w:tc>
          <w:tcPr>
            <w:tcW w:w="423" w:type="dxa"/>
            <w:vMerge/>
            <w:tcBorders>
              <w:left w:val="single" w:sz="2" w:space="0" w:color="FFFFFF"/>
              <w:right w:val="single" w:sz="18" w:space="0" w:color="FFFFFF"/>
            </w:tcBorders>
            <w:shd w:val="clear" w:color="auto" w:fill="D99594"/>
          </w:tcPr>
          <w:p w14:paraId="6CAE2E16" w14:textId="77777777" w:rsidR="00D6486B" w:rsidRPr="00257F44" w:rsidRDefault="00D6486B" w:rsidP="00D6486B">
            <w:pPr>
              <w:rPr>
                <w:rFonts w:ascii="Gill Sans" w:hAnsi="Gill Sans" w:cs="Gill Sans"/>
                <w:sz w:val="22"/>
                <w:szCs w:val="22"/>
                <w:lang w:val="uk-UA"/>
              </w:rPr>
            </w:pPr>
          </w:p>
        </w:tc>
      </w:tr>
    </w:tbl>
    <w:p w14:paraId="02C6C955" w14:textId="77777777" w:rsidR="00A44CB4" w:rsidRPr="00257F44" w:rsidRDefault="00A44CB4" w:rsidP="00163080">
      <w:pPr>
        <w:rPr>
          <w:lang w:val="uk-UA"/>
        </w:rPr>
      </w:pPr>
    </w:p>
    <w:p w14:paraId="516EEB21" w14:textId="77777777" w:rsidR="00F41454" w:rsidRPr="00257F44" w:rsidRDefault="00F41454" w:rsidP="00731EC4">
      <w:pPr>
        <w:pStyle w:val="Heading3"/>
        <w:spacing w:after="120"/>
        <w:rPr>
          <w:lang w:val="uk-UA"/>
        </w:rPr>
      </w:pPr>
      <w:r w:rsidRPr="00257F44">
        <w:rPr>
          <w:lang w:val="uk-UA"/>
        </w:rPr>
        <w:t>Мета зобов’язання</w:t>
      </w:r>
    </w:p>
    <w:p w14:paraId="2BDF4CAF" w14:textId="1CA17781" w:rsidR="00C21177" w:rsidRPr="00257F44" w:rsidRDefault="00A144FD" w:rsidP="00731EC4">
      <w:pPr>
        <w:spacing w:after="120"/>
        <w:rPr>
          <w:rFonts w:ascii="Gill Sans" w:hAnsi="Gill Sans" w:cs="Gill Sans"/>
          <w:sz w:val="22"/>
          <w:szCs w:val="22"/>
          <w:lang w:val="uk-UA"/>
        </w:rPr>
      </w:pPr>
      <w:r w:rsidRPr="00257F44">
        <w:rPr>
          <w:rFonts w:ascii="Gill Sans" w:hAnsi="Gill Sans" w:cs="Gill Sans"/>
          <w:sz w:val="22"/>
          <w:szCs w:val="22"/>
          <w:lang w:val="uk-UA"/>
        </w:rPr>
        <w:t xml:space="preserve">Це зобов’язання було спрямовано на запуск онлайн порталу з інформацією про адміністративні послуги. </w:t>
      </w:r>
      <w:r w:rsidR="00C21177" w:rsidRPr="00257F44">
        <w:rPr>
          <w:rFonts w:ascii="Gill Sans" w:hAnsi="Gill Sans" w:cs="Gill Sans"/>
          <w:noProof/>
          <w:sz w:val="22"/>
          <w:szCs w:val="22"/>
          <w:lang w:val="uk-UA"/>
        </w:rPr>
        <w:t>Це зобов’язання продовжувало подібний захід, що містився в плані дій ПВУ 2012 року. Такий веб-портал адміністративних послуг вже був створений у 2012 році (</w:t>
      </w:r>
      <w:hyperlink r:id="rId17" w:history="1">
        <w:r w:rsidR="00C21177" w:rsidRPr="00257F44">
          <w:rPr>
            <w:rStyle w:val="Hyperlink"/>
            <w:rFonts w:ascii="Gill Sans" w:hAnsi="Gill Sans" w:cs="Gill Sans"/>
            <w:noProof/>
            <w:sz w:val="22"/>
            <w:szCs w:val="22"/>
            <w:lang w:val="uk-UA"/>
          </w:rPr>
          <w:t>http://poslugy.gov.ua</w:t>
        </w:r>
      </w:hyperlink>
      <w:r w:rsidR="00C21177" w:rsidRPr="00257F44">
        <w:rPr>
          <w:rFonts w:ascii="Gill Sans" w:hAnsi="Gill Sans" w:cs="Gill Sans"/>
          <w:noProof/>
          <w:sz w:val="22"/>
          <w:szCs w:val="22"/>
          <w:lang w:val="uk-UA"/>
        </w:rPr>
        <w:t>); проте він не працював повною мірою і надавав лише дуже обмежену інформацію без можливості отримання безпосередньо самих послуг. Зобов’язання 2014 року повторювало формулювання попереднього плану дій і не згадувало безпосереднє надання послуг електронними засобами.</w:t>
      </w:r>
    </w:p>
    <w:p w14:paraId="3B6B9303" w14:textId="4F8470C3" w:rsidR="00547677" w:rsidRPr="00257F44" w:rsidRDefault="00F41454" w:rsidP="00731EC4">
      <w:pPr>
        <w:pStyle w:val="Heading3"/>
        <w:spacing w:after="120"/>
        <w:rPr>
          <w:lang w:val="uk-UA"/>
        </w:rPr>
      </w:pPr>
      <w:r w:rsidRPr="00257F44">
        <w:rPr>
          <w:lang w:val="uk-UA"/>
        </w:rPr>
        <w:t>Статус виконання</w:t>
      </w:r>
    </w:p>
    <w:p w14:paraId="3EBC68C8" w14:textId="7EDE3256" w:rsidR="00F41454" w:rsidRPr="00257F44" w:rsidRDefault="00F41454" w:rsidP="00731EC4">
      <w:pPr>
        <w:pStyle w:val="Normalrglronly"/>
        <w:rPr>
          <w:b/>
          <w:lang w:val="uk-UA"/>
        </w:rPr>
      </w:pPr>
      <w:r w:rsidRPr="00257F44">
        <w:rPr>
          <w:b/>
          <w:lang w:val="uk-UA"/>
        </w:rPr>
        <w:t>Проміжний звіт: Повне виконання</w:t>
      </w:r>
    </w:p>
    <w:p w14:paraId="36454EE5" w14:textId="57F15531" w:rsidR="00C21177" w:rsidRPr="00257F44" w:rsidRDefault="00C21177" w:rsidP="00731EC4">
      <w:pPr>
        <w:spacing w:after="120"/>
        <w:rPr>
          <w:rFonts w:ascii="Gill Sans" w:hAnsi="Gill Sans" w:cs="Gill Sans"/>
          <w:sz w:val="22"/>
          <w:szCs w:val="22"/>
          <w:lang w:val="uk-UA"/>
        </w:rPr>
      </w:pPr>
      <w:r w:rsidRPr="00257F44">
        <w:rPr>
          <w:rFonts w:ascii="Gill Sans" w:hAnsi="Gill Sans" w:cs="Gill Sans"/>
          <w:sz w:val="22"/>
          <w:szCs w:val="22"/>
          <w:lang w:val="uk-UA"/>
        </w:rPr>
        <w:t>Уряд поінформував, що у вересні 2015 року Єдиний д</w:t>
      </w:r>
      <w:r w:rsidR="00731EC4">
        <w:rPr>
          <w:rFonts w:ascii="Gill Sans" w:hAnsi="Gill Sans" w:cs="Gill Sans"/>
          <w:sz w:val="22"/>
          <w:szCs w:val="22"/>
          <w:lang w:val="uk-UA"/>
        </w:rPr>
        <w:t>ержавний портал адміністративних</w:t>
      </w:r>
      <w:r w:rsidRPr="00257F44">
        <w:rPr>
          <w:rFonts w:ascii="Gill Sans" w:hAnsi="Gill Sans" w:cs="Gill Sans"/>
          <w:sz w:val="22"/>
          <w:szCs w:val="22"/>
          <w:lang w:val="uk-UA"/>
        </w:rPr>
        <w:t xml:space="preserve"> послуг (</w:t>
      </w:r>
      <w:hyperlink r:id="rId18" w:history="1">
        <w:r w:rsidRPr="00257F44">
          <w:rPr>
            <w:rStyle w:val="Hyperlink"/>
            <w:rFonts w:ascii="Gill Sans" w:hAnsi="Gill Sans" w:cs="Gill Sans"/>
            <w:sz w:val="22"/>
            <w:szCs w:val="22"/>
            <w:lang w:val="uk-UA"/>
          </w:rPr>
          <w:t>http://poslugy.gov.ua)</w:t>
        </w:r>
      </w:hyperlink>
      <w:r w:rsidRPr="00257F44">
        <w:rPr>
          <w:rFonts w:ascii="Gill Sans" w:hAnsi="Gill Sans" w:cs="Gill Sans"/>
          <w:sz w:val="22"/>
          <w:szCs w:val="22"/>
          <w:lang w:val="uk-UA"/>
        </w:rPr>
        <w:t xml:space="preserve"> був повторно введений в експлуатацію. На порталі міститься інформація про послуги, які надаються центральними органами виконавчої влади, та актуалізовано довідник центральних органів виконавчої влади. Уряд також прозвітував, що Міністерство економічного розвитку провело аналіз порядку надання (бізнес-процесів) послуг з метою їх спрощення та впровадження в електронному вигляді. Стверджувалося, що після переведення послуг в електронний формат, вони зможуть надаватися за </w:t>
      </w:r>
      <w:r w:rsidRPr="00257F44">
        <w:rPr>
          <w:rFonts w:ascii="Gill Sans" w:hAnsi="Gill Sans" w:cs="Gill Sans"/>
          <w:sz w:val="22"/>
          <w:szCs w:val="22"/>
          <w:lang w:val="uk-UA"/>
        </w:rPr>
        <w:lastRenderedPageBreak/>
        <w:t>допомогою веб-порталу. Міністерство економічного розвитку повідомило, що оскільки в Державному бюджеті України на 2015 рік кошти на утримання веб-порталу не були передбачені міністерство не мало можливості розширити існуючі функціональні можливості порталу</w:t>
      </w:r>
      <w:r w:rsidRPr="00257F44">
        <w:rPr>
          <w:rStyle w:val="EndnoteReference"/>
          <w:rFonts w:ascii="Gill Sans" w:hAnsi="Gill Sans" w:cs="Gill Sans"/>
          <w:noProof/>
          <w:sz w:val="22"/>
          <w:szCs w:val="22"/>
          <w:lang w:val="uk-UA"/>
        </w:rPr>
        <w:endnoteReference w:id="72"/>
      </w:r>
      <w:r w:rsidRPr="00257F44">
        <w:rPr>
          <w:rFonts w:ascii="Gill Sans" w:hAnsi="Gill Sans" w:cs="Gill Sans"/>
          <w:sz w:val="22"/>
          <w:szCs w:val="22"/>
          <w:lang w:val="uk-UA"/>
        </w:rPr>
        <w:t>. Для детальнішої інформації дивіться Проміжний звіт МНЗ 2014-2015.</w:t>
      </w:r>
    </w:p>
    <w:p w14:paraId="66DDECF3" w14:textId="605E2EF7" w:rsidR="00C21177" w:rsidRPr="00257F44" w:rsidRDefault="00C21177" w:rsidP="00731EC4">
      <w:pPr>
        <w:spacing w:after="120"/>
        <w:rPr>
          <w:rFonts w:ascii="Gill Sans" w:hAnsi="Gill Sans" w:cs="Gill Sans"/>
          <w:sz w:val="22"/>
          <w:szCs w:val="22"/>
          <w:lang w:val="uk-UA"/>
        </w:rPr>
      </w:pPr>
      <w:r w:rsidRPr="00257F44">
        <w:rPr>
          <w:rFonts w:ascii="Gill Sans" w:hAnsi="Gill Sans" w:cs="Gill Sans"/>
          <w:sz w:val="22"/>
          <w:szCs w:val="22"/>
          <w:lang w:val="uk-UA"/>
        </w:rPr>
        <w:t>Відповідно до урядового підсумкового звіту самооцінки, портал містить інформацію про адміністративні послуг</w:t>
      </w:r>
      <w:r w:rsidR="00731EC4">
        <w:rPr>
          <w:rFonts w:ascii="Gill Sans" w:hAnsi="Gill Sans" w:cs="Gill Sans"/>
          <w:sz w:val="22"/>
          <w:szCs w:val="22"/>
          <w:lang w:val="uk-UA"/>
        </w:rPr>
        <w:t>и</w:t>
      </w:r>
      <w:r w:rsidRPr="00257F44">
        <w:rPr>
          <w:rFonts w:ascii="Gill Sans" w:hAnsi="Gill Sans" w:cs="Gill Sans"/>
          <w:sz w:val="22"/>
          <w:szCs w:val="22"/>
          <w:lang w:val="uk-UA"/>
        </w:rPr>
        <w:t xml:space="preserve">, що надаються органами виконавчої влади (загалом 1000 послуг, що надаються 48 відомствами), нормативні акти, які їх регулюють, інформацію про 600 центрів </w:t>
      </w:r>
      <w:r w:rsidR="0026378A" w:rsidRPr="00257F44">
        <w:rPr>
          <w:rFonts w:ascii="Gill Sans" w:hAnsi="Gill Sans" w:cs="Gill Sans"/>
          <w:sz w:val="22"/>
          <w:szCs w:val="22"/>
          <w:lang w:val="uk-UA"/>
        </w:rPr>
        <w:t>надання адміністративних послуг, а також електронні форми й</w:t>
      </w:r>
      <w:r w:rsidRPr="00257F44">
        <w:rPr>
          <w:rFonts w:ascii="Gill Sans" w:hAnsi="Gill Sans" w:cs="Gill Sans"/>
          <w:sz w:val="22"/>
          <w:szCs w:val="22"/>
          <w:lang w:val="uk-UA"/>
        </w:rPr>
        <w:t xml:space="preserve"> інші документи, необхідні для отримання конкретних послуг. Відповідно до звіту, користувач може створити власний кабінет на порталі, використовуючи електронний цифровий підпис або </w:t>
      </w:r>
      <w:r w:rsidRPr="00257F44">
        <w:rPr>
          <w:rFonts w:ascii="Gill Sans" w:hAnsi="Gill Sans" w:cs="Gill Sans"/>
          <w:noProof/>
          <w:sz w:val="22"/>
          <w:szCs w:val="22"/>
          <w:lang w:val="uk-UA"/>
        </w:rPr>
        <w:t>BankID</w:t>
      </w:r>
      <w:r w:rsidR="00DC3F70" w:rsidRPr="00257F44">
        <w:rPr>
          <w:rFonts w:ascii="Gill Sans" w:hAnsi="Gill Sans" w:cs="Gill Sans"/>
          <w:noProof/>
          <w:sz w:val="22"/>
          <w:szCs w:val="22"/>
          <w:lang w:val="uk-UA"/>
        </w:rPr>
        <w:t>,</w:t>
      </w:r>
      <w:r w:rsidRPr="00257F44">
        <w:rPr>
          <w:rFonts w:ascii="Gill Sans" w:hAnsi="Gill Sans" w:cs="Gill Sans"/>
          <w:noProof/>
          <w:sz w:val="22"/>
          <w:szCs w:val="22"/>
          <w:lang w:val="uk-UA"/>
        </w:rPr>
        <w:t xml:space="preserve"> та заповнити або завантажити заяву та інші документи для отримання послуг. Дослідник перевірив ці функції на порталі наприкінці 2016 року. З березня 2016 року користувачі можуть замовити та отримати через портал 12 послуг, що надаються Міністерством економіки, а також чотири інтегровані послуг, що надаються Державною архітектурно-будівельною інспекцією.</w:t>
      </w:r>
    </w:p>
    <w:p w14:paraId="238625CC" w14:textId="77777777" w:rsidR="00F41454" w:rsidRPr="00257F44" w:rsidRDefault="00F41454" w:rsidP="00731EC4">
      <w:pPr>
        <w:pStyle w:val="Heading3"/>
        <w:spacing w:after="120"/>
        <w:rPr>
          <w:lang w:val="uk-UA"/>
        </w:rPr>
      </w:pPr>
      <w:r w:rsidRPr="00257F44">
        <w:rPr>
          <w:lang w:val="uk-UA"/>
        </w:rPr>
        <w:t>Чи відкрило це уряд?</w:t>
      </w:r>
    </w:p>
    <w:p w14:paraId="74240BF5" w14:textId="5AD18E01" w:rsidR="00F41454" w:rsidRPr="00257F44" w:rsidRDefault="00F41454" w:rsidP="00731EC4">
      <w:pPr>
        <w:pStyle w:val="Normalrglronly"/>
        <w:rPr>
          <w:b/>
          <w:lang w:val="uk-UA"/>
        </w:rPr>
      </w:pPr>
      <w:r w:rsidRPr="00257F44">
        <w:rPr>
          <w:b/>
          <w:lang w:val="uk-UA"/>
        </w:rPr>
        <w:t>Доступ до інформації: Обмежено</w:t>
      </w:r>
    </w:p>
    <w:p w14:paraId="098E1BBA" w14:textId="58488839" w:rsidR="00FB5D9D" w:rsidRPr="00257F44" w:rsidRDefault="00A342AB" w:rsidP="00731EC4">
      <w:pPr>
        <w:spacing w:after="120"/>
        <w:rPr>
          <w:rFonts w:ascii="Gill Sans" w:hAnsi="Gill Sans" w:cs="Gill Sans"/>
          <w:noProof/>
          <w:sz w:val="22"/>
          <w:szCs w:val="22"/>
          <w:lang w:val="uk-UA"/>
        </w:rPr>
      </w:pPr>
      <w:r w:rsidRPr="00257F44">
        <w:rPr>
          <w:rFonts w:ascii="Gill Sans" w:hAnsi="Gill Sans" w:cs="Gill Sans"/>
          <w:noProof/>
          <w:sz w:val="22"/>
          <w:szCs w:val="22"/>
          <w:lang w:val="uk-UA"/>
        </w:rPr>
        <w:t>Цьому зобов’язанню бракувало амбіції, оскільки веб-портал надає доступ лише до інформації про адміністративні послуги і не дає можливості власне отримати будь-яку з послуг, що зазначені в списку. Воно продовжувало подібне ж зобов’язання, що містилося в попередньому плані дій ПВУ і не передбачало власне надання послуг електронними засобами. Слід вітати уряд за те, що він намагався піти далі, ніж формулювання зобов’язання, та почати надавати кілька пілотних послуг в електронній формі через портал, Це, проте, не змінює висновок про те, що зобов’язання мало лише дуже незначний вплив.</w:t>
      </w:r>
    </w:p>
    <w:p w14:paraId="565995F6" w14:textId="77777777" w:rsidR="00F41454" w:rsidRPr="00257F44" w:rsidRDefault="00F41454" w:rsidP="00731EC4">
      <w:pPr>
        <w:pStyle w:val="Heading3"/>
        <w:spacing w:after="120"/>
        <w:rPr>
          <w:lang w:val="uk-UA"/>
        </w:rPr>
      </w:pPr>
      <w:r w:rsidRPr="00257F44">
        <w:rPr>
          <w:lang w:val="uk-UA"/>
        </w:rPr>
        <w:t>Чи перенесено до наступного плану дій?</w:t>
      </w:r>
    </w:p>
    <w:p w14:paraId="4829D0A2" w14:textId="72BF0432" w:rsidR="00CA2CFC" w:rsidRPr="00257F44" w:rsidRDefault="00CA2CFC" w:rsidP="00731EC4">
      <w:pPr>
        <w:spacing w:after="120"/>
        <w:rPr>
          <w:rFonts w:ascii="Gill Sans" w:hAnsi="Gill Sans" w:cs="Gill Sans"/>
          <w:noProof/>
          <w:sz w:val="22"/>
          <w:szCs w:val="22"/>
          <w:lang w:val="uk-UA"/>
        </w:rPr>
      </w:pPr>
      <w:r w:rsidRPr="00257F44">
        <w:rPr>
          <w:rFonts w:ascii="Gill Sans" w:hAnsi="Gill Sans" w:cs="Gill Sans"/>
          <w:noProof/>
          <w:sz w:val="22"/>
          <w:szCs w:val="22"/>
          <w:lang w:val="uk-UA"/>
        </w:rPr>
        <w:t>Зобов’язання було перенесено до нового плану дій та розширено. Нове зобов’язання передбачає розширення функціоналу веб-порталу, зокрема, шляхом інтеграції інформаційних систем та інформаційних ресурсів до Єдиного державного порталу адміністративних послуг, надання повного циклу адміністративних послуг в електронній формі (15 послуг в 2016 році, 20 – в 2017 році та 25 – в 2018 році).</w:t>
      </w:r>
    </w:p>
    <w:p w14:paraId="169DA4E0" w14:textId="77777777" w:rsidR="00795A54" w:rsidRPr="00257F44" w:rsidRDefault="00795A54" w:rsidP="00797D1E">
      <w:pPr>
        <w:spacing w:after="120"/>
        <w:rPr>
          <w:rFonts w:ascii="Gill Sans" w:hAnsi="Gill Sans" w:cs="Gill Sans"/>
          <w:noProof/>
          <w:sz w:val="22"/>
          <w:szCs w:val="22"/>
          <w:lang w:val="uk-UA"/>
        </w:rPr>
        <w:sectPr w:rsidR="00795A54" w:rsidRPr="00257F44" w:rsidSect="00F561B7">
          <w:endnotePr>
            <w:numFmt w:val="decimal"/>
            <w:numRestart w:val="eachSect"/>
          </w:endnotePr>
          <w:pgSz w:w="12240" w:h="15840"/>
          <w:pgMar w:top="1440" w:right="1800" w:bottom="1440" w:left="1800" w:header="720" w:footer="720" w:gutter="0"/>
          <w:cols w:space="720"/>
          <w:docGrid w:linePitch="360"/>
        </w:sectPr>
      </w:pPr>
    </w:p>
    <w:p w14:paraId="5E2759E9" w14:textId="77777777" w:rsidR="00AB2F75" w:rsidRPr="00257F44" w:rsidRDefault="00AB2F75" w:rsidP="00AB2F75">
      <w:pPr>
        <w:pStyle w:val="Heading2"/>
        <w:spacing w:before="0" w:after="120"/>
        <w:rPr>
          <w:rFonts w:eastAsiaTheme="minorEastAsia"/>
          <w:bCs w:val="0"/>
          <w:color w:val="222222"/>
          <w:sz w:val="22"/>
          <w:szCs w:val="22"/>
          <w:lang w:val="uk-UA"/>
        </w:rPr>
      </w:pPr>
      <w:r w:rsidRPr="00257F44">
        <w:rPr>
          <w:rFonts w:eastAsiaTheme="minorEastAsia"/>
          <w:bCs w:val="0"/>
          <w:color w:val="222222"/>
          <w:sz w:val="22"/>
          <w:szCs w:val="22"/>
          <w:lang w:val="uk-UA"/>
        </w:rPr>
        <w:lastRenderedPageBreak/>
        <w:t>17. Проект закону про соціальні послуги</w:t>
      </w:r>
    </w:p>
    <w:p w14:paraId="26B1379B" w14:textId="77777777" w:rsidR="00AB2F75" w:rsidRPr="00257F44" w:rsidRDefault="00AB2F75" w:rsidP="00AB2F75">
      <w:pPr>
        <w:spacing w:after="120"/>
        <w:rPr>
          <w:rFonts w:ascii="Gill Sans" w:hAnsi="Gill Sans" w:cs="Gill Sans"/>
          <w:i/>
          <w:noProof/>
          <w:sz w:val="22"/>
          <w:szCs w:val="22"/>
          <w:lang w:val="uk-UA"/>
        </w:rPr>
      </w:pPr>
      <w:r w:rsidRPr="00257F44">
        <w:rPr>
          <w:rFonts w:ascii="Gill Sans" w:hAnsi="Gill Sans" w:cs="Gill Sans"/>
          <w:b/>
          <w:bCs/>
          <w:iCs/>
          <w:noProof/>
          <w:sz w:val="22"/>
          <w:szCs w:val="22"/>
          <w:lang w:val="uk-UA"/>
        </w:rPr>
        <w:t>Текст зобов’язання:</w:t>
      </w:r>
      <w:r w:rsidRPr="00257F44">
        <w:rPr>
          <w:rFonts w:ascii="Gill Sans" w:hAnsi="Gill Sans" w:cs="Gill Sans"/>
          <w:i/>
          <w:noProof/>
          <w:sz w:val="22"/>
          <w:szCs w:val="22"/>
          <w:lang w:val="uk-UA"/>
        </w:rPr>
        <w:t xml:space="preserve"> 17. Підготовка та подання в установленому порядку Кабінетові Міністрів України проекту Закону України “Про внесення змін до Закону України “Про соціальні послуги” (нова редакція) для забезпечення рівних підходів під час надання соціальних послуг представникам різних соціальних груп.</w:t>
      </w:r>
    </w:p>
    <w:p w14:paraId="77AF07BA" w14:textId="77777777" w:rsidR="00AB2F75" w:rsidRPr="00257F44" w:rsidRDefault="00AB2F75" w:rsidP="00AB2F75">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схвалення Кабінетом Міністрів України відповідного проекту Закону України, подання його Верховній Раді України та супроводження до прийняття.</w:t>
      </w:r>
    </w:p>
    <w:p w14:paraId="10C86348" w14:textId="77777777" w:rsidR="00AB2F75" w:rsidRPr="00257F44" w:rsidRDefault="00AB2F75" w:rsidP="00AB2F75">
      <w:pPr>
        <w:spacing w:after="120"/>
        <w:rPr>
          <w:rFonts w:ascii="Gill Sans" w:hAnsi="Gill Sans" w:cs="Gill Sans"/>
          <w:noProof/>
          <w:sz w:val="22"/>
          <w:szCs w:val="22"/>
          <w:lang w:val="uk-UA"/>
        </w:rPr>
      </w:pPr>
      <w:r w:rsidRPr="00257F44">
        <w:rPr>
          <w:rFonts w:ascii="Gill Sans" w:hAnsi="Gill Sans" w:cs="Gill Sans"/>
          <w:noProof/>
          <w:sz w:val="22"/>
          <w:szCs w:val="22"/>
          <w:lang w:val="uk-UA"/>
        </w:rPr>
        <w:t>Головна інституція, відповідальна за виконання: Міністерство соціальної політики.</w:t>
      </w:r>
    </w:p>
    <w:p w14:paraId="72958C9B" w14:textId="77777777" w:rsidR="00AB2F75" w:rsidRPr="00257F44" w:rsidRDefault="00AB2F75" w:rsidP="00AB2F75">
      <w:pPr>
        <w:spacing w:after="120"/>
        <w:rPr>
          <w:rFonts w:ascii="Gill Sans" w:hAnsi="Gill Sans" w:cs="Gill Sans"/>
          <w:noProof/>
          <w:sz w:val="22"/>
          <w:szCs w:val="22"/>
          <w:lang w:val="uk-UA"/>
        </w:rPr>
      </w:pPr>
      <w:r w:rsidRPr="00257F44">
        <w:rPr>
          <w:rFonts w:ascii="Gill Sans" w:hAnsi="Gill Sans" w:cs="Gill Sans"/>
          <w:noProof/>
          <w:sz w:val="22"/>
          <w:szCs w:val="22"/>
          <w:lang w:val="uk-UA"/>
        </w:rPr>
        <w:t>Інші виконавці: Всеукраїнський благодійний фонд “Коаліція ВІЛ-сервісних організацій”, міжнародний благодійний фонд “Карітас України”, інші невизначені організації громадянського суспільства та міжнародні організації.</w:t>
      </w:r>
    </w:p>
    <w:p w14:paraId="6E401323" w14:textId="77777777" w:rsidR="00AB2F75" w:rsidRPr="00257F44" w:rsidRDefault="00AB2F75" w:rsidP="00AB2F75">
      <w:pPr>
        <w:spacing w:after="120"/>
        <w:rPr>
          <w:rFonts w:ascii="Gill Sans" w:hAnsi="Gill Sans" w:cs="Gill Sans"/>
          <w:noProof/>
          <w:sz w:val="22"/>
          <w:szCs w:val="22"/>
          <w:lang w:val="uk-UA"/>
        </w:rPr>
      </w:pPr>
      <w:r w:rsidRPr="00257F44">
        <w:rPr>
          <w:rFonts w:ascii="Gill Sans" w:hAnsi="Gill Sans" w:cs="Gill Sans"/>
          <w:noProof/>
          <w:sz w:val="22"/>
          <w:szCs w:val="22"/>
          <w:lang w:val="uk-UA"/>
        </w:rPr>
        <w:t>Дата початку: Не визначено</w:t>
      </w:r>
      <w:r w:rsidRPr="00257F44">
        <w:rPr>
          <w:rFonts w:ascii="Gill Sans" w:hAnsi="Gill Sans" w:cs="Gill Sans"/>
          <w:noProof/>
          <w:sz w:val="22"/>
          <w:szCs w:val="22"/>
          <w:lang w:val="uk-UA"/>
        </w:rPr>
        <w:tab/>
      </w:r>
      <w:r w:rsidRPr="00257F44">
        <w:rPr>
          <w:rFonts w:ascii="Gill Sans" w:hAnsi="Gill Sans" w:cs="Gill Sans"/>
          <w:noProof/>
          <w:sz w:val="22"/>
          <w:szCs w:val="22"/>
          <w:lang w:val="uk-UA"/>
        </w:rPr>
        <w:tab/>
      </w:r>
      <w:r w:rsidRPr="00257F44">
        <w:rPr>
          <w:rFonts w:ascii="Gill Sans" w:hAnsi="Gill Sans" w:cs="Gill Sans"/>
          <w:noProof/>
          <w:sz w:val="22"/>
          <w:szCs w:val="22"/>
          <w:lang w:val="uk-UA"/>
        </w:rPr>
        <w:tab/>
      </w:r>
      <w:r w:rsidRPr="00257F44">
        <w:rPr>
          <w:rFonts w:ascii="Gill Sans" w:hAnsi="Gill Sans" w:cs="Gill Sans"/>
          <w:noProof/>
          <w:sz w:val="22"/>
          <w:szCs w:val="22"/>
          <w:lang w:val="uk-UA"/>
        </w:rPr>
        <w:tab/>
        <w:t>Термін виконання: 31 грудня 2014 р.</w:t>
      </w:r>
    </w:p>
    <w:tbl>
      <w:tblPr>
        <w:tblW w:w="10179"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79"/>
        <w:gridCol w:w="421"/>
        <w:gridCol w:w="344"/>
        <w:gridCol w:w="345"/>
        <w:gridCol w:w="367"/>
        <w:gridCol w:w="366"/>
        <w:gridCol w:w="367"/>
        <w:gridCol w:w="827"/>
        <w:gridCol w:w="336"/>
        <w:gridCol w:w="379"/>
        <w:gridCol w:w="383"/>
        <w:gridCol w:w="342"/>
        <w:gridCol w:w="472"/>
        <w:gridCol w:w="520"/>
        <w:gridCol w:w="520"/>
        <w:gridCol w:w="408"/>
        <w:gridCol w:w="342"/>
        <w:gridCol w:w="417"/>
        <w:gridCol w:w="342"/>
        <w:gridCol w:w="342"/>
        <w:gridCol w:w="420"/>
      </w:tblGrid>
      <w:tr w:rsidR="00AB2F75" w:rsidRPr="00257F44" w14:paraId="4636C778" w14:textId="77777777" w:rsidTr="00B223BA">
        <w:trPr>
          <w:trHeight w:val="405"/>
        </w:trPr>
        <w:tc>
          <w:tcPr>
            <w:tcW w:w="1440" w:type="dxa"/>
            <w:vMerge w:val="restart"/>
            <w:tcBorders>
              <w:top w:val="single" w:sz="18" w:space="0" w:color="FFFFFF"/>
              <w:left w:val="single" w:sz="4" w:space="0" w:color="FFFFFF"/>
              <w:right w:val="single" w:sz="18" w:space="0" w:color="FFFFFF"/>
            </w:tcBorders>
            <w:shd w:val="clear" w:color="auto" w:fill="000000"/>
          </w:tcPr>
          <w:p w14:paraId="6A318BCE" w14:textId="3DAF4458" w:rsidR="00AB2F75" w:rsidRPr="00257F44" w:rsidRDefault="00AB2F75" w:rsidP="00D6486B">
            <w:pPr>
              <w:spacing w:after="120"/>
              <w:rPr>
                <w:rFonts w:ascii="Gill Sans" w:hAnsi="Gill Sans" w:cs="Gill Sans"/>
                <w:color w:val="FFFFFF" w:themeColor="background1"/>
                <w:sz w:val="22"/>
                <w:szCs w:val="22"/>
                <w:lang w:val="uk-UA"/>
              </w:rPr>
            </w:pPr>
            <w:r w:rsidRPr="00257F44">
              <w:rPr>
                <w:rFonts w:ascii="Gill Sans" w:hAnsi="Gill Sans" w:cs="Gill Sans"/>
                <w:sz w:val="20"/>
                <w:szCs w:val="20"/>
                <w:lang w:val="uk-UA"/>
              </w:rPr>
              <w:t>Опис зобов’язання</w:t>
            </w:r>
          </w:p>
        </w:tc>
        <w:tc>
          <w:tcPr>
            <w:tcW w:w="1589" w:type="dxa"/>
            <w:gridSpan w:val="4"/>
            <w:vMerge w:val="restart"/>
            <w:tcBorders>
              <w:top w:val="single" w:sz="18" w:space="0" w:color="FFFFFF"/>
              <w:left w:val="single" w:sz="18" w:space="0" w:color="FFFFFF"/>
              <w:right w:val="single" w:sz="18" w:space="0" w:color="FFFFFF"/>
            </w:tcBorders>
            <w:shd w:val="clear" w:color="auto" w:fill="D6E3BC"/>
          </w:tcPr>
          <w:p w14:paraId="09CD5666" w14:textId="61F2726B"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Конкретність</w:t>
            </w:r>
          </w:p>
        </w:tc>
        <w:tc>
          <w:tcPr>
            <w:tcW w:w="1927" w:type="dxa"/>
            <w:gridSpan w:val="4"/>
            <w:vMerge w:val="restart"/>
            <w:tcBorders>
              <w:top w:val="single" w:sz="18" w:space="0" w:color="FFFFFF"/>
              <w:left w:val="single" w:sz="18" w:space="0" w:color="FFFFFF"/>
              <w:right w:val="single" w:sz="18" w:space="0" w:color="FFFFFF"/>
            </w:tcBorders>
            <w:shd w:val="clear" w:color="auto" w:fill="FBD4B4"/>
          </w:tcPr>
          <w:p w14:paraId="2578447F" w14:textId="36693DBB"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Відповідність цінностям ПВУ (як сформульовано)</w:t>
            </w:r>
          </w:p>
        </w:tc>
        <w:tc>
          <w:tcPr>
            <w:tcW w:w="1440" w:type="dxa"/>
            <w:gridSpan w:val="4"/>
            <w:vMerge w:val="restart"/>
            <w:tcBorders>
              <w:top w:val="single" w:sz="18" w:space="0" w:color="FFFFFF"/>
              <w:left w:val="single" w:sz="18" w:space="0" w:color="FFFFFF"/>
              <w:right w:val="single" w:sz="18" w:space="0" w:color="FFFFFF"/>
            </w:tcBorders>
            <w:shd w:val="clear" w:color="auto" w:fill="CCC0D9"/>
          </w:tcPr>
          <w:p w14:paraId="11E893E2" w14:textId="7845DFE8"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Потенційний вплив</w:t>
            </w:r>
          </w:p>
        </w:tc>
        <w:tc>
          <w:tcPr>
            <w:tcW w:w="992" w:type="dxa"/>
            <w:gridSpan w:val="2"/>
            <w:vMerge w:val="restart"/>
            <w:tcBorders>
              <w:top w:val="single" w:sz="18" w:space="0" w:color="FFFFFF"/>
              <w:left w:val="single" w:sz="18" w:space="0" w:color="FFFFFF"/>
              <w:right w:val="single" w:sz="2" w:space="0" w:color="FFFFFF"/>
            </w:tcBorders>
            <w:shd w:val="clear" w:color="auto" w:fill="B8CCE4"/>
          </w:tcPr>
          <w:p w14:paraId="227DED1E" w14:textId="7997A034"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Стан вико-нання</w:t>
            </w:r>
          </w:p>
        </w:tc>
        <w:tc>
          <w:tcPr>
            <w:tcW w:w="928"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53FE4B39" w14:textId="4E6606A3"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Про-міжний</w:t>
            </w:r>
          </w:p>
        </w:tc>
        <w:tc>
          <w:tcPr>
            <w:tcW w:w="1863" w:type="dxa"/>
            <w:gridSpan w:val="5"/>
            <w:vMerge w:val="restart"/>
            <w:tcBorders>
              <w:top w:val="single" w:sz="18" w:space="0" w:color="FFFFFF"/>
              <w:left w:val="single" w:sz="18" w:space="0" w:color="FFFFFF"/>
              <w:right w:val="single" w:sz="18" w:space="0" w:color="FFFFFF"/>
            </w:tcBorders>
            <w:shd w:val="clear" w:color="auto" w:fill="D99594"/>
          </w:tcPr>
          <w:p w14:paraId="5D98B3CE" w14:textId="5DABE93A"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Чи відкрило це уряд?</w:t>
            </w:r>
          </w:p>
        </w:tc>
      </w:tr>
      <w:tr w:rsidR="00D6486B" w:rsidRPr="00257F44" w14:paraId="4415A333" w14:textId="77777777" w:rsidTr="00B223BA">
        <w:trPr>
          <w:trHeight w:val="373"/>
        </w:trPr>
        <w:tc>
          <w:tcPr>
            <w:tcW w:w="1440" w:type="dxa"/>
            <w:vMerge/>
            <w:tcBorders>
              <w:left w:val="single" w:sz="4" w:space="0" w:color="FFFFFF"/>
              <w:right w:val="single" w:sz="18" w:space="0" w:color="FFFFFF"/>
            </w:tcBorders>
            <w:shd w:val="clear" w:color="auto" w:fill="000000"/>
          </w:tcPr>
          <w:p w14:paraId="3E8F1412" w14:textId="6D1D8C19" w:rsidR="00D6486B" w:rsidRPr="00257F44" w:rsidRDefault="00D6486B" w:rsidP="00D6486B">
            <w:pPr>
              <w:spacing w:after="120"/>
              <w:rPr>
                <w:rFonts w:ascii="Gill Sans" w:hAnsi="Gill Sans" w:cs="Gill Sans"/>
                <w:color w:val="FFFFFF" w:themeColor="background1"/>
                <w:sz w:val="22"/>
                <w:szCs w:val="22"/>
                <w:lang w:val="uk-UA"/>
              </w:rPr>
            </w:pPr>
          </w:p>
        </w:tc>
        <w:tc>
          <w:tcPr>
            <w:tcW w:w="1589" w:type="dxa"/>
            <w:gridSpan w:val="4"/>
            <w:vMerge/>
            <w:tcBorders>
              <w:left w:val="single" w:sz="18" w:space="0" w:color="FFFFFF"/>
              <w:bottom w:val="single" w:sz="18" w:space="0" w:color="FFFFFF"/>
              <w:right w:val="single" w:sz="18" w:space="0" w:color="FFFFFF"/>
            </w:tcBorders>
            <w:shd w:val="clear" w:color="auto" w:fill="D6E3BC"/>
          </w:tcPr>
          <w:p w14:paraId="1201C957" w14:textId="77777777" w:rsidR="00D6486B" w:rsidRPr="00257F44" w:rsidRDefault="00D6486B" w:rsidP="00D6486B">
            <w:pPr>
              <w:rPr>
                <w:rFonts w:ascii="Gill Sans" w:hAnsi="Gill Sans" w:cs="Gill Sans"/>
                <w:sz w:val="22"/>
                <w:szCs w:val="22"/>
                <w:lang w:val="uk-UA"/>
              </w:rPr>
            </w:pPr>
          </w:p>
        </w:tc>
        <w:tc>
          <w:tcPr>
            <w:tcW w:w="1927" w:type="dxa"/>
            <w:gridSpan w:val="4"/>
            <w:vMerge/>
            <w:tcBorders>
              <w:left w:val="single" w:sz="18" w:space="0" w:color="FFFFFF"/>
              <w:bottom w:val="single" w:sz="18" w:space="0" w:color="FFFFFF"/>
              <w:right w:val="single" w:sz="18" w:space="0" w:color="FFFFFF"/>
            </w:tcBorders>
            <w:shd w:val="clear" w:color="auto" w:fill="FBD4B4"/>
          </w:tcPr>
          <w:p w14:paraId="6995B711" w14:textId="77777777" w:rsidR="00D6486B" w:rsidRPr="00257F44" w:rsidRDefault="00D6486B" w:rsidP="00D6486B">
            <w:pPr>
              <w:rPr>
                <w:rFonts w:ascii="Gill Sans" w:hAnsi="Gill Sans" w:cs="Gill Sans"/>
                <w:sz w:val="22"/>
                <w:szCs w:val="22"/>
                <w:lang w:val="uk-UA"/>
              </w:rPr>
            </w:pPr>
          </w:p>
        </w:tc>
        <w:tc>
          <w:tcPr>
            <w:tcW w:w="1440" w:type="dxa"/>
            <w:gridSpan w:val="4"/>
            <w:vMerge/>
            <w:tcBorders>
              <w:left w:val="single" w:sz="18" w:space="0" w:color="FFFFFF"/>
              <w:bottom w:val="single" w:sz="18" w:space="0" w:color="FFFFFF"/>
              <w:right w:val="single" w:sz="18" w:space="0" w:color="FFFFFF"/>
            </w:tcBorders>
            <w:shd w:val="clear" w:color="auto" w:fill="CCC0D9"/>
          </w:tcPr>
          <w:p w14:paraId="2F9CE450" w14:textId="77777777" w:rsidR="00D6486B" w:rsidRPr="00257F44" w:rsidRDefault="00D6486B" w:rsidP="00D6486B">
            <w:pPr>
              <w:rPr>
                <w:rFonts w:ascii="Gill Sans" w:hAnsi="Gill Sans" w:cs="Gill Sans"/>
                <w:sz w:val="22"/>
                <w:szCs w:val="22"/>
                <w:lang w:val="uk-UA"/>
              </w:rPr>
            </w:pPr>
          </w:p>
        </w:tc>
        <w:tc>
          <w:tcPr>
            <w:tcW w:w="992" w:type="dxa"/>
            <w:gridSpan w:val="2"/>
            <w:vMerge/>
            <w:tcBorders>
              <w:left w:val="single" w:sz="18" w:space="0" w:color="FFFFFF"/>
              <w:bottom w:val="single" w:sz="18" w:space="0" w:color="FFFFFF"/>
              <w:right w:val="single" w:sz="2" w:space="0" w:color="FFFFFF"/>
            </w:tcBorders>
            <w:shd w:val="clear" w:color="auto" w:fill="B8CCE4"/>
          </w:tcPr>
          <w:p w14:paraId="30EFA270" w14:textId="77777777" w:rsidR="00D6486B" w:rsidRPr="00257F44" w:rsidRDefault="00D6486B" w:rsidP="00D6486B">
            <w:pPr>
              <w:rPr>
                <w:rFonts w:ascii="Gill Sans" w:hAnsi="Gill Sans" w:cs="Gill Sans"/>
                <w:sz w:val="22"/>
                <w:szCs w:val="22"/>
                <w:lang w:val="uk-UA"/>
              </w:rPr>
            </w:pPr>
          </w:p>
        </w:tc>
        <w:tc>
          <w:tcPr>
            <w:tcW w:w="928"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74376033" w14:textId="74411B02" w:rsidR="00D6486B" w:rsidRPr="00257F44" w:rsidRDefault="00AB2F75" w:rsidP="00D6486B">
            <w:pPr>
              <w:rPr>
                <w:rFonts w:ascii="Gill Sans" w:hAnsi="Gill Sans" w:cs="Gill Sans"/>
                <w:sz w:val="20"/>
                <w:szCs w:val="20"/>
                <w:lang w:val="uk-UA"/>
              </w:rPr>
            </w:pPr>
            <w:r w:rsidRPr="00257F44">
              <w:rPr>
                <w:rFonts w:ascii="Gill Sans" w:hAnsi="Gill Sans" w:cs="Gill Sans"/>
                <w:sz w:val="20"/>
                <w:szCs w:val="20"/>
                <w:lang w:val="uk-UA"/>
              </w:rPr>
              <w:t>Підсум-ковий</w:t>
            </w:r>
          </w:p>
        </w:tc>
        <w:tc>
          <w:tcPr>
            <w:tcW w:w="1863" w:type="dxa"/>
            <w:gridSpan w:val="5"/>
            <w:vMerge/>
            <w:tcBorders>
              <w:left w:val="single" w:sz="18" w:space="0" w:color="FFFFFF"/>
              <w:bottom w:val="single" w:sz="18" w:space="0" w:color="FFFFFF"/>
              <w:right w:val="single" w:sz="18" w:space="0" w:color="FFFFFF"/>
            </w:tcBorders>
            <w:shd w:val="clear" w:color="auto" w:fill="D99594"/>
          </w:tcPr>
          <w:p w14:paraId="0B72899B" w14:textId="77777777" w:rsidR="00D6486B" w:rsidRPr="00257F44" w:rsidRDefault="00D6486B" w:rsidP="00D6486B">
            <w:pPr>
              <w:rPr>
                <w:rFonts w:ascii="Gill Sans" w:hAnsi="Gill Sans" w:cs="Gill Sans"/>
                <w:sz w:val="22"/>
                <w:szCs w:val="22"/>
                <w:lang w:val="uk-UA"/>
              </w:rPr>
            </w:pPr>
          </w:p>
        </w:tc>
      </w:tr>
      <w:tr w:rsidR="00AB2F75" w:rsidRPr="00257F44" w14:paraId="6638D667" w14:textId="77777777" w:rsidTr="00D75AEE">
        <w:trPr>
          <w:cantSplit/>
          <w:trHeight w:val="2336"/>
        </w:trPr>
        <w:tc>
          <w:tcPr>
            <w:tcW w:w="1440" w:type="dxa"/>
            <w:vMerge/>
            <w:tcBorders>
              <w:left w:val="single" w:sz="4" w:space="0" w:color="FFFFFF"/>
              <w:right w:val="single" w:sz="18" w:space="0" w:color="FFFFFF"/>
            </w:tcBorders>
            <w:shd w:val="clear" w:color="auto" w:fill="000000"/>
          </w:tcPr>
          <w:p w14:paraId="0D22B598" w14:textId="73568AB0" w:rsidR="00AB2F75" w:rsidRPr="00257F44" w:rsidRDefault="00AB2F75" w:rsidP="00D6486B">
            <w:pPr>
              <w:spacing w:after="120"/>
              <w:rPr>
                <w:rFonts w:ascii="Gill Sans" w:hAnsi="Gill Sans" w:cs="Gill Sans"/>
                <w:color w:val="FFFFFF" w:themeColor="background1"/>
                <w:sz w:val="22"/>
                <w:szCs w:val="22"/>
                <w:lang w:val="uk-UA"/>
              </w:rPr>
            </w:pPr>
          </w:p>
        </w:tc>
        <w:tc>
          <w:tcPr>
            <w:tcW w:w="479"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079D4870" w14:textId="04FB557C"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Відсутня</w:t>
            </w:r>
          </w:p>
        </w:tc>
        <w:tc>
          <w:tcPr>
            <w:tcW w:w="421"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37F0975A" w14:textId="7DE2B8BA"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Низька</w:t>
            </w:r>
          </w:p>
        </w:tc>
        <w:tc>
          <w:tcPr>
            <w:tcW w:w="344"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23EB270C" w14:textId="0834D87F"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Середня</w:t>
            </w:r>
          </w:p>
        </w:tc>
        <w:tc>
          <w:tcPr>
            <w:tcW w:w="345"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0F45B88D" w14:textId="4612BA59"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Висока</w:t>
            </w:r>
          </w:p>
        </w:tc>
        <w:tc>
          <w:tcPr>
            <w:tcW w:w="367"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00C5ADC0" w14:textId="75695BE5"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Доступ до інформації</w:t>
            </w:r>
          </w:p>
        </w:tc>
        <w:tc>
          <w:tcPr>
            <w:tcW w:w="366"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3AA75EE4" w14:textId="5B9932B3"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Громадська участь</w:t>
            </w:r>
          </w:p>
        </w:tc>
        <w:tc>
          <w:tcPr>
            <w:tcW w:w="367"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41F016E3" w14:textId="31152004"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Підзвітність влади</w:t>
            </w:r>
          </w:p>
        </w:tc>
        <w:tc>
          <w:tcPr>
            <w:tcW w:w="827"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32AAE166" w14:textId="70F80DC5"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Технології та інновації для прозорості й підзвітності</w:t>
            </w:r>
          </w:p>
        </w:tc>
        <w:tc>
          <w:tcPr>
            <w:tcW w:w="336"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6095E536" w14:textId="4C3AF0D7"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Жодного</w:t>
            </w:r>
          </w:p>
        </w:tc>
        <w:tc>
          <w:tcPr>
            <w:tcW w:w="379"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71873CAE" w14:textId="17B23C6B"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Незначний</w:t>
            </w:r>
          </w:p>
        </w:tc>
        <w:tc>
          <w:tcPr>
            <w:tcW w:w="383"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6C2FC6E9" w14:textId="2E8FC5EB"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Помірний</w:t>
            </w:r>
          </w:p>
        </w:tc>
        <w:tc>
          <w:tcPr>
            <w:tcW w:w="342"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7FEEC177" w14:textId="4A24DD27"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Трансформуючий</w:t>
            </w:r>
          </w:p>
        </w:tc>
        <w:tc>
          <w:tcPr>
            <w:tcW w:w="472"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0580F6EF" w14:textId="0B15EE1B"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Не розпочато</w:t>
            </w:r>
          </w:p>
        </w:tc>
        <w:tc>
          <w:tcPr>
            <w:tcW w:w="520"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3F8DD650" w14:textId="63699AB3"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Обмежене</w:t>
            </w:r>
          </w:p>
        </w:tc>
        <w:tc>
          <w:tcPr>
            <w:tcW w:w="520"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3F638A56" w14:textId="4B3C2876"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Значне</w:t>
            </w:r>
          </w:p>
        </w:tc>
        <w:tc>
          <w:tcPr>
            <w:tcW w:w="408"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68BEE5D3" w14:textId="50B1673F"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Повне</w:t>
            </w:r>
          </w:p>
        </w:tc>
        <w:tc>
          <w:tcPr>
            <w:tcW w:w="342"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7E83AEA8" w14:textId="6D8CDE02"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Погіршило</w:t>
            </w:r>
          </w:p>
        </w:tc>
        <w:tc>
          <w:tcPr>
            <w:tcW w:w="417"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CD06F86" w14:textId="0C7195EF"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Не змінило</w:t>
            </w:r>
          </w:p>
        </w:tc>
        <w:tc>
          <w:tcPr>
            <w:tcW w:w="34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3533157" w14:textId="7C81D57E"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Обмежено</w:t>
            </w:r>
          </w:p>
        </w:tc>
        <w:tc>
          <w:tcPr>
            <w:tcW w:w="34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299878ED" w14:textId="36FF9259"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Значною мірою</w:t>
            </w:r>
          </w:p>
        </w:tc>
        <w:tc>
          <w:tcPr>
            <w:tcW w:w="420"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5963D6EB" w14:textId="1E000BA3" w:rsidR="00AB2F75" w:rsidRPr="00257F44" w:rsidRDefault="00AB2F75" w:rsidP="00D6486B">
            <w:pPr>
              <w:rPr>
                <w:rFonts w:ascii="Gill Sans" w:hAnsi="Gill Sans" w:cs="Gill Sans"/>
                <w:sz w:val="22"/>
                <w:szCs w:val="22"/>
                <w:lang w:val="uk-UA"/>
              </w:rPr>
            </w:pPr>
            <w:r w:rsidRPr="00257F44">
              <w:rPr>
                <w:rFonts w:ascii="Gill Sans" w:hAnsi="Gill Sans" w:cs="Gill Sans"/>
                <w:sz w:val="20"/>
                <w:szCs w:val="20"/>
                <w:lang w:val="uk-UA"/>
              </w:rPr>
              <w:t>Визначною мірою</w:t>
            </w:r>
          </w:p>
        </w:tc>
      </w:tr>
      <w:tr w:rsidR="009B0529" w:rsidRPr="00257F44" w14:paraId="7503453A" w14:textId="77777777" w:rsidTr="00B223BA">
        <w:trPr>
          <w:trHeight w:val="340"/>
        </w:trPr>
        <w:tc>
          <w:tcPr>
            <w:tcW w:w="1440" w:type="dxa"/>
            <w:vMerge/>
            <w:tcBorders>
              <w:left w:val="single" w:sz="4" w:space="0" w:color="FFFFFF"/>
              <w:right w:val="single" w:sz="18" w:space="0" w:color="FFFFFF"/>
            </w:tcBorders>
            <w:shd w:val="clear" w:color="auto" w:fill="000000"/>
          </w:tcPr>
          <w:p w14:paraId="2D860FE0" w14:textId="111F4A4E" w:rsidR="00D6486B" w:rsidRPr="00257F44" w:rsidRDefault="00D6486B" w:rsidP="00D6486B">
            <w:pPr>
              <w:spacing w:after="120"/>
              <w:rPr>
                <w:rFonts w:ascii="Gill Sans" w:hAnsi="Gill Sans" w:cs="Gill Sans"/>
                <w:noProof/>
                <w:color w:val="FFFFFF" w:themeColor="background1"/>
                <w:sz w:val="22"/>
                <w:szCs w:val="22"/>
                <w:lang w:val="uk-UA"/>
              </w:rPr>
            </w:pPr>
          </w:p>
        </w:tc>
        <w:tc>
          <w:tcPr>
            <w:tcW w:w="479" w:type="dxa"/>
            <w:vMerge w:val="restart"/>
            <w:tcBorders>
              <w:top w:val="single" w:sz="18" w:space="0" w:color="FFFFFF"/>
              <w:left w:val="single" w:sz="18" w:space="0" w:color="FFFFFF"/>
              <w:right w:val="single" w:sz="2" w:space="0" w:color="FFFFFF"/>
            </w:tcBorders>
            <w:shd w:val="clear" w:color="auto" w:fill="D6E3BC"/>
          </w:tcPr>
          <w:p w14:paraId="0B1BD1C8" w14:textId="77777777" w:rsidR="00D6486B" w:rsidRPr="00257F44" w:rsidRDefault="00D6486B" w:rsidP="00D6486B">
            <w:pPr>
              <w:spacing w:after="120"/>
              <w:jc w:val="center"/>
              <w:rPr>
                <w:rFonts w:ascii="Gill Sans" w:hAnsi="Gill Sans" w:cs="Gill Sans"/>
                <w:sz w:val="22"/>
                <w:szCs w:val="22"/>
                <w:lang w:val="uk-UA"/>
              </w:rPr>
            </w:pPr>
          </w:p>
        </w:tc>
        <w:tc>
          <w:tcPr>
            <w:tcW w:w="421" w:type="dxa"/>
            <w:vMerge w:val="restart"/>
            <w:tcBorders>
              <w:top w:val="single" w:sz="18" w:space="0" w:color="FFFFFF"/>
              <w:left w:val="single" w:sz="2" w:space="0" w:color="FFFFFF"/>
              <w:right w:val="single" w:sz="2" w:space="0" w:color="FFFFFF"/>
            </w:tcBorders>
            <w:shd w:val="clear" w:color="auto" w:fill="D6E3BC"/>
          </w:tcPr>
          <w:p w14:paraId="454B8B1F" w14:textId="77777777" w:rsidR="00D6486B" w:rsidRPr="00257F44" w:rsidRDefault="00D6486B" w:rsidP="00D6486B">
            <w:pPr>
              <w:spacing w:after="120"/>
              <w:jc w:val="center"/>
              <w:rPr>
                <w:rFonts w:ascii="Gill Sans" w:hAnsi="Gill Sans" w:cs="Gill Sans"/>
                <w:sz w:val="22"/>
                <w:szCs w:val="22"/>
                <w:lang w:val="uk-UA"/>
              </w:rPr>
            </w:pPr>
          </w:p>
        </w:tc>
        <w:tc>
          <w:tcPr>
            <w:tcW w:w="344" w:type="dxa"/>
            <w:vMerge w:val="restart"/>
            <w:tcBorders>
              <w:top w:val="single" w:sz="18" w:space="0" w:color="FFFFFF"/>
              <w:left w:val="single" w:sz="2" w:space="0" w:color="FFFFFF"/>
              <w:right w:val="single" w:sz="2" w:space="0" w:color="FFFFFF"/>
            </w:tcBorders>
            <w:shd w:val="clear" w:color="auto" w:fill="D6E3BC"/>
          </w:tcPr>
          <w:p w14:paraId="7E24F734" w14:textId="77777777" w:rsidR="00D6486B" w:rsidRPr="00257F44" w:rsidRDefault="00D6486B" w:rsidP="00D6486B">
            <w:pPr>
              <w:rPr>
                <w:rFonts w:ascii="Zapf Dingbats" w:eastAsia="MS Mincho" w:hAnsi="Zapf Dingbats" w:cs="MS Mincho"/>
                <w:noProof/>
                <w:sz w:val="22"/>
                <w:szCs w:val="22"/>
                <w:lang w:val="uk-UA"/>
              </w:rPr>
            </w:pPr>
          </w:p>
        </w:tc>
        <w:tc>
          <w:tcPr>
            <w:tcW w:w="345" w:type="dxa"/>
            <w:vMerge w:val="restart"/>
            <w:tcBorders>
              <w:top w:val="single" w:sz="18" w:space="0" w:color="FFFFFF"/>
              <w:left w:val="single" w:sz="2" w:space="0" w:color="FFFFFF"/>
              <w:right w:val="single" w:sz="18" w:space="0" w:color="FFFFFF"/>
            </w:tcBorders>
            <w:shd w:val="clear" w:color="auto" w:fill="D6E3BC"/>
          </w:tcPr>
          <w:p w14:paraId="6B2C8903" w14:textId="77777777" w:rsidR="00D6486B" w:rsidRPr="00257F44" w:rsidRDefault="00D6486B" w:rsidP="00D6486B">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1927" w:type="dxa"/>
            <w:gridSpan w:val="4"/>
            <w:vMerge w:val="restart"/>
            <w:tcBorders>
              <w:top w:val="single" w:sz="18" w:space="0" w:color="FFFFFF"/>
              <w:left w:val="single" w:sz="2" w:space="0" w:color="FFFFFF"/>
              <w:right w:val="single" w:sz="18" w:space="0" w:color="FFFFFF"/>
            </w:tcBorders>
            <w:shd w:val="clear" w:color="auto" w:fill="FBD4B4"/>
          </w:tcPr>
          <w:p w14:paraId="5943DDF7" w14:textId="77777777" w:rsidR="00B223BA" w:rsidRPr="00257F44" w:rsidRDefault="00B223BA" w:rsidP="00D6486B">
            <w:pPr>
              <w:spacing w:after="120"/>
              <w:jc w:val="center"/>
              <w:rPr>
                <w:rFonts w:ascii="Gill Sans" w:hAnsi="Gill Sans" w:cs="Gill Sans"/>
                <w:sz w:val="22"/>
                <w:szCs w:val="22"/>
                <w:lang w:val="uk-UA"/>
              </w:rPr>
            </w:pPr>
          </w:p>
          <w:p w14:paraId="100149FB" w14:textId="166CF875" w:rsidR="00D6486B" w:rsidRPr="00257F44" w:rsidRDefault="00C70F14" w:rsidP="00D6486B">
            <w:pPr>
              <w:spacing w:after="120"/>
              <w:jc w:val="center"/>
              <w:rPr>
                <w:rFonts w:ascii="Gill Sans" w:hAnsi="Gill Sans" w:cs="Gill Sans"/>
                <w:sz w:val="22"/>
                <w:szCs w:val="22"/>
                <w:lang w:val="uk-UA"/>
              </w:rPr>
            </w:pPr>
            <w:r w:rsidRPr="00257F44">
              <w:rPr>
                <w:rFonts w:ascii="Gill Sans" w:hAnsi="Gill Sans" w:cs="Gill Sans"/>
                <w:sz w:val="22"/>
                <w:szCs w:val="22"/>
                <w:lang w:val="uk-UA"/>
              </w:rPr>
              <w:t>Незрозуміло</w:t>
            </w:r>
          </w:p>
        </w:tc>
        <w:tc>
          <w:tcPr>
            <w:tcW w:w="336" w:type="dxa"/>
            <w:vMerge w:val="restart"/>
            <w:tcBorders>
              <w:top w:val="single" w:sz="18" w:space="0" w:color="FFFFFF"/>
              <w:left w:val="single" w:sz="18" w:space="0" w:color="FFFFFF"/>
              <w:right w:val="single" w:sz="2" w:space="0" w:color="FFFFFF"/>
            </w:tcBorders>
            <w:shd w:val="clear" w:color="auto" w:fill="CCC0D9"/>
          </w:tcPr>
          <w:p w14:paraId="1C7FE985" w14:textId="77777777" w:rsidR="00D6486B" w:rsidRPr="00257F44" w:rsidRDefault="00D6486B" w:rsidP="00D6486B">
            <w:pPr>
              <w:spacing w:after="120"/>
              <w:jc w:val="center"/>
              <w:rPr>
                <w:rFonts w:ascii="Gill Sans" w:hAnsi="Gill Sans" w:cs="Gill Sans"/>
                <w:sz w:val="22"/>
                <w:szCs w:val="22"/>
                <w:lang w:val="uk-UA"/>
              </w:rPr>
            </w:pPr>
          </w:p>
        </w:tc>
        <w:tc>
          <w:tcPr>
            <w:tcW w:w="379" w:type="dxa"/>
            <w:vMerge w:val="restart"/>
            <w:tcBorders>
              <w:top w:val="single" w:sz="18" w:space="0" w:color="FFFFFF"/>
              <w:left w:val="single" w:sz="2" w:space="0" w:color="FFFFFF"/>
              <w:right w:val="single" w:sz="2" w:space="0" w:color="FFFFFF"/>
            </w:tcBorders>
            <w:shd w:val="clear" w:color="auto" w:fill="CCC0D9"/>
          </w:tcPr>
          <w:p w14:paraId="722E43CB" w14:textId="452F24F3" w:rsidR="00D6486B" w:rsidRPr="00257F44" w:rsidRDefault="00D6486B" w:rsidP="00D6486B">
            <w:pPr>
              <w:spacing w:after="120"/>
              <w:jc w:val="center"/>
              <w:rPr>
                <w:rFonts w:ascii="Gill Sans" w:hAnsi="Gill Sans" w:cs="Gill Sans"/>
                <w:sz w:val="22"/>
                <w:szCs w:val="22"/>
                <w:lang w:val="uk-UA"/>
              </w:rPr>
            </w:pPr>
          </w:p>
        </w:tc>
        <w:tc>
          <w:tcPr>
            <w:tcW w:w="383" w:type="dxa"/>
            <w:vMerge w:val="restart"/>
            <w:tcBorders>
              <w:top w:val="single" w:sz="18" w:space="0" w:color="FFFFFF"/>
              <w:left w:val="single" w:sz="2" w:space="0" w:color="FFFFFF"/>
              <w:right w:val="single" w:sz="2" w:space="0" w:color="FFFFFF"/>
            </w:tcBorders>
            <w:shd w:val="clear" w:color="auto" w:fill="CCC0D9"/>
          </w:tcPr>
          <w:p w14:paraId="73EBB097" w14:textId="3CA96142" w:rsidR="00D6486B" w:rsidRPr="00257F44" w:rsidRDefault="00D6486B" w:rsidP="00D6486B">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42" w:type="dxa"/>
            <w:vMerge w:val="restart"/>
            <w:tcBorders>
              <w:top w:val="single" w:sz="18" w:space="0" w:color="FFFFFF"/>
              <w:left w:val="single" w:sz="2" w:space="0" w:color="FFFFFF"/>
              <w:right w:val="single" w:sz="18" w:space="0" w:color="FFFFFF"/>
            </w:tcBorders>
            <w:shd w:val="clear" w:color="auto" w:fill="CCC0D9"/>
          </w:tcPr>
          <w:p w14:paraId="33E275C9" w14:textId="77777777" w:rsidR="00D6486B" w:rsidRPr="00257F44" w:rsidRDefault="00D6486B" w:rsidP="00D6486B">
            <w:pPr>
              <w:rPr>
                <w:rFonts w:ascii="Zapf Dingbats" w:eastAsia="MS Mincho" w:hAnsi="Zapf Dingbats" w:cs="MS Mincho"/>
                <w:noProof/>
                <w:sz w:val="22"/>
                <w:szCs w:val="22"/>
                <w:lang w:val="uk-UA"/>
              </w:rPr>
            </w:pPr>
          </w:p>
        </w:tc>
        <w:tc>
          <w:tcPr>
            <w:tcW w:w="472"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11CD6D46" w14:textId="77777777" w:rsidR="00D6486B" w:rsidRPr="00257F44" w:rsidRDefault="00D6486B" w:rsidP="00D6486B">
            <w:pPr>
              <w:rPr>
                <w:rFonts w:ascii="Zapf Dingbats" w:eastAsia="MS Mincho" w:hAnsi="Zapf Dingbats" w:cs="MS Mincho"/>
                <w:noProof/>
                <w:sz w:val="22"/>
                <w:szCs w:val="22"/>
                <w:lang w:val="uk-UA"/>
              </w:rPr>
            </w:pPr>
          </w:p>
        </w:tc>
        <w:tc>
          <w:tcPr>
            <w:tcW w:w="520"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10E5D453" w14:textId="77777777" w:rsidR="00D6486B" w:rsidRPr="00257F44" w:rsidRDefault="00D6486B" w:rsidP="00D6486B">
            <w:pPr>
              <w:rPr>
                <w:rFonts w:ascii="Zapf Dingbats" w:eastAsia="MS Mincho" w:hAnsi="Zapf Dingbats" w:cs="MS Mincho"/>
                <w:noProof/>
                <w:sz w:val="22"/>
                <w:szCs w:val="22"/>
                <w:lang w:val="uk-UA"/>
              </w:rPr>
            </w:pPr>
          </w:p>
        </w:tc>
        <w:tc>
          <w:tcPr>
            <w:tcW w:w="520"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5C0F28FA" w14:textId="4904F8CB" w:rsidR="00D6486B" w:rsidRPr="00257F44" w:rsidRDefault="00D6486B" w:rsidP="00D6486B">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408"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4CA3DAD5" w14:textId="5EC95916" w:rsidR="00D6486B" w:rsidRPr="00257F44" w:rsidRDefault="00D6486B" w:rsidP="00D6486B">
            <w:pPr>
              <w:spacing w:after="120"/>
              <w:jc w:val="center"/>
              <w:rPr>
                <w:rFonts w:ascii="Gill Sans" w:hAnsi="Gill Sans" w:cs="Gill Sans"/>
                <w:sz w:val="22"/>
                <w:szCs w:val="22"/>
                <w:lang w:val="uk-UA"/>
              </w:rPr>
            </w:pPr>
          </w:p>
        </w:tc>
        <w:tc>
          <w:tcPr>
            <w:tcW w:w="342" w:type="dxa"/>
            <w:vMerge w:val="restart"/>
            <w:tcBorders>
              <w:top w:val="single" w:sz="18" w:space="0" w:color="FFFFFF"/>
              <w:left w:val="single" w:sz="18" w:space="0" w:color="FFFFFF"/>
              <w:right w:val="single" w:sz="2" w:space="0" w:color="FFFFFF"/>
            </w:tcBorders>
            <w:shd w:val="clear" w:color="auto" w:fill="D99594"/>
          </w:tcPr>
          <w:p w14:paraId="450EF951" w14:textId="77777777" w:rsidR="00D6486B" w:rsidRPr="00257F44" w:rsidRDefault="00D6486B" w:rsidP="00D6486B">
            <w:pPr>
              <w:spacing w:after="120"/>
              <w:jc w:val="center"/>
              <w:rPr>
                <w:rFonts w:ascii="Gill Sans" w:hAnsi="Gill Sans" w:cs="Gill Sans"/>
                <w:sz w:val="22"/>
                <w:szCs w:val="22"/>
                <w:lang w:val="uk-UA"/>
              </w:rPr>
            </w:pPr>
          </w:p>
        </w:tc>
        <w:tc>
          <w:tcPr>
            <w:tcW w:w="417" w:type="dxa"/>
            <w:vMerge w:val="restart"/>
            <w:tcBorders>
              <w:top w:val="single" w:sz="18" w:space="0" w:color="FFFFFF"/>
              <w:left w:val="single" w:sz="2" w:space="0" w:color="FFFFFF"/>
              <w:right w:val="single" w:sz="2" w:space="0" w:color="FFFFFF"/>
            </w:tcBorders>
            <w:shd w:val="clear" w:color="auto" w:fill="D99594"/>
          </w:tcPr>
          <w:p w14:paraId="6A7F6D64" w14:textId="77BFE4AF" w:rsidR="00D6486B" w:rsidRPr="00257F44" w:rsidRDefault="00D6486B" w:rsidP="00D6486B">
            <w:pPr>
              <w:rPr>
                <w:rFonts w:ascii="Gill Sans" w:hAnsi="Gill Sans" w:cs="Gill Sans"/>
                <w:sz w:val="22"/>
                <w:szCs w:val="22"/>
                <w:lang w:val="uk-UA"/>
              </w:rPr>
            </w:pPr>
            <w:r w:rsidRPr="00257F44">
              <w:rPr>
                <w:rFonts w:ascii="Zapf Dingbats" w:eastAsia="MS Mincho" w:hAnsi="Zapf Dingbats" w:cs="MS Mincho"/>
                <w:noProof/>
                <w:sz w:val="22"/>
                <w:szCs w:val="22"/>
                <w:lang w:val="uk-UA"/>
              </w:rPr>
              <w:t>✔</w:t>
            </w:r>
          </w:p>
        </w:tc>
        <w:tc>
          <w:tcPr>
            <w:tcW w:w="342" w:type="dxa"/>
            <w:vMerge w:val="restart"/>
            <w:tcBorders>
              <w:top w:val="single" w:sz="18" w:space="0" w:color="FFFFFF"/>
              <w:left w:val="single" w:sz="2" w:space="0" w:color="FFFFFF"/>
              <w:right w:val="single" w:sz="2" w:space="0" w:color="FFFFFF"/>
            </w:tcBorders>
            <w:shd w:val="clear" w:color="auto" w:fill="D99594"/>
          </w:tcPr>
          <w:p w14:paraId="359494C8" w14:textId="17B50324" w:rsidR="00D6486B" w:rsidRPr="00257F44" w:rsidRDefault="00D6486B" w:rsidP="00D6486B">
            <w:pPr>
              <w:spacing w:after="120"/>
              <w:jc w:val="center"/>
              <w:rPr>
                <w:rFonts w:ascii="Gill Sans" w:hAnsi="Gill Sans" w:cs="Gill Sans"/>
                <w:sz w:val="22"/>
                <w:szCs w:val="22"/>
                <w:lang w:val="uk-UA"/>
              </w:rPr>
            </w:pPr>
          </w:p>
        </w:tc>
        <w:tc>
          <w:tcPr>
            <w:tcW w:w="342" w:type="dxa"/>
            <w:vMerge w:val="restart"/>
            <w:tcBorders>
              <w:top w:val="single" w:sz="18" w:space="0" w:color="FFFFFF"/>
              <w:left w:val="single" w:sz="2" w:space="0" w:color="FFFFFF"/>
              <w:right w:val="single" w:sz="2" w:space="0" w:color="FFFFFF"/>
            </w:tcBorders>
            <w:shd w:val="clear" w:color="auto" w:fill="D99594"/>
          </w:tcPr>
          <w:p w14:paraId="201C9560" w14:textId="77777777" w:rsidR="00D6486B" w:rsidRPr="00257F44" w:rsidRDefault="00D6486B" w:rsidP="00D6486B">
            <w:pPr>
              <w:spacing w:after="120"/>
              <w:jc w:val="center"/>
              <w:rPr>
                <w:rFonts w:ascii="Gill Sans" w:hAnsi="Gill Sans" w:cs="Gill Sans"/>
                <w:noProof/>
                <w:sz w:val="22"/>
                <w:szCs w:val="22"/>
                <w:lang w:val="uk-UA"/>
              </w:rPr>
            </w:pPr>
          </w:p>
        </w:tc>
        <w:tc>
          <w:tcPr>
            <w:tcW w:w="420" w:type="dxa"/>
            <w:vMerge w:val="restart"/>
            <w:tcBorders>
              <w:top w:val="single" w:sz="18" w:space="0" w:color="FFFFFF"/>
              <w:left w:val="single" w:sz="2" w:space="0" w:color="FFFFFF"/>
              <w:right w:val="single" w:sz="18" w:space="0" w:color="FFFFFF"/>
            </w:tcBorders>
            <w:shd w:val="clear" w:color="auto" w:fill="D99594"/>
          </w:tcPr>
          <w:p w14:paraId="039B39C1" w14:textId="77777777" w:rsidR="00D6486B" w:rsidRPr="00257F44" w:rsidRDefault="00D6486B" w:rsidP="00D6486B">
            <w:pPr>
              <w:spacing w:after="120"/>
              <w:jc w:val="center"/>
              <w:rPr>
                <w:rFonts w:ascii="Gill Sans" w:hAnsi="Gill Sans" w:cs="Gill Sans"/>
                <w:sz w:val="22"/>
                <w:szCs w:val="22"/>
                <w:lang w:val="uk-UA"/>
              </w:rPr>
            </w:pPr>
          </w:p>
        </w:tc>
      </w:tr>
      <w:tr w:rsidR="009B0529" w:rsidRPr="00257F44" w14:paraId="5E4F31FD" w14:textId="77777777" w:rsidTr="00B223BA">
        <w:trPr>
          <w:trHeight w:val="340"/>
        </w:trPr>
        <w:tc>
          <w:tcPr>
            <w:tcW w:w="1440" w:type="dxa"/>
            <w:vMerge/>
            <w:tcBorders>
              <w:left w:val="single" w:sz="4" w:space="0" w:color="FFFFFF"/>
              <w:right w:val="single" w:sz="18" w:space="0" w:color="FFFFFF"/>
            </w:tcBorders>
            <w:shd w:val="clear" w:color="auto" w:fill="000000"/>
          </w:tcPr>
          <w:p w14:paraId="1983B10B" w14:textId="77777777" w:rsidR="00D6486B" w:rsidRPr="00257F44" w:rsidRDefault="00D6486B" w:rsidP="00D6486B">
            <w:pPr>
              <w:spacing w:after="120"/>
              <w:rPr>
                <w:rFonts w:ascii="Gill Sans" w:hAnsi="Gill Sans" w:cs="Gill Sans"/>
                <w:color w:val="FFFFFF" w:themeColor="background1"/>
                <w:sz w:val="22"/>
                <w:szCs w:val="22"/>
                <w:lang w:val="uk-UA"/>
              </w:rPr>
            </w:pPr>
          </w:p>
        </w:tc>
        <w:tc>
          <w:tcPr>
            <w:tcW w:w="479" w:type="dxa"/>
            <w:vMerge/>
            <w:tcBorders>
              <w:left w:val="single" w:sz="18" w:space="0" w:color="FFFFFF"/>
              <w:right w:val="single" w:sz="2" w:space="0" w:color="FFFFFF"/>
            </w:tcBorders>
            <w:shd w:val="clear" w:color="auto" w:fill="D6E3BC"/>
          </w:tcPr>
          <w:p w14:paraId="6C2BA6EB" w14:textId="77777777" w:rsidR="00D6486B" w:rsidRPr="00257F44" w:rsidRDefault="00D6486B" w:rsidP="00D6486B">
            <w:pPr>
              <w:spacing w:after="120"/>
              <w:rPr>
                <w:rFonts w:ascii="Gill Sans" w:hAnsi="Gill Sans" w:cs="Gill Sans"/>
                <w:sz w:val="22"/>
                <w:szCs w:val="22"/>
                <w:lang w:val="uk-UA"/>
              </w:rPr>
            </w:pPr>
          </w:p>
        </w:tc>
        <w:tc>
          <w:tcPr>
            <w:tcW w:w="421" w:type="dxa"/>
            <w:vMerge/>
            <w:tcBorders>
              <w:left w:val="single" w:sz="2" w:space="0" w:color="FFFFFF"/>
              <w:right w:val="single" w:sz="2" w:space="0" w:color="FFFFFF"/>
            </w:tcBorders>
            <w:shd w:val="clear" w:color="auto" w:fill="D6E3BC"/>
          </w:tcPr>
          <w:p w14:paraId="61AF80DA" w14:textId="77777777" w:rsidR="00D6486B" w:rsidRPr="00257F44" w:rsidRDefault="00D6486B" w:rsidP="00D6486B">
            <w:pPr>
              <w:spacing w:after="120"/>
              <w:rPr>
                <w:rFonts w:ascii="Gill Sans" w:hAnsi="Gill Sans" w:cs="Gill Sans"/>
                <w:sz w:val="22"/>
                <w:szCs w:val="22"/>
                <w:lang w:val="uk-UA"/>
              </w:rPr>
            </w:pPr>
          </w:p>
        </w:tc>
        <w:tc>
          <w:tcPr>
            <w:tcW w:w="344" w:type="dxa"/>
            <w:vMerge/>
            <w:tcBorders>
              <w:left w:val="single" w:sz="2" w:space="0" w:color="FFFFFF"/>
              <w:right w:val="single" w:sz="2" w:space="0" w:color="FFFFFF"/>
            </w:tcBorders>
            <w:shd w:val="clear" w:color="auto" w:fill="D6E3BC"/>
          </w:tcPr>
          <w:p w14:paraId="24EF1239" w14:textId="77777777" w:rsidR="00D6486B" w:rsidRPr="00257F44" w:rsidRDefault="00D6486B" w:rsidP="00D6486B">
            <w:pPr>
              <w:spacing w:after="120"/>
              <w:rPr>
                <w:rFonts w:ascii="Gill Sans" w:hAnsi="Gill Sans" w:cs="Gill Sans"/>
                <w:sz w:val="22"/>
                <w:szCs w:val="22"/>
                <w:lang w:val="uk-UA"/>
              </w:rPr>
            </w:pPr>
          </w:p>
        </w:tc>
        <w:tc>
          <w:tcPr>
            <w:tcW w:w="345" w:type="dxa"/>
            <w:vMerge/>
            <w:tcBorders>
              <w:left w:val="single" w:sz="2" w:space="0" w:color="FFFFFF"/>
              <w:right w:val="single" w:sz="18" w:space="0" w:color="FFFFFF"/>
            </w:tcBorders>
            <w:shd w:val="clear" w:color="auto" w:fill="D6E3BC"/>
          </w:tcPr>
          <w:p w14:paraId="029AE52F" w14:textId="77777777" w:rsidR="00D6486B" w:rsidRPr="00257F44" w:rsidRDefault="00D6486B" w:rsidP="00D6486B">
            <w:pPr>
              <w:spacing w:after="120"/>
              <w:rPr>
                <w:rFonts w:ascii="Gill Sans" w:hAnsi="Gill Sans" w:cs="Gill Sans"/>
                <w:noProof/>
                <w:sz w:val="22"/>
                <w:szCs w:val="22"/>
                <w:lang w:val="uk-UA"/>
              </w:rPr>
            </w:pPr>
          </w:p>
        </w:tc>
        <w:tc>
          <w:tcPr>
            <w:tcW w:w="1927" w:type="dxa"/>
            <w:gridSpan w:val="4"/>
            <w:vMerge/>
            <w:tcBorders>
              <w:left w:val="single" w:sz="2" w:space="0" w:color="FFFFFF"/>
              <w:right w:val="single" w:sz="18" w:space="0" w:color="FFFFFF"/>
            </w:tcBorders>
            <w:shd w:val="clear" w:color="auto" w:fill="FBD4B4"/>
          </w:tcPr>
          <w:p w14:paraId="15345632" w14:textId="77777777" w:rsidR="00D6486B" w:rsidRPr="00257F44" w:rsidRDefault="00D6486B" w:rsidP="00D6486B">
            <w:pPr>
              <w:spacing w:after="120"/>
              <w:rPr>
                <w:rFonts w:ascii="Gill Sans" w:hAnsi="Gill Sans" w:cs="Gill Sans"/>
                <w:sz w:val="22"/>
                <w:szCs w:val="22"/>
                <w:lang w:val="uk-UA"/>
              </w:rPr>
            </w:pPr>
          </w:p>
        </w:tc>
        <w:tc>
          <w:tcPr>
            <w:tcW w:w="336" w:type="dxa"/>
            <w:vMerge/>
            <w:tcBorders>
              <w:left w:val="single" w:sz="18" w:space="0" w:color="FFFFFF"/>
              <w:right w:val="single" w:sz="2" w:space="0" w:color="FFFFFF"/>
            </w:tcBorders>
            <w:shd w:val="clear" w:color="auto" w:fill="CCC0D9"/>
          </w:tcPr>
          <w:p w14:paraId="13DB7C88" w14:textId="77777777" w:rsidR="00D6486B" w:rsidRPr="00257F44" w:rsidRDefault="00D6486B" w:rsidP="00D6486B">
            <w:pPr>
              <w:spacing w:after="120"/>
              <w:rPr>
                <w:rFonts w:ascii="Gill Sans" w:hAnsi="Gill Sans" w:cs="Gill Sans"/>
                <w:sz w:val="22"/>
                <w:szCs w:val="22"/>
                <w:lang w:val="uk-UA"/>
              </w:rPr>
            </w:pPr>
          </w:p>
        </w:tc>
        <w:tc>
          <w:tcPr>
            <w:tcW w:w="379" w:type="dxa"/>
            <w:vMerge/>
            <w:tcBorders>
              <w:left w:val="single" w:sz="2" w:space="0" w:color="FFFFFF"/>
              <w:right w:val="single" w:sz="2" w:space="0" w:color="FFFFFF"/>
            </w:tcBorders>
            <w:shd w:val="clear" w:color="auto" w:fill="CCC0D9"/>
          </w:tcPr>
          <w:p w14:paraId="66452201" w14:textId="77777777" w:rsidR="00D6486B" w:rsidRPr="00257F44" w:rsidRDefault="00D6486B" w:rsidP="00D6486B">
            <w:pPr>
              <w:spacing w:after="120"/>
              <w:rPr>
                <w:rFonts w:ascii="Gill Sans" w:hAnsi="Gill Sans" w:cs="Gill Sans"/>
                <w:sz w:val="22"/>
                <w:szCs w:val="22"/>
                <w:lang w:val="uk-UA"/>
              </w:rPr>
            </w:pPr>
          </w:p>
        </w:tc>
        <w:tc>
          <w:tcPr>
            <w:tcW w:w="383" w:type="dxa"/>
            <w:vMerge/>
            <w:tcBorders>
              <w:left w:val="single" w:sz="2" w:space="0" w:color="FFFFFF"/>
              <w:right w:val="single" w:sz="2" w:space="0" w:color="FFFFFF"/>
            </w:tcBorders>
            <w:shd w:val="clear" w:color="auto" w:fill="CCC0D9"/>
          </w:tcPr>
          <w:p w14:paraId="05366DD6" w14:textId="77777777" w:rsidR="00D6486B" w:rsidRPr="00257F44" w:rsidRDefault="00D6486B" w:rsidP="00D6486B">
            <w:pPr>
              <w:rPr>
                <w:rFonts w:ascii="Zapf Dingbats" w:eastAsia="MS Mincho" w:hAnsi="Zapf Dingbats" w:cs="MS Mincho"/>
                <w:noProof/>
                <w:sz w:val="22"/>
                <w:szCs w:val="22"/>
                <w:lang w:val="uk-UA"/>
              </w:rPr>
            </w:pPr>
          </w:p>
        </w:tc>
        <w:tc>
          <w:tcPr>
            <w:tcW w:w="342" w:type="dxa"/>
            <w:vMerge/>
            <w:tcBorders>
              <w:left w:val="single" w:sz="2" w:space="0" w:color="FFFFFF"/>
              <w:right w:val="single" w:sz="18" w:space="0" w:color="FFFFFF"/>
            </w:tcBorders>
            <w:shd w:val="clear" w:color="auto" w:fill="CCC0D9"/>
          </w:tcPr>
          <w:p w14:paraId="14206CAF" w14:textId="77777777" w:rsidR="00D6486B" w:rsidRPr="00257F44" w:rsidRDefault="00D6486B" w:rsidP="00D6486B">
            <w:pPr>
              <w:rPr>
                <w:rFonts w:ascii="Zapf Dingbats" w:eastAsia="MS Mincho" w:hAnsi="Zapf Dingbats" w:cs="MS Mincho"/>
                <w:noProof/>
                <w:sz w:val="22"/>
                <w:szCs w:val="22"/>
                <w:lang w:val="uk-UA"/>
              </w:rPr>
            </w:pPr>
          </w:p>
        </w:tc>
        <w:tc>
          <w:tcPr>
            <w:tcW w:w="472"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3AF6230E" w14:textId="77777777" w:rsidR="00D6486B" w:rsidRPr="00257F44" w:rsidRDefault="00D6486B" w:rsidP="00D6486B">
            <w:pPr>
              <w:rPr>
                <w:rFonts w:ascii="Zapf Dingbats" w:eastAsia="MS Mincho" w:hAnsi="Zapf Dingbats" w:cs="MS Mincho"/>
                <w:noProof/>
                <w:sz w:val="22"/>
                <w:szCs w:val="22"/>
                <w:lang w:val="uk-UA"/>
              </w:rPr>
            </w:pPr>
          </w:p>
        </w:tc>
        <w:tc>
          <w:tcPr>
            <w:tcW w:w="520"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0FABB3BE" w14:textId="77777777" w:rsidR="00D6486B" w:rsidRPr="00257F44" w:rsidRDefault="00D6486B" w:rsidP="00D6486B">
            <w:pPr>
              <w:rPr>
                <w:rFonts w:ascii="Zapf Dingbats" w:eastAsia="MS Mincho" w:hAnsi="Zapf Dingbats" w:cs="MS Mincho"/>
                <w:noProof/>
                <w:sz w:val="22"/>
                <w:szCs w:val="22"/>
                <w:lang w:val="uk-UA"/>
              </w:rPr>
            </w:pPr>
          </w:p>
        </w:tc>
        <w:tc>
          <w:tcPr>
            <w:tcW w:w="520"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491B49D4" w14:textId="523904FA" w:rsidR="00D6486B" w:rsidRPr="00257F44" w:rsidRDefault="00D6486B" w:rsidP="00D6486B">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408"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36EC20A2" w14:textId="708C522A" w:rsidR="00D6486B" w:rsidRPr="00257F44" w:rsidRDefault="00D6486B" w:rsidP="00D6486B">
            <w:pPr>
              <w:spacing w:after="120"/>
              <w:jc w:val="center"/>
              <w:rPr>
                <w:rFonts w:ascii="Gill Sans" w:hAnsi="Gill Sans" w:cs="Gill Sans"/>
                <w:sz w:val="22"/>
                <w:szCs w:val="22"/>
                <w:lang w:val="uk-UA"/>
              </w:rPr>
            </w:pPr>
          </w:p>
        </w:tc>
        <w:tc>
          <w:tcPr>
            <w:tcW w:w="342" w:type="dxa"/>
            <w:vMerge/>
            <w:tcBorders>
              <w:left w:val="single" w:sz="18" w:space="0" w:color="FFFFFF"/>
              <w:right w:val="single" w:sz="2" w:space="0" w:color="FFFFFF"/>
            </w:tcBorders>
            <w:shd w:val="clear" w:color="auto" w:fill="D99594"/>
          </w:tcPr>
          <w:p w14:paraId="1BACBFCB" w14:textId="77777777" w:rsidR="00D6486B" w:rsidRPr="00257F44" w:rsidRDefault="00D6486B" w:rsidP="00D6486B">
            <w:pPr>
              <w:spacing w:after="120"/>
              <w:rPr>
                <w:rFonts w:ascii="Gill Sans" w:hAnsi="Gill Sans" w:cs="Gill Sans"/>
                <w:sz w:val="22"/>
                <w:szCs w:val="22"/>
                <w:lang w:val="uk-UA"/>
              </w:rPr>
            </w:pPr>
          </w:p>
        </w:tc>
        <w:tc>
          <w:tcPr>
            <w:tcW w:w="417" w:type="dxa"/>
            <w:vMerge/>
            <w:tcBorders>
              <w:left w:val="single" w:sz="2" w:space="0" w:color="FFFFFF"/>
              <w:right w:val="single" w:sz="2" w:space="0" w:color="FFFFFF"/>
            </w:tcBorders>
            <w:shd w:val="clear" w:color="auto" w:fill="D99594"/>
          </w:tcPr>
          <w:p w14:paraId="4D469986" w14:textId="77777777" w:rsidR="00D6486B" w:rsidRPr="00257F44" w:rsidRDefault="00D6486B" w:rsidP="00D6486B">
            <w:pPr>
              <w:spacing w:after="120"/>
              <w:rPr>
                <w:rFonts w:ascii="Gill Sans" w:hAnsi="Gill Sans" w:cs="Gill Sans"/>
                <w:sz w:val="22"/>
                <w:szCs w:val="22"/>
                <w:lang w:val="uk-UA"/>
              </w:rPr>
            </w:pPr>
          </w:p>
        </w:tc>
        <w:tc>
          <w:tcPr>
            <w:tcW w:w="342" w:type="dxa"/>
            <w:vMerge/>
            <w:tcBorders>
              <w:left w:val="single" w:sz="2" w:space="0" w:color="FFFFFF"/>
              <w:right w:val="single" w:sz="2" w:space="0" w:color="FFFFFF"/>
            </w:tcBorders>
            <w:shd w:val="clear" w:color="auto" w:fill="D99594"/>
          </w:tcPr>
          <w:p w14:paraId="287C8E29" w14:textId="77777777" w:rsidR="00D6486B" w:rsidRPr="00257F44" w:rsidRDefault="00D6486B" w:rsidP="00D6486B">
            <w:pPr>
              <w:spacing w:after="120"/>
              <w:rPr>
                <w:rFonts w:ascii="Gill Sans" w:hAnsi="Gill Sans" w:cs="Gill Sans"/>
                <w:sz w:val="22"/>
                <w:szCs w:val="22"/>
                <w:lang w:val="uk-UA"/>
              </w:rPr>
            </w:pPr>
          </w:p>
        </w:tc>
        <w:tc>
          <w:tcPr>
            <w:tcW w:w="342" w:type="dxa"/>
            <w:vMerge/>
            <w:tcBorders>
              <w:left w:val="single" w:sz="2" w:space="0" w:color="FFFFFF"/>
              <w:right w:val="single" w:sz="2" w:space="0" w:color="FFFFFF"/>
            </w:tcBorders>
            <w:shd w:val="clear" w:color="auto" w:fill="D99594"/>
          </w:tcPr>
          <w:p w14:paraId="4D6684A0" w14:textId="77777777" w:rsidR="00D6486B" w:rsidRPr="00257F44" w:rsidRDefault="00D6486B" w:rsidP="00D6486B">
            <w:pPr>
              <w:spacing w:after="120"/>
              <w:rPr>
                <w:rFonts w:ascii="Gill Sans" w:hAnsi="Gill Sans" w:cs="Gill Sans"/>
                <w:noProof/>
                <w:sz w:val="22"/>
                <w:szCs w:val="22"/>
                <w:lang w:val="uk-UA"/>
              </w:rPr>
            </w:pPr>
          </w:p>
        </w:tc>
        <w:tc>
          <w:tcPr>
            <w:tcW w:w="420" w:type="dxa"/>
            <w:vMerge/>
            <w:tcBorders>
              <w:left w:val="single" w:sz="2" w:space="0" w:color="FFFFFF"/>
              <w:right w:val="single" w:sz="18" w:space="0" w:color="FFFFFF"/>
            </w:tcBorders>
            <w:shd w:val="clear" w:color="auto" w:fill="D99594"/>
          </w:tcPr>
          <w:p w14:paraId="70FABDC5" w14:textId="77777777" w:rsidR="00D6486B" w:rsidRPr="00257F44" w:rsidRDefault="00D6486B" w:rsidP="00D6486B">
            <w:pPr>
              <w:spacing w:after="120"/>
              <w:rPr>
                <w:rFonts w:ascii="Gill Sans" w:hAnsi="Gill Sans" w:cs="Gill Sans"/>
                <w:sz w:val="22"/>
                <w:szCs w:val="22"/>
                <w:lang w:val="uk-UA"/>
              </w:rPr>
            </w:pPr>
          </w:p>
        </w:tc>
      </w:tr>
    </w:tbl>
    <w:p w14:paraId="0176D9E6" w14:textId="77777777" w:rsidR="00BE60D4" w:rsidRPr="00257F44" w:rsidRDefault="00BE60D4" w:rsidP="006319F4">
      <w:pPr>
        <w:pStyle w:val="Heading3"/>
        <w:rPr>
          <w:lang w:val="uk-UA"/>
        </w:rPr>
      </w:pPr>
    </w:p>
    <w:p w14:paraId="4A62833C" w14:textId="77777777" w:rsidR="00AB2F75" w:rsidRPr="00257F44" w:rsidRDefault="00AB2F75" w:rsidP="00731EC4">
      <w:pPr>
        <w:pStyle w:val="Heading3"/>
        <w:spacing w:after="120"/>
        <w:rPr>
          <w:lang w:val="uk-UA"/>
        </w:rPr>
      </w:pPr>
      <w:r w:rsidRPr="00257F44">
        <w:rPr>
          <w:lang w:val="uk-UA"/>
        </w:rPr>
        <w:t>Мета зобов’язання</w:t>
      </w:r>
    </w:p>
    <w:p w14:paraId="4F3C01D9" w14:textId="4DBD0866" w:rsidR="00F671FD" w:rsidRPr="00257F44" w:rsidRDefault="00C70F14" w:rsidP="00731EC4">
      <w:pPr>
        <w:spacing w:after="120"/>
        <w:rPr>
          <w:rFonts w:ascii="Gill Sans" w:hAnsi="Gill Sans" w:cs="Gill Sans"/>
          <w:sz w:val="22"/>
          <w:szCs w:val="22"/>
          <w:lang w:val="uk-UA"/>
        </w:rPr>
      </w:pPr>
      <w:r w:rsidRPr="00257F44">
        <w:rPr>
          <w:rFonts w:ascii="Gill Sans" w:hAnsi="Gill Sans" w:cs="Gill Sans"/>
          <w:sz w:val="22"/>
          <w:szCs w:val="22"/>
          <w:lang w:val="uk-UA"/>
        </w:rPr>
        <w:t xml:space="preserve">Зобов’язання мало на меті вдосконалити порядок надання соціальних послуг </w:t>
      </w:r>
      <w:r w:rsidR="00036090" w:rsidRPr="00257F44">
        <w:rPr>
          <w:rFonts w:ascii="Gill Sans" w:hAnsi="Gill Sans" w:cs="Gill Sans"/>
          <w:sz w:val="22"/>
          <w:szCs w:val="22"/>
          <w:lang w:val="uk-UA"/>
        </w:rPr>
        <w:t>шляхом внесення змін до законодавства у цій сфері. Закон про соціальні послуги регулює надання послуг, спрямованих на допомогу особам та сім’ям, які перебувають у складних життєвих обставинах і не можуть самостійно їх подолати або мінімізувати їхні наслідки. Низка офіційних планів дій, у тому числі в рамках ПВУ, передбачали викладення в новій редакції Закону України про соціальні послуги. Це Програма діяльності Кабінету Міністрів України, Стратегія сталого розвитку “Україна – 2020” та План заходів на 2016 – 2018 роки щодо реалізації Стратегії реформування системи надання соціальних послуг.</w:t>
      </w:r>
    </w:p>
    <w:p w14:paraId="34C67589" w14:textId="77777777" w:rsidR="00AB2F75" w:rsidRPr="00257F44" w:rsidRDefault="00AB2F75" w:rsidP="00731EC4">
      <w:pPr>
        <w:pStyle w:val="Heading3"/>
        <w:spacing w:after="120"/>
        <w:rPr>
          <w:lang w:val="uk-UA"/>
        </w:rPr>
      </w:pPr>
      <w:r w:rsidRPr="00257F44">
        <w:rPr>
          <w:lang w:val="uk-UA"/>
        </w:rPr>
        <w:t>Статус виконання</w:t>
      </w:r>
    </w:p>
    <w:p w14:paraId="3C97E8FA" w14:textId="4727CE11" w:rsidR="00AB2F75" w:rsidRPr="00257F44" w:rsidRDefault="00AB2F75" w:rsidP="00731EC4">
      <w:pPr>
        <w:pStyle w:val="Normalrglronly"/>
        <w:rPr>
          <w:b/>
          <w:lang w:val="uk-UA"/>
        </w:rPr>
      </w:pPr>
      <w:r w:rsidRPr="00257F44">
        <w:rPr>
          <w:b/>
          <w:lang w:val="uk-UA"/>
        </w:rPr>
        <w:t>Проміжний звіт: Значне виконання</w:t>
      </w:r>
    </w:p>
    <w:p w14:paraId="67F80473" w14:textId="418E3F0F" w:rsidR="00036090" w:rsidRPr="00257F44" w:rsidRDefault="009167B6" w:rsidP="00731EC4">
      <w:pPr>
        <w:spacing w:after="120"/>
        <w:rPr>
          <w:rFonts w:ascii="Gill Sans" w:hAnsi="Gill Sans" w:cs="Gill Sans"/>
          <w:sz w:val="22"/>
          <w:szCs w:val="22"/>
          <w:lang w:val="uk-UA"/>
        </w:rPr>
      </w:pPr>
      <w:r w:rsidRPr="00257F44">
        <w:rPr>
          <w:rFonts w:ascii="Gill Sans" w:hAnsi="Gill Sans" w:cs="Gill Sans"/>
          <w:sz w:val="22"/>
          <w:szCs w:val="22"/>
          <w:lang w:val="uk-UA"/>
        </w:rPr>
        <w:t>Міністерство соціальної політики розробило, а Уряд подав до парламенту 18 вересня 2015 року проект нової редакції Закону про соціальні послуги</w:t>
      </w:r>
      <w:r w:rsidRPr="00257F44">
        <w:rPr>
          <w:rStyle w:val="EndnoteReference"/>
          <w:rFonts w:ascii="Gill Sans" w:hAnsi="Gill Sans" w:cs="Gill Sans"/>
          <w:sz w:val="22"/>
          <w:szCs w:val="22"/>
          <w:lang w:val="uk-UA"/>
        </w:rPr>
        <w:endnoteReference w:id="73"/>
      </w:r>
      <w:r w:rsidRPr="00257F44">
        <w:rPr>
          <w:rFonts w:ascii="Gill Sans" w:hAnsi="Gill Sans" w:cs="Gill Sans"/>
          <w:sz w:val="22"/>
          <w:szCs w:val="22"/>
          <w:lang w:val="uk-UA"/>
        </w:rPr>
        <w:t xml:space="preserve">. Законопроектом пропонувалося прийняти нову редакцію Закону “Про соціальні послуги” та внести зміни до восьми інших законів України. Законопроект мав на меті захист прав осіб, які отримують соціальні </w:t>
      </w:r>
      <w:r w:rsidRPr="00257F44">
        <w:rPr>
          <w:rFonts w:ascii="Gill Sans" w:hAnsi="Gill Sans" w:cs="Gill Sans"/>
          <w:sz w:val="22"/>
          <w:szCs w:val="22"/>
          <w:lang w:val="uk-UA"/>
        </w:rPr>
        <w:lastRenderedPageBreak/>
        <w:t>послуги, створити ринок соціальних послуг, покращити їх якість. Прийняття проекту закону також дозволило б узгодити відповідне законодавство із стандартами ЄС, зокрема в частині підходів до оплати соціальних послуг (послуги надаватимуться залежно від доходів особи, яка потребує соціальних послуг, а не від наявності рідних чи близьких). Законопроектом пропонувалося залучати недержавних надавачів до надання соціальних послуг шляхом соціального замовлення на конкурсній основі. Це повинно було значно розширити коло надавачів соціальних послуг і покращити якість самих послуг. Законопроект також призвів би до децентралізації у сфері надання соціальних послуг</w:t>
      </w:r>
      <w:r w:rsidRPr="00257F44">
        <w:rPr>
          <w:rStyle w:val="EndnoteReference"/>
          <w:rFonts w:ascii="Gill Sans" w:hAnsi="Gill Sans" w:cs="Gill Sans"/>
          <w:sz w:val="22"/>
          <w:szCs w:val="22"/>
          <w:lang w:val="uk-UA"/>
        </w:rPr>
        <w:endnoteReference w:id="74"/>
      </w:r>
      <w:r w:rsidRPr="00257F44">
        <w:rPr>
          <w:rFonts w:ascii="Gill Sans" w:hAnsi="Gill Sans" w:cs="Gill Sans"/>
          <w:sz w:val="22"/>
          <w:szCs w:val="22"/>
          <w:lang w:val="uk-UA"/>
        </w:rPr>
        <w:t>.</w:t>
      </w:r>
    </w:p>
    <w:p w14:paraId="07295A92" w14:textId="2C5F867A" w:rsidR="00DB09F9" w:rsidRPr="00257F44" w:rsidRDefault="00AB2F75" w:rsidP="00731EC4">
      <w:pPr>
        <w:pStyle w:val="Normalrglronly"/>
        <w:rPr>
          <w:b/>
          <w:lang w:val="uk-UA"/>
        </w:rPr>
      </w:pPr>
      <w:r w:rsidRPr="00257F44">
        <w:rPr>
          <w:b/>
          <w:lang w:val="uk-UA"/>
        </w:rPr>
        <w:t>Підсумковий звіт: Значне виконання</w:t>
      </w:r>
    </w:p>
    <w:p w14:paraId="091608CE" w14:textId="0E25D3BA" w:rsidR="00EA5141" w:rsidRPr="00257F44" w:rsidRDefault="00EA5141" w:rsidP="00731EC4">
      <w:pPr>
        <w:spacing w:after="120"/>
        <w:rPr>
          <w:rFonts w:ascii="Gill Sans" w:hAnsi="Gill Sans" w:cs="Gill Sans"/>
          <w:noProof/>
          <w:sz w:val="22"/>
          <w:szCs w:val="22"/>
          <w:lang w:val="uk-UA"/>
        </w:rPr>
      </w:pPr>
      <w:r w:rsidRPr="00257F44">
        <w:rPr>
          <w:rFonts w:ascii="Gill Sans" w:hAnsi="Gill Sans" w:cs="Gill Sans"/>
          <w:noProof/>
          <w:sz w:val="22"/>
          <w:szCs w:val="22"/>
          <w:lang w:val="uk-UA"/>
        </w:rPr>
        <w:t>З часу проміж</w:t>
      </w:r>
      <w:r w:rsidR="00BE07D1">
        <w:rPr>
          <w:rFonts w:ascii="Gill Sans" w:hAnsi="Gill Sans" w:cs="Gill Sans"/>
          <w:noProof/>
          <w:sz w:val="22"/>
          <w:szCs w:val="22"/>
          <w:lang w:val="uk-UA"/>
        </w:rPr>
        <w:t>ного звіту не було досягнуто</w:t>
      </w:r>
      <w:r w:rsidRPr="00257F44">
        <w:rPr>
          <w:rFonts w:ascii="Gill Sans" w:hAnsi="Gill Sans" w:cs="Gill Sans"/>
          <w:noProof/>
          <w:sz w:val="22"/>
          <w:szCs w:val="22"/>
          <w:lang w:val="uk-UA"/>
        </w:rPr>
        <w:t xml:space="preserve"> жодного прогресу. У травні 2016 року законопроект було перевнесено до параламенту у зв’язку із зміною уряду. Розгляд проект</w:t>
      </w:r>
      <w:r w:rsidR="007B5718">
        <w:rPr>
          <w:rFonts w:ascii="Gill Sans" w:hAnsi="Gill Sans" w:cs="Gill Sans"/>
          <w:noProof/>
          <w:sz w:val="22"/>
          <w:szCs w:val="22"/>
          <w:lang w:val="uk-UA"/>
        </w:rPr>
        <w:t>у</w:t>
      </w:r>
      <w:r w:rsidRPr="00257F44">
        <w:rPr>
          <w:rFonts w:ascii="Gill Sans" w:hAnsi="Gill Sans" w:cs="Gill Sans"/>
          <w:noProof/>
          <w:sz w:val="22"/>
          <w:szCs w:val="22"/>
          <w:lang w:val="uk-UA"/>
        </w:rPr>
        <w:t xml:space="preserve"> триває.</w:t>
      </w:r>
    </w:p>
    <w:p w14:paraId="731CA0EF" w14:textId="77777777" w:rsidR="00AB2F75" w:rsidRPr="00257F44" w:rsidRDefault="00AB2F75" w:rsidP="00731EC4">
      <w:pPr>
        <w:pStyle w:val="Heading3"/>
        <w:spacing w:after="120"/>
        <w:rPr>
          <w:lang w:val="uk-UA"/>
        </w:rPr>
      </w:pPr>
      <w:r w:rsidRPr="00257F44">
        <w:rPr>
          <w:lang w:val="uk-UA"/>
        </w:rPr>
        <w:t>Чи відкрило це уряд?</w:t>
      </w:r>
    </w:p>
    <w:p w14:paraId="1AB4D5F8" w14:textId="77777777" w:rsidR="00AB2F75" w:rsidRPr="00257F44" w:rsidRDefault="00AB2F75" w:rsidP="00731EC4">
      <w:pPr>
        <w:pStyle w:val="Normalrglronly"/>
        <w:rPr>
          <w:b/>
          <w:lang w:val="uk-UA"/>
        </w:rPr>
      </w:pPr>
      <w:r w:rsidRPr="00257F44">
        <w:rPr>
          <w:b/>
          <w:lang w:val="uk-UA"/>
        </w:rPr>
        <w:t>Доступ до інформації: Не змінило</w:t>
      </w:r>
    </w:p>
    <w:p w14:paraId="26815653" w14:textId="77777777" w:rsidR="00AB2F75" w:rsidRPr="00257F44" w:rsidRDefault="00AB2F75" w:rsidP="00731EC4">
      <w:pPr>
        <w:pStyle w:val="Normalrglronly"/>
        <w:rPr>
          <w:b/>
          <w:lang w:val="uk-UA"/>
        </w:rPr>
      </w:pPr>
      <w:r w:rsidRPr="00257F44">
        <w:rPr>
          <w:b/>
          <w:lang w:val="uk-UA"/>
        </w:rPr>
        <w:t>Громадська участь: Не змінило</w:t>
      </w:r>
    </w:p>
    <w:p w14:paraId="4AD96FB7" w14:textId="77777777" w:rsidR="00AB2F75" w:rsidRPr="00257F44" w:rsidRDefault="00AB2F75" w:rsidP="00731EC4">
      <w:pPr>
        <w:pStyle w:val="Normalrglronly"/>
        <w:rPr>
          <w:b/>
          <w:lang w:val="uk-UA"/>
        </w:rPr>
      </w:pPr>
      <w:r w:rsidRPr="00257F44">
        <w:rPr>
          <w:b/>
          <w:lang w:val="uk-UA"/>
        </w:rPr>
        <w:t>Підзвітність влади: Не змінило</w:t>
      </w:r>
    </w:p>
    <w:p w14:paraId="512BB102" w14:textId="16276286" w:rsidR="00EA5141" w:rsidRPr="00257F44" w:rsidRDefault="00EA5141" w:rsidP="00731EC4">
      <w:pPr>
        <w:spacing w:after="120"/>
        <w:rPr>
          <w:rFonts w:ascii="Gill Sans" w:hAnsi="Gill Sans" w:cs="Gill Sans"/>
          <w:noProof/>
          <w:sz w:val="22"/>
          <w:szCs w:val="22"/>
          <w:lang w:val="uk-UA"/>
        </w:rPr>
      </w:pPr>
      <w:r w:rsidRPr="00257F44">
        <w:rPr>
          <w:rFonts w:ascii="Gill Sans" w:hAnsi="Gill Sans" w:cs="Gill Sans"/>
          <w:noProof/>
          <w:sz w:val="22"/>
          <w:szCs w:val="22"/>
          <w:lang w:val="uk-UA"/>
        </w:rPr>
        <w:t>Хоча законопроект є важливим кроком вперед у покращенні надання соціальних послуг, це зобов’язання не містило складових, які могли б сприяти просуванню цінностей ПВУ щодо доступу до інформації, громадської участі чи підзвітності влади. Тому його відповідність цінностям ПВУ залишалася незрозумілою.</w:t>
      </w:r>
    </w:p>
    <w:p w14:paraId="6B9EBE0D" w14:textId="77777777" w:rsidR="00C24DE8" w:rsidRPr="00257F44" w:rsidRDefault="00C24DE8" w:rsidP="00731EC4">
      <w:pPr>
        <w:pStyle w:val="Heading3"/>
        <w:spacing w:after="120"/>
        <w:rPr>
          <w:lang w:val="uk-UA"/>
        </w:rPr>
      </w:pPr>
      <w:r w:rsidRPr="00257F44">
        <w:rPr>
          <w:lang w:val="uk-UA"/>
        </w:rPr>
        <w:t>Чи перенесено до наступного плану дій?</w:t>
      </w:r>
    </w:p>
    <w:p w14:paraId="72624C89" w14:textId="5CCD4CD4" w:rsidR="00DB09F9" w:rsidRPr="00257F44" w:rsidRDefault="00EA5141" w:rsidP="00731EC4">
      <w:pPr>
        <w:spacing w:after="120"/>
        <w:rPr>
          <w:rFonts w:ascii="Gill Sans" w:hAnsi="Gill Sans" w:cs="Gill Sans"/>
          <w:noProof/>
          <w:sz w:val="22"/>
          <w:szCs w:val="22"/>
          <w:lang w:val="uk-UA"/>
        </w:rPr>
      </w:pPr>
      <w:r w:rsidRPr="00257F44">
        <w:rPr>
          <w:rFonts w:ascii="Gill Sans" w:hAnsi="Gill Sans" w:cs="Gill Sans"/>
          <w:noProof/>
          <w:sz w:val="22"/>
          <w:szCs w:val="22"/>
          <w:lang w:val="uk-UA"/>
        </w:rPr>
        <w:t>Це зобов’язання не було перенесено до нового плану дій.</w:t>
      </w:r>
    </w:p>
    <w:p w14:paraId="06E2AB0D" w14:textId="77777777" w:rsidR="00CB791F" w:rsidRPr="00257F44" w:rsidRDefault="00CB791F" w:rsidP="00EB22DF">
      <w:pPr>
        <w:tabs>
          <w:tab w:val="left" w:pos="3037"/>
        </w:tabs>
        <w:rPr>
          <w:lang w:val="uk-UA"/>
        </w:rPr>
        <w:sectPr w:rsidR="00CB791F" w:rsidRPr="00257F44" w:rsidSect="00F561B7">
          <w:endnotePr>
            <w:numFmt w:val="decimal"/>
            <w:numRestart w:val="eachSect"/>
          </w:endnotePr>
          <w:pgSz w:w="12240" w:h="15840"/>
          <w:pgMar w:top="1440" w:right="1800" w:bottom="1440" w:left="1800" w:header="720" w:footer="720" w:gutter="0"/>
          <w:cols w:space="720"/>
          <w:docGrid w:linePitch="360"/>
        </w:sectPr>
      </w:pPr>
    </w:p>
    <w:p w14:paraId="63155C7C" w14:textId="77777777" w:rsidR="007C7A8C" w:rsidRPr="00257F44" w:rsidRDefault="007C7A8C" w:rsidP="007C7A8C">
      <w:pPr>
        <w:pStyle w:val="Heading2"/>
        <w:spacing w:before="0" w:after="120"/>
        <w:rPr>
          <w:noProof/>
          <w:lang w:val="uk-UA"/>
        </w:rPr>
      </w:pPr>
      <w:bookmarkStart w:id="10" w:name="_Toc315983748"/>
      <w:bookmarkStart w:id="11" w:name="_Toc437543877"/>
      <w:r w:rsidRPr="00257F44">
        <w:rPr>
          <w:noProof/>
          <w:lang w:val="uk-UA"/>
        </w:rPr>
        <w:lastRenderedPageBreak/>
        <w:t>Тема V. Технології електронного урядування для розвитку електронної демократії</w:t>
      </w:r>
      <w:bookmarkEnd w:id="10"/>
    </w:p>
    <w:p w14:paraId="4589E334" w14:textId="77777777" w:rsidR="007C7A8C" w:rsidRPr="00257F44" w:rsidRDefault="007C7A8C" w:rsidP="007C7A8C">
      <w:pPr>
        <w:pStyle w:val="Heading2"/>
        <w:spacing w:before="0" w:after="120"/>
        <w:rPr>
          <w:rFonts w:eastAsiaTheme="minorEastAsia"/>
          <w:bCs w:val="0"/>
          <w:color w:val="222222"/>
          <w:sz w:val="22"/>
          <w:szCs w:val="22"/>
          <w:lang w:val="uk-UA"/>
        </w:rPr>
      </w:pPr>
      <w:bookmarkStart w:id="12" w:name="_Toc437543878"/>
      <w:bookmarkEnd w:id="11"/>
      <w:r w:rsidRPr="00257F44">
        <w:rPr>
          <w:rFonts w:eastAsiaTheme="minorEastAsia"/>
          <w:bCs w:val="0"/>
          <w:color w:val="222222"/>
          <w:sz w:val="22"/>
          <w:szCs w:val="22"/>
          <w:lang w:val="uk-UA"/>
        </w:rPr>
        <w:t>18. Закони з питань електронного урядування</w:t>
      </w:r>
      <w:bookmarkEnd w:id="12"/>
    </w:p>
    <w:p w14:paraId="55DE19C8" w14:textId="77777777" w:rsidR="007C7A8C" w:rsidRPr="00257F44" w:rsidRDefault="007C7A8C" w:rsidP="007C7A8C">
      <w:pPr>
        <w:spacing w:after="120"/>
        <w:rPr>
          <w:rFonts w:ascii="Gill Sans" w:hAnsi="Gill Sans" w:cs="Gill Sans"/>
          <w:i/>
          <w:noProof/>
          <w:sz w:val="22"/>
          <w:szCs w:val="22"/>
          <w:lang w:val="uk-UA"/>
        </w:rPr>
      </w:pPr>
      <w:r w:rsidRPr="00257F44">
        <w:rPr>
          <w:rFonts w:ascii="Gill Sans" w:hAnsi="Gill Sans" w:cs="Gill Sans"/>
          <w:b/>
          <w:bCs/>
          <w:iCs/>
          <w:noProof/>
          <w:sz w:val="22"/>
          <w:szCs w:val="22"/>
          <w:lang w:val="uk-UA"/>
        </w:rPr>
        <w:t>Текст зобов’язання:</w:t>
      </w:r>
      <w:r w:rsidRPr="00257F44">
        <w:rPr>
          <w:rFonts w:ascii="Gill Sans" w:hAnsi="Gill Sans" w:cs="Gill Sans"/>
          <w:i/>
          <w:noProof/>
          <w:sz w:val="22"/>
          <w:szCs w:val="22"/>
          <w:lang w:val="uk-UA"/>
        </w:rPr>
        <w:t xml:space="preserve"> 18. Підготовка та подання в установленому порядку Кабінетові Міністрів України таких проектів Законів України, що є першочерговими для приведення національної правової бази у відповідність з європейським законодавством:</w:t>
      </w:r>
    </w:p>
    <w:p w14:paraId="448FE9F8" w14:textId="77777777" w:rsidR="007C7A8C" w:rsidRPr="00257F44" w:rsidRDefault="007C7A8C" w:rsidP="007C7A8C">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 Про внесення змін до деяких законодавчих актів (щодо можливості засвідчення суб’єктом звернення чинності пакета електронних копій відсканованих документів, необхідних для отримання адміністративної послуги, власним електронним цифровим підписом та встановлення відповідальності суб’єкта звернення за подання недостовірних документів та відомостей);</w:t>
      </w:r>
    </w:p>
    <w:p w14:paraId="600FA08A" w14:textId="77777777" w:rsidR="007C7A8C" w:rsidRPr="00257F44" w:rsidRDefault="007C7A8C" w:rsidP="007C7A8C">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 Про внесення змін до Закону України “Про електронний цифровий підпис” (щодо удосконалення порядку державного регулювання у сфері послуг електронного цифрового підпису, здійснення контролю за додержанням законодавства про електронний цифровий підпис, а також реформування законодавства у сфері використання інфраструктури відкритих ключів та надання електронних довірчих послуг з урахуванням досвіду Європейського Союзу);</w:t>
      </w:r>
    </w:p>
    <w:p w14:paraId="528EB8FB" w14:textId="77777777" w:rsidR="007C7A8C" w:rsidRPr="00257F44" w:rsidRDefault="007C7A8C" w:rsidP="007C7A8C">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 Про внесення змін до Закону України “Про звернення громадян”;</w:t>
      </w:r>
    </w:p>
    <w:p w14:paraId="485B4FC6" w14:textId="77777777" w:rsidR="007C7A8C" w:rsidRPr="00257F44" w:rsidRDefault="007C7A8C" w:rsidP="007C7A8C">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 Про внесення змін до Закону України “Про захист персональних даних”.</w:t>
      </w:r>
    </w:p>
    <w:p w14:paraId="7210298E" w14:textId="77777777" w:rsidR="007C7A8C" w:rsidRPr="00257F44" w:rsidRDefault="007C7A8C" w:rsidP="007C7A8C">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схвалення Кабінетом Міністрів України відповідних проектів Законів України, подання їх Верховній Раді України та супроводження до прийняття.</w:t>
      </w:r>
    </w:p>
    <w:p w14:paraId="7117297D" w14:textId="77777777" w:rsidR="007C7A8C" w:rsidRPr="00257F44" w:rsidRDefault="007C7A8C" w:rsidP="007C7A8C">
      <w:pPr>
        <w:spacing w:after="120"/>
        <w:rPr>
          <w:rFonts w:ascii="Gill Sans" w:hAnsi="Gill Sans" w:cs="Gill Sans"/>
          <w:noProof/>
          <w:sz w:val="22"/>
          <w:szCs w:val="22"/>
          <w:lang w:val="uk-UA"/>
        </w:rPr>
      </w:pPr>
      <w:r w:rsidRPr="00257F44">
        <w:rPr>
          <w:rFonts w:ascii="Gill Sans" w:hAnsi="Gill Sans" w:cs="Gill Sans"/>
          <w:noProof/>
          <w:sz w:val="22"/>
          <w:szCs w:val="22"/>
          <w:lang w:val="uk-UA"/>
        </w:rPr>
        <w:t>Головна інституція, відповідальна за виконання: Міністерство юстиції.</w:t>
      </w:r>
    </w:p>
    <w:p w14:paraId="209F98D2" w14:textId="77777777" w:rsidR="007C7A8C" w:rsidRPr="00257F44" w:rsidRDefault="007C7A8C" w:rsidP="007C7A8C">
      <w:pPr>
        <w:spacing w:after="120"/>
        <w:rPr>
          <w:rFonts w:ascii="Gill Sans" w:hAnsi="Gill Sans" w:cs="Gill Sans"/>
          <w:noProof/>
          <w:sz w:val="22"/>
          <w:szCs w:val="22"/>
          <w:lang w:val="uk-UA"/>
        </w:rPr>
      </w:pPr>
      <w:r w:rsidRPr="00257F44">
        <w:rPr>
          <w:rFonts w:ascii="Gill Sans" w:hAnsi="Gill Sans" w:cs="Gill Sans"/>
          <w:noProof/>
          <w:sz w:val="22"/>
          <w:szCs w:val="22"/>
          <w:lang w:val="uk-UA"/>
        </w:rPr>
        <w:t>Інші виконавці: Державне агентство з питань електронного урядування, Міністерство регіонального розвитку, Міністерство економічного розвитку, Адміністрація Державної служби спеціального зв’язку та захисту інформації, Національна комісія, що здійснює державне регулювання у сфері зв’язку та інформатизації, Державна архівна служба, невизначені організації громадянського суспільства та міжнародні організації.</w:t>
      </w:r>
    </w:p>
    <w:p w14:paraId="52FD8648" w14:textId="66486C62" w:rsidR="007C7A8C" w:rsidRPr="00257F44" w:rsidRDefault="007C7A8C" w:rsidP="00DE1C85">
      <w:pPr>
        <w:spacing w:after="120"/>
        <w:rPr>
          <w:rFonts w:ascii="Gill Sans" w:hAnsi="Gill Sans" w:cs="Gill Sans"/>
          <w:noProof/>
          <w:sz w:val="22"/>
          <w:szCs w:val="22"/>
          <w:lang w:val="uk-UA"/>
        </w:rPr>
      </w:pPr>
      <w:r w:rsidRPr="00257F44">
        <w:rPr>
          <w:rFonts w:ascii="Gill Sans" w:hAnsi="Gill Sans" w:cs="Gill Sans"/>
          <w:noProof/>
          <w:sz w:val="22"/>
          <w:szCs w:val="22"/>
          <w:lang w:val="uk-UA"/>
        </w:rPr>
        <w:t>Дата початку: Не визначено</w:t>
      </w:r>
      <w:r w:rsidRPr="00257F44">
        <w:rPr>
          <w:rFonts w:ascii="Gill Sans" w:hAnsi="Gill Sans" w:cs="Gill Sans"/>
          <w:noProof/>
          <w:sz w:val="22"/>
          <w:szCs w:val="22"/>
          <w:lang w:val="uk-UA"/>
        </w:rPr>
        <w:tab/>
      </w:r>
      <w:r w:rsidRPr="00257F44">
        <w:rPr>
          <w:rFonts w:ascii="Gill Sans" w:hAnsi="Gill Sans" w:cs="Gill Sans"/>
          <w:noProof/>
          <w:sz w:val="22"/>
          <w:szCs w:val="22"/>
          <w:lang w:val="uk-UA"/>
        </w:rPr>
        <w:tab/>
      </w:r>
      <w:r w:rsidRPr="00257F44">
        <w:rPr>
          <w:rFonts w:ascii="Gill Sans" w:hAnsi="Gill Sans" w:cs="Gill Sans"/>
          <w:noProof/>
          <w:sz w:val="22"/>
          <w:szCs w:val="22"/>
          <w:lang w:val="uk-UA"/>
        </w:rPr>
        <w:tab/>
      </w:r>
      <w:r w:rsidRPr="00257F44">
        <w:rPr>
          <w:rFonts w:ascii="Gill Sans" w:hAnsi="Gill Sans" w:cs="Gill Sans"/>
          <w:noProof/>
          <w:sz w:val="22"/>
          <w:szCs w:val="22"/>
          <w:lang w:val="uk-UA"/>
        </w:rPr>
        <w:tab/>
        <w:t>Термін виконання: 31 грудня 2015 р.</w:t>
      </w:r>
    </w:p>
    <w:tbl>
      <w:tblPr>
        <w:tblW w:w="1026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4"/>
        <w:gridCol w:w="475"/>
        <w:gridCol w:w="418"/>
        <w:gridCol w:w="343"/>
        <w:gridCol w:w="343"/>
        <w:gridCol w:w="365"/>
        <w:gridCol w:w="365"/>
        <w:gridCol w:w="365"/>
        <w:gridCol w:w="735"/>
        <w:gridCol w:w="350"/>
        <w:gridCol w:w="341"/>
        <w:gridCol w:w="341"/>
        <w:gridCol w:w="493"/>
        <w:gridCol w:w="459"/>
        <w:gridCol w:w="516"/>
        <w:gridCol w:w="516"/>
        <w:gridCol w:w="405"/>
        <w:gridCol w:w="341"/>
        <w:gridCol w:w="417"/>
        <w:gridCol w:w="341"/>
        <w:gridCol w:w="341"/>
        <w:gridCol w:w="486"/>
      </w:tblGrid>
      <w:tr w:rsidR="005B5351" w:rsidRPr="00257F44" w14:paraId="3ED40782" w14:textId="77777777" w:rsidTr="00B223BA">
        <w:trPr>
          <w:trHeight w:val="405"/>
        </w:trPr>
        <w:tc>
          <w:tcPr>
            <w:tcW w:w="1504" w:type="dxa"/>
            <w:vMerge w:val="restart"/>
            <w:tcBorders>
              <w:top w:val="single" w:sz="18" w:space="0" w:color="FFFFFF"/>
              <w:left w:val="single" w:sz="4" w:space="0" w:color="FFFFFF"/>
              <w:right w:val="single" w:sz="18" w:space="0" w:color="FFFFFF"/>
            </w:tcBorders>
            <w:shd w:val="clear" w:color="auto" w:fill="000000"/>
          </w:tcPr>
          <w:p w14:paraId="52F3AEC6" w14:textId="7A8BCCCA" w:rsidR="005B5351" w:rsidRPr="00257F44" w:rsidRDefault="005B5351" w:rsidP="00DE1C85">
            <w:pPr>
              <w:rPr>
                <w:rFonts w:ascii="Gill Sans" w:hAnsi="Gill Sans" w:cs="Gill Sans"/>
                <w:color w:val="FFFFFF" w:themeColor="background1"/>
                <w:sz w:val="22"/>
                <w:szCs w:val="22"/>
                <w:lang w:val="uk-UA"/>
              </w:rPr>
            </w:pPr>
            <w:r w:rsidRPr="00257F44">
              <w:rPr>
                <w:rFonts w:ascii="Gill Sans" w:hAnsi="Gill Sans" w:cs="Gill Sans"/>
                <w:sz w:val="20"/>
                <w:szCs w:val="20"/>
                <w:lang w:val="uk-UA"/>
              </w:rPr>
              <w:t>Опис зобов’язання</w:t>
            </w:r>
          </w:p>
        </w:tc>
        <w:tc>
          <w:tcPr>
            <w:tcW w:w="1579" w:type="dxa"/>
            <w:gridSpan w:val="4"/>
            <w:vMerge w:val="restart"/>
            <w:tcBorders>
              <w:top w:val="single" w:sz="18" w:space="0" w:color="FFFFFF"/>
              <w:left w:val="single" w:sz="18" w:space="0" w:color="FFFFFF"/>
              <w:right w:val="single" w:sz="18" w:space="0" w:color="FFFFFF"/>
            </w:tcBorders>
            <w:shd w:val="clear" w:color="auto" w:fill="D6E3BC"/>
          </w:tcPr>
          <w:p w14:paraId="6984C7E8" w14:textId="066495A8"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Конкретність</w:t>
            </w:r>
          </w:p>
        </w:tc>
        <w:tc>
          <w:tcPr>
            <w:tcW w:w="1830" w:type="dxa"/>
            <w:gridSpan w:val="4"/>
            <w:vMerge w:val="restart"/>
            <w:tcBorders>
              <w:top w:val="single" w:sz="18" w:space="0" w:color="FFFFFF"/>
              <w:left w:val="single" w:sz="18" w:space="0" w:color="FFFFFF"/>
              <w:right w:val="single" w:sz="18" w:space="0" w:color="FFFFFF"/>
            </w:tcBorders>
            <w:shd w:val="clear" w:color="auto" w:fill="FBD4B4"/>
          </w:tcPr>
          <w:p w14:paraId="25F5F14A" w14:textId="0BE2A9F5"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Відповідність цінностям ПВУ (як сформульовано)</w:t>
            </w:r>
          </w:p>
        </w:tc>
        <w:tc>
          <w:tcPr>
            <w:tcW w:w="1525" w:type="dxa"/>
            <w:gridSpan w:val="4"/>
            <w:vMerge w:val="restart"/>
            <w:tcBorders>
              <w:top w:val="single" w:sz="18" w:space="0" w:color="FFFFFF"/>
              <w:left w:val="single" w:sz="18" w:space="0" w:color="FFFFFF"/>
              <w:right w:val="single" w:sz="18" w:space="0" w:color="FFFFFF"/>
            </w:tcBorders>
            <w:shd w:val="clear" w:color="auto" w:fill="CCC0D9"/>
          </w:tcPr>
          <w:p w14:paraId="67366DD6" w14:textId="1728353A"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Потенційний вплив</w:t>
            </w:r>
          </w:p>
        </w:tc>
        <w:tc>
          <w:tcPr>
            <w:tcW w:w="975" w:type="dxa"/>
            <w:gridSpan w:val="2"/>
            <w:vMerge w:val="restart"/>
            <w:tcBorders>
              <w:top w:val="single" w:sz="18" w:space="0" w:color="FFFFFF"/>
              <w:left w:val="single" w:sz="18" w:space="0" w:color="FFFFFF"/>
              <w:right w:val="single" w:sz="2" w:space="0" w:color="FFFFFF"/>
            </w:tcBorders>
            <w:shd w:val="clear" w:color="auto" w:fill="B8CCE4"/>
          </w:tcPr>
          <w:p w14:paraId="2E208F4C" w14:textId="07356040"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Стан вико-нання</w:t>
            </w:r>
          </w:p>
        </w:tc>
        <w:tc>
          <w:tcPr>
            <w:tcW w:w="921"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3226274F" w14:textId="737022F2"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Про-міжний</w:t>
            </w:r>
          </w:p>
        </w:tc>
        <w:tc>
          <w:tcPr>
            <w:tcW w:w="1926" w:type="dxa"/>
            <w:gridSpan w:val="5"/>
            <w:vMerge w:val="restart"/>
            <w:tcBorders>
              <w:top w:val="single" w:sz="18" w:space="0" w:color="FFFFFF"/>
              <w:left w:val="single" w:sz="18" w:space="0" w:color="FFFFFF"/>
              <w:right w:val="single" w:sz="18" w:space="0" w:color="FFFFFF"/>
            </w:tcBorders>
            <w:shd w:val="clear" w:color="auto" w:fill="D99594"/>
          </w:tcPr>
          <w:p w14:paraId="7CBECD39" w14:textId="130EDADC"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Чи відкрило це уряд?</w:t>
            </w:r>
          </w:p>
        </w:tc>
      </w:tr>
      <w:tr w:rsidR="00D6486B" w:rsidRPr="00257F44" w14:paraId="4429952E" w14:textId="77777777" w:rsidTr="00B223BA">
        <w:trPr>
          <w:trHeight w:val="373"/>
        </w:trPr>
        <w:tc>
          <w:tcPr>
            <w:tcW w:w="1504" w:type="dxa"/>
            <w:vMerge/>
            <w:tcBorders>
              <w:left w:val="single" w:sz="4" w:space="0" w:color="FFFFFF"/>
              <w:right w:val="single" w:sz="18" w:space="0" w:color="FFFFFF"/>
            </w:tcBorders>
            <w:shd w:val="clear" w:color="auto" w:fill="000000"/>
          </w:tcPr>
          <w:p w14:paraId="6730CD2E" w14:textId="4CC8C464" w:rsidR="00D6486B" w:rsidRPr="00257F44" w:rsidRDefault="00D6486B" w:rsidP="00DE1C85">
            <w:pPr>
              <w:rPr>
                <w:rFonts w:ascii="Gill Sans" w:hAnsi="Gill Sans" w:cs="Gill Sans"/>
                <w:color w:val="FFFFFF" w:themeColor="background1"/>
                <w:sz w:val="22"/>
                <w:szCs w:val="22"/>
                <w:lang w:val="uk-UA"/>
              </w:rPr>
            </w:pPr>
          </w:p>
        </w:tc>
        <w:tc>
          <w:tcPr>
            <w:tcW w:w="1579" w:type="dxa"/>
            <w:gridSpan w:val="4"/>
            <w:vMerge/>
            <w:tcBorders>
              <w:left w:val="single" w:sz="18" w:space="0" w:color="FFFFFF"/>
              <w:bottom w:val="single" w:sz="18" w:space="0" w:color="FFFFFF"/>
              <w:right w:val="single" w:sz="18" w:space="0" w:color="FFFFFF"/>
            </w:tcBorders>
            <w:shd w:val="clear" w:color="auto" w:fill="D6E3BC"/>
          </w:tcPr>
          <w:p w14:paraId="563C5E70" w14:textId="77777777" w:rsidR="00D6486B" w:rsidRPr="00257F44" w:rsidRDefault="00D6486B" w:rsidP="00DE1C85">
            <w:pPr>
              <w:rPr>
                <w:rFonts w:ascii="Gill Sans" w:hAnsi="Gill Sans" w:cs="Gill Sans"/>
                <w:sz w:val="22"/>
                <w:szCs w:val="22"/>
                <w:lang w:val="uk-UA"/>
              </w:rPr>
            </w:pPr>
          </w:p>
        </w:tc>
        <w:tc>
          <w:tcPr>
            <w:tcW w:w="1830" w:type="dxa"/>
            <w:gridSpan w:val="4"/>
            <w:vMerge/>
            <w:tcBorders>
              <w:left w:val="single" w:sz="18" w:space="0" w:color="FFFFFF"/>
              <w:bottom w:val="single" w:sz="18" w:space="0" w:color="FFFFFF"/>
              <w:right w:val="single" w:sz="18" w:space="0" w:color="FFFFFF"/>
            </w:tcBorders>
            <w:shd w:val="clear" w:color="auto" w:fill="FBD4B4"/>
          </w:tcPr>
          <w:p w14:paraId="64FFCAC6" w14:textId="77777777" w:rsidR="00D6486B" w:rsidRPr="00257F44" w:rsidRDefault="00D6486B" w:rsidP="00DE1C85">
            <w:pPr>
              <w:rPr>
                <w:rFonts w:ascii="Gill Sans" w:hAnsi="Gill Sans" w:cs="Gill Sans"/>
                <w:sz w:val="22"/>
                <w:szCs w:val="22"/>
                <w:lang w:val="uk-UA"/>
              </w:rPr>
            </w:pPr>
          </w:p>
        </w:tc>
        <w:tc>
          <w:tcPr>
            <w:tcW w:w="1525" w:type="dxa"/>
            <w:gridSpan w:val="4"/>
            <w:vMerge/>
            <w:tcBorders>
              <w:left w:val="single" w:sz="18" w:space="0" w:color="FFFFFF"/>
              <w:bottom w:val="single" w:sz="18" w:space="0" w:color="FFFFFF"/>
              <w:right w:val="single" w:sz="18" w:space="0" w:color="FFFFFF"/>
            </w:tcBorders>
            <w:shd w:val="clear" w:color="auto" w:fill="CCC0D9"/>
          </w:tcPr>
          <w:p w14:paraId="4412F0D6" w14:textId="77777777" w:rsidR="00D6486B" w:rsidRPr="00257F44" w:rsidRDefault="00D6486B" w:rsidP="00DE1C85">
            <w:pPr>
              <w:rPr>
                <w:rFonts w:ascii="Gill Sans" w:hAnsi="Gill Sans" w:cs="Gill Sans"/>
                <w:sz w:val="22"/>
                <w:szCs w:val="22"/>
                <w:lang w:val="uk-UA"/>
              </w:rPr>
            </w:pPr>
          </w:p>
        </w:tc>
        <w:tc>
          <w:tcPr>
            <w:tcW w:w="975" w:type="dxa"/>
            <w:gridSpan w:val="2"/>
            <w:vMerge/>
            <w:tcBorders>
              <w:left w:val="single" w:sz="18" w:space="0" w:color="FFFFFF"/>
              <w:bottom w:val="single" w:sz="18" w:space="0" w:color="FFFFFF"/>
              <w:right w:val="single" w:sz="2" w:space="0" w:color="FFFFFF"/>
            </w:tcBorders>
            <w:shd w:val="clear" w:color="auto" w:fill="B8CCE4"/>
          </w:tcPr>
          <w:p w14:paraId="25AE1297" w14:textId="77777777" w:rsidR="00D6486B" w:rsidRPr="00257F44" w:rsidRDefault="00D6486B" w:rsidP="00DE1C85">
            <w:pPr>
              <w:rPr>
                <w:rFonts w:ascii="Gill Sans" w:hAnsi="Gill Sans" w:cs="Gill Sans"/>
                <w:sz w:val="22"/>
                <w:szCs w:val="22"/>
                <w:lang w:val="uk-UA"/>
              </w:rPr>
            </w:pPr>
          </w:p>
        </w:tc>
        <w:tc>
          <w:tcPr>
            <w:tcW w:w="921"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220C0452" w14:textId="571D734D" w:rsidR="00D6486B" w:rsidRPr="00257F44" w:rsidRDefault="005B5351" w:rsidP="00DE1C85">
            <w:pPr>
              <w:rPr>
                <w:rFonts w:ascii="Gill Sans" w:hAnsi="Gill Sans" w:cs="Gill Sans"/>
                <w:sz w:val="20"/>
                <w:szCs w:val="20"/>
                <w:lang w:val="uk-UA"/>
              </w:rPr>
            </w:pPr>
            <w:r w:rsidRPr="00257F44">
              <w:rPr>
                <w:rFonts w:ascii="Gill Sans" w:hAnsi="Gill Sans" w:cs="Gill Sans"/>
                <w:sz w:val="20"/>
                <w:szCs w:val="20"/>
                <w:lang w:val="uk-UA"/>
              </w:rPr>
              <w:t>Підсум-ковий</w:t>
            </w:r>
          </w:p>
        </w:tc>
        <w:tc>
          <w:tcPr>
            <w:tcW w:w="1926" w:type="dxa"/>
            <w:gridSpan w:val="5"/>
            <w:vMerge/>
            <w:tcBorders>
              <w:left w:val="single" w:sz="18" w:space="0" w:color="FFFFFF"/>
              <w:bottom w:val="single" w:sz="18" w:space="0" w:color="FFFFFF"/>
              <w:right w:val="single" w:sz="18" w:space="0" w:color="FFFFFF"/>
            </w:tcBorders>
            <w:shd w:val="clear" w:color="auto" w:fill="D99594"/>
          </w:tcPr>
          <w:p w14:paraId="420E92FC" w14:textId="77777777" w:rsidR="00D6486B" w:rsidRPr="00257F44" w:rsidRDefault="00D6486B" w:rsidP="00DE1C85">
            <w:pPr>
              <w:rPr>
                <w:rFonts w:ascii="Gill Sans" w:hAnsi="Gill Sans" w:cs="Gill Sans"/>
                <w:sz w:val="22"/>
                <w:szCs w:val="22"/>
                <w:lang w:val="uk-UA"/>
              </w:rPr>
            </w:pPr>
          </w:p>
        </w:tc>
      </w:tr>
      <w:tr w:rsidR="005B5351" w:rsidRPr="00257F44" w14:paraId="351BF4CF" w14:textId="77777777" w:rsidTr="00D75AEE">
        <w:trPr>
          <w:cantSplit/>
          <w:trHeight w:val="2336"/>
        </w:trPr>
        <w:tc>
          <w:tcPr>
            <w:tcW w:w="1504" w:type="dxa"/>
            <w:vMerge/>
            <w:tcBorders>
              <w:left w:val="single" w:sz="4" w:space="0" w:color="FFFFFF"/>
              <w:right w:val="single" w:sz="18" w:space="0" w:color="FFFFFF"/>
            </w:tcBorders>
            <w:shd w:val="clear" w:color="auto" w:fill="000000"/>
          </w:tcPr>
          <w:p w14:paraId="0A4CD211" w14:textId="6EE7B570" w:rsidR="005B5351" w:rsidRPr="00257F44" w:rsidRDefault="005B5351" w:rsidP="00DE1C85">
            <w:pPr>
              <w:rPr>
                <w:rFonts w:ascii="Gill Sans" w:hAnsi="Gill Sans" w:cs="Gill Sans"/>
                <w:color w:val="FFFFFF" w:themeColor="background1"/>
                <w:sz w:val="22"/>
                <w:szCs w:val="22"/>
                <w:lang w:val="uk-UA"/>
              </w:rPr>
            </w:pPr>
          </w:p>
        </w:tc>
        <w:tc>
          <w:tcPr>
            <w:tcW w:w="475"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40238D2C" w14:textId="010B9D03"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Відсутня</w:t>
            </w:r>
          </w:p>
        </w:tc>
        <w:tc>
          <w:tcPr>
            <w:tcW w:w="418"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2EEBB743" w14:textId="6B2458E1"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Низька</w:t>
            </w:r>
          </w:p>
        </w:tc>
        <w:tc>
          <w:tcPr>
            <w:tcW w:w="343"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23E25CDC" w14:textId="0658E7CA"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Середня</w:t>
            </w:r>
          </w:p>
        </w:tc>
        <w:tc>
          <w:tcPr>
            <w:tcW w:w="343"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3E111D64" w14:textId="4FB35A75"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Висока</w:t>
            </w:r>
          </w:p>
        </w:tc>
        <w:tc>
          <w:tcPr>
            <w:tcW w:w="365"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31A16B62" w14:textId="1DAAE659"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Доступ до інформації</w:t>
            </w:r>
          </w:p>
        </w:tc>
        <w:tc>
          <w:tcPr>
            <w:tcW w:w="365"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18A15137" w14:textId="61E83263"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Громадська участь</w:t>
            </w:r>
          </w:p>
        </w:tc>
        <w:tc>
          <w:tcPr>
            <w:tcW w:w="365"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7FB570CF" w14:textId="2CD4A9D5"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Підзвітність влади</w:t>
            </w:r>
          </w:p>
        </w:tc>
        <w:tc>
          <w:tcPr>
            <w:tcW w:w="735"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6EB5C07D" w14:textId="6A547803"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Технології та інновації для прозорості й підзвітності</w:t>
            </w:r>
          </w:p>
        </w:tc>
        <w:tc>
          <w:tcPr>
            <w:tcW w:w="350"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4DA66F06" w14:textId="4EEB8E6F"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Жодного</w:t>
            </w:r>
          </w:p>
        </w:tc>
        <w:tc>
          <w:tcPr>
            <w:tcW w:w="341"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04FE1D83" w14:textId="2860CB41"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Незначний</w:t>
            </w:r>
          </w:p>
        </w:tc>
        <w:tc>
          <w:tcPr>
            <w:tcW w:w="341"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23BEE662" w14:textId="6B9B71CF"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Помірний</w:t>
            </w:r>
          </w:p>
        </w:tc>
        <w:tc>
          <w:tcPr>
            <w:tcW w:w="493"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6D99157D" w14:textId="113F8BF2"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Трансформуючий</w:t>
            </w:r>
          </w:p>
        </w:tc>
        <w:tc>
          <w:tcPr>
            <w:tcW w:w="459"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24DA5F16" w14:textId="69019849"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Не розпочато</w:t>
            </w:r>
          </w:p>
        </w:tc>
        <w:tc>
          <w:tcPr>
            <w:tcW w:w="516"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687EA070" w14:textId="034FE84B"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Обмежене</w:t>
            </w:r>
          </w:p>
        </w:tc>
        <w:tc>
          <w:tcPr>
            <w:tcW w:w="516"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5CDDD389" w14:textId="328B0B58"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Значне</w:t>
            </w:r>
          </w:p>
        </w:tc>
        <w:tc>
          <w:tcPr>
            <w:tcW w:w="405"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4509095C" w14:textId="5C785C6A"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Повне</w:t>
            </w:r>
          </w:p>
        </w:tc>
        <w:tc>
          <w:tcPr>
            <w:tcW w:w="341"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06B8D90E" w14:textId="5291137F"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Погіршило</w:t>
            </w:r>
          </w:p>
        </w:tc>
        <w:tc>
          <w:tcPr>
            <w:tcW w:w="417"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7C6B9E43" w14:textId="4C7817DD"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Не змінило</w:t>
            </w:r>
          </w:p>
        </w:tc>
        <w:tc>
          <w:tcPr>
            <w:tcW w:w="341"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47A368AD" w14:textId="2A7D9CED"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Обмежено</w:t>
            </w:r>
          </w:p>
        </w:tc>
        <w:tc>
          <w:tcPr>
            <w:tcW w:w="341"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62F383E5" w14:textId="2595B6C9"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Значною мірою</w:t>
            </w:r>
          </w:p>
        </w:tc>
        <w:tc>
          <w:tcPr>
            <w:tcW w:w="486"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3317DA3C" w14:textId="2B114F4C" w:rsidR="005B5351" w:rsidRPr="00257F44" w:rsidRDefault="005B5351" w:rsidP="00DE1C85">
            <w:pPr>
              <w:rPr>
                <w:rFonts w:ascii="Gill Sans" w:hAnsi="Gill Sans" w:cs="Gill Sans"/>
                <w:sz w:val="22"/>
                <w:szCs w:val="22"/>
                <w:lang w:val="uk-UA"/>
              </w:rPr>
            </w:pPr>
            <w:r w:rsidRPr="00257F44">
              <w:rPr>
                <w:rFonts w:ascii="Gill Sans" w:hAnsi="Gill Sans" w:cs="Gill Sans"/>
                <w:sz w:val="20"/>
                <w:szCs w:val="20"/>
                <w:lang w:val="uk-UA"/>
              </w:rPr>
              <w:t>Визначною мірою</w:t>
            </w:r>
          </w:p>
        </w:tc>
      </w:tr>
      <w:tr w:rsidR="00D6486B" w:rsidRPr="00257F44" w14:paraId="4DCF0037" w14:textId="77777777" w:rsidTr="00B223BA">
        <w:trPr>
          <w:trHeight w:val="340"/>
        </w:trPr>
        <w:tc>
          <w:tcPr>
            <w:tcW w:w="1504" w:type="dxa"/>
            <w:vMerge/>
            <w:tcBorders>
              <w:left w:val="single" w:sz="4" w:space="0" w:color="FFFFFF"/>
              <w:right w:val="single" w:sz="18" w:space="0" w:color="FFFFFF"/>
            </w:tcBorders>
            <w:shd w:val="clear" w:color="auto" w:fill="000000"/>
          </w:tcPr>
          <w:p w14:paraId="0C8B67D8" w14:textId="43B54827" w:rsidR="00D6486B" w:rsidRPr="00257F44" w:rsidRDefault="00D6486B" w:rsidP="00DE1C85">
            <w:pPr>
              <w:rPr>
                <w:rFonts w:ascii="Gill Sans" w:hAnsi="Gill Sans" w:cs="Gill Sans"/>
                <w:noProof/>
                <w:color w:val="FFFFFF" w:themeColor="background1"/>
                <w:sz w:val="22"/>
                <w:szCs w:val="22"/>
                <w:lang w:val="uk-UA"/>
              </w:rPr>
            </w:pPr>
          </w:p>
        </w:tc>
        <w:tc>
          <w:tcPr>
            <w:tcW w:w="475" w:type="dxa"/>
            <w:vMerge w:val="restart"/>
            <w:tcBorders>
              <w:top w:val="single" w:sz="18" w:space="0" w:color="FFFFFF"/>
              <w:left w:val="single" w:sz="18" w:space="0" w:color="FFFFFF"/>
              <w:right w:val="single" w:sz="2" w:space="0" w:color="FFFFFF"/>
            </w:tcBorders>
            <w:shd w:val="clear" w:color="auto" w:fill="D6E3BC"/>
          </w:tcPr>
          <w:p w14:paraId="5B1B7740" w14:textId="77777777" w:rsidR="00D6486B" w:rsidRPr="00257F44" w:rsidRDefault="00D6486B" w:rsidP="000D2EE2">
            <w:pPr>
              <w:jc w:val="center"/>
              <w:rPr>
                <w:rFonts w:ascii="Gill Sans" w:hAnsi="Gill Sans" w:cs="Gill Sans"/>
                <w:sz w:val="22"/>
                <w:szCs w:val="22"/>
                <w:lang w:val="uk-UA"/>
              </w:rPr>
            </w:pPr>
          </w:p>
        </w:tc>
        <w:tc>
          <w:tcPr>
            <w:tcW w:w="418" w:type="dxa"/>
            <w:vMerge w:val="restart"/>
            <w:tcBorders>
              <w:top w:val="single" w:sz="18" w:space="0" w:color="FFFFFF"/>
              <w:left w:val="single" w:sz="2" w:space="0" w:color="FFFFFF"/>
              <w:right w:val="single" w:sz="2" w:space="0" w:color="FFFFFF"/>
            </w:tcBorders>
            <w:shd w:val="clear" w:color="auto" w:fill="D6E3BC"/>
          </w:tcPr>
          <w:p w14:paraId="47BAAB6A" w14:textId="77777777" w:rsidR="00D6486B" w:rsidRPr="00257F44" w:rsidRDefault="00D6486B" w:rsidP="000D2EE2">
            <w:pPr>
              <w:jc w:val="center"/>
              <w:rPr>
                <w:rFonts w:ascii="Gill Sans" w:hAnsi="Gill Sans" w:cs="Gill Sans"/>
                <w:sz w:val="22"/>
                <w:szCs w:val="22"/>
                <w:lang w:val="uk-UA"/>
              </w:rPr>
            </w:pPr>
          </w:p>
        </w:tc>
        <w:tc>
          <w:tcPr>
            <w:tcW w:w="343" w:type="dxa"/>
            <w:vMerge w:val="restart"/>
            <w:tcBorders>
              <w:top w:val="single" w:sz="18" w:space="0" w:color="FFFFFF"/>
              <w:left w:val="single" w:sz="2" w:space="0" w:color="FFFFFF"/>
              <w:right w:val="single" w:sz="2" w:space="0" w:color="FFFFFF"/>
            </w:tcBorders>
            <w:shd w:val="clear" w:color="auto" w:fill="D6E3BC"/>
          </w:tcPr>
          <w:p w14:paraId="5F4EE131" w14:textId="77777777" w:rsidR="00D6486B" w:rsidRPr="00257F44" w:rsidRDefault="00D6486B" w:rsidP="000D2EE2">
            <w:pPr>
              <w:jc w:val="center"/>
              <w:rPr>
                <w:rFonts w:ascii="Gill Sans" w:hAnsi="Gill Sans" w:cs="Gill Sans"/>
                <w:sz w:val="22"/>
                <w:szCs w:val="22"/>
                <w:lang w:val="uk-UA"/>
              </w:rPr>
            </w:pPr>
          </w:p>
        </w:tc>
        <w:tc>
          <w:tcPr>
            <w:tcW w:w="343" w:type="dxa"/>
            <w:vMerge w:val="restart"/>
            <w:tcBorders>
              <w:top w:val="single" w:sz="18" w:space="0" w:color="FFFFFF"/>
              <w:left w:val="single" w:sz="2" w:space="0" w:color="FFFFFF"/>
              <w:right w:val="single" w:sz="18" w:space="0" w:color="FFFFFF"/>
            </w:tcBorders>
            <w:shd w:val="clear" w:color="auto" w:fill="D6E3BC"/>
          </w:tcPr>
          <w:p w14:paraId="7021ECEA" w14:textId="77777777" w:rsidR="00D6486B" w:rsidRPr="00257F44" w:rsidRDefault="00D6486B" w:rsidP="00466E44">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65" w:type="dxa"/>
            <w:vMerge w:val="restart"/>
            <w:tcBorders>
              <w:top w:val="single" w:sz="18" w:space="0" w:color="FFFFFF"/>
              <w:left w:val="single" w:sz="2" w:space="0" w:color="FFFFFF"/>
              <w:right w:val="single" w:sz="2" w:space="0" w:color="FFFFFF"/>
            </w:tcBorders>
            <w:shd w:val="clear" w:color="auto" w:fill="FBD4B4"/>
          </w:tcPr>
          <w:p w14:paraId="608ABE39" w14:textId="620FDC6A" w:rsidR="00D6486B" w:rsidRPr="00257F44" w:rsidRDefault="00D6486B" w:rsidP="00466E44">
            <w:pPr>
              <w:rPr>
                <w:rFonts w:ascii="Zapf Dingbats" w:eastAsia="MS Mincho" w:hAnsi="Zapf Dingbats" w:cs="MS Mincho"/>
                <w:noProof/>
                <w:sz w:val="22"/>
                <w:szCs w:val="22"/>
                <w:lang w:val="uk-UA"/>
              </w:rPr>
            </w:pPr>
          </w:p>
        </w:tc>
        <w:tc>
          <w:tcPr>
            <w:tcW w:w="365" w:type="dxa"/>
            <w:vMerge w:val="restart"/>
            <w:tcBorders>
              <w:top w:val="single" w:sz="18" w:space="0" w:color="FFFFFF"/>
              <w:left w:val="single" w:sz="2" w:space="0" w:color="FFFFFF"/>
              <w:right w:val="single" w:sz="2" w:space="0" w:color="FFFFFF"/>
            </w:tcBorders>
            <w:shd w:val="clear" w:color="auto" w:fill="FBD4B4"/>
          </w:tcPr>
          <w:p w14:paraId="45B07C3B" w14:textId="1587CC3E" w:rsidR="00D6486B" w:rsidRPr="00257F44" w:rsidRDefault="00D6486B" w:rsidP="00466E44">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65" w:type="dxa"/>
            <w:vMerge w:val="restart"/>
            <w:tcBorders>
              <w:top w:val="single" w:sz="18" w:space="0" w:color="FFFFFF"/>
              <w:left w:val="single" w:sz="2" w:space="0" w:color="FFFFFF"/>
              <w:right w:val="single" w:sz="2" w:space="0" w:color="FFFFFF"/>
            </w:tcBorders>
            <w:shd w:val="clear" w:color="auto" w:fill="FBD4B4"/>
          </w:tcPr>
          <w:p w14:paraId="1E9AB003" w14:textId="77777777" w:rsidR="00D6486B" w:rsidRPr="00257F44" w:rsidRDefault="00D6486B" w:rsidP="00466E44">
            <w:pPr>
              <w:rPr>
                <w:rFonts w:ascii="Zapf Dingbats" w:eastAsia="MS Mincho" w:hAnsi="Zapf Dingbats" w:cs="MS Mincho"/>
                <w:noProof/>
                <w:sz w:val="22"/>
                <w:szCs w:val="22"/>
                <w:lang w:val="uk-UA"/>
              </w:rPr>
            </w:pPr>
          </w:p>
        </w:tc>
        <w:tc>
          <w:tcPr>
            <w:tcW w:w="735" w:type="dxa"/>
            <w:vMerge w:val="restart"/>
            <w:tcBorders>
              <w:top w:val="single" w:sz="18" w:space="0" w:color="FFFFFF"/>
              <w:left w:val="single" w:sz="2" w:space="0" w:color="FFFFFF"/>
              <w:right w:val="single" w:sz="18" w:space="0" w:color="FFFFFF"/>
            </w:tcBorders>
            <w:shd w:val="clear" w:color="auto" w:fill="FBD4B4"/>
          </w:tcPr>
          <w:p w14:paraId="2F5F2EFE" w14:textId="77777777" w:rsidR="00D6486B" w:rsidRPr="00257F44" w:rsidRDefault="00D6486B" w:rsidP="00466E44">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50" w:type="dxa"/>
            <w:vMerge w:val="restart"/>
            <w:tcBorders>
              <w:top w:val="single" w:sz="18" w:space="0" w:color="FFFFFF"/>
              <w:left w:val="single" w:sz="18" w:space="0" w:color="FFFFFF"/>
              <w:right w:val="single" w:sz="2" w:space="0" w:color="FFFFFF"/>
            </w:tcBorders>
            <w:shd w:val="clear" w:color="auto" w:fill="CCC0D9"/>
          </w:tcPr>
          <w:p w14:paraId="719AA02F" w14:textId="77777777" w:rsidR="00D6486B" w:rsidRPr="00257F44" w:rsidRDefault="00D6486B" w:rsidP="00466E44">
            <w:pPr>
              <w:rPr>
                <w:rFonts w:ascii="Zapf Dingbats" w:eastAsia="MS Mincho" w:hAnsi="Zapf Dingbats" w:cs="MS Mincho"/>
                <w:noProof/>
                <w:sz w:val="22"/>
                <w:szCs w:val="22"/>
                <w:lang w:val="uk-UA"/>
              </w:rPr>
            </w:pPr>
          </w:p>
        </w:tc>
        <w:tc>
          <w:tcPr>
            <w:tcW w:w="341" w:type="dxa"/>
            <w:vMerge w:val="restart"/>
            <w:tcBorders>
              <w:top w:val="single" w:sz="18" w:space="0" w:color="FFFFFF"/>
              <w:left w:val="single" w:sz="2" w:space="0" w:color="FFFFFF"/>
              <w:right w:val="single" w:sz="2" w:space="0" w:color="FFFFFF"/>
            </w:tcBorders>
            <w:shd w:val="clear" w:color="auto" w:fill="CCC0D9"/>
          </w:tcPr>
          <w:p w14:paraId="54002A14" w14:textId="77777777" w:rsidR="00D6486B" w:rsidRPr="00257F44" w:rsidRDefault="00D6486B" w:rsidP="00466E44">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41" w:type="dxa"/>
            <w:vMerge w:val="restart"/>
            <w:tcBorders>
              <w:top w:val="single" w:sz="18" w:space="0" w:color="FFFFFF"/>
              <w:left w:val="single" w:sz="2" w:space="0" w:color="FFFFFF"/>
              <w:right w:val="single" w:sz="2" w:space="0" w:color="FFFFFF"/>
            </w:tcBorders>
            <w:shd w:val="clear" w:color="auto" w:fill="CCC0D9"/>
          </w:tcPr>
          <w:p w14:paraId="255B169C" w14:textId="77777777" w:rsidR="00D6486B" w:rsidRPr="00257F44" w:rsidRDefault="00D6486B" w:rsidP="00466E44">
            <w:pPr>
              <w:rPr>
                <w:rFonts w:ascii="Zapf Dingbats" w:eastAsia="MS Mincho" w:hAnsi="Zapf Dingbats" w:cs="MS Mincho"/>
                <w:noProof/>
                <w:sz w:val="22"/>
                <w:szCs w:val="22"/>
                <w:lang w:val="uk-UA"/>
              </w:rPr>
            </w:pPr>
          </w:p>
        </w:tc>
        <w:tc>
          <w:tcPr>
            <w:tcW w:w="493" w:type="dxa"/>
            <w:vMerge w:val="restart"/>
            <w:tcBorders>
              <w:top w:val="single" w:sz="18" w:space="0" w:color="FFFFFF"/>
              <w:left w:val="single" w:sz="2" w:space="0" w:color="FFFFFF"/>
              <w:right w:val="single" w:sz="18" w:space="0" w:color="FFFFFF"/>
            </w:tcBorders>
            <w:shd w:val="clear" w:color="auto" w:fill="CCC0D9"/>
          </w:tcPr>
          <w:p w14:paraId="327F343E" w14:textId="77777777" w:rsidR="00D6486B" w:rsidRPr="00257F44" w:rsidRDefault="00D6486B" w:rsidP="00466E44">
            <w:pPr>
              <w:rPr>
                <w:rFonts w:ascii="Zapf Dingbats" w:eastAsia="MS Mincho" w:hAnsi="Zapf Dingbats" w:cs="MS Mincho"/>
                <w:noProof/>
                <w:sz w:val="22"/>
                <w:szCs w:val="22"/>
                <w:lang w:val="uk-UA"/>
              </w:rPr>
            </w:pPr>
          </w:p>
        </w:tc>
        <w:tc>
          <w:tcPr>
            <w:tcW w:w="459"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5503F2A2" w14:textId="77777777" w:rsidR="00D6486B" w:rsidRPr="00257F44" w:rsidRDefault="00D6486B" w:rsidP="00466E44">
            <w:pPr>
              <w:rPr>
                <w:rFonts w:ascii="Zapf Dingbats" w:eastAsia="MS Mincho" w:hAnsi="Zapf Dingbats" w:cs="MS Mincho"/>
                <w:noProof/>
                <w:sz w:val="22"/>
                <w:szCs w:val="22"/>
                <w:lang w:val="uk-UA"/>
              </w:rPr>
            </w:pPr>
          </w:p>
        </w:tc>
        <w:tc>
          <w:tcPr>
            <w:tcW w:w="516"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13800EF7" w14:textId="77777777" w:rsidR="00D6486B" w:rsidRPr="00257F44" w:rsidRDefault="00D6486B" w:rsidP="00466E44">
            <w:pPr>
              <w:rPr>
                <w:rFonts w:ascii="Zapf Dingbats" w:eastAsia="MS Mincho" w:hAnsi="Zapf Dingbats" w:cs="MS Mincho"/>
                <w:noProof/>
                <w:sz w:val="22"/>
                <w:szCs w:val="22"/>
                <w:lang w:val="uk-UA"/>
              </w:rPr>
            </w:pPr>
          </w:p>
        </w:tc>
        <w:tc>
          <w:tcPr>
            <w:tcW w:w="516"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32CAD29A" w14:textId="15B3120F" w:rsidR="00D6486B" w:rsidRPr="00257F44" w:rsidRDefault="00D6486B" w:rsidP="00466E44">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405"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29FE329E" w14:textId="11C89162" w:rsidR="00D6486B" w:rsidRPr="00257F44" w:rsidRDefault="00D6486B" w:rsidP="000D2EE2">
            <w:pPr>
              <w:jc w:val="center"/>
              <w:rPr>
                <w:rFonts w:ascii="Gill Sans" w:hAnsi="Gill Sans" w:cs="Gill Sans"/>
                <w:sz w:val="22"/>
                <w:szCs w:val="22"/>
                <w:lang w:val="uk-UA"/>
              </w:rPr>
            </w:pPr>
          </w:p>
        </w:tc>
        <w:tc>
          <w:tcPr>
            <w:tcW w:w="341" w:type="dxa"/>
            <w:vMerge w:val="restart"/>
            <w:tcBorders>
              <w:top w:val="single" w:sz="18" w:space="0" w:color="FFFFFF"/>
              <w:left w:val="single" w:sz="18" w:space="0" w:color="FFFFFF"/>
              <w:right w:val="single" w:sz="2" w:space="0" w:color="FFFFFF"/>
            </w:tcBorders>
            <w:shd w:val="clear" w:color="auto" w:fill="D99594"/>
          </w:tcPr>
          <w:p w14:paraId="17E8949E" w14:textId="77777777" w:rsidR="00D6486B" w:rsidRPr="00257F44" w:rsidRDefault="00D6486B" w:rsidP="000D2EE2">
            <w:pPr>
              <w:jc w:val="center"/>
              <w:rPr>
                <w:rFonts w:ascii="Gill Sans" w:hAnsi="Gill Sans" w:cs="Gill Sans"/>
                <w:sz w:val="22"/>
                <w:szCs w:val="22"/>
                <w:lang w:val="uk-UA"/>
              </w:rPr>
            </w:pPr>
          </w:p>
        </w:tc>
        <w:tc>
          <w:tcPr>
            <w:tcW w:w="417" w:type="dxa"/>
            <w:vMerge w:val="restart"/>
            <w:tcBorders>
              <w:top w:val="single" w:sz="18" w:space="0" w:color="FFFFFF"/>
              <w:left w:val="single" w:sz="2" w:space="0" w:color="FFFFFF"/>
              <w:right w:val="single" w:sz="2" w:space="0" w:color="FFFFFF"/>
            </w:tcBorders>
            <w:shd w:val="clear" w:color="auto" w:fill="D99594"/>
          </w:tcPr>
          <w:p w14:paraId="509A343C" w14:textId="77777777" w:rsidR="00D6486B" w:rsidRPr="00257F44" w:rsidRDefault="00D6486B" w:rsidP="000D2EE2">
            <w:pPr>
              <w:jc w:val="center"/>
              <w:rPr>
                <w:rFonts w:ascii="Gill Sans" w:hAnsi="Gill Sans" w:cs="Gill Sans"/>
                <w:sz w:val="22"/>
                <w:szCs w:val="22"/>
                <w:lang w:val="uk-UA"/>
              </w:rPr>
            </w:pPr>
          </w:p>
        </w:tc>
        <w:tc>
          <w:tcPr>
            <w:tcW w:w="341" w:type="dxa"/>
            <w:vMerge w:val="restart"/>
            <w:tcBorders>
              <w:top w:val="single" w:sz="18" w:space="0" w:color="FFFFFF"/>
              <w:left w:val="single" w:sz="2" w:space="0" w:color="FFFFFF"/>
              <w:right w:val="single" w:sz="2" w:space="0" w:color="FFFFFF"/>
            </w:tcBorders>
            <w:shd w:val="clear" w:color="auto" w:fill="D99594"/>
          </w:tcPr>
          <w:p w14:paraId="46D2BC89" w14:textId="46A15CC2" w:rsidR="00D6486B" w:rsidRPr="00257F44" w:rsidRDefault="00D6486B" w:rsidP="000D2EE2">
            <w:pPr>
              <w:jc w:val="center"/>
              <w:rPr>
                <w:rFonts w:ascii="Gill Sans" w:hAnsi="Gill Sans" w:cs="Gill Sans"/>
                <w:sz w:val="22"/>
                <w:szCs w:val="22"/>
                <w:lang w:val="uk-UA"/>
              </w:rPr>
            </w:pPr>
          </w:p>
        </w:tc>
        <w:tc>
          <w:tcPr>
            <w:tcW w:w="341" w:type="dxa"/>
            <w:vMerge w:val="restart"/>
            <w:tcBorders>
              <w:top w:val="single" w:sz="18" w:space="0" w:color="FFFFFF"/>
              <w:left w:val="single" w:sz="2" w:space="0" w:color="FFFFFF"/>
              <w:right w:val="single" w:sz="2" w:space="0" w:color="FFFFFF"/>
            </w:tcBorders>
            <w:shd w:val="clear" w:color="auto" w:fill="D99594"/>
          </w:tcPr>
          <w:p w14:paraId="1D97AC56" w14:textId="77777777" w:rsidR="00D6486B" w:rsidRPr="00257F44" w:rsidRDefault="00D6486B" w:rsidP="00466E44">
            <w:pPr>
              <w:rPr>
                <w:rFonts w:ascii="Zapf Dingbats" w:eastAsia="MS Mincho" w:hAnsi="Zapf Dingbats" w:cs="MS Mincho"/>
                <w:noProof/>
                <w:sz w:val="22"/>
                <w:szCs w:val="22"/>
                <w:lang w:val="uk-UA"/>
              </w:rPr>
            </w:pPr>
          </w:p>
        </w:tc>
        <w:tc>
          <w:tcPr>
            <w:tcW w:w="486" w:type="dxa"/>
            <w:vMerge w:val="restart"/>
            <w:tcBorders>
              <w:top w:val="single" w:sz="18" w:space="0" w:color="FFFFFF"/>
              <w:left w:val="single" w:sz="2" w:space="0" w:color="FFFFFF"/>
              <w:right w:val="single" w:sz="18" w:space="0" w:color="FFFFFF"/>
            </w:tcBorders>
            <w:shd w:val="clear" w:color="auto" w:fill="D99594"/>
          </w:tcPr>
          <w:p w14:paraId="5EBB2D8A" w14:textId="13A028CF" w:rsidR="00D6486B" w:rsidRPr="00257F44" w:rsidRDefault="00D6486B" w:rsidP="00466E44">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r>
      <w:tr w:rsidR="00D6486B" w:rsidRPr="00257F44" w14:paraId="47B47A39" w14:textId="77777777" w:rsidTr="00B223BA">
        <w:trPr>
          <w:trHeight w:val="340"/>
        </w:trPr>
        <w:tc>
          <w:tcPr>
            <w:tcW w:w="1504" w:type="dxa"/>
            <w:vMerge/>
            <w:tcBorders>
              <w:left w:val="single" w:sz="4" w:space="0" w:color="FFFFFF"/>
              <w:right w:val="single" w:sz="18" w:space="0" w:color="FFFFFF"/>
            </w:tcBorders>
            <w:shd w:val="clear" w:color="auto" w:fill="000000"/>
          </w:tcPr>
          <w:p w14:paraId="19482C34" w14:textId="77777777" w:rsidR="00D6486B" w:rsidRPr="00257F44" w:rsidRDefault="00D6486B" w:rsidP="00DE1C85">
            <w:pPr>
              <w:rPr>
                <w:rFonts w:ascii="Gill Sans" w:hAnsi="Gill Sans" w:cs="Gill Sans"/>
                <w:color w:val="FFFFFF" w:themeColor="background1"/>
                <w:sz w:val="22"/>
                <w:szCs w:val="22"/>
                <w:lang w:val="uk-UA"/>
              </w:rPr>
            </w:pPr>
          </w:p>
        </w:tc>
        <w:tc>
          <w:tcPr>
            <w:tcW w:w="475" w:type="dxa"/>
            <w:vMerge/>
            <w:tcBorders>
              <w:left w:val="single" w:sz="18" w:space="0" w:color="FFFFFF"/>
              <w:right w:val="single" w:sz="2" w:space="0" w:color="FFFFFF"/>
            </w:tcBorders>
            <w:shd w:val="clear" w:color="auto" w:fill="D6E3BC"/>
          </w:tcPr>
          <w:p w14:paraId="00D481CA" w14:textId="77777777" w:rsidR="00D6486B" w:rsidRPr="00257F44" w:rsidRDefault="00D6486B" w:rsidP="00DE1C85">
            <w:pPr>
              <w:rPr>
                <w:rFonts w:ascii="Gill Sans" w:hAnsi="Gill Sans" w:cs="Gill Sans"/>
                <w:sz w:val="22"/>
                <w:szCs w:val="22"/>
                <w:lang w:val="uk-UA"/>
              </w:rPr>
            </w:pPr>
          </w:p>
        </w:tc>
        <w:tc>
          <w:tcPr>
            <w:tcW w:w="418" w:type="dxa"/>
            <w:vMerge/>
            <w:tcBorders>
              <w:left w:val="single" w:sz="2" w:space="0" w:color="FFFFFF"/>
              <w:right w:val="single" w:sz="2" w:space="0" w:color="FFFFFF"/>
            </w:tcBorders>
            <w:shd w:val="clear" w:color="auto" w:fill="D6E3BC"/>
          </w:tcPr>
          <w:p w14:paraId="7383CD04" w14:textId="77777777" w:rsidR="00D6486B" w:rsidRPr="00257F44" w:rsidRDefault="00D6486B" w:rsidP="00DE1C85">
            <w:pPr>
              <w:rPr>
                <w:rFonts w:ascii="Gill Sans" w:hAnsi="Gill Sans" w:cs="Gill Sans"/>
                <w:sz w:val="22"/>
                <w:szCs w:val="22"/>
                <w:lang w:val="uk-UA"/>
              </w:rPr>
            </w:pPr>
          </w:p>
        </w:tc>
        <w:tc>
          <w:tcPr>
            <w:tcW w:w="343" w:type="dxa"/>
            <w:vMerge/>
            <w:tcBorders>
              <w:left w:val="single" w:sz="2" w:space="0" w:color="FFFFFF"/>
              <w:right w:val="single" w:sz="2" w:space="0" w:color="FFFFFF"/>
            </w:tcBorders>
            <w:shd w:val="clear" w:color="auto" w:fill="D6E3BC"/>
          </w:tcPr>
          <w:p w14:paraId="225CF9DC" w14:textId="77777777" w:rsidR="00D6486B" w:rsidRPr="00257F44" w:rsidRDefault="00D6486B" w:rsidP="00DE1C85">
            <w:pPr>
              <w:rPr>
                <w:rFonts w:ascii="Gill Sans" w:hAnsi="Gill Sans" w:cs="Gill Sans"/>
                <w:sz w:val="22"/>
                <w:szCs w:val="22"/>
                <w:lang w:val="uk-UA"/>
              </w:rPr>
            </w:pPr>
          </w:p>
        </w:tc>
        <w:tc>
          <w:tcPr>
            <w:tcW w:w="343" w:type="dxa"/>
            <w:vMerge/>
            <w:tcBorders>
              <w:left w:val="single" w:sz="2" w:space="0" w:color="FFFFFF"/>
              <w:right w:val="single" w:sz="18" w:space="0" w:color="FFFFFF"/>
            </w:tcBorders>
            <w:shd w:val="clear" w:color="auto" w:fill="D6E3BC"/>
          </w:tcPr>
          <w:p w14:paraId="63EA1F0C" w14:textId="77777777" w:rsidR="00D6486B" w:rsidRPr="00257F44" w:rsidRDefault="00D6486B" w:rsidP="00DE1C85">
            <w:pPr>
              <w:rPr>
                <w:rFonts w:ascii="Zapf Dingbats" w:eastAsia="MS Mincho" w:hAnsi="Zapf Dingbats" w:cs="MS Mincho"/>
                <w:noProof/>
                <w:sz w:val="22"/>
                <w:szCs w:val="22"/>
                <w:lang w:val="uk-UA"/>
              </w:rPr>
            </w:pPr>
          </w:p>
        </w:tc>
        <w:tc>
          <w:tcPr>
            <w:tcW w:w="365" w:type="dxa"/>
            <w:vMerge/>
            <w:tcBorders>
              <w:left w:val="single" w:sz="2" w:space="0" w:color="FFFFFF"/>
              <w:right w:val="single" w:sz="2" w:space="0" w:color="FFFFFF"/>
            </w:tcBorders>
            <w:shd w:val="clear" w:color="auto" w:fill="FBD4B4"/>
          </w:tcPr>
          <w:p w14:paraId="27B5FD0E" w14:textId="77777777" w:rsidR="00D6486B" w:rsidRPr="00257F44" w:rsidRDefault="00D6486B" w:rsidP="00DE1C85">
            <w:pPr>
              <w:rPr>
                <w:rFonts w:ascii="Zapf Dingbats" w:eastAsia="MS Mincho" w:hAnsi="Zapf Dingbats" w:cs="MS Mincho"/>
                <w:noProof/>
                <w:sz w:val="22"/>
                <w:szCs w:val="22"/>
                <w:lang w:val="uk-UA"/>
              </w:rPr>
            </w:pPr>
          </w:p>
        </w:tc>
        <w:tc>
          <w:tcPr>
            <w:tcW w:w="365" w:type="dxa"/>
            <w:vMerge/>
            <w:tcBorders>
              <w:left w:val="single" w:sz="2" w:space="0" w:color="FFFFFF"/>
              <w:right w:val="single" w:sz="2" w:space="0" w:color="FFFFFF"/>
            </w:tcBorders>
            <w:shd w:val="clear" w:color="auto" w:fill="FBD4B4"/>
          </w:tcPr>
          <w:p w14:paraId="0BB9D8EE" w14:textId="77777777" w:rsidR="00D6486B" w:rsidRPr="00257F44" w:rsidRDefault="00D6486B" w:rsidP="00DE1C85">
            <w:pPr>
              <w:rPr>
                <w:rFonts w:ascii="Zapf Dingbats" w:eastAsia="MS Mincho" w:hAnsi="Zapf Dingbats" w:cs="MS Mincho"/>
                <w:noProof/>
                <w:sz w:val="22"/>
                <w:szCs w:val="22"/>
                <w:lang w:val="uk-UA"/>
              </w:rPr>
            </w:pPr>
          </w:p>
        </w:tc>
        <w:tc>
          <w:tcPr>
            <w:tcW w:w="365" w:type="dxa"/>
            <w:vMerge/>
            <w:tcBorders>
              <w:left w:val="single" w:sz="2" w:space="0" w:color="FFFFFF"/>
              <w:right w:val="single" w:sz="2" w:space="0" w:color="FFFFFF"/>
            </w:tcBorders>
            <w:shd w:val="clear" w:color="auto" w:fill="FBD4B4"/>
          </w:tcPr>
          <w:p w14:paraId="73C3E9F1" w14:textId="77777777" w:rsidR="00D6486B" w:rsidRPr="00257F44" w:rsidRDefault="00D6486B" w:rsidP="00DE1C85">
            <w:pPr>
              <w:rPr>
                <w:rFonts w:ascii="Zapf Dingbats" w:eastAsia="MS Mincho" w:hAnsi="Zapf Dingbats" w:cs="MS Mincho"/>
                <w:noProof/>
                <w:sz w:val="22"/>
                <w:szCs w:val="22"/>
                <w:lang w:val="uk-UA"/>
              </w:rPr>
            </w:pPr>
          </w:p>
        </w:tc>
        <w:tc>
          <w:tcPr>
            <w:tcW w:w="735" w:type="dxa"/>
            <w:vMerge/>
            <w:tcBorders>
              <w:left w:val="single" w:sz="2" w:space="0" w:color="FFFFFF"/>
              <w:right w:val="single" w:sz="18" w:space="0" w:color="FFFFFF"/>
            </w:tcBorders>
            <w:shd w:val="clear" w:color="auto" w:fill="FBD4B4"/>
          </w:tcPr>
          <w:p w14:paraId="3DF2A754" w14:textId="77777777" w:rsidR="00D6486B" w:rsidRPr="00257F44" w:rsidRDefault="00D6486B" w:rsidP="00DE1C85">
            <w:pPr>
              <w:rPr>
                <w:rFonts w:ascii="Zapf Dingbats" w:eastAsia="MS Mincho" w:hAnsi="Zapf Dingbats" w:cs="MS Mincho"/>
                <w:noProof/>
                <w:sz w:val="22"/>
                <w:szCs w:val="22"/>
                <w:lang w:val="uk-UA"/>
              </w:rPr>
            </w:pPr>
          </w:p>
        </w:tc>
        <w:tc>
          <w:tcPr>
            <w:tcW w:w="350" w:type="dxa"/>
            <w:vMerge/>
            <w:tcBorders>
              <w:left w:val="single" w:sz="18" w:space="0" w:color="FFFFFF"/>
              <w:right w:val="single" w:sz="2" w:space="0" w:color="FFFFFF"/>
            </w:tcBorders>
            <w:shd w:val="clear" w:color="auto" w:fill="CCC0D9"/>
          </w:tcPr>
          <w:p w14:paraId="210A2732" w14:textId="77777777" w:rsidR="00D6486B" w:rsidRPr="00257F44" w:rsidRDefault="00D6486B" w:rsidP="00DE1C85">
            <w:pPr>
              <w:rPr>
                <w:rFonts w:ascii="Zapf Dingbats" w:eastAsia="MS Mincho" w:hAnsi="Zapf Dingbats" w:cs="MS Mincho"/>
                <w:noProof/>
                <w:sz w:val="22"/>
                <w:szCs w:val="22"/>
                <w:lang w:val="uk-UA"/>
              </w:rPr>
            </w:pPr>
          </w:p>
        </w:tc>
        <w:tc>
          <w:tcPr>
            <w:tcW w:w="341" w:type="dxa"/>
            <w:vMerge/>
            <w:tcBorders>
              <w:left w:val="single" w:sz="2" w:space="0" w:color="FFFFFF"/>
              <w:right w:val="single" w:sz="2" w:space="0" w:color="FFFFFF"/>
            </w:tcBorders>
            <w:shd w:val="clear" w:color="auto" w:fill="CCC0D9"/>
          </w:tcPr>
          <w:p w14:paraId="1D8E6F4D" w14:textId="77777777" w:rsidR="00D6486B" w:rsidRPr="00257F44" w:rsidRDefault="00D6486B" w:rsidP="00DE1C85">
            <w:pPr>
              <w:rPr>
                <w:rFonts w:ascii="Zapf Dingbats" w:eastAsia="MS Mincho" w:hAnsi="Zapf Dingbats" w:cs="MS Mincho"/>
                <w:noProof/>
                <w:sz w:val="22"/>
                <w:szCs w:val="22"/>
                <w:lang w:val="uk-UA"/>
              </w:rPr>
            </w:pPr>
          </w:p>
        </w:tc>
        <w:tc>
          <w:tcPr>
            <w:tcW w:w="341" w:type="dxa"/>
            <w:vMerge/>
            <w:tcBorders>
              <w:left w:val="single" w:sz="2" w:space="0" w:color="FFFFFF"/>
              <w:right w:val="single" w:sz="2" w:space="0" w:color="FFFFFF"/>
            </w:tcBorders>
            <w:shd w:val="clear" w:color="auto" w:fill="CCC0D9"/>
          </w:tcPr>
          <w:p w14:paraId="7C50910B" w14:textId="77777777" w:rsidR="00D6486B" w:rsidRPr="00257F44" w:rsidRDefault="00D6486B" w:rsidP="00DE1C85">
            <w:pPr>
              <w:rPr>
                <w:rFonts w:ascii="Zapf Dingbats" w:eastAsia="MS Mincho" w:hAnsi="Zapf Dingbats" w:cs="MS Mincho"/>
                <w:noProof/>
                <w:sz w:val="22"/>
                <w:szCs w:val="22"/>
                <w:lang w:val="uk-UA"/>
              </w:rPr>
            </w:pPr>
          </w:p>
        </w:tc>
        <w:tc>
          <w:tcPr>
            <w:tcW w:w="493" w:type="dxa"/>
            <w:vMerge/>
            <w:tcBorders>
              <w:left w:val="single" w:sz="2" w:space="0" w:color="FFFFFF"/>
              <w:right w:val="single" w:sz="18" w:space="0" w:color="FFFFFF"/>
            </w:tcBorders>
            <w:shd w:val="clear" w:color="auto" w:fill="CCC0D9"/>
          </w:tcPr>
          <w:p w14:paraId="39D95C6A" w14:textId="77777777" w:rsidR="00D6486B" w:rsidRPr="00257F44" w:rsidRDefault="00D6486B" w:rsidP="00DE1C85">
            <w:pPr>
              <w:rPr>
                <w:rFonts w:ascii="Zapf Dingbats" w:eastAsia="MS Mincho" w:hAnsi="Zapf Dingbats" w:cs="MS Mincho"/>
                <w:noProof/>
                <w:sz w:val="22"/>
                <w:szCs w:val="22"/>
                <w:lang w:val="uk-UA"/>
              </w:rPr>
            </w:pPr>
          </w:p>
        </w:tc>
        <w:tc>
          <w:tcPr>
            <w:tcW w:w="459"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62BB2D71" w14:textId="77777777" w:rsidR="00D6486B" w:rsidRPr="00257F44" w:rsidRDefault="00D6486B" w:rsidP="00DE1C85">
            <w:pPr>
              <w:rPr>
                <w:rFonts w:ascii="Zapf Dingbats" w:eastAsia="MS Mincho" w:hAnsi="Zapf Dingbats" w:cs="MS Mincho"/>
                <w:noProof/>
                <w:sz w:val="22"/>
                <w:szCs w:val="22"/>
                <w:lang w:val="uk-UA"/>
              </w:rPr>
            </w:pPr>
          </w:p>
        </w:tc>
        <w:tc>
          <w:tcPr>
            <w:tcW w:w="516"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41CB2736" w14:textId="77777777" w:rsidR="00D6486B" w:rsidRPr="00257F44" w:rsidRDefault="00D6486B" w:rsidP="00DE1C85">
            <w:pPr>
              <w:rPr>
                <w:rFonts w:ascii="Zapf Dingbats" w:eastAsia="MS Mincho" w:hAnsi="Zapf Dingbats" w:cs="MS Mincho"/>
                <w:noProof/>
                <w:sz w:val="22"/>
                <w:szCs w:val="22"/>
                <w:lang w:val="uk-UA"/>
              </w:rPr>
            </w:pPr>
          </w:p>
        </w:tc>
        <w:tc>
          <w:tcPr>
            <w:tcW w:w="516"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29AC1052" w14:textId="3F63881B" w:rsidR="00D6486B" w:rsidRPr="00257F44" w:rsidRDefault="00D6486B" w:rsidP="000D2EE2">
            <w:pPr>
              <w:jc w:val="cente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405"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48FADB20" w14:textId="567E1E76" w:rsidR="00D6486B" w:rsidRPr="00257F44" w:rsidRDefault="00D6486B" w:rsidP="00DE1C85">
            <w:pPr>
              <w:jc w:val="center"/>
              <w:rPr>
                <w:rFonts w:ascii="Gill Sans" w:hAnsi="Gill Sans" w:cs="Gill Sans"/>
                <w:sz w:val="22"/>
                <w:szCs w:val="22"/>
                <w:lang w:val="uk-UA"/>
              </w:rPr>
            </w:pPr>
          </w:p>
        </w:tc>
        <w:tc>
          <w:tcPr>
            <w:tcW w:w="341" w:type="dxa"/>
            <w:vMerge/>
            <w:tcBorders>
              <w:left w:val="single" w:sz="18" w:space="0" w:color="FFFFFF"/>
              <w:right w:val="single" w:sz="2" w:space="0" w:color="FFFFFF"/>
            </w:tcBorders>
            <w:shd w:val="clear" w:color="auto" w:fill="D99594"/>
          </w:tcPr>
          <w:p w14:paraId="5AB54373" w14:textId="77777777" w:rsidR="00D6486B" w:rsidRPr="00257F44" w:rsidRDefault="00D6486B" w:rsidP="00DE1C85">
            <w:pPr>
              <w:rPr>
                <w:rFonts w:ascii="Gill Sans" w:hAnsi="Gill Sans" w:cs="Gill Sans"/>
                <w:sz w:val="22"/>
                <w:szCs w:val="22"/>
                <w:lang w:val="uk-UA"/>
              </w:rPr>
            </w:pPr>
          </w:p>
        </w:tc>
        <w:tc>
          <w:tcPr>
            <w:tcW w:w="417" w:type="dxa"/>
            <w:vMerge/>
            <w:tcBorders>
              <w:left w:val="single" w:sz="2" w:space="0" w:color="FFFFFF"/>
              <w:right w:val="single" w:sz="2" w:space="0" w:color="FFFFFF"/>
            </w:tcBorders>
            <w:shd w:val="clear" w:color="auto" w:fill="D99594"/>
          </w:tcPr>
          <w:p w14:paraId="76E97109" w14:textId="77777777" w:rsidR="00D6486B" w:rsidRPr="00257F44" w:rsidRDefault="00D6486B" w:rsidP="00DE1C85">
            <w:pPr>
              <w:rPr>
                <w:rFonts w:ascii="Gill Sans" w:hAnsi="Gill Sans" w:cs="Gill Sans"/>
                <w:sz w:val="22"/>
                <w:szCs w:val="22"/>
                <w:lang w:val="uk-UA"/>
              </w:rPr>
            </w:pPr>
          </w:p>
        </w:tc>
        <w:tc>
          <w:tcPr>
            <w:tcW w:w="341" w:type="dxa"/>
            <w:vMerge/>
            <w:tcBorders>
              <w:left w:val="single" w:sz="2" w:space="0" w:color="FFFFFF"/>
              <w:right w:val="single" w:sz="2" w:space="0" w:color="FFFFFF"/>
            </w:tcBorders>
            <w:shd w:val="clear" w:color="auto" w:fill="D99594"/>
          </w:tcPr>
          <w:p w14:paraId="74A25370" w14:textId="77777777" w:rsidR="00D6486B" w:rsidRPr="00257F44" w:rsidRDefault="00D6486B" w:rsidP="00DE1C85">
            <w:pPr>
              <w:rPr>
                <w:rFonts w:ascii="Gill Sans" w:hAnsi="Gill Sans" w:cs="Gill Sans"/>
                <w:sz w:val="22"/>
                <w:szCs w:val="22"/>
                <w:lang w:val="uk-UA"/>
              </w:rPr>
            </w:pPr>
          </w:p>
        </w:tc>
        <w:tc>
          <w:tcPr>
            <w:tcW w:w="341" w:type="dxa"/>
            <w:vMerge/>
            <w:tcBorders>
              <w:left w:val="single" w:sz="2" w:space="0" w:color="FFFFFF"/>
              <w:right w:val="single" w:sz="2" w:space="0" w:color="FFFFFF"/>
            </w:tcBorders>
            <w:shd w:val="clear" w:color="auto" w:fill="D99594"/>
          </w:tcPr>
          <w:p w14:paraId="1267E28E" w14:textId="77777777" w:rsidR="00D6486B" w:rsidRPr="00257F44" w:rsidRDefault="00D6486B" w:rsidP="00DE1C85">
            <w:pPr>
              <w:rPr>
                <w:rFonts w:ascii="Gill Sans" w:hAnsi="Gill Sans" w:cs="Gill Sans"/>
                <w:noProof/>
                <w:sz w:val="22"/>
                <w:szCs w:val="22"/>
                <w:lang w:val="uk-UA"/>
              </w:rPr>
            </w:pPr>
          </w:p>
        </w:tc>
        <w:tc>
          <w:tcPr>
            <w:tcW w:w="486" w:type="dxa"/>
            <w:vMerge/>
            <w:tcBorders>
              <w:left w:val="single" w:sz="2" w:space="0" w:color="FFFFFF"/>
              <w:right w:val="single" w:sz="18" w:space="0" w:color="FFFFFF"/>
            </w:tcBorders>
            <w:shd w:val="clear" w:color="auto" w:fill="D99594"/>
          </w:tcPr>
          <w:p w14:paraId="366B2699" w14:textId="77777777" w:rsidR="00D6486B" w:rsidRPr="00257F44" w:rsidRDefault="00D6486B" w:rsidP="00DE1C85">
            <w:pPr>
              <w:rPr>
                <w:rFonts w:ascii="Gill Sans" w:hAnsi="Gill Sans" w:cs="Gill Sans"/>
                <w:sz w:val="22"/>
                <w:szCs w:val="22"/>
                <w:lang w:val="uk-UA"/>
              </w:rPr>
            </w:pPr>
          </w:p>
        </w:tc>
      </w:tr>
    </w:tbl>
    <w:p w14:paraId="692C95A2" w14:textId="77777777" w:rsidR="006558BF" w:rsidRPr="00257F44" w:rsidRDefault="006558BF" w:rsidP="00163080">
      <w:pPr>
        <w:rPr>
          <w:lang w:val="uk-UA"/>
        </w:rPr>
      </w:pPr>
    </w:p>
    <w:p w14:paraId="2A818010" w14:textId="77777777" w:rsidR="00D64D16" w:rsidRPr="00257F44" w:rsidRDefault="00D64D16" w:rsidP="007B5718">
      <w:pPr>
        <w:pStyle w:val="Heading3"/>
        <w:spacing w:after="120"/>
        <w:rPr>
          <w:lang w:val="uk-UA"/>
        </w:rPr>
      </w:pPr>
      <w:r w:rsidRPr="00257F44">
        <w:rPr>
          <w:lang w:val="uk-UA"/>
        </w:rPr>
        <w:lastRenderedPageBreak/>
        <w:t>Мета зобов’язання</w:t>
      </w:r>
    </w:p>
    <w:p w14:paraId="237E6A81" w14:textId="6EEB493F" w:rsidR="00D75AEE" w:rsidRPr="00257F44" w:rsidRDefault="00D75AEE" w:rsidP="007B5718">
      <w:pPr>
        <w:spacing w:after="120"/>
        <w:rPr>
          <w:rFonts w:ascii="Gill Sans" w:hAnsi="Gill Sans" w:cs="Gill Sans"/>
          <w:sz w:val="22"/>
          <w:szCs w:val="22"/>
          <w:lang w:val="uk-UA"/>
        </w:rPr>
      </w:pPr>
      <w:r w:rsidRPr="00257F44">
        <w:rPr>
          <w:rFonts w:ascii="Gill Sans" w:hAnsi="Gill Sans" w:cs="Gill Sans"/>
          <w:sz w:val="22"/>
          <w:szCs w:val="22"/>
          <w:lang w:val="uk-UA"/>
        </w:rPr>
        <w:t>Це зобов’язання вимагало внесення змін до низки законодавчих актів без чіткого пояснення загальних цілей або зв’язку між різними законодавчими змінами. Це може бути прикладом погано сформульованого зобов’язання, якому бракує фокусу та чіткої мети, а також яке містить забагато різних складових. У результаті, Уряд вилучив один пункт із зобов’язання та визнав інший таким, що не потребує виконання.</w:t>
      </w:r>
      <w:r w:rsidR="002A601F" w:rsidRPr="00257F44">
        <w:rPr>
          <w:rFonts w:ascii="Gill Sans" w:hAnsi="Gill Sans" w:cs="Gill Sans"/>
          <w:sz w:val="22"/>
          <w:szCs w:val="22"/>
          <w:lang w:val="uk-UA"/>
        </w:rPr>
        <w:t xml:space="preserve"> Загалом, різні заходи, передбачені зобов’язанням, мали на мети розвинути електронне урядування шляхом вдосконалення законодавчої бази.</w:t>
      </w:r>
    </w:p>
    <w:p w14:paraId="08B5317D" w14:textId="77777777" w:rsidR="00D64D16" w:rsidRPr="00257F44" w:rsidRDefault="00D64D16" w:rsidP="007B5718">
      <w:pPr>
        <w:pStyle w:val="Heading3"/>
        <w:spacing w:after="120"/>
        <w:rPr>
          <w:lang w:val="uk-UA"/>
        </w:rPr>
      </w:pPr>
      <w:r w:rsidRPr="00257F44">
        <w:rPr>
          <w:lang w:val="uk-UA"/>
        </w:rPr>
        <w:t>Статус виконання</w:t>
      </w:r>
    </w:p>
    <w:p w14:paraId="2A383777" w14:textId="77777777" w:rsidR="00D64D16" w:rsidRPr="00257F44" w:rsidRDefault="00D64D16" w:rsidP="007B5718">
      <w:pPr>
        <w:pStyle w:val="Normalrglronly"/>
        <w:rPr>
          <w:b/>
          <w:lang w:val="uk-UA"/>
        </w:rPr>
      </w:pPr>
      <w:r w:rsidRPr="00257F44">
        <w:rPr>
          <w:b/>
          <w:lang w:val="uk-UA"/>
        </w:rPr>
        <w:t>Проміжний звіт: Значне виконання</w:t>
      </w:r>
    </w:p>
    <w:p w14:paraId="7A1C1B76" w14:textId="6CC88F7B" w:rsidR="002A605D" w:rsidRPr="00257F44" w:rsidRDefault="002A605D" w:rsidP="007B5718">
      <w:pPr>
        <w:spacing w:after="120"/>
        <w:rPr>
          <w:rFonts w:ascii="Gill Sans" w:hAnsi="Gill Sans" w:cs="Gill Sans"/>
          <w:sz w:val="22"/>
          <w:szCs w:val="22"/>
          <w:lang w:val="uk-UA"/>
        </w:rPr>
      </w:pPr>
      <w:r w:rsidRPr="00257F44">
        <w:rPr>
          <w:rFonts w:ascii="Gill Sans" w:hAnsi="Gill Sans" w:cs="Gill Sans"/>
          <w:sz w:val="22"/>
          <w:szCs w:val="22"/>
          <w:lang w:val="uk-UA"/>
        </w:rPr>
        <w:t xml:space="preserve">Уряд повідомив, що законопроект стосовно </w:t>
      </w:r>
      <w:r w:rsidRPr="00257F44">
        <w:rPr>
          <w:rFonts w:ascii="Gill Sans" w:hAnsi="Gill Sans" w:cs="Gill Sans"/>
          <w:noProof/>
          <w:sz w:val="22"/>
          <w:szCs w:val="22"/>
          <w:lang w:val="uk-UA"/>
        </w:rPr>
        <w:t>можливості засвідчення документів, необхідних для отримання адміністративної послуги, електронним цифровим підписом був вилучений з плану дій у серпні 2015 року, оскільки відповідні питання були охоплені законопроектом про електронні довірчі послуги</w:t>
      </w:r>
      <w:r w:rsidRPr="00257F44">
        <w:rPr>
          <w:rStyle w:val="EndnoteReference"/>
          <w:rFonts w:ascii="Gill Sans" w:hAnsi="Gill Sans" w:cs="Gill Sans"/>
          <w:sz w:val="22"/>
          <w:szCs w:val="22"/>
          <w:lang w:val="uk-UA"/>
        </w:rPr>
        <w:endnoteReference w:id="75"/>
      </w:r>
      <w:r w:rsidRPr="00257F44">
        <w:rPr>
          <w:rFonts w:ascii="Gill Sans" w:hAnsi="Gill Sans" w:cs="Gill Sans"/>
          <w:noProof/>
          <w:sz w:val="22"/>
          <w:szCs w:val="22"/>
          <w:lang w:val="uk-UA"/>
        </w:rPr>
        <w:t>.</w:t>
      </w:r>
      <w:r w:rsidRPr="00257F44">
        <w:rPr>
          <w:rStyle w:val="EndnoteReference"/>
          <w:rFonts w:ascii="Gill Sans" w:hAnsi="Gill Sans" w:cs="Gill Sans"/>
          <w:sz w:val="22"/>
          <w:szCs w:val="22"/>
          <w:lang w:val="uk-UA"/>
        </w:rPr>
        <w:t xml:space="preserve"> </w:t>
      </w:r>
      <w:r w:rsidRPr="00257F44">
        <w:rPr>
          <w:rFonts w:ascii="Gill Sans" w:hAnsi="Gill Sans" w:cs="Gill Sans"/>
          <w:sz w:val="22"/>
          <w:szCs w:val="22"/>
          <w:lang w:val="uk-UA"/>
        </w:rPr>
        <w:t>Міністерство юстиції заявило, що зміни до Закону про захист персональних даних не потрібні, тому що закон відповідає європейським стандартам.</w:t>
      </w:r>
    </w:p>
    <w:p w14:paraId="65355380" w14:textId="5BF3AE9A" w:rsidR="002A605D" w:rsidRPr="00257F44" w:rsidRDefault="002A605D" w:rsidP="007B5718">
      <w:pPr>
        <w:spacing w:after="120"/>
        <w:rPr>
          <w:rFonts w:ascii="Gill Sans" w:hAnsi="Gill Sans" w:cs="Gill Sans"/>
          <w:sz w:val="22"/>
          <w:szCs w:val="22"/>
          <w:lang w:val="uk-UA"/>
        </w:rPr>
      </w:pPr>
      <w:r w:rsidRPr="00257F44">
        <w:rPr>
          <w:rFonts w:ascii="Gill Sans" w:hAnsi="Gill Sans" w:cs="Gill Sans"/>
          <w:sz w:val="22"/>
          <w:szCs w:val="22"/>
          <w:lang w:val="uk-UA"/>
        </w:rPr>
        <w:t>Міністерство юстиції підготувало проект нового закону про електронні довірчі послуги, який повинен замінити законодавство у цій сфері. Це було пов’язано із змінами у правовій системі ЄС. Уряд вніс цей законопроект до парламенту в серпні 2015 року</w:t>
      </w:r>
      <w:r w:rsidRPr="00257F44">
        <w:rPr>
          <w:rStyle w:val="EndnoteReference"/>
          <w:rFonts w:ascii="Gill Sans" w:hAnsi="Gill Sans" w:cs="Gill Sans"/>
          <w:noProof/>
          <w:sz w:val="22"/>
          <w:szCs w:val="22"/>
          <w:lang w:val="uk-UA"/>
        </w:rPr>
        <w:endnoteReference w:id="76"/>
      </w:r>
      <w:r w:rsidRPr="00257F44">
        <w:rPr>
          <w:rFonts w:ascii="Gill Sans" w:hAnsi="Gill Sans" w:cs="Gill Sans"/>
          <w:sz w:val="22"/>
          <w:szCs w:val="22"/>
          <w:lang w:val="uk-UA"/>
        </w:rPr>
        <w:t>. Міністерство провело низку публічних консультацій щодо законопроекту</w:t>
      </w:r>
      <w:r w:rsidRPr="00257F44">
        <w:rPr>
          <w:rStyle w:val="EndnoteReference"/>
          <w:rFonts w:ascii="Gill Sans" w:hAnsi="Gill Sans" w:cs="Gill Sans"/>
          <w:noProof/>
          <w:sz w:val="22"/>
          <w:szCs w:val="22"/>
          <w:lang w:val="uk-UA"/>
        </w:rPr>
        <w:endnoteReference w:id="77"/>
      </w:r>
      <w:r w:rsidRPr="00257F44">
        <w:rPr>
          <w:rFonts w:ascii="Gill Sans" w:hAnsi="Gill Sans" w:cs="Gill Sans"/>
          <w:sz w:val="22"/>
          <w:szCs w:val="22"/>
          <w:lang w:val="uk-UA"/>
        </w:rPr>
        <w:t>.</w:t>
      </w:r>
    </w:p>
    <w:p w14:paraId="47D67AC1" w14:textId="465A8F18" w:rsidR="00456A7F" w:rsidRPr="00257F44" w:rsidRDefault="00456A7F" w:rsidP="007B5718">
      <w:pPr>
        <w:spacing w:after="120"/>
        <w:rPr>
          <w:rFonts w:ascii="Gill Sans" w:hAnsi="Gill Sans" w:cs="Gill Sans"/>
          <w:sz w:val="22"/>
          <w:szCs w:val="22"/>
          <w:lang w:val="uk-UA"/>
        </w:rPr>
      </w:pPr>
      <w:r w:rsidRPr="00257F44">
        <w:rPr>
          <w:rFonts w:ascii="Gill Sans" w:hAnsi="Gill Sans" w:cs="Gill Sans"/>
          <w:sz w:val="22"/>
          <w:szCs w:val="22"/>
          <w:lang w:val="uk-UA"/>
        </w:rPr>
        <w:t>З усіх запропонованих законодавчих змін значний прогрес був досягнений стосовно запровадження нового виду звернень громадян. Закон, ухвалений у липні 2015 року, дозволяв подання звичайних звернень електронними засобами (раніше закон передбачав подання лише письмових, “паперових” звернень). Крім того, змінами було вперше запроваджено новий вид звернень – електронні петиції, які можуть направлятися парламенту, Уряду, Президенту або органам місцевого самоврядування та вимагають збору певної кількості підписів на підтримку ініціативи для того, щоб петиція стала дійсною. Електронна петиція потребує збору певної кількості голосів</w:t>
      </w:r>
      <w:r w:rsidRPr="00257F44">
        <w:rPr>
          <w:rStyle w:val="EndnoteReference"/>
          <w:rFonts w:ascii="Gill Sans" w:hAnsi="Gill Sans" w:cs="Gill Sans"/>
          <w:sz w:val="22"/>
          <w:szCs w:val="22"/>
          <w:lang w:val="uk-UA"/>
        </w:rPr>
        <w:endnoteReference w:id="78"/>
      </w:r>
      <w:r w:rsidRPr="00257F44">
        <w:rPr>
          <w:rFonts w:ascii="Gill Sans" w:hAnsi="Gill Sans" w:cs="Gill Sans"/>
          <w:sz w:val="22"/>
          <w:szCs w:val="22"/>
          <w:lang w:val="uk-UA"/>
        </w:rPr>
        <w:t xml:space="preserve"> на свою підтримку, щоб </w:t>
      </w:r>
      <w:r w:rsidR="006401CB">
        <w:rPr>
          <w:rFonts w:ascii="Gill Sans" w:hAnsi="Gill Sans" w:cs="Gill Sans"/>
          <w:sz w:val="22"/>
          <w:szCs w:val="22"/>
          <w:lang w:val="uk-UA"/>
        </w:rPr>
        <w:t>стати дійсною</w:t>
      </w:r>
      <w:r w:rsidRPr="00257F44">
        <w:rPr>
          <w:rFonts w:ascii="Gill Sans" w:hAnsi="Gill Sans" w:cs="Gill Sans"/>
          <w:sz w:val="22"/>
          <w:szCs w:val="22"/>
          <w:lang w:val="uk-UA"/>
        </w:rPr>
        <w:t>. Як тільки це досягається, орган, якому вона адресована, повинен розглянути її в пріоритетному порядку, а відповідь на таку петицію оприлюднюється онлайн. Зміни були розроблені громадськими організаціями та експертами і подані до парламенту Президентом України</w:t>
      </w:r>
      <w:r w:rsidRPr="00257F44">
        <w:rPr>
          <w:rStyle w:val="EndnoteReference"/>
          <w:rFonts w:ascii="Gill Sans" w:hAnsi="Gill Sans" w:cs="Gill Sans"/>
          <w:noProof/>
          <w:sz w:val="22"/>
          <w:szCs w:val="22"/>
          <w:lang w:val="uk-UA"/>
        </w:rPr>
        <w:endnoteReference w:id="79"/>
      </w:r>
      <w:r w:rsidRPr="00257F44">
        <w:rPr>
          <w:rFonts w:ascii="Gill Sans" w:hAnsi="Gill Sans" w:cs="Gill Sans"/>
          <w:sz w:val="22"/>
          <w:szCs w:val="22"/>
          <w:lang w:val="uk-UA"/>
        </w:rPr>
        <w:t>.</w:t>
      </w:r>
    </w:p>
    <w:p w14:paraId="684C295E" w14:textId="1B3076F2" w:rsidR="00C243C7" w:rsidRPr="00257F44" w:rsidRDefault="00C243C7" w:rsidP="007B5718">
      <w:pPr>
        <w:spacing w:after="120"/>
        <w:rPr>
          <w:rFonts w:ascii="Gill Sans" w:hAnsi="Gill Sans" w:cs="Gill Sans"/>
          <w:sz w:val="22"/>
          <w:szCs w:val="22"/>
          <w:lang w:val="uk-UA"/>
        </w:rPr>
      </w:pPr>
      <w:r w:rsidRPr="00257F44">
        <w:rPr>
          <w:rFonts w:ascii="Gill Sans" w:hAnsi="Gill Sans" w:cs="Gill Sans"/>
          <w:sz w:val="22"/>
          <w:szCs w:val="22"/>
          <w:lang w:val="uk-UA"/>
        </w:rPr>
        <w:t xml:space="preserve">У жовтні 2015 року, Державне агентство з питань електронного урядування запустило </w:t>
      </w:r>
      <w:r w:rsidR="006401CB">
        <w:rPr>
          <w:rFonts w:ascii="Gill Sans" w:hAnsi="Gill Sans" w:cs="Gill Sans"/>
          <w:sz w:val="22"/>
          <w:szCs w:val="22"/>
          <w:lang w:val="uk-UA"/>
        </w:rPr>
        <w:t xml:space="preserve">в роботу </w:t>
      </w:r>
      <w:r w:rsidRPr="00257F44">
        <w:rPr>
          <w:rFonts w:ascii="Gill Sans" w:hAnsi="Gill Sans" w:cs="Gill Sans"/>
          <w:sz w:val="22"/>
          <w:szCs w:val="22"/>
          <w:lang w:val="uk-UA"/>
        </w:rPr>
        <w:t>електронну систему для подання місцевих е-петицій (e-dem.in.ua). Це платформа для отримання органами місцевого самоврядування е-петицій відповідно до нового закону. Система була розроблена у рамках проекту “Електронне урядування задля підзвітності влади та участі громади” (EGAP), що фінансується Швейцарською Конфедерацією та виконується Фондом Східна Європа і Фондом InnovaBridge</w:t>
      </w:r>
      <w:r w:rsidRPr="00257F44">
        <w:rPr>
          <w:rStyle w:val="EndnoteReference"/>
          <w:rFonts w:ascii="Gill Sans" w:hAnsi="Gill Sans" w:cs="Gill Sans"/>
          <w:sz w:val="22"/>
          <w:szCs w:val="22"/>
          <w:lang w:val="uk-UA"/>
        </w:rPr>
        <w:endnoteReference w:id="80"/>
      </w:r>
      <w:r w:rsidRPr="00257F44">
        <w:rPr>
          <w:rFonts w:ascii="Gill Sans" w:hAnsi="Gill Sans" w:cs="Gill Sans"/>
          <w:sz w:val="22"/>
          <w:szCs w:val="22"/>
          <w:lang w:val="uk-UA"/>
        </w:rPr>
        <w:t>.</w:t>
      </w:r>
    </w:p>
    <w:p w14:paraId="3354C18E" w14:textId="77777777" w:rsidR="00D64D16" w:rsidRPr="00257F44" w:rsidRDefault="00D64D16" w:rsidP="007B5718">
      <w:pPr>
        <w:pStyle w:val="Normalrglronly"/>
        <w:rPr>
          <w:b/>
          <w:lang w:val="uk-UA"/>
        </w:rPr>
      </w:pPr>
      <w:r w:rsidRPr="00257F44">
        <w:rPr>
          <w:b/>
          <w:lang w:val="uk-UA"/>
        </w:rPr>
        <w:t>Підсумковий звіт: Значне виконання</w:t>
      </w:r>
    </w:p>
    <w:p w14:paraId="5671813D" w14:textId="4BC486F1" w:rsidR="00C243C7" w:rsidRPr="00257F44" w:rsidRDefault="006B303E" w:rsidP="007B5718">
      <w:pPr>
        <w:spacing w:after="120"/>
        <w:rPr>
          <w:rFonts w:ascii="Gill Sans" w:hAnsi="Gill Sans" w:cs="Gill Sans"/>
          <w:sz w:val="22"/>
          <w:szCs w:val="22"/>
          <w:lang w:val="uk-UA"/>
        </w:rPr>
      </w:pPr>
      <w:r w:rsidRPr="00257F44">
        <w:rPr>
          <w:rFonts w:ascii="Gill Sans" w:hAnsi="Gill Sans" w:cs="Gill Sans"/>
          <w:sz w:val="22"/>
          <w:szCs w:val="22"/>
          <w:lang w:val="uk-UA"/>
        </w:rPr>
        <w:t>Уряд вніс законопроект про електронні довірчі послуги до парламенту в серпні 2015 року. Новий уряд заново подав його у травні 2016 року</w:t>
      </w:r>
      <w:r w:rsidRPr="00257F44">
        <w:rPr>
          <w:rStyle w:val="EndnoteReference"/>
          <w:rFonts w:ascii="Gill Sans" w:hAnsi="Gill Sans" w:cs="Gill Sans"/>
          <w:sz w:val="22"/>
          <w:szCs w:val="22"/>
          <w:lang w:val="uk-UA"/>
        </w:rPr>
        <w:endnoteReference w:id="81"/>
      </w:r>
      <w:r w:rsidRPr="00257F44">
        <w:rPr>
          <w:rFonts w:ascii="Gill Sans" w:hAnsi="Gill Sans" w:cs="Gill Sans"/>
          <w:sz w:val="22"/>
          <w:szCs w:val="22"/>
          <w:lang w:val="uk-UA"/>
        </w:rPr>
        <w:t>. У вересні 2016 року, парламент схвалив законопроект у першому читанні.</w:t>
      </w:r>
    </w:p>
    <w:p w14:paraId="206AD8C3" w14:textId="6A4FD3C8" w:rsidR="00071776" w:rsidRPr="00257F44" w:rsidRDefault="006B303E" w:rsidP="007B5718">
      <w:pPr>
        <w:spacing w:after="120"/>
        <w:rPr>
          <w:rFonts w:ascii="Gill Sans" w:hAnsi="Gill Sans" w:cs="Gill Sans"/>
          <w:sz w:val="22"/>
          <w:szCs w:val="22"/>
          <w:lang w:val="uk-UA"/>
        </w:rPr>
      </w:pPr>
      <w:r w:rsidRPr="00257F44">
        <w:rPr>
          <w:rFonts w:ascii="Gill Sans" w:hAnsi="Gill Sans" w:cs="Gill Sans"/>
          <w:sz w:val="22"/>
          <w:szCs w:val="22"/>
          <w:lang w:val="uk-UA"/>
        </w:rPr>
        <w:t>У серпні 2015 року, Президент України затвердив порядок розгляду електронних петицій, що адресовані Президентові</w:t>
      </w:r>
      <w:r w:rsidRPr="00257F44">
        <w:rPr>
          <w:rStyle w:val="EndnoteReference"/>
          <w:rFonts w:ascii="Gill Sans" w:hAnsi="Gill Sans" w:cs="Gill Sans"/>
          <w:noProof/>
          <w:sz w:val="22"/>
          <w:szCs w:val="22"/>
          <w:lang w:val="uk-UA"/>
        </w:rPr>
        <w:endnoteReference w:id="82"/>
      </w:r>
      <w:r w:rsidRPr="00257F44">
        <w:rPr>
          <w:rFonts w:ascii="Gill Sans" w:hAnsi="Gill Sans" w:cs="Gill Sans"/>
          <w:sz w:val="22"/>
          <w:szCs w:val="22"/>
          <w:lang w:val="uk-UA"/>
        </w:rPr>
        <w:t>. Парламент та Уряд затвердили власні відповідні порядки у жовтні 2015 року та липні 2016 року відповідно</w:t>
      </w:r>
      <w:r w:rsidRPr="00257F44">
        <w:rPr>
          <w:rStyle w:val="EndnoteReference"/>
          <w:rFonts w:ascii="Gill Sans" w:hAnsi="Gill Sans" w:cs="Gill Sans"/>
          <w:noProof/>
          <w:sz w:val="22"/>
          <w:szCs w:val="22"/>
          <w:lang w:val="uk-UA"/>
        </w:rPr>
        <w:endnoteReference w:id="83"/>
      </w:r>
      <w:r w:rsidRPr="00257F44">
        <w:rPr>
          <w:rFonts w:ascii="Gill Sans" w:hAnsi="Gill Sans" w:cs="Gill Sans"/>
          <w:sz w:val="22"/>
          <w:szCs w:val="22"/>
          <w:lang w:val="uk-UA"/>
        </w:rPr>
        <w:t xml:space="preserve">. Це дозволило реалізувати на практиці </w:t>
      </w:r>
      <w:r w:rsidRPr="00257F44">
        <w:rPr>
          <w:rFonts w:ascii="Gill Sans" w:hAnsi="Gill Sans" w:cs="Gill Sans"/>
          <w:sz w:val="22"/>
          <w:szCs w:val="22"/>
          <w:lang w:val="uk-UA"/>
        </w:rPr>
        <w:lastRenderedPageBreak/>
        <w:t xml:space="preserve">норми щодо подання та розгляду е-петицій, які адресовані найвищим державним органам України. Низка органів місцевого самоврядування схвалили </w:t>
      </w:r>
      <w:r w:rsidR="000465B4" w:rsidRPr="00257F44">
        <w:rPr>
          <w:rFonts w:ascii="Gill Sans" w:hAnsi="Gill Sans" w:cs="Gill Sans"/>
          <w:sz w:val="22"/>
          <w:szCs w:val="22"/>
          <w:lang w:val="uk-UA"/>
        </w:rPr>
        <w:t xml:space="preserve">порядки щодо е-петицій, що адресовані </w:t>
      </w:r>
      <w:r w:rsidR="006401CB">
        <w:rPr>
          <w:rFonts w:ascii="Gill Sans" w:hAnsi="Gill Sans" w:cs="Gill Sans"/>
          <w:sz w:val="22"/>
          <w:szCs w:val="22"/>
          <w:lang w:val="uk-UA"/>
        </w:rPr>
        <w:t>їм</w:t>
      </w:r>
      <w:r w:rsidR="000465B4" w:rsidRPr="00257F44">
        <w:rPr>
          <w:rStyle w:val="EndnoteReference"/>
          <w:rFonts w:ascii="Gill Sans" w:hAnsi="Gill Sans" w:cs="Gill Sans"/>
          <w:noProof/>
          <w:sz w:val="22"/>
          <w:szCs w:val="22"/>
          <w:lang w:val="uk-UA"/>
        </w:rPr>
        <w:endnoteReference w:id="84"/>
      </w:r>
      <w:r w:rsidR="000465B4" w:rsidRPr="00257F44">
        <w:rPr>
          <w:rFonts w:ascii="Gill Sans" w:hAnsi="Gill Sans" w:cs="Gill Sans"/>
          <w:sz w:val="22"/>
          <w:szCs w:val="22"/>
          <w:lang w:val="uk-UA"/>
        </w:rPr>
        <w:t>. Електронна система для подання місцевих е-петицій (e-dem.in.ua), яку в 2015 році запустило в роботу Агентство з питань електронного урядування спільно з міжнародними партнерами (див. вище), розширила свій обсяг з 11 міст до більше ніж 100 місцевих громад і прийняла більше 7000 е-петицій</w:t>
      </w:r>
      <w:r w:rsidR="000465B4" w:rsidRPr="00257F44">
        <w:rPr>
          <w:rStyle w:val="EndnoteReference"/>
          <w:rFonts w:ascii="Gill Sans" w:hAnsi="Gill Sans" w:cs="Gill Sans"/>
          <w:sz w:val="22"/>
          <w:szCs w:val="22"/>
          <w:lang w:val="uk-UA"/>
        </w:rPr>
        <w:endnoteReference w:id="85"/>
      </w:r>
      <w:r w:rsidR="000465B4" w:rsidRPr="00257F44">
        <w:rPr>
          <w:rFonts w:ascii="Gill Sans" w:hAnsi="Gill Sans" w:cs="Gill Sans"/>
          <w:sz w:val="22"/>
          <w:szCs w:val="22"/>
          <w:lang w:val="uk-UA"/>
        </w:rPr>
        <w:t>.</w:t>
      </w:r>
    </w:p>
    <w:p w14:paraId="0E2820C8" w14:textId="77777777" w:rsidR="00CA5E31" w:rsidRPr="00257F44" w:rsidRDefault="00CA5E31" w:rsidP="007B5718">
      <w:pPr>
        <w:pStyle w:val="Heading3"/>
        <w:spacing w:after="120"/>
        <w:rPr>
          <w:lang w:val="uk-UA"/>
        </w:rPr>
      </w:pPr>
      <w:r w:rsidRPr="00257F44">
        <w:rPr>
          <w:lang w:val="uk-UA"/>
        </w:rPr>
        <w:t>Чи відкрило це уряд?</w:t>
      </w:r>
    </w:p>
    <w:p w14:paraId="6A447CA7" w14:textId="70063F42" w:rsidR="00CA5E31" w:rsidRPr="00257F44" w:rsidRDefault="00CA5E31" w:rsidP="007B5718">
      <w:pPr>
        <w:pStyle w:val="Normalrglronly"/>
        <w:rPr>
          <w:b/>
          <w:lang w:val="uk-UA"/>
        </w:rPr>
      </w:pPr>
      <w:r w:rsidRPr="00257F44">
        <w:rPr>
          <w:b/>
          <w:lang w:val="uk-UA"/>
        </w:rPr>
        <w:t>Громадська участь: Значною мірою</w:t>
      </w:r>
    </w:p>
    <w:p w14:paraId="7AF6D113" w14:textId="7B417CA8" w:rsidR="000465B4" w:rsidRPr="00257F44" w:rsidRDefault="004342F7" w:rsidP="007B5718">
      <w:pPr>
        <w:spacing w:after="120"/>
        <w:rPr>
          <w:rFonts w:ascii="Gill Sans" w:hAnsi="Gill Sans" w:cs="Gill Sans"/>
          <w:sz w:val="22"/>
          <w:szCs w:val="22"/>
          <w:lang w:val="uk-UA"/>
        </w:rPr>
      </w:pPr>
      <w:r w:rsidRPr="00257F44">
        <w:rPr>
          <w:rFonts w:ascii="Gill Sans" w:hAnsi="Gill Sans" w:cs="Gill Sans"/>
          <w:sz w:val="22"/>
          <w:szCs w:val="22"/>
          <w:lang w:val="uk-UA"/>
        </w:rPr>
        <w:t>Первинному зобов’язанню бракувало чіткого фокусу та визначеної мети, що робило складною оцінку його потенційного впливу. Проте, виконання перевершило первинні плани і система електронних петицій мала значний ефект. Цей новий інструмент електронної демократії був реалізований найвищими національними органами влади (Президентом, Кабінетом Міністрів, Верховною Радою) та низкою місцевих органів влади. Тисячі петицій були подані і низка з них були розглянути після того, як вони набрали мінімально необхідну підтримку. Наприклад, веб-сайт е-петицій Президента України наразі отримав більше 28 000 петицій і більше ніж 870 000 осіб підписали принаймні одну петицію. Водночас лише 40 петицій подолали поріг у 25 000 підписів</w:t>
      </w:r>
      <w:r w:rsidRPr="00257F44">
        <w:rPr>
          <w:rStyle w:val="EndnoteReference"/>
          <w:rFonts w:ascii="Gill Sans" w:hAnsi="Gill Sans" w:cs="Gill Sans"/>
          <w:sz w:val="22"/>
          <w:szCs w:val="22"/>
          <w:lang w:val="uk-UA"/>
        </w:rPr>
        <w:endnoteReference w:id="86"/>
      </w:r>
      <w:r w:rsidRPr="00257F44">
        <w:rPr>
          <w:rFonts w:ascii="Gill Sans" w:hAnsi="Gill Sans" w:cs="Gill Sans"/>
          <w:sz w:val="22"/>
          <w:szCs w:val="22"/>
          <w:lang w:val="uk-UA"/>
        </w:rPr>
        <w:t>. Деякі з петицій, що подолали необхідний бар’єр для офіційного розгляду, стосувалися таких питань як обмеження права застави для службовців, що обвинувачуються у вчиненні корупційних злочинів, підвищення санкцій для державних службовців, які отримують хабарі, скасування акцизних зборів на імпортовані автомобілі.</w:t>
      </w:r>
    </w:p>
    <w:p w14:paraId="1A582501" w14:textId="5DFF8DF0" w:rsidR="004342F7" w:rsidRPr="00257F44" w:rsidRDefault="004342F7" w:rsidP="007B5718">
      <w:pPr>
        <w:spacing w:after="120"/>
        <w:rPr>
          <w:rFonts w:ascii="Gill Sans" w:hAnsi="Gill Sans" w:cs="Gill Sans"/>
          <w:sz w:val="22"/>
          <w:szCs w:val="22"/>
          <w:lang w:val="uk-UA"/>
        </w:rPr>
      </w:pPr>
      <w:r w:rsidRPr="00257F44">
        <w:rPr>
          <w:rFonts w:ascii="Gill Sans" w:hAnsi="Gill Sans" w:cs="Gill Sans"/>
          <w:sz w:val="22"/>
          <w:szCs w:val="22"/>
          <w:lang w:val="uk-UA"/>
        </w:rPr>
        <w:t xml:space="preserve">Інструмент е-петицій змінив те, яким чином державні органи </w:t>
      </w:r>
      <w:r w:rsidR="00E570D9" w:rsidRPr="00257F44">
        <w:rPr>
          <w:rFonts w:ascii="Gill Sans" w:hAnsi="Gill Sans" w:cs="Gill Sans"/>
          <w:sz w:val="22"/>
          <w:szCs w:val="22"/>
          <w:lang w:val="uk-UA"/>
        </w:rPr>
        <w:t xml:space="preserve">збирають </w:t>
      </w:r>
      <w:r w:rsidRPr="00257F44">
        <w:rPr>
          <w:rFonts w:ascii="Gill Sans" w:hAnsi="Gill Sans" w:cs="Gill Sans"/>
          <w:sz w:val="22"/>
          <w:szCs w:val="22"/>
          <w:lang w:val="uk-UA"/>
        </w:rPr>
        <w:t>д</w:t>
      </w:r>
      <w:r w:rsidR="003635B2" w:rsidRPr="00257F44">
        <w:rPr>
          <w:rFonts w:ascii="Gill Sans" w:hAnsi="Gill Sans" w:cs="Gill Sans"/>
          <w:sz w:val="22"/>
          <w:szCs w:val="22"/>
          <w:lang w:val="uk-UA"/>
        </w:rPr>
        <w:t>умки</w:t>
      </w:r>
      <w:r w:rsidR="00E570D9" w:rsidRPr="00257F44">
        <w:rPr>
          <w:rFonts w:ascii="Gill Sans" w:hAnsi="Gill Sans" w:cs="Gill Sans"/>
          <w:sz w:val="22"/>
          <w:szCs w:val="22"/>
          <w:lang w:val="uk-UA"/>
        </w:rPr>
        <w:t xml:space="preserve"> громадян</w:t>
      </w:r>
      <w:r w:rsidRPr="00257F44">
        <w:rPr>
          <w:rFonts w:ascii="Gill Sans" w:hAnsi="Gill Sans" w:cs="Gill Sans"/>
          <w:sz w:val="22"/>
          <w:szCs w:val="22"/>
          <w:lang w:val="uk-UA"/>
        </w:rPr>
        <w:t>.</w:t>
      </w:r>
      <w:r w:rsidR="00E570D9" w:rsidRPr="00257F44">
        <w:rPr>
          <w:rFonts w:ascii="Gill Sans" w:hAnsi="Gill Sans" w:cs="Gill Sans"/>
          <w:sz w:val="22"/>
          <w:szCs w:val="22"/>
          <w:lang w:val="uk-UA"/>
        </w:rPr>
        <w:t xml:space="preserve"> Раніше, колективні петиції були дуже нечастими і не </w:t>
      </w:r>
      <w:r w:rsidR="00C14A62" w:rsidRPr="00257F44">
        <w:rPr>
          <w:rFonts w:ascii="Gill Sans" w:hAnsi="Gill Sans" w:cs="Gill Sans"/>
          <w:sz w:val="22"/>
          <w:szCs w:val="22"/>
          <w:lang w:val="uk-UA"/>
        </w:rPr>
        <w:t>привертали</w:t>
      </w:r>
      <w:r w:rsidR="00E570D9" w:rsidRPr="00257F44">
        <w:rPr>
          <w:rFonts w:ascii="Gill Sans" w:hAnsi="Gill Sans" w:cs="Gill Sans"/>
          <w:sz w:val="22"/>
          <w:szCs w:val="22"/>
          <w:lang w:val="uk-UA"/>
        </w:rPr>
        <w:t xml:space="preserve"> багато суспільної уваги. Громадяни могли звернутися до </w:t>
      </w:r>
      <w:r w:rsidR="00C14A62" w:rsidRPr="00257F44">
        <w:rPr>
          <w:rFonts w:ascii="Gill Sans" w:hAnsi="Gill Sans" w:cs="Gill Sans"/>
          <w:sz w:val="22"/>
          <w:szCs w:val="22"/>
          <w:lang w:val="uk-UA"/>
        </w:rPr>
        <w:t>влади</w:t>
      </w:r>
      <w:r w:rsidR="00E570D9" w:rsidRPr="00257F44">
        <w:rPr>
          <w:rFonts w:ascii="Gill Sans" w:hAnsi="Gill Sans" w:cs="Gill Sans"/>
          <w:sz w:val="22"/>
          <w:szCs w:val="22"/>
          <w:lang w:val="uk-UA"/>
        </w:rPr>
        <w:t xml:space="preserve"> лише в письмовій формі. Це обмежувало їхні можливості діяти спільно, тоді як новий онлайн портал дозволяє громадськості використовувати інтернет для </w:t>
      </w:r>
      <w:r w:rsidR="00F72B8B" w:rsidRPr="00257F44">
        <w:rPr>
          <w:rFonts w:ascii="Gill Sans" w:hAnsi="Gill Sans" w:cs="Gill Sans"/>
          <w:sz w:val="22"/>
          <w:szCs w:val="22"/>
          <w:lang w:val="uk-UA"/>
        </w:rPr>
        <w:t xml:space="preserve">швидкого </w:t>
      </w:r>
      <w:r w:rsidR="00C14A62" w:rsidRPr="00257F44">
        <w:rPr>
          <w:rFonts w:ascii="Gill Sans" w:hAnsi="Gill Sans" w:cs="Gill Sans"/>
          <w:sz w:val="22"/>
          <w:szCs w:val="22"/>
          <w:lang w:val="uk-UA"/>
        </w:rPr>
        <w:t xml:space="preserve">накопичення </w:t>
      </w:r>
      <w:r w:rsidR="00F72B8B" w:rsidRPr="00257F44">
        <w:rPr>
          <w:rFonts w:ascii="Gill Sans" w:hAnsi="Gill Sans" w:cs="Gill Sans"/>
          <w:sz w:val="22"/>
          <w:szCs w:val="22"/>
          <w:lang w:val="uk-UA"/>
        </w:rPr>
        <w:t xml:space="preserve">широкого кола думок та без географічних обмежень. Електронні петиції запровадили новий засіб для громадян вимагати дій і сприяли громадській участі, а також посилили можливості для громадського контролю за тим, яким чином їхні звернення розглядаються та беруться до роботи. Проте не до кінця зрозуміло, якою мірою е-петиції, що набрали потрібну кількість підписів, вплинули на процес ухвалення рішень органів влади. Хоча подані петиції допомогли у формуванні суспільного діалогу, проливши світло на питання суспільного інтересу, </w:t>
      </w:r>
      <w:r w:rsidR="000F0FBC" w:rsidRPr="00257F44">
        <w:rPr>
          <w:rFonts w:ascii="Gill Sans" w:hAnsi="Gill Sans" w:cs="Gill Sans"/>
          <w:sz w:val="22"/>
          <w:szCs w:val="22"/>
          <w:lang w:val="uk-UA"/>
        </w:rPr>
        <w:t>на момент проведення цієї оцінки були відсутні докази того, що подані петиції мали реальний вплив на прийняття владних рішень.</w:t>
      </w:r>
    </w:p>
    <w:p w14:paraId="6B115C98" w14:textId="77777777" w:rsidR="00CA5E31" w:rsidRPr="00257F44" w:rsidRDefault="00CA5E31" w:rsidP="007B5718">
      <w:pPr>
        <w:pStyle w:val="Heading3"/>
        <w:spacing w:after="120"/>
        <w:rPr>
          <w:lang w:val="uk-UA"/>
        </w:rPr>
      </w:pPr>
      <w:r w:rsidRPr="00257F44">
        <w:rPr>
          <w:lang w:val="uk-UA"/>
        </w:rPr>
        <w:t>Чи перенесено до наступного плану дій?</w:t>
      </w:r>
    </w:p>
    <w:p w14:paraId="11B16AC8" w14:textId="75766040" w:rsidR="0033158A" w:rsidRPr="00257F44" w:rsidRDefault="00C14A62" w:rsidP="007B5718">
      <w:pPr>
        <w:spacing w:after="120"/>
        <w:rPr>
          <w:lang w:val="uk-UA"/>
        </w:rPr>
        <w:sectPr w:rsidR="0033158A" w:rsidRPr="00257F44" w:rsidSect="00F561B7">
          <w:endnotePr>
            <w:numFmt w:val="decimal"/>
            <w:numRestart w:val="eachSect"/>
          </w:endnotePr>
          <w:pgSz w:w="12240" w:h="15840"/>
          <w:pgMar w:top="1440" w:right="1800" w:bottom="1440" w:left="1800" w:header="720" w:footer="720" w:gutter="0"/>
          <w:cols w:space="720"/>
          <w:docGrid w:linePitch="360"/>
        </w:sectPr>
      </w:pPr>
      <w:r w:rsidRPr="00257F44">
        <w:rPr>
          <w:rFonts w:ascii="Gill Sans" w:hAnsi="Gill Sans" w:cs="Gill Sans"/>
          <w:noProof/>
          <w:sz w:val="22"/>
          <w:szCs w:val="22"/>
          <w:lang w:val="uk-UA"/>
        </w:rPr>
        <w:t>Це зобов’язання не було перенесено до нового плану дій.</w:t>
      </w:r>
    </w:p>
    <w:p w14:paraId="74912117" w14:textId="77777777" w:rsidR="005F324F" w:rsidRPr="00257F44" w:rsidRDefault="005F324F" w:rsidP="005F324F">
      <w:pPr>
        <w:pStyle w:val="Heading2"/>
        <w:spacing w:before="0" w:after="120"/>
        <w:rPr>
          <w:rFonts w:eastAsiaTheme="minorEastAsia"/>
          <w:bCs w:val="0"/>
          <w:color w:val="222222"/>
          <w:sz w:val="22"/>
          <w:szCs w:val="22"/>
          <w:lang w:val="uk-UA"/>
        </w:rPr>
      </w:pPr>
      <w:r w:rsidRPr="00257F44">
        <w:rPr>
          <w:rFonts w:eastAsiaTheme="minorEastAsia"/>
          <w:bCs w:val="0"/>
          <w:color w:val="222222"/>
          <w:sz w:val="22"/>
          <w:szCs w:val="22"/>
          <w:lang w:val="uk-UA"/>
        </w:rPr>
        <w:lastRenderedPageBreak/>
        <w:t>19. Оцінка електронної готовності</w:t>
      </w:r>
    </w:p>
    <w:p w14:paraId="7EAF6032" w14:textId="77777777" w:rsidR="005F324F" w:rsidRPr="00257F44" w:rsidRDefault="005F324F" w:rsidP="005F324F">
      <w:pPr>
        <w:spacing w:after="120"/>
        <w:rPr>
          <w:rFonts w:ascii="Gill Sans" w:hAnsi="Gill Sans" w:cs="Gill Sans"/>
          <w:i/>
          <w:noProof/>
          <w:sz w:val="22"/>
          <w:szCs w:val="22"/>
          <w:lang w:val="uk-UA"/>
        </w:rPr>
      </w:pPr>
      <w:r w:rsidRPr="00257F44">
        <w:rPr>
          <w:rFonts w:ascii="Gill Sans" w:hAnsi="Gill Sans" w:cs="Gill Sans"/>
          <w:b/>
          <w:bCs/>
          <w:iCs/>
          <w:noProof/>
          <w:sz w:val="22"/>
          <w:szCs w:val="22"/>
          <w:lang w:val="uk-UA"/>
        </w:rPr>
        <w:t>Текст зобов’язання:</w:t>
      </w:r>
      <w:r w:rsidRPr="00257F44">
        <w:rPr>
          <w:rFonts w:ascii="Gill Sans" w:hAnsi="Gill Sans" w:cs="Gill Sans"/>
          <w:i/>
          <w:noProof/>
          <w:sz w:val="22"/>
          <w:szCs w:val="22"/>
          <w:lang w:val="uk-UA"/>
        </w:rPr>
        <w:t xml:space="preserve"> 19. Створення інтерактивної системи “Оцінка електронної готовності України” та проведення такої оцінки.</w:t>
      </w:r>
    </w:p>
    <w:p w14:paraId="290A4D49" w14:textId="77777777" w:rsidR="005F324F" w:rsidRPr="00257F44" w:rsidRDefault="005F324F" w:rsidP="005F324F">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створення інтерактивної системи “Оцінка електронної готовності України” та проведення такої оцінки.</w:t>
      </w:r>
    </w:p>
    <w:p w14:paraId="0B43AB63" w14:textId="77777777" w:rsidR="005F324F" w:rsidRPr="00257F44" w:rsidRDefault="005F324F" w:rsidP="005F324F">
      <w:pPr>
        <w:spacing w:after="120"/>
        <w:rPr>
          <w:rFonts w:ascii="Gill Sans" w:hAnsi="Gill Sans" w:cs="Gill Sans"/>
          <w:noProof/>
          <w:sz w:val="22"/>
          <w:szCs w:val="22"/>
          <w:lang w:val="uk-UA"/>
        </w:rPr>
      </w:pPr>
      <w:r w:rsidRPr="00257F44">
        <w:rPr>
          <w:rFonts w:ascii="Gill Sans" w:hAnsi="Gill Sans" w:cs="Gill Sans"/>
          <w:noProof/>
          <w:sz w:val="22"/>
          <w:szCs w:val="22"/>
          <w:lang w:val="uk-UA"/>
        </w:rPr>
        <w:t>Головна інституція, відповідальна за виконання: Державне агентство з питань електронного урядування.</w:t>
      </w:r>
    </w:p>
    <w:p w14:paraId="3E129B7A" w14:textId="77777777" w:rsidR="005F324F" w:rsidRPr="00257F44" w:rsidRDefault="005F324F" w:rsidP="005F324F">
      <w:pPr>
        <w:spacing w:after="120"/>
        <w:rPr>
          <w:rFonts w:ascii="Gill Sans" w:hAnsi="Gill Sans" w:cs="Gill Sans"/>
          <w:noProof/>
          <w:sz w:val="22"/>
          <w:szCs w:val="22"/>
          <w:lang w:val="uk-UA"/>
        </w:rPr>
      </w:pPr>
      <w:r w:rsidRPr="00257F44">
        <w:rPr>
          <w:rFonts w:ascii="Gill Sans" w:hAnsi="Gill Sans" w:cs="Gill Sans"/>
          <w:noProof/>
          <w:sz w:val="22"/>
          <w:szCs w:val="22"/>
          <w:lang w:val="uk-UA"/>
        </w:rPr>
        <w:t>Інші виконавці: Міністерство регіонального розвитку, Національний центр електронного урядування державного підприємства “Держінформресурс”, Координатор проектів ОБСЄ в Україні, Асоціація органів місцевого самоврядування “Міста електронного урядування”, інші невизначені організації громадянського суспільства та міжнародні організації.</w:t>
      </w:r>
    </w:p>
    <w:p w14:paraId="6081F497" w14:textId="348FAB83" w:rsidR="005F324F" w:rsidRPr="00257F44" w:rsidRDefault="005F324F" w:rsidP="00E80E32">
      <w:pPr>
        <w:spacing w:after="120"/>
        <w:rPr>
          <w:rFonts w:ascii="Gill Sans" w:hAnsi="Gill Sans" w:cs="Gill Sans"/>
          <w:noProof/>
          <w:sz w:val="22"/>
          <w:szCs w:val="22"/>
          <w:lang w:val="uk-UA"/>
        </w:rPr>
      </w:pPr>
      <w:r w:rsidRPr="00257F44">
        <w:rPr>
          <w:rFonts w:ascii="Gill Sans" w:hAnsi="Gill Sans" w:cs="Gill Sans"/>
          <w:noProof/>
          <w:sz w:val="22"/>
          <w:szCs w:val="22"/>
          <w:lang w:val="uk-UA"/>
        </w:rPr>
        <w:t>Дата початку: Не визначено</w:t>
      </w:r>
      <w:r w:rsidRPr="00257F44">
        <w:rPr>
          <w:rFonts w:ascii="Gill Sans" w:hAnsi="Gill Sans" w:cs="Gill Sans"/>
          <w:noProof/>
          <w:sz w:val="22"/>
          <w:szCs w:val="22"/>
          <w:lang w:val="uk-UA"/>
        </w:rPr>
        <w:tab/>
      </w:r>
      <w:r w:rsidRPr="00257F44">
        <w:rPr>
          <w:rFonts w:ascii="Gill Sans" w:hAnsi="Gill Sans" w:cs="Gill Sans"/>
          <w:noProof/>
          <w:sz w:val="22"/>
          <w:szCs w:val="22"/>
          <w:lang w:val="uk-UA"/>
        </w:rPr>
        <w:tab/>
      </w:r>
      <w:r w:rsidRPr="00257F44">
        <w:rPr>
          <w:rFonts w:ascii="Gill Sans" w:hAnsi="Gill Sans" w:cs="Gill Sans"/>
          <w:noProof/>
          <w:sz w:val="22"/>
          <w:szCs w:val="22"/>
          <w:lang w:val="uk-UA"/>
        </w:rPr>
        <w:tab/>
      </w:r>
      <w:r w:rsidRPr="00257F44">
        <w:rPr>
          <w:rFonts w:ascii="Gill Sans" w:hAnsi="Gill Sans" w:cs="Gill Sans"/>
          <w:noProof/>
          <w:sz w:val="22"/>
          <w:szCs w:val="22"/>
          <w:lang w:val="uk-UA"/>
        </w:rPr>
        <w:tab/>
        <w:t>Термін виконання: 31 грудня 2014 р.</w:t>
      </w:r>
    </w:p>
    <w:tbl>
      <w:tblPr>
        <w:tblW w:w="101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47"/>
        <w:gridCol w:w="354"/>
        <w:gridCol w:w="328"/>
        <w:gridCol w:w="417"/>
        <w:gridCol w:w="341"/>
        <w:gridCol w:w="341"/>
        <w:gridCol w:w="341"/>
        <w:gridCol w:w="798"/>
        <w:gridCol w:w="374"/>
        <w:gridCol w:w="420"/>
        <w:gridCol w:w="341"/>
        <w:gridCol w:w="409"/>
        <w:gridCol w:w="466"/>
        <w:gridCol w:w="493"/>
        <w:gridCol w:w="493"/>
        <w:gridCol w:w="417"/>
        <w:gridCol w:w="341"/>
        <w:gridCol w:w="387"/>
        <w:gridCol w:w="370"/>
        <w:gridCol w:w="417"/>
        <w:gridCol w:w="562"/>
      </w:tblGrid>
      <w:tr w:rsidR="005F324F" w:rsidRPr="00257F44" w14:paraId="1B20BB5E" w14:textId="77777777" w:rsidTr="00B223BA">
        <w:trPr>
          <w:trHeight w:val="405"/>
        </w:trPr>
        <w:tc>
          <w:tcPr>
            <w:tcW w:w="1413" w:type="dxa"/>
            <w:vMerge w:val="restart"/>
            <w:tcBorders>
              <w:top w:val="single" w:sz="18" w:space="0" w:color="FFFFFF"/>
              <w:left w:val="single" w:sz="4" w:space="0" w:color="FFFFFF"/>
              <w:right w:val="single" w:sz="18" w:space="0" w:color="FFFFFF"/>
            </w:tcBorders>
            <w:shd w:val="clear" w:color="auto" w:fill="000000"/>
          </w:tcPr>
          <w:p w14:paraId="038A3E1C" w14:textId="7BB0A31E" w:rsidR="005F324F" w:rsidRPr="00257F44" w:rsidRDefault="005F324F" w:rsidP="007A1164">
            <w:pPr>
              <w:rPr>
                <w:rFonts w:ascii="Gill Sans" w:hAnsi="Gill Sans" w:cs="Gill Sans"/>
                <w:color w:val="FFFFFF" w:themeColor="background1"/>
                <w:sz w:val="22"/>
                <w:szCs w:val="22"/>
                <w:lang w:val="uk-UA"/>
              </w:rPr>
            </w:pPr>
            <w:r w:rsidRPr="00257F44">
              <w:rPr>
                <w:rFonts w:ascii="Gill Sans" w:hAnsi="Gill Sans" w:cs="Gill Sans"/>
                <w:sz w:val="20"/>
                <w:szCs w:val="20"/>
                <w:lang w:val="uk-UA"/>
              </w:rPr>
              <w:t>Опис зобов’язання</w:t>
            </w:r>
          </w:p>
        </w:tc>
        <w:tc>
          <w:tcPr>
            <w:tcW w:w="1446" w:type="dxa"/>
            <w:gridSpan w:val="4"/>
            <w:vMerge w:val="restart"/>
            <w:tcBorders>
              <w:top w:val="single" w:sz="18" w:space="0" w:color="FFFFFF"/>
              <w:left w:val="single" w:sz="18" w:space="0" w:color="FFFFFF"/>
              <w:right w:val="single" w:sz="18" w:space="0" w:color="FFFFFF"/>
            </w:tcBorders>
            <w:shd w:val="clear" w:color="auto" w:fill="D6E3BC"/>
          </w:tcPr>
          <w:p w14:paraId="697D735D" w14:textId="290E1AA5"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Конкретність</w:t>
            </w:r>
          </w:p>
        </w:tc>
        <w:tc>
          <w:tcPr>
            <w:tcW w:w="1821" w:type="dxa"/>
            <w:gridSpan w:val="4"/>
            <w:vMerge w:val="restart"/>
            <w:tcBorders>
              <w:top w:val="single" w:sz="18" w:space="0" w:color="FFFFFF"/>
              <w:left w:val="single" w:sz="18" w:space="0" w:color="FFFFFF"/>
              <w:right w:val="single" w:sz="18" w:space="0" w:color="FFFFFF"/>
            </w:tcBorders>
            <w:shd w:val="clear" w:color="auto" w:fill="FBD4B4"/>
          </w:tcPr>
          <w:p w14:paraId="0CBFA3A9" w14:textId="136F634B"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Відповідність цінностям ПВУ (як сформульовано)</w:t>
            </w:r>
          </w:p>
        </w:tc>
        <w:tc>
          <w:tcPr>
            <w:tcW w:w="1544" w:type="dxa"/>
            <w:gridSpan w:val="4"/>
            <w:vMerge w:val="restart"/>
            <w:tcBorders>
              <w:top w:val="single" w:sz="18" w:space="0" w:color="FFFFFF"/>
              <w:left w:val="single" w:sz="18" w:space="0" w:color="FFFFFF"/>
              <w:right w:val="single" w:sz="18" w:space="0" w:color="FFFFFF"/>
            </w:tcBorders>
            <w:shd w:val="clear" w:color="auto" w:fill="CCC0D9"/>
          </w:tcPr>
          <w:p w14:paraId="2EF63AF3" w14:textId="5D11C9DA"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Потенційний вплив</w:t>
            </w:r>
          </w:p>
        </w:tc>
        <w:tc>
          <w:tcPr>
            <w:tcW w:w="959" w:type="dxa"/>
            <w:gridSpan w:val="2"/>
            <w:vMerge w:val="restart"/>
            <w:tcBorders>
              <w:top w:val="single" w:sz="18" w:space="0" w:color="FFFFFF"/>
              <w:left w:val="single" w:sz="18" w:space="0" w:color="FFFFFF"/>
              <w:right w:val="single" w:sz="2" w:space="0" w:color="FFFFFF"/>
            </w:tcBorders>
            <w:shd w:val="clear" w:color="auto" w:fill="B8CCE4"/>
          </w:tcPr>
          <w:p w14:paraId="37404ABA" w14:textId="67AE6D12"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Стан вико-нання</w:t>
            </w:r>
          </w:p>
        </w:tc>
        <w:tc>
          <w:tcPr>
            <w:tcW w:w="910"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387FA23B" w14:textId="4082A593"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Про-міжний</w:t>
            </w:r>
          </w:p>
        </w:tc>
        <w:tc>
          <w:tcPr>
            <w:tcW w:w="2077" w:type="dxa"/>
            <w:gridSpan w:val="5"/>
            <w:vMerge w:val="restart"/>
            <w:tcBorders>
              <w:top w:val="single" w:sz="18" w:space="0" w:color="FFFFFF"/>
              <w:left w:val="single" w:sz="18" w:space="0" w:color="FFFFFF"/>
              <w:right w:val="single" w:sz="18" w:space="0" w:color="FFFFFF"/>
            </w:tcBorders>
            <w:shd w:val="clear" w:color="auto" w:fill="D99594"/>
          </w:tcPr>
          <w:p w14:paraId="137F710D" w14:textId="57F7186E"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Чи відкрило це уряд?</w:t>
            </w:r>
          </w:p>
        </w:tc>
      </w:tr>
      <w:tr w:rsidR="00D6486B" w:rsidRPr="00257F44" w14:paraId="74B82EFA" w14:textId="77777777" w:rsidTr="00B223BA">
        <w:trPr>
          <w:trHeight w:val="373"/>
        </w:trPr>
        <w:tc>
          <w:tcPr>
            <w:tcW w:w="1413" w:type="dxa"/>
            <w:vMerge/>
            <w:tcBorders>
              <w:left w:val="single" w:sz="4" w:space="0" w:color="FFFFFF"/>
              <w:right w:val="single" w:sz="18" w:space="0" w:color="FFFFFF"/>
            </w:tcBorders>
            <w:shd w:val="clear" w:color="auto" w:fill="000000"/>
          </w:tcPr>
          <w:p w14:paraId="51C0CF1A" w14:textId="7CB2C796" w:rsidR="00D6486B" w:rsidRPr="00257F44" w:rsidRDefault="00D6486B" w:rsidP="007A1164">
            <w:pPr>
              <w:rPr>
                <w:rFonts w:ascii="Gill Sans" w:hAnsi="Gill Sans" w:cs="Gill Sans"/>
                <w:color w:val="FFFFFF" w:themeColor="background1"/>
                <w:sz w:val="22"/>
                <w:szCs w:val="22"/>
                <w:lang w:val="uk-UA"/>
              </w:rPr>
            </w:pPr>
          </w:p>
        </w:tc>
        <w:tc>
          <w:tcPr>
            <w:tcW w:w="1446" w:type="dxa"/>
            <w:gridSpan w:val="4"/>
            <w:vMerge/>
            <w:tcBorders>
              <w:left w:val="single" w:sz="18" w:space="0" w:color="FFFFFF"/>
              <w:bottom w:val="single" w:sz="18" w:space="0" w:color="FFFFFF"/>
              <w:right w:val="single" w:sz="18" w:space="0" w:color="FFFFFF"/>
            </w:tcBorders>
            <w:shd w:val="clear" w:color="auto" w:fill="D6E3BC"/>
          </w:tcPr>
          <w:p w14:paraId="6CD5FCFF" w14:textId="77777777" w:rsidR="00D6486B" w:rsidRPr="00257F44" w:rsidRDefault="00D6486B" w:rsidP="007A1164">
            <w:pPr>
              <w:rPr>
                <w:rFonts w:ascii="Gill Sans" w:hAnsi="Gill Sans" w:cs="Gill Sans"/>
                <w:sz w:val="22"/>
                <w:szCs w:val="22"/>
                <w:lang w:val="uk-UA"/>
              </w:rPr>
            </w:pPr>
          </w:p>
        </w:tc>
        <w:tc>
          <w:tcPr>
            <w:tcW w:w="1821" w:type="dxa"/>
            <w:gridSpan w:val="4"/>
            <w:vMerge/>
            <w:tcBorders>
              <w:left w:val="single" w:sz="18" w:space="0" w:color="FFFFFF"/>
              <w:bottom w:val="single" w:sz="18" w:space="0" w:color="FFFFFF"/>
              <w:right w:val="single" w:sz="18" w:space="0" w:color="FFFFFF"/>
            </w:tcBorders>
            <w:shd w:val="clear" w:color="auto" w:fill="FBD4B4"/>
          </w:tcPr>
          <w:p w14:paraId="6857B9B2" w14:textId="77777777" w:rsidR="00D6486B" w:rsidRPr="00257F44" w:rsidRDefault="00D6486B" w:rsidP="007A1164">
            <w:pPr>
              <w:rPr>
                <w:rFonts w:ascii="Gill Sans" w:hAnsi="Gill Sans" w:cs="Gill Sans"/>
                <w:sz w:val="22"/>
                <w:szCs w:val="22"/>
                <w:lang w:val="uk-UA"/>
              </w:rPr>
            </w:pPr>
          </w:p>
        </w:tc>
        <w:tc>
          <w:tcPr>
            <w:tcW w:w="1544" w:type="dxa"/>
            <w:gridSpan w:val="4"/>
            <w:vMerge/>
            <w:tcBorders>
              <w:left w:val="single" w:sz="18" w:space="0" w:color="FFFFFF"/>
              <w:bottom w:val="single" w:sz="18" w:space="0" w:color="FFFFFF"/>
              <w:right w:val="single" w:sz="18" w:space="0" w:color="FFFFFF"/>
            </w:tcBorders>
            <w:shd w:val="clear" w:color="auto" w:fill="CCC0D9"/>
          </w:tcPr>
          <w:p w14:paraId="087BD3A2" w14:textId="77777777" w:rsidR="00D6486B" w:rsidRPr="00257F44" w:rsidRDefault="00D6486B" w:rsidP="007A1164">
            <w:pPr>
              <w:rPr>
                <w:rFonts w:ascii="Gill Sans" w:hAnsi="Gill Sans" w:cs="Gill Sans"/>
                <w:sz w:val="22"/>
                <w:szCs w:val="22"/>
                <w:lang w:val="uk-UA"/>
              </w:rPr>
            </w:pPr>
          </w:p>
        </w:tc>
        <w:tc>
          <w:tcPr>
            <w:tcW w:w="959" w:type="dxa"/>
            <w:gridSpan w:val="2"/>
            <w:vMerge/>
            <w:tcBorders>
              <w:left w:val="single" w:sz="18" w:space="0" w:color="FFFFFF"/>
              <w:bottom w:val="single" w:sz="18" w:space="0" w:color="FFFFFF"/>
              <w:right w:val="single" w:sz="2" w:space="0" w:color="FFFFFF"/>
            </w:tcBorders>
            <w:shd w:val="clear" w:color="auto" w:fill="B8CCE4"/>
          </w:tcPr>
          <w:p w14:paraId="1172ABE5" w14:textId="77777777" w:rsidR="00D6486B" w:rsidRPr="00257F44" w:rsidRDefault="00D6486B" w:rsidP="007A1164">
            <w:pPr>
              <w:rPr>
                <w:rFonts w:ascii="Gill Sans" w:hAnsi="Gill Sans" w:cs="Gill Sans"/>
                <w:sz w:val="22"/>
                <w:szCs w:val="22"/>
                <w:lang w:val="uk-UA"/>
              </w:rPr>
            </w:pPr>
          </w:p>
        </w:tc>
        <w:tc>
          <w:tcPr>
            <w:tcW w:w="910"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773932F3" w14:textId="6E48F20A" w:rsidR="00D6486B" w:rsidRPr="00257F44" w:rsidRDefault="005F324F" w:rsidP="007A1164">
            <w:pPr>
              <w:rPr>
                <w:rFonts w:ascii="Gill Sans" w:hAnsi="Gill Sans" w:cs="Gill Sans"/>
                <w:sz w:val="20"/>
                <w:szCs w:val="20"/>
                <w:lang w:val="uk-UA"/>
              </w:rPr>
            </w:pPr>
            <w:r w:rsidRPr="00257F44">
              <w:rPr>
                <w:rFonts w:ascii="Gill Sans" w:hAnsi="Gill Sans" w:cs="Gill Sans"/>
                <w:sz w:val="20"/>
                <w:szCs w:val="20"/>
                <w:lang w:val="uk-UA"/>
              </w:rPr>
              <w:t>Підсум-ковий</w:t>
            </w:r>
          </w:p>
        </w:tc>
        <w:tc>
          <w:tcPr>
            <w:tcW w:w="2077" w:type="dxa"/>
            <w:gridSpan w:val="5"/>
            <w:vMerge/>
            <w:tcBorders>
              <w:left w:val="single" w:sz="18" w:space="0" w:color="FFFFFF"/>
              <w:bottom w:val="single" w:sz="18" w:space="0" w:color="FFFFFF"/>
              <w:right w:val="single" w:sz="18" w:space="0" w:color="FFFFFF"/>
            </w:tcBorders>
            <w:shd w:val="clear" w:color="auto" w:fill="D99594"/>
          </w:tcPr>
          <w:p w14:paraId="68648E69" w14:textId="77777777" w:rsidR="00D6486B" w:rsidRPr="00257F44" w:rsidRDefault="00D6486B" w:rsidP="007A1164">
            <w:pPr>
              <w:rPr>
                <w:rFonts w:ascii="Gill Sans" w:hAnsi="Gill Sans" w:cs="Gill Sans"/>
                <w:sz w:val="22"/>
                <w:szCs w:val="22"/>
                <w:lang w:val="uk-UA"/>
              </w:rPr>
            </w:pPr>
          </w:p>
        </w:tc>
      </w:tr>
      <w:tr w:rsidR="005F324F" w:rsidRPr="00257F44" w14:paraId="49222EC1" w14:textId="77777777" w:rsidTr="002D191A">
        <w:trPr>
          <w:cantSplit/>
          <w:trHeight w:val="2336"/>
        </w:trPr>
        <w:tc>
          <w:tcPr>
            <w:tcW w:w="1413" w:type="dxa"/>
            <w:vMerge/>
            <w:tcBorders>
              <w:left w:val="single" w:sz="4" w:space="0" w:color="FFFFFF"/>
              <w:right w:val="single" w:sz="18" w:space="0" w:color="FFFFFF"/>
            </w:tcBorders>
            <w:shd w:val="clear" w:color="auto" w:fill="000000"/>
          </w:tcPr>
          <w:p w14:paraId="58EF2F0B" w14:textId="4217B43D" w:rsidR="005F324F" w:rsidRPr="00257F44" w:rsidRDefault="005F324F" w:rsidP="007A1164">
            <w:pPr>
              <w:rPr>
                <w:rFonts w:ascii="Gill Sans" w:hAnsi="Gill Sans" w:cs="Gill Sans"/>
                <w:color w:val="FFFFFF" w:themeColor="background1"/>
                <w:sz w:val="22"/>
                <w:szCs w:val="22"/>
                <w:lang w:val="uk-UA"/>
              </w:rPr>
            </w:pPr>
          </w:p>
        </w:tc>
        <w:tc>
          <w:tcPr>
            <w:tcW w:w="347"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6AECAD82" w14:textId="1DA9296B"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Відсутня</w:t>
            </w:r>
          </w:p>
        </w:tc>
        <w:tc>
          <w:tcPr>
            <w:tcW w:w="354"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14C93F61" w14:textId="002BFB1B"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Низька</w:t>
            </w:r>
          </w:p>
        </w:tc>
        <w:tc>
          <w:tcPr>
            <w:tcW w:w="328"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07911621" w14:textId="4D722BC7"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Середня</w:t>
            </w:r>
          </w:p>
        </w:tc>
        <w:tc>
          <w:tcPr>
            <w:tcW w:w="417"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640A91B4" w14:textId="7CC7E5A8"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Висока</w:t>
            </w:r>
          </w:p>
        </w:tc>
        <w:tc>
          <w:tcPr>
            <w:tcW w:w="341"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04849C8E" w14:textId="0BC5689D"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Доступ до інформації</w:t>
            </w:r>
          </w:p>
        </w:tc>
        <w:tc>
          <w:tcPr>
            <w:tcW w:w="341"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6E76B838" w14:textId="6E21B0F0"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Громадська участь</w:t>
            </w:r>
          </w:p>
        </w:tc>
        <w:tc>
          <w:tcPr>
            <w:tcW w:w="341"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5B8624DE" w14:textId="64DC3C90"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Підзвітність влади</w:t>
            </w:r>
          </w:p>
        </w:tc>
        <w:tc>
          <w:tcPr>
            <w:tcW w:w="798"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44414179" w14:textId="232AB8CB"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Технології та інновації для прозорості й підзвітності</w:t>
            </w:r>
          </w:p>
        </w:tc>
        <w:tc>
          <w:tcPr>
            <w:tcW w:w="374"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16799D38" w14:textId="53C99D2E"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Жодного</w:t>
            </w:r>
          </w:p>
        </w:tc>
        <w:tc>
          <w:tcPr>
            <w:tcW w:w="42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52913426" w14:textId="287192F6"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Незначний</w:t>
            </w:r>
          </w:p>
        </w:tc>
        <w:tc>
          <w:tcPr>
            <w:tcW w:w="341"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278A8899" w14:textId="61670C6A"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Помірний</w:t>
            </w:r>
          </w:p>
        </w:tc>
        <w:tc>
          <w:tcPr>
            <w:tcW w:w="409"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08A7138D" w14:textId="39E0A3E2"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Трансформуючий</w:t>
            </w:r>
          </w:p>
        </w:tc>
        <w:tc>
          <w:tcPr>
            <w:tcW w:w="466"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0CA5C405" w14:textId="5240D741"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Не розпочато</w:t>
            </w:r>
          </w:p>
        </w:tc>
        <w:tc>
          <w:tcPr>
            <w:tcW w:w="493"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4E5DA558" w14:textId="2B9FC3F3"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Обмежене</w:t>
            </w:r>
          </w:p>
        </w:tc>
        <w:tc>
          <w:tcPr>
            <w:tcW w:w="493"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799CFD47" w14:textId="799C006A"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Значне</w:t>
            </w:r>
          </w:p>
        </w:tc>
        <w:tc>
          <w:tcPr>
            <w:tcW w:w="417"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16AD849B" w14:textId="67409FC2"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Повне</w:t>
            </w:r>
          </w:p>
        </w:tc>
        <w:tc>
          <w:tcPr>
            <w:tcW w:w="341"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19C4F2DF" w14:textId="1B3EFF4E"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Погіршило</w:t>
            </w:r>
          </w:p>
        </w:tc>
        <w:tc>
          <w:tcPr>
            <w:tcW w:w="387"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3A61035" w14:textId="3D613DF9"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Не змінило</w:t>
            </w:r>
          </w:p>
        </w:tc>
        <w:tc>
          <w:tcPr>
            <w:tcW w:w="37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4C887C4" w14:textId="696E84A1"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Обмежено</w:t>
            </w:r>
          </w:p>
        </w:tc>
        <w:tc>
          <w:tcPr>
            <w:tcW w:w="417"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C0D1AC2" w14:textId="52C37CD2"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Значною мірою</w:t>
            </w:r>
          </w:p>
        </w:tc>
        <w:tc>
          <w:tcPr>
            <w:tcW w:w="562"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3DC852ED" w14:textId="61F2578E" w:rsidR="005F324F" w:rsidRPr="00257F44" w:rsidRDefault="005F324F" w:rsidP="007A1164">
            <w:pPr>
              <w:rPr>
                <w:rFonts w:ascii="Gill Sans" w:hAnsi="Gill Sans" w:cs="Gill Sans"/>
                <w:sz w:val="22"/>
                <w:szCs w:val="22"/>
                <w:lang w:val="uk-UA"/>
              </w:rPr>
            </w:pPr>
            <w:r w:rsidRPr="00257F44">
              <w:rPr>
                <w:rFonts w:ascii="Gill Sans" w:hAnsi="Gill Sans" w:cs="Gill Sans"/>
                <w:sz w:val="20"/>
                <w:szCs w:val="20"/>
                <w:lang w:val="uk-UA"/>
              </w:rPr>
              <w:t>Визначною мірою</w:t>
            </w:r>
          </w:p>
        </w:tc>
      </w:tr>
      <w:tr w:rsidR="00D6486B" w:rsidRPr="00257F44" w14:paraId="0B7A2AD3" w14:textId="77777777" w:rsidTr="00B223BA">
        <w:trPr>
          <w:trHeight w:val="340"/>
        </w:trPr>
        <w:tc>
          <w:tcPr>
            <w:tcW w:w="1413" w:type="dxa"/>
            <w:vMerge/>
            <w:tcBorders>
              <w:left w:val="single" w:sz="4" w:space="0" w:color="FFFFFF"/>
              <w:right w:val="single" w:sz="18" w:space="0" w:color="FFFFFF"/>
            </w:tcBorders>
            <w:shd w:val="clear" w:color="auto" w:fill="000000"/>
          </w:tcPr>
          <w:p w14:paraId="3F688817" w14:textId="32B7D6C8" w:rsidR="00D6486B" w:rsidRPr="00257F44" w:rsidRDefault="00D6486B" w:rsidP="007A1164">
            <w:pPr>
              <w:rPr>
                <w:rFonts w:ascii="Gill Sans" w:hAnsi="Gill Sans" w:cs="Gill Sans"/>
                <w:noProof/>
                <w:color w:val="FFFFFF" w:themeColor="background1"/>
                <w:sz w:val="22"/>
                <w:szCs w:val="22"/>
                <w:lang w:val="uk-UA"/>
              </w:rPr>
            </w:pPr>
          </w:p>
        </w:tc>
        <w:tc>
          <w:tcPr>
            <w:tcW w:w="347" w:type="dxa"/>
            <w:vMerge w:val="restart"/>
            <w:tcBorders>
              <w:top w:val="single" w:sz="18" w:space="0" w:color="FFFFFF"/>
              <w:left w:val="single" w:sz="18" w:space="0" w:color="FFFFFF"/>
              <w:right w:val="single" w:sz="2" w:space="0" w:color="FFFFFF"/>
            </w:tcBorders>
            <w:shd w:val="clear" w:color="auto" w:fill="D6E3BC"/>
          </w:tcPr>
          <w:p w14:paraId="2839BC5D" w14:textId="77777777" w:rsidR="00D6486B" w:rsidRPr="00257F44" w:rsidRDefault="00D6486B" w:rsidP="007A1164">
            <w:pPr>
              <w:jc w:val="center"/>
              <w:rPr>
                <w:rFonts w:ascii="Gill Sans" w:hAnsi="Gill Sans" w:cs="Gill Sans"/>
                <w:sz w:val="22"/>
                <w:szCs w:val="22"/>
                <w:lang w:val="uk-UA"/>
              </w:rPr>
            </w:pPr>
          </w:p>
        </w:tc>
        <w:tc>
          <w:tcPr>
            <w:tcW w:w="354" w:type="dxa"/>
            <w:vMerge w:val="restart"/>
            <w:tcBorders>
              <w:top w:val="single" w:sz="18" w:space="0" w:color="FFFFFF"/>
              <w:left w:val="single" w:sz="2" w:space="0" w:color="FFFFFF"/>
              <w:right w:val="single" w:sz="2" w:space="0" w:color="FFFFFF"/>
            </w:tcBorders>
            <w:shd w:val="clear" w:color="auto" w:fill="D6E3BC"/>
          </w:tcPr>
          <w:p w14:paraId="49FC05BD" w14:textId="7455BE5F" w:rsidR="00D6486B" w:rsidRPr="00257F44" w:rsidRDefault="00D6486B" w:rsidP="00466E44">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28" w:type="dxa"/>
            <w:vMerge w:val="restart"/>
            <w:tcBorders>
              <w:top w:val="single" w:sz="18" w:space="0" w:color="FFFFFF"/>
              <w:left w:val="single" w:sz="2" w:space="0" w:color="FFFFFF"/>
              <w:right w:val="single" w:sz="2" w:space="0" w:color="FFFFFF"/>
            </w:tcBorders>
            <w:shd w:val="clear" w:color="auto" w:fill="D6E3BC"/>
          </w:tcPr>
          <w:p w14:paraId="64750836" w14:textId="77777777" w:rsidR="00D6486B" w:rsidRPr="00257F44" w:rsidRDefault="00D6486B" w:rsidP="00466E44">
            <w:pPr>
              <w:rPr>
                <w:rFonts w:ascii="Zapf Dingbats" w:eastAsia="MS Mincho" w:hAnsi="Zapf Dingbats" w:cs="MS Mincho"/>
                <w:noProof/>
                <w:sz w:val="22"/>
                <w:szCs w:val="22"/>
                <w:lang w:val="uk-UA"/>
              </w:rPr>
            </w:pPr>
          </w:p>
        </w:tc>
        <w:tc>
          <w:tcPr>
            <w:tcW w:w="417" w:type="dxa"/>
            <w:vMerge w:val="restart"/>
            <w:tcBorders>
              <w:top w:val="single" w:sz="18" w:space="0" w:color="FFFFFF"/>
              <w:left w:val="single" w:sz="2" w:space="0" w:color="FFFFFF"/>
              <w:right w:val="single" w:sz="18" w:space="0" w:color="FFFFFF"/>
            </w:tcBorders>
            <w:shd w:val="clear" w:color="auto" w:fill="D6E3BC"/>
          </w:tcPr>
          <w:p w14:paraId="78C8F6AD" w14:textId="1B53AE63" w:rsidR="00D6486B" w:rsidRPr="00257F44" w:rsidRDefault="00D6486B" w:rsidP="007A1164">
            <w:pPr>
              <w:jc w:val="center"/>
              <w:rPr>
                <w:rFonts w:ascii="Gill Sans" w:hAnsi="Gill Sans" w:cs="Gill Sans"/>
                <w:noProof/>
                <w:sz w:val="22"/>
                <w:szCs w:val="22"/>
                <w:lang w:val="uk-UA"/>
              </w:rPr>
            </w:pPr>
          </w:p>
        </w:tc>
        <w:tc>
          <w:tcPr>
            <w:tcW w:w="1821" w:type="dxa"/>
            <w:gridSpan w:val="4"/>
            <w:vMerge w:val="restart"/>
            <w:tcBorders>
              <w:top w:val="single" w:sz="18" w:space="0" w:color="FFFFFF"/>
              <w:left w:val="single" w:sz="2" w:space="0" w:color="FFFFFF"/>
              <w:right w:val="single" w:sz="18" w:space="0" w:color="FFFFFF"/>
            </w:tcBorders>
            <w:shd w:val="clear" w:color="auto" w:fill="FBD4B4"/>
          </w:tcPr>
          <w:p w14:paraId="05F40448" w14:textId="39AD1F18" w:rsidR="00D6486B" w:rsidRPr="00257F44" w:rsidRDefault="005F324F" w:rsidP="007A1164">
            <w:pPr>
              <w:jc w:val="center"/>
              <w:rPr>
                <w:rFonts w:ascii="Gill Sans" w:hAnsi="Gill Sans" w:cs="Gill Sans"/>
                <w:sz w:val="22"/>
                <w:szCs w:val="22"/>
                <w:lang w:val="uk-UA"/>
              </w:rPr>
            </w:pPr>
            <w:r w:rsidRPr="00257F44">
              <w:rPr>
                <w:rFonts w:ascii="Gill Sans" w:hAnsi="Gill Sans" w:cs="Gill Sans"/>
                <w:sz w:val="22"/>
                <w:szCs w:val="22"/>
                <w:lang w:val="uk-UA"/>
              </w:rPr>
              <w:t>Незрозуміло</w:t>
            </w:r>
          </w:p>
        </w:tc>
        <w:tc>
          <w:tcPr>
            <w:tcW w:w="374" w:type="dxa"/>
            <w:vMerge w:val="restart"/>
            <w:tcBorders>
              <w:top w:val="single" w:sz="18" w:space="0" w:color="FFFFFF"/>
              <w:left w:val="single" w:sz="18" w:space="0" w:color="FFFFFF"/>
              <w:right w:val="single" w:sz="2" w:space="0" w:color="FFFFFF"/>
            </w:tcBorders>
            <w:shd w:val="clear" w:color="auto" w:fill="CCC0D9"/>
          </w:tcPr>
          <w:p w14:paraId="7D54DF92" w14:textId="45BD7AAB" w:rsidR="00D6486B" w:rsidRPr="00257F44" w:rsidRDefault="00D6486B" w:rsidP="00466E44">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420" w:type="dxa"/>
            <w:vMerge w:val="restart"/>
            <w:tcBorders>
              <w:top w:val="single" w:sz="18" w:space="0" w:color="FFFFFF"/>
              <w:left w:val="single" w:sz="2" w:space="0" w:color="FFFFFF"/>
              <w:right w:val="single" w:sz="2" w:space="0" w:color="FFFFFF"/>
            </w:tcBorders>
            <w:shd w:val="clear" w:color="auto" w:fill="CCC0D9"/>
          </w:tcPr>
          <w:p w14:paraId="3C11E4B1" w14:textId="1117DDCC" w:rsidR="00D6486B" w:rsidRPr="00257F44" w:rsidRDefault="00D6486B" w:rsidP="00466E44">
            <w:pPr>
              <w:rPr>
                <w:rFonts w:ascii="Zapf Dingbats" w:eastAsia="MS Mincho" w:hAnsi="Zapf Dingbats" w:cs="MS Mincho"/>
                <w:noProof/>
                <w:sz w:val="22"/>
                <w:szCs w:val="22"/>
                <w:lang w:val="uk-UA"/>
              </w:rPr>
            </w:pPr>
          </w:p>
        </w:tc>
        <w:tc>
          <w:tcPr>
            <w:tcW w:w="341" w:type="dxa"/>
            <w:vMerge w:val="restart"/>
            <w:tcBorders>
              <w:top w:val="single" w:sz="18" w:space="0" w:color="FFFFFF"/>
              <w:left w:val="single" w:sz="2" w:space="0" w:color="FFFFFF"/>
              <w:right w:val="single" w:sz="2" w:space="0" w:color="FFFFFF"/>
            </w:tcBorders>
            <w:shd w:val="clear" w:color="auto" w:fill="CCC0D9"/>
          </w:tcPr>
          <w:p w14:paraId="157F2F7F" w14:textId="77777777" w:rsidR="00D6486B" w:rsidRPr="00257F44" w:rsidRDefault="00D6486B" w:rsidP="00466E44">
            <w:pPr>
              <w:rPr>
                <w:rFonts w:ascii="Zapf Dingbats" w:eastAsia="MS Mincho" w:hAnsi="Zapf Dingbats" w:cs="MS Mincho"/>
                <w:noProof/>
                <w:sz w:val="22"/>
                <w:szCs w:val="22"/>
                <w:lang w:val="uk-UA"/>
              </w:rPr>
            </w:pPr>
          </w:p>
        </w:tc>
        <w:tc>
          <w:tcPr>
            <w:tcW w:w="409" w:type="dxa"/>
            <w:vMerge w:val="restart"/>
            <w:tcBorders>
              <w:top w:val="single" w:sz="18" w:space="0" w:color="FFFFFF"/>
              <w:left w:val="single" w:sz="2" w:space="0" w:color="FFFFFF"/>
              <w:right w:val="single" w:sz="18" w:space="0" w:color="FFFFFF"/>
            </w:tcBorders>
            <w:shd w:val="clear" w:color="auto" w:fill="CCC0D9"/>
          </w:tcPr>
          <w:p w14:paraId="4B4DE2C5" w14:textId="77777777" w:rsidR="00D6486B" w:rsidRPr="00257F44" w:rsidRDefault="00D6486B" w:rsidP="00466E44">
            <w:pPr>
              <w:rPr>
                <w:rFonts w:ascii="Zapf Dingbats" w:eastAsia="MS Mincho" w:hAnsi="Zapf Dingbats" w:cs="MS Mincho"/>
                <w:noProof/>
                <w:sz w:val="22"/>
                <w:szCs w:val="22"/>
                <w:lang w:val="uk-UA"/>
              </w:rPr>
            </w:pPr>
          </w:p>
        </w:tc>
        <w:tc>
          <w:tcPr>
            <w:tcW w:w="466"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06016BEC" w14:textId="77777777" w:rsidR="00D6486B" w:rsidRPr="00257F44" w:rsidRDefault="00D6486B" w:rsidP="00466E44">
            <w:pPr>
              <w:rPr>
                <w:rFonts w:ascii="Zapf Dingbats" w:eastAsia="MS Mincho" w:hAnsi="Zapf Dingbats" w:cs="MS Mincho"/>
                <w:noProof/>
                <w:sz w:val="22"/>
                <w:szCs w:val="22"/>
                <w:lang w:val="uk-UA"/>
              </w:rPr>
            </w:pPr>
          </w:p>
        </w:tc>
        <w:tc>
          <w:tcPr>
            <w:tcW w:w="493"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7F95F3BA" w14:textId="77777777" w:rsidR="00D6486B" w:rsidRPr="00257F44" w:rsidRDefault="00D6486B" w:rsidP="00466E44">
            <w:pPr>
              <w:rPr>
                <w:rFonts w:ascii="Zapf Dingbats" w:eastAsia="MS Mincho" w:hAnsi="Zapf Dingbats" w:cs="MS Mincho"/>
                <w:noProof/>
                <w:sz w:val="22"/>
                <w:szCs w:val="22"/>
                <w:lang w:val="uk-UA"/>
              </w:rPr>
            </w:pPr>
          </w:p>
        </w:tc>
        <w:tc>
          <w:tcPr>
            <w:tcW w:w="493"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36B43336" w14:textId="77777777" w:rsidR="00D6486B" w:rsidRPr="00257F44" w:rsidRDefault="00D6486B" w:rsidP="00466E44">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417"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3A1D7636" w14:textId="77777777" w:rsidR="00D6486B" w:rsidRPr="00257F44" w:rsidRDefault="00D6486B" w:rsidP="007A1164">
            <w:pPr>
              <w:jc w:val="center"/>
              <w:rPr>
                <w:rFonts w:ascii="Gill Sans" w:hAnsi="Gill Sans" w:cs="Gill Sans"/>
                <w:sz w:val="22"/>
                <w:szCs w:val="22"/>
                <w:lang w:val="uk-UA"/>
              </w:rPr>
            </w:pPr>
          </w:p>
        </w:tc>
        <w:tc>
          <w:tcPr>
            <w:tcW w:w="341" w:type="dxa"/>
            <w:vMerge w:val="restart"/>
            <w:tcBorders>
              <w:top w:val="single" w:sz="18" w:space="0" w:color="FFFFFF"/>
              <w:left w:val="single" w:sz="18" w:space="0" w:color="FFFFFF"/>
              <w:right w:val="single" w:sz="2" w:space="0" w:color="FFFFFF"/>
            </w:tcBorders>
            <w:shd w:val="clear" w:color="auto" w:fill="D99594"/>
          </w:tcPr>
          <w:p w14:paraId="174CB60F" w14:textId="77777777" w:rsidR="00D6486B" w:rsidRPr="00257F44" w:rsidRDefault="00D6486B" w:rsidP="007A1164">
            <w:pPr>
              <w:jc w:val="center"/>
              <w:rPr>
                <w:rFonts w:ascii="Gill Sans" w:hAnsi="Gill Sans" w:cs="Gill Sans"/>
                <w:sz w:val="22"/>
                <w:szCs w:val="22"/>
                <w:lang w:val="uk-UA"/>
              </w:rPr>
            </w:pPr>
          </w:p>
        </w:tc>
        <w:tc>
          <w:tcPr>
            <w:tcW w:w="387" w:type="dxa"/>
            <w:vMerge w:val="restart"/>
            <w:tcBorders>
              <w:top w:val="single" w:sz="18" w:space="0" w:color="FFFFFF"/>
              <w:left w:val="single" w:sz="2" w:space="0" w:color="FFFFFF"/>
              <w:right w:val="single" w:sz="2" w:space="0" w:color="FFFFFF"/>
            </w:tcBorders>
            <w:shd w:val="clear" w:color="auto" w:fill="D99594"/>
          </w:tcPr>
          <w:p w14:paraId="74F11904" w14:textId="5BA48F42" w:rsidR="00D6486B" w:rsidRPr="00257F44" w:rsidRDefault="00D6486B" w:rsidP="00466E44">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70" w:type="dxa"/>
            <w:vMerge w:val="restart"/>
            <w:tcBorders>
              <w:top w:val="single" w:sz="18" w:space="0" w:color="FFFFFF"/>
              <w:left w:val="single" w:sz="2" w:space="0" w:color="FFFFFF"/>
              <w:right w:val="single" w:sz="2" w:space="0" w:color="FFFFFF"/>
            </w:tcBorders>
            <w:shd w:val="clear" w:color="auto" w:fill="D99594"/>
          </w:tcPr>
          <w:p w14:paraId="605997CD" w14:textId="77777777" w:rsidR="00D6486B" w:rsidRPr="00257F44" w:rsidRDefault="00D6486B" w:rsidP="00466E44">
            <w:pPr>
              <w:rPr>
                <w:rFonts w:ascii="Zapf Dingbats" w:eastAsia="MS Mincho" w:hAnsi="Zapf Dingbats" w:cs="MS Mincho"/>
                <w:noProof/>
                <w:sz w:val="22"/>
                <w:szCs w:val="22"/>
                <w:lang w:val="uk-UA"/>
              </w:rPr>
            </w:pPr>
          </w:p>
        </w:tc>
        <w:tc>
          <w:tcPr>
            <w:tcW w:w="417" w:type="dxa"/>
            <w:vMerge w:val="restart"/>
            <w:tcBorders>
              <w:top w:val="single" w:sz="18" w:space="0" w:color="FFFFFF"/>
              <w:left w:val="single" w:sz="2" w:space="0" w:color="FFFFFF"/>
              <w:right w:val="single" w:sz="2" w:space="0" w:color="FFFFFF"/>
            </w:tcBorders>
            <w:shd w:val="clear" w:color="auto" w:fill="D99594"/>
          </w:tcPr>
          <w:p w14:paraId="68217C4C" w14:textId="77777777" w:rsidR="00D6486B" w:rsidRPr="00257F44" w:rsidRDefault="00D6486B" w:rsidP="007A1164">
            <w:pPr>
              <w:jc w:val="center"/>
              <w:rPr>
                <w:rFonts w:ascii="Gill Sans" w:hAnsi="Gill Sans" w:cs="Gill Sans"/>
                <w:noProof/>
                <w:sz w:val="22"/>
                <w:szCs w:val="22"/>
                <w:lang w:val="uk-UA"/>
              </w:rPr>
            </w:pPr>
          </w:p>
        </w:tc>
        <w:tc>
          <w:tcPr>
            <w:tcW w:w="562" w:type="dxa"/>
            <w:vMerge w:val="restart"/>
            <w:tcBorders>
              <w:top w:val="single" w:sz="18" w:space="0" w:color="FFFFFF"/>
              <w:left w:val="single" w:sz="2" w:space="0" w:color="FFFFFF"/>
              <w:right w:val="single" w:sz="18" w:space="0" w:color="FFFFFF"/>
            </w:tcBorders>
            <w:shd w:val="clear" w:color="auto" w:fill="D99594"/>
          </w:tcPr>
          <w:p w14:paraId="67AA4DDE" w14:textId="5318C100" w:rsidR="00D6486B" w:rsidRPr="00257F44" w:rsidRDefault="00D6486B" w:rsidP="007A1164">
            <w:pPr>
              <w:jc w:val="center"/>
              <w:rPr>
                <w:rFonts w:ascii="Gill Sans" w:hAnsi="Gill Sans" w:cs="Gill Sans"/>
                <w:b/>
                <w:sz w:val="22"/>
                <w:szCs w:val="22"/>
                <w:lang w:val="uk-UA"/>
              </w:rPr>
            </w:pPr>
          </w:p>
        </w:tc>
      </w:tr>
      <w:tr w:rsidR="00D6486B" w:rsidRPr="00257F44" w14:paraId="4DE7D86B" w14:textId="77777777" w:rsidTr="00B223BA">
        <w:trPr>
          <w:trHeight w:val="340"/>
        </w:trPr>
        <w:tc>
          <w:tcPr>
            <w:tcW w:w="1413" w:type="dxa"/>
            <w:vMerge/>
            <w:tcBorders>
              <w:left w:val="single" w:sz="4" w:space="0" w:color="FFFFFF"/>
              <w:right w:val="single" w:sz="18" w:space="0" w:color="FFFFFF"/>
            </w:tcBorders>
            <w:shd w:val="clear" w:color="auto" w:fill="000000"/>
          </w:tcPr>
          <w:p w14:paraId="68C986B7" w14:textId="77777777" w:rsidR="00D6486B" w:rsidRPr="00257F44" w:rsidRDefault="00D6486B" w:rsidP="007A1164">
            <w:pPr>
              <w:rPr>
                <w:rFonts w:ascii="Gill Sans" w:hAnsi="Gill Sans" w:cs="Gill Sans"/>
                <w:color w:val="FFFFFF" w:themeColor="background1"/>
                <w:sz w:val="22"/>
                <w:szCs w:val="22"/>
                <w:lang w:val="uk-UA"/>
              </w:rPr>
            </w:pPr>
          </w:p>
        </w:tc>
        <w:tc>
          <w:tcPr>
            <w:tcW w:w="347" w:type="dxa"/>
            <w:vMerge/>
            <w:tcBorders>
              <w:left w:val="single" w:sz="18" w:space="0" w:color="FFFFFF"/>
              <w:right w:val="single" w:sz="2" w:space="0" w:color="FFFFFF"/>
            </w:tcBorders>
            <w:shd w:val="clear" w:color="auto" w:fill="D6E3BC"/>
          </w:tcPr>
          <w:p w14:paraId="1641FED0" w14:textId="77777777" w:rsidR="00D6486B" w:rsidRPr="00257F44" w:rsidRDefault="00D6486B" w:rsidP="007A1164">
            <w:pPr>
              <w:rPr>
                <w:rFonts w:ascii="Gill Sans" w:hAnsi="Gill Sans" w:cs="Gill Sans"/>
                <w:sz w:val="22"/>
                <w:szCs w:val="22"/>
                <w:lang w:val="uk-UA"/>
              </w:rPr>
            </w:pPr>
          </w:p>
        </w:tc>
        <w:tc>
          <w:tcPr>
            <w:tcW w:w="354" w:type="dxa"/>
            <w:vMerge/>
            <w:tcBorders>
              <w:left w:val="single" w:sz="2" w:space="0" w:color="FFFFFF"/>
              <w:right w:val="single" w:sz="2" w:space="0" w:color="FFFFFF"/>
            </w:tcBorders>
            <w:shd w:val="clear" w:color="auto" w:fill="D6E3BC"/>
          </w:tcPr>
          <w:p w14:paraId="7CD92D5A" w14:textId="77777777" w:rsidR="00D6486B" w:rsidRPr="00257F44" w:rsidRDefault="00D6486B" w:rsidP="007A1164">
            <w:pPr>
              <w:rPr>
                <w:rFonts w:ascii="Gill Sans" w:hAnsi="Gill Sans" w:cs="Gill Sans"/>
                <w:sz w:val="22"/>
                <w:szCs w:val="22"/>
                <w:lang w:val="uk-UA"/>
              </w:rPr>
            </w:pPr>
          </w:p>
        </w:tc>
        <w:tc>
          <w:tcPr>
            <w:tcW w:w="328" w:type="dxa"/>
            <w:vMerge/>
            <w:tcBorders>
              <w:left w:val="single" w:sz="2" w:space="0" w:color="FFFFFF"/>
              <w:right w:val="single" w:sz="2" w:space="0" w:color="FFFFFF"/>
            </w:tcBorders>
            <w:shd w:val="clear" w:color="auto" w:fill="D6E3BC"/>
          </w:tcPr>
          <w:p w14:paraId="32ADD3F3" w14:textId="77777777" w:rsidR="00D6486B" w:rsidRPr="00257F44" w:rsidRDefault="00D6486B" w:rsidP="007A1164">
            <w:pPr>
              <w:rPr>
                <w:rFonts w:ascii="Gill Sans" w:hAnsi="Gill Sans" w:cs="Gill Sans"/>
                <w:sz w:val="22"/>
                <w:szCs w:val="22"/>
                <w:lang w:val="uk-UA"/>
              </w:rPr>
            </w:pPr>
          </w:p>
        </w:tc>
        <w:tc>
          <w:tcPr>
            <w:tcW w:w="417" w:type="dxa"/>
            <w:vMerge/>
            <w:tcBorders>
              <w:left w:val="single" w:sz="2" w:space="0" w:color="FFFFFF"/>
              <w:right w:val="single" w:sz="18" w:space="0" w:color="FFFFFF"/>
            </w:tcBorders>
            <w:shd w:val="clear" w:color="auto" w:fill="D6E3BC"/>
          </w:tcPr>
          <w:p w14:paraId="51A8EDAA" w14:textId="77777777" w:rsidR="00D6486B" w:rsidRPr="00257F44" w:rsidRDefault="00D6486B" w:rsidP="007A1164">
            <w:pPr>
              <w:rPr>
                <w:rFonts w:ascii="Gill Sans" w:hAnsi="Gill Sans" w:cs="Gill Sans"/>
                <w:noProof/>
                <w:sz w:val="22"/>
                <w:szCs w:val="22"/>
                <w:lang w:val="uk-UA"/>
              </w:rPr>
            </w:pPr>
          </w:p>
        </w:tc>
        <w:tc>
          <w:tcPr>
            <w:tcW w:w="1821" w:type="dxa"/>
            <w:gridSpan w:val="4"/>
            <w:vMerge/>
            <w:tcBorders>
              <w:left w:val="single" w:sz="2" w:space="0" w:color="FFFFFF"/>
              <w:right w:val="single" w:sz="18" w:space="0" w:color="FFFFFF"/>
            </w:tcBorders>
            <w:shd w:val="clear" w:color="auto" w:fill="FBD4B4"/>
          </w:tcPr>
          <w:p w14:paraId="65F1EEBC" w14:textId="77777777" w:rsidR="00D6486B" w:rsidRPr="00257F44" w:rsidRDefault="00D6486B" w:rsidP="007A1164">
            <w:pPr>
              <w:rPr>
                <w:rFonts w:ascii="Gill Sans" w:hAnsi="Gill Sans" w:cs="Gill Sans"/>
                <w:sz w:val="22"/>
                <w:szCs w:val="22"/>
                <w:lang w:val="uk-UA"/>
              </w:rPr>
            </w:pPr>
          </w:p>
        </w:tc>
        <w:tc>
          <w:tcPr>
            <w:tcW w:w="374" w:type="dxa"/>
            <w:vMerge/>
            <w:tcBorders>
              <w:left w:val="single" w:sz="18" w:space="0" w:color="FFFFFF"/>
              <w:right w:val="single" w:sz="2" w:space="0" w:color="FFFFFF"/>
            </w:tcBorders>
            <w:shd w:val="clear" w:color="auto" w:fill="CCC0D9"/>
          </w:tcPr>
          <w:p w14:paraId="0D608A9A" w14:textId="77777777" w:rsidR="00D6486B" w:rsidRPr="00257F44" w:rsidRDefault="00D6486B" w:rsidP="007A1164">
            <w:pPr>
              <w:rPr>
                <w:rFonts w:ascii="Zapf Dingbats" w:eastAsia="MS Mincho" w:hAnsi="Zapf Dingbats" w:cs="MS Mincho"/>
                <w:noProof/>
                <w:sz w:val="22"/>
                <w:szCs w:val="22"/>
                <w:lang w:val="uk-UA"/>
              </w:rPr>
            </w:pPr>
          </w:p>
        </w:tc>
        <w:tc>
          <w:tcPr>
            <w:tcW w:w="420" w:type="dxa"/>
            <w:vMerge/>
            <w:tcBorders>
              <w:left w:val="single" w:sz="2" w:space="0" w:color="FFFFFF"/>
              <w:right w:val="single" w:sz="2" w:space="0" w:color="FFFFFF"/>
            </w:tcBorders>
            <w:shd w:val="clear" w:color="auto" w:fill="CCC0D9"/>
          </w:tcPr>
          <w:p w14:paraId="4BB1E36D" w14:textId="77777777" w:rsidR="00D6486B" w:rsidRPr="00257F44" w:rsidRDefault="00D6486B" w:rsidP="007A1164">
            <w:pPr>
              <w:rPr>
                <w:rFonts w:ascii="Zapf Dingbats" w:eastAsia="MS Mincho" w:hAnsi="Zapf Dingbats" w:cs="MS Mincho"/>
                <w:noProof/>
                <w:sz w:val="22"/>
                <w:szCs w:val="22"/>
                <w:lang w:val="uk-UA"/>
              </w:rPr>
            </w:pPr>
          </w:p>
        </w:tc>
        <w:tc>
          <w:tcPr>
            <w:tcW w:w="341" w:type="dxa"/>
            <w:vMerge/>
            <w:tcBorders>
              <w:left w:val="single" w:sz="2" w:space="0" w:color="FFFFFF"/>
              <w:right w:val="single" w:sz="2" w:space="0" w:color="FFFFFF"/>
            </w:tcBorders>
            <w:shd w:val="clear" w:color="auto" w:fill="CCC0D9"/>
          </w:tcPr>
          <w:p w14:paraId="026EB042" w14:textId="77777777" w:rsidR="00D6486B" w:rsidRPr="00257F44" w:rsidRDefault="00D6486B" w:rsidP="007A1164">
            <w:pPr>
              <w:rPr>
                <w:rFonts w:ascii="Zapf Dingbats" w:eastAsia="MS Mincho" w:hAnsi="Zapf Dingbats" w:cs="MS Mincho"/>
                <w:noProof/>
                <w:sz w:val="22"/>
                <w:szCs w:val="22"/>
                <w:lang w:val="uk-UA"/>
              </w:rPr>
            </w:pPr>
          </w:p>
        </w:tc>
        <w:tc>
          <w:tcPr>
            <w:tcW w:w="409" w:type="dxa"/>
            <w:vMerge/>
            <w:tcBorders>
              <w:left w:val="single" w:sz="2" w:space="0" w:color="FFFFFF"/>
              <w:right w:val="single" w:sz="18" w:space="0" w:color="FFFFFF"/>
            </w:tcBorders>
            <w:shd w:val="clear" w:color="auto" w:fill="CCC0D9"/>
          </w:tcPr>
          <w:p w14:paraId="6B6C776A" w14:textId="77777777" w:rsidR="00D6486B" w:rsidRPr="00257F44" w:rsidRDefault="00D6486B" w:rsidP="007A1164">
            <w:pPr>
              <w:rPr>
                <w:rFonts w:ascii="Zapf Dingbats" w:eastAsia="MS Mincho" w:hAnsi="Zapf Dingbats" w:cs="MS Mincho"/>
                <w:noProof/>
                <w:sz w:val="22"/>
                <w:szCs w:val="22"/>
                <w:lang w:val="uk-UA"/>
              </w:rPr>
            </w:pPr>
          </w:p>
        </w:tc>
        <w:tc>
          <w:tcPr>
            <w:tcW w:w="466"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3B2E1A7E" w14:textId="77777777" w:rsidR="00D6486B" w:rsidRPr="00257F44" w:rsidRDefault="00D6486B" w:rsidP="007A1164">
            <w:pPr>
              <w:rPr>
                <w:rFonts w:ascii="Zapf Dingbats" w:eastAsia="MS Mincho" w:hAnsi="Zapf Dingbats" w:cs="MS Mincho"/>
                <w:noProof/>
                <w:sz w:val="22"/>
                <w:szCs w:val="22"/>
                <w:lang w:val="uk-UA"/>
              </w:rPr>
            </w:pPr>
          </w:p>
        </w:tc>
        <w:tc>
          <w:tcPr>
            <w:tcW w:w="493"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72BB1D6D" w14:textId="77777777" w:rsidR="00D6486B" w:rsidRPr="00257F44" w:rsidRDefault="00D6486B" w:rsidP="007A1164">
            <w:pPr>
              <w:rPr>
                <w:rFonts w:ascii="Zapf Dingbats" w:eastAsia="MS Mincho" w:hAnsi="Zapf Dingbats" w:cs="MS Mincho"/>
                <w:noProof/>
                <w:sz w:val="22"/>
                <w:szCs w:val="22"/>
                <w:lang w:val="uk-UA"/>
              </w:rPr>
            </w:pPr>
          </w:p>
        </w:tc>
        <w:tc>
          <w:tcPr>
            <w:tcW w:w="493"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0F64CDA5" w14:textId="77777777" w:rsidR="00D6486B" w:rsidRPr="00257F44" w:rsidRDefault="00D6486B" w:rsidP="007A1164">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417"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2931EDE9" w14:textId="77777777" w:rsidR="00D6486B" w:rsidRPr="00257F44" w:rsidRDefault="00D6486B" w:rsidP="007A1164">
            <w:pPr>
              <w:jc w:val="center"/>
              <w:rPr>
                <w:rFonts w:ascii="Gill Sans" w:hAnsi="Gill Sans" w:cs="Gill Sans"/>
                <w:sz w:val="22"/>
                <w:szCs w:val="22"/>
                <w:lang w:val="uk-UA"/>
              </w:rPr>
            </w:pPr>
          </w:p>
        </w:tc>
        <w:tc>
          <w:tcPr>
            <w:tcW w:w="341" w:type="dxa"/>
            <w:vMerge/>
            <w:tcBorders>
              <w:left w:val="single" w:sz="18" w:space="0" w:color="FFFFFF"/>
              <w:right w:val="single" w:sz="2" w:space="0" w:color="FFFFFF"/>
            </w:tcBorders>
            <w:shd w:val="clear" w:color="auto" w:fill="D99594"/>
          </w:tcPr>
          <w:p w14:paraId="7B80DB9B" w14:textId="77777777" w:rsidR="00D6486B" w:rsidRPr="00257F44" w:rsidRDefault="00D6486B" w:rsidP="007A1164">
            <w:pPr>
              <w:rPr>
                <w:rFonts w:ascii="Gill Sans" w:hAnsi="Gill Sans" w:cs="Gill Sans"/>
                <w:sz w:val="22"/>
                <w:szCs w:val="22"/>
                <w:lang w:val="uk-UA"/>
              </w:rPr>
            </w:pPr>
          </w:p>
        </w:tc>
        <w:tc>
          <w:tcPr>
            <w:tcW w:w="387" w:type="dxa"/>
            <w:vMerge/>
            <w:tcBorders>
              <w:left w:val="single" w:sz="2" w:space="0" w:color="FFFFFF"/>
              <w:right w:val="single" w:sz="2" w:space="0" w:color="FFFFFF"/>
            </w:tcBorders>
            <w:shd w:val="clear" w:color="auto" w:fill="D99594"/>
          </w:tcPr>
          <w:p w14:paraId="1975D2F4" w14:textId="77777777" w:rsidR="00D6486B" w:rsidRPr="00257F44" w:rsidRDefault="00D6486B" w:rsidP="007A1164">
            <w:pPr>
              <w:rPr>
                <w:rFonts w:ascii="Gill Sans" w:hAnsi="Gill Sans" w:cs="Gill Sans"/>
                <w:sz w:val="22"/>
                <w:szCs w:val="22"/>
                <w:lang w:val="uk-UA"/>
              </w:rPr>
            </w:pPr>
          </w:p>
        </w:tc>
        <w:tc>
          <w:tcPr>
            <w:tcW w:w="370" w:type="dxa"/>
            <w:vMerge/>
            <w:tcBorders>
              <w:left w:val="single" w:sz="2" w:space="0" w:color="FFFFFF"/>
              <w:right w:val="single" w:sz="2" w:space="0" w:color="FFFFFF"/>
            </w:tcBorders>
            <w:shd w:val="clear" w:color="auto" w:fill="D99594"/>
          </w:tcPr>
          <w:p w14:paraId="582AA80A" w14:textId="77777777" w:rsidR="00D6486B" w:rsidRPr="00257F44" w:rsidRDefault="00D6486B" w:rsidP="007A1164">
            <w:pPr>
              <w:rPr>
                <w:rFonts w:ascii="Gill Sans" w:hAnsi="Gill Sans" w:cs="Gill Sans"/>
                <w:sz w:val="22"/>
                <w:szCs w:val="22"/>
                <w:lang w:val="uk-UA"/>
              </w:rPr>
            </w:pPr>
          </w:p>
        </w:tc>
        <w:tc>
          <w:tcPr>
            <w:tcW w:w="417" w:type="dxa"/>
            <w:vMerge/>
            <w:tcBorders>
              <w:left w:val="single" w:sz="2" w:space="0" w:color="FFFFFF"/>
              <w:right w:val="single" w:sz="2" w:space="0" w:color="FFFFFF"/>
            </w:tcBorders>
            <w:shd w:val="clear" w:color="auto" w:fill="D99594"/>
          </w:tcPr>
          <w:p w14:paraId="777D79D2" w14:textId="77777777" w:rsidR="00D6486B" w:rsidRPr="00257F44" w:rsidRDefault="00D6486B" w:rsidP="007A1164">
            <w:pPr>
              <w:rPr>
                <w:rFonts w:ascii="Gill Sans" w:hAnsi="Gill Sans" w:cs="Gill Sans"/>
                <w:noProof/>
                <w:sz w:val="22"/>
                <w:szCs w:val="22"/>
                <w:lang w:val="uk-UA"/>
              </w:rPr>
            </w:pPr>
          </w:p>
        </w:tc>
        <w:tc>
          <w:tcPr>
            <w:tcW w:w="562" w:type="dxa"/>
            <w:vMerge/>
            <w:tcBorders>
              <w:left w:val="single" w:sz="2" w:space="0" w:color="FFFFFF"/>
              <w:right w:val="single" w:sz="18" w:space="0" w:color="FFFFFF"/>
            </w:tcBorders>
            <w:shd w:val="clear" w:color="auto" w:fill="D99594"/>
          </w:tcPr>
          <w:p w14:paraId="23B7669A" w14:textId="77777777" w:rsidR="00D6486B" w:rsidRPr="00257F44" w:rsidRDefault="00D6486B" w:rsidP="007A1164">
            <w:pPr>
              <w:rPr>
                <w:rFonts w:ascii="Gill Sans" w:hAnsi="Gill Sans" w:cs="Gill Sans"/>
                <w:sz w:val="22"/>
                <w:szCs w:val="22"/>
                <w:lang w:val="uk-UA"/>
              </w:rPr>
            </w:pPr>
          </w:p>
        </w:tc>
      </w:tr>
    </w:tbl>
    <w:p w14:paraId="108F561A" w14:textId="77777777" w:rsidR="006558BF" w:rsidRPr="00257F44" w:rsidRDefault="006558BF" w:rsidP="00163080">
      <w:pPr>
        <w:rPr>
          <w:lang w:val="uk-UA"/>
        </w:rPr>
      </w:pPr>
    </w:p>
    <w:p w14:paraId="30021FF8" w14:textId="77777777" w:rsidR="0035365B" w:rsidRPr="00257F44" w:rsidRDefault="0035365B" w:rsidP="003F6B7B">
      <w:pPr>
        <w:pStyle w:val="Heading3"/>
        <w:spacing w:after="120"/>
        <w:rPr>
          <w:lang w:val="uk-UA"/>
        </w:rPr>
      </w:pPr>
      <w:r w:rsidRPr="00257F44">
        <w:rPr>
          <w:lang w:val="uk-UA"/>
        </w:rPr>
        <w:t>Мета зобов’язання</w:t>
      </w:r>
    </w:p>
    <w:p w14:paraId="105C248F" w14:textId="61F2F1F0" w:rsidR="002D191A" w:rsidRPr="00257F44" w:rsidRDefault="002D191A" w:rsidP="003F6B7B">
      <w:pPr>
        <w:spacing w:after="120"/>
        <w:rPr>
          <w:rFonts w:ascii="Gill Sans" w:hAnsi="Gill Sans" w:cs="Gill Sans"/>
          <w:sz w:val="22"/>
          <w:szCs w:val="22"/>
          <w:lang w:val="uk-UA"/>
        </w:rPr>
      </w:pPr>
      <w:r w:rsidRPr="00257F44">
        <w:rPr>
          <w:rFonts w:ascii="Gill Sans" w:hAnsi="Gill Sans" w:cs="Gill Sans"/>
          <w:sz w:val="22"/>
          <w:szCs w:val="22"/>
          <w:lang w:val="uk-UA"/>
        </w:rPr>
        <w:t>О</w:t>
      </w:r>
      <w:r w:rsidR="00797E90" w:rsidRPr="00257F44">
        <w:rPr>
          <w:rFonts w:ascii="Gill Sans" w:hAnsi="Gill Sans" w:cs="Gill Sans"/>
          <w:sz w:val="22"/>
          <w:szCs w:val="22"/>
          <w:lang w:val="uk-UA"/>
        </w:rPr>
        <w:t>цінка електронної готовності мала на меті визначити рівень</w:t>
      </w:r>
      <w:r w:rsidRPr="00257F44">
        <w:rPr>
          <w:rFonts w:ascii="Gill Sans" w:hAnsi="Gill Sans" w:cs="Gill Sans"/>
          <w:sz w:val="22"/>
          <w:szCs w:val="22"/>
          <w:lang w:val="uk-UA"/>
        </w:rPr>
        <w:t xml:space="preserve"> готовності органів влади до надання високоякісних електронних публічних послуг для розвитку політики електронного урядування та електронної демократії. Оцінка повинна відобразити стан електронного урядування на національному та місцевому рівнях і сприяти запровадженню ІКТ в пу</w:t>
      </w:r>
      <w:r w:rsidR="00655763" w:rsidRPr="00257F44">
        <w:rPr>
          <w:rFonts w:ascii="Gill Sans" w:hAnsi="Gill Sans" w:cs="Gill Sans"/>
          <w:sz w:val="22"/>
          <w:szCs w:val="22"/>
          <w:lang w:val="uk-UA"/>
        </w:rPr>
        <w:t>блічній адміністрації і у</w:t>
      </w:r>
      <w:r w:rsidRPr="00257F44">
        <w:rPr>
          <w:rFonts w:ascii="Gill Sans" w:hAnsi="Gill Sans" w:cs="Gill Sans"/>
          <w:sz w:val="22"/>
          <w:szCs w:val="22"/>
          <w:lang w:val="uk-UA"/>
        </w:rPr>
        <w:t>рядуванні.</w:t>
      </w:r>
      <w:r w:rsidR="00655763" w:rsidRPr="00257F44">
        <w:rPr>
          <w:rFonts w:ascii="Gill Sans" w:hAnsi="Gill Sans" w:cs="Gill Sans"/>
          <w:sz w:val="22"/>
          <w:szCs w:val="22"/>
          <w:lang w:val="uk-UA"/>
        </w:rPr>
        <w:t xml:space="preserve"> В Україні перша оцінка електронної готовності була проведена ще в 2002 роц</w:t>
      </w:r>
      <w:r w:rsidR="007D74CE" w:rsidRPr="00257F44">
        <w:rPr>
          <w:rFonts w:ascii="Gill Sans" w:hAnsi="Gill Sans" w:cs="Gill Sans"/>
          <w:sz w:val="22"/>
          <w:szCs w:val="22"/>
          <w:lang w:val="uk-UA"/>
        </w:rPr>
        <w:t>і</w:t>
      </w:r>
      <w:r w:rsidR="007D74CE" w:rsidRPr="00257F44">
        <w:rPr>
          <w:rStyle w:val="EndnoteReference"/>
          <w:rFonts w:ascii="Gill Sans" w:hAnsi="Gill Sans" w:cs="Gill Sans"/>
          <w:noProof/>
          <w:sz w:val="22"/>
          <w:szCs w:val="22"/>
          <w:lang w:val="uk-UA"/>
        </w:rPr>
        <w:endnoteReference w:id="87"/>
      </w:r>
      <w:r w:rsidR="00655763" w:rsidRPr="00257F44">
        <w:rPr>
          <w:rFonts w:ascii="Gill Sans" w:hAnsi="Gill Sans" w:cs="Gill Sans"/>
          <w:sz w:val="22"/>
          <w:szCs w:val="22"/>
          <w:lang w:val="uk-UA"/>
        </w:rPr>
        <w:t>. Національний центр електронного урядування провів нову оцінку в 2013 році</w:t>
      </w:r>
      <w:r w:rsidR="00C23E3C" w:rsidRPr="00257F44">
        <w:rPr>
          <w:rStyle w:val="EndnoteReference"/>
          <w:rFonts w:ascii="Gill Sans" w:hAnsi="Gill Sans" w:cs="Gill Sans"/>
          <w:noProof/>
          <w:sz w:val="22"/>
          <w:szCs w:val="22"/>
          <w:lang w:val="uk-UA"/>
        </w:rPr>
        <w:endnoteReference w:id="88"/>
      </w:r>
      <w:r w:rsidR="00655763" w:rsidRPr="00257F44">
        <w:rPr>
          <w:rFonts w:ascii="Gill Sans" w:hAnsi="Gill Sans" w:cs="Gill Sans"/>
          <w:sz w:val="22"/>
          <w:szCs w:val="22"/>
          <w:lang w:val="uk-UA"/>
        </w:rPr>
        <w:t>. Зобов’язання в рамках плану дій ПВУ ґрунту</w:t>
      </w:r>
      <w:r w:rsidR="00C23E3C" w:rsidRPr="00257F44">
        <w:rPr>
          <w:rFonts w:ascii="Gill Sans" w:hAnsi="Gill Sans" w:cs="Gill Sans"/>
          <w:sz w:val="22"/>
          <w:szCs w:val="22"/>
          <w:lang w:val="uk-UA"/>
        </w:rPr>
        <w:t xml:space="preserve">валося </w:t>
      </w:r>
      <w:r w:rsidR="00655763" w:rsidRPr="00257F44">
        <w:rPr>
          <w:rFonts w:ascii="Gill Sans" w:hAnsi="Gill Sans" w:cs="Gill Sans"/>
          <w:sz w:val="22"/>
          <w:szCs w:val="22"/>
          <w:lang w:val="uk-UA"/>
        </w:rPr>
        <w:t xml:space="preserve">на </w:t>
      </w:r>
      <w:r w:rsidR="00C23E3C" w:rsidRPr="00257F44">
        <w:rPr>
          <w:rFonts w:ascii="Gill Sans" w:hAnsi="Gill Sans" w:cs="Gill Sans"/>
          <w:sz w:val="22"/>
          <w:szCs w:val="22"/>
          <w:lang w:val="uk-UA"/>
        </w:rPr>
        <w:t xml:space="preserve">цій </w:t>
      </w:r>
      <w:r w:rsidR="00655763" w:rsidRPr="00257F44">
        <w:rPr>
          <w:rFonts w:ascii="Gill Sans" w:hAnsi="Gill Sans" w:cs="Gill Sans"/>
          <w:sz w:val="22"/>
          <w:szCs w:val="22"/>
          <w:lang w:val="uk-UA"/>
        </w:rPr>
        <w:t xml:space="preserve">попередній роботі та </w:t>
      </w:r>
      <w:r w:rsidR="00C23E3C" w:rsidRPr="00257F44">
        <w:rPr>
          <w:rFonts w:ascii="Gill Sans" w:hAnsi="Gill Sans" w:cs="Gill Sans"/>
          <w:sz w:val="22"/>
          <w:szCs w:val="22"/>
          <w:lang w:val="uk-UA"/>
        </w:rPr>
        <w:t xml:space="preserve">було </w:t>
      </w:r>
      <w:r w:rsidR="00655763" w:rsidRPr="00257F44">
        <w:rPr>
          <w:rFonts w:ascii="Gill Sans" w:hAnsi="Gill Sans" w:cs="Gill Sans"/>
          <w:sz w:val="22"/>
          <w:szCs w:val="22"/>
          <w:lang w:val="uk-UA"/>
        </w:rPr>
        <w:t>спрямовано на створення інтерактивного інструменту для проведення і оновлення оцінки.</w:t>
      </w:r>
    </w:p>
    <w:p w14:paraId="687A7E56" w14:textId="77777777" w:rsidR="0035365B" w:rsidRPr="00257F44" w:rsidRDefault="0035365B" w:rsidP="003F6B7B">
      <w:pPr>
        <w:pStyle w:val="Heading3"/>
        <w:spacing w:after="120"/>
        <w:rPr>
          <w:lang w:val="uk-UA"/>
        </w:rPr>
      </w:pPr>
      <w:r w:rsidRPr="00257F44">
        <w:rPr>
          <w:lang w:val="uk-UA"/>
        </w:rPr>
        <w:t>Статус виконання</w:t>
      </w:r>
    </w:p>
    <w:p w14:paraId="3E4D8D59" w14:textId="77777777" w:rsidR="0035365B" w:rsidRPr="00257F44" w:rsidRDefault="0035365B" w:rsidP="003F6B7B">
      <w:pPr>
        <w:pStyle w:val="Normalrglronly"/>
        <w:rPr>
          <w:b/>
          <w:lang w:val="uk-UA"/>
        </w:rPr>
      </w:pPr>
      <w:r w:rsidRPr="00257F44">
        <w:rPr>
          <w:b/>
          <w:lang w:val="uk-UA"/>
        </w:rPr>
        <w:t>Проміжний звіт: Значне виконання</w:t>
      </w:r>
    </w:p>
    <w:p w14:paraId="7CB63908" w14:textId="0797F85F" w:rsidR="00D70986" w:rsidRPr="00257F44" w:rsidRDefault="00D70986" w:rsidP="003F6B7B">
      <w:pPr>
        <w:spacing w:after="120"/>
        <w:rPr>
          <w:rFonts w:ascii="Gill Sans" w:hAnsi="Gill Sans" w:cs="Gill Sans"/>
          <w:sz w:val="22"/>
          <w:szCs w:val="22"/>
          <w:lang w:val="uk-UA"/>
        </w:rPr>
      </w:pPr>
      <w:r w:rsidRPr="00257F44">
        <w:rPr>
          <w:rFonts w:ascii="Gill Sans" w:hAnsi="Gill Sans" w:cs="Gill Sans"/>
          <w:sz w:val="22"/>
          <w:szCs w:val="22"/>
          <w:lang w:val="uk-UA"/>
        </w:rPr>
        <w:t xml:space="preserve">Відповідно до урядового звіту самооцінки, Державне агентство з питань електронного урядування, за підтримки Координатора проектів ОБСЄ в Україні, створило інтерактивну систему “Оцінка електронної готовності України”. Система дозволяє накопичувати, структурувати, зберігати та обробляти дані, забезпечує отримання аналітичної інформації </w:t>
      </w:r>
      <w:r w:rsidRPr="00257F44">
        <w:rPr>
          <w:rFonts w:ascii="Gill Sans" w:hAnsi="Gill Sans" w:cs="Gill Sans"/>
          <w:sz w:val="22"/>
          <w:szCs w:val="22"/>
          <w:lang w:val="uk-UA"/>
        </w:rPr>
        <w:lastRenderedPageBreak/>
        <w:t>для проведення оцінки електронної готовності України. Агентство розпочало підготовку до проведення оцінки</w:t>
      </w:r>
      <w:r w:rsidR="007B7E4D" w:rsidRPr="00257F44">
        <w:rPr>
          <w:rStyle w:val="EndnoteReference"/>
          <w:rFonts w:ascii="Gill Sans" w:hAnsi="Gill Sans" w:cs="Gill Sans"/>
          <w:noProof/>
          <w:sz w:val="22"/>
          <w:szCs w:val="22"/>
          <w:lang w:val="uk-UA"/>
        </w:rPr>
        <w:endnoteReference w:id="89"/>
      </w:r>
      <w:r w:rsidRPr="00257F44">
        <w:rPr>
          <w:rFonts w:ascii="Gill Sans" w:hAnsi="Gill Sans" w:cs="Gill Sans"/>
          <w:sz w:val="22"/>
          <w:szCs w:val="22"/>
          <w:lang w:val="uk-UA"/>
        </w:rPr>
        <w:t>.</w:t>
      </w:r>
    </w:p>
    <w:p w14:paraId="34DB8349" w14:textId="6FE9BA74" w:rsidR="0033158A" w:rsidRPr="00257F44" w:rsidRDefault="0035365B" w:rsidP="003F6B7B">
      <w:pPr>
        <w:pStyle w:val="Normalrglronly"/>
        <w:rPr>
          <w:b/>
          <w:lang w:val="uk-UA"/>
        </w:rPr>
      </w:pPr>
      <w:r w:rsidRPr="00257F44">
        <w:rPr>
          <w:b/>
          <w:lang w:val="uk-UA"/>
        </w:rPr>
        <w:t>Підсумковий звіт: Значне виконання</w:t>
      </w:r>
    </w:p>
    <w:p w14:paraId="0C86752D" w14:textId="7A70C32E" w:rsidR="00B8384C" w:rsidRPr="00257F44" w:rsidRDefault="00BF588F" w:rsidP="003F6B7B">
      <w:pPr>
        <w:spacing w:after="120"/>
        <w:rPr>
          <w:rFonts w:ascii="Gill Sans" w:hAnsi="Gill Sans" w:cs="Gill Sans"/>
          <w:sz w:val="22"/>
          <w:szCs w:val="22"/>
          <w:lang w:val="uk-UA"/>
        </w:rPr>
      </w:pPr>
      <w:r w:rsidRPr="00257F44">
        <w:rPr>
          <w:rFonts w:ascii="Gill Sans" w:hAnsi="Gill Sans" w:cs="Gill Sans"/>
          <w:sz w:val="22"/>
          <w:szCs w:val="22"/>
          <w:lang w:val="uk-UA"/>
        </w:rPr>
        <w:t xml:space="preserve">З часу попереднього звіту не було </w:t>
      </w:r>
      <w:r w:rsidR="00FD4E6C">
        <w:rPr>
          <w:rFonts w:ascii="Gill Sans" w:hAnsi="Gill Sans" w:cs="Gill Sans"/>
          <w:sz w:val="22"/>
          <w:szCs w:val="22"/>
          <w:lang w:val="uk-UA"/>
        </w:rPr>
        <w:t>досягнуто</w:t>
      </w:r>
      <w:r w:rsidR="00C95E22" w:rsidRPr="00257F44">
        <w:rPr>
          <w:rFonts w:ascii="Gill Sans" w:hAnsi="Gill Sans" w:cs="Gill Sans"/>
          <w:sz w:val="22"/>
          <w:szCs w:val="22"/>
          <w:lang w:val="uk-UA"/>
        </w:rPr>
        <w:t xml:space="preserve"> жодного прогресу, і оцінку не було проведено.</w:t>
      </w:r>
    </w:p>
    <w:p w14:paraId="54A14AE2" w14:textId="77777777" w:rsidR="00693346" w:rsidRPr="00257F44" w:rsidRDefault="00693346" w:rsidP="003F6B7B">
      <w:pPr>
        <w:pStyle w:val="Heading3"/>
        <w:spacing w:after="120"/>
        <w:rPr>
          <w:lang w:val="uk-UA"/>
        </w:rPr>
      </w:pPr>
      <w:r w:rsidRPr="00257F44">
        <w:rPr>
          <w:lang w:val="uk-UA"/>
        </w:rPr>
        <w:t>Чи відкрило це уряд?</w:t>
      </w:r>
    </w:p>
    <w:p w14:paraId="4AC2973E" w14:textId="77777777" w:rsidR="00693346" w:rsidRPr="00257F44" w:rsidRDefault="00693346" w:rsidP="003F6B7B">
      <w:pPr>
        <w:pStyle w:val="Normalrglronly"/>
        <w:rPr>
          <w:b/>
          <w:lang w:val="uk-UA"/>
        </w:rPr>
      </w:pPr>
      <w:r w:rsidRPr="00257F44">
        <w:rPr>
          <w:b/>
          <w:lang w:val="uk-UA"/>
        </w:rPr>
        <w:t>Доступ до інформації: Не змінило</w:t>
      </w:r>
    </w:p>
    <w:p w14:paraId="263108E1" w14:textId="77777777" w:rsidR="00693346" w:rsidRPr="00257F44" w:rsidRDefault="00693346" w:rsidP="003F6B7B">
      <w:pPr>
        <w:pStyle w:val="Normalrglronly"/>
        <w:rPr>
          <w:b/>
          <w:lang w:val="uk-UA"/>
        </w:rPr>
      </w:pPr>
      <w:r w:rsidRPr="00257F44">
        <w:rPr>
          <w:b/>
          <w:lang w:val="uk-UA"/>
        </w:rPr>
        <w:t>Громадська участь: Не змінило</w:t>
      </w:r>
    </w:p>
    <w:p w14:paraId="422E7408" w14:textId="77777777" w:rsidR="00693346" w:rsidRPr="00257F44" w:rsidRDefault="00693346" w:rsidP="003F6B7B">
      <w:pPr>
        <w:pStyle w:val="Normalrglronly"/>
        <w:rPr>
          <w:b/>
          <w:lang w:val="uk-UA"/>
        </w:rPr>
      </w:pPr>
      <w:r w:rsidRPr="00257F44">
        <w:rPr>
          <w:b/>
          <w:lang w:val="uk-UA"/>
        </w:rPr>
        <w:t>Підзвітність влади: Не змінило</w:t>
      </w:r>
    </w:p>
    <w:p w14:paraId="16C831E5" w14:textId="1CDCCB1E" w:rsidR="00C95E22" w:rsidRPr="00257F44" w:rsidRDefault="00C95E22" w:rsidP="003F6B7B">
      <w:pPr>
        <w:spacing w:after="120"/>
        <w:rPr>
          <w:rFonts w:ascii="Gill Sans" w:hAnsi="Gill Sans" w:cs="Gill Sans"/>
          <w:sz w:val="22"/>
          <w:szCs w:val="22"/>
          <w:lang w:val="uk-UA"/>
        </w:rPr>
      </w:pPr>
      <w:r w:rsidRPr="00257F44">
        <w:rPr>
          <w:rFonts w:ascii="Gill Sans" w:hAnsi="Gill Sans" w:cs="Gill Sans"/>
          <w:sz w:val="22"/>
          <w:szCs w:val="22"/>
          <w:lang w:val="uk-UA"/>
        </w:rPr>
        <w:t>Електронна готовність – це важливий інструмент політики, що заохочує належне урядування і економічні-соціальні перетворення. Це постійна робота, яку уряди повинні здійснювати. Проте відповідність цього зобов’язання цінностям ПВУ незрозуміла. Воно може втілитися у заходи, що сприяють доступу до інформації, громадській участі чи підзвітності влади, але з технічної точки зору ці питання не охоплені зобов’язанням, яке обмежується оцінкою статус-кво.</w:t>
      </w:r>
      <w:r w:rsidR="009954D6" w:rsidRPr="00257F44">
        <w:rPr>
          <w:rFonts w:ascii="Gill Sans" w:hAnsi="Gill Sans" w:cs="Gill Sans"/>
          <w:sz w:val="22"/>
          <w:szCs w:val="22"/>
          <w:lang w:val="uk-UA"/>
        </w:rPr>
        <w:t xml:space="preserve"> Не очікувалося, що воно матиме який-небудь вплив, оскільки воно переважно зберігало існуючу ситуацію. </w:t>
      </w:r>
      <w:r w:rsidR="00F31292" w:rsidRPr="00257F44">
        <w:rPr>
          <w:rFonts w:ascii="Gill Sans" w:hAnsi="Gill Sans" w:cs="Gill Sans"/>
          <w:sz w:val="22"/>
          <w:szCs w:val="22"/>
          <w:lang w:val="uk-UA"/>
        </w:rPr>
        <w:t>Уряд підготував інтерактивний інструмент для використання під час оцінки, але саму оцінку не провів.</w:t>
      </w:r>
    </w:p>
    <w:p w14:paraId="5525AA2B" w14:textId="77777777" w:rsidR="00693346" w:rsidRPr="00257F44" w:rsidRDefault="00693346" w:rsidP="003F6B7B">
      <w:pPr>
        <w:pStyle w:val="Heading3"/>
        <w:spacing w:after="120"/>
        <w:rPr>
          <w:lang w:val="uk-UA"/>
        </w:rPr>
      </w:pPr>
      <w:r w:rsidRPr="00257F44">
        <w:rPr>
          <w:lang w:val="uk-UA"/>
        </w:rPr>
        <w:t>Чи перенесено до наступного плану дій?</w:t>
      </w:r>
    </w:p>
    <w:p w14:paraId="4888B135" w14:textId="4C7D123A" w:rsidR="0033158A" w:rsidRPr="00257F44" w:rsidRDefault="00A86208" w:rsidP="003F6B7B">
      <w:pPr>
        <w:spacing w:after="120"/>
        <w:rPr>
          <w:rFonts w:ascii="Gill Sans" w:hAnsi="Gill Sans" w:cs="Gill Sans"/>
          <w:noProof/>
          <w:sz w:val="22"/>
          <w:szCs w:val="22"/>
          <w:lang w:val="uk-UA"/>
        </w:rPr>
      </w:pPr>
      <w:r w:rsidRPr="00257F44">
        <w:rPr>
          <w:rFonts w:ascii="Gill Sans" w:hAnsi="Gill Sans" w:cs="Gill Sans"/>
          <w:noProof/>
          <w:sz w:val="22"/>
          <w:szCs w:val="22"/>
          <w:lang w:val="uk-UA"/>
        </w:rPr>
        <w:t>Зобов’язання не було перенесено до нового плану дій.</w:t>
      </w:r>
    </w:p>
    <w:p w14:paraId="75D63D12" w14:textId="77777777" w:rsidR="00C75B2B" w:rsidRPr="00257F44" w:rsidRDefault="00C75B2B" w:rsidP="00EB22DF">
      <w:pPr>
        <w:tabs>
          <w:tab w:val="left" w:pos="3037"/>
        </w:tabs>
        <w:rPr>
          <w:lang w:val="uk-UA"/>
        </w:rPr>
        <w:sectPr w:rsidR="00C75B2B" w:rsidRPr="00257F44" w:rsidSect="00F561B7">
          <w:endnotePr>
            <w:numFmt w:val="decimal"/>
            <w:numRestart w:val="eachSect"/>
          </w:endnotePr>
          <w:pgSz w:w="12240" w:h="15840"/>
          <w:pgMar w:top="1440" w:right="1800" w:bottom="1440" w:left="1800" w:header="720" w:footer="720" w:gutter="0"/>
          <w:cols w:space="720"/>
          <w:docGrid w:linePitch="360"/>
        </w:sectPr>
      </w:pPr>
    </w:p>
    <w:p w14:paraId="12733657" w14:textId="66DE9366" w:rsidR="0007173A" w:rsidRPr="00257F44" w:rsidRDefault="006E6C92" w:rsidP="0007173A">
      <w:pPr>
        <w:pStyle w:val="Heading2"/>
        <w:spacing w:before="0" w:after="120"/>
        <w:rPr>
          <w:rFonts w:eastAsiaTheme="minorEastAsia"/>
          <w:bCs w:val="0"/>
          <w:color w:val="222222"/>
          <w:sz w:val="22"/>
          <w:szCs w:val="22"/>
          <w:lang w:val="uk-UA"/>
        </w:rPr>
      </w:pPr>
      <w:bookmarkStart w:id="13" w:name="_Toc437543880"/>
      <w:r w:rsidRPr="00257F44">
        <w:rPr>
          <w:rFonts w:ascii="MS Mincho" w:eastAsia="MS Mincho" w:hAnsi="MS Mincho" w:cs="MS Mincho"/>
          <w:bCs w:val="0"/>
          <w:color w:val="222222"/>
          <w:sz w:val="22"/>
          <w:szCs w:val="22"/>
          <w:lang w:val="uk-UA"/>
        </w:rPr>
        <w:lastRenderedPageBreak/>
        <w:t>✪</w:t>
      </w:r>
      <w:bookmarkEnd w:id="13"/>
      <w:r w:rsidR="0007173A" w:rsidRPr="00257F44">
        <w:rPr>
          <w:rFonts w:eastAsiaTheme="minorEastAsia"/>
          <w:bCs w:val="0"/>
          <w:color w:val="222222"/>
          <w:sz w:val="22"/>
          <w:szCs w:val="22"/>
          <w:lang w:val="uk-UA"/>
        </w:rPr>
        <w:t>6. Проект закону про відкриті дані</w:t>
      </w:r>
    </w:p>
    <w:p w14:paraId="68F87138" w14:textId="77777777" w:rsidR="0007173A" w:rsidRPr="00257F44" w:rsidRDefault="0007173A" w:rsidP="0007173A">
      <w:pPr>
        <w:spacing w:after="120"/>
        <w:rPr>
          <w:rFonts w:ascii="Gill Sans" w:hAnsi="Gill Sans" w:cs="Gill Sans"/>
          <w:i/>
          <w:noProof/>
          <w:sz w:val="22"/>
          <w:szCs w:val="22"/>
          <w:lang w:val="uk-UA"/>
        </w:rPr>
      </w:pPr>
      <w:r w:rsidRPr="00257F44">
        <w:rPr>
          <w:rFonts w:ascii="Gill Sans" w:hAnsi="Gill Sans" w:cs="Gill Sans"/>
          <w:b/>
          <w:bCs/>
          <w:iCs/>
          <w:noProof/>
          <w:sz w:val="22"/>
          <w:szCs w:val="22"/>
          <w:lang w:val="uk-UA"/>
        </w:rPr>
        <w:t>Текст зобов’язання:</w:t>
      </w:r>
      <w:r w:rsidRPr="00257F44">
        <w:rPr>
          <w:rFonts w:ascii="Gill Sans" w:hAnsi="Gill Sans" w:cs="Gill Sans"/>
          <w:i/>
          <w:noProof/>
          <w:sz w:val="22"/>
          <w:szCs w:val="22"/>
          <w:lang w:val="uk-UA"/>
        </w:rPr>
        <w:t xml:space="preserve"> 6. Підготовка та подання в установленому порядку Кабінетові Міністрів України законопроекту про внесення змін до деяких законодавчих актів України щодо доступу до інформації у вигляді відкритих даних та повторного використання інформації.</w:t>
      </w:r>
    </w:p>
    <w:p w14:paraId="1E1C7016" w14:textId="77777777" w:rsidR="0007173A" w:rsidRPr="00257F44" w:rsidRDefault="0007173A" w:rsidP="0007173A">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схвалення Кабінетом Міністрів України відповідного законопроекту, подання його Верховній Раді України та супроводження до прийняття.</w:t>
      </w:r>
    </w:p>
    <w:p w14:paraId="4404CC04" w14:textId="77777777" w:rsidR="0007173A" w:rsidRPr="00257F44" w:rsidRDefault="0007173A" w:rsidP="0007173A">
      <w:pPr>
        <w:pStyle w:val="Heading2"/>
        <w:spacing w:before="0" w:after="120"/>
        <w:rPr>
          <w:rFonts w:eastAsiaTheme="minorEastAsia"/>
          <w:bCs w:val="0"/>
          <w:color w:val="222222"/>
          <w:sz w:val="22"/>
          <w:szCs w:val="22"/>
          <w:lang w:val="uk-UA"/>
        </w:rPr>
      </w:pPr>
      <w:bookmarkStart w:id="14" w:name="_Toc437543881"/>
      <w:r w:rsidRPr="00257F44">
        <w:rPr>
          <w:rFonts w:eastAsiaTheme="minorEastAsia"/>
          <w:bCs w:val="0"/>
          <w:color w:val="222222"/>
          <w:sz w:val="22"/>
          <w:szCs w:val="22"/>
          <w:lang w:val="uk-UA"/>
        </w:rPr>
        <w:t>Зобов’язання 20. Постанова Уряду про відкриті дані</w:t>
      </w:r>
      <w:bookmarkEnd w:id="14"/>
    </w:p>
    <w:p w14:paraId="07138EFF" w14:textId="77777777" w:rsidR="0007173A" w:rsidRPr="00257F44" w:rsidRDefault="0007173A" w:rsidP="0007173A">
      <w:pPr>
        <w:spacing w:after="120"/>
        <w:rPr>
          <w:rFonts w:ascii="Gill Sans" w:hAnsi="Gill Sans" w:cs="Gill Sans"/>
          <w:i/>
          <w:noProof/>
          <w:sz w:val="22"/>
          <w:szCs w:val="22"/>
          <w:lang w:val="uk-UA"/>
        </w:rPr>
      </w:pPr>
      <w:r w:rsidRPr="00257F44">
        <w:rPr>
          <w:rFonts w:ascii="Gill Sans" w:hAnsi="Gill Sans" w:cs="Gill Sans"/>
          <w:b/>
          <w:bCs/>
          <w:iCs/>
          <w:noProof/>
          <w:sz w:val="22"/>
          <w:szCs w:val="22"/>
          <w:lang w:val="uk-UA"/>
        </w:rPr>
        <w:t>Текст зобов’язання:</w:t>
      </w:r>
      <w:r w:rsidRPr="00257F44">
        <w:rPr>
          <w:rFonts w:ascii="Gill Sans" w:hAnsi="Gill Sans" w:cs="Gill Sans"/>
          <w:i/>
          <w:noProof/>
          <w:sz w:val="22"/>
          <w:szCs w:val="22"/>
          <w:lang w:val="uk-UA"/>
        </w:rPr>
        <w:t xml:space="preserve"> 20. Підготовка та подання в установленому порядку Кабінетові Міністрів України пропозицій щодо визначення порядку оприлюднення в Інтернеті відкритих урядових даних.</w:t>
      </w:r>
    </w:p>
    <w:p w14:paraId="14618270" w14:textId="77777777" w:rsidR="0007173A" w:rsidRPr="00257F44" w:rsidRDefault="0007173A" w:rsidP="0007173A">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врегулювання питання щодо оприлюднення в Інтернеті відкритих урядових даних.</w:t>
      </w:r>
    </w:p>
    <w:p w14:paraId="7BD5C632" w14:textId="77777777" w:rsidR="0007173A" w:rsidRPr="00257F44" w:rsidRDefault="0007173A" w:rsidP="0007173A">
      <w:pPr>
        <w:spacing w:after="120"/>
        <w:rPr>
          <w:noProof/>
          <w:lang w:val="uk-UA"/>
        </w:rPr>
      </w:pPr>
      <w:r w:rsidRPr="00257F44">
        <w:rPr>
          <w:rFonts w:ascii="Gill Sans" w:hAnsi="Gill Sans" w:cs="Gill Sans"/>
          <w:b/>
          <w:noProof/>
          <w:sz w:val="22"/>
          <w:szCs w:val="22"/>
          <w:lang w:val="uk-UA"/>
        </w:rPr>
        <w:t>Редакційна примітка:</w:t>
      </w:r>
      <w:r w:rsidRPr="00257F44">
        <w:rPr>
          <w:noProof/>
          <w:lang w:val="uk-UA"/>
        </w:rPr>
        <w:t xml:space="preserve"> </w:t>
      </w:r>
      <w:r w:rsidRPr="00257F44">
        <w:rPr>
          <w:rFonts w:ascii="Gill Sans" w:hAnsi="Gill Sans" w:cs="Gill Sans"/>
          <w:sz w:val="22"/>
          <w:szCs w:val="22"/>
          <w:lang w:val="uk-UA"/>
        </w:rPr>
        <w:t>Ці два зобов’язання оцінюються разом, оскільки вони стосуються одного питання.</w:t>
      </w:r>
    </w:p>
    <w:p w14:paraId="53215F41" w14:textId="77777777" w:rsidR="0007173A" w:rsidRPr="00257F44" w:rsidRDefault="0007173A" w:rsidP="0007173A">
      <w:pPr>
        <w:spacing w:after="120"/>
        <w:rPr>
          <w:rFonts w:ascii="Gill Sans" w:hAnsi="Gill Sans" w:cs="Gill Sans"/>
          <w:sz w:val="22"/>
          <w:szCs w:val="22"/>
          <w:lang w:val="uk-UA"/>
        </w:rPr>
      </w:pPr>
      <w:r w:rsidRPr="00257F44">
        <w:rPr>
          <w:rFonts w:ascii="Gill Sans" w:hAnsi="Gill Sans" w:cs="Gill Sans"/>
          <w:sz w:val="22"/>
          <w:szCs w:val="22"/>
          <w:lang w:val="uk-UA"/>
        </w:rPr>
        <w:t>Головна інституція, відповідальна за виконання: Державний комітет з питань телебачення і радіомовлення (зобов’язання № 6); Державне агентство з питань електронного урядування (зобов’язання № 20).</w:t>
      </w:r>
    </w:p>
    <w:p w14:paraId="42501A74" w14:textId="77777777" w:rsidR="0007173A" w:rsidRPr="00257F44" w:rsidRDefault="0007173A" w:rsidP="0007173A">
      <w:pPr>
        <w:spacing w:after="120"/>
        <w:rPr>
          <w:rFonts w:ascii="Gill Sans" w:hAnsi="Gill Sans" w:cs="Gill Sans"/>
          <w:sz w:val="22"/>
          <w:szCs w:val="22"/>
          <w:lang w:val="uk-UA"/>
        </w:rPr>
      </w:pPr>
      <w:r w:rsidRPr="00257F44">
        <w:rPr>
          <w:rFonts w:ascii="Gill Sans" w:hAnsi="Gill Sans" w:cs="Gill Sans"/>
          <w:sz w:val="22"/>
          <w:szCs w:val="22"/>
          <w:lang w:val="uk-UA"/>
        </w:rPr>
        <w:t>Інші виконавці: Міністерство юстиції, Міністерство регіонального розвитку, Державний комітет статистики, Адміністрація Державної служби спеціального зв’язку та захисту інформації, Державне агентство з питань електронного урядування, Програма розвитку ООН, Міжнародний фонд “Відродження”, інші невизначені організації громадянського суспільства та міжнародні організації (зобов’язання № 6); Міністерство регіонального розвитку, Державний комітет телебачення і радіомовлення, Державна архівна служба, Національний центр електронного урядування державного підприємства “Держінформресурс”, Програма розвитку ООН в Україні, Міжнародний фонд “Відродження”, інші невизначені організації громадянського суспільства та міжнародні організації (зобов’язання № 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5714"/>
      </w:tblGrid>
      <w:tr w:rsidR="0007173A" w:rsidRPr="00257F44" w14:paraId="74045FDD" w14:textId="77777777" w:rsidTr="00822E87">
        <w:tc>
          <w:tcPr>
            <w:tcW w:w="2916" w:type="dxa"/>
          </w:tcPr>
          <w:p w14:paraId="1613A5D1" w14:textId="77777777" w:rsidR="0007173A" w:rsidRPr="00257F44" w:rsidRDefault="0007173A" w:rsidP="00822E87">
            <w:pPr>
              <w:spacing w:after="120"/>
              <w:rPr>
                <w:rFonts w:ascii="Gill Sans" w:hAnsi="Gill Sans" w:cs="Gill Sans"/>
                <w:sz w:val="22"/>
                <w:szCs w:val="22"/>
                <w:lang w:val="uk-UA"/>
              </w:rPr>
            </w:pPr>
            <w:r w:rsidRPr="00257F44">
              <w:rPr>
                <w:rFonts w:ascii="Gill Sans" w:hAnsi="Gill Sans" w:cs="Gill Sans"/>
                <w:sz w:val="22"/>
                <w:szCs w:val="22"/>
                <w:lang w:val="uk-UA"/>
              </w:rPr>
              <w:t>Дата початку: Не визначено</w:t>
            </w:r>
          </w:p>
        </w:tc>
        <w:tc>
          <w:tcPr>
            <w:tcW w:w="5714" w:type="dxa"/>
          </w:tcPr>
          <w:p w14:paraId="0ACCF5F5" w14:textId="77777777" w:rsidR="0007173A" w:rsidRPr="00257F44" w:rsidRDefault="0007173A" w:rsidP="00822E87">
            <w:pPr>
              <w:spacing w:after="120"/>
              <w:rPr>
                <w:rFonts w:ascii="Gill Sans" w:hAnsi="Gill Sans" w:cs="Gill Sans"/>
                <w:sz w:val="22"/>
                <w:szCs w:val="22"/>
                <w:lang w:val="uk-UA"/>
              </w:rPr>
            </w:pPr>
            <w:r w:rsidRPr="00257F44">
              <w:rPr>
                <w:rFonts w:ascii="Gill Sans" w:hAnsi="Gill Sans" w:cs="Gill Sans"/>
                <w:sz w:val="22"/>
                <w:szCs w:val="22"/>
                <w:lang w:val="uk-UA"/>
              </w:rPr>
              <w:t>Термін виконання: 31 грудня 2015 р. (зобов’язання № 6); 31 травня 2015 р. (зобов’язання № 20).</w:t>
            </w:r>
          </w:p>
        </w:tc>
      </w:tr>
    </w:tbl>
    <w:tbl>
      <w:tblPr>
        <w:tblW w:w="1020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472"/>
        <w:gridCol w:w="408"/>
        <w:gridCol w:w="350"/>
        <w:gridCol w:w="343"/>
        <w:gridCol w:w="364"/>
        <w:gridCol w:w="8"/>
        <w:gridCol w:w="336"/>
        <w:gridCol w:w="384"/>
        <w:gridCol w:w="11"/>
        <w:gridCol w:w="15"/>
        <w:gridCol w:w="372"/>
        <w:gridCol w:w="373"/>
        <w:gridCol w:w="416"/>
        <w:gridCol w:w="340"/>
        <w:gridCol w:w="416"/>
        <w:gridCol w:w="340"/>
        <w:gridCol w:w="467"/>
        <w:gridCol w:w="514"/>
        <w:gridCol w:w="514"/>
        <w:gridCol w:w="404"/>
        <w:gridCol w:w="340"/>
        <w:gridCol w:w="384"/>
        <w:gridCol w:w="340"/>
        <w:gridCol w:w="340"/>
        <w:gridCol w:w="515"/>
      </w:tblGrid>
      <w:tr w:rsidR="000E56CC" w:rsidRPr="00257F44" w14:paraId="001A7355" w14:textId="77777777" w:rsidTr="00B223BA">
        <w:trPr>
          <w:trHeight w:val="405"/>
        </w:trPr>
        <w:tc>
          <w:tcPr>
            <w:tcW w:w="1442" w:type="dxa"/>
            <w:vMerge w:val="restart"/>
            <w:tcBorders>
              <w:top w:val="single" w:sz="18" w:space="0" w:color="FFFFFF"/>
              <w:left w:val="single" w:sz="4" w:space="0" w:color="FFFFFF"/>
              <w:right w:val="single" w:sz="18" w:space="0" w:color="FFFFFF"/>
            </w:tcBorders>
            <w:shd w:val="clear" w:color="auto" w:fill="000000"/>
          </w:tcPr>
          <w:p w14:paraId="4E8F40D8" w14:textId="21B53FF1" w:rsidR="000E56CC" w:rsidRPr="00257F44" w:rsidRDefault="000E56CC" w:rsidP="007A1164">
            <w:pPr>
              <w:rPr>
                <w:rFonts w:ascii="Gill Sans" w:hAnsi="Gill Sans" w:cs="Gill Sans"/>
                <w:color w:val="FFFFFF" w:themeColor="background1"/>
                <w:sz w:val="22"/>
                <w:szCs w:val="22"/>
                <w:lang w:val="uk-UA"/>
              </w:rPr>
            </w:pPr>
            <w:r w:rsidRPr="00257F44">
              <w:rPr>
                <w:rFonts w:ascii="Gill Sans" w:hAnsi="Gill Sans" w:cs="Gill Sans"/>
                <w:sz w:val="20"/>
                <w:szCs w:val="20"/>
                <w:lang w:val="uk-UA"/>
              </w:rPr>
              <w:t>Опис зобов’язання</w:t>
            </w:r>
          </w:p>
        </w:tc>
        <w:tc>
          <w:tcPr>
            <w:tcW w:w="1573" w:type="dxa"/>
            <w:gridSpan w:val="4"/>
            <w:vMerge w:val="restart"/>
            <w:tcBorders>
              <w:top w:val="single" w:sz="18" w:space="0" w:color="FFFFFF"/>
              <w:left w:val="single" w:sz="18" w:space="0" w:color="FFFFFF"/>
              <w:right w:val="single" w:sz="18" w:space="0" w:color="FFFFFF"/>
            </w:tcBorders>
            <w:shd w:val="clear" w:color="auto" w:fill="D6E3BC"/>
          </w:tcPr>
          <w:p w14:paraId="68B7760F" w14:textId="040B71EC"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Конкретність</w:t>
            </w:r>
          </w:p>
        </w:tc>
        <w:tc>
          <w:tcPr>
            <w:tcW w:w="1863" w:type="dxa"/>
            <w:gridSpan w:val="8"/>
            <w:vMerge w:val="restart"/>
            <w:tcBorders>
              <w:top w:val="single" w:sz="18" w:space="0" w:color="FFFFFF"/>
              <w:left w:val="single" w:sz="18" w:space="0" w:color="FFFFFF"/>
              <w:right w:val="single" w:sz="18" w:space="0" w:color="FFFFFF"/>
            </w:tcBorders>
            <w:shd w:val="clear" w:color="auto" w:fill="FBD4B4"/>
          </w:tcPr>
          <w:p w14:paraId="61390440" w14:textId="0F14B14A"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Відповідність цінностям ПВУ (як сформульовано)</w:t>
            </w:r>
          </w:p>
        </w:tc>
        <w:tc>
          <w:tcPr>
            <w:tcW w:w="1512" w:type="dxa"/>
            <w:gridSpan w:val="4"/>
            <w:vMerge w:val="restart"/>
            <w:tcBorders>
              <w:top w:val="single" w:sz="18" w:space="0" w:color="FFFFFF"/>
              <w:left w:val="single" w:sz="18" w:space="0" w:color="FFFFFF"/>
              <w:right w:val="single" w:sz="18" w:space="0" w:color="FFFFFF"/>
            </w:tcBorders>
            <w:shd w:val="clear" w:color="auto" w:fill="CCC0D9"/>
          </w:tcPr>
          <w:p w14:paraId="6364ED2E" w14:textId="2808B1B3"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Потенційний вплив</w:t>
            </w:r>
          </w:p>
        </w:tc>
        <w:tc>
          <w:tcPr>
            <w:tcW w:w="981" w:type="dxa"/>
            <w:gridSpan w:val="2"/>
            <w:vMerge w:val="restart"/>
            <w:tcBorders>
              <w:top w:val="single" w:sz="18" w:space="0" w:color="FFFFFF"/>
              <w:left w:val="single" w:sz="18" w:space="0" w:color="FFFFFF"/>
              <w:right w:val="single" w:sz="2" w:space="0" w:color="FFFFFF"/>
            </w:tcBorders>
            <w:shd w:val="clear" w:color="auto" w:fill="B8CCE4"/>
          </w:tcPr>
          <w:p w14:paraId="31EBE710" w14:textId="40CE374B"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Стан вико-нання</w:t>
            </w:r>
          </w:p>
        </w:tc>
        <w:tc>
          <w:tcPr>
            <w:tcW w:w="918"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420C1320" w14:textId="2CF5C7BD"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Про-міжний</w:t>
            </w:r>
          </w:p>
        </w:tc>
        <w:tc>
          <w:tcPr>
            <w:tcW w:w="1919" w:type="dxa"/>
            <w:gridSpan w:val="5"/>
            <w:vMerge w:val="restart"/>
            <w:tcBorders>
              <w:top w:val="single" w:sz="18" w:space="0" w:color="FFFFFF"/>
              <w:left w:val="single" w:sz="18" w:space="0" w:color="FFFFFF"/>
              <w:right w:val="single" w:sz="18" w:space="0" w:color="FFFFFF"/>
            </w:tcBorders>
            <w:shd w:val="clear" w:color="auto" w:fill="D99594"/>
          </w:tcPr>
          <w:p w14:paraId="644682F2" w14:textId="4D5F13BE"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Чи відкрило це уряд?</w:t>
            </w:r>
          </w:p>
        </w:tc>
      </w:tr>
      <w:tr w:rsidR="00C75B2B" w:rsidRPr="00257F44" w14:paraId="5B8AF58E" w14:textId="77777777" w:rsidTr="00B223BA">
        <w:trPr>
          <w:trHeight w:val="373"/>
        </w:trPr>
        <w:tc>
          <w:tcPr>
            <w:tcW w:w="1442" w:type="dxa"/>
            <w:vMerge/>
            <w:tcBorders>
              <w:left w:val="single" w:sz="4" w:space="0" w:color="FFFFFF"/>
              <w:right w:val="single" w:sz="18" w:space="0" w:color="FFFFFF"/>
            </w:tcBorders>
            <w:shd w:val="clear" w:color="auto" w:fill="000000"/>
          </w:tcPr>
          <w:p w14:paraId="11C72932" w14:textId="77777777" w:rsidR="00C75B2B" w:rsidRPr="00257F44" w:rsidRDefault="00C75B2B" w:rsidP="007A1164">
            <w:pPr>
              <w:rPr>
                <w:rFonts w:ascii="Gill Sans" w:hAnsi="Gill Sans" w:cs="Gill Sans"/>
                <w:color w:val="FFFFFF" w:themeColor="background1"/>
                <w:sz w:val="22"/>
                <w:szCs w:val="22"/>
                <w:lang w:val="uk-UA"/>
              </w:rPr>
            </w:pPr>
          </w:p>
        </w:tc>
        <w:tc>
          <w:tcPr>
            <w:tcW w:w="1573" w:type="dxa"/>
            <w:gridSpan w:val="4"/>
            <w:vMerge/>
            <w:tcBorders>
              <w:left w:val="single" w:sz="18" w:space="0" w:color="FFFFFF"/>
              <w:bottom w:val="single" w:sz="18" w:space="0" w:color="FFFFFF"/>
              <w:right w:val="single" w:sz="18" w:space="0" w:color="FFFFFF"/>
            </w:tcBorders>
            <w:shd w:val="clear" w:color="auto" w:fill="D6E3BC"/>
          </w:tcPr>
          <w:p w14:paraId="2084282D" w14:textId="77777777" w:rsidR="00C75B2B" w:rsidRPr="00257F44" w:rsidRDefault="00C75B2B" w:rsidP="007A1164">
            <w:pPr>
              <w:rPr>
                <w:rFonts w:ascii="Gill Sans" w:hAnsi="Gill Sans" w:cs="Gill Sans"/>
                <w:sz w:val="22"/>
                <w:szCs w:val="22"/>
                <w:lang w:val="uk-UA"/>
              </w:rPr>
            </w:pPr>
          </w:p>
        </w:tc>
        <w:tc>
          <w:tcPr>
            <w:tcW w:w="1863" w:type="dxa"/>
            <w:gridSpan w:val="8"/>
            <w:vMerge/>
            <w:tcBorders>
              <w:left w:val="single" w:sz="18" w:space="0" w:color="FFFFFF"/>
              <w:bottom w:val="single" w:sz="18" w:space="0" w:color="FFFFFF"/>
              <w:right w:val="single" w:sz="18" w:space="0" w:color="FFFFFF"/>
            </w:tcBorders>
            <w:shd w:val="clear" w:color="auto" w:fill="FBD4B4"/>
          </w:tcPr>
          <w:p w14:paraId="0906135C" w14:textId="77777777" w:rsidR="00C75B2B" w:rsidRPr="00257F44" w:rsidRDefault="00C75B2B" w:rsidP="007A1164">
            <w:pPr>
              <w:rPr>
                <w:rFonts w:ascii="Gill Sans" w:hAnsi="Gill Sans" w:cs="Gill Sans"/>
                <w:sz w:val="22"/>
                <w:szCs w:val="22"/>
                <w:lang w:val="uk-UA"/>
              </w:rPr>
            </w:pPr>
          </w:p>
        </w:tc>
        <w:tc>
          <w:tcPr>
            <w:tcW w:w="1512" w:type="dxa"/>
            <w:gridSpan w:val="4"/>
            <w:vMerge/>
            <w:tcBorders>
              <w:left w:val="single" w:sz="18" w:space="0" w:color="FFFFFF"/>
              <w:bottom w:val="single" w:sz="18" w:space="0" w:color="FFFFFF"/>
              <w:right w:val="single" w:sz="18" w:space="0" w:color="FFFFFF"/>
            </w:tcBorders>
            <w:shd w:val="clear" w:color="auto" w:fill="CCC0D9"/>
          </w:tcPr>
          <w:p w14:paraId="49216146" w14:textId="77777777" w:rsidR="00C75B2B" w:rsidRPr="00257F44" w:rsidRDefault="00C75B2B" w:rsidP="007A1164">
            <w:pPr>
              <w:rPr>
                <w:rFonts w:ascii="Gill Sans" w:hAnsi="Gill Sans" w:cs="Gill Sans"/>
                <w:sz w:val="22"/>
                <w:szCs w:val="22"/>
                <w:lang w:val="uk-UA"/>
              </w:rPr>
            </w:pPr>
          </w:p>
        </w:tc>
        <w:tc>
          <w:tcPr>
            <w:tcW w:w="981" w:type="dxa"/>
            <w:gridSpan w:val="2"/>
            <w:vMerge/>
            <w:tcBorders>
              <w:left w:val="single" w:sz="18" w:space="0" w:color="FFFFFF"/>
              <w:bottom w:val="single" w:sz="18" w:space="0" w:color="FFFFFF"/>
              <w:right w:val="single" w:sz="2" w:space="0" w:color="FFFFFF"/>
            </w:tcBorders>
            <w:shd w:val="clear" w:color="auto" w:fill="B8CCE4"/>
          </w:tcPr>
          <w:p w14:paraId="209DA4C1" w14:textId="77777777" w:rsidR="00C75B2B" w:rsidRPr="00257F44" w:rsidRDefault="00C75B2B" w:rsidP="007A1164">
            <w:pPr>
              <w:rPr>
                <w:rFonts w:ascii="Gill Sans" w:hAnsi="Gill Sans" w:cs="Gill Sans"/>
                <w:sz w:val="22"/>
                <w:szCs w:val="22"/>
                <w:lang w:val="uk-UA"/>
              </w:rPr>
            </w:pPr>
          </w:p>
        </w:tc>
        <w:tc>
          <w:tcPr>
            <w:tcW w:w="918"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5AC65049" w14:textId="3B540A93" w:rsidR="00C75B2B" w:rsidRPr="00257F44" w:rsidRDefault="000E56CC" w:rsidP="007A1164">
            <w:pPr>
              <w:rPr>
                <w:rFonts w:ascii="Gill Sans" w:hAnsi="Gill Sans" w:cs="Gill Sans"/>
                <w:sz w:val="20"/>
                <w:szCs w:val="20"/>
                <w:lang w:val="uk-UA"/>
              </w:rPr>
            </w:pPr>
            <w:r w:rsidRPr="00257F44">
              <w:rPr>
                <w:rFonts w:ascii="Gill Sans" w:hAnsi="Gill Sans" w:cs="Gill Sans"/>
                <w:sz w:val="20"/>
                <w:szCs w:val="20"/>
                <w:lang w:val="uk-UA"/>
              </w:rPr>
              <w:t>Підсум-ковий</w:t>
            </w:r>
          </w:p>
        </w:tc>
        <w:tc>
          <w:tcPr>
            <w:tcW w:w="1919" w:type="dxa"/>
            <w:gridSpan w:val="5"/>
            <w:vMerge/>
            <w:tcBorders>
              <w:left w:val="single" w:sz="18" w:space="0" w:color="FFFFFF"/>
              <w:bottom w:val="single" w:sz="18" w:space="0" w:color="FFFFFF"/>
              <w:right w:val="single" w:sz="18" w:space="0" w:color="FFFFFF"/>
            </w:tcBorders>
            <w:shd w:val="clear" w:color="auto" w:fill="D99594"/>
          </w:tcPr>
          <w:p w14:paraId="0502E800" w14:textId="77777777" w:rsidR="00C75B2B" w:rsidRPr="00257F44" w:rsidRDefault="00C75B2B" w:rsidP="007A1164">
            <w:pPr>
              <w:rPr>
                <w:rFonts w:ascii="Gill Sans" w:hAnsi="Gill Sans" w:cs="Gill Sans"/>
                <w:sz w:val="22"/>
                <w:szCs w:val="22"/>
                <w:lang w:val="uk-UA"/>
              </w:rPr>
            </w:pPr>
          </w:p>
        </w:tc>
      </w:tr>
      <w:tr w:rsidR="000E56CC" w:rsidRPr="00257F44" w14:paraId="1B492879" w14:textId="77777777" w:rsidTr="00822E87">
        <w:trPr>
          <w:cantSplit/>
          <w:trHeight w:val="2336"/>
        </w:trPr>
        <w:tc>
          <w:tcPr>
            <w:tcW w:w="1442" w:type="dxa"/>
            <w:vMerge/>
            <w:tcBorders>
              <w:left w:val="single" w:sz="4" w:space="0" w:color="FFFFFF"/>
              <w:bottom w:val="single" w:sz="18" w:space="0" w:color="FFFFFF"/>
              <w:right w:val="single" w:sz="18" w:space="0" w:color="FFFFFF"/>
            </w:tcBorders>
            <w:shd w:val="clear" w:color="auto" w:fill="000000"/>
          </w:tcPr>
          <w:p w14:paraId="7CFB3335" w14:textId="77777777" w:rsidR="000E56CC" w:rsidRPr="00257F44" w:rsidRDefault="000E56CC" w:rsidP="007A1164">
            <w:pPr>
              <w:rPr>
                <w:rFonts w:ascii="Gill Sans" w:hAnsi="Gill Sans" w:cs="Gill Sans"/>
                <w:color w:val="FFFFFF" w:themeColor="background1"/>
                <w:sz w:val="22"/>
                <w:szCs w:val="22"/>
                <w:lang w:val="uk-UA"/>
              </w:rPr>
            </w:pPr>
          </w:p>
        </w:tc>
        <w:tc>
          <w:tcPr>
            <w:tcW w:w="472"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4BE8644D" w14:textId="72D4FC23"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Відсутня</w:t>
            </w:r>
          </w:p>
        </w:tc>
        <w:tc>
          <w:tcPr>
            <w:tcW w:w="408"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2D5CB51E" w14:textId="0CE0BE05"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Низька</w:t>
            </w:r>
          </w:p>
        </w:tc>
        <w:tc>
          <w:tcPr>
            <w:tcW w:w="350"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589CFCE4" w14:textId="3C0F5E28"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Середня</w:t>
            </w:r>
          </w:p>
        </w:tc>
        <w:tc>
          <w:tcPr>
            <w:tcW w:w="343"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199E8B20" w14:textId="5D4CAD45"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Висока</w:t>
            </w:r>
          </w:p>
        </w:tc>
        <w:tc>
          <w:tcPr>
            <w:tcW w:w="364"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724C0B5C" w14:textId="586BA41E"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Доступ до інформації</w:t>
            </w:r>
          </w:p>
        </w:tc>
        <w:tc>
          <w:tcPr>
            <w:tcW w:w="344" w:type="dxa"/>
            <w:gridSpan w:val="2"/>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6A5CC639" w14:textId="46A7831B"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Громадська участь</w:t>
            </w:r>
          </w:p>
        </w:tc>
        <w:tc>
          <w:tcPr>
            <w:tcW w:w="384"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042D7804" w14:textId="52DA511E"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Підзвітність влади</w:t>
            </w:r>
          </w:p>
        </w:tc>
        <w:tc>
          <w:tcPr>
            <w:tcW w:w="771" w:type="dxa"/>
            <w:gridSpan w:val="4"/>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5F61D5DE" w14:textId="2D15FCD6"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Технології та інновації для прозорості й підзвітності</w:t>
            </w:r>
          </w:p>
        </w:tc>
        <w:tc>
          <w:tcPr>
            <w:tcW w:w="416"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47568A21" w14:textId="46279488"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Жодного</w:t>
            </w:r>
          </w:p>
        </w:tc>
        <w:tc>
          <w:tcPr>
            <w:tcW w:w="340"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5DFDDDB7" w14:textId="1E02A868"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Незначний</w:t>
            </w:r>
          </w:p>
        </w:tc>
        <w:tc>
          <w:tcPr>
            <w:tcW w:w="416"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6F2FAB7D" w14:textId="07568B60"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Помірний</w:t>
            </w:r>
          </w:p>
        </w:tc>
        <w:tc>
          <w:tcPr>
            <w:tcW w:w="340"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12D2DDD6" w14:textId="53C7C663"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Трансформуючий</w:t>
            </w:r>
          </w:p>
        </w:tc>
        <w:tc>
          <w:tcPr>
            <w:tcW w:w="467"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3E95254C" w14:textId="0FDDB245"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Не розпочато</w:t>
            </w:r>
          </w:p>
        </w:tc>
        <w:tc>
          <w:tcPr>
            <w:tcW w:w="514"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7AC4A42E" w14:textId="4D4ECBFA"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Обмежене</w:t>
            </w:r>
          </w:p>
        </w:tc>
        <w:tc>
          <w:tcPr>
            <w:tcW w:w="514"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64DB752A" w14:textId="4ADDF77A"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Значне</w:t>
            </w:r>
          </w:p>
        </w:tc>
        <w:tc>
          <w:tcPr>
            <w:tcW w:w="404"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522AC138" w14:textId="04978501"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Повне</w:t>
            </w:r>
          </w:p>
        </w:tc>
        <w:tc>
          <w:tcPr>
            <w:tcW w:w="340"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4D436FF0" w14:textId="07566CE3"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Погіршило</w:t>
            </w:r>
          </w:p>
        </w:tc>
        <w:tc>
          <w:tcPr>
            <w:tcW w:w="384"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2F2A27ED" w14:textId="11B8D5E5"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Не змінило</w:t>
            </w:r>
          </w:p>
        </w:tc>
        <w:tc>
          <w:tcPr>
            <w:tcW w:w="34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7F4A6B7C" w14:textId="40F69A00"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Обмежено</w:t>
            </w:r>
          </w:p>
        </w:tc>
        <w:tc>
          <w:tcPr>
            <w:tcW w:w="340"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650A83AF" w14:textId="4C92DD78"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Значною мірою</w:t>
            </w:r>
          </w:p>
        </w:tc>
        <w:tc>
          <w:tcPr>
            <w:tcW w:w="515"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5F6AB25B" w14:textId="796A0E5B" w:rsidR="000E56CC" w:rsidRPr="00257F44" w:rsidRDefault="000E56CC" w:rsidP="007A1164">
            <w:pPr>
              <w:rPr>
                <w:rFonts w:ascii="Gill Sans" w:hAnsi="Gill Sans" w:cs="Gill Sans"/>
                <w:sz w:val="22"/>
                <w:szCs w:val="22"/>
                <w:lang w:val="uk-UA"/>
              </w:rPr>
            </w:pPr>
            <w:r w:rsidRPr="00257F44">
              <w:rPr>
                <w:rFonts w:ascii="Gill Sans" w:hAnsi="Gill Sans" w:cs="Gill Sans"/>
                <w:sz w:val="20"/>
                <w:szCs w:val="20"/>
                <w:lang w:val="uk-UA"/>
              </w:rPr>
              <w:t>Визначною мірою</w:t>
            </w:r>
          </w:p>
        </w:tc>
      </w:tr>
      <w:tr w:rsidR="00A61FBC" w:rsidRPr="00257F44" w14:paraId="2BC4C072" w14:textId="77777777" w:rsidTr="00B223BA">
        <w:trPr>
          <w:trHeight w:val="340"/>
        </w:trPr>
        <w:tc>
          <w:tcPr>
            <w:tcW w:w="1442" w:type="dxa"/>
            <w:vMerge w:val="restart"/>
            <w:tcBorders>
              <w:top w:val="single" w:sz="18" w:space="0" w:color="FFFFFF"/>
              <w:left w:val="single" w:sz="4" w:space="0" w:color="FFFFFF"/>
            </w:tcBorders>
            <w:shd w:val="clear" w:color="auto" w:fill="000000"/>
          </w:tcPr>
          <w:p w14:paraId="60A27482" w14:textId="42916779" w:rsidR="0044773A" w:rsidRPr="00257F44" w:rsidRDefault="006E6C92" w:rsidP="0044773A">
            <w:pPr>
              <w:rPr>
                <w:rFonts w:ascii="Gill Sans" w:hAnsi="Gill Sans" w:cs="Gill Sans"/>
                <w:color w:val="FFFFFF" w:themeColor="background1"/>
                <w:sz w:val="22"/>
                <w:szCs w:val="22"/>
                <w:lang w:val="uk-UA"/>
              </w:rPr>
            </w:pPr>
            <w:r w:rsidRPr="00257F44">
              <w:rPr>
                <w:rFonts w:ascii="Gill Sans" w:hAnsi="Gill Sans" w:cs="Gill Sans"/>
                <w:color w:val="FFFFFF" w:themeColor="background1"/>
                <w:sz w:val="22"/>
                <w:szCs w:val="22"/>
                <w:lang w:val="uk-UA"/>
              </w:rPr>
              <w:t>✪</w:t>
            </w:r>
            <w:r w:rsidR="0044773A" w:rsidRPr="00257F44">
              <w:rPr>
                <w:rFonts w:ascii="Gill Sans" w:hAnsi="Gill Sans" w:cs="Gill Sans"/>
                <w:color w:val="FFFFFF" w:themeColor="background1"/>
                <w:sz w:val="22"/>
                <w:szCs w:val="22"/>
                <w:lang w:val="uk-UA"/>
              </w:rPr>
              <w:t xml:space="preserve">6: </w:t>
            </w:r>
            <w:r w:rsidR="000E56CC" w:rsidRPr="00257F44">
              <w:rPr>
                <w:rFonts w:ascii="Gill Sans" w:hAnsi="Gill Sans" w:cs="Gill Sans"/>
                <w:color w:val="FFFFFF" w:themeColor="background1"/>
                <w:sz w:val="22"/>
                <w:szCs w:val="22"/>
                <w:lang w:val="uk-UA"/>
              </w:rPr>
              <w:t>Проект закону про відкриті дані</w:t>
            </w:r>
          </w:p>
        </w:tc>
        <w:tc>
          <w:tcPr>
            <w:tcW w:w="472" w:type="dxa"/>
            <w:vMerge w:val="restart"/>
            <w:tcBorders>
              <w:top w:val="single" w:sz="18" w:space="0" w:color="FFFFFF"/>
              <w:right w:val="single" w:sz="2" w:space="0" w:color="FFFFFF"/>
            </w:tcBorders>
            <w:shd w:val="clear" w:color="auto" w:fill="D6E3BC"/>
          </w:tcPr>
          <w:p w14:paraId="535C952A" w14:textId="77777777" w:rsidR="0044773A" w:rsidRPr="00257F44" w:rsidRDefault="0044773A" w:rsidP="0044773A">
            <w:pPr>
              <w:jc w:val="center"/>
              <w:rPr>
                <w:rFonts w:ascii="Gill Sans" w:hAnsi="Gill Sans" w:cs="Gill Sans"/>
                <w:sz w:val="22"/>
                <w:szCs w:val="22"/>
                <w:lang w:val="uk-UA"/>
              </w:rPr>
            </w:pPr>
          </w:p>
        </w:tc>
        <w:tc>
          <w:tcPr>
            <w:tcW w:w="408" w:type="dxa"/>
            <w:vMerge w:val="restart"/>
            <w:tcBorders>
              <w:top w:val="single" w:sz="18" w:space="0" w:color="FFFFFF"/>
              <w:left w:val="single" w:sz="2" w:space="0" w:color="FFFFFF"/>
              <w:right w:val="single" w:sz="2" w:space="0" w:color="FFFFFF"/>
            </w:tcBorders>
            <w:shd w:val="clear" w:color="auto" w:fill="D6E3BC"/>
          </w:tcPr>
          <w:p w14:paraId="21D3425A" w14:textId="77777777" w:rsidR="0044773A" w:rsidRPr="00257F44" w:rsidRDefault="0044773A" w:rsidP="0044773A">
            <w:pPr>
              <w:jc w:val="center"/>
              <w:rPr>
                <w:rFonts w:ascii="Gill Sans" w:hAnsi="Gill Sans" w:cs="Gill Sans"/>
                <w:sz w:val="22"/>
                <w:szCs w:val="22"/>
                <w:lang w:val="uk-UA"/>
              </w:rPr>
            </w:pPr>
          </w:p>
        </w:tc>
        <w:tc>
          <w:tcPr>
            <w:tcW w:w="350" w:type="dxa"/>
            <w:vMerge w:val="restart"/>
            <w:tcBorders>
              <w:top w:val="single" w:sz="18" w:space="0" w:color="FFFFFF"/>
              <w:left w:val="single" w:sz="2" w:space="0" w:color="FFFFFF"/>
              <w:right w:val="single" w:sz="2" w:space="0" w:color="FFFFFF"/>
            </w:tcBorders>
            <w:shd w:val="clear" w:color="auto" w:fill="D6E3BC"/>
          </w:tcPr>
          <w:p w14:paraId="40A54538" w14:textId="77777777" w:rsidR="0044773A" w:rsidRPr="00257F44" w:rsidRDefault="0044773A" w:rsidP="0044773A">
            <w:pPr>
              <w:jc w:val="center"/>
              <w:rPr>
                <w:rFonts w:ascii="Gill Sans" w:hAnsi="Gill Sans" w:cs="Gill Sans"/>
                <w:sz w:val="22"/>
                <w:szCs w:val="22"/>
                <w:lang w:val="uk-UA"/>
              </w:rPr>
            </w:pPr>
          </w:p>
        </w:tc>
        <w:tc>
          <w:tcPr>
            <w:tcW w:w="343" w:type="dxa"/>
            <w:vMerge w:val="restart"/>
            <w:tcBorders>
              <w:top w:val="single" w:sz="18" w:space="0" w:color="FFFFFF"/>
              <w:left w:val="single" w:sz="2" w:space="0" w:color="FFFFFF"/>
              <w:right w:val="single" w:sz="18" w:space="0" w:color="FFFFFF"/>
            </w:tcBorders>
            <w:shd w:val="clear" w:color="auto" w:fill="D6E3BC"/>
          </w:tcPr>
          <w:p w14:paraId="1F5D5CF9" w14:textId="77777777" w:rsidR="0044773A" w:rsidRPr="00257F44" w:rsidRDefault="0044773A" w:rsidP="0044773A">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72" w:type="dxa"/>
            <w:gridSpan w:val="2"/>
            <w:vMerge w:val="restart"/>
            <w:tcBorders>
              <w:top w:val="single" w:sz="18" w:space="0" w:color="FFFFFF"/>
              <w:left w:val="single" w:sz="2" w:space="0" w:color="FFFFFF"/>
              <w:bottom w:val="single" w:sz="8" w:space="0" w:color="FFFFFF" w:themeColor="background1"/>
              <w:right w:val="single" w:sz="4" w:space="0" w:color="FFFFFF" w:themeColor="background1"/>
            </w:tcBorders>
            <w:shd w:val="clear" w:color="auto" w:fill="FBD4B4"/>
          </w:tcPr>
          <w:p w14:paraId="6914A327" w14:textId="73679A5C" w:rsidR="0044773A" w:rsidRPr="00257F44" w:rsidRDefault="0044773A" w:rsidP="0044773A">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36" w:type="dxa"/>
            <w:vMerge w:val="restart"/>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FBD4B4"/>
          </w:tcPr>
          <w:p w14:paraId="57C4063A" w14:textId="77777777" w:rsidR="0044773A" w:rsidRPr="00257F44" w:rsidRDefault="0044773A" w:rsidP="0044773A">
            <w:pPr>
              <w:rPr>
                <w:rFonts w:ascii="Zapf Dingbats" w:eastAsia="MS Mincho" w:hAnsi="Zapf Dingbats" w:cs="MS Mincho"/>
                <w:noProof/>
                <w:sz w:val="22"/>
                <w:szCs w:val="22"/>
                <w:lang w:val="uk-UA"/>
              </w:rPr>
            </w:pPr>
          </w:p>
        </w:tc>
        <w:tc>
          <w:tcPr>
            <w:tcW w:w="410" w:type="dxa"/>
            <w:gridSpan w:val="3"/>
            <w:vMerge w:val="restart"/>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FBD4B4"/>
          </w:tcPr>
          <w:p w14:paraId="162FD0F7" w14:textId="77777777" w:rsidR="0044773A" w:rsidRPr="00257F44" w:rsidRDefault="0044773A" w:rsidP="0044773A">
            <w:pPr>
              <w:rPr>
                <w:rFonts w:ascii="Zapf Dingbats" w:eastAsia="MS Mincho" w:hAnsi="Zapf Dingbats" w:cs="MS Mincho"/>
                <w:noProof/>
                <w:sz w:val="22"/>
                <w:szCs w:val="22"/>
                <w:lang w:val="uk-UA"/>
              </w:rPr>
            </w:pPr>
          </w:p>
        </w:tc>
        <w:tc>
          <w:tcPr>
            <w:tcW w:w="372" w:type="dxa"/>
            <w:vMerge w:val="restart"/>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FBD4B4"/>
          </w:tcPr>
          <w:p w14:paraId="43704ACE" w14:textId="77777777" w:rsidR="0044773A" w:rsidRPr="00257F44" w:rsidRDefault="0044773A" w:rsidP="0044773A">
            <w:pPr>
              <w:rPr>
                <w:rFonts w:ascii="Zapf Dingbats" w:eastAsia="MS Mincho" w:hAnsi="Zapf Dingbats" w:cs="MS Mincho"/>
                <w:noProof/>
                <w:sz w:val="22"/>
                <w:szCs w:val="22"/>
                <w:lang w:val="uk-UA"/>
              </w:rPr>
            </w:pPr>
          </w:p>
        </w:tc>
        <w:tc>
          <w:tcPr>
            <w:tcW w:w="373" w:type="dxa"/>
            <w:vMerge w:val="restart"/>
            <w:tcBorders>
              <w:top w:val="single" w:sz="18" w:space="0" w:color="FFFFFF"/>
              <w:left w:val="single" w:sz="4" w:space="0" w:color="FFFFFF" w:themeColor="background1"/>
              <w:bottom w:val="single" w:sz="8" w:space="0" w:color="FFFFFF" w:themeColor="background1"/>
              <w:right w:val="single" w:sz="18" w:space="0" w:color="FFFFFF"/>
            </w:tcBorders>
            <w:shd w:val="clear" w:color="auto" w:fill="FBD4B4"/>
          </w:tcPr>
          <w:p w14:paraId="5BC477F3" w14:textId="6C49E03F" w:rsidR="0044773A" w:rsidRPr="00257F44" w:rsidRDefault="0044773A" w:rsidP="0044773A">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416" w:type="dxa"/>
            <w:vMerge w:val="restart"/>
            <w:tcBorders>
              <w:top w:val="single" w:sz="18" w:space="0" w:color="FFFFFF"/>
              <w:left w:val="single" w:sz="18" w:space="0" w:color="FFFFFF"/>
              <w:right w:val="single" w:sz="2" w:space="0" w:color="FFFFFF"/>
            </w:tcBorders>
            <w:shd w:val="clear" w:color="auto" w:fill="CCC0D9"/>
          </w:tcPr>
          <w:p w14:paraId="1B3A87A9" w14:textId="77777777" w:rsidR="0044773A" w:rsidRPr="00257F44" w:rsidRDefault="0044773A" w:rsidP="0044773A">
            <w:pPr>
              <w:rPr>
                <w:rFonts w:ascii="Zapf Dingbats" w:eastAsia="MS Mincho" w:hAnsi="Zapf Dingbats" w:cs="MS Mincho"/>
                <w:noProof/>
                <w:sz w:val="22"/>
                <w:szCs w:val="22"/>
                <w:lang w:val="uk-UA"/>
              </w:rPr>
            </w:pPr>
          </w:p>
        </w:tc>
        <w:tc>
          <w:tcPr>
            <w:tcW w:w="340" w:type="dxa"/>
            <w:vMerge w:val="restart"/>
            <w:tcBorders>
              <w:top w:val="single" w:sz="18" w:space="0" w:color="FFFFFF"/>
              <w:left w:val="single" w:sz="2" w:space="0" w:color="FFFFFF"/>
              <w:right w:val="single" w:sz="2" w:space="0" w:color="FFFFFF"/>
            </w:tcBorders>
            <w:shd w:val="clear" w:color="auto" w:fill="CCC0D9"/>
          </w:tcPr>
          <w:p w14:paraId="2F7324D4" w14:textId="50E4AE35" w:rsidR="0044773A" w:rsidRPr="00257F44" w:rsidRDefault="0044773A" w:rsidP="0044773A">
            <w:pPr>
              <w:rPr>
                <w:rFonts w:ascii="Zapf Dingbats" w:eastAsia="MS Mincho" w:hAnsi="Zapf Dingbats" w:cs="MS Mincho"/>
                <w:noProof/>
                <w:sz w:val="22"/>
                <w:szCs w:val="22"/>
                <w:lang w:val="uk-UA"/>
              </w:rPr>
            </w:pPr>
          </w:p>
        </w:tc>
        <w:tc>
          <w:tcPr>
            <w:tcW w:w="416" w:type="dxa"/>
            <w:vMerge w:val="restart"/>
            <w:tcBorders>
              <w:top w:val="single" w:sz="18" w:space="0" w:color="FFFFFF"/>
              <w:left w:val="single" w:sz="2" w:space="0" w:color="FFFFFF"/>
              <w:right w:val="single" w:sz="2" w:space="0" w:color="FFFFFF"/>
            </w:tcBorders>
            <w:shd w:val="clear" w:color="auto" w:fill="CCC0D9"/>
          </w:tcPr>
          <w:p w14:paraId="6F58A8F6" w14:textId="77777777" w:rsidR="0044773A" w:rsidRPr="00257F44" w:rsidRDefault="0044773A" w:rsidP="0044773A">
            <w:pPr>
              <w:rPr>
                <w:rFonts w:ascii="Zapf Dingbats" w:eastAsia="MS Mincho" w:hAnsi="Zapf Dingbats" w:cs="MS Mincho"/>
                <w:noProof/>
                <w:sz w:val="22"/>
                <w:szCs w:val="22"/>
                <w:lang w:val="uk-UA"/>
              </w:rPr>
            </w:pPr>
          </w:p>
        </w:tc>
        <w:tc>
          <w:tcPr>
            <w:tcW w:w="340" w:type="dxa"/>
            <w:vMerge w:val="restart"/>
            <w:tcBorders>
              <w:top w:val="single" w:sz="18" w:space="0" w:color="FFFFFF"/>
              <w:left w:val="single" w:sz="2" w:space="0" w:color="FFFFFF"/>
              <w:right w:val="single" w:sz="18" w:space="0" w:color="FFFFFF"/>
            </w:tcBorders>
            <w:shd w:val="clear" w:color="auto" w:fill="CCC0D9"/>
          </w:tcPr>
          <w:p w14:paraId="3756DE4D" w14:textId="5E648239" w:rsidR="0044773A" w:rsidRPr="00257F44" w:rsidRDefault="0044773A" w:rsidP="0044773A">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467"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1A9B1068" w14:textId="77777777" w:rsidR="0044773A" w:rsidRPr="00257F44" w:rsidRDefault="0044773A" w:rsidP="0044773A">
            <w:pPr>
              <w:rPr>
                <w:rFonts w:ascii="Zapf Dingbats" w:eastAsia="MS Mincho" w:hAnsi="Zapf Dingbats" w:cs="MS Mincho"/>
                <w:noProof/>
                <w:sz w:val="22"/>
                <w:szCs w:val="22"/>
                <w:lang w:val="uk-UA"/>
              </w:rPr>
            </w:pPr>
          </w:p>
        </w:tc>
        <w:tc>
          <w:tcPr>
            <w:tcW w:w="514"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49D136DA" w14:textId="4799A6DB" w:rsidR="0044773A" w:rsidRPr="00257F44" w:rsidRDefault="0044773A" w:rsidP="0044773A">
            <w:pPr>
              <w:rPr>
                <w:rFonts w:ascii="Zapf Dingbats" w:eastAsia="MS Mincho" w:hAnsi="Zapf Dingbats" w:cs="MS Mincho"/>
                <w:noProof/>
                <w:sz w:val="22"/>
                <w:szCs w:val="22"/>
                <w:lang w:val="uk-UA"/>
              </w:rPr>
            </w:pPr>
          </w:p>
        </w:tc>
        <w:tc>
          <w:tcPr>
            <w:tcW w:w="514"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7A323790" w14:textId="77777777" w:rsidR="0044773A" w:rsidRPr="00257F44" w:rsidRDefault="0044773A" w:rsidP="0044773A">
            <w:pPr>
              <w:rPr>
                <w:rFonts w:ascii="Zapf Dingbats" w:eastAsia="MS Mincho" w:hAnsi="Zapf Dingbats" w:cs="MS Mincho"/>
                <w:noProof/>
                <w:sz w:val="22"/>
                <w:szCs w:val="22"/>
                <w:lang w:val="uk-UA"/>
              </w:rPr>
            </w:pPr>
          </w:p>
        </w:tc>
        <w:tc>
          <w:tcPr>
            <w:tcW w:w="404"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738A7E81" w14:textId="75332EDC" w:rsidR="0044773A" w:rsidRPr="00257F44" w:rsidRDefault="0044773A" w:rsidP="0044773A">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40" w:type="dxa"/>
            <w:vMerge w:val="restart"/>
            <w:tcBorders>
              <w:top w:val="single" w:sz="18" w:space="0" w:color="FFFFFF"/>
              <w:left w:val="single" w:sz="18" w:space="0" w:color="FFFFFF"/>
              <w:right w:val="single" w:sz="2" w:space="0" w:color="FFFFFF"/>
            </w:tcBorders>
            <w:shd w:val="clear" w:color="auto" w:fill="D99594"/>
          </w:tcPr>
          <w:p w14:paraId="232409FC" w14:textId="77777777" w:rsidR="0044773A" w:rsidRPr="00257F44" w:rsidRDefault="0044773A" w:rsidP="0044773A">
            <w:pPr>
              <w:jc w:val="center"/>
              <w:rPr>
                <w:rFonts w:ascii="Gill Sans" w:hAnsi="Gill Sans" w:cs="Gill Sans"/>
                <w:sz w:val="22"/>
                <w:szCs w:val="22"/>
                <w:lang w:val="uk-UA"/>
              </w:rPr>
            </w:pPr>
          </w:p>
        </w:tc>
        <w:tc>
          <w:tcPr>
            <w:tcW w:w="384" w:type="dxa"/>
            <w:vMerge w:val="restart"/>
            <w:tcBorders>
              <w:top w:val="single" w:sz="18" w:space="0" w:color="FFFFFF"/>
              <w:left w:val="single" w:sz="2" w:space="0" w:color="FFFFFF"/>
              <w:right w:val="single" w:sz="2" w:space="0" w:color="FFFFFF"/>
            </w:tcBorders>
            <w:shd w:val="clear" w:color="auto" w:fill="D99594"/>
          </w:tcPr>
          <w:p w14:paraId="389FCA69" w14:textId="6D39127C" w:rsidR="0044773A" w:rsidRPr="00257F44" w:rsidRDefault="0044773A" w:rsidP="0044773A">
            <w:pPr>
              <w:jc w:val="center"/>
              <w:rPr>
                <w:rFonts w:ascii="Gill Sans" w:hAnsi="Gill Sans" w:cs="Gill Sans"/>
                <w:sz w:val="22"/>
                <w:szCs w:val="22"/>
                <w:lang w:val="uk-UA"/>
              </w:rPr>
            </w:pPr>
          </w:p>
        </w:tc>
        <w:tc>
          <w:tcPr>
            <w:tcW w:w="340" w:type="dxa"/>
            <w:vMerge w:val="restart"/>
            <w:tcBorders>
              <w:top w:val="single" w:sz="18" w:space="0" w:color="FFFFFF"/>
              <w:left w:val="single" w:sz="2" w:space="0" w:color="FFFFFF"/>
              <w:right w:val="single" w:sz="2" w:space="0" w:color="FFFFFF"/>
            </w:tcBorders>
            <w:shd w:val="clear" w:color="auto" w:fill="D99594"/>
          </w:tcPr>
          <w:p w14:paraId="6524EB05" w14:textId="77777777" w:rsidR="0044773A" w:rsidRPr="00257F44" w:rsidRDefault="0044773A" w:rsidP="0044773A">
            <w:pPr>
              <w:jc w:val="center"/>
              <w:rPr>
                <w:rFonts w:ascii="Gill Sans" w:hAnsi="Gill Sans" w:cs="Gill Sans"/>
                <w:sz w:val="22"/>
                <w:szCs w:val="22"/>
                <w:lang w:val="uk-UA"/>
              </w:rPr>
            </w:pPr>
          </w:p>
        </w:tc>
        <w:tc>
          <w:tcPr>
            <w:tcW w:w="340" w:type="dxa"/>
            <w:vMerge w:val="restart"/>
            <w:tcBorders>
              <w:top w:val="single" w:sz="18" w:space="0" w:color="FFFFFF"/>
              <w:left w:val="single" w:sz="2" w:space="0" w:color="FFFFFF"/>
              <w:right w:val="single" w:sz="2" w:space="0" w:color="FFFFFF"/>
            </w:tcBorders>
            <w:shd w:val="clear" w:color="auto" w:fill="D99594"/>
          </w:tcPr>
          <w:p w14:paraId="54590697" w14:textId="77777777" w:rsidR="0044773A" w:rsidRPr="00257F44" w:rsidRDefault="0044773A" w:rsidP="0044773A">
            <w:pPr>
              <w:jc w:val="center"/>
              <w:rPr>
                <w:rFonts w:ascii="Gill Sans" w:hAnsi="Gill Sans" w:cs="Gill Sans"/>
                <w:noProof/>
                <w:sz w:val="22"/>
                <w:szCs w:val="22"/>
                <w:lang w:val="uk-UA"/>
              </w:rPr>
            </w:pPr>
          </w:p>
        </w:tc>
        <w:tc>
          <w:tcPr>
            <w:tcW w:w="515" w:type="dxa"/>
            <w:vMerge w:val="restart"/>
            <w:tcBorders>
              <w:top w:val="single" w:sz="18" w:space="0" w:color="FFFFFF"/>
              <w:left w:val="single" w:sz="2" w:space="0" w:color="FFFFFF"/>
              <w:right w:val="single" w:sz="18" w:space="0" w:color="FFFFFF"/>
            </w:tcBorders>
            <w:shd w:val="clear" w:color="auto" w:fill="D99594"/>
          </w:tcPr>
          <w:p w14:paraId="765EBEA5" w14:textId="7750D15F" w:rsidR="0044773A" w:rsidRPr="00257F44" w:rsidRDefault="0044773A" w:rsidP="0044773A">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r>
      <w:tr w:rsidR="00A61FBC" w:rsidRPr="00257F44" w14:paraId="187E9CD3" w14:textId="77777777" w:rsidTr="00B223BA">
        <w:trPr>
          <w:trHeight w:val="340"/>
        </w:trPr>
        <w:tc>
          <w:tcPr>
            <w:tcW w:w="1442" w:type="dxa"/>
            <w:vMerge/>
            <w:tcBorders>
              <w:left w:val="single" w:sz="4" w:space="0" w:color="FFFFFF"/>
            </w:tcBorders>
            <w:shd w:val="clear" w:color="auto" w:fill="000000"/>
          </w:tcPr>
          <w:p w14:paraId="36179CAC" w14:textId="77777777" w:rsidR="0084266A" w:rsidRPr="00257F44" w:rsidRDefault="0084266A" w:rsidP="007A1164">
            <w:pPr>
              <w:rPr>
                <w:rFonts w:ascii="Gill Sans" w:hAnsi="Gill Sans" w:cs="Gill Sans"/>
                <w:color w:val="FFFFFF" w:themeColor="background1"/>
                <w:sz w:val="22"/>
                <w:szCs w:val="22"/>
                <w:lang w:val="uk-UA"/>
              </w:rPr>
            </w:pPr>
          </w:p>
        </w:tc>
        <w:tc>
          <w:tcPr>
            <w:tcW w:w="472" w:type="dxa"/>
            <w:vMerge/>
            <w:tcBorders>
              <w:right w:val="single" w:sz="2" w:space="0" w:color="FFFFFF"/>
            </w:tcBorders>
            <w:shd w:val="clear" w:color="auto" w:fill="D6E3BC"/>
          </w:tcPr>
          <w:p w14:paraId="42E2425C" w14:textId="77777777" w:rsidR="0084266A" w:rsidRPr="00257F44" w:rsidRDefault="0084266A" w:rsidP="00FD644B">
            <w:pPr>
              <w:jc w:val="center"/>
              <w:rPr>
                <w:rFonts w:ascii="Gill Sans" w:hAnsi="Gill Sans" w:cs="Gill Sans"/>
                <w:sz w:val="22"/>
                <w:szCs w:val="22"/>
                <w:lang w:val="uk-UA"/>
              </w:rPr>
            </w:pPr>
          </w:p>
        </w:tc>
        <w:tc>
          <w:tcPr>
            <w:tcW w:w="408" w:type="dxa"/>
            <w:vMerge/>
            <w:tcBorders>
              <w:left w:val="single" w:sz="2" w:space="0" w:color="FFFFFF"/>
              <w:right w:val="single" w:sz="2" w:space="0" w:color="FFFFFF"/>
            </w:tcBorders>
            <w:shd w:val="clear" w:color="auto" w:fill="D6E3BC"/>
          </w:tcPr>
          <w:p w14:paraId="7D188F05" w14:textId="77777777" w:rsidR="0084266A" w:rsidRPr="00257F44" w:rsidRDefault="0084266A" w:rsidP="00FD644B">
            <w:pPr>
              <w:jc w:val="center"/>
              <w:rPr>
                <w:rFonts w:ascii="Gill Sans" w:hAnsi="Gill Sans" w:cs="Gill Sans"/>
                <w:sz w:val="22"/>
                <w:szCs w:val="22"/>
                <w:lang w:val="uk-UA"/>
              </w:rPr>
            </w:pPr>
          </w:p>
        </w:tc>
        <w:tc>
          <w:tcPr>
            <w:tcW w:w="350" w:type="dxa"/>
            <w:vMerge/>
            <w:tcBorders>
              <w:left w:val="single" w:sz="2" w:space="0" w:color="FFFFFF"/>
              <w:right w:val="single" w:sz="2" w:space="0" w:color="FFFFFF"/>
            </w:tcBorders>
            <w:shd w:val="clear" w:color="auto" w:fill="D6E3BC"/>
          </w:tcPr>
          <w:p w14:paraId="3233BD96" w14:textId="77777777" w:rsidR="0084266A" w:rsidRPr="00257F44" w:rsidRDefault="0084266A" w:rsidP="00FD644B">
            <w:pPr>
              <w:jc w:val="center"/>
              <w:rPr>
                <w:rFonts w:ascii="Gill Sans" w:hAnsi="Gill Sans" w:cs="Gill Sans"/>
                <w:sz w:val="22"/>
                <w:szCs w:val="22"/>
                <w:lang w:val="uk-UA"/>
              </w:rPr>
            </w:pPr>
          </w:p>
        </w:tc>
        <w:tc>
          <w:tcPr>
            <w:tcW w:w="343" w:type="dxa"/>
            <w:vMerge/>
            <w:tcBorders>
              <w:left w:val="single" w:sz="2" w:space="0" w:color="FFFFFF"/>
              <w:right w:val="single" w:sz="18" w:space="0" w:color="FFFFFF"/>
            </w:tcBorders>
            <w:shd w:val="clear" w:color="auto" w:fill="D6E3BC"/>
          </w:tcPr>
          <w:p w14:paraId="05FCE642" w14:textId="77777777" w:rsidR="0084266A" w:rsidRPr="00257F44" w:rsidRDefault="0084266A" w:rsidP="00466E44">
            <w:pPr>
              <w:rPr>
                <w:rFonts w:ascii="Zapf Dingbats" w:eastAsia="MS Mincho" w:hAnsi="Zapf Dingbats" w:cs="MS Mincho"/>
                <w:noProof/>
                <w:sz w:val="22"/>
                <w:szCs w:val="22"/>
                <w:lang w:val="uk-UA"/>
              </w:rPr>
            </w:pPr>
          </w:p>
        </w:tc>
        <w:tc>
          <w:tcPr>
            <w:tcW w:w="372" w:type="dxa"/>
            <w:gridSpan w:val="2"/>
            <w:vMerge/>
            <w:tcBorders>
              <w:top w:val="single" w:sz="4" w:space="0" w:color="FFFFFF" w:themeColor="background1"/>
              <w:left w:val="single" w:sz="2" w:space="0" w:color="FFFFFF"/>
              <w:bottom w:val="single" w:sz="8" w:space="0" w:color="FFFFFF" w:themeColor="background1"/>
              <w:right w:val="single" w:sz="4" w:space="0" w:color="FFFFFF" w:themeColor="background1"/>
            </w:tcBorders>
            <w:shd w:val="clear" w:color="auto" w:fill="FBD4B4"/>
          </w:tcPr>
          <w:p w14:paraId="28A4CBA0" w14:textId="77777777" w:rsidR="0084266A" w:rsidRPr="00257F44" w:rsidRDefault="0084266A" w:rsidP="00466E44">
            <w:pPr>
              <w:rPr>
                <w:rFonts w:ascii="Zapf Dingbats" w:eastAsia="MS Mincho" w:hAnsi="Zapf Dingbats" w:cs="MS Mincho"/>
                <w:noProof/>
                <w:sz w:val="22"/>
                <w:szCs w:val="22"/>
                <w:lang w:val="uk-UA"/>
              </w:rPr>
            </w:pPr>
          </w:p>
        </w:tc>
        <w:tc>
          <w:tcPr>
            <w:tcW w:w="336" w:type="dxa"/>
            <w:vMerge/>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BD4B4"/>
          </w:tcPr>
          <w:p w14:paraId="55248A6C" w14:textId="77777777" w:rsidR="0084266A" w:rsidRPr="00257F44" w:rsidRDefault="0084266A" w:rsidP="00466E44">
            <w:pPr>
              <w:rPr>
                <w:rFonts w:ascii="Zapf Dingbats" w:eastAsia="MS Mincho" w:hAnsi="Zapf Dingbats" w:cs="MS Mincho"/>
                <w:noProof/>
                <w:sz w:val="22"/>
                <w:szCs w:val="22"/>
                <w:lang w:val="uk-UA"/>
              </w:rPr>
            </w:pPr>
          </w:p>
        </w:tc>
        <w:tc>
          <w:tcPr>
            <w:tcW w:w="410" w:type="dxa"/>
            <w:gridSpan w:val="3"/>
            <w:vMerge/>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BD4B4"/>
          </w:tcPr>
          <w:p w14:paraId="75DF2E24" w14:textId="77777777" w:rsidR="0084266A" w:rsidRPr="00257F44" w:rsidRDefault="0084266A" w:rsidP="00466E44">
            <w:pPr>
              <w:rPr>
                <w:rFonts w:ascii="Zapf Dingbats" w:eastAsia="MS Mincho" w:hAnsi="Zapf Dingbats" w:cs="MS Mincho"/>
                <w:noProof/>
                <w:sz w:val="22"/>
                <w:szCs w:val="22"/>
                <w:lang w:val="uk-UA"/>
              </w:rPr>
            </w:pPr>
          </w:p>
        </w:tc>
        <w:tc>
          <w:tcPr>
            <w:tcW w:w="372" w:type="dxa"/>
            <w:vMerge/>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BD4B4"/>
          </w:tcPr>
          <w:p w14:paraId="0DFA2446" w14:textId="77777777" w:rsidR="0084266A" w:rsidRPr="00257F44" w:rsidRDefault="0084266A" w:rsidP="00466E44">
            <w:pPr>
              <w:rPr>
                <w:rFonts w:ascii="Zapf Dingbats" w:eastAsia="MS Mincho" w:hAnsi="Zapf Dingbats" w:cs="MS Mincho"/>
                <w:noProof/>
                <w:sz w:val="22"/>
                <w:szCs w:val="22"/>
                <w:lang w:val="uk-UA"/>
              </w:rPr>
            </w:pPr>
          </w:p>
        </w:tc>
        <w:tc>
          <w:tcPr>
            <w:tcW w:w="373" w:type="dxa"/>
            <w:vMerge/>
            <w:tcBorders>
              <w:top w:val="single" w:sz="4" w:space="0" w:color="FFFFFF" w:themeColor="background1"/>
              <w:left w:val="single" w:sz="4" w:space="0" w:color="FFFFFF" w:themeColor="background1"/>
              <w:bottom w:val="single" w:sz="8" w:space="0" w:color="FFFFFF" w:themeColor="background1"/>
              <w:right w:val="single" w:sz="18" w:space="0" w:color="FFFFFF"/>
            </w:tcBorders>
            <w:shd w:val="clear" w:color="auto" w:fill="FBD4B4"/>
          </w:tcPr>
          <w:p w14:paraId="521A1F62" w14:textId="2AFC35B3" w:rsidR="0084266A" w:rsidRPr="00257F44" w:rsidRDefault="0084266A" w:rsidP="00466E44">
            <w:pPr>
              <w:rPr>
                <w:rFonts w:ascii="Zapf Dingbats" w:eastAsia="MS Mincho" w:hAnsi="Zapf Dingbats" w:cs="MS Mincho"/>
                <w:noProof/>
                <w:sz w:val="22"/>
                <w:szCs w:val="22"/>
                <w:lang w:val="uk-UA"/>
              </w:rPr>
            </w:pPr>
          </w:p>
        </w:tc>
        <w:tc>
          <w:tcPr>
            <w:tcW w:w="416" w:type="dxa"/>
            <w:vMerge/>
            <w:tcBorders>
              <w:left w:val="single" w:sz="18" w:space="0" w:color="FFFFFF"/>
              <w:right w:val="single" w:sz="2" w:space="0" w:color="FFFFFF"/>
            </w:tcBorders>
            <w:shd w:val="clear" w:color="auto" w:fill="CCC0D9"/>
          </w:tcPr>
          <w:p w14:paraId="4F32CF4A" w14:textId="77777777" w:rsidR="0084266A" w:rsidRPr="00257F44" w:rsidRDefault="0084266A" w:rsidP="00466E44">
            <w:pPr>
              <w:rPr>
                <w:rFonts w:ascii="Zapf Dingbats" w:eastAsia="MS Mincho" w:hAnsi="Zapf Dingbats" w:cs="MS Mincho"/>
                <w:noProof/>
                <w:sz w:val="22"/>
                <w:szCs w:val="22"/>
                <w:lang w:val="uk-UA"/>
              </w:rPr>
            </w:pPr>
          </w:p>
        </w:tc>
        <w:tc>
          <w:tcPr>
            <w:tcW w:w="340" w:type="dxa"/>
            <w:vMerge/>
            <w:tcBorders>
              <w:left w:val="single" w:sz="2" w:space="0" w:color="FFFFFF"/>
              <w:right w:val="single" w:sz="2" w:space="0" w:color="FFFFFF"/>
            </w:tcBorders>
            <w:shd w:val="clear" w:color="auto" w:fill="CCC0D9"/>
          </w:tcPr>
          <w:p w14:paraId="6B4717CE" w14:textId="77777777" w:rsidR="0084266A" w:rsidRPr="00257F44" w:rsidRDefault="0084266A" w:rsidP="00466E44">
            <w:pPr>
              <w:rPr>
                <w:rFonts w:ascii="Zapf Dingbats" w:eastAsia="MS Mincho" w:hAnsi="Zapf Dingbats" w:cs="MS Mincho"/>
                <w:noProof/>
                <w:sz w:val="22"/>
                <w:szCs w:val="22"/>
                <w:lang w:val="uk-UA"/>
              </w:rPr>
            </w:pPr>
          </w:p>
        </w:tc>
        <w:tc>
          <w:tcPr>
            <w:tcW w:w="416" w:type="dxa"/>
            <w:vMerge/>
            <w:tcBorders>
              <w:left w:val="single" w:sz="2" w:space="0" w:color="FFFFFF"/>
              <w:right w:val="single" w:sz="2" w:space="0" w:color="FFFFFF"/>
            </w:tcBorders>
            <w:shd w:val="clear" w:color="auto" w:fill="CCC0D9"/>
          </w:tcPr>
          <w:p w14:paraId="21693672" w14:textId="77777777" w:rsidR="0084266A" w:rsidRPr="00257F44" w:rsidRDefault="0084266A" w:rsidP="00466E44">
            <w:pPr>
              <w:rPr>
                <w:rFonts w:ascii="Zapf Dingbats" w:eastAsia="MS Mincho" w:hAnsi="Zapf Dingbats" w:cs="MS Mincho"/>
                <w:noProof/>
                <w:sz w:val="22"/>
                <w:szCs w:val="22"/>
                <w:lang w:val="uk-UA"/>
              </w:rPr>
            </w:pPr>
          </w:p>
        </w:tc>
        <w:tc>
          <w:tcPr>
            <w:tcW w:w="340" w:type="dxa"/>
            <w:vMerge/>
            <w:tcBorders>
              <w:left w:val="single" w:sz="2" w:space="0" w:color="FFFFFF"/>
              <w:right w:val="single" w:sz="18" w:space="0" w:color="FFFFFF"/>
            </w:tcBorders>
            <w:shd w:val="clear" w:color="auto" w:fill="CCC0D9"/>
          </w:tcPr>
          <w:p w14:paraId="5C5A6996" w14:textId="77777777" w:rsidR="0084266A" w:rsidRPr="00257F44" w:rsidRDefault="0084266A" w:rsidP="00466E44">
            <w:pPr>
              <w:rPr>
                <w:rFonts w:ascii="Zapf Dingbats" w:eastAsia="MS Mincho" w:hAnsi="Zapf Dingbats" w:cs="MS Mincho"/>
                <w:noProof/>
                <w:sz w:val="22"/>
                <w:szCs w:val="22"/>
                <w:lang w:val="uk-UA"/>
              </w:rPr>
            </w:pPr>
          </w:p>
        </w:tc>
        <w:tc>
          <w:tcPr>
            <w:tcW w:w="467" w:type="dxa"/>
            <w:tcBorders>
              <w:top w:val="single" w:sz="8" w:space="0" w:color="FFFFFF" w:themeColor="background1"/>
              <w:left w:val="single" w:sz="18" w:space="0" w:color="FFFFFF"/>
              <w:bottom w:val="single" w:sz="18" w:space="0" w:color="FFFFFF"/>
              <w:right w:val="single" w:sz="4" w:space="0" w:color="FFFFFF" w:themeColor="background1"/>
            </w:tcBorders>
            <w:shd w:val="clear" w:color="auto" w:fill="B8CCE4"/>
          </w:tcPr>
          <w:p w14:paraId="139185D9" w14:textId="77777777" w:rsidR="0084266A" w:rsidRPr="00257F44" w:rsidRDefault="0084266A" w:rsidP="00466E44">
            <w:pPr>
              <w:rPr>
                <w:rFonts w:ascii="Zapf Dingbats" w:eastAsia="MS Mincho" w:hAnsi="Zapf Dingbats" w:cs="MS Mincho"/>
                <w:noProof/>
                <w:sz w:val="22"/>
                <w:szCs w:val="22"/>
                <w:lang w:val="uk-UA"/>
              </w:rPr>
            </w:pPr>
          </w:p>
        </w:tc>
        <w:tc>
          <w:tcPr>
            <w:tcW w:w="514" w:type="dxa"/>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B8CCE4"/>
          </w:tcPr>
          <w:p w14:paraId="50C88DF4" w14:textId="6CA2FFFD" w:rsidR="0084266A" w:rsidRPr="00257F44" w:rsidRDefault="0084266A" w:rsidP="00466E44">
            <w:pPr>
              <w:rPr>
                <w:rFonts w:ascii="Zapf Dingbats" w:eastAsia="MS Mincho" w:hAnsi="Zapf Dingbats" w:cs="MS Mincho"/>
                <w:noProof/>
                <w:sz w:val="22"/>
                <w:szCs w:val="22"/>
                <w:lang w:val="uk-UA"/>
              </w:rPr>
            </w:pPr>
          </w:p>
        </w:tc>
        <w:tc>
          <w:tcPr>
            <w:tcW w:w="514" w:type="dxa"/>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B8CCE4"/>
          </w:tcPr>
          <w:p w14:paraId="38FAA55B" w14:textId="77777777" w:rsidR="0084266A" w:rsidRPr="00257F44" w:rsidRDefault="0084266A" w:rsidP="00466E44">
            <w:pPr>
              <w:rPr>
                <w:rFonts w:ascii="Zapf Dingbats" w:eastAsia="MS Mincho" w:hAnsi="Zapf Dingbats" w:cs="MS Mincho"/>
                <w:noProof/>
                <w:sz w:val="22"/>
                <w:szCs w:val="22"/>
                <w:lang w:val="uk-UA"/>
              </w:rPr>
            </w:pPr>
          </w:p>
        </w:tc>
        <w:tc>
          <w:tcPr>
            <w:tcW w:w="404" w:type="dxa"/>
            <w:tcBorders>
              <w:top w:val="single" w:sz="8" w:space="0" w:color="FFFFFF" w:themeColor="background1"/>
              <w:left w:val="single" w:sz="4" w:space="0" w:color="FFFFFF" w:themeColor="background1"/>
              <w:bottom w:val="single" w:sz="18" w:space="0" w:color="FFFFFF"/>
              <w:right w:val="single" w:sz="18" w:space="0" w:color="FFFFFF"/>
            </w:tcBorders>
            <w:shd w:val="clear" w:color="auto" w:fill="B8CCE4"/>
          </w:tcPr>
          <w:p w14:paraId="02A65420" w14:textId="6C1FCF51" w:rsidR="0084266A" w:rsidRPr="00257F44" w:rsidRDefault="00FD644B" w:rsidP="00466E44">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40" w:type="dxa"/>
            <w:vMerge/>
            <w:tcBorders>
              <w:left w:val="single" w:sz="18" w:space="0" w:color="FFFFFF"/>
              <w:right w:val="single" w:sz="2" w:space="0" w:color="FFFFFF"/>
            </w:tcBorders>
            <w:shd w:val="clear" w:color="auto" w:fill="D99594"/>
          </w:tcPr>
          <w:p w14:paraId="41F60EB7" w14:textId="77777777" w:rsidR="0084266A" w:rsidRPr="00257F44" w:rsidRDefault="0084266A" w:rsidP="00FD644B">
            <w:pPr>
              <w:jc w:val="center"/>
              <w:rPr>
                <w:rFonts w:ascii="Gill Sans" w:hAnsi="Gill Sans" w:cs="Gill Sans"/>
                <w:sz w:val="22"/>
                <w:szCs w:val="22"/>
                <w:lang w:val="uk-UA"/>
              </w:rPr>
            </w:pPr>
          </w:p>
        </w:tc>
        <w:tc>
          <w:tcPr>
            <w:tcW w:w="384" w:type="dxa"/>
            <w:vMerge/>
            <w:tcBorders>
              <w:left w:val="single" w:sz="2" w:space="0" w:color="FFFFFF"/>
              <w:right w:val="single" w:sz="2" w:space="0" w:color="FFFFFF"/>
            </w:tcBorders>
            <w:shd w:val="clear" w:color="auto" w:fill="D99594"/>
          </w:tcPr>
          <w:p w14:paraId="179F5A14" w14:textId="77777777" w:rsidR="0084266A" w:rsidRPr="00257F44" w:rsidRDefault="0084266A" w:rsidP="00FD644B">
            <w:pPr>
              <w:jc w:val="center"/>
              <w:rPr>
                <w:rFonts w:ascii="Gill Sans" w:hAnsi="Gill Sans" w:cs="Gill Sans"/>
                <w:sz w:val="22"/>
                <w:szCs w:val="22"/>
                <w:lang w:val="uk-UA"/>
              </w:rPr>
            </w:pPr>
          </w:p>
        </w:tc>
        <w:tc>
          <w:tcPr>
            <w:tcW w:w="340" w:type="dxa"/>
            <w:vMerge/>
            <w:tcBorders>
              <w:left w:val="single" w:sz="2" w:space="0" w:color="FFFFFF"/>
              <w:right w:val="single" w:sz="2" w:space="0" w:color="FFFFFF"/>
            </w:tcBorders>
            <w:shd w:val="clear" w:color="auto" w:fill="D99594"/>
          </w:tcPr>
          <w:p w14:paraId="574F6258" w14:textId="77777777" w:rsidR="0084266A" w:rsidRPr="00257F44" w:rsidRDefault="0084266A" w:rsidP="00FD644B">
            <w:pPr>
              <w:jc w:val="center"/>
              <w:rPr>
                <w:rFonts w:ascii="Gill Sans" w:hAnsi="Gill Sans" w:cs="Gill Sans"/>
                <w:sz w:val="22"/>
                <w:szCs w:val="22"/>
                <w:lang w:val="uk-UA"/>
              </w:rPr>
            </w:pPr>
          </w:p>
        </w:tc>
        <w:tc>
          <w:tcPr>
            <w:tcW w:w="340" w:type="dxa"/>
            <w:vMerge/>
            <w:tcBorders>
              <w:left w:val="single" w:sz="2" w:space="0" w:color="FFFFFF"/>
              <w:right w:val="single" w:sz="2" w:space="0" w:color="FFFFFF"/>
            </w:tcBorders>
            <w:shd w:val="clear" w:color="auto" w:fill="D99594"/>
          </w:tcPr>
          <w:p w14:paraId="1B7CA2D6" w14:textId="77777777" w:rsidR="0084266A" w:rsidRPr="00257F44" w:rsidRDefault="0084266A" w:rsidP="00FD644B">
            <w:pPr>
              <w:jc w:val="center"/>
              <w:rPr>
                <w:rFonts w:ascii="Gill Sans" w:hAnsi="Gill Sans" w:cs="Gill Sans"/>
                <w:noProof/>
                <w:sz w:val="22"/>
                <w:szCs w:val="22"/>
                <w:lang w:val="uk-UA"/>
              </w:rPr>
            </w:pPr>
          </w:p>
        </w:tc>
        <w:tc>
          <w:tcPr>
            <w:tcW w:w="515" w:type="dxa"/>
            <w:vMerge/>
            <w:tcBorders>
              <w:left w:val="single" w:sz="2" w:space="0" w:color="FFFFFF"/>
              <w:right w:val="single" w:sz="18" w:space="0" w:color="FFFFFF"/>
            </w:tcBorders>
            <w:shd w:val="clear" w:color="auto" w:fill="D99594"/>
          </w:tcPr>
          <w:p w14:paraId="177FAF8E" w14:textId="77777777" w:rsidR="0084266A" w:rsidRPr="00257F44" w:rsidRDefault="0084266A" w:rsidP="00466E44">
            <w:pPr>
              <w:rPr>
                <w:rFonts w:ascii="Zapf Dingbats" w:eastAsia="MS Mincho" w:hAnsi="Zapf Dingbats" w:cs="MS Mincho"/>
                <w:noProof/>
                <w:sz w:val="22"/>
                <w:szCs w:val="22"/>
                <w:lang w:val="uk-UA"/>
              </w:rPr>
            </w:pPr>
          </w:p>
        </w:tc>
      </w:tr>
      <w:tr w:rsidR="00A61FBC" w:rsidRPr="00257F44" w14:paraId="700BF4D4" w14:textId="77777777" w:rsidTr="00B223BA">
        <w:trPr>
          <w:trHeight w:val="600"/>
        </w:trPr>
        <w:tc>
          <w:tcPr>
            <w:tcW w:w="1442" w:type="dxa"/>
            <w:vMerge w:val="restart"/>
            <w:tcBorders>
              <w:top w:val="single" w:sz="18" w:space="0" w:color="FFFFFF"/>
              <w:left w:val="single" w:sz="4" w:space="0" w:color="FFFFFF"/>
            </w:tcBorders>
            <w:shd w:val="clear" w:color="auto" w:fill="000000"/>
          </w:tcPr>
          <w:p w14:paraId="4C531402" w14:textId="1E321DE7" w:rsidR="0084266A" w:rsidRPr="00257F44" w:rsidRDefault="0044773A" w:rsidP="007A1164">
            <w:pPr>
              <w:rPr>
                <w:rFonts w:ascii="Gill Sans" w:hAnsi="Gill Sans" w:cs="Gill Sans"/>
                <w:color w:val="FFFFFF" w:themeColor="background1"/>
                <w:sz w:val="22"/>
                <w:szCs w:val="22"/>
                <w:lang w:val="uk-UA"/>
              </w:rPr>
            </w:pPr>
            <w:r w:rsidRPr="00257F44">
              <w:rPr>
                <w:rFonts w:ascii="Gill Sans" w:hAnsi="Gill Sans" w:cs="Gill Sans"/>
                <w:color w:val="FFFFFF" w:themeColor="background1"/>
                <w:sz w:val="22"/>
                <w:szCs w:val="22"/>
                <w:lang w:val="uk-UA"/>
              </w:rPr>
              <w:lastRenderedPageBreak/>
              <w:t xml:space="preserve">20. </w:t>
            </w:r>
            <w:r w:rsidR="000E56CC" w:rsidRPr="00257F44">
              <w:rPr>
                <w:rFonts w:ascii="Gill Sans" w:hAnsi="Gill Sans" w:cs="Gill Sans"/>
                <w:color w:val="FFFFFF" w:themeColor="background1"/>
                <w:sz w:val="22"/>
                <w:szCs w:val="22"/>
                <w:lang w:val="uk-UA"/>
              </w:rPr>
              <w:t>Постанова Уряду про відкриті дані</w:t>
            </w:r>
          </w:p>
        </w:tc>
        <w:tc>
          <w:tcPr>
            <w:tcW w:w="472" w:type="dxa"/>
            <w:vMerge w:val="restart"/>
            <w:tcBorders>
              <w:top w:val="single" w:sz="18" w:space="0" w:color="FFFFFF"/>
              <w:right w:val="single" w:sz="2" w:space="0" w:color="FFFFFF"/>
            </w:tcBorders>
            <w:shd w:val="clear" w:color="auto" w:fill="D6E3BC"/>
          </w:tcPr>
          <w:p w14:paraId="2A3363E6" w14:textId="77777777" w:rsidR="0084266A" w:rsidRPr="00257F44" w:rsidRDefault="0084266A" w:rsidP="00FD644B">
            <w:pPr>
              <w:jc w:val="center"/>
              <w:rPr>
                <w:rFonts w:ascii="Gill Sans" w:hAnsi="Gill Sans" w:cs="Gill Sans"/>
                <w:sz w:val="22"/>
                <w:szCs w:val="22"/>
                <w:lang w:val="uk-UA"/>
              </w:rPr>
            </w:pPr>
          </w:p>
        </w:tc>
        <w:tc>
          <w:tcPr>
            <w:tcW w:w="408" w:type="dxa"/>
            <w:vMerge w:val="restart"/>
            <w:tcBorders>
              <w:top w:val="single" w:sz="18" w:space="0" w:color="FFFFFF"/>
              <w:left w:val="single" w:sz="2" w:space="0" w:color="FFFFFF"/>
              <w:right w:val="single" w:sz="2" w:space="0" w:color="FFFFFF"/>
            </w:tcBorders>
            <w:shd w:val="clear" w:color="auto" w:fill="D6E3BC"/>
          </w:tcPr>
          <w:p w14:paraId="108C39DC" w14:textId="65F7EDB8" w:rsidR="0084266A" w:rsidRPr="00257F44" w:rsidRDefault="00B673BE" w:rsidP="00466E44">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50" w:type="dxa"/>
            <w:vMerge w:val="restart"/>
            <w:tcBorders>
              <w:top w:val="single" w:sz="18" w:space="0" w:color="FFFFFF"/>
              <w:left w:val="single" w:sz="2" w:space="0" w:color="FFFFFF"/>
              <w:right w:val="single" w:sz="2" w:space="0" w:color="FFFFFF"/>
            </w:tcBorders>
            <w:shd w:val="clear" w:color="auto" w:fill="D6E3BC"/>
          </w:tcPr>
          <w:p w14:paraId="6E947573" w14:textId="77777777" w:rsidR="0084266A" w:rsidRPr="00257F44" w:rsidRDefault="0084266A" w:rsidP="00466E44">
            <w:pPr>
              <w:rPr>
                <w:rFonts w:ascii="Zapf Dingbats" w:eastAsia="MS Mincho" w:hAnsi="Zapf Dingbats" w:cs="MS Mincho"/>
                <w:noProof/>
                <w:sz w:val="22"/>
                <w:szCs w:val="22"/>
                <w:lang w:val="uk-UA"/>
              </w:rPr>
            </w:pPr>
          </w:p>
        </w:tc>
        <w:tc>
          <w:tcPr>
            <w:tcW w:w="343" w:type="dxa"/>
            <w:vMerge w:val="restart"/>
            <w:tcBorders>
              <w:top w:val="single" w:sz="18" w:space="0" w:color="FFFFFF"/>
              <w:left w:val="single" w:sz="2" w:space="0" w:color="FFFFFF"/>
              <w:right w:val="single" w:sz="18" w:space="0" w:color="FFFFFF"/>
            </w:tcBorders>
            <w:shd w:val="clear" w:color="auto" w:fill="D6E3BC"/>
          </w:tcPr>
          <w:p w14:paraId="506AB663" w14:textId="70F79ABB" w:rsidR="0084266A" w:rsidRPr="00257F44" w:rsidRDefault="0084266A" w:rsidP="00466E44">
            <w:pPr>
              <w:rPr>
                <w:rFonts w:ascii="Zapf Dingbats" w:eastAsia="MS Mincho" w:hAnsi="Zapf Dingbats" w:cs="MS Mincho"/>
                <w:noProof/>
                <w:sz w:val="22"/>
                <w:szCs w:val="22"/>
                <w:lang w:val="uk-UA"/>
              </w:rPr>
            </w:pPr>
          </w:p>
        </w:tc>
        <w:tc>
          <w:tcPr>
            <w:tcW w:w="372" w:type="dxa"/>
            <w:gridSpan w:val="2"/>
            <w:vMerge w:val="restart"/>
            <w:tcBorders>
              <w:top w:val="single" w:sz="8" w:space="0" w:color="FFFFFF" w:themeColor="background1"/>
              <w:left w:val="single" w:sz="2" w:space="0" w:color="FFFFFF"/>
              <w:bottom w:val="single" w:sz="18" w:space="0" w:color="FFFFFF"/>
              <w:right w:val="single" w:sz="4" w:space="0" w:color="FFFFFF" w:themeColor="background1"/>
            </w:tcBorders>
            <w:shd w:val="clear" w:color="auto" w:fill="FBD4B4"/>
          </w:tcPr>
          <w:p w14:paraId="26AC9816" w14:textId="6899B88D" w:rsidR="0084266A" w:rsidRPr="00257F44" w:rsidRDefault="00B673BE" w:rsidP="00466E44">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36" w:type="dxa"/>
            <w:vMerge w:val="restart"/>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FBD4B4"/>
          </w:tcPr>
          <w:p w14:paraId="46535B5C" w14:textId="77777777" w:rsidR="0084266A" w:rsidRPr="00257F44" w:rsidRDefault="0084266A" w:rsidP="00466E44">
            <w:pPr>
              <w:rPr>
                <w:rFonts w:ascii="Zapf Dingbats" w:eastAsia="MS Mincho" w:hAnsi="Zapf Dingbats" w:cs="MS Mincho"/>
                <w:noProof/>
                <w:sz w:val="22"/>
                <w:szCs w:val="22"/>
                <w:lang w:val="uk-UA"/>
              </w:rPr>
            </w:pPr>
          </w:p>
        </w:tc>
        <w:tc>
          <w:tcPr>
            <w:tcW w:w="395" w:type="dxa"/>
            <w:gridSpan w:val="2"/>
            <w:vMerge w:val="restart"/>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FBD4B4"/>
          </w:tcPr>
          <w:p w14:paraId="06E4AA53" w14:textId="77777777" w:rsidR="0084266A" w:rsidRPr="00257F44" w:rsidRDefault="0084266A" w:rsidP="00466E44">
            <w:pPr>
              <w:rPr>
                <w:rFonts w:ascii="Zapf Dingbats" w:eastAsia="MS Mincho" w:hAnsi="Zapf Dingbats" w:cs="MS Mincho"/>
                <w:noProof/>
                <w:sz w:val="22"/>
                <w:szCs w:val="22"/>
                <w:lang w:val="uk-UA"/>
              </w:rPr>
            </w:pPr>
          </w:p>
        </w:tc>
        <w:tc>
          <w:tcPr>
            <w:tcW w:w="387" w:type="dxa"/>
            <w:gridSpan w:val="2"/>
            <w:vMerge w:val="restart"/>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FBD4B4"/>
          </w:tcPr>
          <w:p w14:paraId="0D66D3B9" w14:textId="77777777" w:rsidR="0084266A" w:rsidRPr="00257F44" w:rsidRDefault="0084266A" w:rsidP="00466E44">
            <w:pPr>
              <w:rPr>
                <w:rFonts w:ascii="Zapf Dingbats" w:eastAsia="MS Mincho" w:hAnsi="Zapf Dingbats" w:cs="MS Mincho"/>
                <w:noProof/>
                <w:sz w:val="22"/>
                <w:szCs w:val="22"/>
                <w:lang w:val="uk-UA"/>
              </w:rPr>
            </w:pPr>
          </w:p>
        </w:tc>
        <w:tc>
          <w:tcPr>
            <w:tcW w:w="373" w:type="dxa"/>
            <w:vMerge w:val="restart"/>
            <w:tcBorders>
              <w:top w:val="single" w:sz="8" w:space="0" w:color="FFFFFF" w:themeColor="background1"/>
              <w:left w:val="single" w:sz="4" w:space="0" w:color="FFFFFF" w:themeColor="background1"/>
              <w:bottom w:val="single" w:sz="18" w:space="0" w:color="FFFFFF"/>
              <w:right w:val="single" w:sz="18" w:space="0" w:color="FFFFFF"/>
            </w:tcBorders>
            <w:shd w:val="clear" w:color="auto" w:fill="FBD4B4"/>
          </w:tcPr>
          <w:p w14:paraId="28E3C650" w14:textId="692CC7B9" w:rsidR="0084266A" w:rsidRPr="00257F44" w:rsidRDefault="00B673BE" w:rsidP="00466E44">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416" w:type="dxa"/>
            <w:vMerge w:val="restart"/>
            <w:tcBorders>
              <w:top w:val="single" w:sz="18" w:space="0" w:color="FFFFFF"/>
              <w:left w:val="single" w:sz="18" w:space="0" w:color="FFFFFF"/>
              <w:right w:val="single" w:sz="2" w:space="0" w:color="FFFFFF"/>
            </w:tcBorders>
            <w:shd w:val="clear" w:color="auto" w:fill="CCC0D9"/>
          </w:tcPr>
          <w:p w14:paraId="453BB671" w14:textId="77777777" w:rsidR="0084266A" w:rsidRPr="00257F44" w:rsidRDefault="0084266A" w:rsidP="00466E44">
            <w:pPr>
              <w:rPr>
                <w:rFonts w:ascii="Zapf Dingbats" w:eastAsia="MS Mincho" w:hAnsi="Zapf Dingbats" w:cs="MS Mincho"/>
                <w:noProof/>
                <w:sz w:val="22"/>
                <w:szCs w:val="22"/>
                <w:lang w:val="uk-UA"/>
              </w:rPr>
            </w:pPr>
          </w:p>
        </w:tc>
        <w:tc>
          <w:tcPr>
            <w:tcW w:w="340" w:type="dxa"/>
            <w:vMerge w:val="restart"/>
            <w:tcBorders>
              <w:top w:val="single" w:sz="18" w:space="0" w:color="FFFFFF"/>
              <w:left w:val="single" w:sz="2" w:space="0" w:color="FFFFFF"/>
              <w:right w:val="single" w:sz="2" w:space="0" w:color="FFFFFF"/>
            </w:tcBorders>
            <w:shd w:val="clear" w:color="auto" w:fill="CCC0D9"/>
          </w:tcPr>
          <w:p w14:paraId="1ED2DC8D" w14:textId="77777777" w:rsidR="0084266A" w:rsidRPr="00257F44" w:rsidRDefault="0084266A" w:rsidP="00466E44">
            <w:pPr>
              <w:rPr>
                <w:rFonts w:ascii="Zapf Dingbats" w:eastAsia="MS Mincho" w:hAnsi="Zapf Dingbats" w:cs="MS Mincho"/>
                <w:noProof/>
                <w:sz w:val="22"/>
                <w:szCs w:val="22"/>
                <w:lang w:val="uk-UA"/>
              </w:rPr>
            </w:pPr>
          </w:p>
        </w:tc>
        <w:tc>
          <w:tcPr>
            <w:tcW w:w="416" w:type="dxa"/>
            <w:vMerge w:val="restart"/>
            <w:tcBorders>
              <w:top w:val="single" w:sz="18" w:space="0" w:color="FFFFFF"/>
              <w:left w:val="single" w:sz="2" w:space="0" w:color="FFFFFF"/>
              <w:right w:val="single" w:sz="2" w:space="0" w:color="FFFFFF"/>
            </w:tcBorders>
            <w:shd w:val="clear" w:color="auto" w:fill="CCC0D9"/>
          </w:tcPr>
          <w:p w14:paraId="1A63DC59" w14:textId="6FFBF780" w:rsidR="0084266A" w:rsidRPr="00257F44" w:rsidRDefault="00D0117B" w:rsidP="00466E44">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40" w:type="dxa"/>
            <w:vMerge w:val="restart"/>
            <w:tcBorders>
              <w:top w:val="single" w:sz="18" w:space="0" w:color="FFFFFF"/>
              <w:left w:val="single" w:sz="2" w:space="0" w:color="FFFFFF"/>
              <w:right w:val="single" w:sz="18" w:space="0" w:color="FFFFFF"/>
            </w:tcBorders>
            <w:shd w:val="clear" w:color="auto" w:fill="CCC0D9"/>
          </w:tcPr>
          <w:p w14:paraId="040914FB" w14:textId="3052D7F2" w:rsidR="0084266A" w:rsidRPr="00257F44" w:rsidRDefault="0084266A" w:rsidP="00466E44">
            <w:pPr>
              <w:rPr>
                <w:rFonts w:ascii="Zapf Dingbats" w:eastAsia="MS Mincho" w:hAnsi="Zapf Dingbats" w:cs="MS Mincho"/>
                <w:noProof/>
                <w:sz w:val="22"/>
                <w:szCs w:val="22"/>
                <w:lang w:val="uk-UA"/>
              </w:rPr>
            </w:pPr>
          </w:p>
        </w:tc>
        <w:tc>
          <w:tcPr>
            <w:tcW w:w="467"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6B76A212" w14:textId="77777777" w:rsidR="0084266A" w:rsidRPr="00257F44" w:rsidRDefault="0084266A" w:rsidP="00466E44">
            <w:pPr>
              <w:rPr>
                <w:rFonts w:ascii="Zapf Dingbats" w:eastAsia="MS Mincho" w:hAnsi="Zapf Dingbats" w:cs="MS Mincho"/>
                <w:noProof/>
                <w:sz w:val="22"/>
                <w:szCs w:val="22"/>
                <w:lang w:val="uk-UA"/>
              </w:rPr>
            </w:pPr>
          </w:p>
        </w:tc>
        <w:tc>
          <w:tcPr>
            <w:tcW w:w="514"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413471EB" w14:textId="77777777" w:rsidR="0084266A" w:rsidRPr="00257F44" w:rsidRDefault="0084266A" w:rsidP="00466E44">
            <w:pPr>
              <w:rPr>
                <w:rFonts w:ascii="Zapf Dingbats" w:eastAsia="MS Mincho" w:hAnsi="Zapf Dingbats" w:cs="MS Mincho"/>
                <w:noProof/>
                <w:sz w:val="22"/>
                <w:szCs w:val="22"/>
                <w:lang w:val="uk-UA"/>
              </w:rPr>
            </w:pPr>
          </w:p>
        </w:tc>
        <w:tc>
          <w:tcPr>
            <w:tcW w:w="514"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14031512" w14:textId="77777777" w:rsidR="0084266A" w:rsidRPr="00257F44" w:rsidRDefault="0084266A" w:rsidP="00466E44">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404"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554C1F11" w14:textId="77777777" w:rsidR="0084266A" w:rsidRPr="00257F44" w:rsidRDefault="0084266A" w:rsidP="00466E44">
            <w:pPr>
              <w:rPr>
                <w:rFonts w:ascii="Zapf Dingbats" w:eastAsia="MS Mincho" w:hAnsi="Zapf Dingbats" w:cs="MS Mincho"/>
                <w:noProof/>
                <w:sz w:val="22"/>
                <w:szCs w:val="22"/>
                <w:lang w:val="uk-UA"/>
              </w:rPr>
            </w:pPr>
          </w:p>
        </w:tc>
        <w:tc>
          <w:tcPr>
            <w:tcW w:w="340" w:type="dxa"/>
            <w:vMerge w:val="restart"/>
            <w:tcBorders>
              <w:top w:val="single" w:sz="18" w:space="0" w:color="FFFFFF"/>
              <w:left w:val="single" w:sz="18" w:space="0" w:color="FFFFFF"/>
              <w:right w:val="single" w:sz="2" w:space="0" w:color="FFFFFF"/>
            </w:tcBorders>
            <w:shd w:val="clear" w:color="auto" w:fill="D99594"/>
          </w:tcPr>
          <w:p w14:paraId="6450AC9C" w14:textId="77777777" w:rsidR="0084266A" w:rsidRPr="00257F44" w:rsidRDefault="0084266A" w:rsidP="00FD644B">
            <w:pPr>
              <w:jc w:val="center"/>
              <w:rPr>
                <w:rFonts w:ascii="Gill Sans" w:hAnsi="Gill Sans" w:cs="Gill Sans"/>
                <w:sz w:val="22"/>
                <w:szCs w:val="22"/>
                <w:lang w:val="uk-UA"/>
              </w:rPr>
            </w:pPr>
          </w:p>
        </w:tc>
        <w:tc>
          <w:tcPr>
            <w:tcW w:w="384" w:type="dxa"/>
            <w:vMerge w:val="restart"/>
            <w:tcBorders>
              <w:top w:val="single" w:sz="18" w:space="0" w:color="FFFFFF"/>
              <w:left w:val="single" w:sz="2" w:space="0" w:color="FFFFFF"/>
              <w:right w:val="single" w:sz="2" w:space="0" w:color="FFFFFF"/>
            </w:tcBorders>
            <w:shd w:val="clear" w:color="auto" w:fill="D99594"/>
          </w:tcPr>
          <w:p w14:paraId="05FAC9EC" w14:textId="24083ED7" w:rsidR="0084266A" w:rsidRPr="00257F44" w:rsidRDefault="0084266A" w:rsidP="00FD644B">
            <w:pPr>
              <w:jc w:val="center"/>
              <w:rPr>
                <w:rFonts w:ascii="Gill Sans" w:hAnsi="Gill Sans" w:cs="Gill Sans"/>
                <w:sz w:val="22"/>
                <w:szCs w:val="22"/>
                <w:lang w:val="uk-UA"/>
              </w:rPr>
            </w:pPr>
          </w:p>
        </w:tc>
        <w:tc>
          <w:tcPr>
            <w:tcW w:w="340" w:type="dxa"/>
            <w:vMerge w:val="restart"/>
            <w:tcBorders>
              <w:top w:val="single" w:sz="18" w:space="0" w:color="FFFFFF"/>
              <w:left w:val="single" w:sz="2" w:space="0" w:color="FFFFFF"/>
              <w:right w:val="single" w:sz="2" w:space="0" w:color="FFFFFF"/>
            </w:tcBorders>
            <w:shd w:val="clear" w:color="auto" w:fill="D99594"/>
          </w:tcPr>
          <w:p w14:paraId="01210FC5" w14:textId="41871C2D" w:rsidR="0084266A" w:rsidRPr="00257F44" w:rsidRDefault="0084266A" w:rsidP="00FD644B">
            <w:pPr>
              <w:jc w:val="center"/>
              <w:rPr>
                <w:rFonts w:ascii="Gill Sans" w:hAnsi="Gill Sans" w:cs="Gill Sans"/>
                <w:sz w:val="22"/>
                <w:szCs w:val="22"/>
                <w:lang w:val="uk-UA"/>
              </w:rPr>
            </w:pPr>
          </w:p>
        </w:tc>
        <w:tc>
          <w:tcPr>
            <w:tcW w:w="340" w:type="dxa"/>
            <w:vMerge w:val="restart"/>
            <w:tcBorders>
              <w:top w:val="single" w:sz="18" w:space="0" w:color="FFFFFF"/>
              <w:left w:val="single" w:sz="2" w:space="0" w:color="FFFFFF"/>
              <w:right w:val="single" w:sz="2" w:space="0" w:color="FFFFFF"/>
            </w:tcBorders>
            <w:shd w:val="clear" w:color="auto" w:fill="D99594"/>
          </w:tcPr>
          <w:p w14:paraId="6C66B269" w14:textId="77777777" w:rsidR="0084266A" w:rsidRPr="00257F44" w:rsidRDefault="0084266A" w:rsidP="00FD644B">
            <w:pPr>
              <w:jc w:val="center"/>
              <w:rPr>
                <w:rFonts w:ascii="Gill Sans" w:hAnsi="Gill Sans" w:cs="Gill Sans"/>
                <w:sz w:val="22"/>
                <w:szCs w:val="22"/>
                <w:lang w:val="uk-UA"/>
              </w:rPr>
            </w:pPr>
          </w:p>
        </w:tc>
        <w:tc>
          <w:tcPr>
            <w:tcW w:w="515" w:type="dxa"/>
            <w:vMerge w:val="restart"/>
            <w:tcBorders>
              <w:top w:val="single" w:sz="18" w:space="0" w:color="FFFFFF"/>
              <w:left w:val="single" w:sz="2" w:space="0" w:color="FFFFFF"/>
              <w:right w:val="single" w:sz="18" w:space="0" w:color="FFFFFF"/>
            </w:tcBorders>
            <w:shd w:val="clear" w:color="auto" w:fill="D99594"/>
          </w:tcPr>
          <w:p w14:paraId="3AD748AD" w14:textId="6B5F830A" w:rsidR="0084266A" w:rsidRPr="00257F44" w:rsidRDefault="00E32E4A" w:rsidP="00466E44">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r>
      <w:tr w:rsidR="00A61FBC" w:rsidRPr="00257F44" w14:paraId="6411995A" w14:textId="77777777" w:rsidTr="00B223BA">
        <w:trPr>
          <w:trHeight w:val="332"/>
        </w:trPr>
        <w:tc>
          <w:tcPr>
            <w:tcW w:w="1442" w:type="dxa"/>
            <w:vMerge/>
            <w:tcBorders>
              <w:left w:val="nil"/>
              <w:bottom w:val="single" w:sz="18" w:space="0" w:color="FFFFFF"/>
            </w:tcBorders>
            <w:shd w:val="clear" w:color="auto" w:fill="000000"/>
          </w:tcPr>
          <w:p w14:paraId="15BC5D02" w14:textId="77777777" w:rsidR="0084266A" w:rsidRPr="00257F44" w:rsidRDefault="0084266A" w:rsidP="007A1164">
            <w:pPr>
              <w:rPr>
                <w:rFonts w:ascii="Gill Sans" w:hAnsi="Gill Sans" w:cs="Gill Sans"/>
                <w:sz w:val="22"/>
                <w:szCs w:val="22"/>
                <w:lang w:val="uk-UA"/>
              </w:rPr>
            </w:pPr>
          </w:p>
        </w:tc>
        <w:tc>
          <w:tcPr>
            <w:tcW w:w="472" w:type="dxa"/>
            <w:vMerge/>
            <w:tcBorders>
              <w:bottom w:val="single" w:sz="18" w:space="0" w:color="FFFFFF"/>
              <w:right w:val="single" w:sz="2" w:space="0" w:color="FFFFFF"/>
            </w:tcBorders>
            <w:shd w:val="clear" w:color="auto" w:fill="D6E3BC"/>
          </w:tcPr>
          <w:p w14:paraId="7648D018" w14:textId="77777777" w:rsidR="0084266A" w:rsidRPr="00257F44" w:rsidRDefault="0084266A" w:rsidP="007A1164">
            <w:pPr>
              <w:rPr>
                <w:rFonts w:ascii="Gill Sans" w:hAnsi="Gill Sans" w:cs="Gill Sans"/>
                <w:sz w:val="22"/>
                <w:szCs w:val="22"/>
                <w:lang w:val="uk-UA"/>
              </w:rPr>
            </w:pPr>
          </w:p>
        </w:tc>
        <w:tc>
          <w:tcPr>
            <w:tcW w:w="408" w:type="dxa"/>
            <w:vMerge/>
            <w:tcBorders>
              <w:left w:val="single" w:sz="2" w:space="0" w:color="FFFFFF"/>
              <w:bottom w:val="single" w:sz="18" w:space="0" w:color="FFFFFF"/>
              <w:right w:val="single" w:sz="2" w:space="0" w:color="FFFFFF"/>
            </w:tcBorders>
            <w:shd w:val="clear" w:color="auto" w:fill="D6E3BC"/>
          </w:tcPr>
          <w:p w14:paraId="626415AA" w14:textId="77777777" w:rsidR="0084266A" w:rsidRPr="00257F44" w:rsidRDefault="0084266A" w:rsidP="007A1164">
            <w:pPr>
              <w:rPr>
                <w:rFonts w:ascii="Gill Sans" w:hAnsi="Gill Sans" w:cs="Gill Sans"/>
                <w:sz w:val="22"/>
                <w:szCs w:val="22"/>
                <w:lang w:val="uk-UA"/>
              </w:rPr>
            </w:pPr>
          </w:p>
        </w:tc>
        <w:tc>
          <w:tcPr>
            <w:tcW w:w="350" w:type="dxa"/>
            <w:vMerge/>
            <w:tcBorders>
              <w:left w:val="single" w:sz="2" w:space="0" w:color="FFFFFF"/>
              <w:bottom w:val="single" w:sz="18" w:space="0" w:color="FFFFFF"/>
              <w:right w:val="single" w:sz="2" w:space="0" w:color="FFFFFF"/>
            </w:tcBorders>
            <w:shd w:val="clear" w:color="auto" w:fill="D6E3BC"/>
          </w:tcPr>
          <w:p w14:paraId="349FF8CB" w14:textId="77777777" w:rsidR="0084266A" w:rsidRPr="00257F44" w:rsidRDefault="0084266A" w:rsidP="007A1164">
            <w:pPr>
              <w:rPr>
                <w:rFonts w:ascii="Gill Sans" w:hAnsi="Gill Sans" w:cs="Gill Sans"/>
                <w:sz w:val="22"/>
                <w:szCs w:val="22"/>
                <w:lang w:val="uk-UA"/>
              </w:rPr>
            </w:pPr>
          </w:p>
        </w:tc>
        <w:tc>
          <w:tcPr>
            <w:tcW w:w="343" w:type="dxa"/>
            <w:vMerge/>
            <w:tcBorders>
              <w:left w:val="single" w:sz="2" w:space="0" w:color="FFFFFF"/>
              <w:bottom w:val="single" w:sz="18" w:space="0" w:color="FFFFFF"/>
              <w:right w:val="single" w:sz="18" w:space="0" w:color="FFFFFF"/>
            </w:tcBorders>
            <w:shd w:val="clear" w:color="auto" w:fill="D6E3BC"/>
          </w:tcPr>
          <w:p w14:paraId="78185C02" w14:textId="77777777" w:rsidR="0084266A" w:rsidRPr="00257F44" w:rsidRDefault="0084266A" w:rsidP="007A1164">
            <w:pPr>
              <w:rPr>
                <w:rFonts w:ascii="Zapf Dingbats" w:eastAsia="MS Mincho" w:hAnsi="Zapf Dingbats" w:cs="MS Mincho"/>
                <w:noProof/>
                <w:sz w:val="22"/>
                <w:szCs w:val="22"/>
                <w:lang w:val="uk-UA"/>
              </w:rPr>
            </w:pPr>
          </w:p>
        </w:tc>
        <w:tc>
          <w:tcPr>
            <w:tcW w:w="372" w:type="dxa"/>
            <w:gridSpan w:val="2"/>
            <w:vMerge/>
            <w:tcBorders>
              <w:top w:val="single" w:sz="4" w:space="0" w:color="auto"/>
              <w:left w:val="single" w:sz="2" w:space="0" w:color="FFFFFF"/>
              <w:bottom w:val="single" w:sz="18" w:space="0" w:color="FFFFFF"/>
              <w:right w:val="single" w:sz="4" w:space="0" w:color="FFFFFF" w:themeColor="background1"/>
            </w:tcBorders>
            <w:shd w:val="clear" w:color="auto" w:fill="FBD4B4"/>
          </w:tcPr>
          <w:p w14:paraId="328FCC10" w14:textId="77777777" w:rsidR="0084266A" w:rsidRPr="00257F44" w:rsidRDefault="0084266A" w:rsidP="007A1164">
            <w:pPr>
              <w:rPr>
                <w:rFonts w:ascii="Zapf Dingbats" w:eastAsia="MS Mincho" w:hAnsi="Zapf Dingbats" w:cs="MS Mincho"/>
                <w:noProof/>
                <w:sz w:val="22"/>
                <w:szCs w:val="22"/>
                <w:lang w:val="uk-UA"/>
              </w:rPr>
            </w:pPr>
          </w:p>
        </w:tc>
        <w:tc>
          <w:tcPr>
            <w:tcW w:w="336" w:type="dxa"/>
            <w:vMerge/>
            <w:tcBorders>
              <w:top w:val="single" w:sz="4" w:space="0" w:color="auto"/>
              <w:left w:val="single" w:sz="4" w:space="0" w:color="FFFFFF" w:themeColor="background1"/>
              <w:bottom w:val="single" w:sz="18" w:space="0" w:color="FFFFFF"/>
              <w:right w:val="single" w:sz="4" w:space="0" w:color="FFFFFF" w:themeColor="background1"/>
            </w:tcBorders>
            <w:shd w:val="clear" w:color="auto" w:fill="FBD4B4"/>
          </w:tcPr>
          <w:p w14:paraId="51945B0D" w14:textId="77777777" w:rsidR="0084266A" w:rsidRPr="00257F44" w:rsidRDefault="0084266A" w:rsidP="007A1164">
            <w:pPr>
              <w:rPr>
                <w:rFonts w:ascii="Zapf Dingbats" w:eastAsia="MS Mincho" w:hAnsi="Zapf Dingbats" w:cs="MS Mincho"/>
                <w:noProof/>
                <w:sz w:val="22"/>
                <w:szCs w:val="22"/>
                <w:lang w:val="uk-UA"/>
              </w:rPr>
            </w:pPr>
          </w:p>
        </w:tc>
        <w:tc>
          <w:tcPr>
            <w:tcW w:w="395" w:type="dxa"/>
            <w:gridSpan w:val="2"/>
            <w:vMerge/>
            <w:tcBorders>
              <w:top w:val="single" w:sz="4" w:space="0" w:color="auto"/>
              <w:left w:val="single" w:sz="4" w:space="0" w:color="FFFFFF" w:themeColor="background1"/>
              <w:bottom w:val="single" w:sz="18" w:space="0" w:color="FFFFFF"/>
              <w:right w:val="single" w:sz="4" w:space="0" w:color="FFFFFF" w:themeColor="background1"/>
            </w:tcBorders>
            <w:shd w:val="clear" w:color="auto" w:fill="FBD4B4"/>
          </w:tcPr>
          <w:p w14:paraId="4375E860" w14:textId="77777777" w:rsidR="0084266A" w:rsidRPr="00257F44" w:rsidRDefault="0084266A" w:rsidP="007A1164">
            <w:pPr>
              <w:rPr>
                <w:rFonts w:ascii="Zapf Dingbats" w:eastAsia="MS Mincho" w:hAnsi="Zapf Dingbats" w:cs="MS Mincho"/>
                <w:noProof/>
                <w:sz w:val="22"/>
                <w:szCs w:val="22"/>
                <w:lang w:val="uk-UA"/>
              </w:rPr>
            </w:pPr>
          </w:p>
        </w:tc>
        <w:tc>
          <w:tcPr>
            <w:tcW w:w="387" w:type="dxa"/>
            <w:gridSpan w:val="2"/>
            <w:vMerge/>
            <w:tcBorders>
              <w:top w:val="single" w:sz="4" w:space="0" w:color="auto"/>
              <w:left w:val="single" w:sz="4" w:space="0" w:color="FFFFFF" w:themeColor="background1"/>
              <w:bottom w:val="single" w:sz="18" w:space="0" w:color="FFFFFF"/>
              <w:right w:val="single" w:sz="4" w:space="0" w:color="FFFFFF" w:themeColor="background1"/>
            </w:tcBorders>
            <w:shd w:val="clear" w:color="auto" w:fill="FBD4B4"/>
          </w:tcPr>
          <w:p w14:paraId="1D607EDF" w14:textId="77777777" w:rsidR="0084266A" w:rsidRPr="00257F44" w:rsidRDefault="0084266A" w:rsidP="007A1164">
            <w:pPr>
              <w:rPr>
                <w:rFonts w:ascii="Zapf Dingbats" w:eastAsia="MS Mincho" w:hAnsi="Zapf Dingbats" w:cs="MS Mincho"/>
                <w:noProof/>
                <w:sz w:val="22"/>
                <w:szCs w:val="22"/>
                <w:lang w:val="uk-UA"/>
              </w:rPr>
            </w:pPr>
          </w:p>
        </w:tc>
        <w:tc>
          <w:tcPr>
            <w:tcW w:w="373" w:type="dxa"/>
            <w:vMerge/>
            <w:tcBorders>
              <w:top w:val="single" w:sz="4" w:space="0" w:color="auto"/>
              <w:left w:val="single" w:sz="4" w:space="0" w:color="FFFFFF" w:themeColor="background1"/>
              <w:bottom w:val="single" w:sz="18" w:space="0" w:color="FFFFFF"/>
              <w:right w:val="single" w:sz="18" w:space="0" w:color="FFFFFF"/>
            </w:tcBorders>
            <w:shd w:val="clear" w:color="auto" w:fill="FBD4B4"/>
          </w:tcPr>
          <w:p w14:paraId="598EB7E1" w14:textId="4A1213D6" w:rsidR="0084266A" w:rsidRPr="00257F44" w:rsidRDefault="0084266A" w:rsidP="007A1164">
            <w:pPr>
              <w:rPr>
                <w:rFonts w:ascii="Zapf Dingbats" w:eastAsia="MS Mincho" w:hAnsi="Zapf Dingbats" w:cs="MS Mincho"/>
                <w:noProof/>
                <w:sz w:val="22"/>
                <w:szCs w:val="22"/>
                <w:lang w:val="uk-UA"/>
              </w:rPr>
            </w:pPr>
          </w:p>
        </w:tc>
        <w:tc>
          <w:tcPr>
            <w:tcW w:w="416" w:type="dxa"/>
            <w:vMerge/>
            <w:tcBorders>
              <w:left w:val="single" w:sz="18" w:space="0" w:color="FFFFFF"/>
              <w:bottom w:val="single" w:sz="18" w:space="0" w:color="FFFFFF"/>
              <w:right w:val="single" w:sz="2" w:space="0" w:color="FFFFFF"/>
            </w:tcBorders>
            <w:shd w:val="clear" w:color="auto" w:fill="CCC0D9"/>
          </w:tcPr>
          <w:p w14:paraId="53311604" w14:textId="77777777" w:rsidR="0084266A" w:rsidRPr="00257F44" w:rsidRDefault="0084266A" w:rsidP="007A1164">
            <w:pPr>
              <w:rPr>
                <w:rFonts w:ascii="Zapf Dingbats" w:eastAsia="MS Mincho" w:hAnsi="Zapf Dingbats" w:cs="MS Mincho"/>
                <w:noProof/>
                <w:sz w:val="22"/>
                <w:szCs w:val="22"/>
                <w:lang w:val="uk-UA"/>
              </w:rPr>
            </w:pPr>
          </w:p>
        </w:tc>
        <w:tc>
          <w:tcPr>
            <w:tcW w:w="340" w:type="dxa"/>
            <w:vMerge/>
            <w:tcBorders>
              <w:left w:val="single" w:sz="2" w:space="0" w:color="FFFFFF"/>
              <w:bottom w:val="single" w:sz="18" w:space="0" w:color="FFFFFF"/>
              <w:right w:val="single" w:sz="2" w:space="0" w:color="FFFFFF"/>
            </w:tcBorders>
            <w:shd w:val="clear" w:color="auto" w:fill="CCC0D9"/>
          </w:tcPr>
          <w:p w14:paraId="1D268B25" w14:textId="77777777" w:rsidR="0084266A" w:rsidRPr="00257F44" w:rsidRDefault="0084266A" w:rsidP="007A1164">
            <w:pPr>
              <w:rPr>
                <w:rFonts w:ascii="Zapf Dingbats" w:eastAsia="MS Mincho" w:hAnsi="Zapf Dingbats" w:cs="MS Mincho"/>
                <w:noProof/>
                <w:sz w:val="22"/>
                <w:szCs w:val="22"/>
                <w:lang w:val="uk-UA"/>
              </w:rPr>
            </w:pPr>
          </w:p>
        </w:tc>
        <w:tc>
          <w:tcPr>
            <w:tcW w:w="416" w:type="dxa"/>
            <w:vMerge/>
            <w:tcBorders>
              <w:left w:val="single" w:sz="2" w:space="0" w:color="FFFFFF"/>
              <w:bottom w:val="single" w:sz="18" w:space="0" w:color="FFFFFF"/>
              <w:right w:val="single" w:sz="2" w:space="0" w:color="FFFFFF"/>
            </w:tcBorders>
            <w:shd w:val="clear" w:color="auto" w:fill="CCC0D9"/>
          </w:tcPr>
          <w:p w14:paraId="6AB4CF4C" w14:textId="77777777" w:rsidR="0084266A" w:rsidRPr="00257F44" w:rsidRDefault="0084266A" w:rsidP="007A1164">
            <w:pPr>
              <w:rPr>
                <w:rFonts w:ascii="Zapf Dingbats" w:eastAsia="MS Mincho" w:hAnsi="Zapf Dingbats" w:cs="MS Mincho"/>
                <w:noProof/>
                <w:sz w:val="22"/>
                <w:szCs w:val="22"/>
                <w:lang w:val="uk-UA"/>
              </w:rPr>
            </w:pPr>
          </w:p>
        </w:tc>
        <w:tc>
          <w:tcPr>
            <w:tcW w:w="340" w:type="dxa"/>
            <w:vMerge/>
            <w:tcBorders>
              <w:left w:val="single" w:sz="2" w:space="0" w:color="FFFFFF"/>
              <w:bottom w:val="single" w:sz="18" w:space="0" w:color="FFFFFF"/>
              <w:right w:val="single" w:sz="18" w:space="0" w:color="FFFFFF"/>
            </w:tcBorders>
            <w:shd w:val="clear" w:color="auto" w:fill="CCC0D9"/>
          </w:tcPr>
          <w:p w14:paraId="3581940A" w14:textId="77777777" w:rsidR="0084266A" w:rsidRPr="00257F44" w:rsidRDefault="0084266A" w:rsidP="007A1164">
            <w:pPr>
              <w:rPr>
                <w:rFonts w:ascii="Zapf Dingbats" w:eastAsia="MS Mincho" w:hAnsi="Zapf Dingbats" w:cs="MS Mincho"/>
                <w:noProof/>
                <w:sz w:val="22"/>
                <w:szCs w:val="22"/>
                <w:lang w:val="uk-UA"/>
              </w:rPr>
            </w:pPr>
          </w:p>
        </w:tc>
        <w:tc>
          <w:tcPr>
            <w:tcW w:w="467" w:type="dxa"/>
            <w:tcBorders>
              <w:top w:val="single" w:sz="8" w:space="0" w:color="FFFFFF" w:themeColor="background1"/>
              <w:left w:val="single" w:sz="18" w:space="0" w:color="FFFFFF"/>
              <w:bottom w:val="single" w:sz="18" w:space="0" w:color="FFFFFF"/>
              <w:right w:val="single" w:sz="4" w:space="0" w:color="FFFFFF" w:themeColor="background1"/>
            </w:tcBorders>
            <w:shd w:val="clear" w:color="auto" w:fill="B8CCE4"/>
          </w:tcPr>
          <w:p w14:paraId="47192005" w14:textId="77777777" w:rsidR="0084266A" w:rsidRPr="00257F44" w:rsidRDefault="0084266A" w:rsidP="007A1164">
            <w:pPr>
              <w:rPr>
                <w:rFonts w:ascii="Zapf Dingbats" w:eastAsia="MS Mincho" w:hAnsi="Zapf Dingbats" w:cs="MS Mincho"/>
                <w:noProof/>
                <w:sz w:val="22"/>
                <w:szCs w:val="22"/>
                <w:lang w:val="uk-UA"/>
              </w:rPr>
            </w:pPr>
          </w:p>
        </w:tc>
        <w:tc>
          <w:tcPr>
            <w:tcW w:w="514" w:type="dxa"/>
            <w:tcBorders>
              <w:top w:val="single" w:sz="8" w:space="0" w:color="FFFFFF" w:themeColor="background1"/>
              <w:left w:val="single" w:sz="4" w:space="0" w:color="FFFFFF" w:themeColor="background1"/>
              <w:bottom w:val="single" w:sz="18" w:space="0" w:color="FFFFFF"/>
              <w:right w:val="single" w:sz="2" w:space="0" w:color="FFFFFF"/>
            </w:tcBorders>
            <w:shd w:val="clear" w:color="auto" w:fill="B8CCE4"/>
          </w:tcPr>
          <w:p w14:paraId="29EE383C" w14:textId="77777777" w:rsidR="0084266A" w:rsidRPr="00257F44" w:rsidRDefault="0084266A" w:rsidP="007A1164">
            <w:pPr>
              <w:rPr>
                <w:rFonts w:ascii="Zapf Dingbats" w:eastAsia="MS Mincho" w:hAnsi="Zapf Dingbats" w:cs="MS Mincho"/>
                <w:noProof/>
                <w:sz w:val="22"/>
                <w:szCs w:val="22"/>
                <w:lang w:val="uk-UA"/>
              </w:rPr>
            </w:pPr>
          </w:p>
        </w:tc>
        <w:tc>
          <w:tcPr>
            <w:tcW w:w="514" w:type="dxa"/>
            <w:tcBorders>
              <w:top w:val="single" w:sz="8" w:space="0" w:color="FFFFFF" w:themeColor="background1"/>
              <w:left w:val="single" w:sz="2" w:space="0" w:color="FFFFFF"/>
              <w:bottom w:val="single" w:sz="18" w:space="0" w:color="FFFFFF"/>
              <w:right w:val="single" w:sz="2" w:space="0" w:color="FFFFFF"/>
            </w:tcBorders>
            <w:shd w:val="clear" w:color="auto" w:fill="B8CCE4"/>
          </w:tcPr>
          <w:p w14:paraId="32F01629" w14:textId="44438459" w:rsidR="0084266A" w:rsidRPr="00257F44" w:rsidRDefault="0084266A" w:rsidP="007A1164">
            <w:pPr>
              <w:rPr>
                <w:rFonts w:ascii="Zapf Dingbats" w:eastAsia="MS Mincho" w:hAnsi="Zapf Dingbats" w:cs="MS Mincho"/>
                <w:noProof/>
                <w:sz w:val="22"/>
                <w:szCs w:val="22"/>
                <w:lang w:val="uk-UA"/>
              </w:rPr>
            </w:pPr>
          </w:p>
        </w:tc>
        <w:tc>
          <w:tcPr>
            <w:tcW w:w="404" w:type="dxa"/>
            <w:tcBorders>
              <w:top w:val="single" w:sz="8" w:space="0" w:color="FFFFFF" w:themeColor="background1"/>
              <w:left w:val="single" w:sz="2" w:space="0" w:color="FFFFFF"/>
              <w:bottom w:val="single" w:sz="18" w:space="0" w:color="FFFFFF"/>
              <w:right w:val="single" w:sz="18" w:space="0" w:color="FFFFFF"/>
            </w:tcBorders>
            <w:shd w:val="clear" w:color="auto" w:fill="B8CCE4"/>
          </w:tcPr>
          <w:p w14:paraId="3F8EFDDC" w14:textId="1B614E04" w:rsidR="0084266A" w:rsidRPr="00257F44" w:rsidRDefault="00FD644B" w:rsidP="007A1164">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40" w:type="dxa"/>
            <w:vMerge/>
            <w:tcBorders>
              <w:left w:val="single" w:sz="18" w:space="0" w:color="FFFFFF"/>
              <w:bottom w:val="single" w:sz="18" w:space="0" w:color="FFFFFF"/>
              <w:right w:val="single" w:sz="2" w:space="0" w:color="FFFFFF"/>
            </w:tcBorders>
            <w:shd w:val="clear" w:color="auto" w:fill="D99594"/>
          </w:tcPr>
          <w:p w14:paraId="6BADA807" w14:textId="77777777" w:rsidR="0084266A" w:rsidRPr="00257F44" w:rsidRDefault="0084266A" w:rsidP="007A1164">
            <w:pPr>
              <w:rPr>
                <w:rFonts w:ascii="Gill Sans" w:hAnsi="Gill Sans" w:cs="Gill Sans"/>
                <w:sz w:val="22"/>
                <w:szCs w:val="22"/>
                <w:lang w:val="uk-UA"/>
              </w:rPr>
            </w:pPr>
          </w:p>
        </w:tc>
        <w:tc>
          <w:tcPr>
            <w:tcW w:w="384" w:type="dxa"/>
            <w:vMerge/>
            <w:tcBorders>
              <w:left w:val="single" w:sz="2" w:space="0" w:color="FFFFFF"/>
              <w:bottom w:val="single" w:sz="18" w:space="0" w:color="FFFFFF"/>
              <w:right w:val="single" w:sz="2" w:space="0" w:color="FFFFFF"/>
            </w:tcBorders>
            <w:shd w:val="clear" w:color="auto" w:fill="D99594"/>
          </w:tcPr>
          <w:p w14:paraId="0013FCD9" w14:textId="77777777" w:rsidR="0084266A" w:rsidRPr="00257F44" w:rsidRDefault="0084266A" w:rsidP="007A1164">
            <w:pPr>
              <w:rPr>
                <w:rFonts w:ascii="Gill Sans" w:hAnsi="Gill Sans" w:cs="Gill Sans"/>
                <w:sz w:val="22"/>
                <w:szCs w:val="22"/>
                <w:lang w:val="uk-UA"/>
              </w:rPr>
            </w:pPr>
          </w:p>
        </w:tc>
        <w:tc>
          <w:tcPr>
            <w:tcW w:w="340" w:type="dxa"/>
            <w:vMerge/>
            <w:tcBorders>
              <w:left w:val="single" w:sz="2" w:space="0" w:color="FFFFFF"/>
              <w:bottom w:val="single" w:sz="18" w:space="0" w:color="FFFFFF"/>
              <w:right w:val="single" w:sz="2" w:space="0" w:color="FFFFFF"/>
            </w:tcBorders>
            <w:shd w:val="clear" w:color="auto" w:fill="D99594"/>
          </w:tcPr>
          <w:p w14:paraId="19D7BE51" w14:textId="77777777" w:rsidR="0084266A" w:rsidRPr="00257F44" w:rsidRDefault="0084266A" w:rsidP="007A1164">
            <w:pPr>
              <w:rPr>
                <w:rFonts w:ascii="Gill Sans" w:hAnsi="Gill Sans" w:cs="Gill Sans"/>
                <w:sz w:val="22"/>
                <w:szCs w:val="22"/>
                <w:lang w:val="uk-UA"/>
              </w:rPr>
            </w:pPr>
          </w:p>
        </w:tc>
        <w:tc>
          <w:tcPr>
            <w:tcW w:w="340" w:type="dxa"/>
            <w:vMerge/>
            <w:tcBorders>
              <w:left w:val="single" w:sz="2" w:space="0" w:color="FFFFFF"/>
              <w:bottom w:val="single" w:sz="18" w:space="0" w:color="FFFFFF"/>
              <w:right w:val="single" w:sz="2" w:space="0" w:color="FFFFFF"/>
            </w:tcBorders>
            <w:shd w:val="clear" w:color="auto" w:fill="D99594"/>
          </w:tcPr>
          <w:p w14:paraId="04ACE6B9" w14:textId="77777777" w:rsidR="0084266A" w:rsidRPr="00257F44" w:rsidRDefault="0084266A" w:rsidP="007A1164">
            <w:pPr>
              <w:rPr>
                <w:rFonts w:ascii="Gill Sans" w:hAnsi="Gill Sans" w:cs="Gill Sans"/>
                <w:sz w:val="22"/>
                <w:szCs w:val="22"/>
                <w:lang w:val="uk-UA"/>
              </w:rPr>
            </w:pPr>
          </w:p>
        </w:tc>
        <w:tc>
          <w:tcPr>
            <w:tcW w:w="515" w:type="dxa"/>
            <w:vMerge/>
            <w:tcBorders>
              <w:left w:val="single" w:sz="2" w:space="0" w:color="FFFFFF"/>
              <w:bottom w:val="single" w:sz="18" w:space="0" w:color="FFFFFF"/>
              <w:right w:val="single" w:sz="18" w:space="0" w:color="FFFFFF"/>
            </w:tcBorders>
            <w:shd w:val="clear" w:color="auto" w:fill="D99594"/>
          </w:tcPr>
          <w:p w14:paraId="781BF84D" w14:textId="77777777" w:rsidR="0084266A" w:rsidRPr="00257F44" w:rsidRDefault="0084266A" w:rsidP="007A1164">
            <w:pPr>
              <w:rPr>
                <w:rFonts w:ascii="Gill Sans" w:hAnsi="Gill Sans" w:cs="Gill Sans"/>
                <w:sz w:val="22"/>
                <w:szCs w:val="22"/>
                <w:lang w:val="uk-UA"/>
              </w:rPr>
            </w:pPr>
          </w:p>
        </w:tc>
      </w:tr>
    </w:tbl>
    <w:p w14:paraId="0C76BF37" w14:textId="77777777" w:rsidR="006023C3" w:rsidRPr="00257F44" w:rsidRDefault="006023C3" w:rsidP="00163080">
      <w:pPr>
        <w:pStyle w:val="Heading3"/>
        <w:rPr>
          <w:szCs w:val="22"/>
          <w:lang w:val="uk-UA"/>
        </w:rPr>
      </w:pPr>
    </w:p>
    <w:p w14:paraId="7F29CA8C" w14:textId="77777777" w:rsidR="00B75120" w:rsidRPr="00257F44" w:rsidRDefault="00B75120" w:rsidP="00FD4E6C">
      <w:pPr>
        <w:pStyle w:val="Heading3"/>
        <w:spacing w:after="120"/>
        <w:rPr>
          <w:lang w:val="uk-UA"/>
        </w:rPr>
      </w:pPr>
      <w:r w:rsidRPr="00257F44">
        <w:rPr>
          <w:lang w:val="uk-UA"/>
        </w:rPr>
        <w:t>Мета зобов’язання</w:t>
      </w:r>
    </w:p>
    <w:p w14:paraId="51692649" w14:textId="52FCA8E1" w:rsidR="0078301E" w:rsidRPr="00257F44" w:rsidRDefault="00E823EE" w:rsidP="00FD4E6C">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До </w:t>
      </w:r>
      <w:r w:rsidR="00A225FC" w:rsidRPr="00257F44">
        <w:rPr>
          <w:rFonts w:ascii="Gill Sans" w:hAnsi="Gill Sans" w:cs="Gill Sans"/>
          <w:noProof/>
          <w:sz w:val="22"/>
          <w:szCs w:val="22"/>
          <w:lang w:val="uk-UA"/>
        </w:rPr>
        <w:t xml:space="preserve">реалізації </w:t>
      </w:r>
      <w:r w:rsidRPr="00257F44">
        <w:rPr>
          <w:rFonts w:ascii="Gill Sans" w:hAnsi="Gill Sans" w:cs="Gill Sans"/>
          <w:noProof/>
          <w:sz w:val="22"/>
          <w:szCs w:val="22"/>
          <w:lang w:val="uk-UA"/>
        </w:rPr>
        <w:t>зобов’язання в Україні було відсутнє законодавство щодо машиночитаних даних та їх ініціативного оприлюднення органами влади і можливості повторного використання приватними суб’єктами. Обидва зобов’язання мали на меті розробити законодавчу основу для публічного доступу до інформації, що знаходиться у володінні органів публічної влади</w:t>
      </w:r>
      <w:r w:rsidR="00FD4E6C">
        <w:rPr>
          <w:rFonts w:ascii="Gill Sans" w:hAnsi="Gill Sans" w:cs="Gill Sans"/>
          <w:noProof/>
          <w:sz w:val="22"/>
          <w:szCs w:val="22"/>
          <w:lang w:val="uk-UA"/>
        </w:rPr>
        <w:t>,</w:t>
      </w:r>
      <w:r w:rsidRPr="00257F44">
        <w:rPr>
          <w:rFonts w:ascii="Gill Sans" w:hAnsi="Gill Sans" w:cs="Gill Sans"/>
          <w:noProof/>
          <w:sz w:val="22"/>
          <w:szCs w:val="22"/>
          <w:lang w:val="uk-UA"/>
        </w:rPr>
        <w:t xml:space="preserve"> у формі відкритих даних та </w:t>
      </w:r>
      <w:r w:rsidR="00A225FC" w:rsidRPr="00257F44">
        <w:rPr>
          <w:rFonts w:ascii="Gill Sans" w:hAnsi="Gill Sans" w:cs="Gill Sans"/>
          <w:noProof/>
          <w:sz w:val="22"/>
          <w:szCs w:val="22"/>
          <w:lang w:val="uk-UA"/>
        </w:rPr>
        <w:t xml:space="preserve">в </w:t>
      </w:r>
      <w:r w:rsidRPr="00257F44">
        <w:rPr>
          <w:rFonts w:ascii="Gill Sans" w:hAnsi="Gill Sans" w:cs="Gill Sans"/>
          <w:noProof/>
          <w:sz w:val="22"/>
          <w:szCs w:val="22"/>
          <w:lang w:val="uk-UA"/>
        </w:rPr>
        <w:t>машиночитаних форматах. Це повинно було сприяти інвестиціям та створити новий сектор економіки на основі даних.</w:t>
      </w:r>
    </w:p>
    <w:p w14:paraId="457FE653" w14:textId="77777777" w:rsidR="00B75120" w:rsidRPr="00257F44" w:rsidRDefault="00B75120" w:rsidP="00FD4E6C">
      <w:pPr>
        <w:pStyle w:val="Heading3"/>
        <w:spacing w:after="120"/>
        <w:rPr>
          <w:lang w:val="uk-UA"/>
        </w:rPr>
      </w:pPr>
      <w:r w:rsidRPr="00257F44">
        <w:rPr>
          <w:lang w:val="uk-UA"/>
        </w:rPr>
        <w:t>Статус виконання</w:t>
      </w:r>
    </w:p>
    <w:p w14:paraId="56B3CEA0" w14:textId="739FF4F8" w:rsidR="00B75120" w:rsidRPr="00257F44" w:rsidRDefault="00B75120" w:rsidP="00FD4E6C">
      <w:pPr>
        <w:pStyle w:val="Normalrglronly"/>
        <w:rPr>
          <w:b/>
          <w:lang w:val="uk-UA"/>
        </w:rPr>
      </w:pPr>
      <w:r w:rsidRPr="00257F44">
        <w:rPr>
          <w:b/>
          <w:lang w:val="uk-UA"/>
        </w:rPr>
        <w:t>Проміжний звіт: Повне виконання</w:t>
      </w:r>
    </w:p>
    <w:p w14:paraId="2A8A6857" w14:textId="70BBA93D" w:rsidR="00A225FC" w:rsidRPr="00257F44" w:rsidRDefault="00CB48C7" w:rsidP="00FD4E6C">
      <w:pPr>
        <w:spacing w:after="120"/>
        <w:rPr>
          <w:rFonts w:ascii="Gill Sans" w:hAnsi="Gill Sans" w:cs="Gill Sans"/>
          <w:noProof/>
          <w:sz w:val="22"/>
          <w:szCs w:val="22"/>
          <w:lang w:val="uk-UA"/>
        </w:rPr>
      </w:pPr>
      <w:r w:rsidRPr="00257F44">
        <w:rPr>
          <w:rFonts w:ascii="Gill Sans" w:hAnsi="Gill Sans" w:cs="Gill Sans"/>
          <w:noProof/>
          <w:sz w:val="22"/>
          <w:szCs w:val="22"/>
          <w:lang w:val="uk-UA"/>
        </w:rPr>
        <w:t>Зобов’язання розробити законопроект про доступ до публічної інформації у формі відкритих даних повністю виконано. Законопроект був розроблений за підтримки ПРООН наприкінці 2014 року. Президент подав законопроект</w:t>
      </w:r>
      <w:r w:rsidRPr="00257F44">
        <w:rPr>
          <w:rStyle w:val="EndnoteReference"/>
          <w:rFonts w:ascii="Gill Sans" w:hAnsi="Gill Sans" w:cs="Gill Sans"/>
          <w:noProof/>
          <w:sz w:val="22"/>
          <w:szCs w:val="22"/>
          <w:lang w:val="uk-UA"/>
        </w:rPr>
        <w:endnoteReference w:id="90"/>
      </w:r>
      <w:r w:rsidRPr="00257F44">
        <w:rPr>
          <w:rFonts w:ascii="Gill Sans" w:hAnsi="Gill Sans" w:cs="Gill Sans"/>
          <w:noProof/>
          <w:sz w:val="22"/>
          <w:szCs w:val="22"/>
          <w:lang w:val="uk-UA"/>
        </w:rPr>
        <w:t xml:space="preserve"> до парламенту, який схвалив відповідний закон у квітні 2015 року. </w:t>
      </w:r>
      <w:r w:rsidR="00FD4E6C">
        <w:rPr>
          <w:rFonts w:ascii="Gill Sans" w:hAnsi="Gill Sans" w:cs="Gill Sans"/>
          <w:noProof/>
          <w:sz w:val="22"/>
          <w:szCs w:val="22"/>
          <w:lang w:val="uk-UA"/>
        </w:rPr>
        <w:t xml:space="preserve">Спочатку, </w:t>
      </w:r>
      <w:r w:rsidRPr="00257F44">
        <w:rPr>
          <w:rFonts w:ascii="Gill Sans" w:hAnsi="Gill Sans" w:cs="Gill Sans"/>
          <w:noProof/>
          <w:sz w:val="22"/>
          <w:szCs w:val="22"/>
          <w:lang w:val="uk-UA"/>
        </w:rPr>
        <w:t>Уряд планував розробити власний акт щодо відкритих даних. Проте, оскільки закон було швидко ухвалено, Уряд натомість розробив підзаконний акт для реалізації нових положень закону про відкриті дані. Урядовий порядок (затверджений у жовтні 2015 року) визначив мінімальний перелік наборів даних (більше 300), які повинні були бути оприлюднені різними розпорядниками інформації (не лише тими, що підпорядковані Уряду, але й парламентом, судовою владою, Національним банком тощо) на власних веб-сайтах та на державному веб-порталі відкритих даних. Порядок також визначив процедуру такого оприлюднення і вимоги до форматів даних</w:t>
      </w:r>
      <w:r w:rsidRPr="00257F44">
        <w:rPr>
          <w:rStyle w:val="EndnoteReference"/>
          <w:rFonts w:ascii="Gill Sans" w:hAnsi="Gill Sans" w:cs="Gill Sans"/>
          <w:noProof/>
          <w:sz w:val="22"/>
          <w:szCs w:val="22"/>
          <w:lang w:val="uk-UA"/>
        </w:rPr>
        <w:endnoteReference w:id="91"/>
      </w:r>
      <w:r w:rsidRPr="00257F44">
        <w:rPr>
          <w:rFonts w:ascii="Gill Sans" w:hAnsi="Gill Sans" w:cs="Gill Sans"/>
          <w:noProof/>
          <w:sz w:val="22"/>
          <w:szCs w:val="22"/>
          <w:lang w:val="uk-UA"/>
        </w:rPr>
        <w:t>.</w:t>
      </w:r>
    </w:p>
    <w:p w14:paraId="5745AE04" w14:textId="7FFD280E" w:rsidR="00B75120" w:rsidRPr="00257F44" w:rsidRDefault="00B75120" w:rsidP="00FD4E6C">
      <w:pPr>
        <w:pStyle w:val="Normalrglronly"/>
        <w:rPr>
          <w:b/>
          <w:lang w:val="uk-UA"/>
        </w:rPr>
      </w:pPr>
      <w:r w:rsidRPr="00257F44">
        <w:rPr>
          <w:b/>
          <w:lang w:val="uk-UA"/>
        </w:rPr>
        <w:t>Підсумковий звіт: Повне виконання</w:t>
      </w:r>
    </w:p>
    <w:p w14:paraId="2915146C" w14:textId="70C5060C" w:rsidR="00822E87" w:rsidRPr="00257F44" w:rsidRDefault="00822E87" w:rsidP="00FD4E6C">
      <w:pPr>
        <w:pStyle w:val="Normalrglronly"/>
        <w:rPr>
          <w:noProof/>
          <w:color w:val="auto"/>
          <w:lang w:val="uk-UA"/>
        </w:rPr>
      </w:pPr>
      <w:r w:rsidRPr="00257F44">
        <w:rPr>
          <w:noProof/>
          <w:color w:val="auto"/>
          <w:lang w:val="uk-UA"/>
        </w:rPr>
        <w:t xml:space="preserve">У жовтні 2015 року Уряд затвердив положення щодо наборів відкритих даних та </w:t>
      </w:r>
      <w:r w:rsidR="00D05985" w:rsidRPr="00257F44">
        <w:rPr>
          <w:noProof/>
          <w:color w:val="auto"/>
          <w:lang w:val="uk-UA"/>
        </w:rPr>
        <w:t>порядку їх оприлюднення. У вересні 2016 року Уряд погодився приєднатися до Міжнародної Хартії відкритих даних</w:t>
      </w:r>
      <w:r w:rsidR="00D05985" w:rsidRPr="00257F44">
        <w:rPr>
          <w:rStyle w:val="EndnoteReference"/>
          <w:noProof/>
          <w:color w:val="auto"/>
          <w:lang w:val="uk-UA"/>
        </w:rPr>
        <w:endnoteReference w:id="92"/>
      </w:r>
      <w:r w:rsidR="00D05985" w:rsidRPr="00257F44">
        <w:rPr>
          <w:noProof/>
          <w:color w:val="auto"/>
          <w:lang w:val="uk-UA"/>
        </w:rPr>
        <w:t xml:space="preserve"> та доручив Державному агентству з питань електронного урядування розробити план дій з реалізації Хартії. У листопаді 2016 року Уряд затвердив порядок ведення Єдиного державного веб-порталу відкритих даних</w:t>
      </w:r>
      <w:r w:rsidR="00D05985" w:rsidRPr="00257F44">
        <w:rPr>
          <w:rStyle w:val="EndnoteReference"/>
          <w:noProof/>
          <w:color w:val="auto"/>
          <w:lang w:val="uk-UA"/>
        </w:rPr>
        <w:endnoteReference w:id="93"/>
      </w:r>
      <w:r w:rsidR="00D05985" w:rsidRPr="00257F44">
        <w:rPr>
          <w:noProof/>
          <w:color w:val="auto"/>
          <w:lang w:val="uk-UA"/>
        </w:rPr>
        <w:t>, а Міністерство регіональну розвитку у лютому 2016 року схвалило Дорожню карту розвитку відкритих даних</w:t>
      </w:r>
      <w:r w:rsidR="00D05985" w:rsidRPr="00257F44">
        <w:rPr>
          <w:rStyle w:val="EndnoteReference"/>
          <w:noProof/>
          <w:color w:val="auto"/>
          <w:lang w:val="uk-UA"/>
        </w:rPr>
        <w:endnoteReference w:id="94"/>
      </w:r>
      <w:r w:rsidR="00D05985" w:rsidRPr="00257F44">
        <w:rPr>
          <w:noProof/>
          <w:color w:val="auto"/>
          <w:lang w:val="uk-UA"/>
        </w:rPr>
        <w:t>. Станом на грудень 2016 року, урядовий портал відкритих даних (</w:t>
      </w:r>
      <w:hyperlink r:id="rId19" w:history="1">
        <w:r w:rsidR="00D05985" w:rsidRPr="00257F44">
          <w:rPr>
            <w:rStyle w:val="Hyperlink"/>
            <w:noProof/>
            <w:lang w:val="uk-UA"/>
          </w:rPr>
          <w:t>http://data.gov.ua)</w:t>
        </w:r>
      </w:hyperlink>
      <w:r w:rsidR="00D05985" w:rsidRPr="00257F44">
        <w:rPr>
          <w:noProof/>
          <w:lang w:val="uk-UA"/>
        </w:rPr>
        <w:t xml:space="preserve"> містив більше 9700 наборів даних, які були розміщені на порталі близько 1000 розрорядниками публічної інформації.</w:t>
      </w:r>
    </w:p>
    <w:p w14:paraId="4A422646" w14:textId="77777777" w:rsidR="00B75120" w:rsidRPr="00257F44" w:rsidRDefault="00B75120" w:rsidP="00FD4E6C">
      <w:pPr>
        <w:pStyle w:val="Heading3"/>
        <w:spacing w:after="120"/>
        <w:rPr>
          <w:lang w:val="uk-UA"/>
        </w:rPr>
      </w:pPr>
      <w:r w:rsidRPr="00257F44">
        <w:rPr>
          <w:lang w:val="uk-UA"/>
        </w:rPr>
        <w:t>Чи відкрило це уряд?</w:t>
      </w:r>
    </w:p>
    <w:p w14:paraId="66C32737" w14:textId="16BA0339" w:rsidR="00B75120" w:rsidRPr="00257F44" w:rsidRDefault="00B75120" w:rsidP="00FD4E6C">
      <w:pPr>
        <w:pStyle w:val="Normalrglronly"/>
        <w:rPr>
          <w:b/>
          <w:lang w:val="uk-UA"/>
        </w:rPr>
      </w:pPr>
      <w:r w:rsidRPr="00257F44">
        <w:rPr>
          <w:b/>
          <w:lang w:val="uk-UA"/>
        </w:rPr>
        <w:t>Доступ до інформації: Визначною мірою</w:t>
      </w:r>
    </w:p>
    <w:p w14:paraId="45D73FDF" w14:textId="5994979B" w:rsidR="0084096A" w:rsidRPr="00257F44" w:rsidRDefault="0084096A" w:rsidP="00FD4E6C">
      <w:pPr>
        <w:spacing w:after="120"/>
        <w:rPr>
          <w:rFonts w:ascii="Gill Sans" w:hAnsi="Gill Sans" w:cs="Gill Sans"/>
          <w:sz w:val="22"/>
          <w:szCs w:val="22"/>
          <w:lang w:val="uk-UA"/>
        </w:rPr>
      </w:pPr>
      <w:r w:rsidRPr="00257F44">
        <w:rPr>
          <w:rFonts w:ascii="Gill Sans" w:hAnsi="Gill Sans" w:cs="Gill Sans"/>
          <w:sz w:val="22"/>
          <w:szCs w:val="22"/>
          <w:lang w:val="uk-UA"/>
        </w:rPr>
        <w:t>Зобов’язання мали на меті запровадити вперше</w:t>
      </w:r>
      <w:r w:rsidR="00473F1E" w:rsidRPr="00257F44">
        <w:rPr>
          <w:rFonts w:ascii="Gill Sans" w:hAnsi="Gill Sans" w:cs="Gill Sans"/>
          <w:sz w:val="22"/>
          <w:szCs w:val="22"/>
          <w:lang w:val="uk-UA"/>
        </w:rPr>
        <w:t xml:space="preserve"> в у</w:t>
      </w:r>
      <w:r w:rsidRPr="00257F44">
        <w:rPr>
          <w:rFonts w:ascii="Gill Sans" w:hAnsi="Gill Sans" w:cs="Gill Sans"/>
          <w:sz w:val="22"/>
          <w:szCs w:val="22"/>
          <w:lang w:val="uk-UA"/>
        </w:rPr>
        <w:t>кра</w:t>
      </w:r>
      <w:r w:rsidR="00473F1E" w:rsidRPr="00257F44">
        <w:rPr>
          <w:rFonts w:ascii="Gill Sans" w:hAnsi="Gill Sans" w:cs="Gill Sans"/>
          <w:sz w:val="22"/>
          <w:szCs w:val="22"/>
          <w:lang w:val="uk-UA"/>
        </w:rPr>
        <w:t>їнське</w:t>
      </w:r>
      <w:r w:rsidRPr="00257F44">
        <w:rPr>
          <w:rFonts w:ascii="Gill Sans" w:hAnsi="Gill Sans" w:cs="Gill Sans"/>
          <w:sz w:val="22"/>
          <w:szCs w:val="22"/>
          <w:lang w:val="uk-UA"/>
        </w:rPr>
        <w:t xml:space="preserve"> законодавст</w:t>
      </w:r>
      <w:r w:rsidR="00473F1E" w:rsidRPr="00257F44">
        <w:rPr>
          <w:rFonts w:ascii="Gill Sans" w:hAnsi="Gill Sans" w:cs="Gill Sans"/>
          <w:sz w:val="22"/>
          <w:szCs w:val="22"/>
          <w:lang w:val="uk-UA"/>
        </w:rPr>
        <w:t>в</w:t>
      </w:r>
      <w:r w:rsidRPr="00257F44">
        <w:rPr>
          <w:rFonts w:ascii="Gill Sans" w:hAnsi="Gill Sans" w:cs="Gill Sans"/>
          <w:sz w:val="22"/>
          <w:szCs w:val="22"/>
          <w:lang w:val="uk-UA"/>
        </w:rPr>
        <w:t xml:space="preserve">о </w:t>
      </w:r>
      <w:r w:rsidR="00473F1E" w:rsidRPr="00257F44">
        <w:rPr>
          <w:rFonts w:ascii="Gill Sans" w:hAnsi="Gill Sans" w:cs="Gill Sans"/>
          <w:sz w:val="22"/>
          <w:szCs w:val="22"/>
          <w:lang w:val="uk-UA"/>
        </w:rPr>
        <w:t xml:space="preserve">норми щодо </w:t>
      </w:r>
      <w:r w:rsidRPr="00257F44">
        <w:rPr>
          <w:rFonts w:ascii="Gill Sans" w:hAnsi="Gill Sans" w:cs="Gill Sans"/>
          <w:sz w:val="22"/>
          <w:szCs w:val="22"/>
          <w:lang w:val="uk-UA"/>
        </w:rPr>
        <w:t xml:space="preserve">повторного використання інформації публічного сектора у форматах відкритих даних. Закон про відкриті дані мав трансформуючий потенціал, оскільки він встановлював законодавчу основу для публічного доступу до відкритих наборів даних (тобто до інформації у машиночитаних форматах) і дозволяв їх вільне повторне використання. </w:t>
      </w:r>
      <w:r w:rsidRPr="00257F44">
        <w:rPr>
          <w:rFonts w:ascii="Gill Sans" w:hAnsi="Gill Sans" w:cs="Gill Sans"/>
          <w:sz w:val="22"/>
          <w:szCs w:val="22"/>
          <w:lang w:val="uk-UA"/>
        </w:rPr>
        <w:lastRenderedPageBreak/>
        <w:t>Положення, що визначало порядок розкриття відкритих даних, також становило значний крок у реалізації закону.</w:t>
      </w:r>
    </w:p>
    <w:p w14:paraId="0B9DDF91" w14:textId="1EB155DC" w:rsidR="00C179AD" w:rsidRPr="00257F44" w:rsidRDefault="00C179AD" w:rsidP="00FD4E6C">
      <w:pPr>
        <w:spacing w:after="120"/>
        <w:rPr>
          <w:rFonts w:ascii="Gill Sans" w:hAnsi="Gill Sans" w:cs="Gill Sans"/>
          <w:sz w:val="22"/>
          <w:szCs w:val="22"/>
          <w:lang w:val="uk-UA"/>
        </w:rPr>
      </w:pPr>
      <w:r w:rsidRPr="00257F44">
        <w:rPr>
          <w:rFonts w:ascii="Gill Sans" w:hAnsi="Gill Sans" w:cs="Gill Sans"/>
          <w:sz w:val="22"/>
          <w:szCs w:val="22"/>
          <w:lang w:val="uk-UA"/>
        </w:rPr>
        <w:t xml:space="preserve">Закон передбачив як пасивний, так і активний доступ до відкритих даних. Будь-яка особа може подати запит про отримання певного набору даних, що наявний в органу влади. Розпорядники також почали ініціативно (не чекаючи запиту) оприлюднювати інформацію у форматі відкритих даних на власних веб-сайтах та одночасно подавати її для оприлюднення в центральному депозитарії, тобто на державному веб-порталі відкритих даних http://data.gov.ua. Закон запровадив важливі принципи повторного використання відкритих даних, а саме він дозволив будь-яке наступне використання наборів відкритих даних безоплатно та в будь-яких цілях за умови посилання на джерело інформації. На відміну від багатьох інших країн, український закон дозволяє вільне, безоплатне комерційне використання відкритих даних у володінні суб’єктів владних повноважень. </w:t>
      </w:r>
    </w:p>
    <w:p w14:paraId="75F4DCBE" w14:textId="4FD787A9" w:rsidR="00C179AD" w:rsidRPr="00257F44" w:rsidRDefault="00C179AD" w:rsidP="00FD4E6C">
      <w:pPr>
        <w:spacing w:after="120"/>
        <w:rPr>
          <w:rFonts w:ascii="Gill Sans" w:hAnsi="Gill Sans" w:cs="Gill Sans"/>
          <w:sz w:val="22"/>
          <w:szCs w:val="22"/>
          <w:lang w:val="uk-UA"/>
        </w:rPr>
      </w:pPr>
      <w:r w:rsidRPr="00257F44">
        <w:rPr>
          <w:rFonts w:ascii="Gill Sans" w:hAnsi="Gill Sans" w:cs="Gill Sans"/>
          <w:sz w:val="22"/>
          <w:szCs w:val="22"/>
          <w:lang w:val="uk-UA"/>
        </w:rPr>
        <w:t>Державне агентство з питань електронного урядування підтримує роботу центрального веб-порталу відкритих даних</w:t>
      </w:r>
      <w:r w:rsidRPr="00257F44">
        <w:rPr>
          <w:rStyle w:val="EndnoteReference"/>
          <w:rFonts w:ascii="Gill Sans" w:hAnsi="Gill Sans" w:cs="Gill Sans"/>
          <w:sz w:val="22"/>
          <w:szCs w:val="22"/>
          <w:lang w:val="uk-UA"/>
        </w:rPr>
        <w:endnoteReference w:id="95"/>
      </w:r>
      <w:r w:rsidRPr="00257F44">
        <w:rPr>
          <w:rFonts w:ascii="Gill Sans" w:hAnsi="Gill Sans" w:cs="Gill Sans"/>
          <w:sz w:val="22"/>
          <w:szCs w:val="22"/>
          <w:lang w:val="uk-UA"/>
        </w:rPr>
        <w:t xml:space="preserve">. Цей портал був розроблений на базі веб-сайту, створеного громадськими активістами. Додатково до центрального державного депозитарію наборів відкритих даних, кілька державних органів почали оприлюднювати інформацію у їхньому володінні у машиночитаних форматах. Наприклад, парламент оприлюднює дані </w:t>
      </w:r>
      <w:r w:rsidR="003B6266" w:rsidRPr="00257F44">
        <w:rPr>
          <w:rFonts w:ascii="Gill Sans" w:hAnsi="Gill Sans" w:cs="Gill Sans"/>
          <w:sz w:val="22"/>
          <w:szCs w:val="22"/>
          <w:lang w:val="uk-UA"/>
        </w:rPr>
        <w:t>на власному веб-порталі</w:t>
      </w:r>
      <w:r w:rsidRPr="00257F44">
        <w:rPr>
          <w:rFonts w:ascii="Gill Sans" w:hAnsi="Gill Sans" w:cs="Gill Sans"/>
          <w:sz w:val="22"/>
          <w:szCs w:val="22"/>
          <w:lang w:val="uk-UA"/>
        </w:rPr>
        <w:t xml:space="preserve"> відкритих даних </w:t>
      </w:r>
      <w:hyperlink r:id="rId20" w:history="1">
        <w:r w:rsidRPr="00257F44">
          <w:rPr>
            <w:rStyle w:val="Hyperlink"/>
            <w:rFonts w:ascii="Gill Sans" w:hAnsi="Gill Sans" w:cs="Gill Sans"/>
            <w:sz w:val="22"/>
            <w:szCs w:val="22"/>
            <w:lang w:val="uk-UA"/>
          </w:rPr>
          <w:t>http://opendata.rada.gov.ua</w:t>
        </w:r>
      </w:hyperlink>
      <w:r w:rsidRPr="00257F44">
        <w:rPr>
          <w:rFonts w:ascii="Gill Sans" w:hAnsi="Gill Sans" w:cs="Gill Sans"/>
          <w:sz w:val="22"/>
          <w:szCs w:val="22"/>
          <w:lang w:val="uk-UA"/>
        </w:rPr>
        <w:t>; Міністерство юстиції оприлюднило низку державних реєстрів, які воно утримує</w:t>
      </w:r>
      <w:r w:rsidRPr="00257F44">
        <w:rPr>
          <w:rFonts w:ascii="Gill Sans" w:hAnsi="Gill Sans" w:cs="Gill Sans"/>
          <w:sz w:val="22"/>
          <w:szCs w:val="22"/>
          <w:vertAlign w:val="superscript"/>
          <w:lang w:val="uk-UA"/>
        </w:rPr>
        <w:endnoteReference w:id="96"/>
      </w:r>
      <w:r w:rsidRPr="00257F44">
        <w:rPr>
          <w:rFonts w:ascii="Gill Sans" w:hAnsi="Gill Sans" w:cs="Gill Sans"/>
          <w:sz w:val="22"/>
          <w:szCs w:val="22"/>
          <w:lang w:val="uk-UA"/>
        </w:rPr>
        <w:t>; Державна фіскальна служба оприлюднила різні набори даних, пов’язані з оподаткуванням</w:t>
      </w:r>
      <w:r w:rsidRPr="00257F44">
        <w:rPr>
          <w:rFonts w:ascii="Gill Sans" w:hAnsi="Gill Sans" w:cs="Gill Sans"/>
          <w:sz w:val="22"/>
          <w:szCs w:val="22"/>
          <w:vertAlign w:val="superscript"/>
          <w:lang w:val="uk-UA"/>
        </w:rPr>
        <w:endnoteReference w:id="97"/>
      </w:r>
      <w:r w:rsidRPr="00257F44">
        <w:rPr>
          <w:rFonts w:ascii="Gill Sans" w:hAnsi="Gill Sans" w:cs="Gill Sans"/>
          <w:sz w:val="22"/>
          <w:szCs w:val="22"/>
          <w:lang w:val="uk-UA"/>
        </w:rPr>
        <w:t xml:space="preserve">. Крім того, у форматі відкритих даних </w:t>
      </w:r>
      <w:r w:rsidR="00FD4E6C">
        <w:rPr>
          <w:rFonts w:ascii="Gill Sans" w:hAnsi="Gill Sans" w:cs="Gill Sans"/>
          <w:sz w:val="22"/>
          <w:szCs w:val="22"/>
          <w:lang w:val="uk-UA"/>
        </w:rPr>
        <w:t>в онлайн доступ</w:t>
      </w:r>
      <w:r w:rsidRPr="00257F44">
        <w:rPr>
          <w:rFonts w:ascii="Gill Sans" w:hAnsi="Gill Sans" w:cs="Gill Sans"/>
          <w:sz w:val="22"/>
          <w:szCs w:val="22"/>
          <w:lang w:val="uk-UA"/>
        </w:rPr>
        <w:t xml:space="preserve">і </w:t>
      </w:r>
      <w:r w:rsidR="00FD4E6C">
        <w:rPr>
          <w:rFonts w:ascii="Gill Sans" w:hAnsi="Gill Sans" w:cs="Gill Sans"/>
          <w:sz w:val="22"/>
          <w:szCs w:val="22"/>
          <w:lang w:val="uk-UA"/>
        </w:rPr>
        <w:t xml:space="preserve">є </w:t>
      </w:r>
      <w:r w:rsidRPr="00257F44">
        <w:rPr>
          <w:rFonts w:ascii="Gill Sans" w:hAnsi="Gill Sans" w:cs="Gill Sans"/>
          <w:sz w:val="22"/>
          <w:szCs w:val="22"/>
          <w:lang w:val="uk-UA"/>
        </w:rPr>
        <w:t>реєстр електронних декларацій публічних службовців</w:t>
      </w:r>
      <w:r w:rsidRPr="00257F44">
        <w:rPr>
          <w:rStyle w:val="EndnoteReference"/>
          <w:rFonts w:ascii="Gill Sans" w:hAnsi="Gill Sans" w:cs="Gill Sans"/>
          <w:sz w:val="22"/>
          <w:szCs w:val="22"/>
          <w:lang w:val="uk-UA"/>
        </w:rPr>
        <w:endnoteReference w:id="98"/>
      </w:r>
      <w:r w:rsidRPr="00257F44">
        <w:rPr>
          <w:rFonts w:ascii="Gill Sans" w:hAnsi="Gill Sans" w:cs="Gill Sans"/>
          <w:sz w:val="22"/>
          <w:szCs w:val="22"/>
          <w:lang w:val="uk-UA"/>
        </w:rPr>
        <w:t xml:space="preserve"> та дані щодо використання публічних коштів (</w:t>
      </w:r>
      <w:hyperlink r:id="rId21" w:history="1">
        <w:r w:rsidRPr="00257F44">
          <w:rPr>
            <w:rStyle w:val="Hyperlink"/>
            <w:rFonts w:ascii="Gill Sans" w:hAnsi="Gill Sans" w:cs="Gill Sans"/>
            <w:sz w:val="22"/>
            <w:szCs w:val="22"/>
            <w:lang w:val="uk-UA"/>
          </w:rPr>
          <w:t>http://spending.gov.ua)</w:t>
        </w:r>
      </w:hyperlink>
      <w:r w:rsidRPr="00257F44">
        <w:rPr>
          <w:rFonts w:ascii="Gill Sans" w:hAnsi="Gill Sans" w:cs="Gill Sans"/>
          <w:sz w:val="22"/>
          <w:szCs w:val="22"/>
          <w:lang w:val="uk-UA"/>
        </w:rPr>
        <w:t>. Організації громадянського суспільства та державні органи організували декілька відкритих конкурсів (хакатонів тощо) з метою розробки ІТ інструментів з використанням наявних державних відкритих даних (наприклад, http://egap-challenge.in.ua).</w:t>
      </w:r>
    </w:p>
    <w:p w14:paraId="03B2AD32" w14:textId="77777777" w:rsidR="00B75120" w:rsidRPr="00257F44" w:rsidRDefault="00B75120" w:rsidP="00FD4E6C">
      <w:pPr>
        <w:pStyle w:val="Heading3"/>
        <w:spacing w:after="120"/>
        <w:rPr>
          <w:lang w:val="uk-UA"/>
        </w:rPr>
      </w:pPr>
      <w:r w:rsidRPr="00257F44">
        <w:rPr>
          <w:lang w:val="uk-UA"/>
        </w:rPr>
        <w:t>Чи перенесено до наступного плану дій?</w:t>
      </w:r>
    </w:p>
    <w:p w14:paraId="4B5C88CE" w14:textId="3C78EE84" w:rsidR="00C75B2B" w:rsidRPr="00257F44" w:rsidRDefault="00B015B9" w:rsidP="00FD4E6C">
      <w:pPr>
        <w:spacing w:after="120"/>
        <w:rPr>
          <w:rFonts w:ascii="Gill Sans" w:hAnsi="Gill Sans" w:cs="Gill Sans"/>
          <w:noProof/>
          <w:sz w:val="22"/>
          <w:szCs w:val="22"/>
          <w:lang w:val="uk-UA"/>
        </w:rPr>
      </w:pPr>
      <w:r w:rsidRPr="00257F44">
        <w:rPr>
          <w:rFonts w:ascii="Gill Sans" w:hAnsi="Gill Sans" w:cs="Gill Sans"/>
          <w:noProof/>
          <w:sz w:val="22"/>
          <w:szCs w:val="22"/>
          <w:lang w:val="uk-UA"/>
        </w:rPr>
        <w:t>Зобов’язання були повністю виконані і не були перенесені до нового плану дій.</w:t>
      </w:r>
    </w:p>
    <w:p w14:paraId="720073A9" w14:textId="77777777" w:rsidR="00025289" w:rsidRPr="00257F44" w:rsidRDefault="00025289" w:rsidP="00C75B2B">
      <w:pPr>
        <w:spacing w:after="120"/>
        <w:rPr>
          <w:rFonts w:ascii="Gill Sans" w:hAnsi="Gill Sans" w:cs="Gill Sans"/>
          <w:noProof/>
          <w:sz w:val="22"/>
          <w:szCs w:val="22"/>
          <w:lang w:val="uk-UA"/>
        </w:rPr>
        <w:sectPr w:rsidR="00025289" w:rsidRPr="00257F44" w:rsidSect="00F561B7">
          <w:endnotePr>
            <w:numFmt w:val="decimal"/>
            <w:numRestart w:val="eachSect"/>
          </w:endnotePr>
          <w:pgSz w:w="12240" w:h="15840"/>
          <w:pgMar w:top="1440" w:right="1800" w:bottom="1440" w:left="1800" w:header="720" w:footer="720" w:gutter="0"/>
          <w:cols w:space="720"/>
          <w:docGrid w:linePitch="360"/>
        </w:sectPr>
      </w:pPr>
    </w:p>
    <w:p w14:paraId="56E115D6" w14:textId="77777777" w:rsidR="00294403" w:rsidRPr="00257F44" w:rsidRDefault="00294403" w:rsidP="00294403">
      <w:pPr>
        <w:pStyle w:val="Heading2"/>
        <w:spacing w:before="0" w:after="120"/>
        <w:rPr>
          <w:rFonts w:eastAsiaTheme="minorEastAsia"/>
          <w:bCs w:val="0"/>
          <w:color w:val="222222"/>
          <w:sz w:val="22"/>
          <w:szCs w:val="22"/>
          <w:lang w:val="uk-UA"/>
        </w:rPr>
      </w:pPr>
      <w:bookmarkStart w:id="15" w:name="_Toc437543882"/>
      <w:r w:rsidRPr="00257F44">
        <w:rPr>
          <w:rFonts w:eastAsiaTheme="minorEastAsia"/>
          <w:bCs w:val="0"/>
          <w:color w:val="222222"/>
          <w:sz w:val="22"/>
          <w:szCs w:val="22"/>
          <w:lang w:val="uk-UA"/>
        </w:rPr>
        <w:lastRenderedPageBreak/>
        <w:t>21. Дорожня карта розвитку електронної демократії</w:t>
      </w:r>
      <w:bookmarkEnd w:id="15"/>
    </w:p>
    <w:p w14:paraId="140FA815" w14:textId="77777777" w:rsidR="00294403" w:rsidRPr="00257F44" w:rsidRDefault="00294403" w:rsidP="00294403">
      <w:pPr>
        <w:spacing w:after="120"/>
        <w:rPr>
          <w:rFonts w:ascii="Gill Sans" w:hAnsi="Gill Sans" w:cs="Gill Sans"/>
          <w:i/>
          <w:noProof/>
          <w:sz w:val="22"/>
          <w:szCs w:val="22"/>
          <w:lang w:val="uk-UA"/>
        </w:rPr>
      </w:pPr>
      <w:r w:rsidRPr="00257F44">
        <w:rPr>
          <w:rFonts w:ascii="Gill Sans" w:hAnsi="Gill Sans" w:cs="Gill Sans"/>
          <w:b/>
          <w:bCs/>
          <w:iCs/>
          <w:noProof/>
          <w:sz w:val="22"/>
          <w:szCs w:val="22"/>
          <w:lang w:val="uk-UA"/>
        </w:rPr>
        <w:t>Текст зобов’язання:</w:t>
      </w:r>
      <w:r w:rsidRPr="00257F44">
        <w:rPr>
          <w:rFonts w:ascii="Gill Sans" w:hAnsi="Gill Sans" w:cs="Gill Sans"/>
          <w:i/>
          <w:noProof/>
          <w:sz w:val="22"/>
          <w:szCs w:val="22"/>
          <w:lang w:val="uk-UA"/>
        </w:rPr>
        <w:t xml:space="preserve"> 21. Розроблення Дорожньої карти розвитку електронної демократії.</w:t>
      </w:r>
    </w:p>
    <w:p w14:paraId="37AFF257" w14:textId="77777777" w:rsidR="00294403" w:rsidRPr="00257F44" w:rsidRDefault="00294403" w:rsidP="00294403">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розроблення пропозицій щодо визначення шляхів реалізації потенціалу інструментів електронної демократії як засобів, що забезпечать можливість громадян впливати на прийняття державних рішень та контролювати владу.</w:t>
      </w:r>
    </w:p>
    <w:p w14:paraId="73F0BCBC" w14:textId="77777777" w:rsidR="00294403" w:rsidRPr="00257F44" w:rsidRDefault="00294403" w:rsidP="00294403">
      <w:pPr>
        <w:pStyle w:val="Heading2"/>
        <w:spacing w:before="0" w:after="120"/>
        <w:rPr>
          <w:rFonts w:eastAsiaTheme="minorEastAsia"/>
          <w:bCs w:val="0"/>
          <w:color w:val="222222"/>
          <w:sz w:val="22"/>
          <w:szCs w:val="22"/>
          <w:lang w:val="uk-UA"/>
        </w:rPr>
      </w:pPr>
      <w:bookmarkStart w:id="16" w:name="_Toc437543883"/>
      <w:r w:rsidRPr="00257F44">
        <w:rPr>
          <w:rFonts w:eastAsiaTheme="minorEastAsia"/>
          <w:bCs w:val="0"/>
          <w:color w:val="222222"/>
          <w:sz w:val="22"/>
          <w:szCs w:val="22"/>
          <w:lang w:val="uk-UA"/>
        </w:rPr>
        <w:t xml:space="preserve">23. </w:t>
      </w:r>
      <w:bookmarkEnd w:id="16"/>
      <w:r w:rsidRPr="00257F44">
        <w:rPr>
          <w:rFonts w:eastAsiaTheme="minorEastAsia"/>
          <w:bCs w:val="0"/>
          <w:color w:val="222222"/>
          <w:sz w:val="22"/>
          <w:szCs w:val="22"/>
          <w:lang w:val="uk-UA"/>
        </w:rPr>
        <w:t>Електронні звернення громадян</w:t>
      </w:r>
    </w:p>
    <w:p w14:paraId="75855CEC" w14:textId="77777777" w:rsidR="00294403" w:rsidRPr="00257F44" w:rsidRDefault="00294403" w:rsidP="00294403">
      <w:pPr>
        <w:spacing w:after="120"/>
        <w:rPr>
          <w:rFonts w:ascii="Gill Sans" w:hAnsi="Gill Sans" w:cs="Gill Sans"/>
          <w:i/>
          <w:noProof/>
          <w:sz w:val="22"/>
          <w:szCs w:val="22"/>
          <w:lang w:val="uk-UA"/>
        </w:rPr>
      </w:pPr>
      <w:r w:rsidRPr="00257F44">
        <w:rPr>
          <w:rFonts w:ascii="Gill Sans" w:hAnsi="Gill Sans" w:cs="Gill Sans"/>
          <w:b/>
          <w:bCs/>
          <w:iCs/>
          <w:noProof/>
          <w:sz w:val="22"/>
          <w:szCs w:val="22"/>
          <w:lang w:val="uk-UA"/>
        </w:rPr>
        <w:t>Текст зобов’язання:</w:t>
      </w:r>
      <w:r w:rsidRPr="00257F44">
        <w:rPr>
          <w:rFonts w:ascii="Gill Sans" w:hAnsi="Gill Sans" w:cs="Gill Sans"/>
          <w:i/>
          <w:noProof/>
          <w:sz w:val="22"/>
          <w:szCs w:val="22"/>
          <w:lang w:val="uk-UA"/>
        </w:rPr>
        <w:t xml:space="preserve"> 23. Підготовка та подання в установленому порядку Кабінетові Міністрів України проекту постанови щодо затвердження Порядку роботи з електронними зверненнями громадян.</w:t>
      </w:r>
    </w:p>
    <w:p w14:paraId="184AC7D7" w14:textId="77777777" w:rsidR="00294403" w:rsidRPr="00257F44" w:rsidRDefault="00294403" w:rsidP="00294403">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прийняття відповідної постанови Кабінету Міністрів України.</w:t>
      </w:r>
    </w:p>
    <w:p w14:paraId="07E1518F" w14:textId="77777777" w:rsidR="00294403" w:rsidRPr="00257F44" w:rsidRDefault="00294403" w:rsidP="00294403">
      <w:pPr>
        <w:spacing w:after="120"/>
        <w:rPr>
          <w:lang w:val="uk-UA"/>
        </w:rPr>
      </w:pPr>
      <w:r w:rsidRPr="00257F44">
        <w:rPr>
          <w:rFonts w:ascii="Gill Sans" w:hAnsi="Gill Sans" w:cs="Gill Sans"/>
          <w:b/>
          <w:sz w:val="22"/>
          <w:szCs w:val="22"/>
          <w:lang w:val="uk-UA"/>
        </w:rPr>
        <w:t>Редакційна примітка:</w:t>
      </w:r>
      <w:r w:rsidRPr="00257F44">
        <w:rPr>
          <w:lang w:val="uk-UA"/>
        </w:rPr>
        <w:t xml:space="preserve"> </w:t>
      </w:r>
      <w:r w:rsidRPr="00257F44">
        <w:rPr>
          <w:rFonts w:ascii="Gill Sans" w:hAnsi="Gill Sans" w:cs="Gill Sans"/>
          <w:sz w:val="22"/>
          <w:szCs w:val="22"/>
          <w:lang w:val="uk-UA"/>
        </w:rPr>
        <w:t>Ці два зобов’язання були об’єднані, оскільки вони містять пов’язані заходи.</w:t>
      </w:r>
    </w:p>
    <w:p w14:paraId="6A02953E" w14:textId="77777777" w:rsidR="00294403" w:rsidRPr="00257F44" w:rsidRDefault="00294403" w:rsidP="00294403">
      <w:pPr>
        <w:spacing w:after="120"/>
        <w:rPr>
          <w:rFonts w:ascii="Gill Sans" w:hAnsi="Gill Sans" w:cs="Gill Sans"/>
          <w:sz w:val="22"/>
          <w:szCs w:val="22"/>
          <w:lang w:val="uk-UA"/>
        </w:rPr>
      </w:pPr>
      <w:r w:rsidRPr="00257F44">
        <w:rPr>
          <w:rFonts w:ascii="Gill Sans" w:hAnsi="Gill Sans" w:cs="Gill Sans"/>
          <w:sz w:val="22"/>
          <w:szCs w:val="22"/>
          <w:lang w:val="uk-UA"/>
        </w:rPr>
        <w:t>Головна інституція, відповідальна за виконання: Державне агентство з питань електронного урядування.</w:t>
      </w:r>
    </w:p>
    <w:p w14:paraId="00245181" w14:textId="77777777" w:rsidR="00294403" w:rsidRPr="00257F44" w:rsidRDefault="00294403" w:rsidP="00294403">
      <w:pPr>
        <w:spacing w:after="120"/>
        <w:rPr>
          <w:rFonts w:ascii="Gill Sans" w:hAnsi="Gill Sans" w:cs="Gill Sans"/>
          <w:sz w:val="22"/>
          <w:szCs w:val="22"/>
          <w:lang w:val="uk-UA"/>
        </w:rPr>
      </w:pPr>
      <w:r w:rsidRPr="00257F44">
        <w:rPr>
          <w:rFonts w:ascii="Gill Sans" w:hAnsi="Gill Sans" w:cs="Gill Sans"/>
          <w:sz w:val="22"/>
          <w:szCs w:val="22"/>
          <w:lang w:val="uk-UA"/>
        </w:rPr>
        <w:t>Інші виконавці: Міністерство регіонального розвитку, Міністерство юстиції, Національний центр електронного урядування державного підприємства “Держінформресурс”, ГО “Трансперенсі Інтернешнл Україна”, Міжнародний фонд “Відродження”, Програма розвитку ООН в Україні, Асоціація органів місцевого самоврядування “Міста електронного врядування”, ГО “Подільське агентство регіонального розвитку”, інші невизначені організації громадянського суспільства та міжнародні організації (зобов’язання № 21); Міністерство регіонального розвитку, Міністерство юстиції, Адміністрація Державної служби спеціального зв’язку та захисту інформації, Державна архівна служба, Програма розвитку ООН в Україні, інші невизначені організації громадянського суспільства та міжнародні організації (зобов’язання № 23).</w:t>
      </w:r>
    </w:p>
    <w:p w14:paraId="0C577D82" w14:textId="77777777" w:rsidR="00294403" w:rsidRPr="00257F44" w:rsidRDefault="00294403" w:rsidP="00294403">
      <w:pPr>
        <w:spacing w:after="120"/>
        <w:rPr>
          <w:rFonts w:ascii="Gill Sans" w:hAnsi="Gill Sans" w:cs="Gill Sans"/>
          <w:sz w:val="22"/>
          <w:szCs w:val="22"/>
          <w:lang w:val="uk-UA"/>
        </w:rPr>
      </w:pPr>
      <w:r w:rsidRPr="00257F44">
        <w:rPr>
          <w:rFonts w:ascii="Gill Sans" w:hAnsi="Gill Sans" w:cs="Gill Sans"/>
          <w:sz w:val="22"/>
          <w:szCs w:val="22"/>
          <w:lang w:val="uk-UA"/>
        </w:rPr>
        <w:t>Дата початку: Не визначено</w:t>
      </w:r>
      <w:r w:rsidRPr="00257F44">
        <w:rPr>
          <w:rFonts w:ascii="Gill Sans" w:hAnsi="Gill Sans" w:cs="Gill Sans"/>
          <w:sz w:val="22"/>
          <w:szCs w:val="22"/>
          <w:lang w:val="uk-UA"/>
        </w:rPr>
        <w:tab/>
      </w:r>
      <w:r w:rsidRPr="00257F44">
        <w:rPr>
          <w:rFonts w:ascii="Gill Sans" w:hAnsi="Gill Sans" w:cs="Gill Sans"/>
          <w:sz w:val="22"/>
          <w:szCs w:val="22"/>
          <w:lang w:val="uk-UA"/>
        </w:rPr>
        <w:tab/>
      </w:r>
      <w:r w:rsidRPr="00257F44">
        <w:rPr>
          <w:rFonts w:ascii="Gill Sans" w:hAnsi="Gill Sans" w:cs="Gill Sans"/>
          <w:sz w:val="22"/>
          <w:szCs w:val="22"/>
          <w:lang w:val="uk-UA"/>
        </w:rPr>
        <w:tab/>
      </w:r>
      <w:r w:rsidRPr="00257F44">
        <w:rPr>
          <w:rFonts w:ascii="Gill Sans" w:hAnsi="Gill Sans" w:cs="Gill Sans"/>
          <w:sz w:val="22"/>
          <w:szCs w:val="22"/>
          <w:lang w:val="uk-UA"/>
        </w:rPr>
        <w:tab/>
        <w:t>Термін виконання: 30 червня 2015 р.</w:t>
      </w:r>
    </w:p>
    <w:tbl>
      <w:tblPr>
        <w:tblW w:w="1020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475"/>
        <w:gridCol w:w="418"/>
        <w:gridCol w:w="343"/>
        <w:gridCol w:w="343"/>
        <w:gridCol w:w="365"/>
        <w:gridCol w:w="8"/>
        <w:gridCol w:w="337"/>
        <w:gridCol w:w="396"/>
        <w:gridCol w:w="778"/>
        <w:gridCol w:w="364"/>
        <w:gridCol w:w="341"/>
        <w:gridCol w:w="417"/>
        <w:gridCol w:w="318"/>
        <w:gridCol w:w="491"/>
        <w:gridCol w:w="516"/>
        <w:gridCol w:w="516"/>
        <w:gridCol w:w="405"/>
        <w:gridCol w:w="341"/>
        <w:gridCol w:w="385"/>
        <w:gridCol w:w="341"/>
        <w:gridCol w:w="436"/>
        <w:gridCol w:w="423"/>
      </w:tblGrid>
      <w:tr w:rsidR="00B94851" w:rsidRPr="00257F44" w14:paraId="18E2FBA3" w14:textId="77777777" w:rsidTr="00B223BA">
        <w:trPr>
          <w:trHeight w:val="405"/>
        </w:trPr>
        <w:tc>
          <w:tcPr>
            <w:tcW w:w="1451" w:type="dxa"/>
            <w:vMerge w:val="restart"/>
            <w:tcBorders>
              <w:top w:val="single" w:sz="18" w:space="0" w:color="FFFFFF"/>
              <w:left w:val="single" w:sz="4" w:space="0" w:color="FFFFFF"/>
              <w:right w:val="single" w:sz="18" w:space="0" w:color="FFFFFF"/>
            </w:tcBorders>
            <w:shd w:val="clear" w:color="auto" w:fill="000000"/>
          </w:tcPr>
          <w:p w14:paraId="5DBE63B0" w14:textId="284C5E24" w:rsidR="00B94851" w:rsidRPr="00257F44" w:rsidRDefault="00B94851" w:rsidP="0084354E">
            <w:pPr>
              <w:rPr>
                <w:rFonts w:ascii="Gill Sans" w:hAnsi="Gill Sans" w:cs="Gill Sans"/>
                <w:color w:val="FFFFFF" w:themeColor="background1"/>
                <w:sz w:val="22"/>
                <w:szCs w:val="22"/>
                <w:lang w:val="uk-UA"/>
              </w:rPr>
            </w:pPr>
            <w:r w:rsidRPr="00257F44">
              <w:rPr>
                <w:rFonts w:ascii="Gill Sans" w:hAnsi="Gill Sans" w:cs="Gill Sans"/>
                <w:sz w:val="20"/>
                <w:szCs w:val="20"/>
                <w:lang w:val="uk-UA"/>
              </w:rPr>
              <w:t>Опис зобов’язання</w:t>
            </w:r>
          </w:p>
        </w:tc>
        <w:tc>
          <w:tcPr>
            <w:tcW w:w="1579" w:type="dxa"/>
            <w:gridSpan w:val="4"/>
            <w:vMerge w:val="restart"/>
            <w:tcBorders>
              <w:top w:val="single" w:sz="18" w:space="0" w:color="FFFFFF"/>
              <w:left w:val="single" w:sz="18" w:space="0" w:color="FFFFFF"/>
              <w:right w:val="single" w:sz="18" w:space="0" w:color="FFFFFF"/>
            </w:tcBorders>
            <w:shd w:val="clear" w:color="auto" w:fill="D6E3BC"/>
          </w:tcPr>
          <w:p w14:paraId="6C034634" w14:textId="4B8BD21F"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Конкретність</w:t>
            </w:r>
          </w:p>
        </w:tc>
        <w:tc>
          <w:tcPr>
            <w:tcW w:w="1884" w:type="dxa"/>
            <w:gridSpan w:val="5"/>
            <w:vMerge w:val="restart"/>
            <w:tcBorders>
              <w:top w:val="single" w:sz="18" w:space="0" w:color="FFFFFF"/>
              <w:left w:val="single" w:sz="18" w:space="0" w:color="FFFFFF"/>
              <w:right w:val="single" w:sz="18" w:space="0" w:color="FFFFFF"/>
            </w:tcBorders>
            <w:shd w:val="clear" w:color="auto" w:fill="FBD4B4"/>
          </w:tcPr>
          <w:p w14:paraId="54A92EFA" w14:textId="44F4BB24"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Відповідність цінностям ПВУ (як сформульовано)</w:t>
            </w:r>
          </w:p>
        </w:tc>
        <w:tc>
          <w:tcPr>
            <w:tcW w:w="1440" w:type="dxa"/>
            <w:gridSpan w:val="4"/>
            <w:vMerge w:val="restart"/>
            <w:tcBorders>
              <w:top w:val="single" w:sz="18" w:space="0" w:color="FFFFFF"/>
              <w:left w:val="single" w:sz="18" w:space="0" w:color="FFFFFF"/>
              <w:right w:val="single" w:sz="18" w:space="0" w:color="FFFFFF"/>
            </w:tcBorders>
            <w:shd w:val="clear" w:color="auto" w:fill="CCC0D9"/>
          </w:tcPr>
          <w:p w14:paraId="797C10D9" w14:textId="7AE75CCF"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Потенційний вплив</w:t>
            </w:r>
          </w:p>
        </w:tc>
        <w:tc>
          <w:tcPr>
            <w:tcW w:w="1007" w:type="dxa"/>
            <w:gridSpan w:val="2"/>
            <w:vMerge w:val="restart"/>
            <w:tcBorders>
              <w:top w:val="single" w:sz="18" w:space="0" w:color="FFFFFF"/>
              <w:left w:val="single" w:sz="18" w:space="0" w:color="FFFFFF"/>
              <w:right w:val="single" w:sz="2" w:space="0" w:color="FFFFFF"/>
            </w:tcBorders>
            <w:shd w:val="clear" w:color="auto" w:fill="B8CCE4"/>
          </w:tcPr>
          <w:p w14:paraId="279F417B" w14:textId="76B8BF29"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Стан вико-нання</w:t>
            </w:r>
          </w:p>
        </w:tc>
        <w:tc>
          <w:tcPr>
            <w:tcW w:w="921"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239FCDD9" w14:textId="63E7AC2C"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Про-міжний</w:t>
            </w:r>
          </w:p>
        </w:tc>
        <w:tc>
          <w:tcPr>
            <w:tcW w:w="1926" w:type="dxa"/>
            <w:gridSpan w:val="5"/>
            <w:vMerge w:val="restart"/>
            <w:tcBorders>
              <w:top w:val="single" w:sz="18" w:space="0" w:color="FFFFFF"/>
              <w:left w:val="single" w:sz="18" w:space="0" w:color="FFFFFF"/>
              <w:right w:val="single" w:sz="18" w:space="0" w:color="FFFFFF"/>
            </w:tcBorders>
            <w:shd w:val="clear" w:color="auto" w:fill="D99594"/>
          </w:tcPr>
          <w:p w14:paraId="44A8C038" w14:textId="24F291A9"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Чи відкрило це уряд?</w:t>
            </w:r>
          </w:p>
        </w:tc>
      </w:tr>
      <w:tr w:rsidR="00D85EFE" w:rsidRPr="00257F44" w14:paraId="7191130F" w14:textId="77777777" w:rsidTr="00B223BA">
        <w:trPr>
          <w:trHeight w:val="373"/>
        </w:trPr>
        <w:tc>
          <w:tcPr>
            <w:tcW w:w="1451" w:type="dxa"/>
            <w:vMerge/>
            <w:tcBorders>
              <w:left w:val="single" w:sz="4" w:space="0" w:color="FFFFFF"/>
              <w:right w:val="single" w:sz="18" w:space="0" w:color="FFFFFF"/>
            </w:tcBorders>
            <w:shd w:val="clear" w:color="auto" w:fill="000000"/>
          </w:tcPr>
          <w:p w14:paraId="56DC6724" w14:textId="77777777" w:rsidR="00677BA9" w:rsidRPr="00257F44" w:rsidRDefault="00677BA9" w:rsidP="0084354E">
            <w:pPr>
              <w:rPr>
                <w:rFonts w:ascii="Gill Sans" w:hAnsi="Gill Sans" w:cs="Gill Sans"/>
                <w:color w:val="FFFFFF" w:themeColor="background1"/>
                <w:sz w:val="22"/>
                <w:szCs w:val="22"/>
                <w:lang w:val="uk-UA"/>
              </w:rPr>
            </w:pPr>
          </w:p>
        </w:tc>
        <w:tc>
          <w:tcPr>
            <w:tcW w:w="1579" w:type="dxa"/>
            <w:gridSpan w:val="4"/>
            <w:vMerge/>
            <w:tcBorders>
              <w:left w:val="single" w:sz="18" w:space="0" w:color="FFFFFF"/>
              <w:bottom w:val="single" w:sz="18" w:space="0" w:color="FFFFFF"/>
              <w:right w:val="single" w:sz="18" w:space="0" w:color="FFFFFF"/>
            </w:tcBorders>
            <w:shd w:val="clear" w:color="auto" w:fill="D6E3BC"/>
          </w:tcPr>
          <w:p w14:paraId="606DC27E" w14:textId="77777777" w:rsidR="00677BA9" w:rsidRPr="00257F44" w:rsidRDefault="00677BA9" w:rsidP="0084354E">
            <w:pPr>
              <w:rPr>
                <w:rFonts w:ascii="Gill Sans" w:hAnsi="Gill Sans" w:cs="Gill Sans"/>
                <w:sz w:val="22"/>
                <w:szCs w:val="22"/>
                <w:lang w:val="uk-UA"/>
              </w:rPr>
            </w:pPr>
          </w:p>
        </w:tc>
        <w:tc>
          <w:tcPr>
            <w:tcW w:w="1884" w:type="dxa"/>
            <w:gridSpan w:val="5"/>
            <w:vMerge/>
            <w:tcBorders>
              <w:left w:val="single" w:sz="18" w:space="0" w:color="FFFFFF"/>
              <w:bottom w:val="single" w:sz="18" w:space="0" w:color="FFFFFF"/>
              <w:right w:val="single" w:sz="18" w:space="0" w:color="FFFFFF"/>
            </w:tcBorders>
            <w:shd w:val="clear" w:color="auto" w:fill="FBD4B4"/>
          </w:tcPr>
          <w:p w14:paraId="6DCB439F" w14:textId="77777777" w:rsidR="00677BA9" w:rsidRPr="00257F44" w:rsidRDefault="00677BA9" w:rsidP="0084354E">
            <w:pPr>
              <w:rPr>
                <w:rFonts w:ascii="Gill Sans" w:hAnsi="Gill Sans" w:cs="Gill Sans"/>
                <w:sz w:val="22"/>
                <w:szCs w:val="22"/>
                <w:lang w:val="uk-UA"/>
              </w:rPr>
            </w:pPr>
          </w:p>
        </w:tc>
        <w:tc>
          <w:tcPr>
            <w:tcW w:w="1440" w:type="dxa"/>
            <w:gridSpan w:val="4"/>
            <w:vMerge/>
            <w:tcBorders>
              <w:left w:val="single" w:sz="18" w:space="0" w:color="FFFFFF"/>
              <w:bottom w:val="single" w:sz="18" w:space="0" w:color="FFFFFF"/>
              <w:right w:val="single" w:sz="18" w:space="0" w:color="FFFFFF"/>
            </w:tcBorders>
            <w:shd w:val="clear" w:color="auto" w:fill="CCC0D9"/>
          </w:tcPr>
          <w:p w14:paraId="29EE2186" w14:textId="77777777" w:rsidR="00677BA9" w:rsidRPr="00257F44" w:rsidRDefault="00677BA9" w:rsidP="0084354E">
            <w:pPr>
              <w:rPr>
                <w:rFonts w:ascii="Gill Sans" w:hAnsi="Gill Sans" w:cs="Gill Sans"/>
                <w:sz w:val="22"/>
                <w:szCs w:val="22"/>
                <w:lang w:val="uk-UA"/>
              </w:rPr>
            </w:pPr>
          </w:p>
        </w:tc>
        <w:tc>
          <w:tcPr>
            <w:tcW w:w="1007" w:type="dxa"/>
            <w:gridSpan w:val="2"/>
            <w:vMerge/>
            <w:tcBorders>
              <w:left w:val="single" w:sz="18" w:space="0" w:color="FFFFFF"/>
              <w:bottom w:val="single" w:sz="18" w:space="0" w:color="FFFFFF"/>
              <w:right w:val="single" w:sz="2" w:space="0" w:color="FFFFFF"/>
            </w:tcBorders>
            <w:shd w:val="clear" w:color="auto" w:fill="B8CCE4"/>
          </w:tcPr>
          <w:p w14:paraId="2F88E7C6" w14:textId="77777777" w:rsidR="00677BA9" w:rsidRPr="00257F44" w:rsidRDefault="00677BA9" w:rsidP="0084354E">
            <w:pPr>
              <w:rPr>
                <w:rFonts w:ascii="Gill Sans" w:hAnsi="Gill Sans" w:cs="Gill Sans"/>
                <w:sz w:val="22"/>
                <w:szCs w:val="22"/>
                <w:lang w:val="uk-UA"/>
              </w:rPr>
            </w:pPr>
          </w:p>
        </w:tc>
        <w:tc>
          <w:tcPr>
            <w:tcW w:w="921"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32306575" w14:textId="093069A5" w:rsidR="00677BA9" w:rsidRPr="00257F44" w:rsidRDefault="00B94851" w:rsidP="0084354E">
            <w:pPr>
              <w:rPr>
                <w:rFonts w:ascii="Gill Sans" w:hAnsi="Gill Sans" w:cs="Gill Sans"/>
                <w:sz w:val="20"/>
                <w:szCs w:val="20"/>
                <w:lang w:val="uk-UA"/>
              </w:rPr>
            </w:pPr>
            <w:r w:rsidRPr="00257F44">
              <w:rPr>
                <w:rFonts w:ascii="Gill Sans" w:hAnsi="Gill Sans" w:cs="Gill Sans"/>
                <w:sz w:val="20"/>
                <w:szCs w:val="20"/>
                <w:lang w:val="uk-UA"/>
              </w:rPr>
              <w:t>Підсум-ковий</w:t>
            </w:r>
          </w:p>
        </w:tc>
        <w:tc>
          <w:tcPr>
            <w:tcW w:w="1926" w:type="dxa"/>
            <w:gridSpan w:val="5"/>
            <w:vMerge/>
            <w:tcBorders>
              <w:left w:val="single" w:sz="18" w:space="0" w:color="FFFFFF"/>
              <w:bottom w:val="single" w:sz="18" w:space="0" w:color="FFFFFF"/>
              <w:right w:val="single" w:sz="18" w:space="0" w:color="FFFFFF"/>
            </w:tcBorders>
            <w:shd w:val="clear" w:color="auto" w:fill="D99594"/>
          </w:tcPr>
          <w:p w14:paraId="05B0FAC5" w14:textId="77777777" w:rsidR="00677BA9" w:rsidRPr="00257F44" w:rsidRDefault="00677BA9" w:rsidP="0084354E">
            <w:pPr>
              <w:rPr>
                <w:rFonts w:ascii="Gill Sans" w:hAnsi="Gill Sans" w:cs="Gill Sans"/>
                <w:sz w:val="22"/>
                <w:szCs w:val="22"/>
                <w:lang w:val="uk-UA"/>
              </w:rPr>
            </w:pPr>
          </w:p>
        </w:tc>
      </w:tr>
      <w:tr w:rsidR="00B94851" w:rsidRPr="00257F44" w14:paraId="2C03D906" w14:textId="77777777" w:rsidTr="00A76D00">
        <w:trPr>
          <w:cantSplit/>
          <w:trHeight w:val="2336"/>
        </w:trPr>
        <w:tc>
          <w:tcPr>
            <w:tcW w:w="1451" w:type="dxa"/>
            <w:vMerge/>
            <w:tcBorders>
              <w:left w:val="single" w:sz="4" w:space="0" w:color="FFFFFF"/>
              <w:bottom w:val="single" w:sz="18" w:space="0" w:color="FFFFFF"/>
              <w:right w:val="single" w:sz="18" w:space="0" w:color="FFFFFF"/>
            </w:tcBorders>
            <w:shd w:val="clear" w:color="auto" w:fill="000000"/>
          </w:tcPr>
          <w:p w14:paraId="659508D4" w14:textId="77777777" w:rsidR="00B94851" w:rsidRPr="00257F44" w:rsidRDefault="00B94851" w:rsidP="0084354E">
            <w:pPr>
              <w:rPr>
                <w:rFonts w:ascii="Gill Sans" w:hAnsi="Gill Sans" w:cs="Gill Sans"/>
                <w:color w:val="FFFFFF" w:themeColor="background1"/>
                <w:sz w:val="22"/>
                <w:szCs w:val="22"/>
                <w:lang w:val="uk-UA"/>
              </w:rPr>
            </w:pPr>
          </w:p>
        </w:tc>
        <w:tc>
          <w:tcPr>
            <w:tcW w:w="475"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218099E3" w14:textId="605A5457"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Відсутня</w:t>
            </w:r>
          </w:p>
        </w:tc>
        <w:tc>
          <w:tcPr>
            <w:tcW w:w="418"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5D9C7061" w14:textId="5129AF6D"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Низька</w:t>
            </w:r>
          </w:p>
        </w:tc>
        <w:tc>
          <w:tcPr>
            <w:tcW w:w="343"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55902E0D" w14:textId="5BC4472B"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Середня</w:t>
            </w:r>
          </w:p>
        </w:tc>
        <w:tc>
          <w:tcPr>
            <w:tcW w:w="343"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17438962" w14:textId="3CF77C78"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Висока</w:t>
            </w:r>
          </w:p>
        </w:tc>
        <w:tc>
          <w:tcPr>
            <w:tcW w:w="365"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14FA3438" w14:textId="2357DF27"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Доступ до інформації</w:t>
            </w:r>
          </w:p>
        </w:tc>
        <w:tc>
          <w:tcPr>
            <w:tcW w:w="345" w:type="dxa"/>
            <w:gridSpan w:val="2"/>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5DB203FC" w14:textId="331696C0"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Громадська участь</w:t>
            </w:r>
          </w:p>
        </w:tc>
        <w:tc>
          <w:tcPr>
            <w:tcW w:w="396"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114FCADE" w14:textId="5A27FD98"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Підзвітність влади</w:t>
            </w:r>
          </w:p>
        </w:tc>
        <w:tc>
          <w:tcPr>
            <w:tcW w:w="778"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3D2664D7" w14:textId="5725C44E"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Технології та інновації для прозорості й підзвітності</w:t>
            </w:r>
          </w:p>
        </w:tc>
        <w:tc>
          <w:tcPr>
            <w:tcW w:w="364"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04F75CCF" w14:textId="226A0F4C"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Жодного</w:t>
            </w:r>
          </w:p>
        </w:tc>
        <w:tc>
          <w:tcPr>
            <w:tcW w:w="341"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20B0165E" w14:textId="0BE36507"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Незначний</w:t>
            </w:r>
          </w:p>
        </w:tc>
        <w:tc>
          <w:tcPr>
            <w:tcW w:w="417"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1E56CB39" w14:textId="0AD8A7CE"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Помірний</w:t>
            </w:r>
          </w:p>
        </w:tc>
        <w:tc>
          <w:tcPr>
            <w:tcW w:w="318"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02BF1098" w14:textId="0066CA1A"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Трансформуючий</w:t>
            </w:r>
          </w:p>
        </w:tc>
        <w:tc>
          <w:tcPr>
            <w:tcW w:w="491"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76EC443F" w14:textId="5202715F"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Не розпочато</w:t>
            </w:r>
          </w:p>
        </w:tc>
        <w:tc>
          <w:tcPr>
            <w:tcW w:w="516"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61032B75" w14:textId="79CBCF81"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Обмежене</w:t>
            </w:r>
          </w:p>
        </w:tc>
        <w:tc>
          <w:tcPr>
            <w:tcW w:w="516"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51A7211D" w14:textId="4B2832A7"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Значне</w:t>
            </w:r>
          </w:p>
        </w:tc>
        <w:tc>
          <w:tcPr>
            <w:tcW w:w="405"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13AE27CF" w14:textId="127127DD"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Повне</w:t>
            </w:r>
          </w:p>
        </w:tc>
        <w:tc>
          <w:tcPr>
            <w:tcW w:w="341"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1B39F49C" w14:textId="63DC8901"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Погіршило</w:t>
            </w:r>
          </w:p>
        </w:tc>
        <w:tc>
          <w:tcPr>
            <w:tcW w:w="385"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1969D84B" w14:textId="4F1CB66A"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Не змінило</w:t>
            </w:r>
          </w:p>
        </w:tc>
        <w:tc>
          <w:tcPr>
            <w:tcW w:w="341"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C9B8400" w14:textId="50F9C9E9"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Обмежено</w:t>
            </w:r>
          </w:p>
        </w:tc>
        <w:tc>
          <w:tcPr>
            <w:tcW w:w="436"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4523A3CE" w14:textId="083D7E67"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Значною мірою</w:t>
            </w:r>
          </w:p>
        </w:tc>
        <w:tc>
          <w:tcPr>
            <w:tcW w:w="423"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034FEB55" w14:textId="01514FE9" w:rsidR="00B94851" w:rsidRPr="00257F44" w:rsidRDefault="00B94851" w:rsidP="0084354E">
            <w:pPr>
              <w:rPr>
                <w:rFonts w:ascii="Gill Sans" w:hAnsi="Gill Sans" w:cs="Gill Sans"/>
                <w:sz w:val="22"/>
                <w:szCs w:val="22"/>
                <w:lang w:val="uk-UA"/>
              </w:rPr>
            </w:pPr>
            <w:r w:rsidRPr="00257F44">
              <w:rPr>
                <w:rFonts w:ascii="Gill Sans" w:hAnsi="Gill Sans" w:cs="Gill Sans"/>
                <w:sz w:val="20"/>
                <w:szCs w:val="20"/>
                <w:lang w:val="uk-UA"/>
              </w:rPr>
              <w:t>Визначною мірою</w:t>
            </w:r>
          </w:p>
        </w:tc>
      </w:tr>
      <w:tr w:rsidR="00D85EFE" w:rsidRPr="00257F44" w14:paraId="622F2C21" w14:textId="77777777" w:rsidTr="00B223BA">
        <w:trPr>
          <w:trHeight w:val="340"/>
        </w:trPr>
        <w:tc>
          <w:tcPr>
            <w:tcW w:w="1451" w:type="dxa"/>
            <w:vMerge w:val="restart"/>
            <w:tcBorders>
              <w:top w:val="single" w:sz="18" w:space="0" w:color="FFFFFF"/>
              <w:left w:val="single" w:sz="4" w:space="0" w:color="FFFFFF"/>
            </w:tcBorders>
            <w:shd w:val="clear" w:color="auto" w:fill="000000"/>
          </w:tcPr>
          <w:p w14:paraId="2AA9770D" w14:textId="466BD0C4" w:rsidR="0044773A" w:rsidRPr="00257F44" w:rsidRDefault="0044773A" w:rsidP="0044773A">
            <w:pPr>
              <w:pStyle w:val="Heading2"/>
              <w:spacing w:before="0" w:after="120"/>
              <w:rPr>
                <w:rFonts w:eastAsiaTheme="minorEastAsia"/>
                <w:b w:val="0"/>
                <w:bCs w:val="0"/>
                <w:color w:val="FFFFFF" w:themeColor="background1"/>
                <w:sz w:val="22"/>
                <w:szCs w:val="22"/>
                <w:lang w:val="uk-UA"/>
              </w:rPr>
            </w:pPr>
            <w:r w:rsidRPr="00257F44">
              <w:rPr>
                <w:rFonts w:eastAsiaTheme="minorEastAsia"/>
                <w:b w:val="0"/>
                <w:bCs w:val="0"/>
                <w:color w:val="FFFFFF" w:themeColor="background1"/>
                <w:sz w:val="22"/>
                <w:szCs w:val="22"/>
                <w:lang w:val="uk-UA"/>
              </w:rPr>
              <w:t xml:space="preserve">21. </w:t>
            </w:r>
            <w:r w:rsidR="00B94851" w:rsidRPr="00257F44">
              <w:rPr>
                <w:rFonts w:eastAsiaTheme="minorEastAsia"/>
                <w:b w:val="0"/>
                <w:bCs w:val="0"/>
                <w:color w:val="FFFFFF" w:themeColor="background1"/>
                <w:sz w:val="22"/>
                <w:szCs w:val="22"/>
                <w:lang w:val="uk-UA"/>
              </w:rPr>
              <w:t>Дорожня карта розвитку електронної демократії</w:t>
            </w:r>
          </w:p>
        </w:tc>
        <w:tc>
          <w:tcPr>
            <w:tcW w:w="475" w:type="dxa"/>
            <w:vMerge w:val="restart"/>
            <w:tcBorders>
              <w:top w:val="single" w:sz="18" w:space="0" w:color="FFFFFF"/>
              <w:right w:val="single" w:sz="2" w:space="0" w:color="FFFFFF"/>
            </w:tcBorders>
            <w:shd w:val="clear" w:color="auto" w:fill="D6E3BC"/>
          </w:tcPr>
          <w:p w14:paraId="4248FD39" w14:textId="77777777" w:rsidR="0044773A" w:rsidRPr="00257F44" w:rsidRDefault="0044773A" w:rsidP="0044773A">
            <w:pPr>
              <w:rPr>
                <w:rFonts w:ascii="Zapf Dingbats" w:eastAsia="MS Mincho" w:hAnsi="Zapf Dingbats" w:cs="MS Mincho"/>
                <w:noProof/>
                <w:sz w:val="22"/>
                <w:szCs w:val="22"/>
                <w:lang w:val="uk-UA"/>
              </w:rPr>
            </w:pPr>
          </w:p>
        </w:tc>
        <w:tc>
          <w:tcPr>
            <w:tcW w:w="418" w:type="dxa"/>
            <w:vMerge w:val="restart"/>
            <w:tcBorders>
              <w:top w:val="single" w:sz="18" w:space="0" w:color="FFFFFF"/>
              <w:left w:val="single" w:sz="2" w:space="0" w:color="FFFFFF"/>
              <w:right w:val="single" w:sz="2" w:space="0" w:color="FFFFFF"/>
            </w:tcBorders>
            <w:shd w:val="clear" w:color="auto" w:fill="D6E3BC"/>
          </w:tcPr>
          <w:p w14:paraId="052742D6" w14:textId="28FFD7D7" w:rsidR="0044773A" w:rsidRPr="00257F44" w:rsidRDefault="0044773A" w:rsidP="0044773A">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43" w:type="dxa"/>
            <w:vMerge w:val="restart"/>
            <w:tcBorders>
              <w:top w:val="single" w:sz="18" w:space="0" w:color="FFFFFF"/>
              <w:left w:val="single" w:sz="2" w:space="0" w:color="FFFFFF"/>
              <w:right w:val="single" w:sz="2" w:space="0" w:color="FFFFFF"/>
            </w:tcBorders>
            <w:shd w:val="clear" w:color="auto" w:fill="D6E3BC"/>
          </w:tcPr>
          <w:p w14:paraId="4E3BB806" w14:textId="77777777" w:rsidR="0044773A" w:rsidRPr="00257F44" w:rsidRDefault="0044773A" w:rsidP="0044773A">
            <w:pPr>
              <w:rPr>
                <w:rFonts w:ascii="Zapf Dingbats" w:eastAsia="MS Mincho" w:hAnsi="Zapf Dingbats" w:cs="MS Mincho"/>
                <w:noProof/>
                <w:sz w:val="22"/>
                <w:szCs w:val="22"/>
                <w:lang w:val="uk-UA"/>
              </w:rPr>
            </w:pPr>
          </w:p>
        </w:tc>
        <w:tc>
          <w:tcPr>
            <w:tcW w:w="343" w:type="dxa"/>
            <w:vMerge w:val="restart"/>
            <w:tcBorders>
              <w:top w:val="single" w:sz="18" w:space="0" w:color="FFFFFF"/>
              <w:left w:val="single" w:sz="2" w:space="0" w:color="FFFFFF"/>
              <w:right w:val="single" w:sz="18" w:space="0" w:color="FFFFFF"/>
            </w:tcBorders>
            <w:shd w:val="clear" w:color="auto" w:fill="D6E3BC"/>
          </w:tcPr>
          <w:p w14:paraId="640FA56E" w14:textId="7A08205A" w:rsidR="0044773A" w:rsidRPr="00257F44" w:rsidRDefault="0044773A" w:rsidP="0044773A">
            <w:pPr>
              <w:rPr>
                <w:rFonts w:ascii="Zapf Dingbats" w:eastAsia="MS Mincho" w:hAnsi="Zapf Dingbats" w:cs="MS Mincho"/>
                <w:noProof/>
                <w:sz w:val="22"/>
                <w:szCs w:val="22"/>
                <w:lang w:val="uk-UA"/>
              </w:rPr>
            </w:pPr>
          </w:p>
        </w:tc>
        <w:tc>
          <w:tcPr>
            <w:tcW w:w="373" w:type="dxa"/>
            <w:gridSpan w:val="2"/>
            <w:vMerge w:val="restart"/>
            <w:tcBorders>
              <w:top w:val="single" w:sz="18" w:space="0" w:color="FFFFFF"/>
              <w:left w:val="single" w:sz="2" w:space="0" w:color="FFFFFF"/>
              <w:bottom w:val="single" w:sz="8" w:space="0" w:color="FFFFFF" w:themeColor="background1"/>
              <w:right w:val="single" w:sz="4" w:space="0" w:color="FFFFFF" w:themeColor="background1"/>
            </w:tcBorders>
            <w:shd w:val="clear" w:color="auto" w:fill="FBD4B4"/>
          </w:tcPr>
          <w:p w14:paraId="474A5257" w14:textId="77777777" w:rsidR="0044773A" w:rsidRPr="00257F44" w:rsidRDefault="0044773A" w:rsidP="0044773A">
            <w:pPr>
              <w:jc w:val="cente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37" w:type="dxa"/>
            <w:vMerge w:val="restart"/>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FBD4B4"/>
          </w:tcPr>
          <w:p w14:paraId="0945A43B" w14:textId="13C70367" w:rsidR="0044773A" w:rsidRPr="00257F44" w:rsidRDefault="0044773A" w:rsidP="0044773A">
            <w:pPr>
              <w:jc w:val="cente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96" w:type="dxa"/>
            <w:vMerge w:val="restart"/>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FBD4B4"/>
          </w:tcPr>
          <w:p w14:paraId="4FBA2FFE" w14:textId="77777777" w:rsidR="0044773A" w:rsidRPr="00257F44" w:rsidRDefault="0044773A" w:rsidP="0044773A">
            <w:pPr>
              <w:jc w:val="center"/>
              <w:rPr>
                <w:rFonts w:ascii="Zapf Dingbats" w:eastAsia="MS Mincho" w:hAnsi="Zapf Dingbats" w:cs="MS Mincho"/>
                <w:noProof/>
                <w:sz w:val="22"/>
                <w:szCs w:val="22"/>
                <w:lang w:val="uk-UA"/>
              </w:rPr>
            </w:pPr>
          </w:p>
        </w:tc>
        <w:tc>
          <w:tcPr>
            <w:tcW w:w="778" w:type="dxa"/>
            <w:vMerge w:val="restart"/>
            <w:tcBorders>
              <w:top w:val="single" w:sz="18" w:space="0" w:color="FFFFFF"/>
              <w:left w:val="single" w:sz="4" w:space="0" w:color="FFFFFF" w:themeColor="background1"/>
              <w:right w:val="single" w:sz="18" w:space="0" w:color="FFFFFF"/>
            </w:tcBorders>
            <w:shd w:val="clear" w:color="auto" w:fill="FBD4B4"/>
          </w:tcPr>
          <w:p w14:paraId="2B5625E3" w14:textId="77777777" w:rsidR="0044773A" w:rsidRPr="00257F44" w:rsidRDefault="0044773A" w:rsidP="0044773A">
            <w:pPr>
              <w:jc w:val="cente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64" w:type="dxa"/>
            <w:vMerge w:val="restart"/>
            <w:tcBorders>
              <w:top w:val="single" w:sz="18" w:space="0" w:color="FFFFFF"/>
              <w:left w:val="single" w:sz="18" w:space="0" w:color="FFFFFF"/>
              <w:right w:val="single" w:sz="2" w:space="0" w:color="FFFFFF"/>
            </w:tcBorders>
            <w:shd w:val="clear" w:color="auto" w:fill="CCC0D9"/>
          </w:tcPr>
          <w:p w14:paraId="22F84C62" w14:textId="77777777" w:rsidR="0044773A" w:rsidRPr="00257F44" w:rsidRDefault="0044773A" w:rsidP="0044773A">
            <w:pPr>
              <w:rPr>
                <w:rFonts w:ascii="Zapf Dingbats" w:eastAsia="MS Mincho" w:hAnsi="Zapf Dingbats" w:cs="MS Mincho"/>
                <w:noProof/>
                <w:sz w:val="22"/>
                <w:szCs w:val="22"/>
                <w:lang w:val="uk-UA"/>
              </w:rPr>
            </w:pPr>
          </w:p>
        </w:tc>
        <w:tc>
          <w:tcPr>
            <w:tcW w:w="341" w:type="dxa"/>
            <w:vMerge w:val="restart"/>
            <w:tcBorders>
              <w:top w:val="single" w:sz="18" w:space="0" w:color="FFFFFF"/>
              <w:left w:val="single" w:sz="2" w:space="0" w:color="FFFFFF"/>
              <w:right w:val="single" w:sz="2" w:space="0" w:color="FFFFFF"/>
            </w:tcBorders>
            <w:shd w:val="clear" w:color="auto" w:fill="CCC0D9"/>
          </w:tcPr>
          <w:p w14:paraId="2A971A0E" w14:textId="77777777" w:rsidR="0044773A" w:rsidRPr="00257F44" w:rsidRDefault="0044773A" w:rsidP="0044773A">
            <w:pPr>
              <w:rPr>
                <w:rFonts w:ascii="Zapf Dingbats" w:eastAsia="MS Mincho" w:hAnsi="Zapf Dingbats" w:cs="MS Mincho"/>
                <w:noProof/>
                <w:sz w:val="22"/>
                <w:szCs w:val="22"/>
                <w:lang w:val="uk-UA"/>
              </w:rPr>
            </w:pPr>
          </w:p>
        </w:tc>
        <w:tc>
          <w:tcPr>
            <w:tcW w:w="417" w:type="dxa"/>
            <w:vMerge w:val="restart"/>
            <w:tcBorders>
              <w:top w:val="single" w:sz="18" w:space="0" w:color="FFFFFF"/>
              <w:left w:val="single" w:sz="2" w:space="0" w:color="FFFFFF"/>
              <w:right w:val="single" w:sz="2" w:space="0" w:color="FFFFFF"/>
            </w:tcBorders>
            <w:shd w:val="clear" w:color="auto" w:fill="CCC0D9"/>
          </w:tcPr>
          <w:p w14:paraId="01CF4562" w14:textId="5B3597E9" w:rsidR="0044773A" w:rsidRPr="00257F44" w:rsidRDefault="0044773A" w:rsidP="0044773A">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18" w:type="dxa"/>
            <w:vMerge w:val="restart"/>
            <w:tcBorders>
              <w:top w:val="single" w:sz="18" w:space="0" w:color="FFFFFF"/>
              <w:left w:val="single" w:sz="2" w:space="0" w:color="FFFFFF"/>
              <w:right w:val="single" w:sz="18" w:space="0" w:color="FFFFFF"/>
            </w:tcBorders>
            <w:shd w:val="clear" w:color="auto" w:fill="CCC0D9"/>
          </w:tcPr>
          <w:p w14:paraId="07A58038" w14:textId="1E0905F0" w:rsidR="0044773A" w:rsidRPr="00257F44" w:rsidRDefault="0044773A" w:rsidP="0044773A">
            <w:pPr>
              <w:rPr>
                <w:rFonts w:ascii="Zapf Dingbats" w:eastAsia="MS Mincho" w:hAnsi="Zapf Dingbats" w:cs="MS Mincho"/>
                <w:noProof/>
                <w:sz w:val="22"/>
                <w:szCs w:val="22"/>
                <w:lang w:val="uk-UA"/>
              </w:rPr>
            </w:pPr>
          </w:p>
        </w:tc>
        <w:tc>
          <w:tcPr>
            <w:tcW w:w="491"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73349FFC" w14:textId="77777777" w:rsidR="0044773A" w:rsidRPr="00257F44" w:rsidRDefault="0044773A" w:rsidP="0044773A">
            <w:pPr>
              <w:rPr>
                <w:rFonts w:ascii="Zapf Dingbats" w:eastAsia="MS Mincho" w:hAnsi="Zapf Dingbats" w:cs="MS Mincho"/>
                <w:noProof/>
                <w:sz w:val="22"/>
                <w:szCs w:val="22"/>
                <w:lang w:val="uk-UA"/>
              </w:rPr>
            </w:pPr>
          </w:p>
        </w:tc>
        <w:tc>
          <w:tcPr>
            <w:tcW w:w="516"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44EA8DDC" w14:textId="77777777" w:rsidR="0044773A" w:rsidRPr="00257F44" w:rsidRDefault="0044773A" w:rsidP="0044773A">
            <w:pPr>
              <w:rPr>
                <w:rFonts w:ascii="Zapf Dingbats" w:eastAsia="MS Mincho" w:hAnsi="Zapf Dingbats" w:cs="MS Mincho"/>
                <w:noProof/>
                <w:sz w:val="22"/>
                <w:szCs w:val="22"/>
                <w:lang w:val="uk-UA"/>
              </w:rPr>
            </w:pPr>
          </w:p>
        </w:tc>
        <w:tc>
          <w:tcPr>
            <w:tcW w:w="516"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7550FD45" w14:textId="2755925D" w:rsidR="0044773A" w:rsidRPr="00257F44" w:rsidRDefault="0044773A" w:rsidP="0044773A">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405"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3F1143CA" w14:textId="01673615" w:rsidR="0044773A" w:rsidRPr="00257F44" w:rsidRDefault="0044773A" w:rsidP="0044773A">
            <w:pPr>
              <w:rPr>
                <w:rFonts w:ascii="Zapf Dingbats" w:eastAsia="MS Mincho" w:hAnsi="Zapf Dingbats" w:cs="MS Mincho"/>
                <w:noProof/>
                <w:sz w:val="22"/>
                <w:szCs w:val="22"/>
                <w:lang w:val="uk-UA"/>
              </w:rPr>
            </w:pPr>
          </w:p>
        </w:tc>
        <w:tc>
          <w:tcPr>
            <w:tcW w:w="341" w:type="dxa"/>
            <w:vMerge w:val="restart"/>
            <w:tcBorders>
              <w:top w:val="single" w:sz="18" w:space="0" w:color="FFFFFF"/>
              <w:left w:val="single" w:sz="18" w:space="0" w:color="FFFFFF"/>
              <w:right w:val="single" w:sz="2" w:space="0" w:color="FFFFFF"/>
            </w:tcBorders>
            <w:shd w:val="clear" w:color="auto" w:fill="D99594"/>
          </w:tcPr>
          <w:p w14:paraId="146282D0" w14:textId="77777777" w:rsidR="0044773A" w:rsidRPr="00257F44" w:rsidRDefault="0044773A" w:rsidP="0044773A">
            <w:pPr>
              <w:rPr>
                <w:rFonts w:ascii="Gill Sans" w:hAnsi="Gill Sans" w:cs="Gill Sans"/>
                <w:sz w:val="22"/>
                <w:szCs w:val="22"/>
                <w:lang w:val="uk-UA"/>
              </w:rPr>
            </w:pPr>
          </w:p>
        </w:tc>
        <w:tc>
          <w:tcPr>
            <w:tcW w:w="385" w:type="dxa"/>
            <w:vMerge w:val="restart"/>
            <w:tcBorders>
              <w:top w:val="single" w:sz="18" w:space="0" w:color="FFFFFF"/>
              <w:left w:val="single" w:sz="2" w:space="0" w:color="FFFFFF"/>
              <w:right w:val="single" w:sz="2" w:space="0" w:color="FFFFFF"/>
            </w:tcBorders>
            <w:shd w:val="clear" w:color="auto" w:fill="D99594"/>
          </w:tcPr>
          <w:p w14:paraId="7D14B680" w14:textId="77777777" w:rsidR="0044773A" w:rsidRPr="00257F44" w:rsidRDefault="0044773A" w:rsidP="0044773A">
            <w:pPr>
              <w:rPr>
                <w:rFonts w:ascii="Zapf Dingbats" w:eastAsia="MS Mincho" w:hAnsi="Zapf Dingbats" w:cs="MS Mincho"/>
                <w:noProof/>
                <w:sz w:val="22"/>
                <w:szCs w:val="22"/>
                <w:lang w:val="uk-UA"/>
              </w:rPr>
            </w:pPr>
          </w:p>
          <w:p w14:paraId="224124A7" w14:textId="2D8D7544" w:rsidR="0044773A" w:rsidRPr="00257F44" w:rsidRDefault="0044773A" w:rsidP="0044773A">
            <w:pPr>
              <w:rPr>
                <w:rFonts w:ascii="Gill Sans" w:hAnsi="Gill Sans" w:cs="Gill Sans"/>
                <w:sz w:val="22"/>
                <w:szCs w:val="22"/>
                <w:lang w:val="uk-UA"/>
              </w:rPr>
            </w:pPr>
            <w:r w:rsidRPr="00257F44">
              <w:rPr>
                <w:rFonts w:ascii="Zapf Dingbats" w:eastAsia="MS Mincho" w:hAnsi="Zapf Dingbats" w:cs="MS Mincho"/>
                <w:noProof/>
                <w:sz w:val="22"/>
                <w:szCs w:val="22"/>
                <w:lang w:val="uk-UA"/>
              </w:rPr>
              <w:t>✔</w:t>
            </w:r>
          </w:p>
        </w:tc>
        <w:tc>
          <w:tcPr>
            <w:tcW w:w="341" w:type="dxa"/>
            <w:vMerge w:val="restart"/>
            <w:tcBorders>
              <w:top w:val="single" w:sz="18" w:space="0" w:color="FFFFFF"/>
              <w:left w:val="single" w:sz="2" w:space="0" w:color="FFFFFF"/>
              <w:right w:val="single" w:sz="2" w:space="0" w:color="FFFFFF"/>
            </w:tcBorders>
            <w:shd w:val="clear" w:color="auto" w:fill="D99594"/>
          </w:tcPr>
          <w:p w14:paraId="3827F243" w14:textId="58D4EF96" w:rsidR="0044773A" w:rsidRPr="00257F44" w:rsidRDefault="0044773A" w:rsidP="0044773A">
            <w:pPr>
              <w:rPr>
                <w:rFonts w:ascii="Gill Sans" w:hAnsi="Gill Sans" w:cs="Gill Sans"/>
                <w:sz w:val="22"/>
                <w:szCs w:val="22"/>
                <w:lang w:val="uk-UA"/>
              </w:rPr>
            </w:pPr>
          </w:p>
        </w:tc>
        <w:tc>
          <w:tcPr>
            <w:tcW w:w="436" w:type="dxa"/>
            <w:vMerge w:val="restart"/>
            <w:tcBorders>
              <w:top w:val="single" w:sz="18" w:space="0" w:color="FFFFFF"/>
              <w:left w:val="single" w:sz="2" w:space="0" w:color="FFFFFF"/>
              <w:right w:val="single" w:sz="2" w:space="0" w:color="FFFFFF"/>
            </w:tcBorders>
            <w:shd w:val="clear" w:color="auto" w:fill="D99594"/>
          </w:tcPr>
          <w:p w14:paraId="6F85B4C7" w14:textId="77777777" w:rsidR="0044773A" w:rsidRPr="00257F44" w:rsidRDefault="0044773A" w:rsidP="0044773A">
            <w:pPr>
              <w:rPr>
                <w:rFonts w:ascii="Gill Sans" w:hAnsi="Gill Sans" w:cs="Gill Sans"/>
                <w:noProof/>
                <w:sz w:val="22"/>
                <w:szCs w:val="22"/>
                <w:lang w:val="uk-UA"/>
              </w:rPr>
            </w:pPr>
          </w:p>
        </w:tc>
        <w:tc>
          <w:tcPr>
            <w:tcW w:w="423" w:type="dxa"/>
            <w:vMerge w:val="restart"/>
            <w:tcBorders>
              <w:top w:val="single" w:sz="18" w:space="0" w:color="FFFFFF"/>
              <w:left w:val="single" w:sz="2" w:space="0" w:color="FFFFFF"/>
              <w:right w:val="single" w:sz="18" w:space="0" w:color="FFFFFF"/>
            </w:tcBorders>
            <w:shd w:val="clear" w:color="auto" w:fill="D99594"/>
          </w:tcPr>
          <w:p w14:paraId="77751839" w14:textId="6A8C407B" w:rsidR="0044773A" w:rsidRPr="00257F44" w:rsidRDefault="0044773A" w:rsidP="0044773A">
            <w:pPr>
              <w:rPr>
                <w:rFonts w:ascii="Gill Sans" w:hAnsi="Gill Sans" w:cs="Gill Sans"/>
                <w:sz w:val="22"/>
                <w:szCs w:val="22"/>
                <w:lang w:val="uk-UA"/>
              </w:rPr>
            </w:pPr>
          </w:p>
        </w:tc>
      </w:tr>
      <w:tr w:rsidR="00D85EFE" w:rsidRPr="00257F44" w14:paraId="5FA49477" w14:textId="77777777" w:rsidTr="00B223BA">
        <w:trPr>
          <w:trHeight w:val="340"/>
        </w:trPr>
        <w:tc>
          <w:tcPr>
            <w:tcW w:w="1451" w:type="dxa"/>
            <w:vMerge/>
            <w:tcBorders>
              <w:left w:val="single" w:sz="4" w:space="0" w:color="FFFFFF"/>
            </w:tcBorders>
            <w:shd w:val="clear" w:color="auto" w:fill="000000"/>
          </w:tcPr>
          <w:p w14:paraId="46BCDDB5" w14:textId="77777777" w:rsidR="00207DBD" w:rsidRPr="00257F44" w:rsidRDefault="00207DBD" w:rsidP="0084354E">
            <w:pPr>
              <w:rPr>
                <w:rFonts w:ascii="Gill Sans" w:hAnsi="Gill Sans" w:cs="Gill Sans"/>
                <w:color w:val="FFFFFF" w:themeColor="background1"/>
                <w:sz w:val="22"/>
                <w:szCs w:val="22"/>
                <w:lang w:val="uk-UA"/>
              </w:rPr>
            </w:pPr>
          </w:p>
        </w:tc>
        <w:tc>
          <w:tcPr>
            <w:tcW w:w="475" w:type="dxa"/>
            <w:vMerge/>
            <w:tcBorders>
              <w:right w:val="single" w:sz="2" w:space="0" w:color="FFFFFF"/>
            </w:tcBorders>
            <w:shd w:val="clear" w:color="auto" w:fill="D6E3BC"/>
          </w:tcPr>
          <w:p w14:paraId="56923BEC" w14:textId="77777777" w:rsidR="00207DBD" w:rsidRPr="00257F44" w:rsidRDefault="00207DBD" w:rsidP="0084354E">
            <w:pPr>
              <w:rPr>
                <w:rFonts w:ascii="Zapf Dingbats" w:eastAsia="MS Mincho" w:hAnsi="Zapf Dingbats" w:cs="MS Mincho"/>
                <w:noProof/>
                <w:sz w:val="22"/>
                <w:szCs w:val="22"/>
                <w:lang w:val="uk-UA"/>
              </w:rPr>
            </w:pPr>
          </w:p>
        </w:tc>
        <w:tc>
          <w:tcPr>
            <w:tcW w:w="418" w:type="dxa"/>
            <w:vMerge/>
            <w:tcBorders>
              <w:left w:val="single" w:sz="2" w:space="0" w:color="FFFFFF"/>
              <w:right w:val="single" w:sz="2" w:space="0" w:color="FFFFFF"/>
            </w:tcBorders>
            <w:shd w:val="clear" w:color="auto" w:fill="D6E3BC"/>
          </w:tcPr>
          <w:p w14:paraId="4311BE67" w14:textId="77777777" w:rsidR="00207DBD" w:rsidRPr="00257F44" w:rsidRDefault="00207DBD" w:rsidP="0084354E">
            <w:pPr>
              <w:rPr>
                <w:rFonts w:ascii="Zapf Dingbats" w:eastAsia="MS Mincho" w:hAnsi="Zapf Dingbats" w:cs="MS Mincho"/>
                <w:noProof/>
                <w:sz w:val="22"/>
                <w:szCs w:val="22"/>
                <w:lang w:val="uk-UA"/>
              </w:rPr>
            </w:pPr>
          </w:p>
        </w:tc>
        <w:tc>
          <w:tcPr>
            <w:tcW w:w="343" w:type="dxa"/>
            <w:vMerge/>
            <w:tcBorders>
              <w:left w:val="single" w:sz="2" w:space="0" w:color="FFFFFF"/>
              <w:right w:val="single" w:sz="2" w:space="0" w:color="FFFFFF"/>
            </w:tcBorders>
            <w:shd w:val="clear" w:color="auto" w:fill="D6E3BC"/>
          </w:tcPr>
          <w:p w14:paraId="1AC23DF3" w14:textId="77777777" w:rsidR="00207DBD" w:rsidRPr="00257F44" w:rsidRDefault="00207DBD" w:rsidP="0084354E">
            <w:pPr>
              <w:rPr>
                <w:rFonts w:ascii="Zapf Dingbats" w:eastAsia="MS Mincho" w:hAnsi="Zapf Dingbats" w:cs="MS Mincho"/>
                <w:noProof/>
                <w:sz w:val="22"/>
                <w:szCs w:val="22"/>
                <w:lang w:val="uk-UA"/>
              </w:rPr>
            </w:pPr>
          </w:p>
        </w:tc>
        <w:tc>
          <w:tcPr>
            <w:tcW w:w="343" w:type="dxa"/>
            <w:vMerge/>
            <w:tcBorders>
              <w:left w:val="single" w:sz="2" w:space="0" w:color="FFFFFF"/>
              <w:right w:val="single" w:sz="18" w:space="0" w:color="FFFFFF"/>
            </w:tcBorders>
            <w:shd w:val="clear" w:color="auto" w:fill="D6E3BC"/>
          </w:tcPr>
          <w:p w14:paraId="28CF6686" w14:textId="77777777" w:rsidR="00207DBD" w:rsidRPr="00257F44" w:rsidRDefault="00207DBD" w:rsidP="0084354E">
            <w:pPr>
              <w:rPr>
                <w:rFonts w:ascii="Zapf Dingbats" w:eastAsia="MS Mincho" w:hAnsi="Zapf Dingbats" w:cs="MS Mincho"/>
                <w:noProof/>
                <w:sz w:val="22"/>
                <w:szCs w:val="22"/>
                <w:lang w:val="uk-UA"/>
              </w:rPr>
            </w:pPr>
          </w:p>
        </w:tc>
        <w:tc>
          <w:tcPr>
            <w:tcW w:w="373" w:type="dxa"/>
            <w:gridSpan w:val="2"/>
            <w:vMerge/>
            <w:tcBorders>
              <w:top w:val="single" w:sz="4" w:space="0" w:color="FFFFFF" w:themeColor="background1"/>
              <w:left w:val="single" w:sz="2" w:space="0" w:color="FFFFFF"/>
              <w:bottom w:val="single" w:sz="8" w:space="0" w:color="FFFFFF" w:themeColor="background1"/>
              <w:right w:val="single" w:sz="4" w:space="0" w:color="FFFFFF" w:themeColor="background1"/>
            </w:tcBorders>
            <w:shd w:val="clear" w:color="auto" w:fill="FBD4B4"/>
          </w:tcPr>
          <w:p w14:paraId="379CF4F4" w14:textId="77777777" w:rsidR="00207DBD" w:rsidRPr="00257F44" w:rsidRDefault="00207DBD" w:rsidP="0084354E">
            <w:pPr>
              <w:jc w:val="center"/>
              <w:rPr>
                <w:rFonts w:ascii="Zapf Dingbats" w:eastAsia="MS Mincho" w:hAnsi="Zapf Dingbats" w:cs="MS Mincho"/>
                <w:noProof/>
                <w:sz w:val="22"/>
                <w:szCs w:val="22"/>
                <w:lang w:val="uk-UA"/>
              </w:rPr>
            </w:pPr>
          </w:p>
        </w:tc>
        <w:tc>
          <w:tcPr>
            <w:tcW w:w="337" w:type="dxa"/>
            <w:vMerge/>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BD4B4"/>
          </w:tcPr>
          <w:p w14:paraId="1B6DF90D" w14:textId="77777777" w:rsidR="00207DBD" w:rsidRPr="00257F44" w:rsidRDefault="00207DBD" w:rsidP="0084354E">
            <w:pPr>
              <w:jc w:val="center"/>
              <w:rPr>
                <w:rFonts w:ascii="Zapf Dingbats" w:eastAsia="MS Mincho" w:hAnsi="Zapf Dingbats" w:cs="MS Mincho"/>
                <w:noProof/>
                <w:sz w:val="22"/>
                <w:szCs w:val="22"/>
                <w:lang w:val="uk-UA"/>
              </w:rPr>
            </w:pPr>
          </w:p>
        </w:tc>
        <w:tc>
          <w:tcPr>
            <w:tcW w:w="396" w:type="dxa"/>
            <w:vMerge/>
            <w:tcBorders>
              <w:top w:val="single" w:sz="4" w:space="0" w:color="FFFFFF" w:themeColor="background1"/>
              <w:left w:val="single" w:sz="4" w:space="0" w:color="FFFFFF" w:themeColor="background1"/>
              <w:bottom w:val="single" w:sz="8" w:space="0" w:color="FFFFFF" w:themeColor="background1"/>
              <w:right w:val="single" w:sz="4" w:space="0" w:color="FFFFFF" w:themeColor="background1"/>
            </w:tcBorders>
            <w:shd w:val="clear" w:color="auto" w:fill="FBD4B4"/>
          </w:tcPr>
          <w:p w14:paraId="64F83B57" w14:textId="77777777" w:rsidR="00207DBD" w:rsidRPr="00257F44" w:rsidRDefault="00207DBD" w:rsidP="0084354E">
            <w:pPr>
              <w:jc w:val="center"/>
              <w:rPr>
                <w:rFonts w:ascii="Zapf Dingbats" w:eastAsia="MS Mincho" w:hAnsi="Zapf Dingbats" w:cs="MS Mincho"/>
                <w:noProof/>
                <w:sz w:val="22"/>
                <w:szCs w:val="22"/>
                <w:lang w:val="uk-UA"/>
              </w:rPr>
            </w:pPr>
          </w:p>
        </w:tc>
        <w:tc>
          <w:tcPr>
            <w:tcW w:w="778" w:type="dxa"/>
            <w:vMerge/>
            <w:tcBorders>
              <w:left w:val="single" w:sz="4" w:space="0" w:color="FFFFFF" w:themeColor="background1"/>
              <w:bottom w:val="single" w:sz="8" w:space="0" w:color="FFFFFF" w:themeColor="background1"/>
              <w:right w:val="single" w:sz="18" w:space="0" w:color="FFFFFF"/>
            </w:tcBorders>
            <w:shd w:val="clear" w:color="auto" w:fill="FBD4B4"/>
          </w:tcPr>
          <w:p w14:paraId="5EC30202" w14:textId="77777777" w:rsidR="00207DBD" w:rsidRPr="00257F44" w:rsidRDefault="00207DBD" w:rsidP="0084354E">
            <w:pPr>
              <w:jc w:val="center"/>
              <w:rPr>
                <w:rFonts w:ascii="Zapf Dingbats" w:eastAsia="MS Mincho" w:hAnsi="Zapf Dingbats" w:cs="MS Mincho"/>
                <w:noProof/>
                <w:sz w:val="22"/>
                <w:szCs w:val="22"/>
                <w:lang w:val="uk-UA"/>
              </w:rPr>
            </w:pPr>
          </w:p>
        </w:tc>
        <w:tc>
          <w:tcPr>
            <w:tcW w:w="364" w:type="dxa"/>
            <w:vMerge/>
            <w:tcBorders>
              <w:left w:val="single" w:sz="18" w:space="0" w:color="FFFFFF"/>
              <w:right w:val="single" w:sz="2" w:space="0" w:color="FFFFFF"/>
            </w:tcBorders>
            <w:shd w:val="clear" w:color="auto" w:fill="CCC0D9"/>
          </w:tcPr>
          <w:p w14:paraId="7A310294" w14:textId="77777777" w:rsidR="00207DBD" w:rsidRPr="00257F44" w:rsidRDefault="00207DBD" w:rsidP="0084354E">
            <w:pPr>
              <w:rPr>
                <w:rFonts w:ascii="Zapf Dingbats" w:eastAsia="MS Mincho" w:hAnsi="Zapf Dingbats" w:cs="MS Mincho"/>
                <w:noProof/>
                <w:sz w:val="22"/>
                <w:szCs w:val="22"/>
                <w:lang w:val="uk-UA"/>
              </w:rPr>
            </w:pPr>
          </w:p>
        </w:tc>
        <w:tc>
          <w:tcPr>
            <w:tcW w:w="341" w:type="dxa"/>
            <w:vMerge/>
            <w:tcBorders>
              <w:left w:val="single" w:sz="2" w:space="0" w:color="FFFFFF"/>
              <w:right w:val="single" w:sz="2" w:space="0" w:color="FFFFFF"/>
            </w:tcBorders>
            <w:shd w:val="clear" w:color="auto" w:fill="CCC0D9"/>
          </w:tcPr>
          <w:p w14:paraId="453CF1A2" w14:textId="77777777" w:rsidR="00207DBD" w:rsidRPr="00257F44" w:rsidRDefault="00207DBD" w:rsidP="0084354E">
            <w:pPr>
              <w:rPr>
                <w:rFonts w:ascii="Zapf Dingbats" w:eastAsia="MS Mincho" w:hAnsi="Zapf Dingbats" w:cs="MS Mincho"/>
                <w:noProof/>
                <w:sz w:val="22"/>
                <w:szCs w:val="22"/>
                <w:lang w:val="uk-UA"/>
              </w:rPr>
            </w:pPr>
          </w:p>
        </w:tc>
        <w:tc>
          <w:tcPr>
            <w:tcW w:w="417" w:type="dxa"/>
            <w:vMerge/>
            <w:tcBorders>
              <w:left w:val="single" w:sz="2" w:space="0" w:color="FFFFFF"/>
              <w:right w:val="single" w:sz="2" w:space="0" w:color="FFFFFF"/>
            </w:tcBorders>
            <w:shd w:val="clear" w:color="auto" w:fill="CCC0D9"/>
          </w:tcPr>
          <w:p w14:paraId="4E0EB615" w14:textId="77777777" w:rsidR="00207DBD" w:rsidRPr="00257F44" w:rsidRDefault="00207DBD" w:rsidP="0084354E">
            <w:pPr>
              <w:rPr>
                <w:rFonts w:ascii="Zapf Dingbats" w:eastAsia="MS Mincho" w:hAnsi="Zapf Dingbats" w:cs="MS Mincho"/>
                <w:noProof/>
                <w:sz w:val="22"/>
                <w:szCs w:val="22"/>
                <w:lang w:val="uk-UA"/>
              </w:rPr>
            </w:pPr>
          </w:p>
        </w:tc>
        <w:tc>
          <w:tcPr>
            <w:tcW w:w="318" w:type="dxa"/>
            <w:vMerge/>
            <w:tcBorders>
              <w:left w:val="single" w:sz="2" w:space="0" w:color="FFFFFF"/>
              <w:right w:val="single" w:sz="18" w:space="0" w:color="FFFFFF"/>
            </w:tcBorders>
            <w:shd w:val="clear" w:color="auto" w:fill="CCC0D9"/>
          </w:tcPr>
          <w:p w14:paraId="256C227D" w14:textId="77777777" w:rsidR="00207DBD" w:rsidRPr="00257F44" w:rsidRDefault="00207DBD" w:rsidP="0084354E">
            <w:pPr>
              <w:rPr>
                <w:rFonts w:ascii="Zapf Dingbats" w:eastAsia="MS Mincho" w:hAnsi="Zapf Dingbats" w:cs="MS Mincho"/>
                <w:noProof/>
                <w:sz w:val="22"/>
                <w:szCs w:val="22"/>
                <w:lang w:val="uk-UA"/>
              </w:rPr>
            </w:pPr>
          </w:p>
        </w:tc>
        <w:tc>
          <w:tcPr>
            <w:tcW w:w="491" w:type="dxa"/>
            <w:tcBorders>
              <w:top w:val="single" w:sz="8" w:space="0" w:color="FFFFFF" w:themeColor="background1"/>
              <w:left w:val="single" w:sz="18" w:space="0" w:color="FFFFFF"/>
              <w:bottom w:val="single" w:sz="18" w:space="0" w:color="FFFFFF"/>
              <w:right w:val="single" w:sz="4" w:space="0" w:color="FFFFFF" w:themeColor="background1"/>
            </w:tcBorders>
            <w:shd w:val="clear" w:color="auto" w:fill="B8CCE4"/>
          </w:tcPr>
          <w:p w14:paraId="4073ED9A" w14:textId="77777777" w:rsidR="00207DBD" w:rsidRPr="00257F44" w:rsidRDefault="00207DBD" w:rsidP="0084354E">
            <w:pPr>
              <w:rPr>
                <w:rFonts w:ascii="Zapf Dingbats" w:eastAsia="MS Mincho" w:hAnsi="Zapf Dingbats" w:cs="MS Mincho"/>
                <w:noProof/>
                <w:sz w:val="22"/>
                <w:szCs w:val="22"/>
                <w:lang w:val="uk-UA"/>
              </w:rPr>
            </w:pPr>
          </w:p>
        </w:tc>
        <w:tc>
          <w:tcPr>
            <w:tcW w:w="516" w:type="dxa"/>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B8CCE4"/>
          </w:tcPr>
          <w:p w14:paraId="3A6EFEC5" w14:textId="77777777" w:rsidR="00207DBD" w:rsidRPr="00257F44" w:rsidRDefault="00207DBD" w:rsidP="0084354E">
            <w:pPr>
              <w:rPr>
                <w:rFonts w:ascii="Zapf Dingbats" w:eastAsia="MS Mincho" w:hAnsi="Zapf Dingbats" w:cs="MS Mincho"/>
                <w:noProof/>
                <w:sz w:val="22"/>
                <w:szCs w:val="22"/>
                <w:lang w:val="uk-UA"/>
              </w:rPr>
            </w:pPr>
          </w:p>
        </w:tc>
        <w:tc>
          <w:tcPr>
            <w:tcW w:w="516" w:type="dxa"/>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B8CCE4"/>
          </w:tcPr>
          <w:p w14:paraId="4F308C87" w14:textId="46FDA093" w:rsidR="00207DBD" w:rsidRPr="00257F44" w:rsidRDefault="00FA3B49" w:rsidP="0084354E">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405" w:type="dxa"/>
            <w:tcBorders>
              <w:top w:val="single" w:sz="8" w:space="0" w:color="FFFFFF" w:themeColor="background1"/>
              <w:left w:val="single" w:sz="4" w:space="0" w:color="FFFFFF" w:themeColor="background1"/>
              <w:bottom w:val="single" w:sz="18" w:space="0" w:color="FFFFFF"/>
              <w:right w:val="single" w:sz="18" w:space="0" w:color="FFFFFF"/>
            </w:tcBorders>
            <w:shd w:val="clear" w:color="auto" w:fill="B8CCE4"/>
          </w:tcPr>
          <w:p w14:paraId="148C0364" w14:textId="7BF83BA2" w:rsidR="00207DBD" w:rsidRPr="00257F44" w:rsidRDefault="00207DBD" w:rsidP="0084354E">
            <w:pPr>
              <w:rPr>
                <w:rFonts w:ascii="Zapf Dingbats" w:eastAsia="MS Mincho" w:hAnsi="Zapf Dingbats" w:cs="MS Mincho"/>
                <w:noProof/>
                <w:sz w:val="22"/>
                <w:szCs w:val="22"/>
                <w:lang w:val="uk-UA"/>
              </w:rPr>
            </w:pPr>
          </w:p>
        </w:tc>
        <w:tc>
          <w:tcPr>
            <w:tcW w:w="341" w:type="dxa"/>
            <w:vMerge/>
            <w:tcBorders>
              <w:left w:val="single" w:sz="18" w:space="0" w:color="FFFFFF"/>
              <w:right w:val="single" w:sz="2" w:space="0" w:color="FFFFFF"/>
            </w:tcBorders>
            <w:shd w:val="clear" w:color="auto" w:fill="D99594"/>
          </w:tcPr>
          <w:p w14:paraId="5A6ADFD4" w14:textId="77777777" w:rsidR="00207DBD" w:rsidRPr="00257F44" w:rsidRDefault="00207DBD" w:rsidP="0084354E">
            <w:pPr>
              <w:rPr>
                <w:rFonts w:ascii="Gill Sans" w:hAnsi="Gill Sans" w:cs="Gill Sans"/>
                <w:sz w:val="22"/>
                <w:szCs w:val="22"/>
                <w:lang w:val="uk-UA"/>
              </w:rPr>
            </w:pPr>
          </w:p>
        </w:tc>
        <w:tc>
          <w:tcPr>
            <w:tcW w:w="385" w:type="dxa"/>
            <w:vMerge/>
            <w:tcBorders>
              <w:left w:val="single" w:sz="2" w:space="0" w:color="FFFFFF"/>
              <w:right w:val="single" w:sz="2" w:space="0" w:color="FFFFFF"/>
            </w:tcBorders>
            <w:shd w:val="clear" w:color="auto" w:fill="D99594"/>
          </w:tcPr>
          <w:p w14:paraId="5119B350" w14:textId="77777777" w:rsidR="00207DBD" w:rsidRPr="00257F44" w:rsidRDefault="00207DBD" w:rsidP="0084354E">
            <w:pPr>
              <w:rPr>
                <w:rFonts w:ascii="Gill Sans" w:hAnsi="Gill Sans" w:cs="Gill Sans"/>
                <w:sz w:val="22"/>
                <w:szCs w:val="22"/>
                <w:lang w:val="uk-UA"/>
              </w:rPr>
            </w:pPr>
          </w:p>
        </w:tc>
        <w:tc>
          <w:tcPr>
            <w:tcW w:w="341" w:type="dxa"/>
            <w:vMerge/>
            <w:tcBorders>
              <w:left w:val="single" w:sz="2" w:space="0" w:color="FFFFFF"/>
              <w:right w:val="single" w:sz="2" w:space="0" w:color="FFFFFF"/>
            </w:tcBorders>
            <w:shd w:val="clear" w:color="auto" w:fill="D99594"/>
          </w:tcPr>
          <w:p w14:paraId="6200E219" w14:textId="77777777" w:rsidR="00207DBD" w:rsidRPr="00257F44" w:rsidRDefault="00207DBD" w:rsidP="0084354E">
            <w:pPr>
              <w:rPr>
                <w:rFonts w:ascii="Gill Sans" w:hAnsi="Gill Sans" w:cs="Gill Sans"/>
                <w:sz w:val="22"/>
                <w:szCs w:val="22"/>
                <w:lang w:val="uk-UA"/>
              </w:rPr>
            </w:pPr>
          </w:p>
        </w:tc>
        <w:tc>
          <w:tcPr>
            <w:tcW w:w="436" w:type="dxa"/>
            <w:vMerge/>
            <w:tcBorders>
              <w:left w:val="single" w:sz="2" w:space="0" w:color="FFFFFF"/>
              <w:right w:val="single" w:sz="2" w:space="0" w:color="FFFFFF"/>
            </w:tcBorders>
            <w:shd w:val="clear" w:color="auto" w:fill="D99594"/>
          </w:tcPr>
          <w:p w14:paraId="56EEB159" w14:textId="77777777" w:rsidR="00207DBD" w:rsidRPr="00257F44" w:rsidRDefault="00207DBD" w:rsidP="0084354E">
            <w:pPr>
              <w:rPr>
                <w:rFonts w:ascii="Gill Sans" w:hAnsi="Gill Sans" w:cs="Gill Sans"/>
                <w:noProof/>
                <w:sz w:val="22"/>
                <w:szCs w:val="22"/>
                <w:lang w:val="uk-UA"/>
              </w:rPr>
            </w:pPr>
          </w:p>
        </w:tc>
        <w:tc>
          <w:tcPr>
            <w:tcW w:w="423" w:type="dxa"/>
            <w:vMerge/>
            <w:tcBorders>
              <w:left w:val="single" w:sz="2" w:space="0" w:color="FFFFFF"/>
              <w:right w:val="single" w:sz="18" w:space="0" w:color="FFFFFF"/>
            </w:tcBorders>
            <w:shd w:val="clear" w:color="auto" w:fill="D99594"/>
          </w:tcPr>
          <w:p w14:paraId="1E167C20" w14:textId="77777777" w:rsidR="00207DBD" w:rsidRPr="00257F44" w:rsidRDefault="00207DBD" w:rsidP="0084354E">
            <w:pPr>
              <w:rPr>
                <w:rFonts w:ascii="Gill Sans" w:hAnsi="Gill Sans" w:cs="Gill Sans"/>
                <w:sz w:val="22"/>
                <w:szCs w:val="22"/>
                <w:lang w:val="uk-UA"/>
              </w:rPr>
            </w:pPr>
          </w:p>
        </w:tc>
      </w:tr>
      <w:tr w:rsidR="00D85EFE" w:rsidRPr="00257F44" w14:paraId="2AD3F697" w14:textId="77777777" w:rsidTr="00B223BA">
        <w:trPr>
          <w:trHeight w:val="600"/>
        </w:trPr>
        <w:tc>
          <w:tcPr>
            <w:tcW w:w="1451" w:type="dxa"/>
            <w:vMerge w:val="restart"/>
            <w:tcBorders>
              <w:top w:val="single" w:sz="18" w:space="0" w:color="FFFFFF"/>
              <w:left w:val="single" w:sz="4" w:space="0" w:color="FFFFFF"/>
            </w:tcBorders>
            <w:shd w:val="clear" w:color="auto" w:fill="000000"/>
          </w:tcPr>
          <w:p w14:paraId="0B7FAAA0" w14:textId="49677038" w:rsidR="00207DBD" w:rsidRPr="00257F44" w:rsidRDefault="00207DBD" w:rsidP="00B94851">
            <w:pPr>
              <w:pStyle w:val="Heading2"/>
              <w:spacing w:before="0" w:after="120"/>
              <w:rPr>
                <w:rFonts w:eastAsiaTheme="minorEastAsia"/>
                <w:b w:val="0"/>
                <w:bCs w:val="0"/>
                <w:color w:val="FFFFFF" w:themeColor="background1"/>
                <w:sz w:val="22"/>
                <w:szCs w:val="22"/>
                <w:lang w:val="uk-UA"/>
              </w:rPr>
            </w:pPr>
            <w:r w:rsidRPr="00257F44">
              <w:rPr>
                <w:rFonts w:eastAsiaTheme="minorEastAsia"/>
                <w:b w:val="0"/>
                <w:bCs w:val="0"/>
                <w:color w:val="FFFFFF" w:themeColor="background1"/>
                <w:sz w:val="22"/>
                <w:szCs w:val="22"/>
                <w:lang w:val="uk-UA"/>
              </w:rPr>
              <w:lastRenderedPageBreak/>
              <w:t xml:space="preserve">23. </w:t>
            </w:r>
            <w:r w:rsidR="00B94851" w:rsidRPr="00257F44">
              <w:rPr>
                <w:rFonts w:eastAsiaTheme="minorEastAsia"/>
                <w:b w:val="0"/>
                <w:bCs w:val="0"/>
                <w:color w:val="FFFFFF" w:themeColor="background1"/>
                <w:sz w:val="22"/>
                <w:szCs w:val="22"/>
                <w:lang w:val="uk-UA"/>
              </w:rPr>
              <w:t xml:space="preserve">Електронні звернення громадян </w:t>
            </w:r>
          </w:p>
        </w:tc>
        <w:tc>
          <w:tcPr>
            <w:tcW w:w="475" w:type="dxa"/>
            <w:vMerge w:val="restart"/>
            <w:tcBorders>
              <w:top w:val="single" w:sz="18" w:space="0" w:color="FFFFFF"/>
              <w:right w:val="single" w:sz="2" w:space="0" w:color="FFFFFF"/>
            </w:tcBorders>
            <w:shd w:val="clear" w:color="auto" w:fill="D6E3BC"/>
          </w:tcPr>
          <w:p w14:paraId="3BC16C74" w14:textId="77777777" w:rsidR="00207DBD" w:rsidRPr="00257F44" w:rsidRDefault="00207DBD" w:rsidP="0084354E">
            <w:pPr>
              <w:rPr>
                <w:rFonts w:ascii="Zapf Dingbats" w:eastAsia="MS Mincho" w:hAnsi="Zapf Dingbats" w:cs="MS Mincho"/>
                <w:noProof/>
                <w:sz w:val="22"/>
                <w:szCs w:val="22"/>
                <w:lang w:val="uk-UA"/>
              </w:rPr>
            </w:pPr>
          </w:p>
        </w:tc>
        <w:tc>
          <w:tcPr>
            <w:tcW w:w="418" w:type="dxa"/>
            <w:vMerge w:val="restart"/>
            <w:tcBorders>
              <w:top w:val="single" w:sz="18" w:space="0" w:color="FFFFFF"/>
              <w:left w:val="single" w:sz="2" w:space="0" w:color="FFFFFF"/>
              <w:right w:val="single" w:sz="2" w:space="0" w:color="FFFFFF"/>
            </w:tcBorders>
            <w:shd w:val="clear" w:color="auto" w:fill="D6E3BC"/>
          </w:tcPr>
          <w:p w14:paraId="066A7E0D" w14:textId="42288EEC" w:rsidR="00207DBD" w:rsidRPr="00257F44" w:rsidRDefault="00207DBD" w:rsidP="0084354E">
            <w:pPr>
              <w:rPr>
                <w:rFonts w:ascii="Zapf Dingbats" w:eastAsia="MS Mincho" w:hAnsi="Zapf Dingbats" w:cs="MS Mincho"/>
                <w:noProof/>
                <w:sz w:val="22"/>
                <w:szCs w:val="22"/>
                <w:lang w:val="uk-UA"/>
              </w:rPr>
            </w:pPr>
          </w:p>
        </w:tc>
        <w:tc>
          <w:tcPr>
            <w:tcW w:w="343" w:type="dxa"/>
            <w:vMerge w:val="restart"/>
            <w:tcBorders>
              <w:top w:val="single" w:sz="18" w:space="0" w:color="FFFFFF"/>
              <w:left w:val="single" w:sz="2" w:space="0" w:color="FFFFFF"/>
              <w:right w:val="single" w:sz="2" w:space="0" w:color="FFFFFF"/>
            </w:tcBorders>
            <w:shd w:val="clear" w:color="auto" w:fill="D6E3BC"/>
          </w:tcPr>
          <w:p w14:paraId="3E727F61" w14:textId="77777777" w:rsidR="00207DBD" w:rsidRPr="00257F44" w:rsidRDefault="00207DBD" w:rsidP="0084354E">
            <w:pPr>
              <w:rPr>
                <w:rFonts w:ascii="Zapf Dingbats" w:eastAsia="MS Mincho" w:hAnsi="Zapf Dingbats" w:cs="MS Mincho"/>
                <w:noProof/>
                <w:sz w:val="22"/>
                <w:szCs w:val="22"/>
                <w:lang w:val="uk-UA"/>
              </w:rPr>
            </w:pPr>
          </w:p>
        </w:tc>
        <w:tc>
          <w:tcPr>
            <w:tcW w:w="343" w:type="dxa"/>
            <w:vMerge w:val="restart"/>
            <w:tcBorders>
              <w:top w:val="single" w:sz="18" w:space="0" w:color="FFFFFF"/>
              <w:left w:val="single" w:sz="2" w:space="0" w:color="FFFFFF"/>
              <w:right w:val="single" w:sz="18" w:space="0" w:color="FFFFFF"/>
            </w:tcBorders>
            <w:shd w:val="clear" w:color="auto" w:fill="D6E3BC"/>
          </w:tcPr>
          <w:p w14:paraId="498D9117" w14:textId="24CE2751" w:rsidR="00207DBD" w:rsidRPr="00257F44" w:rsidRDefault="00207DBD" w:rsidP="0084354E">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73" w:type="dxa"/>
            <w:gridSpan w:val="2"/>
            <w:vMerge w:val="restart"/>
            <w:tcBorders>
              <w:top w:val="single" w:sz="8" w:space="0" w:color="FFFFFF" w:themeColor="background1"/>
              <w:left w:val="single" w:sz="2" w:space="0" w:color="FFFFFF"/>
              <w:bottom w:val="single" w:sz="18" w:space="0" w:color="FFFFFF"/>
              <w:right w:val="single" w:sz="4" w:space="0" w:color="FFFFFF" w:themeColor="background1"/>
            </w:tcBorders>
            <w:shd w:val="clear" w:color="auto" w:fill="FBD4B4"/>
          </w:tcPr>
          <w:p w14:paraId="57040BED" w14:textId="54DA4A01" w:rsidR="00207DBD" w:rsidRPr="00257F44" w:rsidRDefault="00207DBD" w:rsidP="0084354E">
            <w:pPr>
              <w:jc w:val="center"/>
              <w:rPr>
                <w:rFonts w:ascii="Zapf Dingbats" w:eastAsia="MS Mincho" w:hAnsi="Zapf Dingbats" w:cs="MS Mincho"/>
                <w:noProof/>
                <w:sz w:val="22"/>
                <w:szCs w:val="22"/>
                <w:lang w:val="uk-UA"/>
              </w:rPr>
            </w:pPr>
          </w:p>
        </w:tc>
        <w:tc>
          <w:tcPr>
            <w:tcW w:w="337" w:type="dxa"/>
            <w:vMerge w:val="restart"/>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FBD4B4"/>
          </w:tcPr>
          <w:p w14:paraId="514A6481" w14:textId="5555DC0F" w:rsidR="00207DBD" w:rsidRPr="00257F44" w:rsidRDefault="00207DBD" w:rsidP="0084354E">
            <w:pPr>
              <w:jc w:val="cente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96" w:type="dxa"/>
            <w:vMerge w:val="restart"/>
            <w:tcBorders>
              <w:top w:val="single" w:sz="8" w:space="0" w:color="FFFFFF" w:themeColor="background1"/>
              <w:left w:val="single" w:sz="4" w:space="0" w:color="FFFFFF" w:themeColor="background1"/>
              <w:bottom w:val="single" w:sz="18" w:space="0" w:color="FFFFFF"/>
              <w:right w:val="single" w:sz="4" w:space="0" w:color="FFFFFF" w:themeColor="background1"/>
            </w:tcBorders>
            <w:shd w:val="clear" w:color="auto" w:fill="FBD4B4"/>
          </w:tcPr>
          <w:p w14:paraId="2DFE87CD" w14:textId="59E8012A" w:rsidR="00207DBD" w:rsidRPr="00257F44" w:rsidRDefault="00207DBD" w:rsidP="0084354E">
            <w:pPr>
              <w:jc w:val="cente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778" w:type="dxa"/>
            <w:vMerge w:val="restart"/>
            <w:tcBorders>
              <w:top w:val="single" w:sz="8" w:space="0" w:color="FFFFFF" w:themeColor="background1"/>
              <w:left w:val="single" w:sz="4" w:space="0" w:color="FFFFFF" w:themeColor="background1"/>
              <w:right w:val="single" w:sz="18" w:space="0" w:color="FFFFFF"/>
            </w:tcBorders>
            <w:shd w:val="clear" w:color="auto" w:fill="FBD4B4"/>
          </w:tcPr>
          <w:p w14:paraId="2C2830C5" w14:textId="77777777" w:rsidR="00207DBD" w:rsidRPr="00257F44" w:rsidRDefault="00207DBD" w:rsidP="0084354E">
            <w:pPr>
              <w:jc w:val="cente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64" w:type="dxa"/>
            <w:vMerge w:val="restart"/>
            <w:tcBorders>
              <w:top w:val="single" w:sz="18" w:space="0" w:color="FFFFFF"/>
              <w:left w:val="single" w:sz="18" w:space="0" w:color="FFFFFF"/>
              <w:right w:val="single" w:sz="2" w:space="0" w:color="FFFFFF"/>
            </w:tcBorders>
            <w:shd w:val="clear" w:color="auto" w:fill="CCC0D9"/>
          </w:tcPr>
          <w:p w14:paraId="1CE3B6E8" w14:textId="77777777" w:rsidR="00207DBD" w:rsidRPr="00257F44" w:rsidRDefault="00207DBD" w:rsidP="0084354E">
            <w:pPr>
              <w:rPr>
                <w:rFonts w:ascii="Zapf Dingbats" w:eastAsia="MS Mincho" w:hAnsi="Zapf Dingbats" w:cs="MS Mincho"/>
                <w:noProof/>
                <w:sz w:val="22"/>
                <w:szCs w:val="22"/>
                <w:lang w:val="uk-UA"/>
              </w:rPr>
            </w:pPr>
          </w:p>
        </w:tc>
        <w:tc>
          <w:tcPr>
            <w:tcW w:w="341" w:type="dxa"/>
            <w:vMerge w:val="restart"/>
            <w:tcBorders>
              <w:top w:val="single" w:sz="18" w:space="0" w:color="FFFFFF"/>
              <w:left w:val="single" w:sz="2" w:space="0" w:color="FFFFFF"/>
              <w:right w:val="single" w:sz="2" w:space="0" w:color="FFFFFF"/>
            </w:tcBorders>
            <w:shd w:val="clear" w:color="auto" w:fill="CCC0D9"/>
          </w:tcPr>
          <w:p w14:paraId="66ECA4BE" w14:textId="6AA71821" w:rsidR="00207DBD" w:rsidRPr="00257F44" w:rsidRDefault="00207DBD" w:rsidP="0084354E">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417" w:type="dxa"/>
            <w:vMerge w:val="restart"/>
            <w:tcBorders>
              <w:top w:val="single" w:sz="18" w:space="0" w:color="FFFFFF"/>
              <w:left w:val="single" w:sz="2" w:space="0" w:color="FFFFFF"/>
              <w:right w:val="single" w:sz="2" w:space="0" w:color="FFFFFF"/>
            </w:tcBorders>
            <w:shd w:val="clear" w:color="auto" w:fill="CCC0D9"/>
          </w:tcPr>
          <w:p w14:paraId="1F78EB49" w14:textId="3211A9AD" w:rsidR="00207DBD" w:rsidRPr="00257F44" w:rsidRDefault="00207DBD" w:rsidP="0084354E">
            <w:pPr>
              <w:rPr>
                <w:rFonts w:ascii="Zapf Dingbats" w:eastAsia="MS Mincho" w:hAnsi="Zapf Dingbats" w:cs="MS Mincho"/>
                <w:noProof/>
                <w:sz w:val="22"/>
                <w:szCs w:val="22"/>
                <w:lang w:val="uk-UA"/>
              </w:rPr>
            </w:pPr>
          </w:p>
        </w:tc>
        <w:tc>
          <w:tcPr>
            <w:tcW w:w="318" w:type="dxa"/>
            <w:vMerge w:val="restart"/>
            <w:tcBorders>
              <w:top w:val="single" w:sz="18" w:space="0" w:color="FFFFFF"/>
              <w:left w:val="single" w:sz="2" w:space="0" w:color="FFFFFF"/>
              <w:right w:val="single" w:sz="18" w:space="0" w:color="FFFFFF"/>
            </w:tcBorders>
            <w:shd w:val="clear" w:color="auto" w:fill="CCC0D9"/>
          </w:tcPr>
          <w:p w14:paraId="7CE71653" w14:textId="77777777" w:rsidR="00207DBD" w:rsidRPr="00257F44" w:rsidRDefault="00207DBD" w:rsidP="0084354E">
            <w:pPr>
              <w:rPr>
                <w:rFonts w:ascii="Zapf Dingbats" w:eastAsia="MS Mincho" w:hAnsi="Zapf Dingbats" w:cs="MS Mincho"/>
                <w:noProof/>
                <w:sz w:val="22"/>
                <w:szCs w:val="22"/>
                <w:lang w:val="uk-UA"/>
              </w:rPr>
            </w:pPr>
          </w:p>
        </w:tc>
        <w:tc>
          <w:tcPr>
            <w:tcW w:w="491"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485060F1" w14:textId="77777777" w:rsidR="00207DBD" w:rsidRPr="00257F44" w:rsidRDefault="00207DBD" w:rsidP="0084354E">
            <w:pPr>
              <w:rPr>
                <w:rFonts w:ascii="Zapf Dingbats" w:eastAsia="MS Mincho" w:hAnsi="Zapf Dingbats" w:cs="MS Mincho"/>
                <w:noProof/>
                <w:sz w:val="22"/>
                <w:szCs w:val="22"/>
                <w:lang w:val="uk-UA"/>
              </w:rPr>
            </w:pPr>
          </w:p>
        </w:tc>
        <w:tc>
          <w:tcPr>
            <w:tcW w:w="516"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4EA3E1E1" w14:textId="6AD4D11D" w:rsidR="00207DBD" w:rsidRPr="00257F44" w:rsidRDefault="00207DBD" w:rsidP="0084354E">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516"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001D56E6" w14:textId="18DCD49A" w:rsidR="00207DBD" w:rsidRPr="00257F44" w:rsidRDefault="00207DBD" w:rsidP="0084354E">
            <w:pPr>
              <w:rPr>
                <w:rFonts w:ascii="Zapf Dingbats" w:eastAsia="MS Mincho" w:hAnsi="Zapf Dingbats" w:cs="MS Mincho"/>
                <w:noProof/>
                <w:sz w:val="22"/>
                <w:szCs w:val="22"/>
                <w:lang w:val="uk-UA"/>
              </w:rPr>
            </w:pPr>
          </w:p>
        </w:tc>
        <w:tc>
          <w:tcPr>
            <w:tcW w:w="405"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009B6716" w14:textId="77777777" w:rsidR="00207DBD" w:rsidRPr="00257F44" w:rsidRDefault="00207DBD" w:rsidP="0084354E">
            <w:pPr>
              <w:rPr>
                <w:rFonts w:ascii="Zapf Dingbats" w:eastAsia="MS Mincho" w:hAnsi="Zapf Dingbats" w:cs="MS Mincho"/>
                <w:noProof/>
                <w:sz w:val="22"/>
                <w:szCs w:val="22"/>
                <w:lang w:val="uk-UA"/>
              </w:rPr>
            </w:pPr>
          </w:p>
        </w:tc>
        <w:tc>
          <w:tcPr>
            <w:tcW w:w="341" w:type="dxa"/>
            <w:vMerge w:val="restart"/>
            <w:tcBorders>
              <w:top w:val="single" w:sz="18" w:space="0" w:color="FFFFFF"/>
              <w:left w:val="single" w:sz="18" w:space="0" w:color="FFFFFF"/>
              <w:right w:val="single" w:sz="2" w:space="0" w:color="FFFFFF"/>
            </w:tcBorders>
            <w:shd w:val="clear" w:color="auto" w:fill="D99594"/>
          </w:tcPr>
          <w:p w14:paraId="64CE6CF1" w14:textId="77777777" w:rsidR="00207DBD" w:rsidRPr="00257F44" w:rsidRDefault="00207DBD" w:rsidP="0084354E">
            <w:pPr>
              <w:rPr>
                <w:rFonts w:ascii="Gill Sans" w:hAnsi="Gill Sans" w:cs="Gill Sans"/>
                <w:sz w:val="22"/>
                <w:szCs w:val="22"/>
                <w:lang w:val="uk-UA"/>
              </w:rPr>
            </w:pPr>
          </w:p>
        </w:tc>
        <w:tc>
          <w:tcPr>
            <w:tcW w:w="385" w:type="dxa"/>
            <w:vMerge w:val="restart"/>
            <w:tcBorders>
              <w:top w:val="single" w:sz="18" w:space="0" w:color="FFFFFF"/>
              <w:left w:val="single" w:sz="2" w:space="0" w:color="FFFFFF"/>
              <w:right w:val="single" w:sz="2" w:space="0" w:color="FFFFFF"/>
            </w:tcBorders>
            <w:shd w:val="clear" w:color="auto" w:fill="D99594"/>
          </w:tcPr>
          <w:p w14:paraId="5E36395F" w14:textId="77777777" w:rsidR="00207DBD" w:rsidRPr="00257F44" w:rsidRDefault="00207DBD" w:rsidP="0084354E">
            <w:pPr>
              <w:rPr>
                <w:rFonts w:ascii="Gill Sans" w:hAnsi="Gill Sans" w:cs="Gill Sans"/>
                <w:sz w:val="22"/>
                <w:szCs w:val="22"/>
                <w:lang w:val="uk-UA"/>
              </w:rPr>
            </w:pPr>
          </w:p>
        </w:tc>
        <w:tc>
          <w:tcPr>
            <w:tcW w:w="341" w:type="dxa"/>
            <w:vMerge w:val="restart"/>
            <w:tcBorders>
              <w:top w:val="single" w:sz="18" w:space="0" w:color="FFFFFF"/>
              <w:left w:val="single" w:sz="2" w:space="0" w:color="FFFFFF"/>
              <w:right w:val="single" w:sz="2" w:space="0" w:color="FFFFFF"/>
            </w:tcBorders>
            <w:shd w:val="clear" w:color="auto" w:fill="D99594"/>
          </w:tcPr>
          <w:p w14:paraId="6143CC2C" w14:textId="2192A42C" w:rsidR="00207DBD" w:rsidRPr="00257F44" w:rsidRDefault="007919CD" w:rsidP="0084354E">
            <w:pP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436" w:type="dxa"/>
            <w:vMerge w:val="restart"/>
            <w:tcBorders>
              <w:top w:val="single" w:sz="18" w:space="0" w:color="FFFFFF"/>
              <w:left w:val="single" w:sz="2" w:space="0" w:color="FFFFFF"/>
              <w:right w:val="single" w:sz="2" w:space="0" w:color="FFFFFF"/>
            </w:tcBorders>
            <w:shd w:val="clear" w:color="auto" w:fill="D99594"/>
          </w:tcPr>
          <w:p w14:paraId="00FCABF3" w14:textId="77777777" w:rsidR="00207DBD" w:rsidRPr="00257F44" w:rsidRDefault="00207DBD" w:rsidP="0084354E">
            <w:pPr>
              <w:rPr>
                <w:rFonts w:ascii="Gill Sans" w:hAnsi="Gill Sans" w:cs="Gill Sans"/>
                <w:sz w:val="22"/>
                <w:szCs w:val="22"/>
                <w:lang w:val="uk-UA"/>
              </w:rPr>
            </w:pPr>
          </w:p>
        </w:tc>
        <w:tc>
          <w:tcPr>
            <w:tcW w:w="423" w:type="dxa"/>
            <w:vMerge w:val="restart"/>
            <w:tcBorders>
              <w:top w:val="single" w:sz="18" w:space="0" w:color="FFFFFF"/>
              <w:left w:val="single" w:sz="2" w:space="0" w:color="FFFFFF"/>
              <w:right w:val="single" w:sz="18" w:space="0" w:color="FFFFFF"/>
            </w:tcBorders>
            <w:shd w:val="clear" w:color="auto" w:fill="D99594"/>
          </w:tcPr>
          <w:p w14:paraId="785D3555" w14:textId="77777777" w:rsidR="00207DBD" w:rsidRPr="00257F44" w:rsidRDefault="00207DBD" w:rsidP="0084354E">
            <w:pPr>
              <w:rPr>
                <w:rFonts w:ascii="Gill Sans" w:hAnsi="Gill Sans" w:cs="Gill Sans"/>
                <w:sz w:val="22"/>
                <w:szCs w:val="22"/>
                <w:lang w:val="uk-UA"/>
              </w:rPr>
            </w:pPr>
          </w:p>
        </w:tc>
      </w:tr>
      <w:tr w:rsidR="00D85EFE" w:rsidRPr="00257F44" w14:paraId="5457895B" w14:textId="77777777" w:rsidTr="00B94851">
        <w:trPr>
          <w:trHeight w:val="305"/>
        </w:trPr>
        <w:tc>
          <w:tcPr>
            <w:tcW w:w="1451" w:type="dxa"/>
            <w:vMerge/>
            <w:tcBorders>
              <w:left w:val="nil"/>
              <w:bottom w:val="single" w:sz="18" w:space="0" w:color="FFFFFF"/>
            </w:tcBorders>
            <w:shd w:val="clear" w:color="auto" w:fill="000000"/>
          </w:tcPr>
          <w:p w14:paraId="20A7D5D9" w14:textId="77777777" w:rsidR="00207DBD" w:rsidRPr="00257F44" w:rsidRDefault="00207DBD" w:rsidP="0084354E">
            <w:pPr>
              <w:rPr>
                <w:rFonts w:ascii="Gill Sans" w:hAnsi="Gill Sans" w:cs="Gill Sans"/>
                <w:sz w:val="22"/>
                <w:szCs w:val="22"/>
                <w:lang w:val="uk-UA"/>
              </w:rPr>
            </w:pPr>
          </w:p>
        </w:tc>
        <w:tc>
          <w:tcPr>
            <w:tcW w:w="475" w:type="dxa"/>
            <w:vMerge/>
            <w:tcBorders>
              <w:bottom w:val="single" w:sz="18" w:space="0" w:color="FFFFFF"/>
              <w:right w:val="single" w:sz="2" w:space="0" w:color="FFFFFF"/>
            </w:tcBorders>
            <w:shd w:val="clear" w:color="auto" w:fill="D6E3BC"/>
          </w:tcPr>
          <w:p w14:paraId="61C3BB40" w14:textId="77777777" w:rsidR="00207DBD" w:rsidRPr="00257F44" w:rsidRDefault="00207DBD" w:rsidP="0084354E">
            <w:pPr>
              <w:rPr>
                <w:rFonts w:ascii="Zapf Dingbats" w:eastAsia="MS Mincho" w:hAnsi="Zapf Dingbats" w:cs="MS Mincho"/>
                <w:noProof/>
                <w:sz w:val="22"/>
                <w:szCs w:val="22"/>
                <w:lang w:val="uk-UA"/>
              </w:rPr>
            </w:pPr>
          </w:p>
        </w:tc>
        <w:tc>
          <w:tcPr>
            <w:tcW w:w="418" w:type="dxa"/>
            <w:vMerge/>
            <w:tcBorders>
              <w:left w:val="single" w:sz="2" w:space="0" w:color="FFFFFF"/>
              <w:bottom w:val="single" w:sz="18" w:space="0" w:color="FFFFFF"/>
              <w:right w:val="single" w:sz="2" w:space="0" w:color="FFFFFF"/>
            </w:tcBorders>
            <w:shd w:val="clear" w:color="auto" w:fill="D6E3BC"/>
          </w:tcPr>
          <w:p w14:paraId="2CF362CA" w14:textId="77777777" w:rsidR="00207DBD" w:rsidRPr="00257F44" w:rsidRDefault="00207DBD" w:rsidP="0084354E">
            <w:pPr>
              <w:rPr>
                <w:rFonts w:ascii="Zapf Dingbats" w:eastAsia="MS Mincho" w:hAnsi="Zapf Dingbats" w:cs="MS Mincho"/>
                <w:noProof/>
                <w:sz w:val="22"/>
                <w:szCs w:val="22"/>
                <w:lang w:val="uk-UA"/>
              </w:rPr>
            </w:pPr>
          </w:p>
        </w:tc>
        <w:tc>
          <w:tcPr>
            <w:tcW w:w="343" w:type="dxa"/>
            <w:vMerge/>
            <w:tcBorders>
              <w:left w:val="single" w:sz="2" w:space="0" w:color="FFFFFF"/>
              <w:bottom w:val="single" w:sz="18" w:space="0" w:color="FFFFFF"/>
              <w:right w:val="single" w:sz="2" w:space="0" w:color="FFFFFF"/>
            </w:tcBorders>
            <w:shd w:val="clear" w:color="auto" w:fill="D6E3BC"/>
          </w:tcPr>
          <w:p w14:paraId="10219F60" w14:textId="77777777" w:rsidR="00207DBD" w:rsidRPr="00257F44" w:rsidRDefault="00207DBD" w:rsidP="0084354E">
            <w:pPr>
              <w:rPr>
                <w:rFonts w:ascii="Zapf Dingbats" w:eastAsia="MS Mincho" w:hAnsi="Zapf Dingbats" w:cs="MS Mincho"/>
                <w:noProof/>
                <w:sz w:val="22"/>
                <w:szCs w:val="22"/>
                <w:lang w:val="uk-UA"/>
              </w:rPr>
            </w:pPr>
          </w:p>
        </w:tc>
        <w:tc>
          <w:tcPr>
            <w:tcW w:w="343" w:type="dxa"/>
            <w:vMerge/>
            <w:tcBorders>
              <w:left w:val="single" w:sz="2" w:space="0" w:color="FFFFFF"/>
              <w:bottom w:val="single" w:sz="18" w:space="0" w:color="FFFFFF"/>
              <w:right w:val="single" w:sz="18" w:space="0" w:color="FFFFFF"/>
            </w:tcBorders>
            <w:shd w:val="clear" w:color="auto" w:fill="D6E3BC"/>
          </w:tcPr>
          <w:p w14:paraId="74EBDDFE" w14:textId="77777777" w:rsidR="00207DBD" w:rsidRPr="00257F44" w:rsidRDefault="00207DBD" w:rsidP="0084354E">
            <w:pPr>
              <w:rPr>
                <w:rFonts w:ascii="Zapf Dingbats" w:eastAsia="MS Mincho" w:hAnsi="Zapf Dingbats" w:cs="MS Mincho"/>
                <w:noProof/>
                <w:sz w:val="22"/>
                <w:szCs w:val="22"/>
                <w:lang w:val="uk-UA"/>
              </w:rPr>
            </w:pPr>
          </w:p>
        </w:tc>
        <w:tc>
          <w:tcPr>
            <w:tcW w:w="373" w:type="dxa"/>
            <w:gridSpan w:val="2"/>
            <w:vMerge/>
            <w:tcBorders>
              <w:top w:val="single" w:sz="4" w:space="0" w:color="auto"/>
              <w:left w:val="single" w:sz="2" w:space="0" w:color="FFFFFF"/>
              <w:bottom w:val="single" w:sz="18" w:space="0" w:color="FFFFFF"/>
              <w:right w:val="single" w:sz="4" w:space="0" w:color="FFFFFF" w:themeColor="background1"/>
            </w:tcBorders>
            <w:shd w:val="clear" w:color="auto" w:fill="FBD4B4"/>
          </w:tcPr>
          <w:p w14:paraId="17B05B5A" w14:textId="77777777" w:rsidR="00207DBD" w:rsidRPr="00257F44" w:rsidRDefault="00207DBD" w:rsidP="0084354E">
            <w:pPr>
              <w:rPr>
                <w:rFonts w:ascii="Zapf Dingbats" w:eastAsia="MS Mincho" w:hAnsi="Zapf Dingbats" w:cs="MS Mincho"/>
                <w:noProof/>
                <w:sz w:val="22"/>
                <w:szCs w:val="22"/>
                <w:lang w:val="uk-UA"/>
              </w:rPr>
            </w:pPr>
          </w:p>
        </w:tc>
        <w:tc>
          <w:tcPr>
            <w:tcW w:w="337" w:type="dxa"/>
            <w:vMerge/>
            <w:tcBorders>
              <w:top w:val="single" w:sz="4" w:space="0" w:color="auto"/>
              <w:left w:val="single" w:sz="4" w:space="0" w:color="FFFFFF" w:themeColor="background1"/>
              <w:bottom w:val="single" w:sz="18" w:space="0" w:color="FFFFFF"/>
              <w:right w:val="single" w:sz="4" w:space="0" w:color="FFFFFF" w:themeColor="background1"/>
            </w:tcBorders>
            <w:shd w:val="clear" w:color="auto" w:fill="FBD4B4"/>
          </w:tcPr>
          <w:p w14:paraId="63AD4BC2" w14:textId="77777777" w:rsidR="00207DBD" w:rsidRPr="00257F44" w:rsidRDefault="00207DBD" w:rsidP="0084354E">
            <w:pPr>
              <w:rPr>
                <w:rFonts w:ascii="Zapf Dingbats" w:eastAsia="MS Mincho" w:hAnsi="Zapf Dingbats" w:cs="MS Mincho"/>
                <w:noProof/>
                <w:sz w:val="22"/>
                <w:szCs w:val="22"/>
                <w:lang w:val="uk-UA"/>
              </w:rPr>
            </w:pPr>
          </w:p>
        </w:tc>
        <w:tc>
          <w:tcPr>
            <w:tcW w:w="396" w:type="dxa"/>
            <w:vMerge/>
            <w:tcBorders>
              <w:top w:val="single" w:sz="4" w:space="0" w:color="auto"/>
              <w:left w:val="single" w:sz="4" w:space="0" w:color="FFFFFF" w:themeColor="background1"/>
              <w:bottom w:val="single" w:sz="18" w:space="0" w:color="FFFFFF"/>
              <w:right w:val="single" w:sz="4" w:space="0" w:color="FFFFFF" w:themeColor="background1"/>
            </w:tcBorders>
            <w:shd w:val="clear" w:color="auto" w:fill="FBD4B4"/>
          </w:tcPr>
          <w:p w14:paraId="0A4036EF" w14:textId="77777777" w:rsidR="00207DBD" w:rsidRPr="00257F44" w:rsidRDefault="00207DBD" w:rsidP="0084354E">
            <w:pPr>
              <w:rPr>
                <w:rFonts w:ascii="Zapf Dingbats" w:eastAsia="MS Mincho" w:hAnsi="Zapf Dingbats" w:cs="MS Mincho"/>
                <w:noProof/>
                <w:sz w:val="22"/>
                <w:szCs w:val="22"/>
                <w:lang w:val="uk-UA"/>
              </w:rPr>
            </w:pPr>
          </w:p>
        </w:tc>
        <w:tc>
          <w:tcPr>
            <w:tcW w:w="778" w:type="dxa"/>
            <w:vMerge/>
            <w:tcBorders>
              <w:left w:val="single" w:sz="4" w:space="0" w:color="FFFFFF" w:themeColor="background1"/>
              <w:bottom w:val="single" w:sz="18" w:space="0" w:color="FFFFFF"/>
              <w:right w:val="single" w:sz="18" w:space="0" w:color="FFFFFF"/>
            </w:tcBorders>
            <w:shd w:val="clear" w:color="auto" w:fill="FBD4B4"/>
          </w:tcPr>
          <w:p w14:paraId="6D427986" w14:textId="77777777" w:rsidR="00207DBD" w:rsidRPr="00257F44" w:rsidRDefault="00207DBD" w:rsidP="0084354E">
            <w:pPr>
              <w:rPr>
                <w:rFonts w:ascii="Zapf Dingbats" w:eastAsia="MS Mincho" w:hAnsi="Zapf Dingbats" w:cs="MS Mincho"/>
                <w:noProof/>
                <w:sz w:val="22"/>
                <w:szCs w:val="22"/>
                <w:lang w:val="uk-UA"/>
              </w:rPr>
            </w:pPr>
          </w:p>
        </w:tc>
        <w:tc>
          <w:tcPr>
            <w:tcW w:w="364" w:type="dxa"/>
            <w:vMerge/>
            <w:tcBorders>
              <w:left w:val="single" w:sz="18" w:space="0" w:color="FFFFFF"/>
              <w:bottom w:val="single" w:sz="18" w:space="0" w:color="FFFFFF"/>
              <w:right w:val="single" w:sz="2" w:space="0" w:color="FFFFFF"/>
            </w:tcBorders>
            <w:shd w:val="clear" w:color="auto" w:fill="CCC0D9"/>
          </w:tcPr>
          <w:p w14:paraId="2A3CEB9D" w14:textId="77777777" w:rsidR="00207DBD" w:rsidRPr="00257F44" w:rsidRDefault="00207DBD" w:rsidP="0084354E">
            <w:pPr>
              <w:rPr>
                <w:rFonts w:ascii="Zapf Dingbats" w:eastAsia="MS Mincho" w:hAnsi="Zapf Dingbats" w:cs="MS Mincho"/>
                <w:noProof/>
                <w:sz w:val="22"/>
                <w:szCs w:val="22"/>
                <w:lang w:val="uk-UA"/>
              </w:rPr>
            </w:pPr>
          </w:p>
        </w:tc>
        <w:tc>
          <w:tcPr>
            <w:tcW w:w="341" w:type="dxa"/>
            <w:vMerge/>
            <w:tcBorders>
              <w:left w:val="single" w:sz="2" w:space="0" w:color="FFFFFF"/>
              <w:bottom w:val="single" w:sz="18" w:space="0" w:color="FFFFFF"/>
              <w:right w:val="single" w:sz="2" w:space="0" w:color="FFFFFF"/>
            </w:tcBorders>
            <w:shd w:val="clear" w:color="auto" w:fill="CCC0D9"/>
          </w:tcPr>
          <w:p w14:paraId="7E27A918" w14:textId="77777777" w:rsidR="00207DBD" w:rsidRPr="00257F44" w:rsidRDefault="00207DBD" w:rsidP="0084354E">
            <w:pPr>
              <w:rPr>
                <w:rFonts w:ascii="Zapf Dingbats" w:eastAsia="MS Mincho" w:hAnsi="Zapf Dingbats" w:cs="MS Mincho"/>
                <w:noProof/>
                <w:sz w:val="22"/>
                <w:szCs w:val="22"/>
                <w:lang w:val="uk-UA"/>
              </w:rPr>
            </w:pPr>
          </w:p>
        </w:tc>
        <w:tc>
          <w:tcPr>
            <w:tcW w:w="417" w:type="dxa"/>
            <w:vMerge/>
            <w:tcBorders>
              <w:left w:val="single" w:sz="2" w:space="0" w:color="FFFFFF"/>
              <w:bottom w:val="single" w:sz="18" w:space="0" w:color="FFFFFF"/>
              <w:right w:val="single" w:sz="2" w:space="0" w:color="FFFFFF"/>
            </w:tcBorders>
            <w:shd w:val="clear" w:color="auto" w:fill="CCC0D9"/>
          </w:tcPr>
          <w:p w14:paraId="528EED5C" w14:textId="77777777" w:rsidR="00207DBD" w:rsidRPr="00257F44" w:rsidRDefault="00207DBD" w:rsidP="0084354E">
            <w:pPr>
              <w:rPr>
                <w:rFonts w:ascii="Zapf Dingbats" w:eastAsia="MS Mincho" w:hAnsi="Zapf Dingbats" w:cs="MS Mincho"/>
                <w:noProof/>
                <w:sz w:val="22"/>
                <w:szCs w:val="22"/>
                <w:lang w:val="uk-UA"/>
              </w:rPr>
            </w:pPr>
          </w:p>
        </w:tc>
        <w:tc>
          <w:tcPr>
            <w:tcW w:w="318" w:type="dxa"/>
            <w:vMerge/>
            <w:tcBorders>
              <w:left w:val="single" w:sz="2" w:space="0" w:color="FFFFFF"/>
              <w:bottom w:val="single" w:sz="18" w:space="0" w:color="FFFFFF"/>
              <w:right w:val="single" w:sz="18" w:space="0" w:color="FFFFFF"/>
            </w:tcBorders>
            <w:shd w:val="clear" w:color="auto" w:fill="CCC0D9"/>
          </w:tcPr>
          <w:p w14:paraId="5034D523" w14:textId="77777777" w:rsidR="00207DBD" w:rsidRPr="00257F44" w:rsidRDefault="00207DBD" w:rsidP="0084354E">
            <w:pPr>
              <w:rPr>
                <w:rFonts w:ascii="Zapf Dingbats" w:eastAsia="MS Mincho" w:hAnsi="Zapf Dingbats" w:cs="MS Mincho"/>
                <w:noProof/>
                <w:sz w:val="22"/>
                <w:szCs w:val="22"/>
                <w:lang w:val="uk-UA"/>
              </w:rPr>
            </w:pPr>
          </w:p>
        </w:tc>
        <w:tc>
          <w:tcPr>
            <w:tcW w:w="491" w:type="dxa"/>
            <w:tcBorders>
              <w:top w:val="single" w:sz="8" w:space="0" w:color="FFFFFF" w:themeColor="background1"/>
              <w:left w:val="single" w:sz="18" w:space="0" w:color="FFFFFF"/>
              <w:bottom w:val="single" w:sz="18" w:space="0" w:color="FFFFFF"/>
              <w:right w:val="single" w:sz="4" w:space="0" w:color="FFFFFF" w:themeColor="background1"/>
            </w:tcBorders>
            <w:shd w:val="clear" w:color="auto" w:fill="B8CCE4"/>
          </w:tcPr>
          <w:p w14:paraId="15E17D14" w14:textId="77777777" w:rsidR="00207DBD" w:rsidRPr="00257F44" w:rsidRDefault="00207DBD" w:rsidP="0084354E">
            <w:pPr>
              <w:rPr>
                <w:rFonts w:ascii="Zapf Dingbats" w:eastAsia="MS Mincho" w:hAnsi="Zapf Dingbats" w:cs="MS Mincho"/>
                <w:noProof/>
                <w:sz w:val="22"/>
                <w:szCs w:val="22"/>
                <w:lang w:val="uk-UA"/>
              </w:rPr>
            </w:pPr>
          </w:p>
        </w:tc>
        <w:tc>
          <w:tcPr>
            <w:tcW w:w="516" w:type="dxa"/>
            <w:tcBorders>
              <w:top w:val="single" w:sz="8" w:space="0" w:color="FFFFFF" w:themeColor="background1"/>
              <w:left w:val="single" w:sz="4" w:space="0" w:color="FFFFFF" w:themeColor="background1"/>
              <w:bottom w:val="single" w:sz="18" w:space="0" w:color="FFFFFF"/>
              <w:right w:val="single" w:sz="2" w:space="0" w:color="FFFFFF"/>
            </w:tcBorders>
            <w:shd w:val="clear" w:color="auto" w:fill="B8CCE4"/>
          </w:tcPr>
          <w:p w14:paraId="0688282F" w14:textId="77777777" w:rsidR="00207DBD" w:rsidRPr="00257F44" w:rsidRDefault="00207DBD" w:rsidP="0084354E">
            <w:pPr>
              <w:rPr>
                <w:rFonts w:ascii="Zapf Dingbats" w:eastAsia="MS Mincho" w:hAnsi="Zapf Dingbats" w:cs="MS Mincho"/>
                <w:noProof/>
                <w:sz w:val="22"/>
                <w:szCs w:val="22"/>
                <w:lang w:val="uk-UA"/>
              </w:rPr>
            </w:pPr>
          </w:p>
        </w:tc>
        <w:tc>
          <w:tcPr>
            <w:tcW w:w="516" w:type="dxa"/>
            <w:tcBorders>
              <w:top w:val="single" w:sz="8" w:space="0" w:color="FFFFFF" w:themeColor="background1"/>
              <w:left w:val="single" w:sz="2" w:space="0" w:color="FFFFFF"/>
              <w:bottom w:val="single" w:sz="18" w:space="0" w:color="FFFFFF"/>
              <w:right w:val="single" w:sz="2" w:space="0" w:color="FFFFFF"/>
            </w:tcBorders>
            <w:shd w:val="clear" w:color="auto" w:fill="B8CCE4"/>
          </w:tcPr>
          <w:p w14:paraId="307A443A" w14:textId="77777777" w:rsidR="00207DBD" w:rsidRPr="00257F44" w:rsidRDefault="00207DBD" w:rsidP="0084354E">
            <w:pPr>
              <w:rPr>
                <w:rFonts w:ascii="Zapf Dingbats" w:eastAsia="MS Mincho" w:hAnsi="Zapf Dingbats" w:cs="MS Mincho"/>
                <w:noProof/>
                <w:sz w:val="22"/>
                <w:szCs w:val="22"/>
                <w:lang w:val="uk-UA"/>
              </w:rPr>
            </w:pPr>
          </w:p>
        </w:tc>
        <w:tc>
          <w:tcPr>
            <w:tcW w:w="405" w:type="dxa"/>
            <w:tcBorders>
              <w:top w:val="single" w:sz="8" w:space="0" w:color="FFFFFF" w:themeColor="background1"/>
              <w:left w:val="single" w:sz="2" w:space="0" w:color="FFFFFF"/>
              <w:bottom w:val="single" w:sz="18" w:space="0" w:color="FFFFFF"/>
              <w:right w:val="single" w:sz="18" w:space="0" w:color="FFFFFF"/>
            </w:tcBorders>
            <w:shd w:val="clear" w:color="auto" w:fill="B8CCE4"/>
          </w:tcPr>
          <w:p w14:paraId="5D9844E7" w14:textId="7BF870E4" w:rsidR="00207DBD" w:rsidRPr="00257F44" w:rsidRDefault="00F269F6" w:rsidP="0084354E">
            <w:pP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41" w:type="dxa"/>
            <w:vMerge/>
            <w:tcBorders>
              <w:left w:val="single" w:sz="18" w:space="0" w:color="FFFFFF"/>
              <w:bottom w:val="single" w:sz="18" w:space="0" w:color="FFFFFF"/>
              <w:right w:val="single" w:sz="2" w:space="0" w:color="FFFFFF"/>
            </w:tcBorders>
            <w:shd w:val="clear" w:color="auto" w:fill="D99594"/>
          </w:tcPr>
          <w:p w14:paraId="359837F9" w14:textId="77777777" w:rsidR="00207DBD" w:rsidRPr="00257F44" w:rsidRDefault="00207DBD" w:rsidP="0084354E">
            <w:pPr>
              <w:rPr>
                <w:rFonts w:ascii="Gill Sans" w:hAnsi="Gill Sans" w:cs="Gill Sans"/>
                <w:sz w:val="22"/>
                <w:szCs w:val="22"/>
                <w:lang w:val="uk-UA"/>
              </w:rPr>
            </w:pPr>
          </w:p>
        </w:tc>
        <w:tc>
          <w:tcPr>
            <w:tcW w:w="385" w:type="dxa"/>
            <w:vMerge/>
            <w:tcBorders>
              <w:left w:val="single" w:sz="2" w:space="0" w:color="FFFFFF"/>
              <w:bottom w:val="single" w:sz="18" w:space="0" w:color="FFFFFF"/>
              <w:right w:val="single" w:sz="2" w:space="0" w:color="FFFFFF"/>
            </w:tcBorders>
            <w:shd w:val="clear" w:color="auto" w:fill="D99594"/>
          </w:tcPr>
          <w:p w14:paraId="2BA80E12" w14:textId="77777777" w:rsidR="00207DBD" w:rsidRPr="00257F44" w:rsidRDefault="00207DBD" w:rsidP="0084354E">
            <w:pPr>
              <w:rPr>
                <w:rFonts w:ascii="Gill Sans" w:hAnsi="Gill Sans" w:cs="Gill Sans"/>
                <w:sz w:val="22"/>
                <w:szCs w:val="22"/>
                <w:lang w:val="uk-UA"/>
              </w:rPr>
            </w:pPr>
          </w:p>
        </w:tc>
        <w:tc>
          <w:tcPr>
            <w:tcW w:w="341" w:type="dxa"/>
            <w:vMerge/>
            <w:tcBorders>
              <w:left w:val="single" w:sz="2" w:space="0" w:color="FFFFFF"/>
              <w:bottom w:val="single" w:sz="18" w:space="0" w:color="FFFFFF"/>
              <w:right w:val="single" w:sz="2" w:space="0" w:color="FFFFFF"/>
            </w:tcBorders>
            <w:shd w:val="clear" w:color="auto" w:fill="D99594"/>
          </w:tcPr>
          <w:p w14:paraId="69308E5F" w14:textId="77777777" w:rsidR="00207DBD" w:rsidRPr="00257F44" w:rsidRDefault="00207DBD" w:rsidP="0084354E">
            <w:pPr>
              <w:rPr>
                <w:rFonts w:ascii="Gill Sans" w:hAnsi="Gill Sans" w:cs="Gill Sans"/>
                <w:sz w:val="22"/>
                <w:szCs w:val="22"/>
                <w:lang w:val="uk-UA"/>
              </w:rPr>
            </w:pPr>
          </w:p>
        </w:tc>
        <w:tc>
          <w:tcPr>
            <w:tcW w:w="436" w:type="dxa"/>
            <w:vMerge/>
            <w:tcBorders>
              <w:left w:val="single" w:sz="2" w:space="0" w:color="FFFFFF"/>
              <w:bottom w:val="single" w:sz="18" w:space="0" w:color="FFFFFF"/>
              <w:right w:val="single" w:sz="2" w:space="0" w:color="FFFFFF"/>
            </w:tcBorders>
            <w:shd w:val="clear" w:color="auto" w:fill="D99594"/>
          </w:tcPr>
          <w:p w14:paraId="06D2B772" w14:textId="77777777" w:rsidR="00207DBD" w:rsidRPr="00257F44" w:rsidRDefault="00207DBD" w:rsidP="0084354E">
            <w:pPr>
              <w:rPr>
                <w:rFonts w:ascii="Gill Sans" w:hAnsi="Gill Sans" w:cs="Gill Sans"/>
                <w:sz w:val="22"/>
                <w:szCs w:val="22"/>
                <w:lang w:val="uk-UA"/>
              </w:rPr>
            </w:pPr>
          </w:p>
        </w:tc>
        <w:tc>
          <w:tcPr>
            <w:tcW w:w="423" w:type="dxa"/>
            <w:vMerge/>
            <w:tcBorders>
              <w:left w:val="single" w:sz="2" w:space="0" w:color="FFFFFF"/>
              <w:bottom w:val="single" w:sz="18" w:space="0" w:color="FFFFFF"/>
              <w:right w:val="single" w:sz="18" w:space="0" w:color="FFFFFF"/>
            </w:tcBorders>
            <w:shd w:val="clear" w:color="auto" w:fill="D99594"/>
          </w:tcPr>
          <w:p w14:paraId="5CD4373A" w14:textId="77777777" w:rsidR="00207DBD" w:rsidRPr="00257F44" w:rsidRDefault="00207DBD" w:rsidP="0084354E">
            <w:pPr>
              <w:rPr>
                <w:rFonts w:ascii="Gill Sans" w:hAnsi="Gill Sans" w:cs="Gill Sans"/>
                <w:sz w:val="22"/>
                <w:szCs w:val="22"/>
                <w:lang w:val="uk-UA"/>
              </w:rPr>
            </w:pPr>
          </w:p>
        </w:tc>
      </w:tr>
    </w:tbl>
    <w:p w14:paraId="1BA73748" w14:textId="77777777" w:rsidR="00B223BA" w:rsidRPr="00257F44" w:rsidRDefault="00B223BA" w:rsidP="006319F4">
      <w:pPr>
        <w:pStyle w:val="Heading3"/>
        <w:rPr>
          <w:lang w:val="uk-UA"/>
        </w:rPr>
      </w:pPr>
    </w:p>
    <w:p w14:paraId="51C9A399" w14:textId="77777777" w:rsidR="00B94851" w:rsidRPr="00257F44" w:rsidRDefault="00B94851" w:rsidP="00FD4E6C">
      <w:pPr>
        <w:pStyle w:val="Heading3"/>
        <w:spacing w:after="120"/>
        <w:rPr>
          <w:lang w:val="uk-UA"/>
        </w:rPr>
      </w:pPr>
      <w:r w:rsidRPr="00257F44">
        <w:rPr>
          <w:lang w:val="uk-UA"/>
        </w:rPr>
        <w:t>Мета зобов’язання</w:t>
      </w:r>
    </w:p>
    <w:p w14:paraId="781000C3" w14:textId="1AFEFCEA" w:rsidR="00F269F6" w:rsidRPr="00257F44" w:rsidRDefault="00211D1B" w:rsidP="00FD4E6C">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 xml:space="preserve">21. </w:t>
      </w:r>
      <w:r w:rsidR="007557CD" w:rsidRPr="00257F44">
        <w:rPr>
          <w:rFonts w:ascii="Gill Sans" w:hAnsi="Gill Sans" w:cs="Gill Sans"/>
          <w:b/>
          <w:noProof/>
          <w:sz w:val="22"/>
          <w:szCs w:val="22"/>
          <w:lang w:val="uk-UA"/>
        </w:rPr>
        <w:t>Дорожня карта розвитку електронної демократії</w:t>
      </w:r>
    </w:p>
    <w:p w14:paraId="5314C530" w14:textId="4A653ACD" w:rsidR="00F269F6" w:rsidRPr="00257F44" w:rsidRDefault="00AB3923" w:rsidP="00FD4E6C">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Зобов’язання передбачало розробку </w:t>
      </w:r>
      <w:r w:rsidRPr="00257F44">
        <w:rPr>
          <w:rFonts w:ascii="Gill Sans" w:hAnsi="Gill Sans" w:cs="Gill Sans"/>
          <w:sz w:val="22"/>
          <w:szCs w:val="22"/>
          <w:lang w:val="uk-UA"/>
        </w:rPr>
        <w:t>пропозицій щодо визначення шляхів реалізації потенціалу інструментів електронної демократії</w:t>
      </w:r>
      <w:r w:rsidR="00655992" w:rsidRPr="00257F44">
        <w:rPr>
          <w:rFonts w:ascii="Gill Sans" w:hAnsi="Gill Sans" w:cs="Gill Sans"/>
          <w:sz w:val="22"/>
          <w:szCs w:val="22"/>
          <w:lang w:val="uk-UA"/>
        </w:rPr>
        <w:t>. Такі</w:t>
      </w:r>
      <w:r w:rsidRPr="00257F44">
        <w:rPr>
          <w:rFonts w:ascii="Gill Sans" w:hAnsi="Gill Sans" w:cs="Gill Sans"/>
          <w:sz w:val="22"/>
          <w:szCs w:val="22"/>
          <w:lang w:val="uk-UA"/>
        </w:rPr>
        <w:t xml:space="preserve"> </w:t>
      </w:r>
      <w:r w:rsidR="00655992" w:rsidRPr="00257F44">
        <w:rPr>
          <w:rFonts w:ascii="Gill Sans" w:hAnsi="Gill Sans" w:cs="Gill Sans"/>
          <w:sz w:val="22"/>
          <w:szCs w:val="22"/>
          <w:lang w:val="uk-UA"/>
        </w:rPr>
        <w:t>засоби</w:t>
      </w:r>
      <w:r w:rsidRPr="00257F44">
        <w:rPr>
          <w:rFonts w:ascii="Gill Sans" w:hAnsi="Gill Sans" w:cs="Gill Sans"/>
          <w:sz w:val="22"/>
          <w:szCs w:val="22"/>
          <w:lang w:val="uk-UA"/>
        </w:rPr>
        <w:t xml:space="preserve"> </w:t>
      </w:r>
      <w:r w:rsidR="00655992" w:rsidRPr="00257F44">
        <w:rPr>
          <w:rFonts w:ascii="Gill Sans" w:hAnsi="Gill Sans" w:cs="Gill Sans"/>
          <w:sz w:val="22"/>
          <w:szCs w:val="22"/>
          <w:lang w:val="uk-UA"/>
        </w:rPr>
        <w:t>повинні забезпечити</w:t>
      </w:r>
      <w:r w:rsidRPr="00257F44">
        <w:rPr>
          <w:rFonts w:ascii="Gill Sans" w:hAnsi="Gill Sans" w:cs="Gill Sans"/>
          <w:sz w:val="22"/>
          <w:szCs w:val="22"/>
          <w:lang w:val="uk-UA"/>
        </w:rPr>
        <w:t xml:space="preserve"> можливість громадян впливати на прийняття </w:t>
      </w:r>
      <w:r w:rsidR="00655992" w:rsidRPr="00257F44">
        <w:rPr>
          <w:rFonts w:ascii="Gill Sans" w:hAnsi="Gill Sans" w:cs="Gill Sans"/>
          <w:sz w:val="22"/>
          <w:szCs w:val="22"/>
          <w:lang w:val="uk-UA"/>
        </w:rPr>
        <w:t xml:space="preserve">владних </w:t>
      </w:r>
      <w:r w:rsidRPr="00257F44">
        <w:rPr>
          <w:rFonts w:ascii="Gill Sans" w:hAnsi="Gill Sans" w:cs="Gill Sans"/>
          <w:sz w:val="22"/>
          <w:szCs w:val="22"/>
          <w:lang w:val="uk-UA"/>
        </w:rPr>
        <w:t xml:space="preserve">рішень і контролювати </w:t>
      </w:r>
      <w:r w:rsidR="00655992" w:rsidRPr="00257F44">
        <w:rPr>
          <w:rFonts w:ascii="Gill Sans" w:hAnsi="Gill Sans" w:cs="Gill Sans"/>
          <w:sz w:val="22"/>
          <w:szCs w:val="22"/>
          <w:lang w:val="uk-UA"/>
        </w:rPr>
        <w:t xml:space="preserve">публічну </w:t>
      </w:r>
      <w:r w:rsidRPr="00257F44">
        <w:rPr>
          <w:rFonts w:ascii="Gill Sans" w:hAnsi="Gill Sans" w:cs="Gill Sans"/>
          <w:sz w:val="22"/>
          <w:szCs w:val="22"/>
          <w:lang w:val="uk-UA"/>
        </w:rPr>
        <w:t>владу.</w:t>
      </w:r>
      <w:r w:rsidR="00F269F6" w:rsidRPr="00257F44">
        <w:rPr>
          <w:rFonts w:ascii="Gill Sans" w:hAnsi="Gill Sans" w:cs="Gill Sans"/>
          <w:noProof/>
          <w:sz w:val="22"/>
          <w:szCs w:val="22"/>
          <w:lang w:val="uk-UA"/>
        </w:rPr>
        <w:t xml:space="preserve"> </w:t>
      </w:r>
    </w:p>
    <w:p w14:paraId="1482831F" w14:textId="68AA7B8D" w:rsidR="00F269F6" w:rsidRPr="00257F44" w:rsidRDefault="00211D1B" w:rsidP="00FD4E6C">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 xml:space="preserve">23. </w:t>
      </w:r>
      <w:r w:rsidR="007557CD" w:rsidRPr="00257F44">
        <w:rPr>
          <w:rFonts w:ascii="Gill Sans" w:hAnsi="Gill Sans" w:cs="Gill Sans"/>
          <w:b/>
          <w:noProof/>
          <w:sz w:val="22"/>
          <w:szCs w:val="22"/>
          <w:lang w:val="uk-UA"/>
        </w:rPr>
        <w:t>Електронні звернення громадян</w:t>
      </w:r>
    </w:p>
    <w:p w14:paraId="288DABE2" w14:textId="3250898F" w:rsidR="00655992" w:rsidRPr="00257F44" w:rsidRDefault="00A62961" w:rsidP="00FD4E6C">
      <w:pPr>
        <w:spacing w:after="120"/>
        <w:rPr>
          <w:rFonts w:ascii="Gill Sans" w:hAnsi="Gill Sans" w:cs="Gill Sans"/>
          <w:noProof/>
          <w:sz w:val="22"/>
          <w:szCs w:val="22"/>
          <w:lang w:val="uk-UA"/>
        </w:rPr>
      </w:pPr>
      <w:r w:rsidRPr="00257F44">
        <w:rPr>
          <w:rFonts w:ascii="Gill Sans" w:hAnsi="Gill Sans" w:cs="Gill Sans"/>
          <w:noProof/>
          <w:sz w:val="22"/>
          <w:szCs w:val="22"/>
          <w:lang w:val="uk-UA"/>
        </w:rPr>
        <w:t>До недавнього часу Закон України “Про звернення громадян” (Закон про звернення) не передбачав можливості й порядку обробки звернень, які подаються за допомогою електронних засобів. Уряд планував заповнити цю прогалину, врегулювавши порядок розгляду електронних звернень у власному нормативному акті. Таким чином планувалося запровадити новий спосіб комунікації громадян з органами влади шляхом подання звернень (скарг, клопотань, пропозицій тощо) за допомогою електронних засобів.</w:t>
      </w:r>
    </w:p>
    <w:p w14:paraId="5288C707" w14:textId="77777777" w:rsidR="00B94851" w:rsidRPr="00257F44" w:rsidRDefault="00B94851" w:rsidP="00FD4E6C">
      <w:pPr>
        <w:pStyle w:val="Heading3"/>
        <w:spacing w:after="120"/>
        <w:rPr>
          <w:lang w:val="uk-UA"/>
        </w:rPr>
      </w:pPr>
      <w:r w:rsidRPr="00257F44">
        <w:rPr>
          <w:lang w:val="uk-UA"/>
        </w:rPr>
        <w:t>Статус виконання</w:t>
      </w:r>
    </w:p>
    <w:p w14:paraId="4AFE1417" w14:textId="77777777" w:rsidR="007557CD" w:rsidRPr="00257F44" w:rsidRDefault="007557CD" w:rsidP="00FD4E6C">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21. Дорожня карта розвитку електронної демократії</w:t>
      </w:r>
    </w:p>
    <w:p w14:paraId="687DCF26" w14:textId="033E6999" w:rsidR="00677BA9" w:rsidRPr="00257F44" w:rsidRDefault="00B94851" w:rsidP="00FD4E6C">
      <w:pPr>
        <w:pStyle w:val="Normalrglronly"/>
        <w:rPr>
          <w:b/>
          <w:lang w:val="uk-UA"/>
        </w:rPr>
      </w:pPr>
      <w:r w:rsidRPr="00257F44">
        <w:rPr>
          <w:b/>
          <w:lang w:val="uk-UA"/>
        </w:rPr>
        <w:t>Проміжний звіт: Значне виконання</w:t>
      </w:r>
    </w:p>
    <w:p w14:paraId="073338D7" w14:textId="6603C24B" w:rsidR="00CA6016" w:rsidRPr="00257F44" w:rsidRDefault="006F38CF" w:rsidP="00FD4E6C">
      <w:pPr>
        <w:spacing w:after="120"/>
        <w:rPr>
          <w:rFonts w:ascii="Gill Sans" w:hAnsi="Gill Sans" w:cs="Gill Sans"/>
          <w:sz w:val="22"/>
          <w:szCs w:val="22"/>
          <w:lang w:val="uk-UA"/>
        </w:rPr>
      </w:pPr>
      <w:r w:rsidRPr="00257F44">
        <w:rPr>
          <w:rFonts w:ascii="Gill Sans" w:hAnsi="Gill Sans" w:cs="Gill Sans"/>
          <w:sz w:val="22"/>
          <w:szCs w:val="22"/>
          <w:lang w:val="uk-UA"/>
        </w:rPr>
        <w:t>Назва зобов’язання передбачала</w:t>
      </w:r>
      <w:r w:rsidR="00CA6016" w:rsidRPr="00257F44">
        <w:rPr>
          <w:rFonts w:ascii="Gill Sans" w:hAnsi="Gill Sans" w:cs="Gill Sans"/>
          <w:sz w:val="22"/>
          <w:szCs w:val="22"/>
          <w:lang w:val="uk-UA"/>
        </w:rPr>
        <w:t xml:space="preserve"> розроблення Дорожньої карти електронної демократії, хоча в очікуваних результатах </w:t>
      </w:r>
      <w:r w:rsidRPr="00257F44">
        <w:rPr>
          <w:rFonts w:ascii="Gill Sans" w:hAnsi="Gill Sans" w:cs="Gill Sans"/>
          <w:sz w:val="22"/>
          <w:szCs w:val="22"/>
          <w:lang w:val="uk-UA"/>
        </w:rPr>
        <w:t xml:space="preserve">йшлося </w:t>
      </w:r>
      <w:r w:rsidR="00CA6016" w:rsidRPr="00257F44">
        <w:rPr>
          <w:rFonts w:ascii="Gill Sans" w:hAnsi="Gill Sans" w:cs="Gill Sans"/>
          <w:sz w:val="22"/>
          <w:szCs w:val="22"/>
          <w:lang w:val="uk-UA"/>
        </w:rPr>
        <w:t xml:space="preserve">лише про підготовку “пропозицій щодо визначення шляхів реалізації потенціалу інструментів електронної демократії”. </w:t>
      </w:r>
      <w:r w:rsidRPr="00257F44">
        <w:rPr>
          <w:rFonts w:ascii="Gill Sans" w:hAnsi="Gill Sans" w:cs="Gill Sans"/>
          <w:sz w:val="22"/>
          <w:szCs w:val="22"/>
          <w:lang w:val="uk-UA"/>
        </w:rPr>
        <w:t>Уряд повідомив про те, що зазначені пропозиції були подані на розгляд Уряду Державним агентством з питань електронного урядування у травні 2015 року</w:t>
      </w:r>
      <w:r w:rsidRPr="00257F44">
        <w:rPr>
          <w:rStyle w:val="EndnoteReference"/>
          <w:rFonts w:ascii="Gill Sans" w:hAnsi="Gill Sans" w:cs="Gill Sans"/>
          <w:noProof/>
          <w:sz w:val="22"/>
          <w:szCs w:val="22"/>
          <w:lang w:val="uk-UA"/>
        </w:rPr>
        <w:endnoteReference w:id="99"/>
      </w:r>
      <w:r w:rsidRPr="00257F44">
        <w:rPr>
          <w:rFonts w:ascii="Gill Sans" w:hAnsi="Gill Sans" w:cs="Gill Sans"/>
          <w:sz w:val="22"/>
          <w:szCs w:val="22"/>
          <w:lang w:val="uk-UA"/>
        </w:rPr>
        <w:t>, як це вимагалося в очікуваних результатах зобов’язання</w:t>
      </w:r>
      <w:r w:rsidRPr="00257F44">
        <w:rPr>
          <w:rStyle w:val="EndnoteReference"/>
          <w:rFonts w:ascii="Gill Sans" w:hAnsi="Gill Sans" w:cs="Gill Sans"/>
          <w:noProof/>
          <w:sz w:val="22"/>
          <w:szCs w:val="22"/>
          <w:lang w:val="uk-UA"/>
        </w:rPr>
        <w:endnoteReference w:id="100"/>
      </w:r>
      <w:r w:rsidRPr="00257F44">
        <w:rPr>
          <w:rFonts w:ascii="Gill Sans" w:hAnsi="Gill Sans" w:cs="Gill Sans"/>
          <w:sz w:val="22"/>
          <w:szCs w:val="22"/>
          <w:lang w:val="uk-UA"/>
        </w:rPr>
        <w:t>.</w:t>
      </w:r>
    </w:p>
    <w:p w14:paraId="5BD551ED" w14:textId="6102EA91" w:rsidR="00A62961" w:rsidRPr="00257F44" w:rsidRDefault="00CA6016" w:rsidP="00FD4E6C">
      <w:pPr>
        <w:spacing w:after="120"/>
        <w:rPr>
          <w:rFonts w:ascii="Gill Sans" w:hAnsi="Gill Sans" w:cs="Gill Sans"/>
          <w:sz w:val="22"/>
          <w:szCs w:val="22"/>
          <w:lang w:val="uk-UA"/>
        </w:rPr>
      </w:pPr>
      <w:r w:rsidRPr="00257F44">
        <w:rPr>
          <w:rFonts w:ascii="Gill Sans" w:hAnsi="Gill Sans" w:cs="Gill Sans"/>
          <w:sz w:val="22"/>
          <w:szCs w:val="22"/>
          <w:lang w:val="uk-UA"/>
        </w:rPr>
        <w:t>Уряд не провів публічні консультації щодо зазначених пропозицій, які були оприлюднені лише після їх подання на розгляд Уряду. Незрозуміло, яким був результат подання цього документа Урядові. Пропозиції, розроблені Державним агентством з питань електронного урядування</w:t>
      </w:r>
      <w:r w:rsidR="006F38CF" w:rsidRPr="00257F44">
        <w:rPr>
          <w:rFonts w:ascii="Gill Sans" w:hAnsi="Gill Sans" w:cs="Gill Sans"/>
          <w:sz w:val="22"/>
          <w:szCs w:val="22"/>
          <w:lang w:val="uk-UA"/>
        </w:rPr>
        <w:t>, містили</w:t>
      </w:r>
      <w:r w:rsidRPr="00257F44">
        <w:rPr>
          <w:rFonts w:ascii="Gill Sans" w:hAnsi="Gill Sans" w:cs="Gill Sans"/>
          <w:sz w:val="22"/>
          <w:szCs w:val="22"/>
          <w:lang w:val="uk-UA"/>
        </w:rPr>
        <w:t xml:space="preserve"> визначення електронної демократії, детальний огляд Рекомендації Ради Європи № CM/Rec(2009)1 щодо електронної демократії, огляд основних інструментів електронної демократії в Україні та пропозиції щодо трьох альтернативних сценаріїв розвитку електронної демократії в Україні.</w:t>
      </w:r>
    </w:p>
    <w:p w14:paraId="6F095BC9" w14:textId="5ACDB3FD" w:rsidR="00B249F8" w:rsidRPr="00257F44" w:rsidRDefault="00B94851" w:rsidP="00FD4E6C">
      <w:pPr>
        <w:pStyle w:val="Normalrglronly"/>
        <w:rPr>
          <w:b/>
          <w:lang w:val="uk-UA"/>
        </w:rPr>
      </w:pPr>
      <w:r w:rsidRPr="00257F44">
        <w:rPr>
          <w:b/>
          <w:lang w:val="uk-UA"/>
        </w:rPr>
        <w:t>Підсумковий звіт: Повне виконання</w:t>
      </w:r>
    </w:p>
    <w:p w14:paraId="47EDB768" w14:textId="5B1567AE" w:rsidR="006F38CF" w:rsidRPr="00257F44" w:rsidRDefault="006F38CF" w:rsidP="00FD4E6C">
      <w:pPr>
        <w:pStyle w:val="Normalrglronly"/>
        <w:rPr>
          <w:bCs/>
          <w:lang w:val="uk-UA"/>
        </w:rPr>
      </w:pPr>
      <w:r w:rsidRPr="00257F44">
        <w:rPr>
          <w:bCs/>
          <w:lang w:val="uk-UA"/>
        </w:rPr>
        <w:t xml:space="preserve">З часу проміжного звіту подальшого прогресу досягнуто не було. Проте, зважаючи на неконкретність цього зобов’язання, як воно було сформульовано, його можна вважати виконаним. </w:t>
      </w:r>
      <w:r w:rsidRPr="00257F44">
        <w:rPr>
          <w:lang w:val="uk-UA"/>
        </w:rPr>
        <w:t>Державне агентство з питань електронного урядування повідомило про підготовлені пропозиції та оприлюднило їх онлайн, тим самим виконавши єдине конкретне завдання, передбачене зобов’язанням.</w:t>
      </w:r>
    </w:p>
    <w:p w14:paraId="757F443D" w14:textId="77777777" w:rsidR="007557CD" w:rsidRPr="00257F44" w:rsidRDefault="007557CD" w:rsidP="00FD4E6C">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23. Електронні звернення громадян</w:t>
      </w:r>
    </w:p>
    <w:p w14:paraId="31243035" w14:textId="05BFA7DE" w:rsidR="00297770" w:rsidRPr="00257F44" w:rsidRDefault="00B94851" w:rsidP="00FD4E6C">
      <w:pPr>
        <w:pStyle w:val="Normalrglronly"/>
        <w:rPr>
          <w:b/>
          <w:lang w:val="uk-UA"/>
        </w:rPr>
      </w:pPr>
      <w:r w:rsidRPr="00257F44">
        <w:rPr>
          <w:b/>
          <w:lang w:val="uk-UA"/>
        </w:rPr>
        <w:t>Проміжний звіт: Обмежене виконання</w:t>
      </w:r>
    </w:p>
    <w:p w14:paraId="5F3768E8" w14:textId="4CB71099" w:rsidR="006F38CF" w:rsidRPr="00257F44" w:rsidRDefault="008F23C2" w:rsidP="00FD4E6C">
      <w:pPr>
        <w:spacing w:after="120"/>
        <w:rPr>
          <w:rFonts w:ascii="Gill Sans" w:hAnsi="Gill Sans" w:cs="Gill Sans"/>
          <w:noProof/>
          <w:sz w:val="22"/>
          <w:szCs w:val="22"/>
          <w:lang w:val="uk-UA"/>
        </w:rPr>
      </w:pPr>
      <w:r w:rsidRPr="00257F44">
        <w:rPr>
          <w:rFonts w:ascii="Gill Sans" w:hAnsi="Gill Sans" w:cs="Gill Sans"/>
          <w:noProof/>
          <w:sz w:val="22"/>
          <w:szCs w:val="22"/>
          <w:lang w:val="uk-UA"/>
        </w:rPr>
        <w:lastRenderedPageBreak/>
        <w:t xml:space="preserve">У липні 2015 року парламент схвалив зміни до Закону про звернення, які дозволили подавати звернення з використанням мережі інтернет, засобів електронного зв’язку, а також запровадили нову особливу форму звернень – електронні петиції (див. опис у розділі про зобов’язання ПВУ № 18). Уряд поінформував, що </w:t>
      </w:r>
      <w:r w:rsidRPr="00257F44">
        <w:rPr>
          <w:rFonts w:ascii="Gill Sans" w:hAnsi="Gill Sans" w:cs="Gill Sans"/>
          <w:sz w:val="22"/>
          <w:szCs w:val="22"/>
          <w:lang w:val="uk-UA"/>
        </w:rPr>
        <w:t>Державне агентство з питань електронного урядування створило робочу групу для підготовки порядку роботи з електронними зверненнями відповідно до зобов’язання. Група підготувала проект порядку</w:t>
      </w:r>
      <w:r w:rsidRPr="00257F44">
        <w:rPr>
          <w:rStyle w:val="EndnoteReference"/>
          <w:rFonts w:ascii="Gill Sans" w:hAnsi="Gill Sans" w:cs="Gill Sans"/>
          <w:noProof/>
          <w:sz w:val="22"/>
          <w:szCs w:val="22"/>
          <w:lang w:val="uk-UA"/>
        </w:rPr>
        <w:endnoteReference w:id="101"/>
      </w:r>
      <w:r w:rsidRPr="00257F44">
        <w:rPr>
          <w:rFonts w:ascii="Gill Sans" w:hAnsi="Gill Sans" w:cs="Gill Sans"/>
          <w:sz w:val="22"/>
          <w:szCs w:val="22"/>
          <w:lang w:val="uk-UA"/>
        </w:rPr>
        <w:t>.</w:t>
      </w:r>
    </w:p>
    <w:p w14:paraId="6AF02A22" w14:textId="3BE73167" w:rsidR="00211D1B" w:rsidRPr="00257F44" w:rsidRDefault="00B94851" w:rsidP="00FD4E6C">
      <w:pPr>
        <w:pStyle w:val="Normalrglronly"/>
        <w:rPr>
          <w:b/>
          <w:lang w:val="uk-UA"/>
        </w:rPr>
      </w:pPr>
      <w:r w:rsidRPr="00257F44">
        <w:rPr>
          <w:b/>
          <w:lang w:val="uk-UA"/>
        </w:rPr>
        <w:t>Підсумковий звіт: Повне виконання</w:t>
      </w:r>
    </w:p>
    <w:p w14:paraId="12460B5A" w14:textId="6501CE79" w:rsidR="00297770" w:rsidRPr="00257F44" w:rsidRDefault="008F23C2" w:rsidP="00FD4E6C">
      <w:pPr>
        <w:spacing w:after="120"/>
        <w:rPr>
          <w:rFonts w:ascii="Gill Sans" w:hAnsi="Gill Sans" w:cs="Gill Sans"/>
          <w:sz w:val="22"/>
          <w:szCs w:val="22"/>
          <w:lang w:val="uk-UA"/>
        </w:rPr>
      </w:pPr>
      <w:r w:rsidRPr="00257F44">
        <w:rPr>
          <w:rFonts w:ascii="Gill Sans" w:hAnsi="Gill Sans" w:cs="Gill Sans"/>
          <w:sz w:val="22"/>
          <w:szCs w:val="22"/>
          <w:lang w:val="uk-UA"/>
        </w:rPr>
        <w:t>У лютому 2016 року, Уряд затвердив рішення про внесення змін до урядових актів з метою регулювання порядку обробки електронних</w:t>
      </w:r>
      <w:r w:rsidR="009C08CA" w:rsidRPr="00257F44">
        <w:rPr>
          <w:rFonts w:ascii="Gill Sans" w:hAnsi="Gill Sans" w:cs="Gill Sans"/>
          <w:sz w:val="22"/>
          <w:szCs w:val="22"/>
          <w:lang w:val="uk-UA"/>
        </w:rPr>
        <w:t xml:space="preserve"> звернень та петицій відповідно до нового закону</w:t>
      </w:r>
      <w:r w:rsidR="007919CD" w:rsidRPr="00257F44">
        <w:rPr>
          <w:rStyle w:val="EndnoteReference"/>
          <w:rFonts w:ascii="Gill Sans" w:hAnsi="Gill Sans" w:cs="Gill Sans"/>
          <w:sz w:val="22"/>
          <w:szCs w:val="22"/>
          <w:lang w:val="uk-UA"/>
        </w:rPr>
        <w:endnoteReference w:id="102"/>
      </w:r>
      <w:r w:rsidR="009C08CA" w:rsidRPr="00257F44">
        <w:rPr>
          <w:rFonts w:ascii="Gill Sans" w:hAnsi="Gill Sans" w:cs="Gill Sans"/>
          <w:sz w:val="22"/>
          <w:szCs w:val="22"/>
          <w:lang w:val="uk-UA"/>
        </w:rPr>
        <w:t>.</w:t>
      </w:r>
    </w:p>
    <w:p w14:paraId="7E8266DC" w14:textId="77777777" w:rsidR="007557CD" w:rsidRPr="00257F44" w:rsidRDefault="007557CD" w:rsidP="00FD4E6C">
      <w:pPr>
        <w:pStyle w:val="Heading3"/>
        <w:spacing w:after="120"/>
        <w:rPr>
          <w:lang w:val="uk-UA"/>
        </w:rPr>
      </w:pPr>
      <w:r w:rsidRPr="00257F44">
        <w:rPr>
          <w:lang w:val="uk-UA"/>
        </w:rPr>
        <w:t>Чи відкрило це уряд?</w:t>
      </w:r>
    </w:p>
    <w:p w14:paraId="1055901F" w14:textId="77777777" w:rsidR="007557CD" w:rsidRPr="00257F44" w:rsidRDefault="007557CD" w:rsidP="00FD4E6C">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21. Дорожня карта розвитку електронної демократії</w:t>
      </w:r>
    </w:p>
    <w:p w14:paraId="4C200C75" w14:textId="00C2EE9B" w:rsidR="007557CD" w:rsidRPr="00257F44" w:rsidRDefault="007557CD" w:rsidP="00FD4E6C">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 xml:space="preserve">Доступ до інформації: Не змінило </w:t>
      </w:r>
    </w:p>
    <w:p w14:paraId="53A62622" w14:textId="241F8B0B" w:rsidR="007919CD" w:rsidRPr="00257F44" w:rsidRDefault="007557CD" w:rsidP="00FD4E6C">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Громадська участь</w:t>
      </w:r>
      <w:r w:rsidR="007919CD" w:rsidRPr="00257F44">
        <w:rPr>
          <w:rFonts w:ascii="Gill Sans" w:hAnsi="Gill Sans" w:cs="Gill Sans"/>
          <w:b/>
          <w:noProof/>
          <w:sz w:val="22"/>
          <w:szCs w:val="22"/>
          <w:lang w:val="uk-UA"/>
        </w:rPr>
        <w:t xml:space="preserve">: </w:t>
      </w:r>
      <w:r w:rsidRPr="00257F44">
        <w:rPr>
          <w:rFonts w:ascii="Gill Sans" w:hAnsi="Gill Sans" w:cs="Gill Sans"/>
          <w:b/>
          <w:noProof/>
          <w:sz w:val="22"/>
          <w:szCs w:val="22"/>
          <w:lang w:val="uk-UA"/>
        </w:rPr>
        <w:t>Не змінило</w:t>
      </w:r>
    </w:p>
    <w:p w14:paraId="115AD924" w14:textId="0EF7CC92" w:rsidR="009C08CA" w:rsidRPr="00257F44" w:rsidRDefault="00251801" w:rsidP="00FD4E6C">
      <w:pPr>
        <w:spacing w:after="120"/>
        <w:rPr>
          <w:rFonts w:ascii="Gill Sans" w:hAnsi="Gill Sans" w:cs="Gill Sans"/>
          <w:sz w:val="22"/>
          <w:szCs w:val="22"/>
          <w:lang w:val="uk-UA"/>
        </w:rPr>
      </w:pPr>
      <w:r w:rsidRPr="00257F44">
        <w:rPr>
          <w:rFonts w:ascii="Gill Sans" w:hAnsi="Gill Sans" w:cs="Gill Sans"/>
          <w:sz w:val="22"/>
          <w:szCs w:val="22"/>
          <w:lang w:val="uk-UA"/>
        </w:rPr>
        <w:t>Очікуваним результатом цього зобов’язання була підготовка “пропозицій щодо визначення шляхів реалізації потенціалу інструментів електронної демократії”. Уряд розробив такі пропозиції, але вони не мали реального впливу і не можуть вважатися дорожньою картою із розвитку електронної демократії (як планувалося, виходячи з назви зобов’язання).</w:t>
      </w:r>
    </w:p>
    <w:p w14:paraId="2E69CC60" w14:textId="77777777" w:rsidR="007557CD" w:rsidRPr="00257F44" w:rsidRDefault="007557CD" w:rsidP="00FD4E6C">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23. Електронні звернення громадян</w:t>
      </w:r>
    </w:p>
    <w:p w14:paraId="48FD4243" w14:textId="77777777" w:rsidR="007557CD" w:rsidRPr="00257F44" w:rsidRDefault="007557CD" w:rsidP="00FD4E6C">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Громадська участь: Не змінило</w:t>
      </w:r>
    </w:p>
    <w:p w14:paraId="36E3D4E3" w14:textId="1D27A95C" w:rsidR="007557CD" w:rsidRPr="00257F44" w:rsidRDefault="007557CD" w:rsidP="00FD4E6C">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Підзвітність влади: Не змінило</w:t>
      </w:r>
    </w:p>
    <w:p w14:paraId="10AA3227" w14:textId="3CDC9C8F" w:rsidR="00805055" w:rsidRPr="00257F44" w:rsidRDefault="00E171B3" w:rsidP="00FD4E6C">
      <w:pPr>
        <w:spacing w:after="120"/>
        <w:rPr>
          <w:rFonts w:ascii="Gill Sans" w:hAnsi="Gill Sans" w:cs="Gill Sans"/>
          <w:sz w:val="22"/>
          <w:szCs w:val="22"/>
          <w:lang w:val="uk-UA"/>
        </w:rPr>
      </w:pPr>
      <w:r w:rsidRPr="00257F44">
        <w:rPr>
          <w:rFonts w:ascii="Gill Sans" w:hAnsi="Gill Sans" w:cs="Gill Sans"/>
          <w:sz w:val="22"/>
          <w:szCs w:val="22"/>
          <w:lang w:val="uk-UA"/>
        </w:rPr>
        <w:t xml:space="preserve">Це зобов’язання мало на меті розширити інструменти, доступні громадянам для подання клопотань, скарг чи пропозицій органам влади. </w:t>
      </w:r>
      <w:r w:rsidR="00805055" w:rsidRPr="00257F44">
        <w:rPr>
          <w:rFonts w:ascii="Gill Sans" w:hAnsi="Gill Sans" w:cs="Gill Sans"/>
          <w:sz w:val="22"/>
          <w:szCs w:val="22"/>
          <w:lang w:val="uk-UA"/>
        </w:rPr>
        <w:t>Це було досягнуто шляхом створення нової системи розгляду та відповіді на звернення, що надходять через новостворену систему електронних петицій. Це зобов’язання пов’язано із зобов’язанням №18 (див. вище), яке мало визначний ефект на відкриття уряду, оскільки завдяки йому було законодавчо дозволено та реалізовано на практиці систему е-петицій на всіх рівнях влади. Зобов’язання щодо створення системи обробки електронних звернень та петицій стосувалося переважно внутрішніх урядових процедур.</w:t>
      </w:r>
    </w:p>
    <w:p w14:paraId="3C92E19B" w14:textId="5D295D1D" w:rsidR="002C2373" w:rsidRPr="00257F44" w:rsidRDefault="002C2373" w:rsidP="00FD4E6C">
      <w:pPr>
        <w:spacing w:after="120"/>
        <w:rPr>
          <w:rFonts w:ascii="Gill Sans" w:hAnsi="Gill Sans" w:cs="Gill Sans"/>
          <w:sz w:val="22"/>
          <w:szCs w:val="22"/>
          <w:lang w:val="uk-UA"/>
        </w:rPr>
      </w:pPr>
      <w:r w:rsidRPr="00257F44">
        <w:rPr>
          <w:rFonts w:ascii="Gill Sans" w:hAnsi="Gill Sans" w:cs="Gill Sans"/>
          <w:sz w:val="22"/>
          <w:szCs w:val="22"/>
          <w:lang w:val="uk-UA"/>
        </w:rPr>
        <w:t xml:space="preserve">У 2016 році Уряд оновив свої нормативні акти для відображення змін у Законі про </w:t>
      </w:r>
      <w:r w:rsidR="000C69D9" w:rsidRPr="00257F44">
        <w:rPr>
          <w:rFonts w:ascii="Gill Sans" w:hAnsi="Gill Sans" w:cs="Gill Sans"/>
          <w:sz w:val="22"/>
          <w:szCs w:val="22"/>
          <w:lang w:val="uk-UA"/>
        </w:rPr>
        <w:t>звернення</w:t>
      </w:r>
      <w:r w:rsidRPr="00257F44">
        <w:rPr>
          <w:rFonts w:ascii="Gill Sans" w:hAnsi="Gill Sans" w:cs="Gill Sans"/>
          <w:sz w:val="22"/>
          <w:szCs w:val="22"/>
          <w:lang w:val="uk-UA"/>
        </w:rPr>
        <w:t xml:space="preserve">. Це було позитивним кроком, оскільки </w:t>
      </w:r>
      <w:r w:rsidR="000C69D9" w:rsidRPr="00257F44">
        <w:rPr>
          <w:rFonts w:ascii="Gill Sans" w:hAnsi="Gill Sans" w:cs="Gill Sans"/>
          <w:sz w:val="22"/>
          <w:szCs w:val="22"/>
          <w:lang w:val="uk-UA"/>
        </w:rPr>
        <w:t>це дозволило</w:t>
      </w:r>
      <w:r w:rsidRPr="00257F44">
        <w:rPr>
          <w:rFonts w:ascii="Gill Sans" w:hAnsi="Gill Sans" w:cs="Gill Sans"/>
          <w:sz w:val="22"/>
          <w:szCs w:val="22"/>
          <w:lang w:val="uk-UA"/>
        </w:rPr>
        <w:t xml:space="preserve"> узгодити підзаконні акти Уряду з новими законодавчими вимогами. Проте, це мало лише обмежений вплив на відкритий уряд. Хоча внесення змін до закон</w:t>
      </w:r>
      <w:r w:rsidR="000C69D9" w:rsidRPr="00257F44">
        <w:rPr>
          <w:rFonts w:ascii="Gill Sans" w:hAnsi="Gill Sans" w:cs="Gill Sans"/>
          <w:sz w:val="22"/>
          <w:szCs w:val="22"/>
          <w:lang w:val="uk-UA"/>
        </w:rPr>
        <w:t>у</w:t>
      </w:r>
      <w:r w:rsidRPr="00257F44">
        <w:rPr>
          <w:rFonts w:ascii="Gill Sans" w:hAnsi="Gill Sans" w:cs="Gill Sans"/>
          <w:sz w:val="22"/>
          <w:szCs w:val="22"/>
          <w:lang w:val="uk-UA"/>
        </w:rPr>
        <w:t>, які передбачають надання відповіді на онлайн звернення</w:t>
      </w:r>
      <w:r w:rsidR="000C69D9" w:rsidRPr="00257F44">
        <w:rPr>
          <w:rFonts w:ascii="Gill Sans" w:hAnsi="Gill Sans" w:cs="Gill Sans"/>
          <w:sz w:val="22"/>
          <w:szCs w:val="22"/>
          <w:lang w:val="uk-UA"/>
        </w:rPr>
        <w:t>,</w:t>
      </w:r>
      <w:r w:rsidRPr="00257F44">
        <w:rPr>
          <w:rFonts w:ascii="Gill Sans" w:hAnsi="Gill Sans" w:cs="Gill Sans"/>
          <w:sz w:val="22"/>
          <w:szCs w:val="22"/>
          <w:lang w:val="uk-UA"/>
        </w:rPr>
        <w:t xml:space="preserve"> є важливою складовою комунікації з громадянами, це зобов’язання було технічним за своєю природою і становило собою лише обмежені зміни на практиці.</w:t>
      </w:r>
    </w:p>
    <w:p w14:paraId="1F08F98E" w14:textId="77777777" w:rsidR="006D19D8" w:rsidRPr="00257F44" w:rsidRDefault="006D19D8" w:rsidP="00FD4E6C">
      <w:pPr>
        <w:pStyle w:val="Heading3"/>
        <w:spacing w:after="120"/>
        <w:rPr>
          <w:lang w:val="uk-UA"/>
        </w:rPr>
      </w:pPr>
      <w:r w:rsidRPr="00257F44">
        <w:rPr>
          <w:lang w:val="uk-UA"/>
        </w:rPr>
        <w:t>Чи перенесено до наступного плану дій?</w:t>
      </w:r>
    </w:p>
    <w:p w14:paraId="3290B799" w14:textId="6D75BA31" w:rsidR="000C69D9" w:rsidRPr="00257F44" w:rsidRDefault="000C69D9" w:rsidP="00FD4E6C">
      <w:pPr>
        <w:spacing w:after="120"/>
        <w:rPr>
          <w:rFonts w:ascii="Gill Sans" w:eastAsia="Times New Roman" w:hAnsi="Gill Sans" w:cs="Gill Sans"/>
          <w:sz w:val="22"/>
          <w:szCs w:val="22"/>
          <w:lang w:val="uk-UA"/>
        </w:rPr>
      </w:pPr>
      <w:r w:rsidRPr="00257F44">
        <w:rPr>
          <w:rFonts w:ascii="Gill Sans" w:hAnsi="Gill Sans" w:cs="Gill Sans"/>
          <w:noProof/>
          <w:sz w:val="22"/>
          <w:szCs w:val="22"/>
          <w:lang w:val="uk-UA"/>
        </w:rPr>
        <w:t xml:space="preserve">Зобов’язання щодо </w:t>
      </w:r>
      <w:r w:rsidR="00D60E82">
        <w:rPr>
          <w:rFonts w:ascii="Gill Sans" w:hAnsi="Gill Sans" w:cs="Gill Sans"/>
          <w:noProof/>
          <w:sz w:val="22"/>
          <w:szCs w:val="22"/>
          <w:lang w:val="uk-UA"/>
        </w:rPr>
        <w:t>просування</w:t>
      </w:r>
      <w:r w:rsidRPr="00257F44">
        <w:rPr>
          <w:rFonts w:ascii="Gill Sans" w:hAnsi="Gill Sans" w:cs="Gill Sans"/>
          <w:noProof/>
          <w:sz w:val="22"/>
          <w:szCs w:val="22"/>
          <w:lang w:val="uk-UA"/>
        </w:rPr>
        <w:t xml:space="preserve"> е-демократії було перенесено до нового плану дій. Новий план передбачає підготовку </w:t>
      </w:r>
      <w:r w:rsidRPr="00257F44">
        <w:rPr>
          <w:rFonts w:ascii="Gill Sans" w:eastAsia="Times New Roman" w:hAnsi="Gill Sans" w:cs="Gill Sans"/>
          <w:color w:val="000000"/>
          <w:sz w:val="22"/>
          <w:szCs w:val="22"/>
          <w:shd w:val="clear" w:color="auto" w:fill="FFFFFF"/>
          <w:lang w:val="uk-UA"/>
        </w:rPr>
        <w:t>Концепції розвитку електронної демократії (травень 2017 року) та плану заходів з реалізації цієї Концепції (обидва документи повинні бути затверджені Урядом).</w:t>
      </w:r>
    </w:p>
    <w:p w14:paraId="30D07217" w14:textId="77777777" w:rsidR="00677BA9" w:rsidRPr="00257F44" w:rsidRDefault="00677BA9" w:rsidP="00025289">
      <w:pPr>
        <w:pStyle w:val="Heading2"/>
        <w:spacing w:before="0" w:after="120"/>
        <w:rPr>
          <w:rFonts w:eastAsiaTheme="minorEastAsia"/>
          <w:bCs w:val="0"/>
          <w:color w:val="222222"/>
          <w:sz w:val="22"/>
          <w:szCs w:val="22"/>
          <w:lang w:val="uk-UA"/>
        </w:rPr>
        <w:sectPr w:rsidR="00677BA9" w:rsidRPr="00257F44" w:rsidSect="00F561B7">
          <w:endnotePr>
            <w:numFmt w:val="decimal"/>
            <w:numRestart w:val="eachSect"/>
          </w:endnotePr>
          <w:pgSz w:w="12240" w:h="15840"/>
          <w:pgMar w:top="1440" w:right="1800" w:bottom="1440" w:left="1800" w:header="720" w:footer="720" w:gutter="0"/>
          <w:cols w:space="720"/>
          <w:docGrid w:linePitch="360"/>
        </w:sectPr>
      </w:pPr>
    </w:p>
    <w:p w14:paraId="6F9F48B8" w14:textId="77777777" w:rsidR="00781F39" w:rsidRPr="00257F44" w:rsidRDefault="00781F39" w:rsidP="00781F39">
      <w:pPr>
        <w:pStyle w:val="Heading2"/>
        <w:spacing w:before="0" w:after="120"/>
        <w:rPr>
          <w:rFonts w:eastAsiaTheme="minorEastAsia"/>
          <w:bCs w:val="0"/>
          <w:color w:val="222222"/>
          <w:sz w:val="22"/>
          <w:szCs w:val="22"/>
          <w:lang w:val="uk-UA"/>
        </w:rPr>
      </w:pPr>
      <w:r w:rsidRPr="00257F44">
        <w:rPr>
          <w:rFonts w:eastAsiaTheme="minorEastAsia"/>
          <w:bCs w:val="0"/>
          <w:color w:val="222222"/>
          <w:sz w:val="22"/>
          <w:szCs w:val="22"/>
          <w:lang w:val="uk-UA"/>
        </w:rPr>
        <w:lastRenderedPageBreak/>
        <w:t>22. Ініціативи з відкритості бюджету</w:t>
      </w:r>
    </w:p>
    <w:p w14:paraId="4CB5B20E" w14:textId="77777777" w:rsidR="00781F39" w:rsidRPr="00257F44" w:rsidRDefault="00781F39" w:rsidP="00781F39">
      <w:pPr>
        <w:spacing w:after="120"/>
        <w:rPr>
          <w:rFonts w:ascii="Gill Sans" w:hAnsi="Gill Sans" w:cs="Gill Sans"/>
          <w:i/>
          <w:noProof/>
          <w:sz w:val="22"/>
          <w:szCs w:val="22"/>
          <w:lang w:val="uk-UA"/>
        </w:rPr>
      </w:pPr>
      <w:r w:rsidRPr="00257F44">
        <w:rPr>
          <w:rFonts w:ascii="Gill Sans" w:hAnsi="Gill Sans" w:cs="Gill Sans"/>
          <w:b/>
          <w:bCs/>
          <w:iCs/>
          <w:noProof/>
          <w:sz w:val="22"/>
          <w:szCs w:val="22"/>
          <w:lang w:val="uk-UA"/>
        </w:rPr>
        <w:t>Текст зобов’язання:</w:t>
      </w:r>
      <w:r w:rsidRPr="00257F44">
        <w:rPr>
          <w:rFonts w:ascii="Gill Sans" w:hAnsi="Gill Sans" w:cs="Gill Sans"/>
          <w:i/>
          <w:noProof/>
          <w:sz w:val="22"/>
          <w:szCs w:val="22"/>
          <w:lang w:val="uk-UA"/>
        </w:rPr>
        <w:t xml:space="preserve"> 22. Партнерське впровадження пілотних ініціатив, пов’язаних з наданням інформації про бюджет у відкритій та доступній формі, на національному, обласному та місцевому рівні.</w:t>
      </w:r>
    </w:p>
    <w:p w14:paraId="717C9C9F" w14:textId="77777777" w:rsidR="00781F39" w:rsidRPr="00257F44" w:rsidRDefault="00781F39" w:rsidP="00781F39">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створення веб-порталу “Скільки коштує держава?”, впровадження платформи “Відкрите місто” у 15 адміністративно-територіальних одиницях, впровадження не менш як п’яти пілотних ініціатив для підвищення рівня поінформованості громадськості у сфері бюджетування, створення бюджетної інформації, дружньої до користувача.</w:t>
      </w:r>
    </w:p>
    <w:p w14:paraId="54918249" w14:textId="77777777" w:rsidR="00781F39" w:rsidRPr="00257F44" w:rsidRDefault="00781F39" w:rsidP="00781F39">
      <w:pPr>
        <w:spacing w:after="120"/>
        <w:rPr>
          <w:rFonts w:ascii="Gill Sans" w:hAnsi="Gill Sans" w:cs="Gill Sans"/>
          <w:sz w:val="22"/>
          <w:szCs w:val="22"/>
          <w:lang w:val="uk-UA"/>
        </w:rPr>
      </w:pPr>
      <w:r w:rsidRPr="00257F44">
        <w:rPr>
          <w:rFonts w:ascii="Gill Sans" w:hAnsi="Gill Sans" w:cs="Gill Sans"/>
          <w:sz w:val="22"/>
          <w:szCs w:val="22"/>
          <w:lang w:val="uk-UA"/>
        </w:rPr>
        <w:t>Головна інституція, відповідальна за виконання: Міністерство фінансів.</w:t>
      </w:r>
    </w:p>
    <w:p w14:paraId="6D40148A" w14:textId="77777777" w:rsidR="00781F39" w:rsidRPr="00257F44" w:rsidRDefault="00781F39" w:rsidP="00781F39">
      <w:pPr>
        <w:spacing w:after="120"/>
        <w:rPr>
          <w:rFonts w:ascii="Gill Sans" w:hAnsi="Gill Sans" w:cs="Gill Sans"/>
          <w:sz w:val="22"/>
          <w:szCs w:val="22"/>
          <w:lang w:val="uk-UA"/>
        </w:rPr>
      </w:pPr>
      <w:r w:rsidRPr="00257F44">
        <w:rPr>
          <w:rFonts w:ascii="Gill Sans" w:hAnsi="Gill Sans" w:cs="Gill Sans"/>
          <w:sz w:val="22"/>
          <w:szCs w:val="22"/>
          <w:lang w:val="uk-UA"/>
        </w:rPr>
        <w:t>Інші виконавці: Міністерство регіонального розвитку, Національний центр електронного урядування державного підприємства “Держінформресурс”, фонд “Східна Європа”, Представництво Європейської Комісії в Україні, інші невизначені організації громадянського суспільства та міжнародні організації, органи місцевого самоврядування.</w:t>
      </w:r>
    </w:p>
    <w:p w14:paraId="335AC470" w14:textId="785D3DA3" w:rsidR="00025289" w:rsidRPr="00257F44" w:rsidRDefault="00781F39" w:rsidP="00025289">
      <w:pPr>
        <w:spacing w:after="120"/>
        <w:rPr>
          <w:rFonts w:ascii="Gill Sans" w:hAnsi="Gill Sans" w:cs="Gill Sans"/>
          <w:sz w:val="22"/>
          <w:szCs w:val="22"/>
          <w:lang w:val="uk-UA"/>
        </w:rPr>
      </w:pPr>
      <w:r w:rsidRPr="00257F44">
        <w:rPr>
          <w:rFonts w:ascii="Gill Sans" w:hAnsi="Gill Sans" w:cs="Gill Sans"/>
          <w:sz w:val="22"/>
          <w:szCs w:val="22"/>
          <w:lang w:val="uk-UA"/>
        </w:rPr>
        <w:t>Дата початку: Не визначено</w:t>
      </w:r>
      <w:r w:rsidRPr="00257F44">
        <w:rPr>
          <w:rFonts w:ascii="Gill Sans" w:hAnsi="Gill Sans" w:cs="Gill Sans"/>
          <w:sz w:val="22"/>
          <w:szCs w:val="22"/>
          <w:lang w:val="uk-UA"/>
        </w:rPr>
        <w:tab/>
      </w:r>
      <w:r w:rsidRPr="00257F44">
        <w:rPr>
          <w:rFonts w:ascii="Gill Sans" w:hAnsi="Gill Sans" w:cs="Gill Sans"/>
          <w:sz w:val="22"/>
          <w:szCs w:val="22"/>
          <w:lang w:val="uk-UA"/>
        </w:rPr>
        <w:tab/>
      </w:r>
      <w:r w:rsidRPr="00257F44">
        <w:rPr>
          <w:rFonts w:ascii="Gill Sans" w:hAnsi="Gill Sans" w:cs="Gill Sans"/>
          <w:sz w:val="22"/>
          <w:szCs w:val="22"/>
          <w:lang w:val="uk-UA"/>
        </w:rPr>
        <w:tab/>
      </w:r>
      <w:r w:rsidRPr="00257F44">
        <w:rPr>
          <w:rFonts w:ascii="Gill Sans" w:hAnsi="Gill Sans" w:cs="Gill Sans"/>
          <w:sz w:val="22"/>
          <w:szCs w:val="22"/>
          <w:lang w:val="uk-UA"/>
        </w:rPr>
        <w:tab/>
        <w:t>Термін виконання: 30 грудня 2015 р.</w:t>
      </w:r>
    </w:p>
    <w:tbl>
      <w:tblPr>
        <w:tblW w:w="1017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48"/>
        <w:gridCol w:w="341"/>
        <w:gridCol w:w="341"/>
        <w:gridCol w:w="417"/>
        <w:gridCol w:w="417"/>
        <w:gridCol w:w="341"/>
        <w:gridCol w:w="341"/>
        <w:gridCol w:w="798"/>
        <w:gridCol w:w="341"/>
        <w:gridCol w:w="376"/>
        <w:gridCol w:w="341"/>
        <w:gridCol w:w="409"/>
        <w:gridCol w:w="466"/>
        <w:gridCol w:w="493"/>
        <w:gridCol w:w="417"/>
        <w:gridCol w:w="569"/>
        <w:gridCol w:w="341"/>
        <w:gridCol w:w="417"/>
        <w:gridCol w:w="382"/>
        <w:gridCol w:w="442"/>
        <w:gridCol w:w="419"/>
      </w:tblGrid>
      <w:tr w:rsidR="00781F39" w:rsidRPr="00257F44" w14:paraId="39761E2D" w14:textId="77777777" w:rsidTr="00B223BA">
        <w:trPr>
          <w:trHeight w:val="405"/>
        </w:trPr>
        <w:tc>
          <w:tcPr>
            <w:tcW w:w="1413" w:type="dxa"/>
            <w:vMerge w:val="restart"/>
            <w:tcBorders>
              <w:top w:val="single" w:sz="18" w:space="0" w:color="FFFFFF"/>
              <w:left w:val="single" w:sz="4" w:space="0" w:color="FFFFFF"/>
              <w:right w:val="single" w:sz="18" w:space="0" w:color="FFFFFF"/>
            </w:tcBorders>
            <w:shd w:val="clear" w:color="auto" w:fill="000000"/>
          </w:tcPr>
          <w:p w14:paraId="514FE207" w14:textId="257E6F92" w:rsidR="00781F39" w:rsidRPr="00257F44" w:rsidRDefault="00781F39" w:rsidP="009F0B5C">
            <w:pPr>
              <w:rPr>
                <w:rFonts w:ascii="Gill Sans" w:hAnsi="Gill Sans" w:cs="Gill Sans"/>
                <w:color w:val="FFFFFF" w:themeColor="background1"/>
                <w:sz w:val="22"/>
                <w:szCs w:val="22"/>
                <w:lang w:val="uk-UA"/>
              </w:rPr>
            </w:pPr>
            <w:r w:rsidRPr="00257F44">
              <w:rPr>
                <w:rFonts w:ascii="Gill Sans" w:hAnsi="Gill Sans" w:cs="Gill Sans"/>
                <w:sz w:val="20"/>
                <w:szCs w:val="20"/>
                <w:lang w:val="uk-UA"/>
              </w:rPr>
              <w:t>Опис зобов’язання</w:t>
            </w:r>
          </w:p>
        </w:tc>
        <w:tc>
          <w:tcPr>
            <w:tcW w:w="1447" w:type="dxa"/>
            <w:gridSpan w:val="4"/>
            <w:vMerge w:val="restart"/>
            <w:tcBorders>
              <w:top w:val="single" w:sz="18" w:space="0" w:color="FFFFFF"/>
              <w:left w:val="single" w:sz="18" w:space="0" w:color="FFFFFF"/>
              <w:right w:val="single" w:sz="18" w:space="0" w:color="FFFFFF"/>
            </w:tcBorders>
            <w:shd w:val="clear" w:color="auto" w:fill="D6E3BC"/>
          </w:tcPr>
          <w:p w14:paraId="009F01F6" w14:textId="332B15C1"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Конкретність</w:t>
            </w:r>
          </w:p>
        </w:tc>
        <w:tc>
          <w:tcPr>
            <w:tcW w:w="1897" w:type="dxa"/>
            <w:gridSpan w:val="4"/>
            <w:vMerge w:val="restart"/>
            <w:tcBorders>
              <w:top w:val="single" w:sz="18" w:space="0" w:color="FFFFFF"/>
              <w:left w:val="single" w:sz="18" w:space="0" w:color="FFFFFF"/>
              <w:right w:val="single" w:sz="18" w:space="0" w:color="FFFFFF"/>
            </w:tcBorders>
            <w:shd w:val="clear" w:color="auto" w:fill="FBD4B4"/>
          </w:tcPr>
          <w:p w14:paraId="6F1ADE8E" w14:textId="50D9C85E"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Відповідність цінностям ПВУ (як сформульовано)</w:t>
            </w:r>
          </w:p>
        </w:tc>
        <w:tc>
          <w:tcPr>
            <w:tcW w:w="1467" w:type="dxa"/>
            <w:gridSpan w:val="4"/>
            <w:vMerge w:val="restart"/>
            <w:tcBorders>
              <w:top w:val="single" w:sz="18" w:space="0" w:color="FFFFFF"/>
              <w:left w:val="single" w:sz="18" w:space="0" w:color="FFFFFF"/>
              <w:right w:val="single" w:sz="18" w:space="0" w:color="FFFFFF"/>
            </w:tcBorders>
            <w:shd w:val="clear" w:color="auto" w:fill="CCC0D9"/>
          </w:tcPr>
          <w:p w14:paraId="74D8E385" w14:textId="6EED98A6"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Потенційний вплив</w:t>
            </w:r>
          </w:p>
        </w:tc>
        <w:tc>
          <w:tcPr>
            <w:tcW w:w="959" w:type="dxa"/>
            <w:gridSpan w:val="2"/>
            <w:vMerge w:val="restart"/>
            <w:tcBorders>
              <w:top w:val="single" w:sz="18" w:space="0" w:color="FFFFFF"/>
              <w:left w:val="single" w:sz="18" w:space="0" w:color="FFFFFF"/>
              <w:right w:val="single" w:sz="2" w:space="0" w:color="FFFFFF"/>
            </w:tcBorders>
            <w:shd w:val="clear" w:color="auto" w:fill="B8CCE4"/>
          </w:tcPr>
          <w:p w14:paraId="3F9D6D50" w14:textId="7F37D85E"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Стан вико-нання</w:t>
            </w:r>
          </w:p>
        </w:tc>
        <w:tc>
          <w:tcPr>
            <w:tcW w:w="986"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1577639E" w14:textId="4026B19D"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Про-міжний</w:t>
            </w:r>
          </w:p>
        </w:tc>
        <w:tc>
          <w:tcPr>
            <w:tcW w:w="2001" w:type="dxa"/>
            <w:gridSpan w:val="5"/>
            <w:vMerge w:val="restart"/>
            <w:tcBorders>
              <w:top w:val="single" w:sz="18" w:space="0" w:color="FFFFFF"/>
              <w:left w:val="single" w:sz="18" w:space="0" w:color="FFFFFF"/>
              <w:right w:val="single" w:sz="18" w:space="0" w:color="FFFFFF"/>
            </w:tcBorders>
            <w:shd w:val="clear" w:color="auto" w:fill="D99594"/>
          </w:tcPr>
          <w:p w14:paraId="203557CD" w14:textId="5E11C0C2"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Чи відкрило це уряд?</w:t>
            </w:r>
          </w:p>
        </w:tc>
      </w:tr>
      <w:tr w:rsidR="00AE68C1" w:rsidRPr="00257F44" w14:paraId="7F1B70B9" w14:textId="77777777" w:rsidTr="00B223BA">
        <w:trPr>
          <w:trHeight w:val="373"/>
        </w:trPr>
        <w:tc>
          <w:tcPr>
            <w:tcW w:w="1413" w:type="dxa"/>
            <w:vMerge/>
            <w:tcBorders>
              <w:left w:val="single" w:sz="4" w:space="0" w:color="FFFFFF"/>
              <w:right w:val="single" w:sz="18" w:space="0" w:color="FFFFFF"/>
            </w:tcBorders>
            <w:shd w:val="clear" w:color="auto" w:fill="000000"/>
          </w:tcPr>
          <w:p w14:paraId="037081DD" w14:textId="1D5FABBE" w:rsidR="00AE68C1" w:rsidRPr="00257F44" w:rsidRDefault="00AE68C1" w:rsidP="009F0B5C">
            <w:pPr>
              <w:rPr>
                <w:rFonts w:ascii="Gill Sans" w:hAnsi="Gill Sans" w:cs="Gill Sans"/>
                <w:color w:val="FFFFFF" w:themeColor="background1"/>
                <w:sz w:val="22"/>
                <w:szCs w:val="22"/>
                <w:lang w:val="uk-UA"/>
              </w:rPr>
            </w:pPr>
          </w:p>
        </w:tc>
        <w:tc>
          <w:tcPr>
            <w:tcW w:w="1447" w:type="dxa"/>
            <w:gridSpan w:val="4"/>
            <w:vMerge/>
            <w:tcBorders>
              <w:left w:val="single" w:sz="18" w:space="0" w:color="FFFFFF"/>
              <w:bottom w:val="single" w:sz="18" w:space="0" w:color="FFFFFF"/>
              <w:right w:val="single" w:sz="18" w:space="0" w:color="FFFFFF"/>
            </w:tcBorders>
            <w:shd w:val="clear" w:color="auto" w:fill="D6E3BC"/>
          </w:tcPr>
          <w:p w14:paraId="0E32A2C7" w14:textId="77777777" w:rsidR="00AE68C1" w:rsidRPr="00257F44" w:rsidRDefault="00AE68C1" w:rsidP="0084354E">
            <w:pPr>
              <w:rPr>
                <w:rFonts w:ascii="Gill Sans" w:hAnsi="Gill Sans" w:cs="Gill Sans"/>
                <w:sz w:val="22"/>
                <w:szCs w:val="22"/>
                <w:lang w:val="uk-UA"/>
              </w:rPr>
            </w:pPr>
          </w:p>
        </w:tc>
        <w:tc>
          <w:tcPr>
            <w:tcW w:w="1897" w:type="dxa"/>
            <w:gridSpan w:val="4"/>
            <w:vMerge/>
            <w:tcBorders>
              <w:left w:val="single" w:sz="18" w:space="0" w:color="FFFFFF"/>
              <w:bottom w:val="single" w:sz="18" w:space="0" w:color="FFFFFF"/>
              <w:right w:val="single" w:sz="18" w:space="0" w:color="FFFFFF"/>
            </w:tcBorders>
            <w:shd w:val="clear" w:color="auto" w:fill="FBD4B4"/>
          </w:tcPr>
          <w:p w14:paraId="479B5534" w14:textId="77777777" w:rsidR="00AE68C1" w:rsidRPr="00257F44" w:rsidRDefault="00AE68C1" w:rsidP="0084354E">
            <w:pPr>
              <w:rPr>
                <w:rFonts w:ascii="Gill Sans" w:hAnsi="Gill Sans" w:cs="Gill Sans"/>
                <w:sz w:val="22"/>
                <w:szCs w:val="22"/>
                <w:lang w:val="uk-UA"/>
              </w:rPr>
            </w:pPr>
          </w:p>
        </w:tc>
        <w:tc>
          <w:tcPr>
            <w:tcW w:w="1467" w:type="dxa"/>
            <w:gridSpan w:val="4"/>
            <w:vMerge/>
            <w:tcBorders>
              <w:left w:val="single" w:sz="18" w:space="0" w:color="FFFFFF"/>
              <w:bottom w:val="single" w:sz="18" w:space="0" w:color="FFFFFF"/>
              <w:right w:val="single" w:sz="18" w:space="0" w:color="FFFFFF"/>
            </w:tcBorders>
            <w:shd w:val="clear" w:color="auto" w:fill="CCC0D9"/>
          </w:tcPr>
          <w:p w14:paraId="2D208C7A" w14:textId="77777777" w:rsidR="00AE68C1" w:rsidRPr="00257F44" w:rsidRDefault="00AE68C1" w:rsidP="0084354E">
            <w:pPr>
              <w:rPr>
                <w:rFonts w:ascii="Gill Sans" w:hAnsi="Gill Sans" w:cs="Gill Sans"/>
                <w:sz w:val="22"/>
                <w:szCs w:val="22"/>
                <w:lang w:val="uk-UA"/>
              </w:rPr>
            </w:pPr>
          </w:p>
        </w:tc>
        <w:tc>
          <w:tcPr>
            <w:tcW w:w="959" w:type="dxa"/>
            <w:gridSpan w:val="2"/>
            <w:vMerge/>
            <w:tcBorders>
              <w:left w:val="single" w:sz="18" w:space="0" w:color="FFFFFF"/>
              <w:bottom w:val="single" w:sz="18" w:space="0" w:color="FFFFFF"/>
              <w:right w:val="single" w:sz="2" w:space="0" w:color="FFFFFF"/>
            </w:tcBorders>
            <w:shd w:val="clear" w:color="auto" w:fill="B8CCE4"/>
          </w:tcPr>
          <w:p w14:paraId="54B9DCF7" w14:textId="77777777" w:rsidR="00AE68C1" w:rsidRPr="00257F44" w:rsidRDefault="00AE68C1" w:rsidP="0084354E">
            <w:pPr>
              <w:rPr>
                <w:rFonts w:ascii="Gill Sans" w:hAnsi="Gill Sans" w:cs="Gill Sans"/>
                <w:sz w:val="22"/>
                <w:szCs w:val="22"/>
                <w:lang w:val="uk-UA"/>
              </w:rPr>
            </w:pPr>
          </w:p>
        </w:tc>
        <w:tc>
          <w:tcPr>
            <w:tcW w:w="986"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795ED5DB" w14:textId="6AE5BBC2" w:rsidR="00AE68C1" w:rsidRPr="00257F44" w:rsidRDefault="00781F39" w:rsidP="0084354E">
            <w:pPr>
              <w:rPr>
                <w:rFonts w:ascii="Gill Sans" w:hAnsi="Gill Sans" w:cs="Gill Sans"/>
                <w:sz w:val="20"/>
                <w:szCs w:val="20"/>
                <w:lang w:val="uk-UA"/>
              </w:rPr>
            </w:pPr>
            <w:r w:rsidRPr="00257F44">
              <w:rPr>
                <w:rFonts w:ascii="Gill Sans" w:hAnsi="Gill Sans" w:cs="Gill Sans"/>
                <w:sz w:val="20"/>
                <w:szCs w:val="20"/>
                <w:lang w:val="uk-UA"/>
              </w:rPr>
              <w:t>Підсум-ковий</w:t>
            </w:r>
          </w:p>
        </w:tc>
        <w:tc>
          <w:tcPr>
            <w:tcW w:w="2001" w:type="dxa"/>
            <w:gridSpan w:val="5"/>
            <w:vMerge/>
            <w:tcBorders>
              <w:left w:val="single" w:sz="18" w:space="0" w:color="FFFFFF"/>
              <w:bottom w:val="single" w:sz="18" w:space="0" w:color="FFFFFF"/>
              <w:right w:val="single" w:sz="18" w:space="0" w:color="FFFFFF"/>
            </w:tcBorders>
            <w:shd w:val="clear" w:color="auto" w:fill="D99594"/>
          </w:tcPr>
          <w:p w14:paraId="463F2280" w14:textId="77777777" w:rsidR="00AE68C1" w:rsidRPr="00257F44" w:rsidRDefault="00AE68C1" w:rsidP="0084354E">
            <w:pPr>
              <w:rPr>
                <w:rFonts w:ascii="Gill Sans" w:hAnsi="Gill Sans" w:cs="Gill Sans"/>
                <w:sz w:val="22"/>
                <w:szCs w:val="22"/>
                <w:lang w:val="uk-UA"/>
              </w:rPr>
            </w:pPr>
          </w:p>
        </w:tc>
      </w:tr>
      <w:tr w:rsidR="00781F39" w:rsidRPr="00257F44" w14:paraId="7137BE53" w14:textId="77777777" w:rsidTr="00A76D00">
        <w:trPr>
          <w:cantSplit/>
          <w:trHeight w:val="2336"/>
        </w:trPr>
        <w:tc>
          <w:tcPr>
            <w:tcW w:w="1413" w:type="dxa"/>
            <w:vMerge/>
            <w:tcBorders>
              <w:left w:val="single" w:sz="4" w:space="0" w:color="FFFFFF"/>
              <w:right w:val="single" w:sz="18" w:space="0" w:color="FFFFFF"/>
            </w:tcBorders>
            <w:shd w:val="clear" w:color="auto" w:fill="000000"/>
          </w:tcPr>
          <w:p w14:paraId="5AC05C72" w14:textId="5F96A51D" w:rsidR="00781F39" w:rsidRPr="00257F44" w:rsidRDefault="00781F39" w:rsidP="009F0B5C">
            <w:pPr>
              <w:rPr>
                <w:rFonts w:ascii="Gill Sans" w:hAnsi="Gill Sans" w:cs="Gill Sans"/>
                <w:color w:val="FFFFFF" w:themeColor="background1"/>
                <w:sz w:val="22"/>
                <w:szCs w:val="22"/>
                <w:lang w:val="uk-UA"/>
              </w:rPr>
            </w:pPr>
          </w:p>
        </w:tc>
        <w:tc>
          <w:tcPr>
            <w:tcW w:w="348"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20A76958" w14:textId="3A1A383B"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Відсутня</w:t>
            </w:r>
          </w:p>
        </w:tc>
        <w:tc>
          <w:tcPr>
            <w:tcW w:w="341"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518105F9" w14:textId="6AF34232"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Низька</w:t>
            </w:r>
          </w:p>
        </w:tc>
        <w:tc>
          <w:tcPr>
            <w:tcW w:w="341"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5DCEF35A" w14:textId="493BF3DE"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Середня</w:t>
            </w:r>
          </w:p>
        </w:tc>
        <w:tc>
          <w:tcPr>
            <w:tcW w:w="417"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675AB1FD" w14:textId="60B97601"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Висока</w:t>
            </w:r>
          </w:p>
        </w:tc>
        <w:tc>
          <w:tcPr>
            <w:tcW w:w="417"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1D6B1F23" w14:textId="497CE988"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Доступ до інформації</w:t>
            </w:r>
          </w:p>
        </w:tc>
        <w:tc>
          <w:tcPr>
            <w:tcW w:w="341"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31964E98" w14:textId="24CC5C0A"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Громадська участь</w:t>
            </w:r>
          </w:p>
        </w:tc>
        <w:tc>
          <w:tcPr>
            <w:tcW w:w="341"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6E51DEA1" w14:textId="74091CE2"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Підзвітність влади</w:t>
            </w:r>
          </w:p>
        </w:tc>
        <w:tc>
          <w:tcPr>
            <w:tcW w:w="798"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55D6B648" w14:textId="274556E9"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Технології та інновації для прозорості й підзвітності</w:t>
            </w:r>
          </w:p>
        </w:tc>
        <w:tc>
          <w:tcPr>
            <w:tcW w:w="341"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291BC24C" w14:textId="4215C581"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Жодного</w:t>
            </w:r>
          </w:p>
        </w:tc>
        <w:tc>
          <w:tcPr>
            <w:tcW w:w="376"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28F9A4CB" w14:textId="2CFE9085"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Незначний</w:t>
            </w:r>
          </w:p>
        </w:tc>
        <w:tc>
          <w:tcPr>
            <w:tcW w:w="341"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0C33C8A8" w14:textId="0805A644"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Помірний</w:t>
            </w:r>
          </w:p>
        </w:tc>
        <w:tc>
          <w:tcPr>
            <w:tcW w:w="409"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39A57E64" w14:textId="2C64A76D"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Трансформуючий</w:t>
            </w:r>
          </w:p>
        </w:tc>
        <w:tc>
          <w:tcPr>
            <w:tcW w:w="466"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1CEEA65C" w14:textId="08BC9DA3"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Не розпочато</w:t>
            </w:r>
          </w:p>
        </w:tc>
        <w:tc>
          <w:tcPr>
            <w:tcW w:w="493"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0A70DDB5" w14:textId="38E8A289"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Обмежене</w:t>
            </w:r>
          </w:p>
        </w:tc>
        <w:tc>
          <w:tcPr>
            <w:tcW w:w="417"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26F62AC5" w14:textId="34A9DB57"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Значне</w:t>
            </w:r>
          </w:p>
        </w:tc>
        <w:tc>
          <w:tcPr>
            <w:tcW w:w="569"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4CD37C04" w14:textId="6DD94CE3"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Повне</w:t>
            </w:r>
          </w:p>
        </w:tc>
        <w:tc>
          <w:tcPr>
            <w:tcW w:w="341"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684984FC" w14:textId="570A0C2D"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Погіршило</w:t>
            </w:r>
          </w:p>
        </w:tc>
        <w:tc>
          <w:tcPr>
            <w:tcW w:w="417"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677FA816" w14:textId="120E29C1"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Не змінило</w:t>
            </w:r>
          </w:p>
        </w:tc>
        <w:tc>
          <w:tcPr>
            <w:tcW w:w="38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27604D74" w14:textId="62B79E90"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Обмежено</w:t>
            </w:r>
          </w:p>
        </w:tc>
        <w:tc>
          <w:tcPr>
            <w:tcW w:w="44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4881F7A" w14:textId="0B4B9935"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Значною мірою</w:t>
            </w:r>
          </w:p>
        </w:tc>
        <w:tc>
          <w:tcPr>
            <w:tcW w:w="419"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652C57F8" w14:textId="58DA5AE3" w:rsidR="00781F39" w:rsidRPr="00257F44" w:rsidRDefault="00781F39" w:rsidP="0084354E">
            <w:pPr>
              <w:rPr>
                <w:rFonts w:ascii="Gill Sans" w:hAnsi="Gill Sans" w:cs="Gill Sans"/>
                <w:sz w:val="22"/>
                <w:szCs w:val="22"/>
                <w:lang w:val="uk-UA"/>
              </w:rPr>
            </w:pPr>
            <w:r w:rsidRPr="00257F44">
              <w:rPr>
                <w:rFonts w:ascii="Gill Sans" w:hAnsi="Gill Sans" w:cs="Gill Sans"/>
                <w:sz w:val="20"/>
                <w:szCs w:val="20"/>
                <w:lang w:val="uk-UA"/>
              </w:rPr>
              <w:t>Визначною мірою</w:t>
            </w:r>
          </w:p>
        </w:tc>
      </w:tr>
      <w:tr w:rsidR="00AE68C1" w:rsidRPr="00257F44" w14:paraId="2AC10A8C" w14:textId="77777777" w:rsidTr="00B223BA">
        <w:trPr>
          <w:trHeight w:val="340"/>
        </w:trPr>
        <w:tc>
          <w:tcPr>
            <w:tcW w:w="1413" w:type="dxa"/>
            <w:vMerge/>
            <w:tcBorders>
              <w:left w:val="single" w:sz="4" w:space="0" w:color="FFFFFF"/>
              <w:right w:val="single" w:sz="18" w:space="0" w:color="FFFFFF"/>
            </w:tcBorders>
            <w:shd w:val="clear" w:color="auto" w:fill="000000"/>
          </w:tcPr>
          <w:p w14:paraId="028D7250" w14:textId="740B59F4" w:rsidR="00AE68C1" w:rsidRPr="00257F44" w:rsidRDefault="00AE68C1" w:rsidP="009F0B5C">
            <w:pPr>
              <w:rPr>
                <w:rFonts w:ascii="Gill Sans" w:hAnsi="Gill Sans" w:cs="Gill Sans"/>
                <w:noProof/>
                <w:color w:val="FFFFFF" w:themeColor="background1"/>
                <w:sz w:val="22"/>
                <w:szCs w:val="22"/>
                <w:lang w:val="uk-UA"/>
              </w:rPr>
            </w:pPr>
          </w:p>
        </w:tc>
        <w:tc>
          <w:tcPr>
            <w:tcW w:w="348" w:type="dxa"/>
            <w:vMerge w:val="restart"/>
            <w:tcBorders>
              <w:top w:val="single" w:sz="18" w:space="0" w:color="FFFFFF"/>
              <w:left w:val="single" w:sz="18" w:space="0" w:color="FFFFFF"/>
              <w:right w:val="single" w:sz="2" w:space="0" w:color="FFFFFF"/>
            </w:tcBorders>
            <w:shd w:val="clear" w:color="auto" w:fill="D6E3BC"/>
          </w:tcPr>
          <w:p w14:paraId="076719CB" w14:textId="77777777" w:rsidR="00AE68C1" w:rsidRPr="00257F44" w:rsidRDefault="00AE68C1" w:rsidP="0084354E">
            <w:pPr>
              <w:jc w:val="center"/>
              <w:rPr>
                <w:rFonts w:ascii="Gill Sans" w:hAnsi="Gill Sans" w:cs="Gill Sans"/>
                <w:sz w:val="22"/>
                <w:szCs w:val="22"/>
                <w:lang w:val="uk-UA"/>
              </w:rPr>
            </w:pPr>
          </w:p>
        </w:tc>
        <w:tc>
          <w:tcPr>
            <w:tcW w:w="341" w:type="dxa"/>
            <w:vMerge w:val="restart"/>
            <w:tcBorders>
              <w:top w:val="single" w:sz="18" w:space="0" w:color="FFFFFF"/>
              <w:left w:val="single" w:sz="2" w:space="0" w:color="FFFFFF"/>
              <w:right w:val="single" w:sz="2" w:space="0" w:color="FFFFFF"/>
            </w:tcBorders>
            <w:shd w:val="clear" w:color="auto" w:fill="D6E3BC"/>
          </w:tcPr>
          <w:p w14:paraId="1955331A" w14:textId="77777777" w:rsidR="00AE68C1" w:rsidRPr="00257F44" w:rsidRDefault="00AE68C1" w:rsidP="0084354E">
            <w:pPr>
              <w:jc w:val="center"/>
              <w:rPr>
                <w:rFonts w:ascii="Gill Sans" w:hAnsi="Gill Sans" w:cs="Gill Sans"/>
                <w:sz w:val="22"/>
                <w:szCs w:val="22"/>
                <w:lang w:val="uk-UA"/>
              </w:rPr>
            </w:pPr>
          </w:p>
        </w:tc>
        <w:tc>
          <w:tcPr>
            <w:tcW w:w="341" w:type="dxa"/>
            <w:vMerge w:val="restart"/>
            <w:tcBorders>
              <w:top w:val="single" w:sz="18" w:space="0" w:color="FFFFFF"/>
              <w:left w:val="single" w:sz="2" w:space="0" w:color="FFFFFF"/>
              <w:right w:val="single" w:sz="2" w:space="0" w:color="FFFFFF"/>
            </w:tcBorders>
            <w:shd w:val="clear" w:color="auto" w:fill="D6E3BC"/>
          </w:tcPr>
          <w:p w14:paraId="7496394F" w14:textId="77777777" w:rsidR="00AE68C1" w:rsidRPr="00257F44" w:rsidRDefault="00AE68C1" w:rsidP="0084354E">
            <w:pPr>
              <w:jc w:val="center"/>
              <w:rPr>
                <w:rFonts w:ascii="Gill Sans" w:hAnsi="Gill Sans" w:cs="Gill Sans"/>
                <w:sz w:val="22"/>
                <w:szCs w:val="22"/>
                <w:lang w:val="uk-UA"/>
              </w:rPr>
            </w:pPr>
          </w:p>
        </w:tc>
        <w:tc>
          <w:tcPr>
            <w:tcW w:w="417" w:type="dxa"/>
            <w:vMerge w:val="restart"/>
            <w:tcBorders>
              <w:top w:val="single" w:sz="18" w:space="0" w:color="FFFFFF"/>
              <w:left w:val="single" w:sz="2" w:space="0" w:color="FFFFFF"/>
              <w:right w:val="single" w:sz="18" w:space="0" w:color="FFFFFF"/>
            </w:tcBorders>
            <w:shd w:val="clear" w:color="auto" w:fill="D6E3BC"/>
          </w:tcPr>
          <w:p w14:paraId="42218A97" w14:textId="77777777" w:rsidR="00AE68C1" w:rsidRPr="00257F44" w:rsidRDefault="00AE68C1" w:rsidP="0084354E">
            <w:pPr>
              <w:jc w:val="cente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417" w:type="dxa"/>
            <w:vMerge w:val="restart"/>
            <w:tcBorders>
              <w:top w:val="single" w:sz="18" w:space="0" w:color="FFFFFF"/>
              <w:left w:val="single" w:sz="2" w:space="0" w:color="FFFFFF"/>
              <w:right w:val="single" w:sz="2" w:space="0" w:color="FFFFFF"/>
            </w:tcBorders>
            <w:shd w:val="clear" w:color="auto" w:fill="FBD4B4"/>
          </w:tcPr>
          <w:p w14:paraId="1BCEA0E5" w14:textId="103A0C55" w:rsidR="00AE68C1" w:rsidRPr="00257F44" w:rsidRDefault="00AE68C1" w:rsidP="0084354E">
            <w:pPr>
              <w:jc w:val="cente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41" w:type="dxa"/>
            <w:vMerge w:val="restart"/>
            <w:tcBorders>
              <w:top w:val="single" w:sz="18" w:space="0" w:color="FFFFFF"/>
              <w:left w:val="single" w:sz="2" w:space="0" w:color="FFFFFF"/>
              <w:right w:val="single" w:sz="2" w:space="0" w:color="FFFFFF"/>
            </w:tcBorders>
            <w:shd w:val="clear" w:color="auto" w:fill="FBD4B4"/>
          </w:tcPr>
          <w:p w14:paraId="60FF2318" w14:textId="0C96AAA8" w:rsidR="00AE68C1" w:rsidRPr="00257F44" w:rsidRDefault="00AE68C1" w:rsidP="0084354E">
            <w:pPr>
              <w:jc w:val="center"/>
              <w:rPr>
                <w:rFonts w:ascii="Zapf Dingbats" w:hAnsi="Zapf Dingbats" w:cs="Gill Sans"/>
                <w:noProof/>
                <w:sz w:val="22"/>
                <w:szCs w:val="22"/>
                <w:lang w:val="uk-UA"/>
              </w:rPr>
            </w:pPr>
          </w:p>
        </w:tc>
        <w:tc>
          <w:tcPr>
            <w:tcW w:w="341" w:type="dxa"/>
            <w:vMerge w:val="restart"/>
            <w:tcBorders>
              <w:top w:val="single" w:sz="18" w:space="0" w:color="FFFFFF"/>
              <w:left w:val="single" w:sz="2" w:space="0" w:color="FFFFFF"/>
              <w:right w:val="single" w:sz="2" w:space="0" w:color="FFFFFF"/>
            </w:tcBorders>
            <w:shd w:val="clear" w:color="auto" w:fill="FBD4B4"/>
          </w:tcPr>
          <w:p w14:paraId="36F22882" w14:textId="2999CE93" w:rsidR="00AE68C1" w:rsidRPr="00257F44" w:rsidRDefault="00AE68C1" w:rsidP="0084354E">
            <w:pPr>
              <w:jc w:val="cente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798" w:type="dxa"/>
            <w:vMerge w:val="restart"/>
            <w:tcBorders>
              <w:top w:val="single" w:sz="18" w:space="0" w:color="FFFFFF"/>
              <w:left w:val="single" w:sz="2" w:space="0" w:color="FFFFFF"/>
              <w:right w:val="single" w:sz="18" w:space="0" w:color="FFFFFF"/>
            </w:tcBorders>
            <w:shd w:val="clear" w:color="auto" w:fill="FBD4B4"/>
          </w:tcPr>
          <w:p w14:paraId="0308E670" w14:textId="77777777" w:rsidR="00AE68C1" w:rsidRPr="00257F44" w:rsidRDefault="00AE68C1" w:rsidP="0084354E">
            <w:pPr>
              <w:jc w:val="cente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41" w:type="dxa"/>
            <w:vMerge w:val="restart"/>
            <w:tcBorders>
              <w:top w:val="single" w:sz="18" w:space="0" w:color="FFFFFF"/>
              <w:left w:val="single" w:sz="18" w:space="0" w:color="FFFFFF"/>
              <w:right w:val="single" w:sz="2" w:space="0" w:color="FFFFFF"/>
            </w:tcBorders>
            <w:shd w:val="clear" w:color="auto" w:fill="CCC0D9"/>
          </w:tcPr>
          <w:p w14:paraId="077CF6B0" w14:textId="77777777" w:rsidR="00AE68C1" w:rsidRPr="00257F44" w:rsidRDefault="00AE68C1" w:rsidP="0084354E">
            <w:pPr>
              <w:jc w:val="center"/>
              <w:rPr>
                <w:rFonts w:ascii="Zapf Dingbats" w:hAnsi="Zapf Dingbats" w:cs="Gill Sans"/>
                <w:sz w:val="22"/>
                <w:szCs w:val="22"/>
                <w:lang w:val="uk-UA"/>
              </w:rPr>
            </w:pPr>
          </w:p>
        </w:tc>
        <w:tc>
          <w:tcPr>
            <w:tcW w:w="376" w:type="dxa"/>
            <w:vMerge w:val="restart"/>
            <w:tcBorders>
              <w:top w:val="single" w:sz="18" w:space="0" w:color="FFFFFF"/>
              <w:left w:val="single" w:sz="2" w:space="0" w:color="FFFFFF"/>
              <w:right w:val="single" w:sz="2" w:space="0" w:color="FFFFFF"/>
            </w:tcBorders>
            <w:shd w:val="clear" w:color="auto" w:fill="CCC0D9"/>
          </w:tcPr>
          <w:p w14:paraId="6010608E" w14:textId="0EBDFCD9" w:rsidR="00AE68C1" w:rsidRPr="00257F44" w:rsidRDefault="00AE68C1" w:rsidP="0084354E">
            <w:pPr>
              <w:jc w:val="center"/>
              <w:rPr>
                <w:rFonts w:ascii="Zapf Dingbats" w:hAnsi="Zapf Dingbats" w:cs="Gill Sans"/>
                <w:sz w:val="22"/>
                <w:szCs w:val="22"/>
                <w:lang w:val="uk-UA"/>
              </w:rPr>
            </w:pPr>
          </w:p>
        </w:tc>
        <w:tc>
          <w:tcPr>
            <w:tcW w:w="341" w:type="dxa"/>
            <w:vMerge w:val="restart"/>
            <w:tcBorders>
              <w:top w:val="single" w:sz="18" w:space="0" w:color="FFFFFF"/>
              <w:left w:val="single" w:sz="2" w:space="0" w:color="FFFFFF"/>
              <w:right w:val="single" w:sz="2" w:space="0" w:color="FFFFFF"/>
            </w:tcBorders>
            <w:shd w:val="clear" w:color="auto" w:fill="CCC0D9"/>
          </w:tcPr>
          <w:p w14:paraId="6F551545" w14:textId="04ECE29B" w:rsidR="00AE68C1" w:rsidRPr="00257F44" w:rsidRDefault="00AE68C1" w:rsidP="0084354E">
            <w:pPr>
              <w:jc w:val="center"/>
              <w:rPr>
                <w:rFonts w:ascii="Zapf Dingbats" w:hAnsi="Zapf Dingbats" w:cs="Gill Sans"/>
                <w:noProof/>
                <w:sz w:val="22"/>
                <w:szCs w:val="22"/>
                <w:lang w:val="uk-UA"/>
              </w:rPr>
            </w:pPr>
            <w:r w:rsidRPr="00257F44">
              <w:rPr>
                <w:rFonts w:ascii="Zapf Dingbats" w:eastAsia="MS Mincho" w:hAnsi="Zapf Dingbats" w:cs="MS Mincho"/>
                <w:noProof/>
                <w:sz w:val="22"/>
                <w:szCs w:val="22"/>
                <w:lang w:val="uk-UA"/>
              </w:rPr>
              <w:t>✔</w:t>
            </w:r>
          </w:p>
        </w:tc>
        <w:tc>
          <w:tcPr>
            <w:tcW w:w="409" w:type="dxa"/>
            <w:vMerge w:val="restart"/>
            <w:tcBorders>
              <w:top w:val="single" w:sz="18" w:space="0" w:color="FFFFFF"/>
              <w:left w:val="single" w:sz="2" w:space="0" w:color="FFFFFF"/>
              <w:right w:val="single" w:sz="18" w:space="0" w:color="FFFFFF"/>
            </w:tcBorders>
            <w:shd w:val="clear" w:color="auto" w:fill="CCC0D9"/>
          </w:tcPr>
          <w:p w14:paraId="2E1DE5FD" w14:textId="77777777" w:rsidR="00AE68C1" w:rsidRPr="00257F44" w:rsidRDefault="00AE68C1" w:rsidP="0084354E">
            <w:pPr>
              <w:jc w:val="center"/>
              <w:rPr>
                <w:rFonts w:ascii="Zapf Dingbats" w:hAnsi="Zapf Dingbats" w:cs="Gill Sans"/>
                <w:sz w:val="22"/>
                <w:szCs w:val="22"/>
                <w:lang w:val="uk-UA"/>
              </w:rPr>
            </w:pPr>
          </w:p>
        </w:tc>
        <w:tc>
          <w:tcPr>
            <w:tcW w:w="466" w:type="dxa"/>
            <w:tcBorders>
              <w:top w:val="single" w:sz="18" w:space="0" w:color="FFFFFF"/>
              <w:left w:val="single" w:sz="18" w:space="0" w:color="FFFFFF"/>
              <w:bottom w:val="single" w:sz="8" w:space="0" w:color="FFFFFF" w:themeColor="background1"/>
              <w:right w:val="single" w:sz="4" w:space="0" w:color="FFFFFF" w:themeColor="background1"/>
            </w:tcBorders>
            <w:shd w:val="clear" w:color="auto" w:fill="B8CCE4"/>
          </w:tcPr>
          <w:p w14:paraId="4C0CE05E" w14:textId="77777777" w:rsidR="00AE68C1" w:rsidRPr="00257F44" w:rsidRDefault="00AE68C1" w:rsidP="0084354E">
            <w:pPr>
              <w:jc w:val="center"/>
              <w:rPr>
                <w:rFonts w:ascii="Zapf Dingbats" w:hAnsi="Zapf Dingbats" w:cs="Gill Sans"/>
                <w:sz w:val="22"/>
                <w:szCs w:val="22"/>
                <w:lang w:val="uk-UA"/>
              </w:rPr>
            </w:pPr>
          </w:p>
        </w:tc>
        <w:tc>
          <w:tcPr>
            <w:tcW w:w="493"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25085E9A" w14:textId="77777777" w:rsidR="00AE68C1" w:rsidRPr="00257F44" w:rsidRDefault="00AE68C1" w:rsidP="0084354E">
            <w:pPr>
              <w:jc w:val="center"/>
              <w:rPr>
                <w:rFonts w:ascii="Zapf Dingbats" w:hAnsi="Zapf Dingbats" w:cs="Gill Sans"/>
                <w:sz w:val="22"/>
                <w:szCs w:val="22"/>
                <w:lang w:val="uk-UA"/>
              </w:rPr>
            </w:pPr>
          </w:p>
        </w:tc>
        <w:tc>
          <w:tcPr>
            <w:tcW w:w="417" w:type="dxa"/>
            <w:tcBorders>
              <w:top w:val="single" w:sz="18" w:space="0" w:color="FFFFFF"/>
              <w:left w:val="single" w:sz="4" w:space="0" w:color="FFFFFF" w:themeColor="background1"/>
              <w:bottom w:val="single" w:sz="8" w:space="0" w:color="FFFFFF" w:themeColor="background1"/>
              <w:right w:val="single" w:sz="4" w:space="0" w:color="FFFFFF" w:themeColor="background1"/>
            </w:tcBorders>
            <w:shd w:val="clear" w:color="auto" w:fill="B8CCE4"/>
          </w:tcPr>
          <w:p w14:paraId="4D21F55D" w14:textId="30493619" w:rsidR="00AE68C1" w:rsidRPr="00257F44" w:rsidRDefault="00AE68C1" w:rsidP="0084354E">
            <w:pPr>
              <w:jc w:val="center"/>
              <w:rPr>
                <w:rFonts w:ascii="Zapf Dingbats" w:hAnsi="Zapf Dingbats" w:cs="Gill Sans"/>
                <w:sz w:val="22"/>
                <w:szCs w:val="22"/>
                <w:lang w:val="uk-UA"/>
              </w:rPr>
            </w:pPr>
          </w:p>
        </w:tc>
        <w:tc>
          <w:tcPr>
            <w:tcW w:w="569" w:type="dxa"/>
            <w:tcBorders>
              <w:top w:val="single" w:sz="18" w:space="0" w:color="FFFFFF"/>
              <w:left w:val="single" w:sz="4" w:space="0" w:color="FFFFFF" w:themeColor="background1"/>
              <w:bottom w:val="single" w:sz="8" w:space="0" w:color="FFFFFF" w:themeColor="background1"/>
              <w:right w:val="single" w:sz="18" w:space="0" w:color="FFFFFF"/>
            </w:tcBorders>
            <w:shd w:val="clear" w:color="auto" w:fill="B8CCE4"/>
          </w:tcPr>
          <w:p w14:paraId="2ACECC33" w14:textId="3B662025" w:rsidR="00AE68C1" w:rsidRPr="00257F44" w:rsidRDefault="00AE68C1" w:rsidP="0084354E">
            <w:pPr>
              <w:jc w:val="cente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41" w:type="dxa"/>
            <w:vMerge w:val="restart"/>
            <w:tcBorders>
              <w:top w:val="single" w:sz="18" w:space="0" w:color="FFFFFF"/>
              <w:left w:val="single" w:sz="18" w:space="0" w:color="FFFFFF"/>
              <w:right w:val="single" w:sz="2" w:space="0" w:color="FFFFFF"/>
            </w:tcBorders>
            <w:shd w:val="clear" w:color="auto" w:fill="D99594"/>
          </w:tcPr>
          <w:p w14:paraId="5A7C8B14" w14:textId="77777777" w:rsidR="00AE68C1" w:rsidRPr="00257F44" w:rsidRDefault="00AE68C1" w:rsidP="0084354E">
            <w:pPr>
              <w:jc w:val="center"/>
              <w:rPr>
                <w:rFonts w:ascii="Gill Sans" w:hAnsi="Gill Sans" w:cs="Gill Sans"/>
                <w:sz w:val="22"/>
                <w:szCs w:val="22"/>
                <w:lang w:val="uk-UA"/>
              </w:rPr>
            </w:pPr>
          </w:p>
        </w:tc>
        <w:tc>
          <w:tcPr>
            <w:tcW w:w="417" w:type="dxa"/>
            <w:vMerge w:val="restart"/>
            <w:tcBorders>
              <w:top w:val="single" w:sz="18" w:space="0" w:color="FFFFFF"/>
              <w:left w:val="single" w:sz="2" w:space="0" w:color="FFFFFF"/>
              <w:right w:val="single" w:sz="2" w:space="0" w:color="FFFFFF"/>
            </w:tcBorders>
            <w:shd w:val="clear" w:color="auto" w:fill="D99594"/>
          </w:tcPr>
          <w:p w14:paraId="76F07433" w14:textId="77777777" w:rsidR="00AE68C1" w:rsidRPr="00257F44" w:rsidRDefault="00AE68C1" w:rsidP="0084354E">
            <w:pPr>
              <w:jc w:val="center"/>
              <w:rPr>
                <w:rFonts w:ascii="Gill Sans" w:hAnsi="Gill Sans" w:cs="Gill Sans"/>
                <w:sz w:val="22"/>
                <w:szCs w:val="22"/>
                <w:lang w:val="uk-UA"/>
              </w:rPr>
            </w:pPr>
          </w:p>
        </w:tc>
        <w:tc>
          <w:tcPr>
            <w:tcW w:w="382" w:type="dxa"/>
            <w:vMerge w:val="restart"/>
            <w:tcBorders>
              <w:top w:val="single" w:sz="18" w:space="0" w:color="FFFFFF"/>
              <w:left w:val="single" w:sz="2" w:space="0" w:color="FFFFFF"/>
              <w:right w:val="single" w:sz="2" w:space="0" w:color="FFFFFF"/>
            </w:tcBorders>
            <w:shd w:val="clear" w:color="auto" w:fill="D99594"/>
          </w:tcPr>
          <w:p w14:paraId="01A6C4FD" w14:textId="77777777" w:rsidR="00AE68C1" w:rsidRPr="00257F44" w:rsidRDefault="00AE68C1" w:rsidP="0084354E">
            <w:pPr>
              <w:jc w:val="center"/>
              <w:rPr>
                <w:rFonts w:ascii="Gill Sans" w:hAnsi="Gill Sans" w:cs="Gill Sans"/>
                <w:sz w:val="22"/>
                <w:szCs w:val="22"/>
                <w:lang w:val="uk-UA"/>
              </w:rPr>
            </w:pPr>
          </w:p>
        </w:tc>
        <w:tc>
          <w:tcPr>
            <w:tcW w:w="442" w:type="dxa"/>
            <w:vMerge w:val="restart"/>
            <w:tcBorders>
              <w:top w:val="single" w:sz="18" w:space="0" w:color="FFFFFF"/>
              <w:left w:val="single" w:sz="2" w:space="0" w:color="FFFFFF"/>
              <w:right w:val="single" w:sz="2" w:space="0" w:color="FFFFFF"/>
            </w:tcBorders>
            <w:shd w:val="clear" w:color="auto" w:fill="D99594"/>
          </w:tcPr>
          <w:p w14:paraId="75DFC625" w14:textId="57EBF612" w:rsidR="00AE68C1" w:rsidRPr="00257F44" w:rsidRDefault="00AE68C1" w:rsidP="0084354E">
            <w:pPr>
              <w:jc w:val="center"/>
              <w:rPr>
                <w:rFonts w:ascii="Gill Sans" w:hAnsi="Gill Sans" w:cs="Gill Sans"/>
                <w:noProof/>
                <w:sz w:val="22"/>
                <w:szCs w:val="22"/>
                <w:lang w:val="uk-UA"/>
              </w:rPr>
            </w:pPr>
            <w:r w:rsidRPr="00257F44">
              <w:rPr>
                <w:rFonts w:ascii="Zapf Dingbats" w:eastAsia="MS Mincho" w:hAnsi="Zapf Dingbats" w:cs="MS Mincho"/>
                <w:noProof/>
                <w:sz w:val="22"/>
                <w:szCs w:val="22"/>
                <w:lang w:val="uk-UA"/>
              </w:rPr>
              <w:t>✔</w:t>
            </w:r>
          </w:p>
        </w:tc>
        <w:tc>
          <w:tcPr>
            <w:tcW w:w="419" w:type="dxa"/>
            <w:vMerge w:val="restart"/>
            <w:tcBorders>
              <w:top w:val="single" w:sz="18" w:space="0" w:color="FFFFFF"/>
              <w:left w:val="single" w:sz="2" w:space="0" w:color="FFFFFF"/>
              <w:right w:val="single" w:sz="18" w:space="0" w:color="FFFFFF"/>
            </w:tcBorders>
            <w:shd w:val="clear" w:color="auto" w:fill="D99594"/>
          </w:tcPr>
          <w:p w14:paraId="24C1680A" w14:textId="124BE716" w:rsidR="00AE68C1" w:rsidRPr="00257F44" w:rsidRDefault="00AE68C1" w:rsidP="009F0B5C">
            <w:pPr>
              <w:rPr>
                <w:rFonts w:ascii="Gill Sans" w:hAnsi="Gill Sans" w:cs="Gill Sans"/>
                <w:b/>
                <w:sz w:val="22"/>
                <w:szCs w:val="22"/>
                <w:lang w:val="uk-UA"/>
              </w:rPr>
            </w:pPr>
          </w:p>
        </w:tc>
      </w:tr>
      <w:tr w:rsidR="00AE68C1" w:rsidRPr="00257F44" w14:paraId="29C972E3" w14:textId="77777777" w:rsidTr="00B223BA">
        <w:trPr>
          <w:trHeight w:val="340"/>
        </w:trPr>
        <w:tc>
          <w:tcPr>
            <w:tcW w:w="1413" w:type="dxa"/>
            <w:vMerge/>
            <w:tcBorders>
              <w:left w:val="single" w:sz="4" w:space="0" w:color="FFFFFF"/>
              <w:right w:val="single" w:sz="18" w:space="0" w:color="FFFFFF"/>
            </w:tcBorders>
            <w:shd w:val="clear" w:color="auto" w:fill="000000"/>
          </w:tcPr>
          <w:p w14:paraId="4ABE5834" w14:textId="77777777" w:rsidR="00AE68C1" w:rsidRPr="00257F44" w:rsidRDefault="00AE68C1" w:rsidP="0084354E">
            <w:pPr>
              <w:rPr>
                <w:rFonts w:ascii="Gill Sans" w:hAnsi="Gill Sans" w:cs="Gill Sans"/>
                <w:color w:val="FFFFFF" w:themeColor="background1"/>
                <w:sz w:val="22"/>
                <w:szCs w:val="22"/>
                <w:lang w:val="uk-UA"/>
              </w:rPr>
            </w:pPr>
          </w:p>
        </w:tc>
        <w:tc>
          <w:tcPr>
            <w:tcW w:w="348" w:type="dxa"/>
            <w:vMerge/>
            <w:tcBorders>
              <w:left w:val="single" w:sz="18" w:space="0" w:color="FFFFFF"/>
              <w:right w:val="single" w:sz="2" w:space="0" w:color="FFFFFF"/>
            </w:tcBorders>
            <w:shd w:val="clear" w:color="auto" w:fill="D6E3BC"/>
          </w:tcPr>
          <w:p w14:paraId="034A9757" w14:textId="77777777" w:rsidR="00AE68C1" w:rsidRPr="00257F44" w:rsidRDefault="00AE68C1" w:rsidP="0084354E">
            <w:pPr>
              <w:rPr>
                <w:rFonts w:ascii="Gill Sans" w:hAnsi="Gill Sans" w:cs="Gill Sans"/>
                <w:sz w:val="22"/>
                <w:szCs w:val="22"/>
                <w:lang w:val="uk-UA"/>
              </w:rPr>
            </w:pPr>
          </w:p>
        </w:tc>
        <w:tc>
          <w:tcPr>
            <w:tcW w:w="341" w:type="dxa"/>
            <w:vMerge/>
            <w:tcBorders>
              <w:left w:val="single" w:sz="2" w:space="0" w:color="FFFFFF"/>
              <w:right w:val="single" w:sz="2" w:space="0" w:color="FFFFFF"/>
            </w:tcBorders>
            <w:shd w:val="clear" w:color="auto" w:fill="D6E3BC"/>
          </w:tcPr>
          <w:p w14:paraId="5F9C8CEA" w14:textId="77777777" w:rsidR="00AE68C1" w:rsidRPr="00257F44" w:rsidRDefault="00AE68C1" w:rsidP="0084354E">
            <w:pPr>
              <w:rPr>
                <w:rFonts w:ascii="Gill Sans" w:hAnsi="Gill Sans" w:cs="Gill Sans"/>
                <w:sz w:val="22"/>
                <w:szCs w:val="22"/>
                <w:lang w:val="uk-UA"/>
              </w:rPr>
            </w:pPr>
          </w:p>
        </w:tc>
        <w:tc>
          <w:tcPr>
            <w:tcW w:w="341" w:type="dxa"/>
            <w:vMerge/>
            <w:tcBorders>
              <w:left w:val="single" w:sz="2" w:space="0" w:color="FFFFFF"/>
              <w:right w:val="single" w:sz="2" w:space="0" w:color="FFFFFF"/>
            </w:tcBorders>
            <w:shd w:val="clear" w:color="auto" w:fill="D6E3BC"/>
          </w:tcPr>
          <w:p w14:paraId="13D6E293" w14:textId="77777777" w:rsidR="00AE68C1" w:rsidRPr="00257F44" w:rsidRDefault="00AE68C1" w:rsidP="0084354E">
            <w:pPr>
              <w:rPr>
                <w:rFonts w:ascii="Gill Sans" w:hAnsi="Gill Sans" w:cs="Gill Sans"/>
                <w:sz w:val="22"/>
                <w:szCs w:val="22"/>
                <w:lang w:val="uk-UA"/>
              </w:rPr>
            </w:pPr>
          </w:p>
        </w:tc>
        <w:tc>
          <w:tcPr>
            <w:tcW w:w="417" w:type="dxa"/>
            <w:vMerge/>
            <w:tcBorders>
              <w:left w:val="single" w:sz="2" w:space="0" w:color="FFFFFF"/>
              <w:right w:val="single" w:sz="18" w:space="0" w:color="FFFFFF"/>
            </w:tcBorders>
            <w:shd w:val="clear" w:color="auto" w:fill="D6E3BC"/>
          </w:tcPr>
          <w:p w14:paraId="35BEEBA8" w14:textId="77777777" w:rsidR="00AE68C1" w:rsidRPr="00257F44" w:rsidRDefault="00AE68C1" w:rsidP="0084354E">
            <w:pPr>
              <w:rPr>
                <w:rFonts w:ascii="Zapf Dingbats" w:hAnsi="Zapf Dingbats" w:cs="Gill Sans"/>
                <w:noProof/>
                <w:sz w:val="22"/>
                <w:szCs w:val="22"/>
                <w:lang w:val="uk-UA"/>
              </w:rPr>
            </w:pPr>
          </w:p>
        </w:tc>
        <w:tc>
          <w:tcPr>
            <w:tcW w:w="417" w:type="dxa"/>
            <w:vMerge/>
            <w:tcBorders>
              <w:left w:val="single" w:sz="2" w:space="0" w:color="FFFFFF"/>
              <w:right w:val="single" w:sz="2" w:space="0" w:color="FFFFFF"/>
            </w:tcBorders>
            <w:shd w:val="clear" w:color="auto" w:fill="FBD4B4"/>
          </w:tcPr>
          <w:p w14:paraId="78636618" w14:textId="77777777" w:rsidR="00AE68C1" w:rsidRPr="00257F44" w:rsidRDefault="00AE68C1" w:rsidP="0084354E">
            <w:pPr>
              <w:rPr>
                <w:rFonts w:ascii="Zapf Dingbats" w:hAnsi="Zapf Dingbats" w:cs="Gill Sans"/>
                <w:sz w:val="22"/>
                <w:szCs w:val="22"/>
                <w:lang w:val="uk-UA"/>
              </w:rPr>
            </w:pPr>
          </w:p>
        </w:tc>
        <w:tc>
          <w:tcPr>
            <w:tcW w:w="341" w:type="dxa"/>
            <w:vMerge/>
            <w:tcBorders>
              <w:left w:val="single" w:sz="2" w:space="0" w:color="FFFFFF"/>
              <w:right w:val="single" w:sz="2" w:space="0" w:color="FFFFFF"/>
            </w:tcBorders>
            <w:shd w:val="clear" w:color="auto" w:fill="FBD4B4"/>
          </w:tcPr>
          <w:p w14:paraId="18508D4C" w14:textId="77777777" w:rsidR="00AE68C1" w:rsidRPr="00257F44" w:rsidRDefault="00AE68C1" w:rsidP="0084354E">
            <w:pPr>
              <w:rPr>
                <w:rFonts w:ascii="Zapf Dingbats" w:hAnsi="Zapf Dingbats" w:cs="Gill Sans"/>
                <w:noProof/>
                <w:sz w:val="22"/>
                <w:szCs w:val="22"/>
                <w:lang w:val="uk-UA"/>
              </w:rPr>
            </w:pPr>
          </w:p>
        </w:tc>
        <w:tc>
          <w:tcPr>
            <w:tcW w:w="341" w:type="dxa"/>
            <w:vMerge/>
            <w:tcBorders>
              <w:left w:val="single" w:sz="2" w:space="0" w:color="FFFFFF"/>
              <w:right w:val="single" w:sz="2" w:space="0" w:color="FFFFFF"/>
            </w:tcBorders>
            <w:shd w:val="clear" w:color="auto" w:fill="FBD4B4"/>
          </w:tcPr>
          <w:p w14:paraId="654969B5" w14:textId="77777777" w:rsidR="00AE68C1" w:rsidRPr="00257F44" w:rsidRDefault="00AE68C1" w:rsidP="0084354E">
            <w:pPr>
              <w:rPr>
                <w:rFonts w:ascii="Zapf Dingbats" w:hAnsi="Zapf Dingbats" w:cs="Gill Sans"/>
                <w:noProof/>
                <w:sz w:val="22"/>
                <w:szCs w:val="22"/>
                <w:lang w:val="uk-UA"/>
              </w:rPr>
            </w:pPr>
          </w:p>
        </w:tc>
        <w:tc>
          <w:tcPr>
            <w:tcW w:w="798" w:type="dxa"/>
            <w:vMerge/>
            <w:tcBorders>
              <w:left w:val="single" w:sz="2" w:space="0" w:color="FFFFFF"/>
              <w:right w:val="single" w:sz="18" w:space="0" w:color="FFFFFF"/>
            </w:tcBorders>
            <w:shd w:val="clear" w:color="auto" w:fill="FBD4B4"/>
          </w:tcPr>
          <w:p w14:paraId="4C69416F" w14:textId="77777777" w:rsidR="00AE68C1" w:rsidRPr="00257F44" w:rsidRDefault="00AE68C1" w:rsidP="0084354E">
            <w:pPr>
              <w:rPr>
                <w:rFonts w:ascii="Zapf Dingbats" w:hAnsi="Zapf Dingbats" w:cs="Gill Sans"/>
                <w:sz w:val="22"/>
                <w:szCs w:val="22"/>
                <w:lang w:val="uk-UA"/>
              </w:rPr>
            </w:pPr>
          </w:p>
        </w:tc>
        <w:tc>
          <w:tcPr>
            <w:tcW w:w="341" w:type="dxa"/>
            <w:vMerge/>
            <w:tcBorders>
              <w:left w:val="single" w:sz="18" w:space="0" w:color="FFFFFF"/>
              <w:right w:val="single" w:sz="2" w:space="0" w:color="FFFFFF"/>
            </w:tcBorders>
            <w:shd w:val="clear" w:color="auto" w:fill="CCC0D9"/>
          </w:tcPr>
          <w:p w14:paraId="7D0022C0" w14:textId="77777777" w:rsidR="00AE68C1" w:rsidRPr="00257F44" w:rsidRDefault="00AE68C1" w:rsidP="0084354E">
            <w:pPr>
              <w:rPr>
                <w:rFonts w:ascii="Zapf Dingbats" w:hAnsi="Zapf Dingbats" w:cs="Gill Sans"/>
                <w:sz w:val="22"/>
                <w:szCs w:val="22"/>
                <w:lang w:val="uk-UA"/>
              </w:rPr>
            </w:pPr>
          </w:p>
        </w:tc>
        <w:tc>
          <w:tcPr>
            <w:tcW w:w="376" w:type="dxa"/>
            <w:vMerge/>
            <w:tcBorders>
              <w:left w:val="single" w:sz="2" w:space="0" w:color="FFFFFF"/>
              <w:right w:val="single" w:sz="2" w:space="0" w:color="FFFFFF"/>
            </w:tcBorders>
            <w:shd w:val="clear" w:color="auto" w:fill="CCC0D9"/>
          </w:tcPr>
          <w:p w14:paraId="09422161" w14:textId="77777777" w:rsidR="00AE68C1" w:rsidRPr="00257F44" w:rsidRDefault="00AE68C1" w:rsidP="0084354E">
            <w:pPr>
              <w:rPr>
                <w:rFonts w:ascii="Zapf Dingbats" w:hAnsi="Zapf Dingbats" w:cs="Gill Sans"/>
                <w:sz w:val="22"/>
                <w:szCs w:val="22"/>
                <w:lang w:val="uk-UA"/>
              </w:rPr>
            </w:pPr>
          </w:p>
        </w:tc>
        <w:tc>
          <w:tcPr>
            <w:tcW w:w="341" w:type="dxa"/>
            <w:vMerge/>
            <w:tcBorders>
              <w:left w:val="single" w:sz="2" w:space="0" w:color="FFFFFF"/>
              <w:right w:val="single" w:sz="2" w:space="0" w:color="FFFFFF"/>
            </w:tcBorders>
            <w:shd w:val="clear" w:color="auto" w:fill="CCC0D9"/>
          </w:tcPr>
          <w:p w14:paraId="49074301" w14:textId="77777777" w:rsidR="00AE68C1" w:rsidRPr="00257F44" w:rsidRDefault="00AE68C1" w:rsidP="0084354E">
            <w:pPr>
              <w:rPr>
                <w:rFonts w:ascii="Zapf Dingbats" w:hAnsi="Zapf Dingbats" w:cs="Gill Sans"/>
                <w:noProof/>
                <w:sz w:val="22"/>
                <w:szCs w:val="22"/>
                <w:lang w:val="uk-UA"/>
              </w:rPr>
            </w:pPr>
          </w:p>
        </w:tc>
        <w:tc>
          <w:tcPr>
            <w:tcW w:w="409" w:type="dxa"/>
            <w:vMerge/>
            <w:tcBorders>
              <w:left w:val="single" w:sz="2" w:space="0" w:color="FFFFFF"/>
              <w:right w:val="single" w:sz="18" w:space="0" w:color="FFFFFF"/>
            </w:tcBorders>
            <w:shd w:val="clear" w:color="auto" w:fill="CCC0D9"/>
          </w:tcPr>
          <w:p w14:paraId="36A2631E" w14:textId="77777777" w:rsidR="00AE68C1" w:rsidRPr="00257F44" w:rsidRDefault="00AE68C1" w:rsidP="0084354E">
            <w:pPr>
              <w:rPr>
                <w:rFonts w:ascii="Zapf Dingbats" w:hAnsi="Zapf Dingbats" w:cs="Gill Sans"/>
                <w:sz w:val="22"/>
                <w:szCs w:val="22"/>
                <w:lang w:val="uk-UA"/>
              </w:rPr>
            </w:pPr>
          </w:p>
        </w:tc>
        <w:tc>
          <w:tcPr>
            <w:tcW w:w="466" w:type="dxa"/>
            <w:tcBorders>
              <w:top w:val="single" w:sz="8" w:space="0" w:color="FFFFFF" w:themeColor="background1"/>
              <w:left w:val="single" w:sz="18" w:space="0" w:color="FFFFFF"/>
              <w:bottom w:val="single" w:sz="4" w:space="0" w:color="auto"/>
              <w:right w:val="single" w:sz="4" w:space="0" w:color="FFFFFF" w:themeColor="background1"/>
            </w:tcBorders>
            <w:shd w:val="clear" w:color="auto" w:fill="B8CCE4"/>
          </w:tcPr>
          <w:p w14:paraId="0EC14301" w14:textId="77777777" w:rsidR="00AE68C1" w:rsidRPr="00257F44" w:rsidRDefault="00AE68C1" w:rsidP="0084354E">
            <w:pPr>
              <w:rPr>
                <w:rFonts w:ascii="Zapf Dingbats" w:hAnsi="Zapf Dingbats" w:cs="Gill Sans"/>
                <w:sz w:val="22"/>
                <w:szCs w:val="22"/>
                <w:lang w:val="uk-UA"/>
              </w:rPr>
            </w:pPr>
          </w:p>
        </w:tc>
        <w:tc>
          <w:tcPr>
            <w:tcW w:w="493"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27342D52" w14:textId="77777777" w:rsidR="00AE68C1" w:rsidRPr="00257F44" w:rsidRDefault="00AE68C1" w:rsidP="0084354E">
            <w:pPr>
              <w:rPr>
                <w:rFonts w:ascii="Zapf Dingbats" w:hAnsi="Zapf Dingbats" w:cs="Gill Sans"/>
                <w:sz w:val="22"/>
                <w:szCs w:val="22"/>
                <w:lang w:val="uk-UA"/>
              </w:rPr>
            </w:pPr>
          </w:p>
        </w:tc>
        <w:tc>
          <w:tcPr>
            <w:tcW w:w="417" w:type="dxa"/>
            <w:tcBorders>
              <w:top w:val="single" w:sz="8" w:space="0" w:color="FFFFFF" w:themeColor="background1"/>
              <w:left w:val="single" w:sz="4" w:space="0" w:color="FFFFFF" w:themeColor="background1"/>
              <w:bottom w:val="single" w:sz="4" w:space="0" w:color="auto"/>
              <w:right w:val="single" w:sz="4" w:space="0" w:color="FFFFFF" w:themeColor="background1"/>
            </w:tcBorders>
            <w:shd w:val="clear" w:color="auto" w:fill="B8CCE4"/>
          </w:tcPr>
          <w:p w14:paraId="17BB5FDC" w14:textId="3AE9B172" w:rsidR="00AE68C1" w:rsidRPr="00257F44" w:rsidRDefault="00AE68C1" w:rsidP="0084354E">
            <w:pPr>
              <w:rPr>
                <w:rFonts w:ascii="Zapf Dingbats" w:hAnsi="Zapf Dingbats" w:cs="Gill Sans"/>
                <w:sz w:val="22"/>
                <w:szCs w:val="22"/>
                <w:lang w:val="uk-UA"/>
              </w:rPr>
            </w:pPr>
          </w:p>
        </w:tc>
        <w:tc>
          <w:tcPr>
            <w:tcW w:w="569" w:type="dxa"/>
            <w:tcBorders>
              <w:top w:val="single" w:sz="8" w:space="0" w:color="FFFFFF" w:themeColor="background1"/>
              <w:left w:val="single" w:sz="4" w:space="0" w:color="FFFFFF" w:themeColor="background1"/>
              <w:bottom w:val="single" w:sz="4" w:space="0" w:color="auto"/>
              <w:right w:val="single" w:sz="18" w:space="0" w:color="FFFFFF"/>
            </w:tcBorders>
            <w:shd w:val="clear" w:color="auto" w:fill="B8CCE4"/>
          </w:tcPr>
          <w:p w14:paraId="0A592FD3" w14:textId="324926E6" w:rsidR="00AE68C1" w:rsidRPr="00257F44" w:rsidRDefault="00AE68C1" w:rsidP="0084354E">
            <w:pPr>
              <w:jc w:val="center"/>
              <w:rPr>
                <w:rFonts w:ascii="Zapf Dingbats" w:hAnsi="Zapf Dingbats" w:cs="Gill Sans"/>
                <w:sz w:val="22"/>
                <w:szCs w:val="22"/>
                <w:lang w:val="uk-UA"/>
              </w:rPr>
            </w:pPr>
            <w:r w:rsidRPr="00257F44">
              <w:rPr>
                <w:rFonts w:ascii="Zapf Dingbats" w:eastAsia="MS Mincho" w:hAnsi="Zapf Dingbats" w:cs="MS Mincho"/>
                <w:noProof/>
                <w:sz w:val="22"/>
                <w:szCs w:val="22"/>
                <w:lang w:val="uk-UA"/>
              </w:rPr>
              <w:t>✔</w:t>
            </w:r>
          </w:p>
        </w:tc>
        <w:tc>
          <w:tcPr>
            <w:tcW w:w="341" w:type="dxa"/>
            <w:vMerge/>
            <w:tcBorders>
              <w:left w:val="single" w:sz="18" w:space="0" w:color="FFFFFF"/>
              <w:right w:val="single" w:sz="2" w:space="0" w:color="FFFFFF"/>
            </w:tcBorders>
            <w:shd w:val="clear" w:color="auto" w:fill="D99594"/>
          </w:tcPr>
          <w:p w14:paraId="1A8C6E46" w14:textId="77777777" w:rsidR="00AE68C1" w:rsidRPr="00257F44" w:rsidRDefault="00AE68C1" w:rsidP="0084354E">
            <w:pPr>
              <w:rPr>
                <w:rFonts w:ascii="Gill Sans" w:hAnsi="Gill Sans" w:cs="Gill Sans"/>
                <w:sz w:val="22"/>
                <w:szCs w:val="22"/>
                <w:lang w:val="uk-UA"/>
              </w:rPr>
            </w:pPr>
          </w:p>
        </w:tc>
        <w:tc>
          <w:tcPr>
            <w:tcW w:w="417" w:type="dxa"/>
            <w:vMerge/>
            <w:tcBorders>
              <w:left w:val="single" w:sz="2" w:space="0" w:color="FFFFFF"/>
              <w:right w:val="single" w:sz="2" w:space="0" w:color="FFFFFF"/>
            </w:tcBorders>
            <w:shd w:val="clear" w:color="auto" w:fill="D99594"/>
          </w:tcPr>
          <w:p w14:paraId="186F24E3" w14:textId="77777777" w:rsidR="00AE68C1" w:rsidRPr="00257F44" w:rsidRDefault="00AE68C1" w:rsidP="0084354E">
            <w:pPr>
              <w:rPr>
                <w:rFonts w:ascii="Gill Sans" w:hAnsi="Gill Sans" w:cs="Gill Sans"/>
                <w:sz w:val="22"/>
                <w:szCs w:val="22"/>
                <w:lang w:val="uk-UA"/>
              </w:rPr>
            </w:pPr>
          </w:p>
        </w:tc>
        <w:tc>
          <w:tcPr>
            <w:tcW w:w="382" w:type="dxa"/>
            <w:vMerge/>
            <w:tcBorders>
              <w:left w:val="single" w:sz="2" w:space="0" w:color="FFFFFF"/>
              <w:right w:val="single" w:sz="2" w:space="0" w:color="FFFFFF"/>
            </w:tcBorders>
            <w:shd w:val="clear" w:color="auto" w:fill="D99594"/>
          </w:tcPr>
          <w:p w14:paraId="7AE6C771" w14:textId="77777777" w:rsidR="00AE68C1" w:rsidRPr="00257F44" w:rsidRDefault="00AE68C1" w:rsidP="0084354E">
            <w:pPr>
              <w:rPr>
                <w:rFonts w:ascii="Gill Sans" w:hAnsi="Gill Sans" w:cs="Gill Sans"/>
                <w:sz w:val="22"/>
                <w:szCs w:val="22"/>
                <w:lang w:val="uk-UA"/>
              </w:rPr>
            </w:pPr>
          </w:p>
        </w:tc>
        <w:tc>
          <w:tcPr>
            <w:tcW w:w="442" w:type="dxa"/>
            <w:vMerge/>
            <w:tcBorders>
              <w:left w:val="single" w:sz="2" w:space="0" w:color="FFFFFF"/>
              <w:right w:val="single" w:sz="2" w:space="0" w:color="FFFFFF"/>
            </w:tcBorders>
            <w:shd w:val="clear" w:color="auto" w:fill="D99594"/>
          </w:tcPr>
          <w:p w14:paraId="027E35FC" w14:textId="77777777" w:rsidR="00AE68C1" w:rsidRPr="00257F44" w:rsidRDefault="00AE68C1" w:rsidP="0084354E">
            <w:pPr>
              <w:rPr>
                <w:rFonts w:ascii="Gill Sans" w:hAnsi="Gill Sans" w:cs="Gill Sans"/>
                <w:noProof/>
                <w:sz w:val="22"/>
                <w:szCs w:val="22"/>
                <w:lang w:val="uk-UA"/>
              </w:rPr>
            </w:pPr>
          </w:p>
        </w:tc>
        <w:tc>
          <w:tcPr>
            <w:tcW w:w="419" w:type="dxa"/>
            <w:vMerge/>
            <w:tcBorders>
              <w:left w:val="single" w:sz="2" w:space="0" w:color="FFFFFF"/>
              <w:right w:val="single" w:sz="18" w:space="0" w:color="FFFFFF"/>
            </w:tcBorders>
            <w:shd w:val="clear" w:color="auto" w:fill="D99594"/>
          </w:tcPr>
          <w:p w14:paraId="3EE9C8CF" w14:textId="77777777" w:rsidR="00AE68C1" w:rsidRPr="00257F44" w:rsidRDefault="00AE68C1" w:rsidP="0084354E">
            <w:pPr>
              <w:rPr>
                <w:rFonts w:ascii="Gill Sans" w:hAnsi="Gill Sans" w:cs="Gill Sans"/>
                <w:sz w:val="22"/>
                <w:szCs w:val="22"/>
                <w:lang w:val="uk-UA"/>
              </w:rPr>
            </w:pPr>
          </w:p>
        </w:tc>
      </w:tr>
    </w:tbl>
    <w:p w14:paraId="29093AC6" w14:textId="77777777" w:rsidR="00025289" w:rsidRPr="00257F44" w:rsidRDefault="00025289" w:rsidP="00025289">
      <w:pPr>
        <w:spacing w:after="120"/>
        <w:rPr>
          <w:rFonts w:ascii="Gill Sans" w:hAnsi="Gill Sans" w:cs="Gill Sans"/>
          <w:noProof/>
          <w:sz w:val="22"/>
          <w:szCs w:val="22"/>
          <w:lang w:val="uk-UA"/>
        </w:rPr>
      </w:pPr>
    </w:p>
    <w:p w14:paraId="0F883FE8" w14:textId="77777777" w:rsidR="00781F39" w:rsidRPr="00257F44" w:rsidRDefault="00781F39" w:rsidP="006D19D8">
      <w:pPr>
        <w:pStyle w:val="Heading3"/>
        <w:spacing w:after="120"/>
        <w:rPr>
          <w:lang w:val="uk-UA"/>
        </w:rPr>
      </w:pPr>
      <w:r w:rsidRPr="00257F44">
        <w:rPr>
          <w:lang w:val="uk-UA"/>
        </w:rPr>
        <w:t>Мета зобов’язання</w:t>
      </w:r>
    </w:p>
    <w:p w14:paraId="7460DADB" w14:textId="498C15EF" w:rsidR="0005120F" w:rsidRPr="00257F44" w:rsidRDefault="00FE4F9F" w:rsidP="006D19D8">
      <w:pPr>
        <w:spacing w:after="120"/>
        <w:rPr>
          <w:rFonts w:ascii="Gill Sans" w:hAnsi="Gill Sans" w:cs="Gill Sans"/>
          <w:noProof/>
          <w:sz w:val="22"/>
          <w:szCs w:val="22"/>
          <w:lang w:val="uk-UA"/>
        </w:rPr>
      </w:pPr>
      <w:r w:rsidRPr="00257F44">
        <w:rPr>
          <w:rFonts w:ascii="Gill Sans" w:hAnsi="Gill Sans" w:cs="Gill Sans"/>
          <w:noProof/>
          <w:sz w:val="22"/>
          <w:szCs w:val="22"/>
          <w:lang w:val="uk-UA"/>
        </w:rPr>
        <w:t>Це зобов’язання мало на меті</w:t>
      </w:r>
      <w:r w:rsidR="00B45898" w:rsidRPr="00257F44">
        <w:rPr>
          <w:rFonts w:ascii="Gill Sans" w:hAnsi="Gill Sans" w:cs="Gill Sans"/>
          <w:noProof/>
          <w:sz w:val="22"/>
          <w:szCs w:val="22"/>
          <w:lang w:val="uk-UA"/>
        </w:rPr>
        <w:t xml:space="preserve"> реалізувати пілотні ініціативи щодо відкриття бюджетів на різних рівнях з використанням онлайн інструментів. Громадські організації в Україні першими почали впроваджувати ініціативи щодо підготовки і оприлюднення інформації про місцеві бюджети та їх виконання у зручній для користувачів формі. У плані дій ПВУ Уряд взяв зобов’язання підтримати цю роботу і зробити доступною бюджетну інформацію у зручному форматі, у тому числі за допомогою візуалізації даних.</w:t>
      </w:r>
    </w:p>
    <w:p w14:paraId="55FC4809" w14:textId="77777777" w:rsidR="00781F39" w:rsidRPr="00257F44" w:rsidRDefault="00781F39" w:rsidP="006D19D8">
      <w:pPr>
        <w:pStyle w:val="Heading3"/>
        <w:spacing w:after="120"/>
        <w:rPr>
          <w:lang w:val="uk-UA"/>
        </w:rPr>
      </w:pPr>
      <w:r w:rsidRPr="00257F44">
        <w:rPr>
          <w:lang w:val="uk-UA"/>
        </w:rPr>
        <w:t>Статус виконання</w:t>
      </w:r>
    </w:p>
    <w:p w14:paraId="4A646C1E" w14:textId="77777777" w:rsidR="00781F39" w:rsidRPr="00257F44" w:rsidRDefault="00781F39" w:rsidP="006D19D8">
      <w:pPr>
        <w:pStyle w:val="Normalrglronly"/>
        <w:rPr>
          <w:b/>
          <w:lang w:val="uk-UA"/>
        </w:rPr>
      </w:pPr>
      <w:r w:rsidRPr="00257F44">
        <w:rPr>
          <w:b/>
          <w:lang w:val="uk-UA"/>
        </w:rPr>
        <w:t>Проміжний звіт: Повне виконання</w:t>
      </w:r>
    </w:p>
    <w:p w14:paraId="1A530816" w14:textId="109630B9" w:rsidR="00E228FF" w:rsidRPr="00257F44" w:rsidRDefault="00E228FF" w:rsidP="006D19D8">
      <w:pPr>
        <w:spacing w:after="120"/>
        <w:rPr>
          <w:rFonts w:ascii="Gill Sans" w:hAnsi="Gill Sans" w:cs="Gill Sans"/>
          <w:sz w:val="22"/>
          <w:szCs w:val="22"/>
          <w:lang w:val="uk-UA"/>
        </w:rPr>
      </w:pPr>
      <w:r w:rsidRPr="00257F44">
        <w:rPr>
          <w:rFonts w:ascii="Gill Sans" w:hAnsi="Gill Sans" w:cs="Gill Sans"/>
          <w:sz w:val="22"/>
          <w:szCs w:val="22"/>
          <w:lang w:val="uk-UA"/>
        </w:rPr>
        <w:t xml:space="preserve">Зобов’язання та його очікувані результати, як вони були сформульовані, не передбачали трансформуючих реформ. Вони містили деякі важливі кроки та пілотні проекти. Проте державним органам вдалося перевершити заплановане і розпочати далекосяжну реформу, спрямовану на відкриття всієї інформації про бюджетні транзакції. Громадські організації в </w:t>
      </w:r>
      <w:r w:rsidRPr="00257F44">
        <w:rPr>
          <w:rFonts w:ascii="Gill Sans" w:hAnsi="Gill Sans" w:cs="Gill Sans"/>
          <w:sz w:val="22"/>
          <w:szCs w:val="22"/>
          <w:lang w:val="uk-UA"/>
        </w:rPr>
        <w:lastRenderedPageBreak/>
        <w:t>Україні виступили ініціаторами ідеї оприлюднення бюджетної інформації, більше того – щоб це здійснювалося у зручний для користувача спосіб за допомогою візуалізації і пояснення, а не лише шляхом надання великого масиву даних. Органи місцевого самоврядування та державні органи на центральному рівні підтримали це і надали доступ до відповідних даних, а також почали оприлюднювати візуалізовані дані на власних офіційних веб-ресурсах.</w:t>
      </w:r>
      <w:r w:rsidR="00913F9E" w:rsidRPr="00257F44">
        <w:rPr>
          <w:rFonts w:ascii="Gill Sans" w:hAnsi="Gill Sans" w:cs="Gill Sans"/>
          <w:sz w:val="22"/>
          <w:szCs w:val="22"/>
          <w:lang w:val="uk-UA"/>
        </w:rPr>
        <w:t xml:space="preserve"> Процес ПВУ в рамках цього зобов’язання також заохотив інноваційні інструменти, наприклад, веб-сайти “Ціна держави” та “Відкрите місто”.</w:t>
      </w:r>
    </w:p>
    <w:p w14:paraId="5CC0082D" w14:textId="12E163A7" w:rsidR="00F945A2" w:rsidRPr="00257F44" w:rsidRDefault="00F945A2" w:rsidP="006D19D8">
      <w:pPr>
        <w:spacing w:after="120"/>
        <w:rPr>
          <w:rFonts w:ascii="Gill Sans" w:hAnsi="Gill Sans" w:cs="Gill Sans"/>
          <w:sz w:val="22"/>
          <w:szCs w:val="22"/>
          <w:lang w:val="uk-UA"/>
        </w:rPr>
      </w:pPr>
      <w:r w:rsidRPr="00257F44">
        <w:rPr>
          <w:rFonts w:ascii="Gill Sans" w:hAnsi="Gill Sans" w:cs="Gill Sans"/>
          <w:noProof/>
          <w:sz w:val="22"/>
          <w:szCs w:val="22"/>
          <w:lang w:val="uk-UA"/>
        </w:rPr>
        <w:t xml:space="preserve">Зобов’язання було успішно виконано і навіть перевершило заплановані результати. </w:t>
      </w:r>
      <w:r w:rsidRPr="00257F44">
        <w:rPr>
          <w:rFonts w:ascii="Gill Sans" w:hAnsi="Gill Sans" w:cs="Gill Sans"/>
          <w:sz w:val="22"/>
          <w:szCs w:val="22"/>
          <w:lang w:val="uk-UA"/>
        </w:rPr>
        <w:t>Уряд повідомив, що громадська організація “Центр політичних студій та аналітики”, за підтримки донорів, створила програмне забезпечення для органів місцевого самоврядування, яке доступне на порталі www.openbudget.in.ua. Портал дозволив створювати інтерактивні візуалізації місцевих бюджетів на основі фінансової та статистичної звітності органів місцевого самоврядування та розміщувати їх на сайтах місцевих рад. Протягом 2015 року до проекту долучилися низка органів місцевого самоврядування</w:t>
      </w:r>
      <w:r w:rsidRPr="00257F44">
        <w:rPr>
          <w:rStyle w:val="EndnoteReference"/>
          <w:rFonts w:ascii="Gill Sans" w:hAnsi="Gill Sans" w:cs="Gill Sans"/>
          <w:sz w:val="22"/>
          <w:szCs w:val="22"/>
          <w:lang w:val="uk-UA"/>
        </w:rPr>
        <w:endnoteReference w:id="103"/>
      </w:r>
      <w:r w:rsidRPr="00257F44">
        <w:rPr>
          <w:rFonts w:ascii="Gill Sans" w:hAnsi="Gill Sans" w:cs="Gill Sans"/>
          <w:sz w:val="22"/>
          <w:szCs w:val="22"/>
          <w:lang w:val="uk-UA"/>
        </w:rPr>
        <w:t>.</w:t>
      </w:r>
    </w:p>
    <w:p w14:paraId="0F6C8CC4" w14:textId="0834F946" w:rsidR="004772A5" w:rsidRPr="00257F44" w:rsidRDefault="004772A5" w:rsidP="006D19D8">
      <w:pPr>
        <w:spacing w:after="120"/>
        <w:rPr>
          <w:rFonts w:ascii="Gill Sans" w:hAnsi="Gill Sans" w:cs="Gill Sans"/>
          <w:sz w:val="22"/>
          <w:szCs w:val="22"/>
          <w:lang w:val="uk-UA"/>
        </w:rPr>
      </w:pPr>
      <w:r w:rsidRPr="00257F44">
        <w:rPr>
          <w:rFonts w:ascii="Gill Sans" w:hAnsi="Gill Sans" w:cs="Gill Sans"/>
          <w:sz w:val="22"/>
          <w:szCs w:val="22"/>
          <w:lang w:val="uk-UA"/>
        </w:rPr>
        <w:t>Веб-сайт “Ціна держави” (http://cost.ua) успішно розпочав свою роботу та підтримується ГО “CASE -Україна” за донорської допомоги. Він надавав візуалізовані, доступні дані про доходи і видатки бюджету, бюджетний борг, сплачені податки тощо. Станом на жовтень 2015 року, платформа “Відкрите місто” (</w:t>
      </w:r>
      <w:hyperlink r:id="rId22" w:history="1">
        <w:r w:rsidRPr="00257F44">
          <w:rPr>
            <w:rStyle w:val="Hyperlink"/>
            <w:rFonts w:ascii="Gill Sans" w:hAnsi="Gill Sans" w:cs="Gill Sans"/>
            <w:sz w:val="22"/>
            <w:szCs w:val="22"/>
            <w:lang w:val="uk-UA"/>
          </w:rPr>
          <w:t>http://opencity.in.ua</w:t>
        </w:r>
      </w:hyperlink>
      <w:r w:rsidRPr="00257F44">
        <w:rPr>
          <w:rFonts w:ascii="Gill Sans" w:hAnsi="Gill Sans" w:cs="Gill Sans"/>
          <w:sz w:val="22"/>
          <w:szCs w:val="22"/>
          <w:lang w:val="uk-UA"/>
        </w:rPr>
        <w:t>) повідомляла про 18 міст, які приєдналися до системи (з більше ніж 30000 повідомленнями на рік і близько 300 вирішеними проблемами на місяць внаслідок скарг громадян)</w:t>
      </w:r>
      <w:r w:rsidRPr="00257F44">
        <w:rPr>
          <w:rStyle w:val="EndnoteReference"/>
          <w:rFonts w:ascii="Gill Sans" w:hAnsi="Gill Sans" w:cs="Gill Sans"/>
          <w:sz w:val="22"/>
          <w:szCs w:val="22"/>
          <w:lang w:val="uk-UA"/>
        </w:rPr>
        <w:t xml:space="preserve"> </w:t>
      </w:r>
      <w:r w:rsidRPr="00257F44">
        <w:rPr>
          <w:rStyle w:val="EndnoteReference"/>
          <w:rFonts w:ascii="Gill Sans" w:hAnsi="Gill Sans" w:cs="Gill Sans"/>
          <w:sz w:val="22"/>
          <w:szCs w:val="22"/>
          <w:lang w:val="uk-UA"/>
        </w:rPr>
        <w:endnoteReference w:id="104"/>
      </w:r>
      <w:r w:rsidRPr="00257F44">
        <w:rPr>
          <w:rFonts w:ascii="Gill Sans" w:hAnsi="Gill Sans" w:cs="Gill Sans"/>
          <w:sz w:val="22"/>
          <w:szCs w:val="22"/>
          <w:lang w:val="uk-UA"/>
        </w:rPr>
        <w:t>.</w:t>
      </w:r>
    </w:p>
    <w:p w14:paraId="7210D33C" w14:textId="7BE0D364" w:rsidR="00F945A2" w:rsidRPr="00257F44" w:rsidRDefault="004772A5" w:rsidP="006D19D8">
      <w:pPr>
        <w:spacing w:after="120"/>
        <w:rPr>
          <w:rFonts w:ascii="Gill Sans" w:hAnsi="Gill Sans" w:cs="Gill Sans"/>
          <w:sz w:val="22"/>
          <w:szCs w:val="22"/>
          <w:lang w:val="uk-UA"/>
        </w:rPr>
      </w:pPr>
      <w:r w:rsidRPr="00257F44">
        <w:rPr>
          <w:rFonts w:ascii="Gill Sans" w:hAnsi="Gill Sans" w:cs="Gill Sans"/>
          <w:sz w:val="22"/>
          <w:szCs w:val="22"/>
          <w:lang w:val="uk-UA"/>
        </w:rPr>
        <w:t>Крім того</w:t>
      </w:r>
      <w:r w:rsidR="00F945A2" w:rsidRPr="00257F44">
        <w:rPr>
          <w:rFonts w:ascii="Gill Sans" w:hAnsi="Gill Sans" w:cs="Gill Sans"/>
          <w:sz w:val="22"/>
          <w:szCs w:val="22"/>
          <w:lang w:val="uk-UA"/>
        </w:rPr>
        <w:t xml:space="preserve">, у лютому 2015 року Верховна Рада України прийняла </w:t>
      </w:r>
      <w:r w:rsidR="002429B3" w:rsidRPr="00257F44">
        <w:rPr>
          <w:rFonts w:ascii="Gill Sans" w:hAnsi="Gill Sans" w:cs="Gill Sans"/>
          <w:sz w:val="22"/>
          <w:szCs w:val="22"/>
          <w:lang w:val="uk-UA"/>
        </w:rPr>
        <w:t xml:space="preserve">прогресивний </w:t>
      </w:r>
      <w:r w:rsidR="00F945A2" w:rsidRPr="00257F44">
        <w:rPr>
          <w:rFonts w:ascii="Gill Sans" w:hAnsi="Gill Sans" w:cs="Gill Sans"/>
          <w:sz w:val="22"/>
          <w:szCs w:val="22"/>
          <w:lang w:val="uk-UA"/>
        </w:rPr>
        <w:t>Закон України “Про відкритість використання публічних коштів”. Закон вимагає оприлюднення всіх даних стосовно використання публічних коштів на єдиному веб-порталі, у тому числі відображення в реальному часі даних про казначейські транзакції. У вересні 2015 року Уряд затвердив розпорядження, необхідне для створення єдиного веб-порталу використання публічних коштів</w:t>
      </w:r>
      <w:r w:rsidR="002429B3" w:rsidRPr="00257F44">
        <w:rPr>
          <w:rStyle w:val="EndnoteReference"/>
          <w:rFonts w:ascii="Gill Sans" w:hAnsi="Gill Sans" w:cs="Gill Sans"/>
          <w:noProof/>
          <w:sz w:val="22"/>
          <w:szCs w:val="22"/>
          <w:lang w:val="uk-UA"/>
        </w:rPr>
        <w:endnoteReference w:id="105"/>
      </w:r>
      <w:r w:rsidR="002429B3" w:rsidRPr="00257F44">
        <w:rPr>
          <w:rFonts w:ascii="Gill Sans" w:hAnsi="Gill Sans" w:cs="Gill Sans"/>
          <w:sz w:val="22"/>
          <w:szCs w:val="22"/>
          <w:lang w:val="uk-UA"/>
        </w:rPr>
        <w:t>, а також</w:t>
      </w:r>
      <w:r w:rsidR="00F945A2" w:rsidRPr="00257F44">
        <w:rPr>
          <w:rFonts w:ascii="Gill Sans" w:hAnsi="Gill Sans" w:cs="Gill Sans"/>
          <w:sz w:val="22"/>
          <w:szCs w:val="22"/>
          <w:lang w:val="uk-UA"/>
        </w:rPr>
        <w:t xml:space="preserve"> виділив для цього необхідне фінансування. 15 вересня 2015 року Міністерство фінансів, за підтримки ГО та донорів, запустило веб-портал в роботу в тестовому режимі </w:t>
      </w:r>
      <w:r w:rsidR="00F945A2" w:rsidRPr="00257F44">
        <w:rPr>
          <w:rFonts w:ascii="Gill Sans" w:hAnsi="Gill Sans" w:cs="Gill Sans"/>
          <w:noProof/>
          <w:sz w:val="22"/>
          <w:szCs w:val="22"/>
          <w:lang w:val="uk-UA"/>
        </w:rPr>
        <w:t>(</w:t>
      </w:r>
      <w:hyperlink r:id="rId23" w:history="1">
        <w:r w:rsidR="00F945A2" w:rsidRPr="00257F44">
          <w:rPr>
            <w:rStyle w:val="Hyperlink"/>
            <w:rFonts w:ascii="Gill Sans" w:hAnsi="Gill Sans" w:cs="Gill Sans"/>
            <w:sz w:val="22"/>
            <w:szCs w:val="22"/>
            <w:lang w:val="uk-UA"/>
          </w:rPr>
          <w:t>http://edata.gov.ua</w:t>
        </w:r>
      </w:hyperlink>
      <w:r w:rsidR="00F945A2" w:rsidRPr="00257F44">
        <w:rPr>
          <w:rFonts w:ascii="Gill Sans" w:hAnsi="Gill Sans" w:cs="Gill Sans"/>
          <w:noProof/>
          <w:sz w:val="22"/>
          <w:szCs w:val="22"/>
          <w:lang w:val="uk-UA"/>
        </w:rPr>
        <w:t>)</w:t>
      </w:r>
      <w:r w:rsidR="002429B3" w:rsidRPr="00257F44">
        <w:rPr>
          <w:rStyle w:val="EndnoteReference"/>
          <w:rFonts w:ascii="Gill Sans" w:hAnsi="Gill Sans" w:cs="Gill Sans"/>
          <w:noProof/>
          <w:sz w:val="22"/>
          <w:szCs w:val="22"/>
          <w:lang w:val="uk-UA"/>
        </w:rPr>
        <w:endnoteReference w:id="106"/>
      </w:r>
      <w:r w:rsidR="00F945A2" w:rsidRPr="00257F44">
        <w:rPr>
          <w:rFonts w:ascii="Gill Sans" w:hAnsi="Gill Sans" w:cs="Gill Sans"/>
          <w:noProof/>
          <w:sz w:val="22"/>
          <w:szCs w:val="22"/>
          <w:lang w:val="uk-UA"/>
        </w:rPr>
        <w:t>.</w:t>
      </w:r>
    </w:p>
    <w:p w14:paraId="7B1AA7B9" w14:textId="2C62C9B3" w:rsidR="002429B3" w:rsidRPr="00257F44" w:rsidRDefault="002429B3" w:rsidP="006D19D8">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Ініціативи, які описувалися в попередньому звіті, далі розвивалися. Відповідно до даних веб-сайту </w:t>
      </w:r>
      <w:hyperlink r:id="rId24" w:history="1">
        <w:r w:rsidRPr="00257F44">
          <w:rPr>
            <w:rStyle w:val="Hyperlink"/>
            <w:rFonts w:ascii="Gill Sans" w:hAnsi="Gill Sans" w:cs="Gill Sans"/>
            <w:sz w:val="22"/>
            <w:szCs w:val="22"/>
            <w:lang w:val="uk-UA"/>
          </w:rPr>
          <w:t>http://opencity.in.ua</w:t>
        </w:r>
      </w:hyperlink>
      <w:r w:rsidRPr="00257F44">
        <w:rPr>
          <w:rFonts w:ascii="Gill Sans" w:hAnsi="Gill Sans" w:cs="Gill Sans"/>
          <w:sz w:val="22"/>
          <w:szCs w:val="22"/>
          <w:lang w:val="uk-UA"/>
        </w:rPr>
        <w:t xml:space="preserve">, 27 міст приєдналися до платформи, щотижня оприлюднюється 34 повідомлення, щомісяця </w:t>
      </w:r>
      <w:r w:rsidR="00A63E76">
        <w:rPr>
          <w:rFonts w:ascii="Gill Sans" w:hAnsi="Gill Sans" w:cs="Gill Sans"/>
          <w:sz w:val="22"/>
          <w:szCs w:val="22"/>
          <w:lang w:val="uk-UA"/>
        </w:rPr>
        <w:t>вирішується</w:t>
      </w:r>
      <w:r w:rsidRPr="00257F44">
        <w:rPr>
          <w:rFonts w:ascii="Gill Sans" w:hAnsi="Gill Sans" w:cs="Gill Sans"/>
          <w:sz w:val="22"/>
          <w:szCs w:val="22"/>
          <w:lang w:val="uk-UA"/>
        </w:rPr>
        <w:t xml:space="preserve"> 414 </w:t>
      </w:r>
      <w:r w:rsidR="00A63E76">
        <w:rPr>
          <w:rFonts w:ascii="Gill Sans" w:hAnsi="Gill Sans" w:cs="Gill Sans"/>
          <w:sz w:val="22"/>
          <w:szCs w:val="22"/>
          <w:lang w:val="uk-UA"/>
        </w:rPr>
        <w:t xml:space="preserve">проблем </w:t>
      </w:r>
      <w:r w:rsidRPr="00257F44">
        <w:rPr>
          <w:rFonts w:ascii="Gill Sans" w:hAnsi="Gill Sans" w:cs="Gill Sans"/>
          <w:sz w:val="22"/>
          <w:szCs w:val="22"/>
          <w:lang w:val="uk-UA"/>
        </w:rPr>
        <w:t xml:space="preserve">і щороку користувачі залишають більше 29 000 коментарів на веб-сайті. ІТ інструменти “Відкритий бюджет” (доступні на сайті </w:t>
      </w:r>
      <w:hyperlink r:id="rId25" w:history="1">
        <w:r w:rsidRPr="00257F44">
          <w:rPr>
            <w:rStyle w:val="Hyperlink"/>
            <w:rFonts w:ascii="Gill Sans" w:hAnsi="Gill Sans" w:cs="Gill Sans"/>
            <w:sz w:val="22"/>
            <w:szCs w:val="22"/>
            <w:lang w:val="uk-UA"/>
          </w:rPr>
          <w:t>www.openbudget.in.ua)</w:t>
        </w:r>
      </w:hyperlink>
      <w:r w:rsidRPr="00257F44">
        <w:rPr>
          <w:rFonts w:ascii="Gill Sans" w:hAnsi="Gill Sans" w:cs="Gill Sans"/>
          <w:sz w:val="22"/>
          <w:szCs w:val="22"/>
          <w:lang w:val="uk-UA"/>
        </w:rPr>
        <w:t xml:space="preserve"> для візуалізації місцевих бюджетів використовувалися у 50 містах та областях</w:t>
      </w:r>
      <w:r w:rsidRPr="00257F44">
        <w:rPr>
          <w:rStyle w:val="EndnoteReference"/>
          <w:rFonts w:ascii="Gill Sans" w:hAnsi="Gill Sans" w:cs="Gill Sans"/>
          <w:sz w:val="22"/>
          <w:szCs w:val="22"/>
          <w:lang w:val="uk-UA"/>
        </w:rPr>
        <w:endnoteReference w:id="107"/>
      </w:r>
      <w:r w:rsidRPr="00257F44">
        <w:rPr>
          <w:rFonts w:ascii="Gill Sans" w:hAnsi="Gill Sans" w:cs="Gill Sans"/>
          <w:sz w:val="22"/>
          <w:szCs w:val="22"/>
          <w:lang w:val="uk-UA"/>
        </w:rPr>
        <w:t xml:space="preserve">. </w:t>
      </w:r>
    </w:p>
    <w:p w14:paraId="7E285756" w14:textId="77777777" w:rsidR="00EC35FC" w:rsidRPr="00257F44" w:rsidRDefault="00EC35FC" w:rsidP="006D19D8">
      <w:pPr>
        <w:pStyle w:val="Heading3"/>
        <w:spacing w:after="120"/>
        <w:rPr>
          <w:lang w:val="uk-UA"/>
        </w:rPr>
      </w:pPr>
      <w:r w:rsidRPr="00257F44">
        <w:rPr>
          <w:lang w:val="uk-UA"/>
        </w:rPr>
        <w:t>Чи відкрило це уряд?</w:t>
      </w:r>
    </w:p>
    <w:p w14:paraId="072AAF1A" w14:textId="5EC88E5D" w:rsidR="00EC35FC" w:rsidRPr="00257F44" w:rsidRDefault="00EC35FC" w:rsidP="006D19D8">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 xml:space="preserve">Доступ до інформації: </w:t>
      </w:r>
      <w:r w:rsidR="00846486" w:rsidRPr="00257F44">
        <w:rPr>
          <w:rFonts w:ascii="Gill Sans" w:hAnsi="Gill Sans" w:cs="Gill Sans"/>
          <w:b/>
          <w:noProof/>
          <w:sz w:val="22"/>
          <w:szCs w:val="22"/>
          <w:lang w:val="uk-UA"/>
        </w:rPr>
        <w:t>Значним чином</w:t>
      </w:r>
    </w:p>
    <w:p w14:paraId="67DE9260" w14:textId="4F0A6A1D" w:rsidR="00AE68C1" w:rsidRPr="00257F44" w:rsidRDefault="00846486" w:rsidP="006D19D8">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Підзвітність влади</w:t>
      </w:r>
      <w:r w:rsidR="00EC35FC" w:rsidRPr="00257F44">
        <w:rPr>
          <w:rFonts w:ascii="Gill Sans" w:hAnsi="Gill Sans" w:cs="Gill Sans"/>
          <w:b/>
          <w:noProof/>
          <w:sz w:val="22"/>
          <w:szCs w:val="22"/>
          <w:lang w:val="uk-UA"/>
        </w:rPr>
        <w:t>: Не змінило</w:t>
      </w:r>
    </w:p>
    <w:p w14:paraId="1B29C833" w14:textId="52E0BA59" w:rsidR="00846486" w:rsidRPr="00257F44" w:rsidRDefault="00846486" w:rsidP="006D19D8">
      <w:pPr>
        <w:spacing w:after="120"/>
        <w:rPr>
          <w:rFonts w:ascii="Gill Sans" w:hAnsi="Gill Sans" w:cs="Gill Sans"/>
          <w:sz w:val="22"/>
          <w:szCs w:val="22"/>
          <w:lang w:val="uk-UA"/>
        </w:rPr>
      </w:pPr>
      <w:r w:rsidRPr="00257F44">
        <w:rPr>
          <w:rFonts w:ascii="Gill Sans" w:hAnsi="Gill Sans" w:cs="Gill Sans"/>
          <w:sz w:val="22"/>
          <w:szCs w:val="22"/>
          <w:lang w:val="uk-UA"/>
        </w:rPr>
        <w:t>Веб-сайт “Ціна держави” здійснював просвіту громадян щодо їхніх податків і яким чином вони витрачаються державою, таким чином інформуючи у зручній для користувачів формі та пояснюючи складні фінансові поняття. На думку представника Центру політичних студій та аналітики Ейдос, здатність стежити за публічними фінансами за</w:t>
      </w:r>
      <w:r w:rsidR="00506FF5">
        <w:rPr>
          <w:rFonts w:ascii="Gill Sans" w:hAnsi="Gill Sans" w:cs="Gill Sans"/>
          <w:sz w:val="22"/>
          <w:szCs w:val="22"/>
          <w:lang w:val="uk-UA"/>
        </w:rPr>
        <w:t xml:space="preserve"> допомогою веб-сайту “Ві</w:t>
      </w:r>
      <w:r w:rsidRPr="00257F44">
        <w:rPr>
          <w:rFonts w:ascii="Gill Sans" w:hAnsi="Gill Sans" w:cs="Gill Sans"/>
          <w:sz w:val="22"/>
          <w:szCs w:val="22"/>
          <w:lang w:val="uk-UA"/>
        </w:rPr>
        <w:t>д</w:t>
      </w:r>
      <w:r w:rsidR="00506FF5">
        <w:rPr>
          <w:rFonts w:ascii="Gill Sans" w:hAnsi="Gill Sans" w:cs="Gill Sans"/>
          <w:sz w:val="22"/>
          <w:szCs w:val="22"/>
          <w:lang w:val="uk-UA"/>
        </w:rPr>
        <w:t>к</w:t>
      </w:r>
      <w:r w:rsidRPr="00257F44">
        <w:rPr>
          <w:rFonts w:ascii="Gill Sans" w:hAnsi="Gill Sans" w:cs="Gill Sans"/>
          <w:sz w:val="22"/>
          <w:szCs w:val="22"/>
          <w:lang w:val="uk-UA"/>
        </w:rPr>
        <w:t>ритий бюджет” надала громадянам корисну, якісну інформації про публічні витрати</w:t>
      </w:r>
      <w:r w:rsidRPr="00257F44">
        <w:rPr>
          <w:rStyle w:val="EndnoteReference"/>
          <w:rFonts w:ascii="Gill Sans" w:hAnsi="Gill Sans" w:cs="Gill Sans"/>
          <w:sz w:val="22"/>
          <w:szCs w:val="22"/>
          <w:lang w:val="uk-UA"/>
        </w:rPr>
        <w:endnoteReference w:id="108"/>
      </w:r>
      <w:r w:rsidRPr="00257F44">
        <w:rPr>
          <w:rFonts w:ascii="Gill Sans" w:hAnsi="Gill Sans" w:cs="Gill Sans"/>
          <w:sz w:val="22"/>
          <w:szCs w:val="22"/>
          <w:lang w:val="uk-UA"/>
        </w:rPr>
        <w:t>. Веб-сайт “Відкрите місто” дозволив повідомляти в режимі реального часу про сотні місцевих інфраструктурних проблем відповідні комунальні служби, які вирішували ці проблеми.</w:t>
      </w:r>
    </w:p>
    <w:p w14:paraId="2D0726A7" w14:textId="7400FE42" w:rsidR="00846486" w:rsidRPr="00257F44" w:rsidRDefault="00846486" w:rsidP="006D19D8">
      <w:pPr>
        <w:spacing w:after="120"/>
        <w:rPr>
          <w:rFonts w:ascii="Gill Sans" w:hAnsi="Gill Sans" w:cs="Gill Sans"/>
          <w:sz w:val="22"/>
          <w:szCs w:val="22"/>
          <w:lang w:val="uk-UA"/>
        </w:rPr>
      </w:pPr>
      <w:r w:rsidRPr="00257F44">
        <w:rPr>
          <w:rFonts w:ascii="Gill Sans" w:hAnsi="Gill Sans" w:cs="Gill Sans"/>
          <w:sz w:val="22"/>
          <w:szCs w:val="22"/>
          <w:lang w:val="uk-UA"/>
        </w:rPr>
        <w:lastRenderedPageBreak/>
        <w:t xml:space="preserve">Закон 2015 року про відкритість використання публічних коштів </w:t>
      </w:r>
      <w:r w:rsidR="00506FF5">
        <w:rPr>
          <w:rFonts w:ascii="Gill Sans" w:hAnsi="Gill Sans" w:cs="Gill Sans"/>
          <w:sz w:val="22"/>
          <w:szCs w:val="22"/>
          <w:lang w:val="uk-UA"/>
        </w:rPr>
        <w:t>мав трансформуючий ефект, оскіл</w:t>
      </w:r>
      <w:r w:rsidRPr="00257F44">
        <w:rPr>
          <w:rFonts w:ascii="Gill Sans" w:hAnsi="Gill Sans" w:cs="Gill Sans"/>
          <w:sz w:val="22"/>
          <w:szCs w:val="22"/>
          <w:lang w:val="uk-UA"/>
        </w:rPr>
        <w:t>ь</w:t>
      </w:r>
      <w:r w:rsidR="00506FF5">
        <w:rPr>
          <w:rFonts w:ascii="Gill Sans" w:hAnsi="Gill Sans" w:cs="Gill Sans"/>
          <w:sz w:val="22"/>
          <w:szCs w:val="22"/>
          <w:lang w:val="uk-UA"/>
        </w:rPr>
        <w:t>к</w:t>
      </w:r>
      <w:r w:rsidRPr="00257F44">
        <w:rPr>
          <w:rFonts w:ascii="Gill Sans" w:hAnsi="Gill Sans" w:cs="Gill Sans"/>
          <w:sz w:val="22"/>
          <w:szCs w:val="22"/>
          <w:lang w:val="uk-UA"/>
        </w:rPr>
        <w:t>и він вимагав оприлюднення детальної інформації про витрати публічних коштів кожним розпорядником, у тому числі оприлюднення в режимі реального часу транзакцій державного казначейства. Це було дуже позитивне досягнення, хоча воно й не було складовою плану дій ПВУ. Було оприлюднено значну кількість бюдже</w:t>
      </w:r>
      <w:r w:rsidR="00506FF5">
        <w:rPr>
          <w:rFonts w:ascii="Gill Sans" w:hAnsi="Gill Sans" w:cs="Gill Sans"/>
          <w:sz w:val="22"/>
          <w:szCs w:val="22"/>
          <w:lang w:val="uk-UA"/>
        </w:rPr>
        <w:t>тних даних, що пр</w:t>
      </w:r>
      <w:r w:rsidRPr="00257F44">
        <w:rPr>
          <w:rFonts w:ascii="Gill Sans" w:hAnsi="Gill Sans" w:cs="Gill Sans"/>
          <w:sz w:val="22"/>
          <w:szCs w:val="22"/>
          <w:lang w:val="uk-UA"/>
        </w:rPr>
        <w:t>и</w:t>
      </w:r>
      <w:r w:rsidR="00506FF5">
        <w:rPr>
          <w:rFonts w:ascii="Gill Sans" w:hAnsi="Gill Sans" w:cs="Gill Sans"/>
          <w:sz w:val="22"/>
          <w:szCs w:val="22"/>
          <w:lang w:val="uk-UA"/>
        </w:rPr>
        <w:t>звело до значно</w:t>
      </w:r>
      <w:r w:rsidRPr="00257F44">
        <w:rPr>
          <w:rFonts w:ascii="Gill Sans" w:hAnsi="Gill Sans" w:cs="Gill Sans"/>
          <w:sz w:val="22"/>
          <w:szCs w:val="22"/>
          <w:lang w:val="uk-UA"/>
        </w:rPr>
        <w:t xml:space="preserve"> вищого рівня відкритості та громадського контролю за використанням публічних коштів. Наприклад, відкриті дані, що стали доступними через веб-портал публічних фінансів, були корисними для журналістів та організацій приватного сектора, таких як “Youcontrol” та “Ліга”. </w:t>
      </w:r>
      <w:r w:rsidR="005C7E96" w:rsidRPr="00257F44">
        <w:rPr>
          <w:rFonts w:ascii="Gill Sans" w:hAnsi="Gill Sans" w:cs="Gill Sans"/>
          <w:sz w:val="22"/>
          <w:szCs w:val="22"/>
          <w:lang w:val="uk-UA"/>
        </w:rPr>
        <w:t>Було також важливим, що Міністерство фінансів забезпечило доступ до даних за допомогою API. Це дозволило розвинути похідні послуги на базі відкритих даних, доступних на порталі</w:t>
      </w:r>
      <w:r w:rsidR="005C7E96" w:rsidRPr="00257F44">
        <w:rPr>
          <w:rFonts w:ascii="Gill Sans" w:hAnsi="Gill Sans" w:cs="Gill Sans"/>
          <w:sz w:val="22"/>
          <w:szCs w:val="22"/>
          <w:vertAlign w:val="superscript"/>
          <w:lang w:val="uk-UA"/>
        </w:rPr>
        <w:endnoteReference w:id="109"/>
      </w:r>
      <w:r w:rsidR="005C7E96" w:rsidRPr="00257F44">
        <w:rPr>
          <w:rFonts w:ascii="Gill Sans" w:hAnsi="Gill Sans" w:cs="Gill Sans"/>
          <w:sz w:val="22"/>
          <w:szCs w:val="22"/>
          <w:lang w:val="uk-UA"/>
        </w:rPr>
        <w:t>. Водночас Уряд ще не повною мірою забезпечив виконання Закону про відкритість використання публічних коштів.</w:t>
      </w:r>
    </w:p>
    <w:p w14:paraId="365A7E26" w14:textId="77777777" w:rsidR="006D19D8" w:rsidRPr="00257F44" w:rsidRDefault="006D19D8" w:rsidP="006D19D8">
      <w:pPr>
        <w:pStyle w:val="Heading3"/>
        <w:spacing w:after="120"/>
        <w:rPr>
          <w:lang w:val="uk-UA"/>
        </w:rPr>
      </w:pPr>
      <w:r w:rsidRPr="00257F44">
        <w:rPr>
          <w:lang w:val="uk-UA"/>
        </w:rPr>
        <w:t>Чи перенесено до наступного плану дій?</w:t>
      </w:r>
    </w:p>
    <w:p w14:paraId="0CF8B502" w14:textId="3B7214F4" w:rsidR="00025289" w:rsidRPr="00257F44" w:rsidRDefault="00A76D00" w:rsidP="006D19D8">
      <w:pPr>
        <w:spacing w:after="120"/>
        <w:rPr>
          <w:rFonts w:ascii="Gill Sans" w:hAnsi="Gill Sans" w:cs="Gill Sans"/>
          <w:sz w:val="22"/>
          <w:szCs w:val="22"/>
          <w:lang w:val="uk-UA"/>
        </w:rPr>
      </w:pPr>
      <w:r w:rsidRPr="00257F44">
        <w:rPr>
          <w:rFonts w:ascii="Gill Sans" w:hAnsi="Gill Sans" w:cs="Gill Sans"/>
          <w:sz w:val="22"/>
          <w:szCs w:val="22"/>
          <w:lang w:val="uk-UA"/>
        </w:rPr>
        <w:t xml:space="preserve">Зобов’язання було перенесено до нового плану дій як конкретніше завдання, що зосереджується на </w:t>
      </w:r>
      <w:r w:rsidR="00CF0F13" w:rsidRPr="00257F44">
        <w:rPr>
          <w:rFonts w:ascii="Gill Sans" w:hAnsi="Gill Sans" w:cs="Gill Sans"/>
          <w:sz w:val="22"/>
          <w:szCs w:val="22"/>
          <w:lang w:val="uk-UA"/>
        </w:rPr>
        <w:t xml:space="preserve">розробці інформаційної </w:t>
      </w:r>
      <w:r w:rsidR="00CF0F13" w:rsidRPr="00257F44">
        <w:rPr>
          <w:rFonts w:ascii="Gill Sans" w:hAnsi="Gill Sans" w:cs="Gill Sans"/>
          <w:sz w:val="22"/>
          <w:szCs w:val="22"/>
          <w:lang w:val="uk-UA"/>
        </w:rPr>
        <w:t>системи “Прозорий бюджет”</w:t>
      </w:r>
      <w:r w:rsidR="00CF0F13" w:rsidRPr="00257F44">
        <w:rPr>
          <w:rFonts w:ascii="Gill Sans" w:hAnsi="Gill Sans" w:cs="Gill Sans"/>
          <w:sz w:val="22"/>
          <w:szCs w:val="22"/>
          <w:lang w:val="uk-UA"/>
        </w:rPr>
        <w:t>.</w:t>
      </w:r>
      <w:r w:rsidR="00F37218" w:rsidRPr="00257F44">
        <w:rPr>
          <w:rFonts w:ascii="Gill Sans" w:hAnsi="Gill Sans" w:cs="Gill Sans"/>
          <w:sz w:val="22"/>
          <w:szCs w:val="22"/>
          <w:lang w:val="uk-UA"/>
        </w:rPr>
        <w:t xml:space="preserve"> </w:t>
      </w:r>
    </w:p>
    <w:p w14:paraId="1D51927F" w14:textId="77777777" w:rsidR="003223C0" w:rsidRPr="00257F44" w:rsidRDefault="003223C0" w:rsidP="00C75B2B">
      <w:pPr>
        <w:spacing w:after="120"/>
        <w:rPr>
          <w:rFonts w:ascii="Gill Sans" w:hAnsi="Gill Sans" w:cs="Gill Sans"/>
          <w:noProof/>
          <w:sz w:val="22"/>
          <w:szCs w:val="22"/>
          <w:lang w:val="uk-UA"/>
        </w:rPr>
        <w:sectPr w:rsidR="003223C0" w:rsidRPr="00257F44" w:rsidSect="00F561B7">
          <w:endnotePr>
            <w:numFmt w:val="decimal"/>
            <w:numRestart w:val="eachSect"/>
          </w:endnotePr>
          <w:pgSz w:w="12240" w:h="15840"/>
          <w:pgMar w:top="1440" w:right="1800" w:bottom="1440" w:left="1800" w:header="720" w:footer="720" w:gutter="0"/>
          <w:cols w:space="720"/>
          <w:docGrid w:linePitch="360"/>
        </w:sectPr>
      </w:pPr>
    </w:p>
    <w:p w14:paraId="510D43FB" w14:textId="77777777" w:rsidR="00D4318D" w:rsidRPr="00257F44" w:rsidRDefault="00D4318D" w:rsidP="00D4318D">
      <w:pPr>
        <w:pStyle w:val="Heading2"/>
        <w:spacing w:before="0" w:after="120"/>
        <w:rPr>
          <w:rFonts w:eastAsiaTheme="minorEastAsia"/>
          <w:bCs w:val="0"/>
          <w:color w:val="222222"/>
          <w:sz w:val="22"/>
          <w:szCs w:val="22"/>
          <w:lang w:val="uk-UA"/>
        </w:rPr>
      </w:pPr>
      <w:bookmarkStart w:id="17" w:name="_Toc437543885"/>
      <w:r w:rsidRPr="00257F44">
        <w:rPr>
          <w:rFonts w:eastAsiaTheme="minorEastAsia"/>
          <w:bCs w:val="0"/>
          <w:color w:val="222222"/>
          <w:sz w:val="22"/>
          <w:szCs w:val="22"/>
          <w:lang w:val="uk-UA"/>
        </w:rPr>
        <w:lastRenderedPageBreak/>
        <w:t>24. Навчання з електронного урядування для місцевої влади</w:t>
      </w:r>
      <w:r w:rsidRPr="00257F44">
        <w:rPr>
          <w:rFonts w:ascii="Georgia" w:hAnsi="Georgia"/>
          <w:sz w:val="18"/>
          <w:szCs w:val="18"/>
          <w:lang w:val="uk-UA"/>
        </w:rPr>
        <w:t xml:space="preserve"> </w:t>
      </w:r>
      <w:bookmarkEnd w:id="17"/>
    </w:p>
    <w:p w14:paraId="04F5C64F" w14:textId="77777777" w:rsidR="00D4318D" w:rsidRPr="00257F44" w:rsidRDefault="00D4318D" w:rsidP="00D4318D">
      <w:pPr>
        <w:spacing w:after="120"/>
        <w:rPr>
          <w:rFonts w:ascii="Gill Sans" w:hAnsi="Gill Sans" w:cs="Gill Sans"/>
          <w:i/>
          <w:noProof/>
          <w:sz w:val="22"/>
          <w:szCs w:val="22"/>
          <w:lang w:val="uk-UA"/>
        </w:rPr>
      </w:pPr>
      <w:r w:rsidRPr="00257F44">
        <w:rPr>
          <w:rFonts w:ascii="Gill Sans" w:hAnsi="Gill Sans" w:cs="Gill Sans"/>
          <w:b/>
          <w:bCs/>
          <w:iCs/>
          <w:noProof/>
          <w:sz w:val="22"/>
          <w:szCs w:val="22"/>
          <w:lang w:val="uk-UA"/>
        </w:rPr>
        <w:t>Текст зобов’язання:</w:t>
      </w:r>
      <w:r w:rsidRPr="00257F44">
        <w:rPr>
          <w:rFonts w:ascii="Gill Sans" w:hAnsi="Gill Sans" w:cs="Gill Sans"/>
          <w:i/>
          <w:noProof/>
          <w:sz w:val="22"/>
          <w:szCs w:val="22"/>
          <w:lang w:val="uk-UA"/>
        </w:rPr>
        <w:t xml:space="preserve"> 24. Проведення національної інформаційно-просвітницької кампанії “Публічні бібліотеки – мости до електронного урядування”.</w:t>
      </w:r>
    </w:p>
    <w:p w14:paraId="63C57B2C" w14:textId="77777777" w:rsidR="00D4318D" w:rsidRPr="00257F44" w:rsidRDefault="00D4318D" w:rsidP="00D4318D">
      <w:pPr>
        <w:spacing w:after="120"/>
        <w:rPr>
          <w:rFonts w:ascii="Gill Sans" w:hAnsi="Gill Sans" w:cs="Gill Sans"/>
          <w:i/>
          <w:noProof/>
          <w:sz w:val="22"/>
          <w:szCs w:val="22"/>
          <w:lang w:val="uk-UA"/>
        </w:rPr>
      </w:pPr>
      <w:r w:rsidRPr="00257F44">
        <w:rPr>
          <w:rFonts w:ascii="Gill Sans" w:hAnsi="Gill Sans" w:cs="Gill Sans"/>
          <w:i/>
          <w:noProof/>
          <w:sz w:val="22"/>
          <w:szCs w:val="22"/>
          <w:lang w:val="uk-UA"/>
        </w:rPr>
        <w:t>Очікувані результати: розроблення дистанційного курсу “Основи е-урядування” та проведення навчання для представників районних та селищних рад.</w:t>
      </w:r>
    </w:p>
    <w:p w14:paraId="2A1322D9" w14:textId="77777777" w:rsidR="00D4318D" w:rsidRPr="00257F44" w:rsidRDefault="00D4318D" w:rsidP="00D4318D">
      <w:pPr>
        <w:spacing w:after="120"/>
        <w:rPr>
          <w:rFonts w:ascii="Gill Sans" w:hAnsi="Gill Sans" w:cs="Gill Sans"/>
          <w:noProof/>
          <w:sz w:val="22"/>
          <w:szCs w:val="22"/>
          <w:lang w:val="uk-UA"/>
        </w:rPr>
      </w:pPr>
      <w:r w:rsidRPr="00257F44">
        <w:rPr>
          <w:rFonts w:ascii="Gill Sans" w:hAnsi="Gill Sans" w:cs="Gill Sans"/>
          <w:noProof/>
          <w:sz w:val="22"/>
          <w:szCs w:val="22"/>
          <w:lang w:val="uk-UA"/>
        </w:rPr>
        <w:t>Головна інституція, відповідальна за виконання: Міністерство культури.</w:t>
      </w:r>
    </w:p>
    <w:p w14:paraId="3B2CACD5" w14:textId="77777777" w:rsidR="00D4318D" w:rsidRPr="00257F44" w:rsidRDefault="00D4318D" w:rsidP="00D4318D">
      <w:pPr>
        <w:spacing w:after="120"/>
        <w:rPr>
          <w:rFonts w:ascii="Gill Sans" w:hAnsi="Gill Sans" w:cs="Gill Sans"/>
          <w:noProof/>
          <w:sz w:val="22"/>
          <w:szCs w:val="22"/>
          <w:lang w:val="uk-UA"/>
        </w:rPr>
      </w:pPr>
      <w:r w:rsidRPr="00257F44">
        <w:rPr>
          <w:rFonts w:ascii="Gill Sans" w:hAnsi="Gill Sans" w:cs="Gill Sans"/>
          <w:noProof/>
          <w:sz w:val="22"/>
          <w:szCs w:val="22"/>
          <w:lang w:val="uk-UA"/>
        </w:rPr>
        <w:t>Інші виконавці: Міністерство регіонального розвитку, Національний центр електронного урядування державного підприємства “Держінформресурс”, програма “Бібліоміст”, Українська бібліотечна асоціація, інші невизначені організації громадянського суспільства та міжнародні організації.</w:t>
      </w:r>
    </w:p>
    <w:p w14:paraId="3BEF4497" w14:textId="77777777" w:rsidR="00D4318D" w:rsidRPr="00257F44" w:rsidRDefault="00D4318D" w:rsidP="00D4318D">
      <w:pPr>
        <w:spacing w:after="120"/>
        <w:rPr>
          <w:rFonts w:ascii="Gill Sans" w:hAnsi="Gill Sans" w:cs="Gill Sans"/>
          <w:noProof/>
          <w:sz w:val="22"/>
          <w:szCs w:val="22"/>
          <w:lang w:val="uk-UA"/>
        </w:rPr>
      </w:pPr>
      <w:r w:rsidRPr="00257F44">
        <w:rPr>
          <w:rFonts w:ascii="Gill Sans" w:hAnsi="Gill Sans" w:cs="Gill Sans"/>
          <w:noProof/>
          <w:sz w:val="22"/>
          <w:szCs w:val="22"/>
          <w:lang w:val="uk-UA"/>
        </w:rPr>
        <w:t>Дата початку: Не визначено</w:t>
      </w:r>
      <w:r w:rsidRPr="00257F44">
        <w:rPr>
          <w:rFonts w:ascii="Gill Sans" w:hAnsi="Gill Sans" w:cs="Gill Sans"/>
          <w:noProof/>
          <w:sz w:val="22"/>
          <w:szCs w:val="22"/>
          <w:lang w:val="uk-UA"/>
        </w:rPr>
        <w:tab/>
      </w:r>
      <w:r w:rsidRPr="00257F44">
        <w:rPr>
          <w:rFonts w:ascii="Gill Sans" w:hAnsi="Gill Sans" w:cs="Gill Sans"/>
          <w:noProof/>
          <w:sz w:val="22"/>
          <w:szCs w:val="22"/>
          <w:lang w:val="uk-UA"/>
        </w:rPr>
        <w:tab/>
      </w:r>
      <w:r w:rsidRPr="00257F44">
        <w:rPr>
          <w:rFonts w:ascii="Gill Sans" w:hAnsi="Gill Sans" w:cs="Gill Sans"/>
          <w:noProof/>
          <w:sz w:val="22"/>
          <w:szCs w:val="22"/>
          <w:lang w:val="uk-UA"/>
        </w:rPr>
        <w:tab/>
      </w:r>
      <w:r w:rsidRPr="00257F44">
        <w:rPr>
          <w:rFonts w:ascii="Gill Sans" w:hAnsi="Gill Sans" w:cs="Gill Sans"/>
          <w:noProof/>
          <w:sz w:val="22"/>
          <w:szCs w:val="22"/>
          <w:lang w:val="uk-UA"/>
        </w:rPr>
        <w:tab/>
        <w:t>Термін виконання: 30 грудня 2015 р.</w:t>
      </w:r>
    </w:p>
    <w:tbl>
      <w:tblPr>
        <w:tblW w:w="10256"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1"/>
        <w:gridCol w:w="475"/>
        <w:gridCol w:w="418"/>
        <w:gridCol w:w="343"/>
        <w:gridCol w:w="343"/>
        <w:gridCol w:w="365"/>
        <w:gridCol w:w="365"/>
        <w:gridCol w:w="376"/>
        <w:gridCol w:w="725"/>
        <w:gridCol w:w="417"/>
        <w:gridCol w:w="341"/>
        <w:gridCol w:w="417"/>
        <w:gridCol w:w="373"/>
        <w:gridCol w:w="417"/>
        <w:gridCol w:w="535"/>
        <w:gridCol w:w="516"/>
        <w:gridCol w:w="405"/>
        <w:gridCol w:w="341"/>
        <w:gridCol w:w="344"/>
        <w:gridCol w:w="382"/>
        <w:gridCol w:w="442"/>
        <w:gridCol w:w="415"/>
      </w:tblGrid>
      <w:tr w:rsidR="00610004" w:rsidRPr="00257F44" w14:paraId="7D3AB418" w14:textId="77777777" w:rsidTr="00B223BA">
        <w:trPr>
          <w:trHeight w:val="405"/>
        </w:trPr>
        <w:tc>
          <w:tcPr>
            <w:tcW w:w="1501" w:type="dxa"/>
            <w:vMerge w:val="restart"/>
            <w:tcBorders>
              <w:top w:val="single" w:sz="18" w:space="0" w:color="FFFFFF"/>
              <w:left w:val="single" w:sz="4" w:space="0" w:color="FFFFFF"/>
              <w:right w:val="single" w:sz="18" w:space="0" w:color="FFFFFF"/>
            </w:tcBorders>
            <w:shd w:val="clear" w:color="auto" w:fill="000000"/>
          </w:tcPr>
          <w:p w14:paraId="18217E1E" w14:textId="1112AFB7" w:rsidR="00610004" w:rsidRPr="00257F44" w:rsidRDefault="00610004" w:rsidP="0084354E">
            <w:pPr>
              <w:rPr>
                <w:rFonts w:ascii="Gill Sans" w:hAnsi="Gill Sans" w:cs="Gill Sans"/>
                <w:color w:val="FFFFFF" w:themeColor="background1"/>
                <w:sz w:val="22"/>
                <w:szCs w:val="22"/>
                <w:lang w:val="uk-UA"/>
              </w:rPr>
            </w:pPr>
            <w:r w:rsidRPr="00257F44">
              <w:rPr>
                <w:rFonts w:ascii="Gill Sans" w:hAnsi="Gill Sans" w:cs="Gill Sans"/>
                <w:sz w:val="20"/>
                <w:szCs w:val="20"/>
                <w:lang w:val="uk-UA"/>
              </w:rPr>
              <w:t>Опис зобов’язання</w:t>
            </w:r>
          </w:p>
        </w:tc>
        <w:tc>
          <w:tcPr>
            <w:tcW w:w="1579" w:type="dxa"/>
            <w:gridSpan w:val="4"/>
            <w:vMerge w:val="restart"/>
            <w:tcBorders>
              <w:top w:val="single" w:sz="18" w:space="0" w:color="FFFFFF"/>
              <w:left w:val="single" w:sz="18" w:space="0" w:color="FFFFFF"/>
              <w:right w:val="single" w:sz="18" w:space="0" w:color="FFFFFF"/>
            </w:tcBorders>
            <w:shd w:val="clear" w:color="auto" w:fill="D6E3BC"/>
          </w:tcPr>
          <w:p w14:paraId="57F00CFA" w14:textId="2FD8C2B7"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Конкретність</w:t>
            </w:r>
          </w:p>
        </w:tc>
        <w:tc>
          <w:tcPr>
            <w:tcW w:w="1831" w:type="dxa"/>
            <w:gridSpan w:val="4"/>
            <w:vMerge w:val="restart"/>
            <w:tcBorders>
              <w:top w:val="single" w:sz="18" w:space="0" w:color="FFFFFF"/>
              <w:left w:val="single" w:sz="18" w:space="0" w:color="FFFFFF"/>
              <w:right w:val="single" w:sz="18" w:space="0" w:color="FFFFFF"/>
            </w:tcBorders>
            <w:shd w:val="clear" w:color="auto" w:fill="FBD4B4"/>
          </w:tcPr>
          <w:p w14:paraId="2F2EC8FC" w14:textId="458F493E"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Відповідність цінностям ПВУ (як сформульовано)</w:t>
            </w:r>
          </w:p>
        </w:tc>
        <w:tc>
          <w:tcPr>
            <w:tcW w:w="1548" w:type="dxa"/>
            <w:gridSpan w:val="4"/>
            <w:vMerge w:val="restart"/>
            <w:tcBorders>
              <w:top w:val="single" w:sz="18" w:space="0" w:color="FFFFFF"/>
              <w:left w:val="single" w:sz="18" w:space="0" w:color="FFFFFF"/>
              <w:right w:val="single" w:sz="18" w:space="0" w:color="FFFFFF"/>
            </w:tcBorders>
            <w:shd w:val="clear" w:color="auto" w:fill="CCC0D9"/>
          </w:tcPr>
          <w:p w14:paraId="30E1302F" w14:textId="18FA256D"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Потенційний вплив</w:t>
            </w:r>
          </w:p>
        </w:tc>
        <w:tc>
          <w:tcPr>
            <w:tcW w:w="952" w:type="dxa"/>
            <w:gridSpan w:val="2"/>
            <w:vMerge w:val="restart"/>
            <w:tcBorders>
              <w:top w:val="single" w:sz="18" w:space="0" w:color="FFFFFF"/>
              <w:left w:val="single" w:sz="18" w:space="0" w:color="FFFFFF"/>
              <w:right w:val="single" w:sz="2" w:space="0" w:color="FFFFFF"/>
            </w:tcBorders>
            <w:shd w:val="clear" w:color="auto" w:fill="B8CCE4"/>
          </w:tcPr>
          <w:p w14:paraId="4A023D3C" w14:textId="2967B40A"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Стан вико-нання</w:t>
            </w:r>
          </w:p>
        </w:tc>
        <w:tc>
          <w:tcPr>
            <w:tcW w:w="921" w:type="dxa"/>
            <w:gridSpan w:val="2"/>
            <w:tcBorders>
              <w:top w:val="single" w:sz="18" w:space="0" w:color="FFFFFF"/>
              <w:left w:val="single" w:sz="2" w:space="0" w:color="FFFFFF"/>
              <w:bottom w:val="single" w:sz="2" w:space="0" w:color="000000"/>
              <w:right w:val="single" w:sz="18" w:space="0" w:color="FFFFFF"/>
            </w:tcBorders>
            <w:shd w:val="clear" w:color="auto" w:fill="B8CCE4"/>
          </w:tcPr>
          <w:p w14:paraId="52F40F8C" w14:textId="6E46235A"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Про-міжний</w:t>
            </w:r>
          </w:p>
        </w:tc>
        <w:tc>
          <w:tcPr>
            <w:tcW w:w="1924" w:type="dxa"/>
            <w:gridSpan w:val="5"/>
            <w:vMerge w:val="restart"/>
            <w:tcBorders>
              <w:top w:val="single" w:sz="18" w:space="0" w:color="FFFFFF"/>
              <w:left w:val="single" w:sz="18" w:space="0" w:color="FFFFFF"/>
              <w:right w:val="single" w:sz="18" w:space="0" w:color="FFFFFF"/>
            </w:tcBorders>
            <w:shd w:val="clear" w:color="auto" w:fill="D99594"/>
          </w:tcPr>
          <w:p w14:paraId="78054526" w14:textId="59AC2C7E"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Чи відкрило це уряд?</w:t>
            </w:r>
          </w:p>
        </w:tc>
      </w:tr>
      <w:tr w:rsidR="00AE68C1" w:rsidRPr="00257F44" w14:paraId="5C658745" w14:textId="77777777" w:rsidTr="00B223BA">
        <w:trPr>
          <w:trHeight w:val="373"/>
        </w:trPr>
        <w:tc>
          <w:tcPr>
            <w:tcW w:w="1501" w:type="dxa"/>
            <w:vMerge/>
            <w:tcBorders>
              <w:left w:val="single" w:sz="4" w:space="0" w:color="FFFFFF"/>
              <w:right w:val="single" w:sz="18" w:space="0" w:color="FFFFFF"/>
            </w:tcBorders>
            <w:shd w:val="clear" w:color="auto" w:fill="000000"/>
          </w:tcPr>
          <w:p w14:paraId="501BEF22" w14:textId="04D5612B" w:rsidR="00AE68C1" w:rsidRPr="00257F44" w:rsidRDefault="00AE68C1" w:rsidP="0084354E">
            <w:pPr>
              <w:rPr>
                <w:rFonts w:ascii="Gill Sans" w:hAnsi="Gill Sans" w:cs="Gill Sans"/>
                <w:color w:val="FFFFFF" w:themeColor="background1"/>
                <w:sz w:val="22"/>
                <w:szCs w:val="22"/>
                <w:lang w:val="uk-UA"/>
              </w:rPr>
            </w:pPr>
          </w:p>
        </w:tc>
        <w:tc>
          <w:tcPr>
            <w:tcW w:w="1579" w:type="dxa"/>
            <w:gridSpan w:val="4"/>
            <w:vMerge/>
            <w:tcBorders>
              <w:left w:val="single" w:sz="18" w:space="0" w:color="FFFFFF"/>
              <w:bottom w:val="single" w:sz="18" w:space="0" w:color="FFFFFF"/>
              <w:right w:val="single" w:sz="18" w:space="0" w:color="FFFFFF"/>
            </w:tcBorders>
            <w:shd w:val="clear" w:color="auto" w:fill="D6E3BC"/>
          </w:tcPr>
          <w:p w14:paraId="5AB1D347" w14:textId="77777777" w:rsidR="00AE68C1" w:rsidRPr="00257F44" w:rsidRDefault="00AE68C1" w:rsidP="0084354E">
            <w:pPr>
              <w:rPr>
                <w:rFonts w:ascii="Gill Sans" w:hAnsi="Gill Sans" w:cs="Gill Sans"/>
                <w:sz w:val="22"/>
                <w:szCs w:val="22"/>
                <w:lang w:val="uk-UA"/>
              </w:rPr>
            </w:pPr>
          </w:p>
        </w:tc>
        <w:tc>
          <w:tcPr>
            <w:tcW w:w="1831" w:type="dxa"/>
            <w:gridSpan w:val="4"/>
            <w:vMerge/>
            <w:tcBorders>
              <w:left w:val="single" w:sz="18" w:space="0" w:color="FFFFFF"/>
              <w:bottom w:val="single" w:sz="18" w:space="0" w:color="FFFFFF"/>
              <w:right w:val="single" w:sz="18" w:space="0" w:color="FFFFFF"/>
            </w:tcBorders>
            <w:shd w:val="clear" w:color="auto" w:fill="FBD4B4"/>
          </w:tcPr>
          <w:p w14:paraId="73032228" w14:textId="77777777" w:rsidR="00AE68C1" w:rsidRPr="00257F44" w:rsidRDefault="00AE68C1" w:rsidP="0084354E">
            <w:pPr>
              <w:rPr>
                <w:rFonts w:ascii="Gill Sans" w:hAnsi="Gill Sans" w:cs="Gill Sans"/>
                <w:sz w:val="22"/>
                <w:szCs w:val="22"/>
                <w:lang w:val="uk-UA"/>
              </w:rPr>
            </w:pPr>
          </w:p>
        </w:tc>
        <w:tc>
          <w:tcPr>
            <w:tcW w:w="1548" w:type="dxa"/>
            <w:gridSpan w:val="4"/>
            <w:vMerge/>
            <w:tcBorders>
              <w:left w:val="single" w:sz="18" w:space="0" w:color="FFFFFF"/>
              <w:bottom w:val="single" w:sz="18" w:space="0" w:color="FFFFFF"/>
              <w:right w:val="single" w:sz="18" w:space="0" w:color="FFFFFF"/>
            </w:tcBorders>
            <w:shd w:val="clear" w:color="auto" w:fill="CCC0D9"/>
          </w:tcPr>
          <w:p w14:paraId="5A4250CA" w14:textId="77777777" w:rsidR="00AE68C1" w:rsidRPr="00257F44" w:rsidRDefault="00AE68C1" w:rsidP="0084354E">
            <w:pPr>
              <w:rPr>
                <w:rFonts w:ascii="Gill Sans" w:hAnsi="Gill Sans" w:cs="Gill Sans"/>
                <w:sz w:val="22"/>
                <w:szCs w:val="22"/>
                <w:lang w:val="uk-UA"/>
              </w:rPr>
            </w:pPr>
          </w:p>
        </w:tc>
        <w:tc>
          <w:tcPr>
            <w:tcW w:w="952" w:type="dxa"/>
            <w:gridSpan w:val="2"/>
            <w:vMerge/>
            <w:tcBorders>
              <w:left w:val="single" w:sz="18" w:space="0" w:color="FFFFFF"/>
              <w:bottom w:val="single" w:sz="18" w:space="0" w:color="FFFFFF"/>
              <w:right w:val="single" w:sz="2" w:space="0" w:color="FFFFFF"/>
            </w:tcBorders>
            <w:shd w:val="clear" w:color="auto" w:fill="B8CCE4"/>
          </w:tcPr>
          <w:p w14:paraId="3D2243C1" w14:textId="77777777" w:rsidR="00AE68C1" w:rsidRPr="00257F44" w:rsidRDefault="00AE68C1" w:rsidP="0084354E">
            <w:pPr>
              <w:rPr>
                <w:rFonts w:ascii="Gill Sans" w:hAnsi="Gill Sans" w:cs="Gill Sans"/>
                <w:sz w:val="22"/>
                <w:szCs w:val="22"/>
                <w:lang w:val="uk-UA"/>
              </w:rPr>
            </w:pPr>
          </w:p>
        </w:tc>
        <w:tc>
          <w:tcPr>
            <w:tcW w:w="921" w:type="dxa"/>
            <w:gridSpan w:val="2"/>
            <w:tcBorders>
              <w:top w:val="single" w:sz="2" w:space="0" w:color="000000"/>
              <w:left w:val="single" w:sz="2" w:space="0" w:color="FFFFFF"/>
              <w:bottom w:val="single" w:sz="18" w:space="0" w:color="FFFFFF"/>
              <w:right w:val="single" w:sz="18" w:space="0" w:color="FFFFFF"/>
            </w:tcBorders>
            <w:shd w:val="clear" w:color="auto" w:fill="B8CCE4"/>
          </w:tcPr>
          <w:p w14:paraId="668E0BF1" w14:textId="07790CC9" w:rsidR="00AE68C1" w:rsidRPr="00257F44" w:rsidRDefault="00610004" w:rsidP="0084354E">
            <w:pPr>
              <w:rPr>
                <w:rFonts w:ascii="Gill Sans" w:hAnsi="Gill Sans" w:cs="Gill Sans"/>
                <w:sz w:val="20"/>
                <w:szCs w:val="20"/>
                <w:lang w:val="uk-UA"/>
              </w:rPr>
            </w:pPr>
            <w:r w:rsidRPr="00257F44">
              <w:rPr>
                <w:rFonts w:ascii="Gill Sans" w:hAnsi="Gill Sans" w:cs="Gill Sans"/>
                <w:sz w:val="20"/>
                <w:szCs w:val="20"/>
                <w:lang w:val="uk-UA"/>
              </w:rPr>
              <w:t>Підсум-ковий</w:t>
            </w:r>
          </w:p>
        </w:tc>
        <w:tc>
          <w:tcPr>
            <w:tcW w:w="1924" w:type="dxa"/>
            <w:gridSpan w:val="5"/>
            <w:vMerge/>
            <w:tcBorders>
              <w:left w:val="single" w:sz="18" w:space="0" w:color="FFFFFF"/>
              <w:bottom w:val="single" w:sz="18" w:space="0" w:color="FFFFFF"/>
              <w:right w:val="single" w:sz="18" w:space="0" w:color="FFFFFF"/>
            </w:tcBorders>
            <w:shd w:val="clear" w:color="auto" w:fill="D99594"/>
          </w:tcPr>
          <w:p w14:paraId="726D0BAB" w14:textId="77777777" w:rsidR="00AE68C1" w:rsidRPr="00257F44" w:rsidRDefault="00AE68C1" w:rsidP="0084354E">
            <w:pPr>
              <w:rPr>
                <w:rFonts w:ascii="Gill Sans" w:hAnsi="Gill Sans" w:cs="Gill Sans"/>
                <w:sz w:val="22"/>
                <w:szCs w:val="22"/>
                <w:lang w:val="uk-UA"/>
              </w:rPr>
            </w:pPr>
          </w:p>
        </w:tc>
      </w:tr>
      <w:tr w:rsidR="00610004" w:rsidRPr="00257F44" w14:paraId="295A4856" w14:textId="77777777" w:rsidTr="008E6DEA">
        <w:trPr>
          <w:cantSplit/>
          <w:trHeight w:val="2336"/>
        </w:trPr>
        <w:tc>
          <w:tcPr>
            <w:tcW w:w="1501" w:type="dxa"/>
            <w:vMerge/>
            <w:tcBorders>
              <w:left w:val="single" w:sz="4" w:space="0" w:color="FFFFFF"/>
              <w:right w:val="single" w:sz="18" w:space="0" w:color="FFFFFF"/>
            </w:tcBorders>
            <w:shd w:val="clear" w:color="auto" w:fill="000000"/>
          </w:tcPr>
          <w:p w14:paraId="3E034E7D" w14:textId="29E62EE9" w:rsidR="00610004" w:rsidRPr="00257F44" w:rsidRDefault="00610004" w:rsidP="0084354E">
            <w:pPr>
              <w:rPr>
                <w:rFonts w:ascii="Gill Sans" w:hAnsi="Gill Sans" w:cs="Gill Sans"/>
                <w:color w:val="FFFFFF" w:themeColor="background1"/>
                <w:sz w:val="22"/>
                <w:szCs w:val="22"/>
                <w:lang w:val="uk-UA"/>
              </w:rPr>
            </w:pPr>
          </w:p>
        </w:tc>
        <w:tc>
          <w:tcPr>
            <w:tcW w:w="475" w:type="dxa"/>
            <w:tcBorders>
              <w:top w:val="single" w:sz="18" w:space="0" w:color="FFFFFF"/>
              <w:left w:val="single" w:sz="18" w:space="0" w:color="FFFFFF"/>
              <w:bottom w:val="single" w:sz="18" w:space="0" w:color="FFFFFF"/>
              <w:right w:val="single" w:sz="2" w:space="0" w:color="FFFFFF"/>
            </w:tcBorders>
            <w:shd w:val="clear" w:color="auto" w:fill="D6E3BC"/>
            <w:textDirection w:val="btLr"/>
            <w:vAlign w:val="center"/>
          </w:tcPr>
          <w:p w14:paraId="1FE6E4E2" w14:textId="5AD72290"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Відсутня</w:t>
            </w:r>
          </w:p>
        </w:tc>
        <w:tc>
          <w:tcPr>
            <w:tcW w:w="418"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77E772E9" w14:textId="1BA3DE0A"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Низька</w:t>
            </w:r>
          </w:p>
        </w:tc>
        <w:tc>
          <w:tcPr>
            <w:tcW w:w="343" w:type="dxa"/>
            <w:tcBorders>
              <w:top w:val="single" w:sz="18" w:space="0" w:color="FFFFFF"/>
              <w:left w:val="single" w:sz="2" w:space="0" w:color="FFFFFF"/>
              <w:bottom w:val="single" w:sz="18" w:space="0" w:color="FFFFFF"/>
              <w:right w:val="single" w:sz="2" w:space="0" w:color="FFFFFF"/>
            </w:tcBorders>
            <w:shd w:val="clear" w:color="auto" w:fill="D6E3BC"/>
            <w:textDirection w:val="btLr"/>
            <w:vAlign w:val="center"/>
          </w:tcPr>
          <w:p w14:paraId="0530596C" w14:textId="5C7A4BE9"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Середня</w:t>
            </w:r>
          </w:p>
        </w:tc>
        <w:tc>
          <w:tcPr>
            <w:tcW w:w="343" w:type="dxa"/>
            <w:tcBorders>
              <w:top w:val="single" w:sz="18" w:space="0" w:color="FFFFFF"/>
              <w:left w:val="single" w:sz="2" w:space="0" w:color="FFFFFF"/>
              <w:bottom w:val="single" w:sz="18" w:space="0" w:color="FFFFFF"/>
              <w:right w:val="single" w:sz="18" w:space="0" w:color="FFFFFF"/>
            </w:tcBorders>
            <w:shd w:val="clear" w:color="auto" w:fill="D6E3BC"/>
            <w:textDirection w:val="btLr"/>
            <w:vAlign w:val="center"/>
          </w:tcPr>
          <w:p w14:paraId="2AE3329E" w14:textId="6E656D2A"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Висока</w:t>
            </w:r>
          </w:p>
        </w:tc>
        <w:tc>
          <w:tcPr>
            <w:tcW w:w="365"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69199B95" w14:textId="2BFD470D"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Доступ до інформації</w:t>
            </w:r>
          </w:p>
        </w:tc>
        <w:tc>
          <w:tcPr>
            <w:tcW w:w="365"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16728836" w14:textId="22711CB8"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Громадська участь</w:t>
            </w:r>
          </w:p>
        </w:tc>
        <w:tc>
          <w:tcPr>
            <w:tcW w:w="376" w:type="dxa"/>
            <w:tcBorders>
              <w:top w:val="single" w:sz="18" w:space="0" w:color="FFFFFF"/>
              <w:left w:val="single" w:sz="2" w:space="0" w:color="FFFFFF"/>
              <w:bottom w:val="single" w:sz="18" w:space="0" w:color="FFFFFF"/>
              <w:right w:val="single" w:sz="2" w:space="0" w:color="FFFFFF"/>
            </w:tcBorders>
            <w:shd w:val="clear" w:color="auto" w:fill="FBD4B4"/>
            <w:textDirection w:val="btLr"/>
            <w:vAlign w:val="center"/>
          </w:tcPr>
          <w:p w14:paraId="42E0345E" w14:textId="6626081A"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Підзвітність влади</w:t>
            </w:r>
          </w:p>
        </w:tc>
        <w:tc>
          <w:tcPr>
            <w:tcW w:w="725" w:type="dxa"/>
            <w:tcBorders>
              <w:top w:val="single" w:sz="18" w:space="0" w:color="FFFFFF"/>
              <w:left w:val="single" w:sz="2" w:space="0" w:color="FFFFFF"/>
              <w:bottom w:val="single" w:sz="18" w:space="0" w:color="FFFFFF"/>
              <w:right w:val="single" w:sz="18" w:space="0" w:color="FFFFFF"/>
            </w:tcBorders>
            <w:shd w:val="clear" w:color="auto" w:fill="FBD4B4"/>
            <w:textDirection w:val="btLr"/>
            <w:vAlign w:val="center"/>
          </w:tcPr>
          <w:p w14:paraId="2E45CF32" w14:textId="2FC3A53B"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Технології та інновації для прозорості й підзвітності</w:t>
            </w:r>
          </w:p>
        </w:tc>
        <w:tc>
          <w:tcPr>
            <w:tcW w:w="417" w:type="dxa"/>
            <w:tcBorders>
              <w:top w:val="single" w:sz="18" w:space="0" w:color="FFFFFF"/>
              <w:left w:val="single" w:sz="18" w:space="0" w:color="FFFFFF"/>
              <w:bottom w:val="single" w:sz="18" w:space="0" w:color="FFFFFF"/>
              <w:right w:val="single" w:sz="2" w:space="0" w:color="FFFFFF"/>
            </w:tcBorders>
            <w:shd w:val="clear" w:color="auto" w:fill="CCC0D9"/>
            <w:textDirection w:val="btLr"/>
            <w:vAlign w:val="center"/>
          </w:tcPr>
          <w:p w14:paraId="472A6ADC" w14:textId="357E56AF"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Жодного</w:t>
            </w:r>
          </w:p>
        </w:tc>
        <w:tc>
          <w:tcPr>
            <w:tcW w:w="341"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41524E84" w14:textId="309D118C"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Незначний</w:t>
            </w:r>
          </w:p>
        </w:tc>
        <w:tc>
          <w:tcPr>
            <w:tcW w:w="417" w:type="dxa"/>
            <w:tcBorders>
              <w:top w:val="single" w:sz="18" w:space="0" w:color="FFFFFF"/>
              <w:left w:val="single" w:sz="2" w:space="0" w:color="FFFFFF"/>
              <w:bottom w:val="single" w:sz="18" w:space="0" w:color="FFFFFF"/>
              <w:right w:val="single" w:sz="2" w:space="0" w:color="FFFFFF"/>
            </w:tcBorders>
            <w:shd w:val="clear" w:color="auto" w:fill="CCC0D9"/>
            <w:textDirection w:val="btLr"/>
            <w:vAlign w:val="center"/>
          </w:tcPr>
          <w:p w14:paraId="0D9AFA91" w14:textId="4CBA76D6"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Помірний</w:t>
            </w:r>
          </w:p>
        </w:tc>
        <w:tc>
          <w:tcPr>
            <w:tcW w:w="373" w:type="dxa"/>
            <w:tcBorders>
              <w:top w:val="single" w:sz="18" w:space="0" w:color="FFFFFF"/>
              <w:left w:val="single" w:sz="2" w:space="0" w:color="FFFFFF"/>
              <w:bottom w:val="single" w:sz="18" w:space="0" w:color="FFFFFF"/>
              <w:right w:val="single" w:sz="18" w:space="0" w:color="FFFFFF"/>
            </w:tcBorders>
            <w:shd w:val="clear" w:color="auto" w:fill="CCC0D9"/>
            <w:textDirection w:val="btLr"/>
            <w:vAlign w:val="center"/>
          </w:tcPr>
          <w:p w14:paraId="0D8B53A3" w14:textId="16A76D22"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Трансформуючий</w:t>
            </w:r>
          </w:p>
        </w:tc>
        <w:tc>
          <w:tcPr>
            <w:tcW w:w="417" w:type="dxa"/>
            <w:tcBorders>
              <w:top w:val="single" w:sz="18" w:space="0" w:color="FFFFFF"/>
              <w:left w:val="single" w:sz="18" w:space="0" w:color="FFFFFF"/>
              <w:bottom w:val="single" w:sz="18" w:space="0" w:color="FFFFFF"/>
              <w:right w:val="single" w:sz="2" w:space="0" w:color="FFFFFF"/>
            </w:tcBorders>
            <w:shd w:val="clear" w:color="auto" w:fill="B8CCE4"/>
            <w:textDirection w:val="btLr"/>
            <w:vAlign w:val="center"/>
          </w:tcPr>
          <w:p w14:paraId="35144837" w14:textId="4C3FEFDC"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Не розпочато</w:t>
            </w:r>
          </w:p>
        </w:tc>
        <w:tc>
          <w:tcPr>
            <w:tcW w:w="535"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66234211" w14:textId="2C1E4BA2"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Обмежене</w:t>
            </w:r>
          </w:p>
        </w:tc>
        <w:tc>
          <w:tcPr>
            <w:tcW w:w="516" w:type="dxa"/>
            <w:tcBorders>
              <w:top w:val="single" w:sz="18" w:space="0" w:color="FFFFFF"/>
              <w:left w:val="single" w:sz="2" w:space="0" w:color="FFFFFF"/>
              <w:bottom w:val="single" w:sz="18" w:space="0" w:color="FFFFFF"/>
              <w:right w:val="single" w:sz="2" w:space="0" w:color="FFFFFF"/>
            </w:tcBorders>
            <w:shd w:val="clear" w:color="auto" w:fill="B8CCE4"/>
            <w:textDirection w:val="btLr"/>
            <w:vAlign w:val="center"/>
          </w:tcPr>
          <w:p w14:paraId="71AA6914" w14:textId="6C8C8903"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Значне</w:t>
            </w:r>
          </w:p>
        </w:tc>
        <w:tc>
          <w:tcPr>
            <w:tcW w:w="405" w:type="dxa"/>
            <w:tcBorders>
              <w:top w:val="single" w:sz="18" w:space="0" w:color="FFFFFF"/>
              <w:left w:val="single" w:sz="2" w:space="0" w:color="FFFFFF"/>
              <w:bottom w:val="single" w:sz="18" w:space="0" w:color="FFFFFF"/>
              <w:right w:val="single" w:sz="18" w:space="0" w:color="FFFFFF"/>
            </w:tcBorders>
            <w:shd w:val="clear" w:color="auto" w:fill="B8CCE4"/>
            <w:textDirection w:val="btLr"/>
            <w:vAlign w:val="center"/>
          </w:tcPr>
          <w:p w14:paraId="318E1B7A" w14:textId="1C1CD9F3"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Повне</w:t>
            </w:r>
          </w:p>
        </w:tc>
        <w:tc>
          <w:tcPr>
            <w:tcW w:w="341" w:type="dxa"/>
            <w:tcBorders>
              <w:top w:val="single" w:sz="18" w:space="0" w:color="FFFFFF"/>
              <w:left w:val="single" w:sz="18" w:space="0" w:color="FFFFFF"/>
              <w:bottom w:val="single" w:sz="18" w:space="0" w:color="FFFFFF"/>
              <w:right w:val="single" w:sz="2" w:space="0" w:color="FFFFFF"/>
            </w:tcBorders>
            <w:shd w:val="clear" w:color="auto" w:fill="D99594"/>
            <w:textDirection w:val="btLr"/>
          </w:tcPr>
          <w:p w14:paraId="33C0F0DC" w14:textId="0F01E712"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Погіршило</w:t>
            </w:r>
          </w:p>
        </w:tc>
        <w:tc>
          <w:tcPr>
            <w:tcW w:w="344"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0BE50416" w14:textId="40BC04AB"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Не змінило</w:t>
            </w:r>
          </w:p>
        </w:tc>
        <w:tc>
          <w:tcPr>
            <w:tcW w:w="38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6BDA8380" w14:textId="4F0D8D02"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Обмежено</w:t>
            </w:r>
          </w:p>
        </w:tc>
        <w:tc>
          <w:tcPr>
            <w:tcW w:w="442" w:type="dxa"/>
            <w:tcBorders>
              <w:top w:val="single" w:sz="18" w:space="0" w:color="FFFFFF"/>
              <w:left w:val="single" w:sz="2" w:space="0" w:color="FFFFFF"/>
              <w:bottom w:val="single" w:sz="18" w:space="0" w:color="FFFFFF"/>
              <w:right w:val="single" w:sz="2" w:space="0" w:color="FFFFFF"/>
            </w:tcBorders>
            <w:shd w:val="clear" w:color="auto" w:fill="D99594"/>
            <w:textDirection w:val="btLr"/>
          </w:tcPr>
          <w:p w14:paraId="38F3B897" w14:textId="2B608BC9"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Значною мірою</w:t>
            </w:r>
          </w:p>
        </w:tc>
        <w:tc>
          <w:tcPr>
            <w:tcW w:w="415" w:type="dxa"/>
            <w:tcBorders>
              <w:top w:val="single" w:sz="18" w:space="0" w:color="FFFFFF"/>
              <w:left w:val="single" w:sz="2" w:space="0" w:color="FFFFFF"/>
              <w:bottom w:val="single" w:sz="18" w:space="0" w:color="FFFFFF"/>
              <w:right w:val="single" w:sz="18" w:space="0" w:color="FFFFFF"/>
            </w:tcBorders>
            <w:shd w:val="clear" w:color="auto" w:fill="D99594"/>
            <w:textDirection w:val="btLr"/>
          </w:tcPr>
          <w:p w14:paraId="78FD52B1" w14:textId="61D88931" w:rsidR="00610004" w:rsidRPr="00257F44" w:rsidRDefault="00610004" w:rsidP="0084354E">
            <w:pPr>
              <w:rPr>
                <w:rFonts w:ascii="Gill Sans" w:hAnsi="Gill Sans" w:cs="Gill Sans"/>
                <w:sz w:val="22"/>
                <w:szCs w:val="22"/>
                <w:lang w:val="uk-UA"/>
              </w:rPr>
            </w:pPr>
            <w:r w:rsidRPr="00257F44">
              <w:rPr>
                <w:rFonts w:ascii="Gill Sans" w:hAnsi="Gill Sans" w:cs="Gill Sans"/>
                <w:sz w:val="20"/>
                <w:szCs w:val="20"/>
                <w:lang w:val="uk-UA"/>
              </w:rPr>
              <w:t>Визначною мірою</w:t>
            </w:r>
          </w:p>
        </w:tc>
      </w:tr>
      <w:tr w:rsidR="00AE68C1" w:rsidRPr="00257F44" w14:paraId="2E7C6885" w14:textId="77777777" w:rsidTr="00B223BA">
        <w:trPr>
          <w:trHeight w:val="340"/>
        </w:trPr>
        <w:tc>
          <w:tcPr>
            <w:tcW w:w="1501" w:type="dxa"/>
            <w:vMerge/>
            <w:tcBorders>
              <w:left w:val="single" w:sz="4" w:space="0" w:color="FFFFFF"/>
              <w:right w:val="single" w:sz="18" w:space="0" w:color="FFFFFF"/>
            </w:tcBorders>
            <w:shd w:val="clear" w:color="auto" w:fill="000000"/>
          </w:tcPr>
          <w:p w14:paraId="0795E4C9" w14:textId="58BFB103" w:rsidR="00AE68C1" w:rsidRPr="00257F44" w:rsidRDefault="00AE68C1" w:rsidP="0084354E">
            <w:pPr>
              <w:rPr>
                <w:rFonts w:ascii="Gill Sans" w:hAnsi="Gill Sans" w:cs="Gill Sans"/>
                <w:color w:val="FFFFFF" w:themeColor="background1"/>
                <w:sz w:val="22"/>
                <w:szCs w:val="22"/>
                <w:lang w:val="uk-UA"/>
              </w:rPr>
            </w:pPr>
          </w:p>
        </w:tc>
        <w:tc>
          <w:tcPr>
            <w:tcW w:w="475" w:type="dxa"/>
            <w:vMerge w:val="restart"/>
            <w:tcBorders>
              <w:top w:val="single" w:sz="18" w:space="0" w:color="FFFFFF"/>
              <w:left w:val="single" w:sz="18" w:space="0" w:color="FFFFFF"/>
              <w:right w:val="single" w:sz="2" w:space="0" w:color="FFFFFF"/>
            </w:tcBorders>
            <w:shd w:val="clear" w:color="auto" w:fill="D6E3BC"/>
          </w:tcPr>
          <w:p w14:paraId="1C76A8D2" w14:textId="77777777" w:rsidR="00AE68C1" w:rsidRPr="00257F44" w:rsidRDefault="00AE68C1" w:rsidP="0084354E">
            <w:pPr>
              <w:jc w:val="center"/>
              <w:rPr>
                <w:rFonts w:ascii="Gill Sans" w:hAnsi="Gill Sans" w:cs="Gill Sans"/>
                <w:sz w:val="22"/>
                <w:szCs w:val="22"/>
                <w:lang w:val="uk-UA"/>
              </w:rPr>
            </w:pPr>
          </w:p>
        </w:tc>
        <w:tc>
          <w:tcPr>
            <w:tcW w:w="418" w:type="dxa"/>
            <w:vMerge w:val="restart"/>
            <w:tcBorders>
              <w:top w:val="single" w:sz="18" w:space="0" w:color="FFFFFF"/>
              <w:left w:val="single" w:sz="2" w:space="0" w:color="FFFFFF"/>
              <w:right w:val="single" w:sz="2" w:space="0" w:color="FFFFFF"/>
            </w:tcBorders>
            <w:shd w:val="clear" w:color="auto" w:fill="D6E3BC"/>
          </w:tcPr>
          <w:p w14:paraId="0F3743CE" w14:textId="77777777" w:rsidR="00AE68C1" w:rsidRPr="00257F44" w:rsidRDefault="00AE68C1" w:rsidP="0084354E">
            <w:pPr>
              <w:jc w:val="center"/>
              <w:rPr>
                <w:rFonts w:ascii="Gill Sans" w:hAnsi="Gill Sans" w:cs="Gill Sans"/>
                <w:sz w:val="22"/>
                <w:szCs w:val="22"/>
                <w:lang w:val="uk-UA"/>
              </w:rPr>
            </w:pPr>
          </w:p>
        </w:tc>
        <w:tc>
          <w:tcPr>
            <w:tcW w:w="343" w:type="dxa"/>
            <w:vMerge w:val="restart"/>
            <w:tcBorders>
              <w:top w:val="single" w:sz="18" w:space="0" w:color="FFFFFF"/>
              <w:left w:val="single" w:sz="2" w:space="0" w:color="FFFFFF"/>
              <w:right w:val="single" w:sz="2" w:space="0" w:color="FFFFFF"/>
            </w:tcBorders>
            <w:shd w:val="clear" w:color="auto" w:fill="D6E3BC"/>
          </w:tcPr>
          <w:p w14:paraId="5630DC33" w14:textId="1E27A63D" w:rsidR="00AE68C1" w:rsidRPr="00257F44" w:rsidRDefault="00AE68C1" w:rsidP="0084354E">
            <w:pPr>
              <w:jc w:val="center"/>
              <w:rPr>
                <w:rFonts w:ascii="Gill Sans" w:hAnsi="Gill Sans" w:cs="Gill Sans"/>
                <w:sz w:val="22"/>
                <w:szCs w:val="22"/>
                <w:lang w:val="uk-UA"/>
              </w:rPr>
            </w:pPr>
            <w:r w:rsidRPr="00257F44">
              <w:rPr>
                <w:rFonts w:ascii="Zapf Dingbats" w:eastAsia="MS Mincho" w:hAnsi="Zapf Dingbats" w:cs="MS Mincho"/>
                <w:noProof/>
                <w:sz w:val="22"/>
                <w:szCs w:val="22"/>
                <w:lang w:val="uk-UA"/>
              </w:rPr>
              <w:t>✔</w:t>
            </w:r>
          </w:p>
        </w:tc>
        <w:tc>
          <w:tcPr>
            <w:tcW w:w="343" w:type="dxa"/>
            <w:vMerge w:val="restart"/>
            <w:tcBorders>
              <w:top w:val="single" w:sz="18" w:space="0" w:color="FFFFFF"/>
              <w:left w:val="single" w:sz="2" w:space="0" w:color="FFFFFF"/>
              <w:right w:val="single" w:sz="18" w:space="0" w:color="FFFFFF"/>
            </w:tcBorders>
            <w:shd w:val="clear" w:color="auto" w:fill="D6E3BC"/>
          </w:tcPr>
          <w:p w14:paraId="2B7C6A5E" w14:textId="52EE61B8" w:rsidR="00AE68C1" w:rsidRPr="00257F44" w:rsidRDefault="00AE68C1" w:rsidP="0084354E">
            <w:pPr>
              <w:jc w:val="center"/>
              <w:rPr>
                <w:rFonts w:ascii="Gill Sans" w:hAnsi="Gill Sans" w:cs="Gill Sans"/>
                <w:noProof/>
                <w:sz w:val="22"/>
                <w:szCs w:val="22"/>
                <w:lang w:val="uk-UA"/>
              </w:rPr>
            </w:pPr>
          </w:p>
        </w:tc>
        <w:tc>
          <w:tcPr>
            <w:tcW w:w="1831" w:type="dxa"/>
            <w:gridSpan w:val="4"/>
            <w:vMerge w:val="restart"/>
            <w:tcBorders>
              <w:top w:val="single" w:sz="18" w:space="0" w:color="FFFFFF"/>
              <w:left w:val="single" w:sz="2" w:space="0" w:color="FFFFFF"/>
              <w:right w:val="single" w:sz="18" w:space="0" w:color="FFFFFF"/>
            </w:tcBorders>
            <w:shd w:val="clear" w:color="auto" w:fill="FBD4B4"/>
          </w:tcPr>
          <w:p w14:paraId="7A72F770" w14:textId="5A25C983" w:rsidR="00AE68C1" w:rsidRPr="00257F44" w:rsidRDefault="00610004" w:rsidP="0084354E">
            <w:pPr>
              <w:jc w:val="center"/>
              <w:rPr>
                <w:rFonts w:ascii="Gill Sans" w:hAnsi="Gill Sans" w:cs="Gill Sans"/>
                <w:sz w:val="22"/>
                <w:szCs w:val="22"/>
                <w:lang w:val="uk-UA"/>
              </w:rPr>
            </w:pPr>
            <w:r w:rsidRPr="00257F44">
              <w:rPr>
                <w:rFonts w:ascii="Gill Sans" w:hAnsi="Gill Sans" w:cs="Gill Sans"/>
                <w:sz w:val="22"/>
                <w:szCs w:val="22"/>
                <w:lang w:val="uk-UA"/>
              </w:rPr>
              <w:t>Незрозуміло</w:t>
            </w:r>
          </w:p>
        </w:tc>
        <w:tc>
          <w:tcPr>
            <w:tcW w:w="417" w:type="dxa"/>
            <w:vMerge w:val="restart"/>
            <w:tcBorders>
              <w:top w:val="single" w:sz="18" w:space="0" w:color="FFFFFF"/>
              <w:left w:val="single" w:sz="18" w:space="0" w:color="FFFFFF"/>
              <w:right w:val="single" w:sz="2" w:space="0" w:color="FFFFFF"/>
            </w:tcBorders>
            <w:shd w:val="clear" w:color="auto" w:fill="CCC0D9"/>
          </w:tcPr>
          <w:p w14:paraId="278B761B" w14:textId="77777777" w:rsidR="00AE68C1" w:rsidRPr="00257F44" w:rsidRDefault="00AE68C1" w:rsidP="0084354E">
            <w:pPr>
              <w:jc w:val="center"/>
              <w:rPr>
                <w:rFonts w:ascii="Gill Sans" w:hAnsi="Gill Sans" w:cs="Gill Sans"/>
                <w:sz w:val="22"/>
                <w:szCs w:val="22"/>
                <w:lang w:val="uk-UA"/>
              </w:rPr>
            </w:pPr>
          </w:p>
        </w:tc>
        <w:tc>
          <w:tcPr>
            <w:tcW w:w="341" w:type="dxa"/>
            <w:vMerge w:val="restart"/>
            <w:tcBorders>
              <w:top w:val="single" w:sz="18" w:space="0" w:color="FFFFFF"/>
              <w:left w:val="single" w:sz="2" w:space="0" w:color="FFFFFF"/>
              <w:right w:val="single" w:sz="2" w:space="0" w:color="FFFFFF"/>
            </w:tcBorders>
            <w:shd w:val="clear" w:color="auto" w:fill="CCC0D9"/>
          </w:tcPr>
          <w:p w14:paraId="2C3EAB5F" w14:textId="600122D0" w:rsidR="00AE68C1" w:rsidRPr="00257F44" w:rsidRDefault="00AE68C1" w:rsidP="0084354E">
            <w:pPr>
              <w:jc w:val="cente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417" w:type="dxa"/>
            <w:vMerge w:val="restart"/>
            <w:tcBorders>
              <w:top w:val="single" w:sz="18" w:space="0" w:color="FFFFFF"/>
              <w:left w:val="single" w:sz="2" w:space="0" w:color="FFFFFF"/>
              <w:right w:val="single" w:sz="2" w:space="0" w:color="FFFFFF"/>
            </w:tcBorders>
            <w:shd w:val="clear" w:color="auto" w:fill="CCC0D9"/>
          </w:tcPr>
          <w:p w14:paraId="7B4132E0" w14:textId="26A162C6" w:rsidR="00AE68C1" w:rsidRPr="00257F44" w:rsidRDefault="00AE68C1" w:rsidP="0084354E">
            <w:pPr>
              <w:jc w:val="center"/>
              <w:rPr>
                <w:rFonts w:ascii="Zapf Dingbats" w:eastAsia="MS Mincho" w:hAnsi="Zapf Dingbats" w:cs="MS Mincho"/>
                <w:noProof/>
                <w:sz w:val="22"/>
                <w:szCs w:val="22"/>
                <w:lang w:val="uk-UA"/>
              </w:rPr>
            </w:pPr>
          </w:p>
        </w:tc>
        <w:tc>
          <w:tcPr>
            <w:tcW w:w="373" w:type="dxa"/>
            <w:vMerge w:val="restart"/>
            <w:tcBorders>
              <w:top w:val="single" w:sz="18" w:space="0" w:color="FFFFFF"/>
              <w:left w:val="single" w:sz="2" w:space="0" w:color="FFFFFF"/>
              <w:right w:val="single" w:sz="18" w:space="0" w:color="FFFFFF"/>
            </w:tcBorders>
            <w:shd w:val="clear" w:color="auto" w:fill="CCC0D9"/>
          </w:tcPr>
          <w:p w14:paraId="0F49B3A3" w14:textId="77777777" w:rsidR="00AE68C1" w:rsidRPr="00257F44" w:rsidRDefault="00AE68C1" w:rsidP="0084354E">
            <w:pPr>
              <w:jc w:val="center"/>
              <w:rPr>
                <w:rFonts w:ascii="Zapf Dingbats" w:eastAsia="MS Mincho" w:hAnsi="Zapf Dingbats" w:cs="MS Mincho"/>
                <w:noProof/>
                <w:sz w:val="22"/>
                <w:szCs w:val="22"/>
                <w:lang w:val="uk-UA"/>
              </w:rPr>
            </w:pPr>
          </w:p>
        </w:tc>
        <w:tc>
          <w:tcPr>
            <w:tcW w:w="417" w:type="dxa"/>
            <w:tcBorders>
              <w:top w:val="single" w:sz="18" w:space="0" w:color="FFFFFF"/>
              <w:left w:val="single" w:sz="18" w:space="0" w:color="FFFFFF"/>
              <w:bottom w:val="nil"/>
              <w:right w:val="single" w:sz="4" w:space="0" w:color="FFFFFF" w:themeColor="background1"/>
            </w:tcBorders>
            <w:shd w:val="clear" w:color="auto" w:fill="B8CCE4"/>
          </w:tcPr>
          <w:p w14:paraId="197D3C39" w14:textId="77777777" w:rsidR="00AE68C1" w:rsidRPr="00257F44" w:rsidRDefault="00AE68C1" w:rsidP="0084354E">
            <w:pPr>
              <w:jc w:val="center"/>
              <w:rPr>
                <w:rFonts w:ascii="Zapf Dingbats" w:eastAsia="MS Mincho" w:hAnsi="Zapf Dingbats" w:cs="MS Mincho"/>
                <w:noProof/>
                <w:sz w:val="22"/>
                <w:szCs w:val="22"/>
                <w:lang w:val="uk-UA"/>
              </w:rPr>
            </w:pPr>
          </w:p>
        </w:tc>
        <w:tc>
          <w:tcPr>
            <w:tcW w:w="535" w:type="dxa"/>
            <w:tcBorders>
              <w:top w:val="single" w:sz="18" w:space="0" w:color="FFFFFF"/>
              <w:left w:val="single" w:sz="4" w:space="0" w:color="FFFFFF" w:themeColor="background1"/>
              <w:bottom w:val="nil"/>
              <w:right w:val="single" w:sz="4" w:space="0" w:color="FFFFFF" w:themeColor="background1"/>
            </w:tcBorders>
            <w:shd w:val="clear" w:color="auto" w:fill="B8CCE4"/>
          </w:tcPr>
          <w:p w14:paraId="747C1F89" w14:textId="77777777" w:rsidR="00AE68C1" w:rsidRPr="00257F44" w:rsidRDefault="00AE68C1" w:rsidP="0084354E">
            <w:pPr>
              <w:jc w:val="center"/>
              <w:rPr>
                <w:rFonts w:ascii="Zapf Dingbats" w:eastAsia="MS Mincho" w:hAnsi="Zapf Dingbats" w:cs="MS Mincho"/>
                <w:noProof/>
                <w:sz w:val="22"/>
                <w:szCs w:val="22"/>
                <w:lang w:val="uk-UA"/>
              </w:rPr>
            </w:pPr>
          </w:p>
        </w:tc>
        <w:tc>
          <w:tcPr>
            <w:tcW w:w="516" w:type="dxa"/>
            <w:tcBorders>
              <w:top w:val="single" w:sz="18" w:space="0" w:color="FFFFFF"/>
              <w:left w:val="single" w:sz="4" w:space="0" w:color="FFFFFF" w:themeColor="background1"/>
              <w:bottom w:val="nil"/>
              <w:right w:val="single" w:sz="4" w:space="0" w:color="FFFFFF" w:themeColor="background1"/>
            </w:tcBorders>
            <w:shd w:val="clear" w:color="auto" w:fill="B8CCE4"/>
          </w:tcPr>
          <w:p w14:paraId="58D2B9E3" w14:textId="77777777" w:rsidR="00AE68C1" w:rsidRPr="00257F44" w:rsidRDefault="00AE68C1" w:rsidP="0084354E">
            <w:pPr>
              <w:jc w:val="center"/>
              <w:rPr>
                <w:rFonts w:ascii="Zapf Dingbats" w:eastAsia="MS Mincho" w:hAnsi="Zapf Dingbats" w:cs="MS Mincho"/>
                <w:noProof/>
                <w:sz w:val="22"/>
                <w:szCs w:val="22"/>
                <w:lang w:val="uk-UA"/>
              </w:rPr>
            </w:pPr>
          </w:p>
        </w:tc>
        <w:tc>
          <w:tcPr>
            <w:tcW w:w="405" w:type="dxa"/>
            <w:tcBorders>
              <w:top w:val="single" w:sz="18" w:space="0" w:color="FFFFFF"/>
              <w:left w:val="single" w:sz="4" w:space="0" w:color="FFFFFF" w:themeColor="background1"/>
              <w:bottom w:val="nil"/>
              <w:right w:val="single" w:sz="18" w:space="0" w:color="FFFFFF"/>
            </w:tcBorders>
            <w:shd w:val="clear" w:color="auto" w:fill="B8CCE4"/>
          </w:tcPr>
          <w:p w14:paraId="273221B1" w14:textId="77777777" w:rsidR="00AE68C1" w:rsidRPr="00257F44" w:rsidRDefault="00AE68C1" w:rsidP="0084354E">
            <w:pPr>
              <w:jc w:val="cente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41" w:type="dxa"/>
            <w:vMerge w:val="restart"/>
            <w:tcBorders>
              <w:top w:val="single" w:sz="18" w:space="0" w:color="FFFFFF"/>
              <w:left w:val="single" w:sz="18" w:space="0" w:color="FFFFFF"/>
              <w:right w:val="single" w:sz="2" w:space="0" w:color="FFFFFF"/>
            </w:tcBorders>
            <w:shd w:val="clear" w:color="auto" w:fill="D99594"/>
          </w:tcPr>
          <w:p w14:paraId="4943502D" w14:textId="77777777" w:rsidR="00AE68C1" w:rsidRPr="00257F44" w:rsidRDefault="00AE68C1" w:rsidP="0084354E">
            <w:pPr>
              <w:jc w:val="center"/>
              <w:rPr>
                <w:rFonts w:ascii="Gill Sans" w:hAnsi="Gill Sans" w:cs="Gill Sans"/>
                <w:sz w:val="22"/>
                <w:szCs w:val="22"/>
                <w:lang w:val="uk-UA"/>
              </w:rPr>
            </w:pPr>
          </w:p>
        </w:tc>
        <w:tc>
          <w:tcPr>
            <w:tcW w:w="344" w:type="dxa"/>
            <w:vMerge w:val="restart"/>
            <w:tcBorders>
              <w:top w:val="single" w:sz="18" w:space="0" w:color="FFFFFF"/>
              <w:left w:val="single" w:sz="2" w:space="0" w:color="FFFFFF"/>
              <w:right w:val="single" w:sz="2" w:space="0" w:color="FFFFFF"/>
            </w:tcBorders>
            <w:shd w:val="clear" w:color="auto" w:fill="D99594"/>
          </w:tcPr>
          <w:p w14:paraId="3667B620" w14:textId="6814B55D" w:rsidR="00AE68C1" w:rsidRPr="00257F44" w:rsidRDefault="00AE68C1" w:rsidP="0084354E">
            <w:pPr>
              <w:jc w:val="cente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82" w:type="dxa"/>
            <w:vMerge w:val="restart"/>
            <w:tcBorders>
              <w:top w:val="single" w:sz="18" w:space="0" w:color="FFFFFF"/>
              <w:left w:val="single" w:sz="2" w:space="0" w:color="FFFFFF"/>
              <w:right w:val="single" w:sz="2" w:space="0" w:color="FFFFFF"/>
            </w:tcBorders>
            <w:shd w:val="clear" w:color="auto" w:fill="D99594"/>
          </w:tcPr>
          <w:p w14:paraId="43C2B30E" w14:textId="721D02EA" w:rsidR="00AE68C1" w:rsidRPr="00257F44" w:rsidRDefault="00AE68C1" w:rsidP="0084354E">
            <w:pPr>
              <w:jc w:val="center"/>
              <w:rPr>
                <w:rFonts w:ascii="Zapf Dingbats" w:eastAsia="MS Mincho" w:hAnsi="Zapf Dingbats" w:cs="MS Mincho"/>
                <w:noProof/>
                <w:sz w:val="22"/>
                <w:szCs w:val="22"/>
                <w:lang w:val="uk-UA"/>
              </w:rPr>
            </w:pPr>
          </w:p>
        </w:tc>
        <w:tc>
          <w:tcPr>
            <w:tcW w:w="442" w:type="dxa"/>
            <w:vMerge w:val="restart"/>
            <w:tcBorders>
              <w:top w:val="single" w:sz="18" w:space="0" w:color="FFFFFF"/>
              <w:left w:val="single" w:sz="2" w:space="0" w:color="FFFFFF"/>
              <w:right w:val="single" w:sz="2" w:space="0" w:color="FFFFFF"/>
            </w:tcBorders>
            <w:shd w:val="clear" w:color="auto" w:fill="D99594"/>
          </w:tcPr>
          <w:p w14:paraId="1F5BFA3A" w14:textId="61311CD3" w:rsidR="00AE68C1" w:rsidRPr="00257F44" w:rsidRDefault="00AE68C1" w:rsidP="0084354E">
            <w:pPr>
              <w:jc w:val="center"/>
              <w:rPr>
                <w:rFonts w:ascii="Gill Sans" w:hAnsi="Gill Sans" w:cs="Gill Sans"/>
                <w:noProof/>
                <w:sz w:val="22"/>
                <w:szCs w:val="22"/>
                <w:lang w:val="uk-UA"/>
              </w:rPr>
            </w:pPr>
          </w:p>
        </w:tc>
        <w:tc>
          <w:tcPr>
            <w:tcW w:w="415" w:type="dxa"/>
            <w:vMerge w:val="restart"/>
            <w:tcBorders>
              <w:top w:val="single" w:sz="18" w:space="0" w:color="FFFFFF"/>
              <w:left w:val="single" w:sz="2" w:space="0" w:color="FFFFFF"/>
              <w:right w:val="single" w:sz="18" w:space="0" w:color="FFFFFF"/>
            </w:tcBorders>
            <w:shd w:val="clear" w:color="auto" w:fill="D99594"/>
          </w:tcPr>
          <w:p w14:paraId="269B4A41" w14:textId="77777777" w:rsidR="00AE68C1" w:rsidRPr="00257F44" w:rsidRDefault="00AE68C1" w:rsidP="0084354E">
            <w:pPr>
              <w:rPr>
                <w:rFonts w:ascii="Gill Sans" w:hAnsi="Gill Sans" w:cs="Gill Sans"/>
                <w:b/>
                <w:sz w:val="22"/>
                <w:szCs w:val="22"/>
                <w:lang w:val="uk-UA"/>
              </w:rPr>
            </w:pPr>
          </w:p>
        </w:tc>
      </w:tr>
      <w:tr w:rsidR="00AE68C1" w:rsidRPr="00257F44" w14:paraId="6B849D13" w14:textId="77777777" w:rsidTr="00B223BA">
        <w:trPr>
          <w:trHeight w:val="340"/>
        </w:trPr>
        <w:tc>
          <w:tcPr>
            <w:tcW w:w="1501" w:type="dxa"/>
            <w:vMerge/>
            <w:tcBorders>
              <w:left w:val="single" w:sz="4" w:space="0" w:color="FFFFFF"/>
              <w:right w:val="single" w:sz="18" w:space="0" w:color="FFFFFF"/>
            </w:tcBorders>
            <w:shd w:val="clear" w:color="auto" w:fill="000000"/>
          </w:tcPr>
          <w:p w14:paraId="75C2860A" w14:textId="77777777" w:rsidR="00AE68C1" w:rsidRPr="00257F44" w:rsidRDefault="00AE68C1" w:rsidP="0084354E">
            <w:pPr>
              <w:rPr>
                <w:rFonts w:ascii="Gill Sans" w:hAnsi="Gill Sans" w:cs="Gill Sans"/>
                <w:color w:val="FFFFFF" w:themeColor="background1"/>
                <w:sz w:val="22"/>
                <w:szCs w:val="22"/>
                <w:lang w:val="uk-UA"/>
              </w:rPr>
            </w:pPr>
          </w:p>
        </w:tc>
        <w:tc>
          <w:tcPr>
            <w:tcW w:w="475" w:type="dxa"/>
            <w:vMerge/>
            <w:tcBorders>
              <w:left w:val="single" w:sz="18" w:space="0" w:color="FFFFFF"/>
              <w:right w:val="single" w:sz="2" w:space="0" w:color="FFFFFF"/>
            </w:tcBorders>
            <w:shd w:val="clear" w:color="auto" w:fill="D6E3BC"/>
          </w:tcPr>
          <w:p w14:paraId="429D11AA" w14:textId="77777777" w:rsidR="00AE68C1" w:rsidRPr="00257F44" w:rsidRDefault="00AE68C1" w:rsidP="0084354E">
            <w:pPr>
              <w:rPr>
                <w:rFonts w:ascii="Gill Sans" w:hAnsi="Gill Sans" w:cs="Gill Sans"/>
                <w:sz w:val="22"/>
                <w:szCs w:val="22"/>
                <w:lang w:val="uk-UA"/>
              </w:rPr>
            </w:pPr>
          </w:p>
        </w:tc>
        <w:tc>
          <w:tcPr>
            <w:tcW w:w="418" w:type="dxa"/>
            <w:vMerge/>
            <w:tcBorders>
              <w:left w:val="single" w:sz="2" w:space="0" w:color="FFFFFF"/>
              <w:right w:val="single" w:sz="2" w:space="0" w:color="FFFFFF"/>
            </w:tcBorders>
            <w:shd w:val="clear" w:color="auto" w:fill="D6E3BC"/>
          </w:tcPr>
          <w:p w14:paraId="1EBB6D1E" w14:textId="77777777" w:rsidR="00AE68C1" w:rsidRPr="00257F44" w:rsidRDefault="00AE68C1" w:rsidP="0084354E">
            <w:pPr>
              <w:rPr>
                <w:rFonts w:ascii="Gill Sans" w:hAnsi="Gill Sans" w:cs="Gill Sans"/>
                <w:sz w:val="22"/>
                <w:szCs w:val="22"/>
                <w:lang w:val="uk-UA"/>
              </w:rPr>
            </w:pPr>
          </w:p>
        </w:tc>
        <w:tc>
          <w:tcPr>
            <w:tcW w:w="343" w:type="dxa"/>
            <w:vMerge/>
            <w:tcBorders>
              <w:left w:val="single" w:sz="2" w:space="0" w:color="FFFFFF"/>
              <w:right w:val="single" w:sz="2" w:space="0" w:color="FFFFFF"/>
            </w:tcBorders>
            <w:shd w:val="clear" w:color="auto" w:fill="D6E3BC"/>
          </w:tcPr>
          <w:p w14:paraId="1755E0E2" w14:textId="77777777" w:rsidR="00AE68C1" w:rsidRPr="00257F44" w:rsidRDefault="00AE68C1" w:rsidP="0084354E">
            <w:pPr>
              <w:rPr>
                <w:rFonts w:ascii="Gill Sans" w:hAnsi="Gill Sans" w:cs="Gill Sans"/>
                <w:sz w:val="22"/>
                <w:szCs w:val="22"/>
                <w:lang w:val="uk-UA"/>
              </w:rPr>
            </w:pPr>
          </w:p>
        </w:tc>
        <w:tc>
          <w:tcPr>
            <w:tcW w:w="343" w:type="dxa"/>
            <w:vMerge/>
            <w:tcBorders>
              <w:left w:val="single" w:sz="2" w:space="0" w:color="FFFFFF"/>
              <w:right w:val="single" w:sz="18" w:space="0" w:color="FFFFFF"/>
            </w:tcBorders>
            <w:shd w:val="clear" w:color="auto" w:fill="D6E3BC"/>
          </w:tcPr>
          <w:p w14:paraId="54A0EE6E" w14:textId="77777777" w:rsidR="00AE68C1" w:rsidRPr="00257F44" w:rsidRDefault="00AE68C1" w:rsidP="0084354E">
            <w:pPr>
              <w:rPr>
                <w:rFonts w:ascii="Gill Sans" w:hAnsi="Gill Sans" w:cs="Gill Sans"/>
                <w:noProof/>
                <w:sz w:val="22"/>
                <w:szCs w:val="22"/>
                <w:lang w:val="uk-UA"/>
              </w:rPr>
            </w:pPr>
          </w:p>
        </w:tc>
        <w:tc>
          <w:tcPr>
            <w:tcW w:w="1831" w:type="dxa"/>
            <w:gridSpan w:val="4"/>
            <w:vMerge/>
            <w:tcBorders>
              <w:left w:val="single" w:sz="2" w:space="0" w:color="FFFFFF"/>
              <w:right w:val="single" w:sz="18" w:space="0" w:color="FFFFFF"/>
            </w:tcBorders>
            <w:shd w:val="clear" w:color="auto" w:fill="FBD4B4"/>
          </w:tcPr>
          <w:p w14:paraId="3F08BF07" w14:textId="77777777" w:rsidR="00AE68C1" w:rsidRPr="00257F44" w:rsidRDefault="00AE68C1" w:rsidP="0084354E">
            <w:pPr>
              <w:rPr>
                <w:rFonts w:ascii="Gill Sans" w:hAnsi="Gill Sans" w:cs="Gill Sans"/>
                <w:sz w:val="22"/>
                <w:szCs w:val="22"/>
                <w:lang w:val="uk-UA"/>
              </w:rPr>
            </w:pPr>
          </w:p>
        </w:tc>
        <w:tc>
          <w:tcPr>
            <w:tcW w:w="417" w:type="dxa"/>
            <w:vMerge/>
            <w:tcBorders>
              <w:left w:val="single" w:sz="18" w:space="0" w:color="FFFFFF"/>
              <w:right w:val="single" w:sz="2" w:space="0" w:color="FFFFFF"/>
            </w:tcBorders>
            <w:shd w:val="clear" w:color="auto" w:fill="CCC0D9"/>
          </w:tcPr>
          <w:p w14:paraId="4D9550F3" w14:textId="77777777" w:rsidR="00AE68C1" w:rsidRPr="00257F44" w:rsidRDefault="00AE68C1" w:rsidP="0084354E">
            <w:pPr>
              <w:rPr>
                <w:rFonts w:ascii="Gill Sans" w:hAnsi="Gill Sans" w:cs="Gill Sans"/>
                <w:sz w:val="22"/>
                <w:szCs w:val="22"/>
                <w:lang w:val="uk-UA"/>
              </w:rPr>
            </w:pPr>
          </w:p>
        </w:tc>
        <w:tc>
          <w:tcPr>
            <w:tcW w:w="341" w:type="dxa"/>
            <w:vMerge/>
            <w:tcBorders>
              <w:left w:val="single" w:sz="2" w:space="0" w:color="FFFFFF"/>
              <w:right w:val="single" w:sz="2" w:space="0" w:color="FFFFFF"/>
            </w:tcBorders>
            <w:shd w:val="clear" w:color="auto" w:fill="CCC0D9"/>
          </w:tcPr>
          <w:p w14:paraId="744F5935" w14:textId="77777777" w:rsidR="00AE68C1" w:rsidRPr="00257F44" w:rsidRDefault="00AE68C1" w:rsidP="00C23352">
            <w:pPr>
              <w:jc w:val="center"/>
              <w:rPr>
                <w:rFonts w:ascii="Zapf Dingbats" w:eastAsia="MS Mincho" w:hAnsi="Zapf Dingbats" w:cs="MS Mincho"/>
                <w:noProof/>
                <w:sz w:val="22"/>
                <w:szCs w:val="22"/>
                <w:lang w:val="uk-UA"/>
              </w:rPr>
            </w:pPr>
          </w:p>
        </w:tc>
        <w:tc>
          <w:tcPr>
            <w:tcW w:w="417" w:type="dxa"/>
            <w:vMerge/>
            <w:tcBorders>
              <w:left w:val="single" w:sz="2" w:space="0" w:color="FFFFFF"/>
              <w:right w:val="single" w:sz="2" w:space="0" w:color="FFFFFF"/>
            </w:tcBorders>
            <w:shd w:val="clear" w:color="auto" w:fill="CCC0D9"/>
          </w:tcPr>
          <w:p w14:paraId="231E4BC7" w14:textId="77777777" w:rsidR="00AE68C1" w:rsidRPr="00257F44" w:rsidRDefault="00AE68C1" w:rsidP="00C23352">
            <w:pPr>
              <w:jc w:val="center"/>
              <w:rPr>
                <w:rFonts w:ascii="Zapf Dingbats" w:eastAsia="MS Mincho" w:hAnsi="Zapf Dingbats" w:cs="MS Mincho"/>
                <w:noProof/>
                <w:sz w:val="22"/>
                <w:szCs w:val="22"/>
                <w:lang w:val="uk-UA"/>
              </w:rPr>
            </w:pPr>
          </w:p>
        </w:tc>
        <w:tc>
          <w:tcPr>
            <w:tcW w:w="373" w:type="dxa"/>
            <w:vMerge/>
            <w:tcBorders>
              <w:left w:val="single" w:sz="2" w:space="0" w:color="FFFFFF"/>
              <w:right w:val="single" w:sz="18" w:space="0" w:color="FFFFFF"/>
            </w:tcBorders>
            <w:shd w:val="clear" w:color="auto" w:fill="CCC0D9"/>
          </w:tcPr>
          <w:p w14:paraId="5C4DDF24" w14:textId="77777777" w:rsidR="00AE68C1" w:rsidRPr="00257F44" w:rsidRDefault="00AE68C1" w:rsidP="00C23352">
            <w:pPr>
              <w:jc w:val="center"/>
              <w:rPr>
                <w:rFonts w:ascii="Zapf Dingbats" w:eastAsia="MS Mincho" w:hAnsi="Zapf Dingbats" w:cs="MS Mincho"/>
                <w:noProof/>
                <w:sz w:val="22"/>
                <w:szCs w:val="22"/>
                <w:lang w:val="uk-UA"/>
              </w:rPr>
            </w:pPr>
          </w:p>
        </w:tc>
        <w:tc>
          <w:tcPr>
            <w:tcW w:w="417" w:type="dxa"/>
            <w:tcBorders>
              <w:top w:val="nil"/>
              <w:left w:val="single" w:sz="18" w:space="0" w:color="FFFFFF"/>
              <w:bottom w:val="single" w:sz="4" w:space="0" w:color="auto"/>
              <w:right w:val="single" w:sz="4" w:space="0" w:color="FFFFFF" w:themeColor="background1"/>
            </w:tcBorders>
            <w:shd w:val="clear" w:color="auto" w:fill="B8CCE4"/>
          </w:tcPr>
          <w:p w14:paraId="32765DB7" w14:textId="77777777" w:rsidR="00AE68C1" w:rsidRPr="00257F44" w:rsidRDefault="00AE68C1" w:rsidP="00C23352">
            <w:pPr>
              <w:jc w:val="center"/>
              <w:rPr>
                <w:rFonts w:ascii="Zapf Dingbats" w:eastAsia="MS Mincho" w:hAnsi="Zapf Dingbats" w:cs="MS Mincho"/>
                <w:noProof/>
                <w:sz w:val="22"/>
                <w:szCs w:val="22"/>
                <w:lang w:val="uk-UA"/>
              </w:rPr>
            </w:pPr>
          </w:p>
        </w:tc>
        <w:tc>
          <w:tcPr>
            <w:tcW w:w="535" w:type="dxa"/>
            <w:tcBorders>
              <w:top w:val="nil"/>
              <w:left w:val="single" w:sz="4" w:space="0" w:color="FFFFFF" w:themeColor="background1"/>
              <w:bottom w:val="single" w:sz="4" w:space="0" w:color="auto"/>
              <w:right w:val="single" w:sz="4" w:space="0" w:color="FFFFFF" w:themeColor="background1"/>
            </w:tcBorders>
            <w:shd w:val="clear" w:color="auto" w:fill="B8CCE4"/>
          </w:tcPr>
          <w:p w14:paraId="01F61611" w14:textId="77777777" w:rsidR="00AE68C1" w:rsidRPr="00257F44" w:rsidRDefault="00AE68C1" w:rsidP="00C23352">
            <w:pPr>
              <w:jc w:val="center"/>
              <w:rPr>
                <w:rFonts w:ascii="Zapf Dingbats" w:eastAsia="MS Mincho" w:hAnsi="Zapf Dingbats" w:cs="MS Mincho"/>
                <w:noProof/>
                <w:sz w:val="22"/>
                <w:szCs w:val="22"/>
                <w:lang w:val="uk-UA"/>
              </w:rPr>
            </w:pPr>
          </w:p>
        </w:tc>
        <w:tc>
          <w:tcPr>
            <w:tcW w:w="516" w:type="dxa"/>
            <w:tcBorders>
              <w:top w:val="nil"/>
              <w:left w:val="single" w:sz="4" w:space="0" w:color="FFFFFF" w:themeColor="background1"/>
              <w:bottom w:val="single" w:sz="4" w:space="0" w:color="auto"/>
              <w:right w:val="single" w:sz="4" w:space="0" w:color="FFFFFF" w:themeColor="background1"/>
            </w:tcBorders>
            <w:shd w:val="clear" w:color="auto" w:fill="B8CCE4"/>
          </w:tcPr>
          <w:p w14:paraId="58B942D2" w14:textId="77777777" w:rsidR="00AE68C1" w:rsidRPr="00257F44" w:rsidRDefault="00AE68C1" w:rsidP="00C23352">
            <w:pPr>
              <w:jc w:val="center"/>
              <w:rPr>
                <w:rFonts w:ascii="Zapf Dingbats" w:eastAsia="MS Mincho" w:hAnsi="Zapf Dingbats" w:cs="MS Mincho"/>
                <w:noProof/>
                <w:sz w:val="22"/>
                <w:szCs w:val="22"/>
                <w:lang w:val="uk-UA"/>
              </w:rPr>
            </w:pPr>
          </w:p>
        </w:tc>
        <w:tc>
          <w:tcPr>
            <w:tcW w:w="405" w:type="dxa"/>
            <w:tcBorders>
              <w:top w:val="nil"/>
              <w:left w:val="single" w:sz="4" w:space="0" w:color="FFFFFF" w:themeColor="background1"/>
              <w:bottom w:val="single" w:sz="4" w:space="0" w:color="auto"/>
              <w:right w:val="single" w:sz="18" w:space="0" w:color="FFFFFF"/>
            </w:tcBorders>
            <w:shd w:val="clear" w:color="auto" w:fill="B8CCE4"/>
          </w:tcPr>
          <w:p w14:paraId="5645586B" w14:textId="77777777" w:rsidR="00AE68C1" w:rsidRPr="00257F44" w:rsidRDefault="00AE68C1" w:rsidP="00C23352">
            <w:pPr>
              <w:jc w:val="center"/>
              <w:rPr>
                <w:rFonts w:ascii="Zapf Dingbats" w:eastAsia="MS Mincho" w:hAnsi="Zapf Dingbats" w:cs="MS Mincho"/>
                <w:noProof/>
                <w:sz w:val="22"/>
                <w:szCs w:val="22"/>
                <w:lang w:val="uk-UA"/>
              </w:rPr>
            </w:pPr>
            <w:r w:rsidRPr="00257F44">
              <w:rPr>
                <w:rFonts w:ascii="Zapf Dingbats" w:eastAsia="MS Mincho" w:hAnsi="Zapf Dingbats" w:cs="MS Mincho"/>
                <w:noProof/>
                <w:sz w:val="22"/>
                <w:szCs w:val="22"/>
                <w:lang w:val="uk-UA"/>
              </w:rPr>
              <w:t>✔</w:t>
            </w:r>
          </w:p>
        </w:tc>
        <w:tc>
          <w:tcPr>
            <w:tcW w:w="341" w:type="dxa"/>
            <w:vMerge/>
            <w:tcBorders>
              <w:left w:val="single" w:sz="18" w:space="0" w:color="FFFFFF"/>
              <w:right w:val="single" w:sz="2" w:space="0" w:color="FFFFFF"/>
            </w:tcBorders>
            <w:shd w:val="clear" w:color="auto" w:fill="D99594"/>
          </w:tcPr>
          <w:p w14:paraId="3D5DE174" w14:textId="77777777" w:rsidR="00AE68C1" w:rsidRPr="00257F44" w:rsidRDefault="00AE68C1" w:rsidP="0084354E">
            <w:pPr>
              <w:rPr>
                <w:rFonts w:ascii="Gill Sans" w:hAnsi="Gill Sans" w:cs="Gill Sans"/>
                <w:sz w:val="22"/>
                <w:szCs w:val="22"/>
                <w:lang w:val="uk-UA"/>
              </w:rPr>
            </w:pPr>
          </w:p>
        </w:tc>
        <w:tc>
          <w:tcPr>
            <w:tcW w:w="344" w:type="dxa"/>
            <w:vMerge/>
            <w:tcBorders>
              <w:left w:val="single" w:sz="2" w:space="0" w:color="FFFFFF"/>
              <w:right w:val="single" w:sz="2" w:space="0" w:color="FFFFFF"/>
            </w:tcBorders>
            <w:shd w:val="clear" w:color="auto" w:fill="D99594"/>
          </w:tcPr>
          <w:p w14:paraId="559EFE26" w14:textId="77777777" w:rsidR="00AE68C1" w:rsidRPr="00257F44" w:rsidRDefault="00AE68C1" w:rsidP="0084354E">
            <w:pPr>
              <w:rPr>
                <w:rFonts w:ascii="Gill Sans" w:hAnsi="Gill Sans" w:cs="Gill Sans"/>
                <w:sz w:val="22"/>
                <w:szCs w:val="22"/>
                <w:lang w:val="uk-UA"/>
              </w:rPr>
            </w:pPr>
          </w:p>
        </w:tc>
        <w:tc>
          <w:tcPr>
            <w:tcW w:w="382" w:type="dxa"/>
            <w:vMerge/>
            <w:tcBorders>
              <w:left w:val="single" w:sz="2" w:space="0" w:color="FFFFFF"/>
              <w:right w:val="single" w:sz="2" w:space="0" w:color="FFFFFF"/>
            </w:tcBorders>
            <w:shd w:val="clear" w:color="auto" w:fill="D99594"/>
          </w:tcPr>
          <w:p w14:paraId="4F88DDEE" w14:textId="77777777" w:rsidR="00AE68C1" w:rsidRPr="00257F44" w:rsidRDefault="00AE68C1" w:rsidP="0084354E">
            <w:pPr>
              <w:rPr>
                <w:rFonts w:ascii="Gill Sans" w:hAnsi="Gill Sans" w:cs="Gill Sans"/>
                <w:sz w:val="22"/>
                <w:szCs w:val="22"/>
                <w:lang w:val="uk-UA"/>
              </w:rPr>
            </w:pPr>
          </w:p>
        </w:tc>
        <w:tc>
          <w:tcPr>
            <w:tcW w:w="442" w:type="dxa"/>
            <w:vMerge/>
            <w:tcBorders>
              <w:left w:val="single" w:sz="2" w:space="0" w:color="FFFFFF"/>
              <w:right w:val="single" w:sz="2" w:space="0" w:color="FFFFFF"/>
            </w:tcBorders>
            <w:shd w:val="clear" w:color="auto" w:fill="D99594"/>
          </w:tcPr>
          <w:p w14:paraId="50B6E367" w14:textId="77777777" w:rsidR="00AE68C1" w:rsidRPr="00257F44" w:rsidRDefault="00AE68C1" w:rsidP="0084354E">
            <w:pPr>
              <w:rPr>
                <w:rFonts w:ascii="Gill Sans" w:hAnsi="Gill Sans" w:cs="Gill Sans"/>
                <w:noProof/>
                <w:sz w:val="22"/>
                <w:szCs w:val="22"/>
                <w:lang w:val="uk-UA"/>
              </w:rPr>
            </w:pPr>
          </w:p>
        </w:tc>
        <w:tc>
          <w:tcPr>
            <w:tcW w:w="415" w:type="dxa"/>
            <w:vMerge/>
            <w:tcBorders>
              <w:left w:val="single" w:sz="2" w:space="0" w:color="FFFFFF"/>
              <w:right w:val="single" w:sz="18" w:space="0" w:color="FFFFFF"/>
            </w:tcBorders>
            <w:shd w:val="clear" w:color="auto" w:fill="D99594"/>
          </w:tcPr>
          <w:p w14:paraId="133ECE7F" w14:textId="77777777" w:rsidR="00AE68C1" w:rsidRPr="00257F44" w:rsidRDefault="00AE68C1" w:rsidP="0084354E">
            <w:pPr>
              <w:rPr>
                <w:rFonts w:ascii="Gill Sans" w:hAnsi="Gill Sans" w:cs="Gill Sans"/>
                <w:sz w:val="22"/>
                <w:szCs w:val="22"/>
                <w:lang w:val="uk-UA"/>
              </w:rPr>
            </w:pPr>
          </w:p>
        </w:tc>
      </w:tr>
    </w:tbl>
    <w:p w14:paraId="598AD1EB" w14:textId="77777777" w:rsidR="0084354E" w:rsidRPr="00257F44" w:rsidRDefault="0084354E" w:rsidP="00D54FC1">
      <w:pPr>
        <w:spacing w:after="120"/>
        <w:rPr>
          <w:rFonts w:ascii="Gill Sans" w:hAnsi="Gill Sans" w:cs="Gill Sans"/>
          <w:noProof/>
          <w:sz w:val="22"/>
          <w:szCs w:val="22"/>
          <w:lang w:val="uk-UA"/>
        </w:rPr>
      </w:pPr>
    </w:p>
    <w:p w14:paraId="6FBF8527" w14:textId="77777777" w:rsidR="00610004" w:rsidRPr="00257F44" w:rsidRDefault="00610004" w:rsidP="00610004">
      <w:pPr>
        <w:pStyle w:val="Heading3"/>
        <w:spacing w:after="120"/>
        <w:rPr>
          <w:lang w:val="uk-UA"/>
        </w:rPr>
      </w:pPr>
      <w:r w:rsidRPr="00257F44">
        <w:rPr>
          <w:lang w:val="uk-UA"/>
        </w:rPr>
        <w:t>Мета зобов’язання</w:t>
      </w:r>
    </w:p>
    <w:p w14:paraId="77A594C7" w14:textId="244B8897" w:rsidR="00095D3F" w:rsidRPr="00257F44" w:rsidRDefault="00095D3F" w:rsidP="00B126F0">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Це зобов’язання було спрямовано на підвищення обізнаності з електронним урядуванням щляхом підготовки </w:t>
      </w:r>
      <w:r w:rsidRPr="00257F44">
        <w:rPr>
          <w:rFonts w:ascii="Gill Sans" w:hAnsi="Gill Sans" w:cs="Gill Sans"/>
          <w:noProof/>
          <w:sz w:val="22"/>
          <w:szCs w:val="22"/>
          <w:lang w:val="uk-UA"/>
        </w:rPr>
        <w:t xml:space="preserve">дистанційного курсу “Основи е-урядування” та проведення навчання для представників </w:t>
      </w:r>
      <w:r w:rsidRPr="00257F44">
        <w:rPr>
          <w:rFonts w:ascii="Gill Sans" w:hAnsi="Gill Sans" w:cs="Gill Sans"/>
          <w:noProof/>
          <w:sz w:val="22"/>
          <w:szCs w:val="22"/>
          <w:lang w:val="uk-UA"/>
        </w:rPr>
        <w:t xml:space="preserve">місцевих </w:t>
      </w:r>
      <w:r w:rsidRPr="00257F44">
        <w:rPr>
          <w:rFonts w:ascii="Gill Sans" w:hAnsi="Gill Sans" w:cs="Gill Sans"/>
          <w:noProof/>
          <w:sz w:val="22"/>
          <w:szCs w:val="22"/>
          <w:lang w:val="uk-UA"/>
        </w:rPr>
        <w:t>рад.</w:t>
      </w:r>
    </w:p>
    <w:p w14:paraId="27CA06C3" w14:textId="77777777" w:rsidR="00610004" w:rsidRPr="00257F44" w:rsidRDefault="00610004" w:rsidP="00610004">
      <w:pPr>
        <w:pStyle w:val="Heading3"/>
        <w:spacing w:after="120"/>
        <w:rPr>
          <w:lang w:val="uk-UA"/>
        </w:rPr>
      </w:pPr>
      <w:r w:rsidRPr="00257F44">
        <w:rPr>
          <w:lang w:val="uk-UA"/>
        </w:rPr>
        <w:t>Статус виконання</w:t>
      </w:r>
    </w:p>
    <w:p w14:paraId="0C722AA7" w14:textId="77777777" w:rsidR="00610004" w:rsidRPr="00257F44" w:rsidRDefault="00610004" w:rsidP="00610004">
      <w:pPr>
        <w:pStyle w:val="Normalrglronly"/>
        <w:rPr>
          <w:b/>
          <w:lang w:val="uk-UA"/>
        </w:rPr>
      </w:pPr>
      <w:r w:rsidRPr="00257F44">
        <w:rPr>
          <w:b/>
          <w:lang w:val="uk-UA"/>
        </w:rPr>
        <w:t>Проміжний звіт: Повне виконання</w:t>
      </w:r>
    </w:p>
    <w:p w14:paraId="3E833E57" w14:textId="4D448E7E" w:rsidR="00163E89" w:rsidRPr="00257F44" w:rsidRDefault="00163E89" w:rsidP="009F169C">
      <w:pPr>
        <w:spacing w:after="120"/>
        <w:rPr>
          <w:rFonts w:ascii="Gill Sans" w:hAnsi="Gill Sans" w:cs="Gill Sans"/>
          <w:sz w:val="22"/>
          <w:szCs w:val="22"/>
          <w:lang w:val="uk-UA"/>
        </w:rPr>
      </w:pPr>
      <w:r w:rsidRPr="00257F44">
        <w:rPr>
          <w:rFonts w:ascii="Gill Sans" w:hAnsi="Gill Sans" w:cs="Gill Sans"/>
          <w:sz w:val="22"/>
          <w:szCs w:val="22"/>
          <w:lang w:val="uk-UA"/>
        </w:rPr>
        <w:t xml:space="preserve">Міністерство культури розробило курс дистанційного навчання “Основи е-урядування”, який був розповсюджений на CD-ROM в усі обласні та районні бібліотеки, а також в місцеві державні адміністрації для використання у місцевих тренінгах з питань е-урядування. Курс також було розміщено у вільному доступі на порталі Української бібліотечної асоціації. </w:t>
      </w:r>
      <w:r w:rsidRPr="00257F44">
        <w:rPr>
          <w:rFonts w:ascii="Gill Sans" w:hAnsi="Gill Sans" w:cs="Gill Sans"/>
          <w:sz w:val="22"/>
          <w:szCs w:val="22"/>
          <w:lang w:val="uk-UA"/>
        </w:rPr>
        <w:t>М</w:t>
      </w:r>
      <w:r w:rsidRPr="00257F44">
        <w:rPr>
          <w:rFonts w:ascii="Gill Sans" w:hAnsi="Gill Sans" w:cs="Gill Sans"/>
          <w:sz w:val="22"/>
          <w:szCs w:val="22"/>
          <w:lang w:val="uk-UA"/>
        </w:rPr>
        <w:t xml:space="preserve">іністерство провело 303 тренінги для більше ніж 2300 </w:t>
      </w:r>
      <w:r w:rsidRPr="00257F44">
        <w:rPr>
          <w:rFonts w:ascii="Gill Sans" w:hAnsi="Gill Sans" w:cs="Gill Sans"/>
          <w:sz w:val="22"/>
          <w:szCs w:val="22"/>
          <w:lang w:val="uk-UA"/>
        </w:rPr>
        <w:t>членів місцевих рад</w:t>
      </w:r>
      <w:r w:rsidRPr="00257F44">
        <w:rPr>
          <w:rFonts w:ascii="Gill Sans" w:hAnsi="Gill Sans" w:cs="Gill Sans"/>
          <w:sz w:val="22"/>
          <w:szCs w:val="22"/>
          <w:lang w:val="uk-UA"/>
        </w:rPr>
        <w:t>. Також було створено три місцеві “онлайн-портали з використання сервісів електронного урядування” (у Шепетівці, Димитрові, Луцьку)</w:t>
      </w:r>
      <w:r w:rsidRPr="00257F44">
        <w:rPr>
          <w:rStyle w:val="EndnoteReference"/>
          <w:rFonts w:ascii="Gill Sans" w:hAnsi="Gill Sans" w:cs="Gill Sans"/>
          <w:noProof/>
          <w:sz w:val="22"/>
          <w:szCs w:val="22"/>
          <w:lang w:val="uk-UA"/>
        </w:rPr>
        <w:t xml:space="preserve"> </w:t>
      </w:r>
      <w:r w:rsidRPr="00257F44">
        <w:rPr>
          <w:rStyle w:val="EndnoteReference"/>
          <w:rFonts w:ascii="Gill Sans" w:hAnsi="Gill Sans" w:cs="Gill Sans"/>
          <w:noProof/>
          <w:sz w:val="22"/>
          <w:szCs w:val="22"/>
          <w:lang w:val="uk-UA"/>
        </w:rPr>
        <w:endnoteReference w:id="110"/>
      </w:r>
      <w:r w:rsidRPr="00257F44">
        <w:rPr>
          <w:rFonts w:ascii="Gill Sans" w:hAnsi="Gill Sans" w:cs="Gill Sans"/>
          <w:sz w:val="22"/>
          <w:szCs w:val="22"/>
          <w:lang w:val="uk-UA"/>
        </w:rPr>
        <w:t>.</w:t>
      </w:r>
    </w:p>
    <w:p w14:paraId="5A1B4386" w14:textId="4CDFCEFF" w:rsidR="00163E89" w:rsidRPr="00257F44" w:rsidRDefault="00F237AD" w:rsidP="009F169C">
      <w:pPr>
        <w:spacing w:after="120"/>
        <w:rPr>
          <w:rFonts w:ascii="Gill Sans" w:hAnsi="Gill Sans" w:cs="Gill Sans"/>
          <w:noProof/>
          <w:sz w:val="22"/>
          <w:szCs w:val="22"/>
          <w:lang w:val="uk-UA"/>
        </w:rPr>
      </w:pPr>
      <w:r w:rsidRPr="00257F44">
        <w:rPr>
          <w:rFonts w:ascii="Gill Sans" w:hAnsi="Gill Sans" w:cs="Gill Sans"/>
          <w:noProof/>
          <w:sz w:val="22"/>
          <w:szCs w:val="22"/>
          <w:lang w:val="uk-UA"/>
        </w:rPr>
        <w:t xml:space="preserve">У своєму підсумковому звіті самооцінки Уряд зазначив, що було створено 25 </w:t>
      </w:r>
      <w:r w:rsidR="009F169C" w:rsidRPr="00257F44">
        <w:rPr>
          <w:rFonts w:ascii="Gill Sans" w:hAnsi="Gill Sans" w:cs="Gill Sans"/>
          <w:noProof/>
          <w:sz w:val="22"/>
          <w:szCs w:val="22"/>
          <w:lang w:val="uk-UA"/>
        </w:rPr>
        <w:t xml:space="preserve">тренінгових </w:t>
      </w:r>
      <w:r w:rsidRPr="00257F44">
        <w:rPr>
          <w:rFonts w:ascii="Gill Sans" w:hAnsi="Gill Sans" w:cs="Gill Sans"/>
          <w:noProof/>
          <w:sz w:val="22"/>
          <w:szCs w:val="22"/>
          <w:lang w:val="uk-UA"/>
        </w:rPr>
        <w:t xml:space="preserve">центрів </w:t>
      </w:r>
      <w:r w:rsidR="009F169C" w:rsidRPr="00257F44">
        <w:rPr>
          <w:rFonts w:ascii="Gill Sans" w:hAnsi="Gill Sans" w:cs="Gill Sans"/>
          <w:noProof/>
          <w:sz w:val="22"/>
          <w:szCs w:val="22"/>
          <w:lang w:val="uk-UA"/>
        </w:rPr>
        <w:t>на базі обласних універсальних наукових бібліотек, а також проведено 303 тренінги (кількість учасників збільшилася до 5393 порівняно з попереднім звітом самооцінки).</w:t>
      </w:r>
    </w:p>
    <w:p w14:paraId="61A9C86A" w14:textId="77777777" w:rsidR="00610004" w:rsidRPr="00257F44" w:rsidRDefault="00610004" w:rsidP="00610004">
      <w:pPr>
        <w:pStyle w:val="Heading3"/>
        <w:spacing w:after="120"/>
        <w:rPr>
          <w:lang w:val="uk-UA"/>
        </w:rPr>
      </w:pPr>
      <w:r w:rsidRPr="00257F44">
        <w:rPr>
          <w:lang w:val="uk-UA"/>
        </w:rPr>
        <w:t>Чи відкрило це уряд?</w:t>
      </w:r>
    </w:p>
    <w:p w14:paraId="497A8757" w14:textId="02A8EBAF" w:rsidR="00610004" w:rsidRPr="00257F44" w:rsidRDefault="00610004" w:rsidP="00610004">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Доступ до інформації: Не змінило</w:t>
      </w:r>
    </w:p>
    <w:p w14:paraId="256644B5" w14:textId="010A69CE" w:rsidR="00610004" w:rsidRPr="00257F44" w:rsidRDefault="00610004" w:rsidP="00610004">
      <w:pPr>
        <w:spacing w:after="120"/>
        <w:rPr>
          <w:rFonts w:ascii="Gill Sans" w:hAnsi="Gill Sans" w:cs="Gill Sans"/>
          <w:b/>
          <w:noProof/>
          <w:sz w:val="22"/>
          <w:szCs w:val="22"/>
          <w:lang w:val="uk-UA"/>
        </w:rPr>
      </w:pPr>
      <w:r w:rsidRPr="00257F44">
        <w:rPr>
          <w:rFonts w:ascii="Gill Sans" w:hAnsi="Gill Sans" w:cs="Gill Sans"/>
          <w:b/>
          <w:noProof/>
          <w:sz w:val="22"/>
          <w:szCs w:val="22"/>
          <w:lang w:val="uk-UA"/>
        </w:rPr>
        <w:t xml:space="preserve">Громадська участь: </w:t>
      </w:r>
      <w:r w:rsidRPr="00257F44">
        <w:rPr>
          <w:rFonts w:ascii="Gill Sans" w:hAnsi="Gill Sans" w:cs="Gill Sans"/>
          <w:b/>
          <w:noProof/>
          <w:sz w:val="22"/>
          <w:szCs w:val="22"/>
          <w:lang w:val="uk-UA"/>
        </w:rPr>
        <w:t>Не змінило</w:t>
      </w:r>
    </w:p>
    <w:p w14:paraId="7CA6DF9B" w14:textId="77777777" w:rsidR="00610004" w:rsidRPr="00257F44" w:rsidRDefault="00610004" w:rsidP="00610004">
      <w:pPr>
        <w:spacing w:after="120"/>
        <w:rPr>
          <w:rFonts w:ascii="Gill Sans" w:hAnsi="Gill Sans" w:cs="Gill Sans"/>
          <w:b/>
          <w:noProof/>
          <w:sz w:val="22"/>
          <w:szCs w:val="22"/>
          <w:lang w:val="uk-UA"/>
        </w:rPr>
      </w:pPr>
      <w:r w:rsidRPr="00257F44">
        <w:rPr>
          <w:rFonts w:ascii="Gill Sans" w:hAnsi="Gill Sans" w:cs="Gill Sans"/>
          <w:b/>
          <w:noProof/>
          <w:sz w:val="22"/>
          <w:szCs w:val="22"/>
          <w:lang w:val="uk-UA"/>
        </w:rPr>
        <w:lastRenderedPageBreak/>
        <w:t>Підзвітність влади: Не змінило</w:t>
      </w:r>
    </w:p>
    <w:p w14:paraId="7085A32B" w14:textId="2E5C1A05" w:rsidR="00840537" w:rsidRPr="00257F44" w:rsidRDefault="00840537" w:rsidP="00D11596">
      <w:pPr>
        <w:spacing w:after="120"/>
        <w:rPr>
          <w:rFonts w:ascii="Gill Sans" w:hAnsi="Gill Sans" w:cs="Gill Sans"/>
          <w:noProof/>
          <w:sz w:val="22"/>
          <w:szCs w:val="22"/>
          <w:lang w:val="uk-UA"/>
        </w:rPr>
      </w:pPr>
      <w:r w:rsidRPr="00257F44">
        <w:rPr>
          <w:rFonts w:ascii="Gill Sans" w:hAnsi="Gill Sans" w:cs="Gill Sans"/>
          <w:noProof/>
          <w:sz w:val="22"/>
          <w:szCs w:val="22"/>
          <w:lang w:val="uk-UA"/>
        </w:rPr>
        <w:t>План дій ПВУ 2012 року містив</w:t>
      </w:r>
      <w:r w:rsidRPr="00257F44">
        <w:rPr>
          <w:rFonts w:ascii="Gill Sans" w:hAnsi="Gill Sans" w:cs="Gill Sans"/>
          <w:noProof/>
          <w:sz w:val="22"/>
          <w:szCs w:val="22"/>
          <w:lang w:val="uk-UA"/>
        </w:rPr>
        <w:t xml:space="preserve"> схоже завдання під назвою “Публічні бібліотеки – мости до електронного урядування”.</w:t>
      </w:r>
      <w:r w:rsidRPr="00257F44">
        <w:rPr>
          <w:rFonts w:ascii="Gill Sans" w:hAnsi="Gill Sans" w:cs="Gill Sans"/>
          <w:noProof/>
          <w:sz w:val="22"/>
          <w:szCs w:val="22"/>
          <w:lang w:val="uk-UA"/>
        </w:rPr>
        <w:t xml:space="preserve"> Нове зобов’язання визначило</w:t>
      </w:r>
      <w:r w:rsidRPr="00257F44">
        <w:rPr>
          <w:rFonts w:ascii="Gill Sans" w:hAnsi="Gill Sans" w:cs="Gill Sans"/>
          <w:noProof/>
          <w:sz w:val="22"/>
          <w:szCs w:val="22"/>
          <w:lang w:val="uk-UA"/>
        </w:rPr>
        <w:t xml:space="preserve"> серед очікуваних результатів розроблення дистанційного курсу “Основи е-урядування” та проведення навчання для представників районних та селищних рад.</w:t>
      </w:r>
      <w:r w:rsidRPr="00257F44">
        <w:rPr>
          <w:rFonts w:ascii="Gill Sans" w:hAnsi="Gill Sans" w:cs="Gill Sans"/>
          <w:noProof/>
          <w:sz w:val="22"/>
          <w:szCs w:val="22"/>
          <w:lang w:val="uk-UA"/>
        </w:rPr>
        <w:t xml:space="preserve"> </w:t>
      </w:r>
      <w:r w:rsidRPr="00257F44">
        <w:rPr>
          <w:rFonts w:ascii="Gill Sans" w:hAnsi="Gill Sans" w:cs="Gill Sans"/>
          <w:noProof/>
          <w:sz w:val="22"/>
          <w:szCs w:val="22"/>
          <w:lang w:val="uk-UA"/>
        </w:rPr>
        <w:t>Заходи в рамках зобов’язання не містили власне “національної інформаційно-просвітницької кампанії” про те, яким чином публічні бібліотеки можуть сприяти електронному врядуванню</w:t>
      </w:r>
      <w:r w:rsidRPr="00257F44">
        <w:rPr>
          <w:rStyle w:val="EndnoteReference"/>
          <w:rFonts w:ascii="Gill Sans" w:hAnsi="Gill Sans" w:cs="Gill Sans"/>
          <w:noProof/>
          <w:sz w:val="22"/>
          <w:szCs w:val="22"/>
          <w:lang w:val="uk-UA"/>
        </w:rPr>
        <w:endnoteReference w:id="111"/>
      </w:r>
      <w:r w:rsidRPr="00257F44">
        <w:rPr>
          <w:rFonts w:ascii="Gill Sans" w:hAnsi="Gill Sans" w:cs="Gill Sans"/>
          <w:noProof/>
          <w:sz w:val="22"/>
          <w:szCs w:val="22"/>
          <w:lang w:val="uk-UA"/>
        </w:rPr>
        <w:t>.</w:t>
      </w:r>
      <w:r w:rsidRPr="00257F44">
        <w:rPr>
          <w:rFonts w:ascii="Gill Sans" w:hAnsi="Gill Sans" w:cs="Gill Sans"/>
          <w:noProof/>
          <w:sz w:val="22"/>
          <w:szCs w:val="22"/>
          <w:lang w:val="uk-UA"/>
        </w:rPr>
        <w:t xml:space="preserve"> </w:t>
      </w:r>
      <w:r w:rsidR="00381D04" w:rsidRPr="00257F44">
        <w:rPr>
          <w:rFonts w:ascii="Gill Sans" w:hAnsi="Gill Sans" w:cs="Gill Sans"/>
          <w:noProof/>
          <w:sz w:val="22"/>
          <w:szCs w:val="22"/>
          <w:lang w:val="uk-UA"/>
        </w:rPr>
        <w:t xml:space="preserve"> Зобов’язання явно не просувало жодну з головних цінностей</w:t>
      </w:r>
      <w:r w:rsidR="00D11596" w:rsidRPr="00257F44">
        <w:rPr>
          <w:rFonts w:ascii="Gill Sans" w:hAnsi="Gill Sans" w:cs="Gill Sans"/>
          <w:noProof/>
          <w:sz w:val="22"/>
          <w:szCs w:val="22"/>
          <w:lang w:val="uk-UA"/>
        </w:rPr>
        <w:t xml:space="preserve"> ПВУ і, за підсумками виконання, не призвело </w:t>
      </w:r>
      <w:r w:rsidR="001C23F9">
        <w:rPr>
          <w:rFonts w:ascii="Gill Sans" w:hAnsi="Gill Sans" w:cs="Gill Sans"/>
          <w:noProof/>
          <w:sz w:val="22"/>
          <w:szCs w:val="22"/>
          <w:lang w:val="uk-UA"/>
        </w:rPr>
        <w:t xml:space="preserve">до </w:t>
      </w:r>
      <w:bookmarkStart w:id="18" w:name="_GoBack"/>
      <w:bookmarkEnd w:id="18"/>
      <w:r w:rsidR="00D11596" w:rsidRPr="00257F44">
        <w:rPr>
          <w:rFonts w:ascii="Gill Sans" w:hAnsi="Gill Sans" w:cs="Gill Sans"/>
          <w:noProof/>
          <w:sz w:val="22"/>
          <w:szCs w:val="22"/>
          <w:lang w:val="uk-UA"/>
        </w:rPr>
        <w:t>жодних змін у відкритті уряду.</w:t>
      </w:r>
    </w:p>
    <w:p w14:paraId="581E85F5" w14:textId="77777777" w:rsidR="00610004" w:rsidRPr="00257F44" w:rsidRDefault="00610004" w:rsidP="00610004">
      <w:pPr>
        <w:pStyle w:val="Heading3"/>
        <w:spacing w:after="120"/>
        <w:rPr>
          <w:lang w:val="uk-UA"/>
        </w:rPr>
      </w:pPr>
      <w:r w:rsidRPr="00257F44">
        <w:rPr>
          <w:lang w:val="uk-UA"/>
        </w:rPr>
        <w:t>Чи перенесено до наступного плану дій?</w:t>
      </w:r>
    </w:p>
    <w:p w14:paraId="622017BB" w14:textId="35B06D03" w:rsidR="0038165E" w:rsidRPr="00257F44" w:rsidRDefault="00D11596" w:rsidP="004875C1">
      <w:pPr>
        <w:spacing w:after="120"/>
        <w:rPr>
          <w:rFonts w:ascii="Gill Sans" w:hAnsi="Gill Sans" w:cs="Gill Sans"/>
          <w:noProof/>
          <w:sz w:val="22"/>
          <w:szCs w:val="22"/>
          <w:lang w:val="uk-UA"/>
        </w:rPr>
        <w:sectPr w:rsidR="0038165E" w:rsidRPr="00257F44" w:rsidSect="002A2966">
          <w:endnotePr>
            <w:numFmt w:val="decimal"/>
            <w:numRestart w:val="eachSect"/>
          </w:endnotePr>
          <w:pgSz w:w="11907" w:h="16839" w:code="9"/>
          <w:pgMar w:top="1417" w:right="1417" w:bottom="1417" w:left="1417" w:header="0" w:footer="0" w:gutter="0"/>
          <w:cols w:space="708"/>
          <w:docGrid w:linePitch="360"/>
        </w:sectPr>
      </w:pPr>
      <w:r w:rsidRPr="00257F44">
        <w:rPr>
          <w:rFonts w:ascii="Gill Sans" w:hAnsi="Gill Sans" w:cs="Gill Sans"/>
          <w:noProof/>
          <w:sz w:val="22"/>
          <w:szCs w:val="22"/>
          <w:lang w:val="uk-UA"/>
        </w:rPr>
        <w:t>Це зобов’язання не було перенесено до нового плану дій.</w:t>
      </w:r>
    </w:p>
    <w:p w14:paraId="18B73687" w14:textId="04CBFC6D" w:rsidR="008E3268" w:rsidRPr="00257F44" w:rsidRDefault="00D11596" w:rsidP="006319F4">
      <w:pPr>
        <w:pStyle w:val="Heading3"/>
        <w:rPr>
          <w:lang w:val="uk-UA"/>
        </w:rPr>
      </w:pPr>
      <w:r w:rsidRPr="00257F44">
        <w:rPr>
          <w:lang w:val="uk-UA"/>
        </w:rPr>
        <w:lastRenderedPageBreak/>
        <w:t>НОТАТКИ ЩОДО МЕТОДОЛОГІЇ</w:t>
      </w:r>
    </w:p>
    <w:p w14:paraId="58BD9701" w14:textId="31FF8774" w:rsidR="00D11596" w:rsidRPr="00257F44" w:rsidRDefault="00D11596" w:rsidP="00CC5FBD">
      <w:pPr>
        <w:pStyle w:val="Normalrglronly"/>
        <w:rPr>
          <w:lang w:val="uk-UA"/>
        </w:rPr>
      </w:pPr>
      <w:r w:rsidRPr="00257F44">
        <w:rPr>
          <w:lang w:val="uk-UA"/>
        </w:rPr>
        <w:t xml:space="preserve">Зобов’язання були згруповані на основі первинного плану дій ПВУ. Цей звіт ґрунтується на кабінетному дослідженні державних програм, проектів законів та інших актів, нормативно-правових актів, вивченні урядового звіту самооцінки, аналізі зобов’язань, а також на моніторингу процесу розроблення </w:t>
      </w:r>
      <w:r w:rsidR="003D6461" w:rsidRPr="00257F44">
        <w:rPr>
          <w:lang w:val="uk-UA"/>
        </w:rPr>
        <w:t xml:space="preserve">другого </w:t>
      </w:r>
      <w:r w:rsidRPr="00257F44">
        <w:rPr>
          <w:lang w:val="uk-UA"/>
        </w:rPr>
        <w:t>плану дій. Дослідник ПВУ також покладався на письмові консультації з громадськими експертами і повідомлення у ЗМІ з метою оцінки виконання плану дій.</w:t>
      </w:r>
    </w:p>
    <w:p w14:paraId="7F7A189F" w14:textId="5DE7392F" w:rsidR="0060422D" w:rsidRPr="00257F44" w:rsidRDefault="00875931" w:rsidP="00B0395A">
      <w:pPr>
        <w:pStyle w:val="Normalrglronly"/>
        <w:rPr>
          <w:lang w:val="uk-UA"/>
        </w:rPr>
      </w:pPr>
      <w:r w:rsidRPr="00257F44">
        <w:rPr>
          <w:noProof/>
          <w:lang w:val="uk-UA"/>
        </w:rPr>
        <mc:AlternateContent>
          <mc:Choice Requires="wps">
            <w:drawing>
              <wp:anchor distT="0" distB="0" distL="114300" distR="114300" simplePos="0" relativeHeight="251654656" behindDoc="0" locked="0" layoutInCell="1" allowOverlap="1" wp14:anchorId="6F0F1C6C" wp14:editId="795CED42">
                <wp:simplePos x="0" y="0"/>
                <wp:positionH relativeFrom="column">
                  <wp:posOffset>-48895</wp:posOffset>
                </wp:positionH>
                <wp:positionV relativeFrom="paragraph">
                  <wp:posOffset>73025</wp:posOffset>
                </wp:positionV>
                <wp:extent cx="5253990" cy="2073275"/>
                <wp:effectExtent l="76200" t="50800" r="105410" b="136525"/>
                <wp:wrapTight wrapText="bothSides">
                  <wp:wrapPolygon edited="0">
                    <wp:start x="-313" y="-529"/>
                    <wp:lineTo x="-313" y="22758"/>
                    <wp:lineTo x="21929" y="22758"/>
                    <wp:lineTo x="21929" y="-529"/>
                    <wp:lineTo x="-313" y="-529"/>
                  </wp:wrapPolygon>
                </wp:wrapTight>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990" cy="2073275"/>
                        </a:xfrm>
                        <a:prstGeom prst="rect">
                          <a:avLst/>
                        </a:prstGeom>
                        <a:gradFill rotWithShape="1">
                          <a:gsLst>
                            <a:gs pos="0">
                              <a:srgbClr val="A7BFDE">
                                <a:alpha val="14998"/>
                              </a:srgbClr>
                            </a:gs>
                            <a:gs pos="100000">
                              <a:srgbClr val="4F81BD">
                                <a:alpha val="14998"/>
                              </a:srgbClr>
                            </a:gs>
                          </a:gsLst>
                          <a:lin ang="5400000"/>
                        </a:gradFill>
                        <a:ln w="9525">
                          <a:solidFill>
                            <a:srgbClr val="4579B8"/>
                          </a:solidFill>
                          <a:miter lim="800000"/>
                          <a:headEnd/>
                          <a:tailEnd/>
                        </a:ln>
                        <a:effectLst>
                          <a:outerShdw blurRad="63500" dist="23000" dir="5400000" rotWithShape="0">
                            <a:srgbClr val="000000">
                              <a:alpha val="34998"/>
                            </a:srgbClr>
                          </a:outerShdw>
                        </a:effectLst>
                      </wps:spPr>
                      <wps:txbx>
                        <w:txbxContent>
                          <w:p w14:paraId="71B14042" w14:textId="44CB7149" w:rsidR="00D11596" w:rsidRPr="00794167" w:rsidRDefault="00D11596" w:rsidP="00CC5FBD">
                            <w:pPr>
                              <w:pStyle w:val="p1"/>
                              <w:rPr>
                                <w:rFonts w:ascii="Gill Sans" w:hAnsi="Gill Sans" w:cs="Gill Sans"/>
                                <w:sz w:val="22"/>
                                <w:szCs w:val="22"/>
                                <w:lang w:val="uk-UA"/>
                              </w:rPr>
                            </w:pPr>
                            <w:r w:rsidRPr="00794167">
                              <w:rPr>
                                <w:rFonts w:ascii="Gill Sans" w:hAnsi="Gill Sans" w:cs="Gill Sans"/>
                                <w:sz w:val="22"/>
                                <w:szCs w:val="22"/>
                                <w:lang w:val="uk-UA"/>
                              </w:rPr>
                              <w:t>Дмитро Котляр є незалежним дослідником, що спеціалізується на питання</w:t>
                            </w:r>
                            <w:r w:rsidR="00794167">
                              <w:rPr>
                                <w:rFonts w:ascii="Gill Sans" w:hAnsi="Gill Sans" w:cs="Gill Sans"/>
                                <w:sz w:val="22"/>
                                <w:szCs w:val="22"/>
                                <w:lang w:val="uk-UA"/>
                              </w:rPr>
                              <w:t>х</w:t>
                            </w:r>
                            <w:r w:rsidRPr="00794167">
                              <w:rPr>
                                <w:rFonts w:ascii="Gill Sans" w:hAnsi="Gill Sans" w:cs="Gill Sans"/>
                                <w:sz w:val="22"/>
                                <w:szCs w:val="22"/>
                                <w:lang w:val="uk-UA"/>
                              </w:rPr>
                              <w:t xml:space="preserve"> відкритого урядування та антикорупції. Звіт в частині зобов'язань № 7 (Наглядовий механізм для права на доступ до інформації), 12 (Розкриття активів на єдиному веб-порталі) та 6 (Законопроект про відкриті дані) був підготовлений незалежним дослідником Денисом Ковриженком.</w:t>
                            </w:r>
                          </w:p>
                          <w:p w14:paraId="165F57CA" w14:textId="77777777" w:rsidR="00A76D00" w:rsidRPr="00794167" w:rsidRDefault="00A76D00" w:rsidP="00875931">
                            <w:pPr>
                              <w:pStyle w:val="p1"/>
                              <w:rPr>
                                <w:rFonts w:ascii="Gill Sans" w:hAnsi="Gill Sans" w:cs="Gill Sans"/>
                                <w:sz w:val="22"/>
                                <w:szCs w:val="22"/>
                                <w:lang w:val="uk-UA"/>
                              </w:rPr>
                            </w:pPr>
                          </w:p>
                          <w:p w14:paraId="1839C438" w14:textId="77777777" w:rsidR="00935122" w:rsidRPr="00794167" w:rsidRDefault="00935122" w:rsidP="00935122">
                            <w:pPr>
                              <w:rPr>
                                <w:rFonts w:ascii="Gill Sans" w:hAnsi="Gill Sans" w:cs="Gill Sans"/>
                                <w:sz w:val="22"/>
                                <w:szCs w:val="22"/>
                                <w:lang w:val="uk-UA"/>
                              </w:rPr>
                            </w:pPr>
                            <w:r w:rsidRPr="00794167">
                              <w:rPr>
                                <w:rFonts w:ascii="Gill Sans" w:hAnsi="Gill Sans" w:cs="Gill Sans"/>
                                <w:sz w:val="22"/>
                                <w:szCs w:val="22"/>
                                <w:lang w:val="uk-UA"/>
                              </w:rPr>
                              <w:t>Партнерство “Відкритий Уряд” (ПВУ) спрямовано на взяття урядами конкретних зобов’язань з метою просування прозорості, розширення прав громадян, боротьби проти корупції та використання нових технологій для зміцнення урядування. Механізм незалежного звітування ПВУ оцінює розроблення та реалізацію національних планів дій для сприяння діалогу між заінтересованими сторонами та посилення підзвітності.</w:t>
                            </w:r>
                          </w:p>
                          <w:p w14:paraId="49DB21D4" w14:textId="77777777" w:rsidR="00A76D00" w:rsidRPr="00794167" w:rsidRDefault="00A76D00" w:rsidP="0060422D">
                            <w:pPr>
                              <w:ind w:right="285"/>
                              <w:jc w:val="both"/>
                              <w:rPr>
                                <w:rFonts w:eastAsia="Times New Roman"/>
                                <w:color w:val="000000"/>
                                <w:sz w:val="18"/>
                                <w:szCs w:val="17"/>
                                <w:lang w:val="uk-UA"/>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0F1C6C" id="Rectangle 11" o:spid="_x0000_s1027" style="position:absolute;margin-left:-3.85pt;margin-top:5.75pt;width:413.7pt;height:16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" fillcolor="#a7bfde" strokecolor="#4579b8">
                <v:fill opacity="9829f" color2="#4f81bd" o:opacity2="9829f" rotate="t" focus="100%" type="gradient">
                  <o:fill v:ext="view" type="gradientUnscaled"/>
                </v:fill>
                <v:shadow on="t" opacity="22936f" origin=",.5" offset="0,23000emu"/>
                <v:textbox>
                  <w:txbxContent>
                    <w:p w14:paraId="71B14042" w14:textId="44CB7149" w:rsidR="00D11596" w:rsidRPr="00794167" w:rsidRDefault="00D11596" w:rsidP="00CC5FBD">
                      <w:pPr>
                        <w:pStyle w:val="p1"/>
                        <w:rPr>
                          <w:rFonts w:ascii="Gill Sans" w:hAnsi="Gill Sans" w:cs="Gill Sans"/>
                          <w:sz w:val="22"/>
                          <w:szCs w:val="22"/>
                          <w:lang w:val="uk-UA"/>
                        </w:rPr>
                      </w:pPr>
                      <w:r w:rsidRPr="00794167">
                        <w:rPr>
                          <w:rFonts w:ascii="Gill Sans" w:hAnsi="Gill Sans" w:cs="Gill Sans"/>
                          <w:sz w:val="22"/>
                          <w:szCs w:val="22"/>
                          <w:lang w:val="uk-UA"/>
                        </w:rPr>
                        <w:t>Дмитро Котляр є незалежним дослідником, що спеціалізується на питання</w:t>
                      </w:r>
                      <w:r w:rsidR="00794167">
                        <w:rPr>
                          <w:rFonts w:ascii="Gill Sans" w:hAnsi="Gill Sans" w:cs="Gill Sans"/>
                          <w:sz w:val="22"/>
                          <w:szCs w:val="22"/>
                          <w:lang w:val="uk-UA"/>
                        </w:rPr>
                        <w:t>х</w:t>
                      </w:r>
                      <w:r w:rsidRPr="00794167">
                        <w:rPr>
                          <w:rFonts w:ascii="Gill Sans" w:hAnsi="Gill Sans" w:cs="Gill Sans"/>
                          <w:sz w:val="22"/>
                          <w:szCs w:val="22"/>
                          <w:lang w:val="uk-UA"/>
                        </w:rPr>
                        <w:t xml:space="preserve"> відкритого урядування та антикорупції. Звіт в частині зобов'язань № 7 (Наглядовий механізм для права на доступ до інформації), 12 (Розкриття активів на єдиному веб-порталі) та 6 (Законопроект про відкриті дані) був підготовлений незалежним дослідником Денисом Ковриженком.</w:t>
                      </w:r>
                    </w:p>
                    <w:p w14:paraId="165F57CA" w14:textId="77777777" w:rsidR="00A76D00" w:rsidRPr="00794167" w:rsidRDefault="00A76D00" w:rsidP="00875931">
                      <w:pPr>
                        <w:pStyle w:val="p1"/>
                        <w:rPr>
                          <w:rFonts w:ascii="Gill Sans" w:hAnsi="Gill Sans" w:cs="Gill Sans"/>
                          <w:sz w:val="22"/>
                          <w:szCs w:val="22"/>
                          <w:lang w:val="uk-UA"/>
                        </w:rPr>
                      </w:pPr>
                    </w:p>
                    <w:p w14:paraId="1839C438" w14:textId="77777777" w:rsidR="00935122" w:rsidRPr="00794167" w:rsidRDefault="00935122" w:rsidP="00935122">
                      <w:pPr>
                        <w:rPr>
                          <w:rFonts w:ascii="Gill Sans" w:hAnsi="Gill Sans" w:cs="Gill Sans"/>
                          <w:sz w:val="22"/>
                          <w:szCs w:val="22"/>
                          <w:lang w:val="uk-UA"/>
                        </w:rPr>
                      </w:pPr>
                      <w:r w:rsidRPr="00794167">
                        <w:rPr>
                          <w:rFonts w:ascii="Gill Sans" w:hAnsi="Gill Sans" w:cs="Gill Sans"/>
                          <w:sz w:val="22"/>
                          <w:szCs w:val="22"/>
                          <w:lang w:val="uk-UA"/>
                        </w:rPr>
                        <w:t>Партнерство “Відкритий Уряд” (ПВУ) спрямовано на взяття урядами конкретних зобов’язань з метою просування прозорості, розширення прав громадян, боротьби проти корупції та використання нових технологій для зміцнення урядування. Механізм незалежного звітування ПВУ оцінює розроблення та реалізацію національних планів дій для сприяння діалогу між заінтересованими сторонами та посилення підзвітності.</w:t>
                      </w:r>
                    </w:p>
                    <w:p w14:paraId="49DB21D4" w14:textId="77777777" w:rsidR="00A76D00" w:rsidRPr="00794167" w:rsidRDefault="00A76D00" w:rsidP="0060422D">
                      <w:pPr>
                        <w:ind w:right="285"/>
                        <w:jc w:val="both"/>
                        <w:rPr>
                          <w:rFonts w:eastAsia="Times New Roman"/>
                          <w:color w:val="000000"/>
                          <w:sz w:val="18"/>
                          <w:szCs w:val="17"/>
                          <w:lang w:val="uk-UA"/>
                        </w:rPr>
                      </w:pPr>
                    </w:p>
                  </w:txbxContent>
                </v:textbox>
                <w10:wrap type="tight"/>
              </v:rect>
            </w:pict>
          </mc:Fallback>
        </mc:AlternateContent>
      </w:r>
    </w:p>
    <w:p w14:paraId="0A0F812E" w14:textId="7CA239AC" w:rsidR="0060422D" w:rsidRPr="00257F44" w:rsidRDefault="006D697C" w:rsidP="00B0395A">
      <w:pPr>
        <w:pStyle w:val="Normalrglronly"/>
        <w:rPr>
          <w:lang w:val="uk-UA"/>
        </w:rPr>
      </w:pPr>
      <w:r w:rsidRPr="00257F44">
        <w:rPr>
          <w:noProof/>
          <w:lang w:val="uk-UA"/>
        </w:rPr>
        <w:drawing>
          <wp:anchor distT="0" distB="0" distL="114300" distR="114300" simplePos="0" relativeHeight="251655680" behindDoc="0" locked="0" layoutInCell="1" allowOverlap="1" wp14:anchorId="101019A7" wp14:editId="3EBB8EED">
            <wp:simplePos x="0" y="0"/>
            <wp:positionH relativeFrom="column">
              <wp:posOffset>5323205</wp:posOffset>
            </wp:positionH>
            <wp:positionV relativeFrom="paragraph">
              <wp:posOffset>334010</wp:posOffset>
            </wp:positionV>
            <wp:extent cx="914400" cy="91440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DB671A" w14:textId="559628A6" w:rsidR="0060422D" w:rsidRPr="00257F44" w:rsidRDefault="0060422D" w:rsidP="00B0395A">
      <w:pPr>
        <w:pStyle w:val="Normalrglronly"/>
        <w:rPr>
          <w:lang w:val="uk-UA"/>
        </w:rPr>
      </w:pPr>
    </w:p>
    <w:p w14:paraId="3D77B06B" w14:textId="477EE08F" w:rsidR="008E3268" w:rsidRPr="00257F44" w:rsidRDefault="008E3268" w:rsidP="00B0395A">
      <w:pPr>
        <w:pStyle w:val="Normalrglronly"/>
        <w:rPr>
          <w:lang w:val="uk-UA"/>
        </w:rPr>
      </w:pPr>
    </w:p>
    <w:sectPr w:rsidR="008E3268" w:rsidRPr="00257F44" w:rsidSect="002A2966">
      <w:endnotePr>
        <w:numFmt w:val="decimal"/>
        <w:numRestart w:val="eachSect"/>
      </w:endnotePr>
      <w:pgSz w:w="11907" w:h="16839" w:code="9"/>
      <w:pgMar w:top="1417" w:right="1417" w:bottom="1417" w:left="1417"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A7302" w14:textId="77777777" w:rsidR="00ED7E25" w:rsidRDefault="00ED7E25" w:rsidP="008F072B">
      <w:r>
        <w:separator/>
      </w:r>
    </w:p>
  </w:endnote>
  <w:endnote w:type="continuationSeparator" w:id="0">
    <w:p w14:paraId="6128EBD0" w14:textId="77777777" w:rsidR="00ED7E25" w:rsidRDefault="00ED7E25" w:rsidP="008F072B">
      <w:r>
        <w:continuationSeparator/>
      </w:r>
    </w:p>
  </w:endnote>
  <w:endnote w:type="continuationNotice" w:id="1">
    <w:p w14:paraId="58887D4B" w14:textId="77777777" w:rsidR="00ED7E25" w:rsidRDefault="00ED7E25"/>
  </w:endnote>
  <w:endnote w:id="2">
    <w:p w14:paraId="67EE984C" w14:textId="77777777" w:rsidR="00A76D00" w:rsidRPr="00720761" w:rsidRDefault="00A76D00" w:rsidP="00163080">
      <w:pPr>
        <w:pStyle w:val="EndnoteText"/>
        <w:rPr>
          <w:szCs w:val="18"/>
          <w:lang w:val="uk-UA"/>
        </w:rPr>
      </w:pPr>
    </w:p>
    <w:p w14:paraId="4D856C38" w14:textId="65D2E7BC" w:rsidR="00A76D00" w:rsidRPr="00720761" w:rsidRDefault="00A76D00" w:rsidP="00163080">
      <w:pPr>
        <w:pStyle w:val="EndnoteText"/>
        <w:rPr>
          <w:szCs w:val="18"/>
          <w:lang w:val="uk-UA"/>
        </w:rPr>
      </w:pPr>
      <w:r w:rsidRPr="00720761">
        <w:rPr>
          <w:rStyle w:val="EndnoteReference"/>
          <w:szCs w:val="18"/>
          <w:lang w:val="uk-UA"/>
        </w:rPr>
        <w:endnoteRef/>
      </w:r>
      <w:r w:rsidRPr="00720761">
        <w:rPr>
          <w:szCs w:val="18"/>
          <w:lang w:val="uk-UA"/>
        </w:rPr>
        <w:t xml:space="preserve"> Інформація про шкалу IAP2 доступна тут https://c.ymcdn.com/sites/www.iap2.org/resource/resmgr/foundations_course/IAP2_P2_Spectrum_FINAL.pdf.</w:t>
      </w:r>
    </w:p>
  </w:endnote>
  <w:endnote w:id="3">
    <w:p w14:paraId="46793D68" w14:textId="55DAE3AC" w:rsidR="00A76D00" w:rsidRPr="00720761" w:rsidRDefault="00A76D00" w:rsidP="006319F4">
      <w:pPr>
        <w:pStyle w:val="EndnoteText"/>
        <w:rPr>
          <w:szCs w:val="18"/>
          <w:lang w:val="uk-UA"/>
        </w:rPr>
      </w:pPr>
      <w:r w:rsidRPr="00720761">
        <w:rPr>
          <w:rStyle w:val="EndnoteReference"/>
          <w:szCs w:val="18"/>
          <w:lang w:val="uk-UA"/>
        </w:rPr>
        <w:endnoteRef/>
      </w:r>
      <w:r w:rsidRPr="00720761">
        <w:rPr>
          <w:szCs w:val="18"/>
          <w:lang w:val="uk-UA"/>
        </w:rPr>
        <w:t xml:space="preserve"> Механізм незалежного звітування (МНЗ), Проміжний звіт 2014-15: Україна, стор. 24, http://www.opengovpartnership.org/sites/default/files/Ukraine_Second_IRM_Report_PublicComment_ENG.pdf</w:t>
      </w:r>
    </w:p>
  </w:endnote>
  <w:endnote w:id="4">
    <w:p w14:paraId="58E591B0" w14:textId="590DA2DC" w:rsidR="00A76D00" w:rsidRPr="00720761" w:rsidRDefault="00A76D00" w:rsidP="006319F4">
      <w:pPr>
        <w:pStyle w:val="EndnoteText"/>
        <w:rPr>
          <w:szCs w:val="18"/>
          <w:lang w:val="uk-UA"/>
        </w:rPr>
      </w:pPr>
      <w:r w:rsidRPr="00720761">
        <w:rPr>
          <w:rStyle w:val="EndnoteReference"/>
          <w:szCs w:val="18"/>
          <w:lang w:val="uk-UA"/>
        </w:rPr>
        <w:endnoteRef/>
      </w:r>
      <w:r w:rsidRPr="00720761">
        <w:rPr>
          <w:szCs w:val="18"/>
          <w:lang w:val="uk-UA"/>
        </w:rPr>
        <w:t xml:space="preserve"> Там само, стор. 25.</w:t>
      </w:r>
    </w:p>
  </w:endnote>
  <w:endnote w:id="5">
    <w:p w14:paraId="28F1575F" w14:textId="77777777" w:rsidR="00A76D00" w:rsidRPr="00720761" w:rsidRDefault="00A76D00" w:rsidP="00353FB5">
      <w:pPr>
        <w:pStyle w:val="EndnoteText"/>
        <w:rPr>
          <w:szCs w:val="18"/>
          <w:lang w:val="uk-UA"/>
        </w:rPr>
      </w:pPr>
      <w:r w:rsidRPr="00720761">
        <w:rPr>
          <w:szCs w:val="18"/>
          <w:vertAlign w:val="superscript"/>
          <w:lang w:val="uk-UA"/>
        </w:rPr>
        <w:endnoteRef/>
      </w:r>
      <w:r w:rsidRPr="00720761">
        <w:rPr>
          <w:szCs w:val="18"/>
          <w:lang w:val="uk-UA"/>
        </w:rPr>
        <w:t xml:space="preserve"> </w:t>
      </w:r>
      <w:hyperlink r:id="rId1" w:history="1">
        <w:r w:rsidRPr="00720761">
          <w:rPr>
            <w:szCs w:val="18"/>
            <w:lang w:val="uk-UA"/>
          </w:rPr>
          <w:t>http://bit.ly/2glgW3s</w:t>
        </w:r>
      </w:hyperlink>
      <w:r w:rsidRPr="00720761">
        <w:rPr>
          <w:szCs w:val="18"/>
          <w:lang w:val="uk-UA"/>
        </w:rPr>
        <w:t xml:space="preserve">. </w:t>
      </w:r>
    </w:p>
  </w:endnote>
  <w:endnote w:id="6">
    <w:p w14:paraId="4A9A9819" w14:textId="77777777" w:rsidR="00A76D00" w:rsidRPr="00720761" w:rsidRDefault="00A76D00" w:rsidP="001A7DD7">
      <w:pPr>
        <w:rPr>
          <w:rFonts w:ascii="Gill Sans" w:hAnsi="Gill Sans" w:cs="Gill Sans"/>
          <w:sz w:val="18"/>
          <w:szCs w:val="18"/>
          <w:lang w:val="uk-UA"/>
        </w:rPr>
      </w:pPr>
      <w:r w:rsidRPr="00720761">
        <w:rPr>
          <w:rFonts w:ascii="Gill Sans" w:hAnsi="Gill Sans" w:cs="Gill Sans"/>
          <w:sz w:val="18"/>
          <w:szCs w:val="18"/>
          <w:vertAlign w:val="superscript"/>
          <w:lang w:val="uk-UA"/>
        </w:rPr>
        <w:endnoteRef/>
      </w:r>
      <w:r w:rsidRPr="00720761">
        <w:rPr>
          <w:rFonts w:ascii="Gill Sans" w:hAnsi="Gill Sans" w:cs="Gill Sans"/>
          <w:sz w:val="18"/>
          <w:szCs w:val="18"/>
          <w:lang w:val="uk-UA"/>
        </w:rPr>
        <w:t xml:space="preserve"> </w:t>
      </w:r>
      <w:hyperlink r:id="rId2" w:history="1">
        <w:r w:rsidRPr="00720761">
          <w:rPr>
            <w:rFonts w:ascii="Gill Sans" w:hAnsi="Gill Sans" w:cs="Gill Sans"/>
            <w:sz w:val="18"/>
            <w:szCs w:val="18"/>
            <w:lang w:val="uk-UA"/>
          </w:rPr>
          <w:t>http://bit.ly/2hkz6A7</w:t>
        </w:r>
      </w:hyperlink>
      <w:r w:rsidRPr="00720761">
        <w:rPr>
          <w:rFonts w:ascii="Gill Sans" w:hAnsi="Gill Sans" w:cs="Gill Sans"/>
          <w:sz w:val="18"/>
          <w:szCs w:val="18"/>
          <w:lang w:val="uk-UA"/>
        </w:rPr>
        <w:t xml:space="preserve">. </w:t>
      </w:r>
    </w:p>
  </w:endnote>
  <w:endnote w:id="7">
    <w:p w14:paraId="6F015293" w14:textId="782437BC" w:rsidR="00A76D00" w:rsidRPr="00720761" w:rsidRDefault="00A76D00" w:rsidP="0055612F">
      <w:pPr>
        <w:pStyle w:val="EndnoteText"/>
        <w:rPr>
          <w:szCs w:val="18"/>
          <w:lang w:val="uk-UA"/>
        </w:rPr>
      </w:pPr>
      <w:r w:rsidRPr="00720761">
        <w:rPr>
          <w:rStyle w:val="EndnoteReference"/>
          <w:szCs w:val="18"/>
          <w:lang w:val="uk-UA"/>
        </w:rPr>
        <w:endnoteRef/>
      </w:r>
      <w:r w:rsidRPr="00720761">
        <w:rPr>
          <w:szCs w:val="18"/>
          <w:lang w:val="uk-UA"/>
        </w:rPr>
        <w:t xml:space="preserve"> Максим Лациба, ГО “Український незалежний центр політичних досліджень”, інтерв’ю з дослідником МНЗ, 29 вересня 2015 року.</w:t>
      </w:r>
    </w:p>
  </w:endnote>
  <w:endnote w:id="8">
    <w:p w14:paraId="01025A55" w14:textId="670B3E9A" w:rsidR="00A76D00" w:rsidRPr="00720761" w:rsidRDefault="00A76D00" w:rsidP="006319F4">
      <w:pPr>
        <w:pStyle w:val="EndnoteText"/>
        <w:rPr>
          <w:szCs w:val="18"/>
          <w:lang w:val="uk-UA"/>
        </w:rPr>
      </w:pPr>
      <w:r w:rsidRPr="00720761">
        <w:rPr>
          <w:rStyle w:val="EndnoteReference"/>
          <w:szCs w:val="18"/>
          <w:lang w:val="uk-UA"/>
        </w:rPr>
        <w:endnoteRef/>
      </w:r>
      <w:r w:rsidRPr="00720761">
        <w:rPr>
          <w:szCs w:val="18"/>
          <w:lang w:val="uk-UA"/>
        </w:rPr>
        <w:t xml:space="preserve"> Механізм незалежного звітування (МНЗ), Проміжний звіт 2014-15: Україна, стор. 29.</w:t>
      </w:r>
    </w:p>
  </w:endnote>
  <w:endnote w:id="9">
    <w:p w14:paraId="5ED0D771" w14:textId="47533C63" w:rsidR="00A76D00" w:rsidRPr="00720761" w:rsidRDefault="00A76D00">
      <w:pPr>
        <w:pStyle w:val="EndnoteText"/>
        <w:rPr>
          <w:szCs w:val="18"/>
          <w:lang w:val="uk-UA"/>
        </w:rPr>
      </w:pPr>
      <w:r w:rsidRPr="00720761">
        <w:rPr>
          <w:rStyle w:val="EndnoteReference"/>
          <w:szCs w:val="18"/>
          <w:lang w:val="uk-UA"/>
        </w:rPr>
        <w:endnoteRef/>
      </w:r>
      <w:r w:rsidRPr="00720761">
        <w:rPr>
          <w:szCs w:val="18"/>
          <w:lang w:val="uk-UA"/>
        </w:rPr>
        <w:t xml:space="preserve"> Там само, стор. 29.</w:t>
      </w:r>
    </w:p>
  </w:endnote>
  <w:endnote w:id="10">
    <w:p w14:paraId="72727256" w14:textId="6A4EB3D6" w:rsidR="00A76D00" w:rsidRPr="00720761" w:rsidRDefault="00A76D00" w:rsidP="008305F8">
      <w:pPr>
        <w:pStyle w:val="EndnoteText"/>
        <w:rPr>
          <w:szCs w:val="18"/>
          <w:lang w:val="uk-UA"/>
        </w:rPr>
      </w:pPr>
      <w:r w:rsidRPr="00720761">
        <w:rPr>
          <w:rStyle w:val="EndnoteReference"/>
          <w:szCs w:val="18"/>
          <w:lang w:val="uk-UA"/>
        </w:rPr>
        <w:endnoteRef/>
      </w:r>
      <w:r w:rsidRPr="00720761">
        <w:rPr>
          <w:szCs w:val="18"/>
          <w:lang w:val="uk-UA"/>
        </w:rPr>
        <w:t xml:space="preserve"> Письмове інтерв’ю з Максимом Лацибою, ГО “Український незалежний центр політичних досліджень”.</w:t>
      </w:r>
    </w:p>
  </w:endnote>
  <w:endnote w:id="11">
    <w:p w14:paraId="21D5B948" w14:textId="6F45029A" w:rsidR="00A76D00" w:rsidRPr="00720761" w:rsidRDefault="00A76D00">
      <w:pPr>
        <w:pStyle w:val="EndnoteText"/>
        <w:rPr>
          <w:szCs w:val="18"/>
          <w:lang w:val="uk-UA"/>
        </w:rPr>
      </w:pPr>
      <w:r w:rsidRPr="00720761">
        <w:rPr>
          <w:rStyle w:val="EndnoteReference"/>
          <w:szCs w:val="18"/>
          <w:lang w:val="uk-UA"/>
        </w:rPr>
        <w:endnoteRef/>
      </w:r>
      <w:r w:rsidRPr="00720761">
        <w:rPr>
          <w:szCs w:val="18"/>
          <w:lang w:val="uk-UA"/>
        </w:rPr>
        <w:t xml:space="preserve"> Там само.</w:t>
      </w:r>
    </w:p>
  </w:endnote>
  <w:endnote w:id="12">
    <w:p w14:paraId="75ADF8EE" w14:textId="110BB6FE" w:rsidR="00A76D00" w:rsidRPr="00720761" w:rsidRDefault="00A76D00" w:rsidP="0079406C">
      <w:pPr>
        <w:pStyle w:val="EndnoteText"/>
        <w:rPr>
          <w:szCs w:val="18"/>
          <w:lang w:val="uk-UA"/>
        </w:rPr>
      </w:pPr>
      <w:r w:rsidRPr="00720761">
        <w:rPr>
          <w:rStyle w:val="EndnoteReference"/>
          <w:szCs w:val="18"/>
          <w:lang w:val="uk-UA"/>
        </w:rPr>
        <w:endnoteRef/>
      </w:r>
      <w:r w:rsidRPr="00720761">
        <w:rPr>
          <w:szCs w:val="18"/>
          <w:lang w:val="uk-UA"/>
        </w:rPr>
        <w:t xml:space="preserve"> Див. текст Закону: http://bit.ly/1Vrnx6S.</w:t>
      </w:r>
    </w:p>
  </w:endnote>
  <w:endnote w:id="13">
    <w:p w14:paraId="2752F329" w14:textId="2206FF3C" w:rsidR="00A76D00" w:rsidRPr="00720761" w:rsidRDefault="00A76D00">
      <w:pPr>
        <w:pStyle w:val="EndnoteText"/>
        <w:rPr>
          <w:szCs w:val="18"/>
          <w:lang w:val="uk-UA"/>
        </w:rPr>
      </w:pPr>
      <w:r w:rsidRPr="00720761">
        <w:rPr>
          <w:rStyle w:val="EndnoteReference"/>
          <w:szCs w:val="18"/>
          <w:lang w:val="uk-UA"/>
        </w:rPr>
        <w:endnoteRef/>
      </w:r>
      <w:r w:rsidRPr="00720761">
        <w:rPr>
          <w:szCs w:val="18"/>
          <w:lang w:val="uk-UA"/>
        </w:rPr>
        <w:t xml:space="preserve"> Механізм незалежного звітування (МНЗ), Проміжний звіт 2014-15: Україна, стор. 31-32. </w:t>
      </w:r>
    </w:p>
  </w:endnote>
  <w:endnote w:id="14">
    <w:p w14:paraId="46157A19" w14:textId="1F112942" w:rsidR="00A76D00" w:rsidRPr="00720761" w:rsidRDefault="00A76D00" w:rsidP="00380840">
      <w:pPr>
        <w:rPr>
          <w:rFonts w:ascii="Gill Sans" w:eastAsia="Times New Roman" w:hAnsi="Gill Sans" w:cs="Gill Sans"/>
          <w:sz w:val="18"/>
          <w:szCs w:val="18"/>
          <w:lang w:val="uk-UA"/>
        </w:rPr>
      </w:pPr>
      <w:r w:rsidRPr="00720761">
        <w:rPr>
          <w:rFonts w:ascii="Gill Sans" w:hAnsi="Gill Sans" w:cs="Gill Sans"/>
          <w:color w:val="222222"/>
          <w:sz w:val="18"/>
          <w:szCs w:val="18"/>
          <w:vertAlign w:val="superscript"/>
          <w:lang w:val="uk-UA"/>
        </w:rPr>
        <w:endnoteRef/>
      </w:r>
      <w:r w:rsidRPr="00720761">
        <w:rPr>
          <w:rFonts w:ascii="Gill Sans" w:hAnsi="Gill Sans" w:cs="Gill Sans"/>
          <w:color w:val="222222"/>
          <w:sz w:val="18"/>
          <w:szCs w:val="18"/>
          <w:lang w:val="uk-UA"/>
        </w:rPr>
        <w:t xml:space="preserve"> Див. текст документа: </w:t>
      </w:r>
      <w:hyperlink r:id="rId3" w:history="1">
        <w:r w:rsidRPr="00720761">
          <w:rPr>
            <w:rFonts w:ascii="Gill Sans" w:hAnsi="Gill Sans" w:cs="Gill Sans"/>
            <w:color w:val="222222"/>
            <w:sz w:val="18"/>
            <w:szCs w:val="18"/>
            <w:lang w:val="uk-UA"/>
          </w:rPr>
          <w:t>http://bit.ly/2ily5va</w:t>
        </w:r>
      </w:hyperlink>
      <w:r w:rsidRPr="00720761">
        <w:rPr>
          <w:rFonts w:ascii="Gill Sans" w:hAnsi="Gill Sans" w:cs="Gill Sans"/>
          <w:color w:val="222222"/>
          <w:sz w:val="18"/>
          <w:szCs w:val="18"/>
          <w:lang w:val="uk-UA"/>
        </w:rPr>
        <w:t>.</w:t>
      </w:r>
      <w:r w:rsidRPr="00720761">
        <w:rPr>
          <w:rFonts w:ascii="Gill Sans" w:eastAsia="Times New Roman" w:hAnsi="Gill Sans" w:cs="Gill Sans"/>
          <w:color w:val="A3AAAE"/>
          <w:sz w:val="18"/>
          <w:szCs w:val="18"/>
          <w:lang w:val="uk-UA"/>
        </w:rPr>
        <w:t xml:space="preserve"> </w:t>
      </w:r>
    </w:p>
  </w:endnote>
  <w:endnote w:id="15">
    <w:p w14:paraId="7A0CF78E" w14:textId="648AB7F8" w:rsidR="00A76D00" w:rsidRPr="00720761" w:rsidRDefault="00A76D00" w:rsidP="00894FD3">
      <w:pPr>
        <w:pStyle w:val="EndnoteText"/>
        <w:rPr>
          <w:szCs w:val="18"/>
          <w:lang w:val="uk-UA"/>
        </w:rPr>
      </w:pPr>
      <w:r w:rsidRPr="00720761">
        <w:rPr>
          <w:rStyle w:val="EndnoteReference"/>
          <w:szCs w:val="18"/>
          <w:lang w:val="uk-UA"/>
        </w:rPr>
        <w:endnoteRef/>
      </w:r>
      <w:r w:rsidRPr="00720761">
        <w:rPr>
          <w:szCs w:val="18"/>
          <w:lang w:val="uk-UA"/>
        </w:rPr>
        <w:t xml:space="preserve"> Механізм незалежного звітування (МНЗ), Проміжний звіт 2014-15: Україна, стор. 31.  </w:t>
      </w:r>
    </w:p>
  </w:endnote>
  <w:endnote w:id="16">
    <w:p w14:paraId="0932A954" w14:textId="1EF6C8D6" w:rsidR="00A76D00" w:rsidRPr="00720761" w:rsidRDefault="00A76D00" w:rsidP="0082744C">
      <w:pPr>
        <w:pStyle w:val="EndnoteText"/>
        <w:rPr>
          <w:szCs w:val="18"/>
          <w:lang w:val="uk-UA"/>
        </w:rPr>
      </w:pPr>
      <w:r w:rsidRPr="00720761">
        <w:rPr>
          <w:rStyle w:val="EndnoteReference"/>
          <w:szCs w:val="18"/>
          <w:lang w:val="uk-UA"/>
        </w:rPr>
        <w:endnoteRef/>
      </w:r>
      <w:r w:rsidRPr="00720761">
        <w:rPr>
          <w:szCs w:val="18"/>
          <w:lang w:val="uk-UA"/>
        </w:rPr>
        <w:t xml:space="preserve"> Перевірка на шкоду </w:t>
      </w:r>
      <w:r w:rsidR="00726AE2" w:rsidRPr="00720761">
        <w:rPr>
          <w:szCs w:val="18"/>
          <w:lang w:val="uk-UA"/>
        </w:rPr>
        <w:t>та суспільний інтерес застосовує</w:t>
      </w:r>
      <w:r w:rsidRPr="00720761">
        <w:rPr>
          <w:szCs w:val="18"/>
          <w:lang w:val="uk-UA"/>
        </w:rPr>
        <w:t>ться для встановлення того, чи розкриття запит</w:t>
      </w:r>
      <w:r w:rsidR="00726AE2" w:rsidRPr="00720761">
        <w:rPr>
          <w:szCs w:val="18"/>
          <w:lang w:val="uk-UA"/>
        </w:rPr>
        <w:t>уваної інформації завдасть шкоду</w:t>
      </w:r>
      <w:r w:rsidRPr="00720761">
        <w:rPr>
          <w:szCs w:val="18"/>
          <w:lang w:val="uk-UA"/>
        </w:rPr>
        <w:t xml:space="preserve"> захищеному інтересу і, якщо так, чи переважає така шкода суспільний інтерес у розкритті.</w:t>
      </w:r>
    </w:p>
  </w:endnote>
  <w:endnote w:id="17">
    <w:p w14:paraId="341352D2" w14:textId="01FA8EC8" w:rsidR="00A76D00" w:rsidRPr="00720761" w:rsidRDefault="00A76D00" w:rsidP="00E60008">
      <w:pPr>
        <w:pStyle w:val="EndnoteText"/>
        <w:rPr>
          <w:szCs w:val="18"/>
          <w:lang w:val="uk-UA"/>
        </w:rPr>
      </w:pPr>
      <w:r w:rsidRPr="00720761">
        <w:rPr>
          <w:rStyle w:val="EndnoteReference"/>
          <w:szCs w:val="18"/>
          <w:lang w:val="uk-UA"/>
        </w:rPr>
        <w:endnoteRef/>
      </w:r>
      <w:r w:rsidRPr="00720761">
        <w:rPr>
          <w:szCs w:val="18"/>
          <w:lang w:val="uk-UA"/>
        </w:rPr>
        <w:t xml:space="preserve"> Механізм незалежного звітування (МНЗ), Проміжний звіт 2014-15: Україна, стор. 33-34. </w:t>
      </w:r>
    </w:p>
  </w:endnote>
  <w:endnote w:id="18">
    <w:p w14:paraId="6906746F" w14:textId="3523F18C" w:rsidR="00A76D00" w:rsidRPr="00720761" w:rsidRDefault="00A76D00" w:rsidP="000265F8">
      <w:pPr>
        <w:pStyle w:val="EndnoteText"/>
        <w:rPr>
          <w:szCs w:val="18"/>
          <w:lang w:val="uk-UA"/>
        </w:rPr>
      </w:pPr>
      <w:r w:rsidRPr="00720761">
        <w:rPr>
          <w:rStyle w:val="EndnoteReference"/>
          <w:szCs w:val="18"/>
          <w:lang w:val="uk-UA"/>
        </w:rPr>
        <w:endnoteRef/>
      </w:r>
      <w:r w:rsidRPr="00720761">
        <w:rPr>
          <w:szCs w:val="18"/>
          <w:lang w:val="uk-UA"/>
        </w:rPr>
        <w:t xml:space="preserve"> Там само, стор. 34. </w:t>
      </w:r>
    </w:p>
  </w:endnote>
  <w:endnote w:id="19">
    <w:p w14:paraId="2E6B3EB6" w14:textId="77777777" w:rsidR="00A76D00" w:rsidRPr="00720761" w:rsidRDefault="00A76D00" w:rsidP="007B720C">
      <w:pPr>
        <w:pStyle w:val="EndnoteText"/>
        <w:rPr>
          <w:szCs w:val="18"/>
          <w:lang w:val="uk-UA"/>
        </w:rPr>
      </w:pPr>
      <w:r w:rsidRPr="00720761">
        <w:rPr>
          <w:rStyle w:val="EndnoteReference"/>
          <w:szCs w:val="18"/>
          <w:lang w:val="uk-UA"/>
        </w:rPr>
        <w:endnoteRef/>
      </w:r>
      <w:r w:rsidRPr="00720761">
        <w:rPr>
          <w:szCs w:val="18"/>
          <w:lang w:val="uk-UA"/>
        </w:rPr>
        <w:t xml:space="preserve"> Письмове інтерв’ю з Володимиром Щербаченком, ГО “Східноєвропейський центр громадських ініціатив”.</w:t>
      </w:r>
    </w:p>
  </w:endnote>
  <w:endnote w:id="20">
    <w:p w14:paraId="20A3A30B" w14:textId="77777777" w:rsidR="00A76D00" w:rsidRPr="00720761" w:rsidRDefault="00A76D00" w:rsidP="007B720C">
      <w:pPr>
        <w:rPr>
          <w:rFonts w:ascii="Gill Sans" w:eastAsia="Times New Roman" w:hAnsi="Gill Sans" w:cs="Gill Sans"/>
          <w:sz w:val="18"/>
          <w:szCs w:val="18"/>
          <w:lang w:val="uk-UA"/>
        </w:rPr>
      </w:pPr>
      <w:r w:rsidRPr="00720761">
        <w:rPr>
          <w:rStyle w:val="EndnoteReference"/>
          <w:rFonts w:ascii="Gill Sans" w:hAnsi="Gill Sans" w:cs="Gill Sans"/>
          <w:sz w:val="18"/>
          <w:szCs w:val="18"/>
          <w:lang w:val="uk-UA"/>
        </w:rPr>
        <w:endnoteRef/>
      </w:r>
      <w:r w:rsidRPr="00720761">
        <w:rPr>
          <w:rFonts w:ascii="Gill Sans" w:hAnsi="Gill Sans" w:cs="Gill Sans"/>
          <w:sz w:val="18"/>
          <w:szCs w:val="18"/>
          <w:lang w:val="uk-UA"/>
        </w:rPr>
        <w:t xml:space="preserve"> Див., наприклад, приклад Вінниці: </w:t>
      </w:r>
      <w:hyperlink r:id="rId4" w:history="1">
        <w:r w:rsidRPr="00720761">
          <w:rPr>
            <w:rStyle w:val="Hyperlink"/>
            <w:rFonts w:ascii="Gill Sans" w:eastAsia="Times New Roman" w:hAnsi="Gill Sans" w:cs="Gill Sans"/>
            <w:sz w:val="18"/>
            <w:szCs w:val="18"/>
            <w:lang w:val="uk-UA"/>
          </w:rPr>
          <w:t>http://bit.ly/2mSUovN</w:t>
        </w:r>
      </w:hyperlink>
      <w:r w:rsidRPr="00720761">
        <w:rPr>
          <w:rFonts w:ascii="Gill Sans" w:eastAsia="Times New Roman" w:hAnsi="Gill Sans" w:cs="Gill Sans"/>
          <w:color w:val="000000" w:themeColor="text1"/>
          <w:sz w:val="18"/>
          <w:szCs w:val="18"/>
          <w:lang w:val="uk-UA"/>
        </w:rPr>
        <w:t>, http://bit.ly/2oeSAxn.</w:t>
      </w:r>
    </w:p>
  </w:endnote>
  <w:endnote w:id="21">
    <w:p w14:paraId="13E92324" w14:textId="1AB2F688" w:rsidR="00A76D00" w:rsidRPr="00720761" w:rsidRDefault="00A76D00" w:rsidP="006319F4">
      <w:pPr>
        <w:pStyle w:val="EndnoteText"/>
        <w:rPr>
          <w:szCs w:val="18"/>
          <w:lang w:val="uk-UA"/>
        </w:rPr>
      </w:pPr>
      <w:r w:rsidRPr="00720761">
        <w:rPr>
          <w:rStyle w:val="EndnoteReference"/>
          <w:szCs w:val="18"/>
          <w:lang w:val="uk-UA"/>
        </w:rPr>
        <w:endnoteRef/>
      </w:r>
      <w:r w:rsidRPr="00720761">
        <w:rPr>
          <w:szCs w:val="18"/>
          <w:lang w:val="uk-UA"/>
        </w:rPr>
        <w:t xml:space="preserve"> Письмовий коментар ГО “Східноєвропейський центр громадських ініціатив”.</w:t>
      </w:r>
    </w:p>
  </w:endnote>
  <w:endnote w:id="22">
    <w:p w14:paraId="2FC05FFD" w14:textId="77777777" w:rsidR="00A76D00" w:rsidRPr="00720761" w:rsidRDefault="00A76D00" w:rsidP="008B2881">
      <w:pPr>
        <w:pStyle w:val="EndnoteText"/>
        <w:rPr>
          <w:szCs w:val="18"/>
          <w:lang w:val="uk-UA"/>
        </w:rPr>
      </w:pPr>
      <w:r w:rsidRPr="00720761">
        <w:rPr>
          <w:rStyle w:val="EndnoteReference"/>
          <w:szCs w:val="18"/>
          <w:lang w:val="uk-UA"/>
        </w:rPr>
        <w:endnoteRef/>
      </w:r>
      <w:r w:rsidRPr="00720761">
        <w:rPr>
          <w:szCs w:val="18"/>
          <w:lang w:val="uk-UA"/>
        </w:rPr>
        <w:t xml:space="preserve"> http://bit.ly/1hKjXrb. </w:t>
      </w:r>
    </w:p>
  </w:endnote>
  <w:endnote w:id="23">
    <w:p w14:paraId="53A2C13D" w14:textId="5A9103BE" w:rsidR="00A76D00" w:rsidRPr="00720761" w:rsidRDefault="00A76D00" w:rsidP="00CD6644">
      <w:pPr>
        <w:pStyle w:val="EndnoteText"/>
        <w:rPr>
          <w:szCs w:val="18"/>
          <w:lang w:val="uk-UA"/>
        </w:rPr>
      </w:pPr>
      <w:r w:rsidRPr="00720761">
        <w:rPr>
          <w:rStyle w:val="EndnoteReference"/>
          <w:szCs w:val="18"/>
          <w:lang w:val="uk-UA"/>
        </w:rPr>
        <w:endnoteRef/>
      </w:r>
      <w:r w:rsidRPr="00720761">
        <w:rPr>
          <w:szCs w:val="18"/>
          <w:lang w:val="uk-UA"/>
        </w:rPr>
        <w:t xml:space="preserve"> Механізм незалежного звітування (МНЗ), Проміжний звіт 2014-15: Україна, стор. 36-37. </w:t>
      </w:r>
    </w:p>
  </w:endnote>
  <w:endnote w:id="24">
    <w:p w14:paraId="45025289" w14:textId="06F2CC7B" w:rsidR="00A76D00" w:rsidRPr="00720761" w:rsidRDefault="00A76D00">
      <w:pPr>
        <w:pStyle w:val="EndnoteText"/>
        <w:rPr>
          <w:szCs w:val="18"/>
          <w:lang w:val="uk-UA"/>
        </w:rPr>
      </w:pPr>
      <w:r w:rsidRPr="00720761">
        <w:rPr>
          <w:rStyle w:val="EndnoteReference"/>
          <w:szCs w:val="18"/>
          <w:lang w:val="uk-UA"/>
        </w:rPr>
        <w:endnoteRef/>
      </w:r>
      <w:r w:rsidRPr="00720761">
        <w:rPr>
          <w:szCs w:val="18"/>
          <w:lang w:val="uk-UA"/>
        </w:rPr>
        <w:t xml:space="preserve"> Там само, 37. </w:t>
      </w:r>
    </w:p>
  </w:endnote>
  <w:endnote w:id="25">
    <w:p w14:paraId="2D842CA7" w14:textId="094F1052" w:rsidR="00A76D00" w:rsidRPr="00720761" w:rsidRDefault="00A76D00" w:rsidP="009E4887">
      <w:pPr>
        <w:rPr>
          <w:rFonts w:ascii="Gill Sans" w:eastAsia="Times New Roman" w:hAnsi="Gill Sans" w:cs="Gill Sans"/>
          <w:sz w:val="18"/>
          <w:szCs w:val="18"/>
          <w:lang w:val="uk-UA"/>
        </w:rPr>
      </w:pPr>
      <w:r w:rsidRPr="00720761">
        <w:rPr>
          <w:rFonts w:ascii="Gill Sans" w:hAnsi="Gill Sans" w:cs="Gill Sans"/>
          <w:color w:val="222222"/>
          <w:sz w:val="18"/>
          <w:szCs w:val="18"/>
          <w:vertAlign w:val="superscript"/>
          <w:lang w:val="uk-UA"/>
        </w:rPr>
        <w:endnoteRef/>
      </w:r>
      <w:r w:rsidRPr="00720761">
        <w:rPr>
          <w:rFonts w:ascii="Gill Sans" w:hAnsi="Gill Sans" w:cs="Gill Sans"/>
          <w:color w:val="222222"/>
          <w:sz w:val="18"/>
          <w:szCs w:val="18"/>
          <w:lang w:val="uk-UA"/>
        </w:rPr>
        <w:t xml:space="preserve"> Див. текст рішення http://bit.ly/2iw7HPY.</w:t>
      </w:r>
    </w:p>
  </w:endnote>
  <w:endnote w:id="26">
    <w:p w14:paraId="58E9A742" w14:textId="1389AFD7" w:rsidR="00A76D00" w:rsidRPr="00720761" w:rsidRDefault="00A76D00" w:rsidP="00927832">
      <w:pPr>
        <w:rPr>
          <w:rFonts w:ascii="Gill Sans" w:eastAsia="Times New Roman" w:hAnsi="Gill Sans" w:cs="Gill Sans"/>
          <w:color w:val="000000" w:themeColor="text1"/>
          <w:sz w:val="18"/>
          <w:szCs w:val="18"/>
          <w:lang w:val="uk-UA"/>
        </w:rPr>
      </w:pPr>
      <w:r w:rsidRPr="00720761">
        <w:rPr>
          <w:rFonts w:ascii="Gill Sans" w:hAnsi="Gill Sans" w:cs="Gill Sans"/>
          <w:sz w:val="18"/>
          <w:szCs w:val="18"/>
          <w:vertAlign w:val="superscript"/>
          <w:lang w:val="uk-UA"/>
        </w:rPr>
        <w:endnoteRef/>
      </w:r>
      <w:r w:rsidRPr="00720761">
        <w:rPr>
          <w:rFonts w:ascii="Gill Sans" w:hAnsi="Gill Sans" w:cs="Gill Sans"/>
          <w:color w:val="222222"/>
          <w:sz w:val="18"/>
          <w:szCs w:val="18"/>
          <w:lang w:val="uk-UA"/>
        </w:rPr>
        <w:t xml:space="preserve"> Письмове інтерв’ю з Андрієм Когутом, головою спеціалізованого архіву Служби б</w:t>
      </w:r>
      <w:r w:rsidR="00283E80" w:rsidRPr="00720761">
        <w:rPr>
          <w:rFonts w:ascii="Gill Sans" w:hAnsi="Gill Sans" w:cs="Gill Sans"/>
          <w:color w:val="222222"/>
          <w:sz w:val="18"/>
          <w:szCs w:val="18"/>
          <w:lang w:val="uk-UA"/>
        </w:rPr>
        <w:t>езпеки України. Див. також звіти</w:t>
      </w:r>
      <w:r w:rsidRPr="00720761">
        <w:rPr>
          <w:rFonts w:ascii="Gill Sans" w:hAnsi="Gill Sans" w:cs="Gill Sans"/>
          <w:color w:val="222222"/>
          <w:sz w:val="18"/>
          <w:szCs w:val="18"/>
          <w:lang w:val="uk-UA"/>
        </w:rPr>
        <w:t xml:space="preserve"> та аналітичні матеріали щодо доступу до архівів після прийняття Закону: </w:t>
      </w:r>
      <w:hyperlink r:id="rId5" w:history="1">
        <w:r w:rsidRPr="00720761">
          <w:rPr>
            <w:rStyle w:val="Hyperlink"/>
            <w:rFonts w:ascii="Gill Sans" w:eastAsia="Times New Roman" w:hAnsi="Gill Sans" w:cs="Gill Sans"/>
            <w:sz w:val="18"/>
            <w:szCs w:val="18"/>
            <w:lang w:val="uk-UA"/>
          </w:rPr>
          <w:t>http://bit.ly/2nw0nUg</w:t>
        </w:r>
      </w:hyperlink>
      <w:r w:rsidRPr="00720761">
        <w:rPr>
          <w:rFonts w:ascii="Gill Sans" w:eastAsia="Times New Roman" w:hAnsi="Gill Sans" w:cs="Gill Sans"/>
          <w:sz w:val="18"/>
          <w:szCs w:val="18"/>
          <w:lang w:val="uk-UA"/>
        </w:rPr>
        <w:t xml:space="preserve">, </w:t>
      </w:r>
      <w:hyperlink r:id="rId6" w:history="1">
        <w:r w:rsidRPr="00720761">
          <w:rPr>
            <w:rStyle w:val="Hyperlink"/>
            <w:rFonts w:ascii="Gill Sans" w:eastAsia="Times New Roman" w:hAnsi="Gill Sans" w:cs="Gill Sans"/>
            <w:sz w:val="18"/>
            <w:szCs w:val="18"/>
            <w:lang w:val="uk-UA"/>
          </w:rPr>
          <w:t>http://bit.ly/2nhlp7u</w:t>
        </w:r>
      </w:hyperlink>
      <w:r w:rsidRPr="00720761">
        <w:rPr>
          <w:rFonts w:ascii="Gill Sans" w:eastAsia="Times New Roman" w:hAnsi="Gill Sans" w:cs="Gill Sans"/>
          <w:sz w:val="18"/>
          <w:szCs w:val="18"/>
          <w:lang w:val="uk-UA"/>
        </w:rPr>
        <w:t xml:space="preserve">, </w:t>
      </w:r>
      <w:hyperlink r:id="rId7" w:history="1">
        <w:r w:rsidRPr="00720761">
          <w:rPr>
            <w:rStyle w:val="Hyperlink"/>
            <w:rFonts w:ascii="Gill Sans" w:eastAsia="Times New Roman" w:hAnsi="Gill Sans" w:cs="Gill Sans"/>
            <w:sz w:val="18"/>
            <w:szCs w:val="18"/>
            <w:lang w:val="uk-UA"/>
          </w:rPr>
          <w:t>http://bit.ly/2nMFOVP</w:t>
        </w:r>
      </w:hyperlink>
      <w:r w:rsidRPr="00720761">
        <w:rPr>
          <w:rFonts w:ascii="Gill Sans" w:hAnsi="Gill Sans" w:cs="Gill Sans"/>
          <w:color w:val="000000" w:themeColor="text1"/>
          <w:sz w:val="18"/>
          <w:szCs w:val="18"/>
          <w:lang w:val="uk-UA"/>
        </w:rPr>
        <w:t xml:space="preserve">. </w:t>
      </w:r>
      <w:r w:rsidRPr="00720761">
        <w:rPr>
          <w:rFonts w:ascii="Gill Sans" w:eastAsia="Times New Roman" w:hAnsi="Gill Sans" w:cs="Gill Sans"/>
          <w:color w:val="000000" w:themeColor="text1"/>
          <w:sz w:val="18"/>
          <w:szCs w:val="18"/>
          <w:lang w:val="uk-UA"/>
        </w:rPr>
        <w:t xml:space="preserve"> </w:t>
      </w:r>
    </w:p>
  </w:endnote>
  <w:endnote w:id="27">
    <w:p w14:paraId="122320A0" w14:textId="0C247970" w:rsidR="00A76D00" w:rsidRPr="00720761" w:rsidRDefault="00A76D00" w:rsidP="00927832">
      <w:pPr>
        <w:rPr>
          <w:rFonts w:ascii="Gill Sans" w:eastAsia="Times New Roman" w:hAnsi="Gill Sans" w:cs="Gill Sans"/>
          <w:sz w:val="18"/>
          <w:szCs w:val="18"/>
          <w:lang w:val="uk-UA"/>
        </w:rPr>
      </w:pPr>
      <w:r w:rsidRPr="00720761">
        <w:rPr>
          <w:rStyle w:val="EndnoteReference"/>
          <w:rFonts w:ascii="Gill Sans" w:hAnsi="Gill Sans" w:cs="Gill Sans"/>
          <w:sz w:val="18"/>
          <w:szCs w:val="18"/>
          <w:lang w:val="uk-UA"/>
        </w:rPr>
        <w:endnoteRef/>
      </w:r>
      <w:r w:rsidRPr="00720761">
        <w:rPr>
          <w:rFonts w:ascii="Gill Sans" w:hAnsi="Gill Sans" w:cs="Gill Sans"/>
          <w:sz w:val="18"/>
          <w:szCs w:val="18"/>
          <w:lang w:val="uk-UA"/>
        </w:rPr>
        <w:t xml:space="preserve"> Український кризовий медіа центр, Вільний доступ до архівів дозволяє громадянам дізнатися про своїх родичів, 20 квітня 2016 року, </w:t>
      </w:r>
      <w:hyperlink r:id="rId8" w:tgtFrame="_blank" w:history="1">
        <w:r w:rsidRPr="00720761">
          <w:rPr>
            <w:rStyle w:val="Hyperlink"/>
            <w:rFonts w:ascii="Gill Sans" w:eastAsia="Times New Roman" w:hAnsi="Gill Sans" w:cs="Gill Sans"/>
            <w:color w:val="263238"/>
            <w:sz w:val="18"/>
            <w:szCs w:val="18"/>
            <w:lang w:val="uk-UA"/>
          </w:rPr>
          <w:t>http://uacrisis.org/ua/42323-dostup-do-arhiviv</w:t>
        </w:r>
      </w:hyperlink>
      <w:r w:rsidRPr="00720761">
        <w:rPr>
          <w:rStyle w:val="Hyperlink"/>
          <w:rFonts w:ascii="Gill Sans" w:eastAsia="Times New Roman" w:hAnsi="Gill Sans" w:cs="Gill Sans"/>
          <w:color w:val="263238"/>
          <w:sz w:val="18"/>
          <w:szCs w:val="18"/>
          <w:lang w:val="uk-UA"/>
        </w:rPr>
        <w:t>.</w:t>
      </w:r>
    </w:p>
  </w:endnote>
  <w:endnote w:id="28">
    <w:p w14:paraId="3B0D7B2C" w14:textId="4A118EB1" w:rsidR="00A76D00" w:rsidRPr="00720761" w:rsidRDefault="00A76D00" w:rsidP="00D93458">
      <w:pPr>
        <w:pStyle w:val="EndnoteText"/>
        <w:rPr>
          <w:szCs w:val="18"/>
          <w:lang w:val="uk-UA"/>
        </w:rPr>
      </w:pPr>
      <w:r w:rsidRPr="00720761">
        <w:rPr>
          <w:rStyle w:val="EndnoteReference"/>
          <w:szCs w:val="18"/>
          <w:lang w:val="uk-UA"/>
        </w:rPr>
        <w:endnoteRef/>
      </w:r>
      <w:r w:rsidRPr="00720761">
        <w:rPr>
          <w:szCs w:val="18"/>
          <w:lang w:val="uk-UA"/>
        </w:rPr>
        <w:t xml:space="preserve"> Письмове інтерв’ю з Андрієм Когутом. </w:t>
      </w:r>
    </w:p>
  </w:endnote>
  <w:endnote w:id="29">
    <w:p w14:paraId="44159B82" w14:textId="77777777" w:rsidR="00A76D00" w:rsidRPr="00720761" w:rsidRDefault="00A76D00" w:rsidP="00A04CE7">
      <w:pPr>
        <w:pStyle w:val="EndnoteText"/>
        <w:rPr>
          <w:szCs w:val="18"/>
          <w:lang w:val="uk-UA"/>
        </w:rPr>
      </w:pPr>
      <w:r w:rsidRPr="00720761">
        <w:rPr>
          <w:rStyle w:val="EndnoteReference"/>
          <w:szCs w:val="18"/>
          <w:lang w:val="uk-UA"/>
        </w:rPr>
        <w:endnoteRef/>
      </w:r>
      <w:r w:rsidRPr="00720761">
        <w:rPr>
          <w:szCs w:val="18"/>
          <w:lang w:val="uk-UA"/>
        </w:rPr>
        <w:t xml:space="preserve"> http://bit.ly/1LvuQWk</w:t>
      </w:r>
      <w:r w:rsidRPr="00720761">
        <w:rPr>
          <w:noProof/>
          <w:szCs w:val="18"/>
          <w:lang w:val="uk-UA"/>
        </w:rPr>
        <w:t xml:space="preserve">. </w:t>
      </w:r>
    </w:p>
  </w:endnote>
  <w:endnote w:id="30">
    <w:p w14:paraId="0519F989" w14:textId="77777777" w:rsidR="00A76D00" w:rsidRPr="00720761" w:rsidRDefault="00A76D00" w:rsidP="00A7583C">
      <w:pPr>
        <w:pStyle w:val="EndnoteText"/>
        <w:rPr>
          <w:szCs w:val="18"/>
          <w:lang w:val="uk-UA"/>
        </w:rPr>
      </w:pPr>
      <w:r w:rsidRPr="00720761">
        <w:rPr>
          <w:rStyle w:val="EndnoteReference"/>
          <w:szCs w:val="18"/>
          <w:lang w:val="uk-UA"/>
        </w:rPr>
        <w:endnoteRef/>
      </w:r>
      <w:r w:rsidRPr="00720761">
        <w:rPr>
          <w:szCs w:val="18"/>
          <w:lang w:val="uk-UA"/>
        </w:rPr>
        <w:t xml:space="preserve"> http://bit.ly/1jy74C7</w:t>
      </w:r>
      <w:r w:rsidRPr="00720761">
        <w:rPr>
          <w:color w:val="000090"/>
          <w:szCs w:val="18"/>
          <w:lang w:val="uk-UA"/>
        </w:rPr>
        <w:t xml:space="preserve">. </w:t>
      </w:r>
    </w:p>
  </w:endnote>
  <w:endnote w:id="31">
    <w:p w14:paraId="7522A46E" w14:textId="49B220E1" w:rsidR="00A76D00" w:rsidRPr="00720761" w:rsidRDefault="00A76D00">
      <w:pPr>
        <w:pStyle w:val="EndnoteText"/>
        <w:rPr>
          <w:szCs w:val="18"/>
          <w:lang w:val="uk-UA"/>
        </w:rPr>
      </w:pPr>
      <w:r w:rsidRPr="00720761">
        <w:rPr>
          <w:rStyle w:val="EndnoteReference"/>
          <w:szCs w:val="18"/>
          <w:lang w:val="uk-UA"/>
        </w:rPr>
        <w:endnoteRef/>
      </w:r>
      <w:r w:rsidRPr="00720761">
        <w:rPr>
          <w:szCs w:val="18"/>
          <w:lang w:val="uk-UA"/>
        </w:rPr>
        <w:t xml:space="preserve"> https://eiti.org/ukraine.</w:t>
      </w:r>
    </w:p>
  </w:endnote>
  <w:endnote w:id="32">
    <w:p w14:paraId="66088911" w14:textId="77777777" w:rsidR="00A76D00" w:rsidRPr="00720761" w:rsidRDefault="00A76D00" w:rsidP="00441998">
      <w:pPr>
        <w:rPr>
          <w:rFonts w:ascii="Gill Sans" w:eastAsia="Times New Roman" w:hAnsi="Gill Sans" w:cs="Gill Sans"/>
          <w:sz w:val="18"/>
          <w:szCs w:val="18"/>
          <w:lang w:val="uk-UA"/>
        </w:rPr>
      </w:pPr>
      <w:r w:rsidRPr="00720761">
        <w:rPr>
          <w:rStyle w:val="EndnoteReference"/>
          <w:rFonts w:ascii="Gill Sans" w:hAnsi="Gill Sans" w:cs="Gill Sans"/>
          <w:sz w:val="18"/>
          <w:szCs w:val="18"/>
          <w:lang w:val="uk-UA"/>
        </w:rPr>
        <w:endnoteRef/>
      </w:r>
      <w:r w:rsidRPr="00720761">
        <w:rPr>
          <w:rFonts w:ascii="Gill Sans" w:hAnsi="Gill Sans" w:cs="Gill Sans"/>
          <w:sz w:val="18"/>
          <w:szCs w:val="18"/>
          <w:lang w:val="uk-UA"/>
        </w:rPr>
        <w:t xml:space="preserve"> </w:t>
      </w:r>
      <w:r w:rsidRPr="00720761">
        <w:rPr>
          <w:rFonts w:ascii="Gill Sans" w:hAnsi="Gill Sans" w:cs="Gill Sans"/>
          <w:color w:val="222222"/>
          <w:sz w:val="18"/>
          <w:szCs w:val="18"/>
          <w:lang w:val="uk-UA"/>
        </w:rPr>
        <w:t>http://bit.ly/2wVL9jd.</w:t>
      </w:r>
      <w:r w:rsidRPr="00720761">
        <w:rPr>
          <w:rFonts w:ascii="Gill Sans" w:hAnsi="Gill Sans" w:cs="Gill Sans"/>
          <w:noProof/>
          <w:sz w:val="18"/>
          <w:szCs w:val="18"/>
          <w:lang w:val="uk-UA"/>
        </w:rPr>
        <w:t xml:space="preserve">  </w:t>
      </w:r>
    </w:p>
  </w:endnote>
  <w:endnote w:id="33">
    <w:p w14:paraId="27E8F5D6" w14:textId="77777777" w:rsidR="00A76D00" w:rsidRPr="00720761" w:rsidRDefault="00A76D00" w:rsidP="00441998">
      <w:pPr>
        <w:pStyle w:val="EndnoteText"/>
        <w:rPr>
          <w:szCs w:val="18"/>
          <w:lang w:val="uk-UA"/>
        </w:rPr>
      </w:pPr>
      <w:r w:rsidRPr="00720761">
        <w:rPr>
          <w:rStyle w:val="EndnoteReference"/>
          <w:szCs w:val="18"/>
          <w:lang w:val="uk-UA"/>
        </w:rPr>
        <w:endnoteRef/>
      </w:r>
      <w:r w:rsidRPr="00720761">
        <w:rPr>
          <w:szCs w:val="18"/>
          <w:lang w:val="uk-UA"/>
        </w:rPr>
        <w:t xml:space="preserve"> http://bit.ly/1jQx6jZ. </w:t>
      </w:r>
    </w:p>
  </w:endnote>
  <w:endnote w:id="34">
    <w:p w14:paraId="37989BBD" w14:textId="7F3EF6F2" w:rsidR="00A76D00" w:rsidRPr="00720761" w:rsidRDefault="00A76D00" w:rsidP="00441998">
      <w:pPr>
        <w:pStyle w:val="EndnoteText"/>
        <w:rPr>
          <w:szCs w:val="18"/>
          <w:lang w:val="uk-UA"/>
        </w:rPr>
      </w:pPr>
      <w:r w:rsidRPr="00720761">
        <w:rPr>
          <w:rStyle w:val="EndnoteReference"/>
          <w:szCs w:val="18"/>
          <w:lang w:val="uk-UA"/>
        </w:rPr>
        <w:endnoteRef/>
      </w:r>
      <w:r w:rsidRPr="00720761">
        <w:rPr>
          <w:szCs w:val="18"/>
          <w:lang w:val="uk-UA"/>
        </w:rPr>
        <w:t xml:space="preserve"> Механізм незалежного звітування (МНЗ), Проміжний звіт 2014-15: Україна, стор. 42. </w:t>
      </w:r>
    </w:p>
  </w:endnote>
  <w:endnote w:id="35">
    <w:p w14:paraId="725EF98F" w14:textId="5A3383EA" w:rsidR="00A76D00" w:rsidRPr="00720761" w:rsidRDefault="00A76D00" w:rsidP="00441998">
      <w:pPr>
        <w:pStyle w:val="EndnoteText"/>
        <w:rPr>
          <w:szCs w:val="18"/>
          <w:lang w:val="uk-UA"/>
        </w:rPr>
      </w:pPr>
      <w:r w:rsidRPr="00720761">
        <w:rPr>
          <w:rStyle w:val="EndnoteReference"/>
          <w:szCs w:val="18"/>
          <w:lang w:val="uk-UA"/>
        </w:rPr>
        <w:endnoteRef/>
      </w:r>
      <w:r w:rsidRPr="00720761">
        <w:rPr>
          <w:szCs w:val="18"/>
          <w:lang w:val="uk-UA"/>
        </w:rPr>
        <w:t xml:space="preserve"> Там само, стор. 42-43. </w:t>
      </w:r>
    </w:p>
  </w:endnote>
  <w:endnote w:id="36">
    <w:p w14:paraId="1354A729" w14:textId="77777777" w:rsidR="00A76D00" w:rsidRPr="00720761" w:rsidRDefault="00A76D00" w:rsidP="000130C8">
      <w:pPr>
        <w:pStyle w:val="EndnoteText"/>
        <w:rPr>
          <w:szCs w:val="18"/>
          <w:lang w:val="uk-UA"/>
        </w:rPr>
      </w:pPr>
      <w:r w:rsidRPr="00720761">
        <w:rPr>
          <w:rStyle w:val="EndnoteReference"/>
          <w:szCs w:val="18"/>
          <w:lang w:val="uk-UA"/>
        </w:rPr>
        <w:endnoteRef/>
      </w:r>
      <w:r w:rsidRPr="00720761">
        <w:rPr>
          <w:szCs w:val="18"/>
          <w:lang w:val="uk-UA"/>
        </w:rPr>
        <w:t xml:space="preserve"> https://eiti.org/ukraine. </w:t>
      </w:r>
    </w:p>
  </w:endnote>
  <w:endnote w:id="37">
    <w:p w14:paraId="7420AB7D" w14:textId="75C0765A" w:rsidR="00A76D00" w:rsidRPr="00720761" w:rsidRDefault="00A76D00" w:rsidP="000130C8">
      <w:pPr>
        <w:pStyle w:val="EndnoteText"/>
        <w:rPr>
          <w:color w:val="000000" w:themeColor="text1"/>
          <w:szCs w:val="18"/>
          <w:lang w:val="uk-UA"/>
        </w:rPr>
      </w:pPr>
      <w:r w:rsidRPr="00720761">
        <w:rPr>
          <w:rStyle w:val="EndnoteReference"/>
          <w:szCs w:val="18"/>
          <w:lang w:val="uk-UA"/>
        </w:rPr>
        <w:endnoteRef/>
      </w:r>
      <w:r w:rsidRPr="00720761">
        <w:rPr>
          <w:szCs w:val="18"/>
          <w:lang w:val="uk-UA"/>
        </w:rPr>
        <w:t xml:space="preserve"> Текст звіту доступний за посиланням </w:t>
      </w:r>
      <w:r w:rsidRPr="00720761">
        <w:rPr>
          <w:rFonts w:eastAsia="Times New Roman"/>
          <w:color w:val="000000" w:themeColor="text1"/>
          <w:szCs w:val="18"/>
          <w:lang w:val="uk-UA"/>
        </w:rPr>
        <w:t>http://bit.ly/2nAPbaw.</w:t>
      </w:r>
    </w:p>
  </w:endnote>
  <w:endnote w:id="38">
    <w:p w14:paraId="777DEE13" w14:textId="1F35602A" w:rsidR="00A76D00" w:rsidRPr="00720761" w:rsidRDefault="00A76D00" w:rsidP="00DD18F8">
      <w:pPr>
        <w:pStyle w:val="EndnoteText"/>
        <w:rPr>
          <w:szCs w:val="18"/>
          <w:lang w:val="uk-UA"/>
        </w:rPr>
      </w:pPr>
      <w:r w:rsidRPr="00720761">
        <w:rPr>
          <w:rStyle w:val="EndnoteReference"/>
          <w:szCs w:val="18"/>
          <w:lang w:val="uk-UA"/>
        </w:rPr>
        <w:endnoteRef/>
      </w:r>
      <w:r w:rsidRPr="00720761">
        <w:rPr>
          <w:szCs w:val="18"/>
          <w:lang w:val="uk-UA"/>
        </w:rPr>
        <w:t xml:space="preserve"> Основний робочий план України в рамках ІПВГ на 2015-2016 рр. https://eiti.org/sites/default/files/documents/2015_ukraine_work_plan.pdf.</w:t>
      </w:r>
    </w:p>
  </w:endnote>
  <w:endnote w:id="39">
    <w:p w14:paraId="13FDE180" w14:textId="590905FF" w:rsidR="00A76D00" w:rsidRPr="00720761" w:rsidRDefault="00A76D00" w:rsidP="0052796A">
      <w:pPr>
        <w:pStyle w:val="EndnoteText"/>
        <w:rPr>
          <w:szCs w:val="18"/>
          <w:lang w:val="uk-UA"/>
        </w:rPr>
      </w:pPr>
      <w:r w:rsidRPr="00720761">
        <w:rPr>
          <w:rStyle w:val="EndnoteReference"/>
          <w:szCs w:val="18"/>
          <w:lang w:val="uk-UA"/>
        </w:rPr>
        <w:endnoteRef/>
      </w:r>
      <w:r w:rsidRPr="00720761">
        <w:rPr>
          <w:szCs w:val="18"/>
          <w:lang w:val="uk-UA"/>
        </w:rPr>
        <w:t xml:space="preserve"> Інститут бюджету та соціально-економічних досліджень, 16 листопада 2016 року, http://www.ibser.org.ua/en/news/msg-meeting-covering-operational-results-ukraines-extractive-industries-2014-2015.</w:t>
      </w:r>
    </w:p>
  </w:endnote>
  <w:endnote w:id="40">
    <w:p w14:paraId="710E1930" w14:textId="77777777" w:rsidR="00A76D00" w:rsidRPr="00720761" w:rsidRDefault="00A76D00" w:rsidP="00D214D5">
      <w:pPr>
        <w:pStyle w:val="EndnoteText"/>
        <w:rPr>
          <w:szCs w:val="18"/>
          <w:lang w:val="uk-UA"/>
        </w:rPr>
      </w:pPr>
      <w:r w:rsidRPr="00720761">
        <w:rPr>
          <w:rStyle w:val="EndnoteReference"/>
          <w:szCs w:val="18"/>
          <w:lang w:val="uk-UA"/>
        </w:rPr>
        <w:endnoteRef/>
      </w:r>
      <w:r w:rsidRPr="00720761">
        <w:rPr>
          <w:szCs w:val="18"/>
          <w:lang w:val="uk-UA"/>
        </w:rPr>
        <w:t xml:space="preserve"> http://bit.ly/1LvuQWk. </w:t>
      </w:r>
    </w:p>
  </w:endnote>
  <w:endnote w:id="41">
    <w:p w14:paraId="7442871F" w14:textId="19D0B5C4" w:rsidR="00A76D00" w:rsidRPr="00720761" w:rsidRDefault="00A76D00" w:rsidP="00A02813">
      <w:pPr>
        <w:pStyle w:val="EndnoteText"/>
        <w:rPr>
          <w:szCs w:val="18"/>
          <w:lang w:val="uk-UA"/>
        </w:rPr>
      </w:pPr>
      <w:r w:rsidRPr="00720761">
        <w:rPr>
          <w:rStyle w:val="EndnoteReference"/>
          <w:szCs w:val="18"/>
          <w:lang w:val="uk-UA"/>
        </w:rPr>
        <w:endnoteRef/>
      </w:r>
      <w:r w:rsidRPr="00720761">
        <w:rPr>
          <w:szCs w:val="18"/>
          <w:lang w:val="uk-UA"/>
        </w:rPr>
        <w:t xml:space="preserve"> Механізм незалежного звітування (МНЗ), Проміжний звіт 2014-15: Україна, стор. 44-45. </w:t>
      </w:r>
    </w:p>
  </w:endnote>
  <w:endnote w:id="42">
    <w:p w14:paraId="62B9C36E" w14:textId="6BC72AB8" w:rsidR="00A76D00" w:rsidRPr="00720761" w:rsidRDefault="00A76D00" w:rsidP="00536FB4">
      <w:pPr>
        <w:pStyle w:val="EndnoteText"/>
        <w:rPr>
          <w:szCs w:val="18"/>
          <w:lang w:val="uk-UA"/>
        </w:rPr>
      </w:pPr>
      <w:r w:rsidRPr="00720761">
        <w:rPr>
          <w:rStyle w:val="EndnoteReference"/>
          <w:szCs w:val="18"/>
          <w:lang w:val="uk-UA"/>
        </w:rPr>
        <w:endnoteRef/>
      </w:r>
      <w:r w:rsidRPr="00720761">
        <w:rPr>
          <w:szCs w:val="18"/>
          <w:lang w:val="uk-UA"/>
        </w:rPr>
        <w:t xml:space="preserve"> Механізм незалежного звітування (МНЗ), Проміжний звіт 2014-15: Україна, стор. 46-47.</w:t>
      </w:r>
    </w:p>
  </w:endnote>
  <w:endnote w:id="43">
    <w:p w14:paraId="43CB73B5" w14:textId="4B60510F" w:rsidR="00A76D00" w:rsidRPr="00720761" w:rsidRDefault="00A76D00" w:rsidP="00B101FB">
      <w:pPr>
        <w:pStyle w:val="EndnoteText"/>
        <w:rPr>
          <w:szCs w:val="18"/>
          <w:lang w:val="uk-UA"/>
        </w:rPr>
      </w:pPr>
      <w:r w:rsidRPr="00720761">
        <w:rPr>
          <w:rStyle w:val="EndnoteReference"/>
          <w:szCs w:val="18"/>
          <w:lang w:val="uk-UA"/>
        </w:rPr>
        <w:endnoteRef/>
      </w:r>
      <w:r w:rsidRPr="00720761">
        <w:rPr>
          <w:szCs w:val="18"/>
          <w:lang w:val="uk-UA"/>
        </w:rPr>
        <w:t xml:space="preserve"> Там само, стор. 47.</w:t>
      </w:r>
    </w:p>
  </w:endnote>
  <w:endnote w:id="44">
    <w:p w14:paraId="701A7FCC" w14:textId="77777777" w:rsidR="00A76D00" w:rsidRPr="00720761" w:rsidRDefault="00A76D00" w:rsidP="008D099B">
      <w:pPr>
        <w:pStyle w:val="EndnoteText"/>
        <w:rPr>
          <w:szCs w:val="18"/>
          <w:lang w:val="uk-UA"/>
        </w:rPr>
      </w:pPr>
      <w:r w:rsidRPr="00720761">
        <w:rPr>
          <w:rStyle w:val="EndnoteReference"/>
          <w:szCs w:val="18"/>
          <w:lang w:val="uk-UA"/>
        </w:rPr>
        <w:endnoteRef/>
      </w:r>
      <w:r w:rsidRPr="00720761">
        <w:rPr>
          <w:szCs w:val="18"/>
          <w:lang w:val="uk-UA"/>
        </w:rPr>
        <w:t xml:space="preserve"> http://bit.ly/1KhE3pn. </w:t>
      </w:r>
    </w:p>
  </w:endnote>
  <w:endnote w:id="45">
    <w:p w14:paraId="1F22F3E0" w14:textId="77777777" w:rsidR="00A76D00" w:rsidRPr="00720761" w:rsidRDefault="00A76D00" w:rsidP="008D099B">
      <w:pPr>
        <w:pStyle w:val="EndnoteText"/>
        <w:rPr>
          <w:szCs w:val="18"/>
          <w:lang w:val="uk-UA"/>
        </w:rPr>
      </w:pPr>
      <w:r w:rsidRPr="00720761">
        <w:rPr>
          <w:rStyle w:val="EndnoteReference"/>
          <w:szCs w:val="18"/>
          <w:lang w:val="uk-UA"/>
        </w:rPr>
        <w:endnoteRef/>
      </w:r>
      <w:r w:rsidRPr="00720761">
        <w:rPr>
          <w:szCs w:val="18"/>
          <w:lang w:val="uk-UA"/>
        </w:rPr>
        <w:t xml:space="preserve"> http://bit.ly/1ZZEEld. </w:t>
      </w:r>
    </w:p>
  </w:endnote>
  <w:endnote w:id="46">
    <w:p w14:paraId="4D2283B6" w14:textId="725462DE" w:rsidR="00A76D00" w:rsidRPr="00720761" w:rsidRDefault="00A76D00" w:rsidP="008D099B">
      <w:pPr>
        <w:pStyle w:val="EndnoteText"/>
        <w:rPr>
          <w:szCs w:val="18"/>
          <w:lang w:val="uk-UA"/>
        </w:rPr>
      </w:pPr>
      <w:r w:rsidRPr="00720761">
        <w:rPr>
          <w:rStyle w:val="EndnoteReference"/>
          <w:szCs w:val="18"/>
          <w:lang w:val="uk-UA"/>
        </w:rPr>
        <w:endnoteRef/>
      </w:r>
      <w:r w:rsidRPr="00720761">
        <w:rPr>
          <w:szCs w:val="18"/>
          <w:lang w:val="uk-UA"/>
        </w:rPr>
        <w:t xml:space="preserve"> Механізм незалежного звітування (МНЗ), Проміжний звіт 2014-15: Україна, стор. 48-49.</w:t>
      </w:r>
    </w:p>
  </w:endnote>
  <w:endnote w:id="47">
    <w:p w14:paraId="29949343" w14:textId="77777777" w:rsidR="00A76D00" w:rsidRPr="00720761" w:rsidRDefault="00A76D00" w:rsidP="008D099B">
      <w:pPr>
        <w:pStyle w:val="EndnoteText"/>
        <w:rPr>
          <w:szCs w:val="18"/>
          <w:lang w:val="uk-UA"/>
        </w:rPr>
      </w:pPr>
      <w:r w:rsidRPr="00720761">
        <w:rPr>
          <w:rStyle w:val="EndnoteReference"/>
          <w:szCs w:val="18"/>
          <w:lang w:val="uk-UA"/>
        </w:rPr>
        <w:endnoteRef/>
      </w:r>
      <w:r w:rsidRPr="00720761">
        <w:rPr>
          <w:szCs w:val="18"/>
          <w:lang w:val="uk-UA"/>
        </w:rPr>
        <w:t xml:space="preserve"> http://bit.ly/1W5Xu5r. </w:t>
      </w:r>
    </w:p>
  </w:endnote>
  <w:endnote w:id="48">
    <w:p w14:paraId="0738E0D5" w14:textId="564689E0" w:rsidR="00A76D00" w:rsidRPr="00720761" w:rsidRDefault="00A76D00" w:rsidP="008D099B">
      <w:pPr>
        <w:pStyle w:val="EndnoteText"/>
        <w:rPr>
          <w:szCs w:val="18"/>
          <w:lang w:val="uk-UA"/>
        </w:rPr>
      </w:pPr>
      <w:r w:rsidRPr="00720761">
        <w:rPr>
          <w:rStyle w:val="EndnoteReference"/>
          <w:szCs w:val="18"/>
          <w:lang w:val="uk-UA"/>
        </w:rPr>
        <w:endnoteRef/>
      </w:r>
      <w:r w:rsidRPr="00720761">
        <w:rPr>
          <w:szCs w:val="18"/>
          <w:lang w:val="uk-UA"/>
        </w:rPr>
        <w:t xml:space="preserve"> Механізм незалежного звітування (МНЗ), Проміжний звіт 2014-15: Україна, стор. 49.</w:t>
      </w:r>
    </w:p>
  </w:endnote>
  <w:endnote w:id="49">
    <w:p w14:paraId="480F2ED7" w14:textId="77777777" w:rsidR="00A76D00" w:rsidRPr="00720761" w:rsidRDefault="00A76D00" w:rsidP="00181A97">
      <w:pPr>
        <w:rPr>
          <w:rFonts w:ascii="Gill Sans" w:eastAsia="Times New Roman" w:hAnsi="Gill Sans" w:cs="Gill Sans"/>
          <w:sz w:val="18"/>
          <w:szCs w:val="18"/>
          <w:lang w:val="uk-UA"/>
        </w:rPr>
      </w:pPr>
      <w:r w:rsidRPr="00720761">
        <w:rPr>
          <w:rFonts w:ascii="Gill Sans" w:hAnsi="Gill Sans" w:cs="Gill Sans"/>
          <w:color w:val="222222"/>
          <w:sz w:val="18"/>
          <w:szCs w:val="18"/>
          <w:vertAlign w:val="superscript"/>
          <w:lang w:val="uk-UA"/>
        </w:rPr>
        <w:endnoteRef/>
      </w:r>
      <w:r w:rsidRPr="00720761">
        <w:rPr>
          <w:rFonts w:ascii="Gill Sans" w:hAnsi="Gill Sans" w:cs="Gill Sans"/>
          <w:color w:val="222222"/>
          <w:sz w:val="18"/>
          <w:szCs w:val="18"/>
          <w:lang w:val="uk-UA"/>
        </w:rPr>
        <w:t xml:space="preserve"> </w:t>
      </w:r>
      <w:hyperlink r:id="rId9" w:history="1">
        <w:r w:rsidRPr="00720761">
          <w:rPr>
            <w:rFonts w:ascii="Gill Sans" w:hAnsi="Gill Sans" w:cs="Gill Sans"/>
            <w:color w:val="222222"/>
            <w:sz w:val="18"/>
            <w:szCs w:val="18"/>
            <w:lang w:val="uk-UA"/>
          </w:rPr>
          <w:t>http://bit.ly/2hOdtLs</w:t>
        </w:r>
      </w:hyperlink>
      <w:r w:rsidRPr="00720761">
        <w:rPr>
          <w:rFonts w:ascii="Gill Sans" w:hAnsi="Gill Sans" w:cs="Gill Sans"/>
          <w:color w:val="222222"/>
          <w:sz w:val="18"/>
          <w:szCs w:val="18"/>
          <w:lang w:val="uk-UA"/>
        </w:rPr>
        <w:t>.</w:t>
      </w:r>
      <w:r w:rsidRPr="00720761">
        <w:rPr>
          <w:rFonts w:ascii="Gill Sans" w:eastAsia="Times New Roman" w:hAnsi="Gill Sans" w:cs="Gill Sans"/>
          <w:color w:val="A3AAAE"/>
          <w:sz w:val="18"/>
          <w:szCs w:val="18"/>
          <w:lang w:val="uk-UA"/>
        </w:rPr>
        <w:t xml:space="preserve"> </w:t>
      </w:r>
    </w:p>
  </w:endnote>
  <w:endnote w:id="50">
    <w:p w14:paraId="2FF85869" w14:textId="0FD15700" w:rsidR="00A76D00" w:rsidRPr="00720761" w:rsidRDefault="00A76D00">
      <w:pPr>
        <w:pStyle w:val="EndnoteText"/>
        <w:rPr>
          <w:szCs w:val="18"/>
          <w:lang w:val="uk-UA"/>
        </w:rPr>
      </w:pPr>
      <w:r w:rsidRPr="00720761">
        <w:rPr>
          <w:rStyle w:val="EndnoteReference"/>
          <w:szCs w:val="18"/>
          <w:lang w:val="uk-UA"/>
        </w:rPr>
        <w:endnoteRef/>
      </w:r>
      <w:r w:rsidRPr="00720761">
        <w:rPr>
          <w:szCs w:val="18"/>
          <w:lang w:val="uk-UA"/>
        </w:rPr>
        <w:t xml:space="preserve"> http://bit.ly/1KhE3pn</w:t>
      </w:r>
      <w:r w:rsidRPr="00720761">
        <w:rPr>
          <w:noProof/>
          <w:szCs w:val="18"/>
          <w:lang w:val="uk-UA"/>
        </w:rPr>
        <w:t>.</w:t>
      </w:r>
    </w:p>
  </w:endnote>
  <w:endnote w:id="51">
    <w:p w14:paraId="77AAB3DE" w14:textId="219418DD" w:rsidR="00A76D00" w:rsidRPr="00720761" w:rsidRDefault="00A76D00">
      <w:pPr>
        <w:pStyle w:val="EndnoteText"/>
        <w:rPr>
          <w:szCs w:val="18"/>
          <w:lang w:val="uk-UA"/>
        </w:rPr>
      </w:pPr>
      <w:r w:rsidRPr="00720761">
        <w:rPr>
          <w:rStyle w:val="EndnoteReference"/>
          <w:szCs w:val="18"/>
          <w:lang w:val="uk-UA"/>
        </w:rPr>
        <w:endnoteRef/>
      </w:r>
      <w:r w:rsidRPr="00720761">
        <w:rPr>
          <w:szCs w:val="18"/>
          <w:lang w:val="uk-UA"/>
        </w:rPr>
        <w:t xml:space="preserve"> Механізм незалежного звітування (МНЗ), Проміжний звіт 2014-15: Україна, стор. 50-51.</w:t>
      </w:r>
    </w:p>
  </w:endnote>
  <w:endnote w:id="52">
    <w:p w14:paraId="1F07FC03" w14:textId="498AA8B5" w:rsidR="00A76D00" w:rsidRPr="00720761" w:rsidRDefault="00A76D00" w:rsidP="00D84240">
      <w:pPr>
        <w:pStyle w:val="EndnoteText"/>
        <w:rPr>
          <w:szCs w:val="18"/>
          <w:lang w:val="uk-UA"/>
        </w:rPr>
      </w:pPr>
      <w:r w:rsidRPr="00720761">
        <w:rPr>
          <w:rStyle w:val="EndnoteReference"/>
          <w:szCs w:val="18"/>
          <w:lang w:val="uk-UA"/>
        </w:rPr>
        <w:endnoteRef/>
      </w:r>
      <w:r w:rsidRPr="00720761">
        <w:rPr>
          <w:szCs w:val="18"/>
          <w:lang w:val="uk-UA"/>
        </w:rPr>
        <w:t xml:space="preserve"> Там само, стор. 51.</w:t>
      </w:r>
    </w:p>
  </w:endnote>
  <w:endnote w:id="53">
    <w:p w14:paraId="62FD0C10" w14:textId="6776FA19" w:rsidR="00A76D00" w:rsidRPr="00720761" w:rsidRDefault="00A76D00" w:rsidP="00D84240">
      <w:pPr>
        <w:pStyle w:val="EndnoteText"/>
        <w:rPr>
          <w:szCs w:val="18"/>
          <w:lang w:val="uk-UA"/>
        </w:rPr>
      </w:pPr>
      <w:r w:rsidRPr="00720761">
        <w:rPr>
          <w:rStyle w:val="EndnoteReference"/>
          <w:szCs w:val="18"/>
          <w:lang w:val="uk-UA"/>
        </w:rPr>
        <w:endnoteRef/>
      </w:r>
      <w:r w:rsidRPr="00720761">
        <w:rPr>
          <w:szCs w:val="18"/>
          <w:lang w:val="uk-UA"/>
        </w:rPr>
        <w:t xml:space="preserve"> Там само, стор. 51.</w:t>
      </w:r>
    </w:p>
  </w:endnote>
  <w:endnote w:id="54">
    <w:p w14:paraId="65F107CF" w14:textId="14C9EF6B" w:rsidR="00A76D00" w:rsidRPr="00720761" w:rsidRDefault="00A76D00" w:rsidP="00733C11">
      <w:pPr>
        <w:rPr>
          <w:rFonts w:ascii="Gill Sans" w:hAnsi="Gill Sans" w:cs="Gill Sans"/>
          <w:color w:val="222222"/>
          <w:sz w:val="18"/>
          <w:szCs w:val="18"/>
          <w:lang w:val="uk-UA"/>
        </w:rPr>
      </w:pPr>
      <w:r w:rsidRPr="00720761">
        <w:rPr>
          <w:rFonts w:ascii="Gill Sans" w:hAnsi="Gill Sans" w:cs="Gill Sans"/>
          <w:color w:val="222222"/>
          <w:sz w:val="18"/>
          <w:szCs w:val="18"/>
          <w:vertAlign w:val="superscript"/>
          <w:lang w:val="uk-UA"/>
        </w:rPr>
        <w:endnoteRef/>
      </w:r>
      <w:r w:rsidRPr="00720761">
        <w:rPr>
          <w:rFonts w:ascii="Gill Sans" w:hAnsi="Gill Sans" w:cs="Gill Sans"/>
          <w:color w:val="222222"/>
          <w:sz w:val="18"/>
          <w:szCs w:val="18"/>
          <w:lang w:val="uk-UA"/>
        </w:rPr>
        <w:t xml:space="preserve"> Див., серед іншого: </w:t>
      </w:r>
      <w:hyperlink r:id="rId10" w:history="1">
        <w:r w:rsidRPr="00720761">
          <w:rPr>
            <w:rFonts w:ascii="Gill Sans" w:hAnsi="Gill Sans" w:cs="Gill Sans"/>
            <w:color w:val="222222"/>
            <w:sz w:val="18"/>
            <w:szCs w:val="18"/>
            <w:lang w:val="uk-UA"/>
          </w:rPr>
          <w:t>http://bit.ly/2f65C9J</w:t>
        </w:r>
      </w:hyperlink>
      <w:r w:rsidRPr="00720761">
        <w:rPr>
          <w:rFonts w:ascii="Gill Sans" w:hAnsi="Gill Sans" w:cs="Gill Sans"/>
          <w:color w:val="222222"/>
          <w:sz w:val="18"/>
          <w:szCs w:val="18"/>
          <w:lang w:val="uk-UA"/>
        </w:rPr>
        <w:t xml:space="preserve">, </w:t>
      </w:r>
      <w:hyperlink r:id="rId11" w:history="1">
        <w:r w:rsidRPr="00720761">
          <w:rPr>
            <w:rFonts w:ascii="Gill Sans" w:hAnsi="Gill Sans" w:cs="Gill Sans"/>
            <w:color w:val="222222"/>
            <w:sz w:val="18"/>
            <w:szCs w:val="18"/>
            <w:lang w:val="uk-UA"/>
          </w:rPr>
          <w:t>http://dailym.ai/2hNQtxN</w:t>
        </w:r>
      </w:hyperlink>
      <w:r w:rsidRPr="00720761">
        <w:rPr>
          <w:rFonts w:ascii="Gill Sans" w:hAnsi="Gill Sans" w:cs="Gill Sans"/>
          <w:color w:val="222222"/>
          <w:sz w:val="18"/>
          <w:szCs w:val="18"/>
          <w:lang w:val="uk-UA"/>
        </w:rPr>
        <w:t xml:space="preserve">, </w:t>
      </w:r>
      <w:hyperlink r:id="rId12" w:history="1">
        <w:r w:rsidRPr="00720761">
          <w:rPr>
            <w:rFonts w:ascii="Gill Sans" w:hAnsi="Gill Sans" w:cs="Gill Sans"/>
            <w:color w:val="222222"/>
            <w:sz w:val="18"/>
            <w:szCs w:val="18"/>
            <w:lang w:val="uk-UA"/>
          </w:rPr>
          <w:t>http://reut.rs/2dVY6QQ</w:t>
        </w:r>
      </w:hyperlink>
      <w:r w:rsidRPr="00720761">
        <w:rPr>
          <w:rFonts w:ascii="Gill Sans" w:hAnsi="Gill Sans" w:cs="Gill Sans"/>
          <w:color w:val="222222"/>
          <w:sz w:val="18"/>
          <w:szCs w:val="18"/>
          <w:lang w:val="uk-UA"/>
        </w:rPr>
        <w:t xml:space="preserve">, </w:t>
      </w:r>
      <w:hyperlink r:id="rId13" w:history="1">
        <w:r w:rsidRPr="00720761">
          <w:rPr>
            <w:rFonts w:ascii="Gill Sans" w:hAnsi="Gill Sans" w:cs="Gill Sans"/>
            <w:color w:val="222222"/>
            <w:sz w:val="18"/>
            <w:szCs w:val="18"/>
            <w:lang w:val="uk-UA"/>
          </w:rPr>
          <w:t>http://bit.ly/2iXzRQe</w:t>
        </w:r>
      </w:hyperlink>
      <w:r w:rsidRPr="00720761">
        <w:rPr>
          <w:rFonts w:ascii="Gill Sans" w:hAnsi="Gill Sans" w:cs="Gill Sans"/>
          <w:color w:val="222222"/>
          <w:sz w:val="18"/>
          <w:szCs w:val="18"/>
          <w:lang w:val="uk-UA"/>
        </w:rPr>
        <w:t xml:space="preserve">, </w:t>
      </w:r>
      <w:hyperlink r:id="rId14" w:history="1">
        <w:r w:rsidRPr="00720761">
          <w:rPr>
            <w:rFonts w:ascii="Gill Sans" w:hAnsi="Gill Sans" w:cs="Gill Sans"/>
            <w:color w:val="222222"/>
            <w:sz w:val="18"/>
            <w:szCs w:val="18"/>
            <w:lang w:val="uk-UA"/>
          </w:rPr>
          <w:t>http://bit.ly/2fWzyc2</w:t>
        </w:r>
      </w:hyperlink>
      <w:r w:rsidRPr="00720761">
        <w:rPr>
          <w:rFonts w:ascii="Gill Sans" w:hAnsi="Gill Sans" w:cs="Gill Sans"/>
          <w:color w:val="222222"/>
          <w:sz w:val="18"/>
          <w:szCs w:val="18"/>
          <w:lang w:val="uk-UA"/>
        </w:rPr>
        <w:t xml:space="preserve">, </w:t>
      </w:r>
      <w:hyperlink r:id="rId15" w:history="1">
        <w:r w:rsidRPr="00720761">
          <w:rPr>
            <w:rFonts w:ascii="Gill Sans" w:hAnsi="Gill Sans" w:cs="Gill Sans"/>
            <w:color w:val="222222"/>
            <w:sz w:val="18"/>
            <w:szCs w:val="18"/>
            <w:lang w:val="uk-UA"/>
          </w:rPr>
          <w:t>http://bit.ly/2eeftvo</w:t>
        </w:r>
      </w:hyperlink>
      <w:r w:rsidRPr="00720761">
        <w:rPr>
          <w:rFonts w:ascii="Gill Sans" w:hAnsi="Gill Sans" w:cs="Gill Sans"/>
          <w:color w:val="222222"/>
          <w:sz w:val="18"/>
          <w:szCs w:val="18"/>
          <w:lang w:val="uk-UA"/>
        </w:rPr>
        <w:t xml:space="preserve">, </w:t>
      </w:r>
      <w:hyperlink r:id="rId16" w:history="1">
        <w:r w:rsidRPr="00720761">
          <w:rPr>
            <w:rFonts w:ascii="Gill Sans" w:hAnsi="Gill Sans" w:cs="Gill Sans"/>
            <w:color w:val="222222"/>
            <w:sz w:val="18"/>
            <w:szCs w:val="18"/>
            <w:lang w:val="uk-UA"/>
          </w:rPr>
          <w:t>http://bit.ly/2j16P6o</w:t>
        </w:r>
      </w:hyperlink>
      <w:r w:rsidRPr="00720761">
        <w:rPr>
          <w:rFonts w:ascii="Gill Sans" w:hAnsi="Gill Sans" w:cs="Gill Sans"/>
          <w:color w:val="222222"/>
          <w:sz w:val="18"/>
          <w:szCs w:val="18"/>
          <w:lang w:val="uk-UA"/>
        </w:rPr>
        <w:t xml:space="preserve">. </w:t>
      </w:r>
    </w:p>
  </w:endnote>
  <w:endnote w:id="55">
    <w:p w14:paraId="3DD2ECE3" w14:textId="541629E2" w:rsidR="00A76D00" w:rsidRPr="00720761" w:rsidRDefault="00A76D00" w:rsidP="00262325">
      <w:pPr>
        <w:pStyle w:val="EndnoteText"/>
        <w:rPr>
          <w:szCs w:val="18"/>
          <w:lang w:val="uk-UA"/>
        </w:rPr>
      </w:pPr>
      <w:r w:rsidRPr="00720761">
        <w:rPr>
          <w:rStyle w:val="EndnoteReference"/>
          <w:szCs w:val="18"/>
          <w:lang w:val="uk-UA"/>
        </w:rPr>
        <w:endnoteRef/>
      </w:r>
      <w:r w:rsidRPr="00720761">
        <w:rPr>
          <w:szCs w:val="18"/>
          <w:lang w:val="uk-UA"/>
        </w:rPr>
        <w:t xml:space="preserve"> Закон України “Про запобігання корупції” (стаття 50) http://zakon2.rada.gov.ua/laws/show/1700-18/print1486668593628465.</w:t>
      </w:r>
    </w:p>
  </w:endnote>
  <w:endnote w:id="56">
    <w:p w14:paraId="450778A5" w14:textId="77777777" w:rsidR="00A76D00" w:rsidRPr="00720761" w:rsidRDefault="00A76D00" w:rsidP="00262325">
      <w:pPr>
        <w:rPr>
          <w:rFonts w:ascii="Gill Sans" w:hAnsi="Gill Sans" w:cs="Gill Sans"/>
          <w:color w:val="222222"/>
          <w:sz w:val="18"/>
          <w:szCs w:val="18"/>
          <w:lang w:val="uk-UA"/>
        </w:rPr>
      </w:pPr>
      <w:r w:rsidRPr="00720761">
        <w:rPr>
          <w:rFonts w:ascii="Gill Sans" w:hAnsi="Gill Sans" w:cs="Gill Sans"/>
          <w:color w:val="222222"/>
          <w:sz w:val="18"/>
          <w:szCs w:val="18"/>
          <w:vertAlign w:val="superscript"/>
          <w:lang w:val="uk-UA"/>
        </w:rPr>
        <w:endnoteRef/>
      </w:r>
      <w:r w:rsidRPr="00720761">
        <w:rPr>
          <w:rFonts w:ascii="Gill Sans" w:hAnsi="Gill Sans" w:cs="Gill Sans"/>
          <w:color w:val="222222"/>
          <w:sz w:val="18"/>
          <w:szCs w:val="18"/>
          <w:lang w:val="uk-UA"/>
        </w:rPr>
        <w:t xml:space="preserve"> </w:t>
      </w:r>
      <w:hyperlink r:id="rId17" w:history="1">
        <w:r w:rsidRPr="00720761">
          <w:rPr>
            <w:rFonts w:ascii="Gill Sans" w:hAnsi="Gill Sans" w:cs="Gill Sans"/>
            <w:color w:val="222222"/>
            <w:sz w:val="18"/>
            <w:szCs w:val="18"/>
            <w:lang w:val="uk-UA"/>
          </w:rPr>
          <w:t>http://bit.ly/2grkaPw</w:t>
        </w:r>
      </w:hyperlink>
      <w:r w:rsidRPr="00720761">
        <w:rPr>
          <w:rFonts w:ascii="Gill Sans" w:hAnsi="Gill Sans" w:cs="Gill Sans"/>
          <w:color w:val="222222"/>
          <w:sz w:val="18"/>
          <w:szCs w:val="18"/>
          <w:lang w:val="uk-UA"/>
        </w:rPr>
        <w:t xml:space="preserve">. </w:t>
      </w:r>
    </w:p>
  </w:endnote>
  <w:endnote w:id="57">
    <w:p w14:paraId="7A41C5EA" w14:textId="101A2C13" w:rsidR="00A76D00" w:rsidRPr="00720761" w:rsidRDefault="00A76D00" w:rsidP="00262325">
      <w:pPr>
        <w:rPr>
          <w:rFonts w:ascii="Gill Sans" w:eastAsia="Times New Roman" w:hAnsi="Gill Sans" w:cs="Gill Sans"/>
          <w:sz w:val="18"/>
          <w:szCs w:val="18"/>
          <w:lang w:val="uk-UA"/>
        </w:rPr>
      </w:pPr>
      <w:r w:rsidRPr="00720761">
        <w:rPr>
          <w:rFonts w:ascii="Gill Sans" w:hAnsi="Gill Sans" w:cs="Gill Sans"/>
          <w:color w:val="222222"/>
          <w:sz w:val="18"/>
          <w:szCs w:val="18"/>
          <w:vertAlign w:val="superscript"/>
          <w:lang w:val="uk-UA"/>
        </w:rPr>
        <w:endnoteRef/>
      </w:r>
      <w:r w:rsidRPr="00720761">
        <w:rPr>
          <w:rFonts w:ascii="Gill Sans" w:hAnsi="Gill Sans" w:cs="Gill Sans"/>
          <w:color w:val="222222"/>
          <w:sz w:val="18"/>
          <w:szCs w:val="18"/>
          <w:lang w:val="uk-UA"/>
        </w:rPr>
        <w:t xml:space="preserve"> Див., серед іншого: </w:t>
      </w:r>
      <w:hyperlink r:id="rId18" w:history="1">
        <w:r w:rsidRPr="00720761">
          <w:rPr>
            <w:rFonts w:ascii="Gill Sans" w:hAnsi="Gill Sans" w:cs="Gill Sans"/>
            <w:color w:val="222222"/>
            <w:sz w:val="18"/>
            <w:szCs w:val="18"/>
            <w:lang w:val="uk-UA"/>
          </w:rPr>
          <w:t>http://bit.ly/2fysVZJ</w:t>
        </w:r>
      </w:hyperlink>
      <w:r w:rsidRPr="00720761">
        <w:rPr>
          <w:rFonts w:ascii="Gill Sans" w:hAnsi="Gill Sans" w:cs="Gill Sans"/>
          <w:color w:val="222222"/>
          <w:sz w:val="18"/>
          <w:szCs w:val="18"/>
          <w:lang w:val="uk-UA"/>
        </w:rPr>
        <w:t xml:space="preserve">, </w:t>
      </w:r>
      <w:hyperlink r:id="rId19" w:history="1">
        <w:r w:rsidRPr="00720761">
          <w:rPr>
            <w:rFonts w:ascii="Gill Sans" w:hAnsi="Gill Sans" w:cs="Gill Sans"/>
            <w:color w:val="222222"/>
            <w:sz w:val="18"/>
            <w:szCs w:val="18"/>
            <w:lang w:val="uk-UA"/>
          </w:rPr>
          <w:t>http://bit.ly/2i3aHQg</w:t>
        </w:r>
      </w:hyperlink>
      <w:r w:rsidRPr="00720761">
        <w:rPr>
          <w:rFonts w:ascii="Gill Sans" w:hAnsi="Gill Sans" w:cs="Gill Sans"/>
          <w:color w:val="222222"/>
          <w:sz w:val="18"/>
          <w:szCs w:val="18"/>
          <w:lang w:val="uk-UA"/>
        </w:rPr>
        <w:t xml:space="preserve">, </w:t>
      </w:r>
      <w:hyperlink r:id="rId20" w:history="1">
        <w:r w:rsidRPr="00720761">
          <w:rPr>
            <w:rFonts w:ascii="Gill Sans" w:hAnsi="Gill Sans" w:cs="Gill Sans"/>
            <w:color w:val="222222"/>
            <w:sz w:val="18"/>
            <w:szCs w:val="18"/>
            <w:lang w:val="uk-UA"/>
          </w:rPr>
          <w:t>http://bit.ly/2irbCwJ</w:t>
        </w:r>
      </w:hyperlink>
      <w:r w:rsidRPr="00720761">
        <w:rPr>
          <w:rFonts w:ascii="Gill Sans" w:hAnsi="Gill Sans" w:cs="Gill Sans"/>
          <w:color w:val="222222"/>
          <w:sz w:val="18"/>
          <w:szCs w:val="18"/>
          <w:lang w:val="uk-UA"/>
        </w:rPr>
        <w:t>, http://bit.ly/2irosLt.</w:t>
      </w:r>
      <w:r w:rsidRPr="00720761">
        <w:rPr>
          <w:rFonts w:ascii="Gill Sans" w:eastAsia="Times New Roman" w:hAnsi="Gill Sans" w:cs="Gill Sans"/>
          <w:sz w:val="18"/>
          <w:szCs w:val="18"/>
          <w:lang w:val="uk-UA"/>
        </w:rPr>
        <w:t xml:space="preserve"> </w:t>
      </w:r>
    </w:p>
  </w:endnote>
  <w:endnote w:id="58">
    <w:p w14:paraId="13327A16" w14:textId="77777777" w:rsidR="00A76D00" w:rsidRPr="00720761" w:rsidRDefault="00A76D00" w:rsidP="00A43998">
      <w:pPr>
        <w:rPr>
          <w:rFonts w:ascii="Gill Sans" w:eastAsia="Times New Roman" w:hAnsi="Gill Sans" w:cs="Gill Sans"/>
          <w:sz w:val="18"/>
          <w:szCs w:val="18"/>
          <w:lang w:val="uk-UA"/>
        </w:rPr>
      </w:pPr>
      <w:r w:rsidRPr="00720761">
        <w:rPr>
          <w:rFonts w:ascii="Gill Sans" w:hAnsi="Gill Sans" w:cs="Gill Sans"/>
          <w:color w:val="222222"/>
          <w:sz w:val="18"/>
          <w:szCs w:val="18"/>
          <w:vertAlign w:val="superscript"/>
          <w:lang w:val="uk-UA"/>
        </w:rPr>
        <w:endnoteRef/>
      </w:r>
      <w:r w:rsidRPr="00720761">
        <w:rPr>
          <w:rFonts w:ascii="Gill Sans" w:hAnsi="Gill Sans" w:cs="Gill Sans"/>
          <w:color w:val="222222"/>
          <w:sz w:val="18"/>
          <w:szCs w:val="18"/>
          <w:lang w:val="uk-UA"/>
        </w:rPr>
        <w:t xml:space="preserve"> </w:t>
      </w:r>
      <w:hyperlink r:id="rId21" w:history="1">
        <w:r w:rsidRPr="00720761">
          <w:rPr>
            <w:rFonts w:ascii="Gill Sans" w:hAnsi="Gill Sans" w:cs="Gill Sans"/>
            <w:color w:val="222222"/>
            <w:sz w:val="18"/>
            <w:szCs w:val="18"/>
            <w:lang w:val="uk-UA"/>
          </w:rPr>
          <w:t>http://bit.ly/2hIb0Poю</w:t>
        </w:r>
      </w:hyperlink>
      <w:r w:rsidRPr="00720761">
        <w:rPr>
          <w:rFonts w:ascii="Gill Sans" w:hAnsi="Gill Sans" w:cs="Gill Sans"/>
          <w:color w:val="222222"/>
          <w:sz w:val="18"/>
          <w:szCs w:val="18"/>
          <w:lang w:val="uk-UA"/>
        </w:rPr>
        <w:t>.</w:t>
      </w:r>
      <w:r w:rsidRPr="00720761">
        <w:rPr>
          <w:rFonts w:ascii="Gill Sans" w:eastAsia="Times New Roman" w:hAnsi="Gill Sans" w:cs="Gill Sans"/>
          <w:color w:val="A3AAAE"/>
          <w:sz w:val="18"/>
          <w:szCs w:val="18"/>
          <w:lang w:val="uk-UA"/>
        </w:rPr>
        <w:t xml:space="preserve"> </w:t>
      </w:r>
    </w:p>
  </w:endnote>
  <w:endnote w:id="59">
    <w:p w14:paraId="6BF39889" w14:textId="77777777" w:rsidR="00A76D00" w:rsidRPr="00720761" w:rsidRDefault="00A76D00" w:rsidP="00E57A54">
      <w:pPr>
        <w:pStyle w:val="EndnoteText"/>
        <w:rPr>
          <w:szCs w:val="18"/>
          <w:lang w:val="uk-UA"/>
        </w:rPr>
      </w:pPr>
      <w:r w:rsidRPr="00720761">
        <w:rPr>
          <w:rStyle w:val="EndnoteReference"/>
          <w:szCs w:val="18"/>
          <w:lang w:val="uk-UA"/>
        </w:rPr>
        <w:endnoteRef/>
      </w:r>
      <w:r w:rsidRPr="00720761">
        <w:rPr>
          <w:szCs w:val="18"/>
          <w:lang w:val="uk-UA"/>
        </w:rPr>
        <w:t xml:space="preserve"> Див. </w:t>
      </w:r>
      <w:hyperlink r:id="rId22" w:history="1">
        <w:r w:rsidRPr="00720761">
          <w:rPr>
            <w:rStyle w:val="Hyperlink"/>
            <w:szCs w:val="18"/>
            <w:lang w:val="uk-UA"/>
          </w:rPr>
          <w:t>http://bit.ly/1MTDPVZ</w:t>
        </w:r>
      </w:hyperlink>
      <w:r w:rsidRPr="00720761">
        <w:rPr>
          <w:szCs w:val="18"/>
          <w:lang w:val="uk-UA"/>
        </w:rPr>
        <w:t xml:space="preserve">, </w:t>
      </w:r>
      <w:r w:rsidRPr="00720761">
        <w:rPr>
          <w:noProof/>
          <w:szCs w:val="18"/>
          <w:lang w:val="uk-UA"/>
        </w:rPr>
        <w:t>http://bit.ly/1PAC9lL</w:t>
      </w:r>
      <w:r w:rsidRPr="00720761">
        <w:rPr>
          <w:szCs w:val="18"/>
          <w:lang w:val="uk-UA"/>
        </w:rPr>
        <w:t>.</w:t>
      </w:r>
    </w:p>
  </w:endnote>
  <w:endnote w:id="60">
    <w:p w14:paraId="3C0754C7" w14:textId="7F3098B3" w:rsidR="00A76D00" w:rsidRPr="00720761" w:rsidRDefault="00A76D00" w:rsidP="00810BB9">
      <w:pPr>
        <w:rPr>
          <w:rFonts w:ascii="Gill Sans" w:hAnsi="Gill Sans" w:cs="Gill Sans"/>
          <w:sz w:val="18"/>
          <w:szCs w:val="18"/>
          <w:lang w:val="uk-UA"/>
        </w:rPr>
      </w:pPr>
      <w:r w:rsidRPr="00720761">
        <w:rPr>
          <w:rStyle w:val="EndnoteReference"/>
          <w:rFonts w:ascii="Gill Sans" w:hAnsi="Gill Sans" w:cs="Gill Sans"/>
          <w:sz w:val="18"/>
          <w:szCs w:val="18"/>
          <w:lang w:val="uk-UA"/>
        </w:rPr>
        <w:endnoteRef/>
      </w:r>
      <w:r w:rsidRPr="00720761">
        <w:rPr>
          <w:rFonts w:ascii="Gill Sans" w:hAnsi="Gill Sans" w:cs="Gill Sans"/>
          <w:sz w:val="18"/>
          <w:szCs w:val="18"/>
          <w:lang w:val="uk-UA"/>
        </w:rPr>
        <w:t xml:space="preserve"> </w:t>
      </w:r>
      <w:r w:rsidRPr="00720761">
        <w:rPr>
          <w:rFonts w:ascii="Gill Sans" w:hAnsi="Gill Sans" w:cs="Gill Sans"/>
          <w:color w:val="222222"/>
          <w:sz w:val="18"/>
          <w:szCs w:val="18"/>
          <w:lang w:val="uk-UA" w:eastAsia="en-US"/>
        </w:rPr>
        <w:t xml:space="preserve">Закон про Антикорупційну стратегію України на 2014-2017 рр. (ухвалений у 2014 році), Урядовий План першочергових заходів з подолання корупції (ухвалений у липні 2014 року). Див.: </w:t>
      </w:r>
      <w:hyperlink r:id="rId23" w:history="1">
        <w:r w:rsidRPr="00720761">
          <w:rPr>
            <w:rStyle w:val="Hyperlink"/>
            <w:rFonts w:ascii="Gill Sans" w:hAnsi="Gill Sans" w:cs="Gill Sans"/>
            <w:sz w:val="18"/>
            <w:szCs w:val="18"/>
            <w:lang w:val="uk-UA"/>
          </w:rPr>
          <w:t>http://bit.ly/1XcMgyv</w:t>
        </w:r>
      </w:hyperlink>
      <w:r w:rsidRPr="00720761">
        <w:rPr>
          <w:rFonts w:ascii="Gill Sans" w:hAnsi="Gill Sans" w:cs="Gill Sans"/>
          <w:sz w:val="18"/>
          <w:szCs w:val="18"/>
          <w:lang w:val="uk-UA"/>
        </w:rPr>
        <w:t xml:space="preserve">, http://bit.ly/1Lo4l7y. </w:t>
      </w:r>
    </w:p>
  </w:endnote>
  <w:endnote w:id="61">
    <w:p w14:paraId="6173EC48" w14:textId="5C1DD1C4" w:rsidR="00A76D00" w:rsidRPr="00720761" w:rsidRDefault="00A76D00" w:rsidP="00F776A3">
      <w:pPr>
        <w:pStyle w:val="EndnoteText"/>
        <w:rPr>
          <w:szCs w:val="18"/>
          <w:lang w:val="uk-UA"/>
        </w:rPr>
      </w:pPr>
      <w:r w:rsidRPr="00720761">
        <w:rPr>
          <w:rStyle w:val="EndnoteReference"/>
          <w:szCs w:val="18"/>
          <w:lang w:val="uk-UA"/>
        </w:rPr>
        <w:endnoteRef/>
      </w:r>
      <w:r w:rsidRPr="00720761">
        <w:rPr>
          <w:szCs w:val="18"/>
          <w:lang w:val="uk-UA"/>
        </w:rPr>
        <w:t xml:space="preserve"> Механізм незалежного звітування (МНЗ), Проміжний звіт 2014-15: Україна, стор. 53-54.</w:t>
      </w:r>
    </w:p>
  </w:endnote>
  <w:endnote w:id="62">
    <w:p w14:paraId="6D8E38E2" w14:textId="4716E2FD" w:rsidR="00A76D00" w:rsidRPr="00720761" w:rsidRDefault="00A76D00" w:rsidP="009909F0">
      <w:pPr>
        <w:pStyle w:val="EndnoteText"/>
        <w:rPr>
          <w:szCs w:val="18"/>
          <w:lang w:val="uk-UA"/>
        </w:rPr>
      </w:pPr>
      <w:r w:rsidRPr="00720761">
        <w:rPr>
          <w:rStyle w:val="EndnoteReference"/>
          <w:szCs w:val="18"/>
          <w:lang w:val="uk-UA"/>
        </w:rPr>
        <w:endnoteRef/>
      </w:r>
      <w:r w:rsidRPr="00720761">
        <w:rPr>
          <w:szCs w:val="18"/>
          <w:lang w:val="uk-UA"/>
        </w:rPr>
        <w:t xml:space="preserve"> Там само, стор. 54.</w:t>
      </w:r>
    </w:p>
  </w:endnote>
  <w:endnote w:id="63">
    <w:p w14:paraId="5BF486F3" w14:textId="77777777" w:rsidR="00A76D00" w:rsidRPr="00720761" w:rsidRDefault="00A76D00" w:rsidP="00C23A3E">
      <w:pPr>
        <w:pStyle w:val="EndnoteText"/>
        <w:rPr>
          <w:szCs w:val="18"/>
          <w:lang w:val="uk-UA"/>
        </w:rPr>
      </w:pPr>
      <w:r w:rsidRPr="00720761">
        <w:rPr>
          <w:rStyle w:val="EndnoteReference"/>
          <w:szCs w:val="18"/>
          <w:lang w:val="uk-UA"/>
        </w:rPr>
        <w:endnoteRef/>
      </w:r>
      <w:r w:rsidRPr="00720761">
        <w:rPr>
          <w:szCs w:val="18"/>
          <w:lang w:val="uk-UA"/>
        </w:rPr>
        <w:t xml:space="preserve"> http://bit.ly/1OUX0yJ. </w:t>
      </w:r>
    </w:p>
  </w:endnote>
  <w:endnote w:id="64">
    <w:p w14:paraId="0B68CF8C" w14:textId="7620092B" w:rsidR="00A76D00" w:rsidRPr="00720761" w:rsidRDefault="00A76D00" w:rsidP="00C23A3E">
      <w:pPr>
        <w:pStyle w:val="EndnoteText"/>
        <w:rPr>
          <w:szCs w:val="18"/>
          <w:lang w:val="uk-UA"/>
        </w:rPr>
      </w:pPr>
      <w:r w:rsidRPr="00720761">
        <w:rPr>
          <w:rStyle w:val="EndnoteReference"/>
          <w:szCs w:val="18"/>
          <w:lang w:val="uk-UA"/>
        </w:rPr>
        <w:endnoteRef/>
      </w:r>
      <w:r w:rsidRPr="00720761">
        <w:rPr>
          <w:szCs w:val="18"/>
          <w:lang w:val="uk-UA"/>
        </w:rPr>
        <w:t xml:space="preserve"> Механізм незалежного звітування (МНЗ), Проміжний звіт 2014-15: Україна, стор. 56.</w:t>
      </w:r>
    </w:p>
  </w:endnote>
  <w:endnote w:id="65">
    <w:p w14:paraId="100A57E2" w14:textId="7A94C27C" w:rsidR="00A76D00" w:rsidRPr="00720761" w:rsidRDefault="00A76D00" w:rsidP="00C23A3E">
      <w:pPr>
        <w:pStyle w:val="EndnoteText"/>
        <w:rPr>
          <w:szCs w:val="18"/>
          <w:lang w:val="uk-UA"/>
        </w:rPr>
      </w:pPr>
      <w:r w:rsidRPr="00720761">
        <w:rPr>
          <w:rStyle w:val="EndnoteReference"/>
          <w:szCs w:val="18"/>
          <w:lang w:val="uk-UA"/>
        </w:rPr>
        <w:endnoteRef/>
      </w:r>
      <w:r w:rsidRPr="00720761">
        <w:rPr>
          <w:szCs w:val="18"/>
          <w:lang w:val="uk-UA"/>
        </w:rPr>
        <w:t xml:space="preserve"> Там само, стор. 56.</w:t>
      </w:r>
    </w:p>
  </w:endnote>
  <w:endnote w:id="66">
    <w:p w14:paraId="529738F8" w14:textId="6A735B7F" w:rsidR="00A76D00" w:rsidRPr="00720761" w:rsidRDefault="00A76D00" w:rsidP="005617B9">
      <w:pPr>
        <w:pStyle w:val="EndnoteText"/>
        <w:rPr>
          <w:color w:val="000000" w:themeColor="text1"/>
          <w:szCs w:val="18"/>
          <w:lang w:val="uk-UA"/>
        </w:rPr>
      </w:pPr>
      <w:r w:rsidRPr="00720761">
        <w:rPr>
          <w:rStyle w:val="EndnoteReference"/>
          <w:color w:val="000000" w:themeColor="text1"/>
          <w:szCs w:val="18"/>
          <w:lang w:val="uk-UA"/>
        </w:rPr>
        <w:endnoteRef/>
      </w:r>
      <w:r w:rsidRPr="00720761">
        <w:rPr>
          <w:color w:val="000000" w:themeColor="text1"/>
          <w:szCs w:val="18"/>
          <w:lang w:val="uk-UA"/>
        </w:rPr>
        <w:t xml:space="preserve"> Механізм незалежного звітування (МНЗ), Проміжний звіт 2014-15: Україна, стор. 57.</w:t>
      </w:r>
    </w:p>
  </w:endnote>
  <w:endnote w:id="67">
    <w:p w14:paraId="4E3D71F9" w14:textId="2FA9BC30" w:rsidR="00A76D00" w:rsidRPr="00720761" w:rsidRDefault="00A76D00" w:rsidP="00D601E8">
      <w:pPr>
        <w:pStyle w:val="EndnoteText"/>
        <w:rPr>
          <w:color w:val="000000" w:themeColor="text1"/>
          <w:szCs w:val="18"/>
          <w:lang w:val="uk-UA"/>
        </w:rPr>
      </w:pPr>
      <w:r w:rsidRPr="00720761">
        <w:rPr>
          <w:rStyle w:val="EndnoteReference"/>
          <w:color w:val="000000" w:themeColor="text1"/>
          <w:szCs w:val="18"/>
          <w:lang w:val="uk-UA"/>
        </w:rPr>
        <w:endnoteRef/>
      </w:r>
      <w:r w:rsidRPr="00720761">
        <w:rPr>
          <w:color w:val="000000" w:themeColor="text1"/>
          <w:szCs w:val="18"/>
          <w:lang w:val="uk-UA"/>
        </w:rPr>
        <w:t xml:space="preserve"> Інтерв’ю з Віктором Тимощуком, ГО “Центр політико-правових реформ”.</w:t>
      </w:r>
    </w:p>
  </w:endnote>
  <w:endnote w:id="68">
    <w:p w14:paraId="180A0392" w14:textId="4E94C59A" w:rsidR="00A76D00" w:rsidRPr="00720761" w:rsidRDefault="00A76D00" w:rsidP="002F107D">
      <w:pPr>
        <w:pStyle w:val="EndnoteText"/>
        <w:rPr>
          <w:color w:val="000000" w:themeColor="text1"/>
          <w:szCs w:val="18"/>
          <w:lang w:val="uk-UA"/>
        </w:rPr>
      </w:pPr>
      <w:r w:rsidRPr="00720761">
        <w:rPr>
          <w:rStyle w:val="EndnoteReference"/>
          <w:color w:val="000000" w:themeColor="text1"/>
          <w:szCs w:val="18"/>
          <w:lang w:val="uk-UA"/>
        </w:rPr>
        <w:endnoteRef/>
      </w:r>
      <w:r w:rsidRPr="00720761">
        <w:rPr>
          <w:color w:val="000000" w:themeColor="text1"/>
          <w:szCs w:val="18"/>
          <w:lang w:val="uk-UA"/>
        </w:rPr>
        <w:t xml:space="preserve"> Механізм незалежного звітування (МНЗ), Проміжний звіт 2014-15: Україна, стор. 56-57.</w:t>
      </w:r>
    </w:p>
  </w:endnote>
  <w:endnote w:id="69">
    <w:p w14:paraId="68F8C6EF" w14:textId="3B0F625B" w:rsidR="00A76D00" w:rsidRPr="00720761" w:rsidRDefault="00A76D00" w:rsidP="004B4DA8">
      <w:pPr>
        <w:rPr>
          <w:rFonts w:ascii="Gill Sans" w:hAnsi="Gill Sans" w:cs="Gill Sans"/>
          <w:color w:val="000000" w:themeColor="text1"/>
          <w:sz w:val="18"/>
          <w:szCs w:val="18"/>
          <w:lang w:val="uk-UA"/>
        </w:rPr>
      </w:pPr>
      <w:r w:rsidRPr="00720761">
        <w:rPr>
          <w:rStyle w:val="EndnoteReference"/>
          <w:rFonts w:ascii="Gill Sans" w:hAnsi="Gill Sans" w:cs="Gill Sans"/>
          <w:color w:val="000000" w:themeColor="text1"/>
          <w:sz w:val="18"/>
          <w:szCs w:val="18"/>
          <w:lang w:val="uk-UA"/>
        </w:rPr>
        <w:endnoteRef/>
      </w:r>
      <w:r w:rsidRPr="00720761">
        <w:rPr>
          <w:rFonts w:ascii="Gill Sans" w:hAnsi="Gill Sans" w:cs="Gill Sans"/>
          <w:color w:val="000000" w:themeColor="text1"/>
          <w:sz w:val="18"/>
          <w:szCs w:val="18"/>
          <w:lang w:val="uk-UA"/>
        </w:rPr>
        <w:t xml:space="preserve"> №2982 п</w:t>
      </w:r>
      <w:r w:rsidRPr="00720761">
        <w:rPr>
          <w:rFonts w:ascii="Gill Sans" w:eastAsia="Times New Roman" w:hAnsi="Gill Sans" w:cs="Gill Sans"/>
          <w:color w:val="000000" w:themeColor="text1"/>
          <w:sz w:val="18"/>
          <w:szCs w:val="18"/>
          <w:shd w:val="clear" w:color="auto" w:fill="FFFFFF"/>
          <w:lang w:val="uk-UA"/>
        </w:rPr>
        <w:t>ро державну реєстрацію речових прав на нерухоме майно та їх обтяжень; № 2983 про державну реєстрацію юридичних осіб, фізичних осіб - підприємців та громадських формувань</w:t>
      </w:r>
      <w:r w:rsidRPr="00720761">
        <w:rPr>
          <w:rFonts w:ascii="Gill Sans" w:eastAsia="Times New Roman" w:hAnsi="Gill Sans" w:cs="Gill Sans"/>
          <w:color w:val="000000" w:themeColor="text1"/>
          <w:sz w:val="18"/>
          <w:szCs w:val="18"/>
          <w:lang w:val="uk-UA"/>
        </w:rPr>
        <w:t xml:space="preserve">; № 2984 </w:t>
      </w:r>
      <w:r w:rsidRPr="00720761">
        <w:rPr>
          <w:rFonts w:ascii="Gill Sans" w:eastAsia="Times New Roman" w:hAnsi="Gill Sans" w:cs="Gill Sans"/>
          <w:color w:val="000000" w:themeColor="text1"/>
          <w:sz w:val="18"/>
          <w:szCs w:val="18"/>
          <w:shd w:val="clear" w:color="auto" w:fill="FFFFFF"/>
          <w:lang w:val="uk-UA"/>
        </w:rPr>
        <w:t xml:space="preserve">щодо розширення повноважень органів місцевого самоврядування та оптимізації надання адміністративних послуг стосовно реєстрації місця проживання, отримання відомостей з Державного земельного кадастру. </w:t>
      </w:r>
    </w:p>
  </w:endnote>
  <w:endnote w:id="70">
    <w:p w14:paraId="45494FFF" w14:textId="670A2E65" w:rsidR="00A76D00" w:rsidRPr="00720761" w:rsidRDefault="00A76D00" w:rsidP="004B4DA8">
      <w:pPr>
        <w:rPr>
          <w:rFonts w:ascii="Gill Sans" w:hAnsi="Gill Sans" w:cs="Gill Sans"/>
          <w:noProof/>
          <w:color w:val="000000" w:themeColor="text1"/>
          <w:sz w:val="18"/>
          <w:szCs w:val="18"/>
          <w:lang w:val="uk-UA"/>
        </w:rPr>
      </w:pPr>
      <w:r w:rsidRPr="00720761">
        <w:rPr>
          <w:rStyle w:val="EndnoteReference"/>
          <w:rFonts w:ascii="Gill Sans" w:hAnsi="Gill Sans" w:cs="Gill Sans"/>
          <w:color w:val="000000" w:themeColor="text1"/>
          <w:sz w:val="18"/>
          <w:szCs w:val="18"/>
          <w:lang w:val="uk-UA"/>
        </w:rPr>
        <w:endnoteRef/>
      </w:r>
      <w:r w:rsidRPr="00720761">
        <w:rPr>
          <w:rFonts w:ascii="Gill Sans" w:hAnsi="Gill Sans" w:cs="Gill Sans"/>
          <w:noProof/>
          <w:color w:val="000000" w:themeColor="text1"/>
          <w:sz w:val="18"/>
          <w:szCs w:val="18"/>
          <w:lang w:val="uk-UA"/>
        </w:rPr>
        <w:t xml:space="preserve"> Законопроект № 2567 </w:t>
      </w:r>
      <w:r w:rsidRPr="00720761">
        <w:rPr>
          <w:rFonts w:ascii="Gill Sans" w:eastAsia="Times New Roman" w:hAnsi="Gill Sans" w:cs="Gill Sans"/>
          <w:color w:val="000000" w:themeColor="text1"/>
          <w:sz w:val="18"/>
          <w:szCs w:val="18"/>
          <w:shd w:val="clear" w:color="auto" w:fill="FFFFFF"/>
          <w:lang w:val="uk-UA"/>
        </w:rPr>
        <w:t xml:space="preserve">про сервісні послуги та сервісні центри Міністерства внутрішніх справ України. </w:t>
      </w:r>
      <w:r w:rsidR="00720761" w:rsidRPr="00720761">
        <w:rPr>
          <w:rFonts w:ascii="Gill Sans" w:eastAsia="Times New Roman" w:hAnsi="Gill Sans" w:cs="Gill Sans"/>
          <w:color w:val="000000" w:themeColor="text1"/>
          <w:sz w:val="18"/>
          <w:szCs w:val="18"/>
          <w:shd w:val="clear" w:color="auto" w:fill="FFFFFF"/>
          <w:lang w:val="uk-UA"/>
        </w:rPr>
        <w:t>Проект</w:t>
      </w:r>
      <w:r w:rsidRPr="00720761">
        <w:rPr>
          <w:rFonts w:ascii="Gill Sans" w:eastAsia="Times New Roman" w:hAnsi="Gill Sans" w:cs="Gill Sans"/>
          <w:color w:val="000000" w:themeColor="text1"/>
          <w:sz w:val="18"/>
          <w:szCs w:val="18"/>
          <w:shd w:val="clear" w:color="auto" w:fill="FFFFFF"/>
          <w:lang w:val="uk-UA"/>
        </w:rPr>
        <w:t xml:space="preserve"> передбачав створення окремих сервісних центрі</w:t>
      </w:r>
      <w:r w:rsidR="00720761" w:rsidRPr="00720761">
        <w:rPr>
          <w:rFonts w:ascii="Gill Sans" w:eastAsia="Times New Roman" w:hAnsi="Gill Sans" w:cs="Gill Sans"/>
          <w:color w:val="000000" w:themeColor="text1"/>
          <w:sz w:val="18"/>
          <w:szCs w:val="18"/>
          <w:shd w:val="clear" w:color="auto" w:fill="FFFFFF"/>
          <w:lang w:val="uk-UA"/>
        </w:rPr>
        <w:t>в</w:t>
      </w:r>
      <w:r w:rsidRPr="00720761">
        <w:rPr>
          <w:rFonts w:ascii="Gill Sans" w:eastAsia="Times New Roman" w:hAnsi="Gill Sans" w:cs="Gill Sans"/>
          <w:color w:val="000000" w:themeColor="text1"/>
          <w:sz w:val="18"/>
          <w:szCs w:val="18"/>
          <w:shd w:val="clear" w:color="auto" w:fill="FFFFFF"/>
          <w:lang w:val="uk-UA"/>
        </w:rPr>
        <w:t xml:space="preserve"> при Міністерстві та децентралізацію відповідної функції лише в 2018 році.</w:t>
      </w:r>
      <w:r w:rsidRPr="00720761">
        <w:rPr>
          <w:rFonts w:ascii="Gill Sans" w:hAnsi="Gill Sans" w:cs="Gill Sans"/>
          <w:color w:val="000000" w:themeColor="text1"/>
          <w:sz w:val="18"/>
          <w:szCs w:val="18"/>
          <w:lang w:val="uk-UA"/>
        </w:rPr>
        <w:t xml:space="preserve"> </w:t>
      </w:r>
    </w:p>
  </w:endnote>
  <w:endnote w:id="71">
    <w:p w14:paraId="5C9C4821" w14:textId="1F0BB8D0" w:rsidR="00A76D00" w:rsidRPr="00720761" w:rsidRDefault="00A76D00" w:rsidP="00CD1ED9">
      <w:pPr>
        <w:pStyle w:val="EndnoteText"/>
        <w:rPr>
          <w:szCs w:val="18"/>
          <w:lang w:val="uk-UA"/>
        </w:rPr>
      </w:pPr>
      <w:r w:rsidRPr="00720761">
        <w:rPr>
          <w:rStyle w:val="EndnoteReference"/>
          <w:color w:val="000000" w:themeColor="text1"/>
          <w:szCs w:val="18"/>
          <w:lang w:val="uk-UA"/>
        </w:rPr>
        <w:endnoteRef/>
      </w:r>
      <w:r w:rsidRPr="00720761">
        <w:rPr>
          <w:color w:val="000000" w:themeColor="text1"/>
          <w:szCs w:val="18"/>
          <w:lang w:val="uk-UA"/>
        </w:rPr>
        <w:t xml:space="preserve"> Інтерв’ю з Віктором Тимощуком, ГО “Центр політико-правових реформ”.</w:t>
      </w:r>
    </w:p>
  </w:endnote>
  <w:endnote w:id="72">
    <w:p w14:paraId="0716EC4C" w14:textId="77777777" w:rsidR="00A76D00" w:rsidRPr="00720761" w:rsidRDefault="00A76D00" w:rsidP="00C21177">
      <w:pPr>
        <w:pStyle w:val="EndnoteText"/>
        <w:rPr>
          <w:szCs w:val="18"/>
          <w:lang w:val="uk-UA"/>
        </w:rPr>
      </w:pPr>
      <w:r w:rsidRPr="00720761">
        <w:rPr>
          <w:rStyle w:val="EndnoteReference"/>
          <w:szCs w:val="18"/>
          <w:lang w:val="uk-UA"/>
        </w:rPr>
        <w:endnoteRef/>
      </w:r>
      <w:r w:rsidRPr="00720761">
        <w:rPr>
          <w:szCs w:val="18"/>
          <w:lang w:val="uk-UA"/>
        </w:rPr>
        <w:t xml:space="preserve"> Механізм незалежного звітування (МНЗ), Проміжний звіт 2014-15: Україна, стор. 59-60. </w:t>
      </w:r>
    </w:p>
  </w:endnote>
  <w:endnote w:id="73">
    <w:p w14:paraId="12E4BCC2" w14:textId="77777777" w:rsidR="00A76D00" w:rsidRPr="00720761" w:rsidRDefault="00A76D00" w:rsidP="009167B6">
      <w:pPr>
        <w:pStyle w:val="EndnoteText"/>
        <w:rPr>
          <w:szCs w:val="18"/>
          <w:lang w:val="uk-UA"/>
        </w:rPr>
      </w:pPr>
      <w:r w:rsidRPr="00720761">
        <w:rPr>
          <w:rStyle w:val="EndnoteReference"/>
          <w:szCs w:val="18"/>
          <w:lang w:val="uk-UA"/>
        </w:rPr>
        <w:endnoteRef/>
      </w:r>
      <w:r w:rsidRPr="00720761">
        <w:rPr>
          <w:szCs w:val="18"/>
          <w:lang w:val="uk-UA"/>
        </w:rPr>
        <w:t xml:space="preserve"> http://bit.ly/1PFyZxa. </w:t>
      </w:r>
    </w:p>
  </w:endnote>
  <w:endnote w:id="74">
    <w:p w14:paraId="0C1F53DA" w14:textId="77777777" w:rsidR="00A76D00" w:rsidRPr="00720761" w:rsidRDefault="00A76D00" w:rsidP="009167B6">
      <w:pPr>
        <w:pStyle w:val="EndnoteText"/>
        <w:rPr>
          <w:szCs w:val="18"/>
          <w:lang w:val="uk-UA"/>
        </w:rPr>
      </w:pPr>
      <w:r w:rsidRPr="00720761">
        <w:rPr>
          <w:rStyle w:val="EndnoteReference"/>
          <w:szCs w:val="18"/>
          <w:lang w:val="uk-UA"/>
        </w:rPr>
        <w:endnoteRef/>
      </w:r>
      <w:r w:rsidRPr="00720761">
        <w:rPr>
          <w:szCs w:val="18"/>
          <w:lang w:val="uk-UA"/>
        </w:rPr>
        <w:t xml:space="preserve"> Механізм незалежного звітування (МНЗ), Проміжний звіт 2014-15: Україна, стор. 61-62.</w:t>
      </w:r>
    </w:p>
  </w:endnote>
  <w:endnote w:id="75">
    <w:p w14:paraId="701ABF81" w14:textId="22428F01" w:rsidR="00A76D00" w:rsidRPr="00720761" w:rsidRDefault="00A76D00" w:rsidP="002A605D">
      <w:pPr>
        <w:pStyle w:val="EndnoteText"/>
        <w:rPr>
          <w:szCs w:val="18"/>
          <w:lang w:val="uk-UA"/>
        </w:rPr>
      </w:pPr>
      <w:r w:rsidRPr="00720761">
        <w:rPr>
          <w:rStyle w:val="EndnoteReference"/>
          <w:szCs w:val="18"/>
          <w:lang w:val="uk-UA"/>
        </w:rPr>
        <w:endnoteRef/>
      </w:r>
      <w:r w:rsidRPr="00720761">
        <w:rPr>
          <w:szCs w:val="18"/>
          <w:lang w:val="uk-UA"/>
        </w:rPr>
        <w:t xml:space="preserve"> Законопроект № 2544a, 31 серпня 2015 року, http://bit.ly/1JSndaS. </w:t>
      </w:r>
    </w:p>
  </w:endnote>
  <w:endnote w:id="76">
    <w:p w14:paraId="640F3681" w14:textId="14390AE1" w:rsidR="00A76D00" w:rsidRPr="00720761" w:rsidRDefault="00A76D00" w:rsidP="002A605D">
      <w:pPr>
        <w:pStyle w:val="EndnoteText"/>
        <w:rPr>
          <w:szCs w:val="18"/>
          <w:lang w:val="uk-UA"/>
        </w:rPr>
      </w:pPr>
      <w:r w:rsidRPr="00720761">
        <w:rPr>
          <w:rStyle w:val="EndnoteReference"/>
          <w:szCs w:val="18"/>
          <w:lang w:val="uk-UA"/>
        </w:rPr>
        <w:endnoteRef/>
      </w:r>
      <w:r w:rsidRPr="00720761">
        <w:rPr>
          <w:szCs w:val="18"/>
          <w:lang w:val="uk-UA"/>
        </w:rPr>
        <w:t xml:space="preserve"> Там само.</w:t>
      </w:r>
    </w:p>
  </w:endnote>
  <w:endnote w:id="77">
    <w:p w14:paraId="2E7E2D60" w14:textId="6BAF5CFF" w:rsidR="00A76D00" w:rsidRPr="00720761" w:rsidRDefault="00A76D00" w:rsidP="002A605D">
      <w:pPr>
        <w:pStyle w:val="EndnoteText"/>
        <w:rPr>
          <w:szCs w:val="18"/>
          <w:lang w:val="uk-UA"/>
        </w:rPr>
      </w:pPr>
      <w:r w:rsidRPr="00720761">
        <w:rPr>
          <w:rStyle w:val="EndnoteReference"/>
          <w:szCs w:val="18"/>
          <w:lang w:val="uk-UA"/>
        </w:rPr>
        <w:endnoteRef/>
      </w:r>
      <w:r w:rsidRPr="00720761">
        <w:rPr>
          <w:szCs w:val="18"/>
          <w:lang w:val="uk-UA"/>
        </w:rPr>
        <w:t xml:space="preserve"> Механізм незалежного звітування (МНЗ), Проміжний звіт 2014-15: Україна, стор. 64.</w:t>
      </w:r>
    </w:p>
  </w:endnote>
  <w:endnote w:id="78">
    <w:p w14:paraId="246F95BD" w14:textId="18A8BE13" w:rsidR="00A76D00" w:rsidRPr="00720761" w:rsidRDefault="00A76D00" w:rsidP="00456A7F">
      <w:pPr>
        <w:pStyle w:val="EndnoteText"/>
        <w:rPr>
          <w:szCs w:val="18"/>
          <w:lang w:val="uk-UA"/>
        </w:rPr>
      </w:pPr>
      <w:r w:rsidRPr="00720761">
        <w:rPr>
          <w:rStyle w:val="EndnoteReference"/>
          <w:szCs w:val="18"/>
          <w:lang w:val="uk-UA"/>
        </w:rPr>
        <w:endnoteRef/>
      </w:r>
      <w:r w:rsidRPr="00720761">
        <w:rPr>
          <w:szCs w:val="18"/>
          <w:lang w:val="uk-UA"/>
        </w:rPr>
        <w:t xml:space="preserve"> Кількість підписів, що вимагаються, залежить від того, чи є орган місцевим або національним.</w:t>
      </w:r>
    </w:p>
  </w:endnote>
  <w:endnote w:id="79">
    <w:p w14:paraId="3518411E" w14:textId="7567145B" w:rsidR="00A76D00" w:rsidRPr="00720761" w:rsidRDefault="00A76D00" w:rsidP="00456A7F">
      <w:pPr>
        <w:pStyle w:val="EndnoteText"/>
        <w:rPr>
          <w:szCs w:val="18"/>
          <w:lang w:val="uk-UA"/>
        </w:rPr>
      </w:pPr>
      <w:r w:rsidRPr="00720761">
        <w:rPr>
          <w:rStyle w:val="EndnoteReference"/>
          <w:szCs w:val="18"/>
          <w:lang w:val="uk-UA"/>
        </w:rPr>
        <w:endnoteRef/>
      </w:r>
      <w:r w:rsidRPr="00720761">
        <w:rPr>
          <w:szCs w:val="18"/>
          <w:lang w:val="uk-UA"/>
        </w:rPr>
        <w:t xml:space="preserve"> Механізм незалежного звітування (МНЗ), Проміжний звіт 2014-15: Україна, стор. 64. </w:t>
      </w:r>
    </w:p>
  </w:endnote>
  <w:endnote w:id="80">
    <w:p w14:paraId="40BAF8FA" w14:textId="629AC687" w:rsidR="00A76D00" w:rsidRPr="00720761" w:rsidRDefault="00A76D00" w:rsidP="00C243C7">
      <w:pPr>
        <w:pStyle w:val="EndnoteText"/>
        <w:rPr>
          <w:szCs w:val="18"/>
          <w:lang w:val="uk-UA"/>
        </w:rPr>
      </w:pPr>
      <w:r w:rsidRPr="00720761">
        <w:rPr>
          <w:rStyle w:val="EndnoteReference"/>
          <w:szCs w:val="18"/>
          <w:lang w:val="uk-UA"/>
        </w:rPr>
        <w:endnoteRef/>
      </w:r>
      <w:r w:rsidRPr="00720761">
        <w:rPr>
          <w:szCs w:val="18"/>
          <w:lang w:val="uk-UA"/>
        </w:rPr>
        <w:t xml:space="preserve"> Там само, стор. 65. </w:t>
      </w:r>
    </w:p>
  </w:endnote>
  <w:endnote w:id="81">
    <w:p w14:paraId="6498E77F" w14:textId="77777777" w:rsidR="00A76D00" w:rsidRPr="00720761" w:rsidRDefault="00A76D00" w:rsidP="006B303E">
      <w:pPr>
        <w:rPr>
          <w:rFonts w:ascii="Gill Sans" w:eastAsia="Times New Roman" w:hAnsi="Gill Sans" w:cs="Gill Sans"/>
          <w:sz w:val="18"/>
          <w:szCs w:val="18"/>
          <w:lang w:val="uk-UA"/>
        </w:rPr>
      </w:pPr>
      <w:r w:rsidRPr="00720761">
        <w:rPr>
          <w:rFonts w:ascii="Gill Sans" w:hAnsi="Gill Sans" w:cs="Gill Sans"/>
          <w:color w:val="222222"/>
          <w:sz w:val="18"/>
          <w:szCs w:val="18"/>
          <w:vertAlign w:val="superscript"/>
          <w:lang w:val="uk-UA"/>
        </w:rPr>
        <w:endnoteRef/>
      </w:r>
      <w:r w:rsidRPr="00720761">
        <w:rPr>
          <w:rFonts w:ascii="Gill Sans" w:hAnsi="Gill Sans" w:cs="Gill Sans"/>
          <w:color w:val="222222"/>
          <w:sz w:val="18"/>
          <w:szCs w:val="18"/>
          <w:lang w:val="uk-UA"/>
        </w:rPr>
        <w:t xml:space="preserve"> </w:t>
      </w:r>
      <w:hyperlink r:id="rId24" w:history="1">
        <w:r w:rsidRPr="00720761">
          <w:rPr>
            <w:rFonts w:ascii="Gill Sans" w:hAnsi="Gill Sans" w:cs="Gill Sans"/>
            <w:color w:val="222222"/>
            <w:sz w:val="18"/>
            <w:szCs w:val="18"/>
            <w:lang w:val="uk-UA"/>
          </w:rPr>
          <w:t>http://bit.ly/2iPCCUr</w:t>
        </w:r>
      </w:hyperlink>
      <w:r w:rsidRPr="00720761">
        <w:rPr>
          <w:rFonts w:ascii="Gill Sans" w:hAnsi="Gill Sans" w:cs="Gill Sans"/>
          <w:color w:val="222222"/>
          <w:sz w:val="18"/>
          <w:szCs w:val="18"/>
          <w:lang w:val="uk-UA"/>
        </w:rPr>
        <w:t>.</w:t>
      </w:r>
      <w:r w:rsidRPr="00720761">
        <w:rPr>
          <w:rFonts w:ascii="Gill Sans" w:eastAsia="Times New Roman" w:hAnsi="Gill Sans" w:cs="Gill Sans"/>
          <w:color w:val="A3AAAE"/>
          <w:sz w:val="18"/>
          <w:szCs w:val="18"/>
          <w:lang w:val="uk-UA"/>
        </w:rPr>
        <w:t xml:space="preserve"> </w:t>
      </w:r>
    </w:p>
  </w:endnote>
  <w:endnote w:id="82">
    <w:p w14:paraId="1FE696B3" w14:textId="77777777" w:rsidR="00A76D00" w:rsidRPr="00720761" w:rsidRDefault="00A76D00" w:rsidP="006B303E">
      <w:pPr>
        <w:rPr>
          <w:rFonts w:ascii="Gill Sans" w:hAnsi="Gill Sans" w:cs="Gill Sans"/>
          <w:color w:val="222222"/>
          <w:sz w:val="18"/>
          <w:szCs w:val="18"/>
          <w:lang w:val="uk-UA"/>
        </w:rPr>
      </w:pPr>
      <w:r w:rsidRPr="00720761">
        <w:rPr>
          <w:rFonts w:ascii="Gill Sans" w:hAnsi="Gill Sans" w:cs="Gill Sans"/>
          <w:color w:val="222222"/>
          <w:sz w:val="18"/>
          <w:szCs w:val="18"/>
          <w:vertAlign w:val="superscript"/>
          <w:lang w:val="uk-UA"/>
        </w:rPr>
        <w:endnoteRef/>
      </w:r>
      <w:r w:rsidRPr="00720761">
        <w:rPr>
          <w:rFonts w:ascii="Gill Sans" w:hAnsi="Gill Sans" w:cs="Gill Sans"/>
          <w:color w:val="222222"/>
          <w:sz w:val="18"/>
          <w:szCs w:val="18"/>
          <w:lang w:val="uk-UA"/>
        </w:rPr>
        <w:t xml:space="preserve"> </w:t>
      </w:r>
      <w:hyperlink r:id="rId25" w:history="1">
        <w:r w:rsidRPr="00720761">
          <w:rPr>
            <w:rFonts w:ascii="Gill Sans" w:hAnsi="Gill Sans" w:cs="Gill Sans"/>
            <w:color w:val="222222"/>
            <w:sz w:val="18"/>
            <w:szCs w:val="18"/>
            <w:lang w:val="uk-UA"/>
          </w:rPr>
          <w:t>http://bit.ly/2iAomBB</w:t>
        </w:r>
      </w:hyperlink>
      <w:r w:rsidRPr="00720761">
        <w:rPr>
          <w:rFonts w:ascii="Gill Sans" w:hAnsi="Gill Sans" w:cs="Gill Sans"/>
          <w:color w:val="222222"/>
          <w:sz w:val="18"/>
          <w:szCs w:val="18"/>
          <w:lang w:val="uk-UA"/>
        </w:rPr>
        <w:t xml:space="preserve">. </w:t>
      </w:r>
    </w:p>
  </w:endnote>
  <w:endnote w:id="83">
    <w:p w14:paraId="02E7489F" w14:textId="77777777" w:rsidR="00A76D00" w:rsidRPr="00720761" w:rsidRDefault="00A76D00" w:rsidP="006B303E">
      <w:pPr>
        <w:rPr>
          <w:rFonts w:ascii="Gill Sans" w:hAnsi="Gill Sans" w:cs="Gill Sans"/>
          <w:color w:val="222222"/>
          <w:sz w:val="18"/>
          <w:szCs w:val="18"/>
          <w:lang w:val="uk-UA"/>
        </w:rPr>
      </w:pPr>
      <w:r w:rsidRPr="00720761">
        <w:rPr>
          <w:rFonts w:ascii="Gill Sans" w:hAnsi="Gill Sans" w:cs="Gill Sans"/>
          <w:color w:val="222222"/>
          <w:sz w:val="18"/>
          <w:szCs w:val="18"/>
          <w:vertAlign w:val="superscript"/>
          <w:lang w:val="uk-UA"/>
        </w:rPr>
        <w:endnoteRef/>
      </w:r>
      <w:r w:rsidRPr="00720761">
        <w:rPr>
          <w:rFonts w:ascii="Gill Sans" w:hAnsi="Gill Sans" w:cs="Gill Sans"/>
          <w:color w:val="222222"/>
          <w:sz w:val="18"/>
          <w:szCs w:val="18"/>
          <w:lang w:val="uk-UA"/>
        </w:rPr>
        <w:t xml:space="preserve"> </w:t>
      </w:r>
      <w:hyperlink r:id="rId26" w:history="1">
        <w:r w:rsidRPr="00720761">
          <w:rPr>
            <w:rFonts w:ascii="Gill Sans" w:hAnsi="Gill Sans" w:cs="Gill Sans"/>
            <w:color w:val="222222"/>
            <w:sz w:val="18"/>
            <w:szCs w:val="18"/>
            <w:lang w:val="uk-UA"/>
          </w:rPr>
          <w:t>http://bit.ly/2iAgMqw</w:t>
        </w:r>
      </w:hyperlink>
      <w:r w:rsidRPr="00720761">
        <w:rPr>
          <w:rFonts w:ascii="Gill Sans" w:hAnsi="Gill Sans" w:cs="Gill Sans"/>
          <w:color w:val="222222"/>
          <w:sz w:val="18"/>
          <w:szCs w:val="18"/>
          <w:lang w:val="uk-UA"/>
        </w:rPr>
        <w:t xml:space="preserve">, </w:t>
      </w:r>
      <w:hyperlink r:id="rId27" w:history="1">
        <w:r w:rsidRPr="00720761">
          <w:rPr>
            <w:rFonts w:ascii="Gill Sans" w:hAnsi="Gill Sans" w:cs="Gill Sans"/>
            <w:color w:val="222222"/>
            <w:sz w:val="18"/>
            <w:szCs w:val="18"/>
            <w:lang w:val="uk-UA"/>
          </w:rPr>
          <w:t>http://bit.ly/2j4GTmr</w:t>
        </w:r>
      </w:hyperlink>
      <w:r w:rsidRPr="00720761">
        <w:rPr>
          <w:rFonts w:ascii="Gill Sans" w:hAnsi="Gill Sans" w:cs="Gill Sans"/>
          <w:color w:val="222222"/>
          <w:sz w:val="18"/>
          <w:szCs w:val="18"/>
          <w:lang w:val="uk-UA"/>
        </w:rPr>
        <w:t xml:space="preserve">. </w:t>
      </w:r>
    </w:p>
  </w:endnote>
  <w:endnote w:id="84">
    <w:p w14:paraId="5F6FD8F6" w14:textId="6DDC2DDE" w:rsidR="00A76D00" w:rsidRPr="00720761" w:rsidRDefault="00A76D00" w:rsidP="000465B4">
      <w:pPr>
        <w:rPr>
          <w:rFonts w:ascii="Gill Sans" w:eastAsia="Times New Roman" w:hAnsi="Gill Sans" w:cs="Gill Sans"/>
          <w:sz w:val="18"/>
          <w:szCs w:val="18"/>
          <w:lang w:val="uk-UA"/>
        </w:rPr>
      </w:pPr>
      <w:r w:rsidRPr="00720761">
        <w:rPr>
          <w:rFonts w:ascii="Gill Sans" w:hAnsi="Gill Sans" w:cs="Gill Sans"/>
          <w:color w:val="222222"/>
          <w:sz w:val="18"/>
          <w:szCs w:val="18"/>
          <w:vertAlign w:val="superscript"/>
          <w:lang w:val="uk-UA"/>
        </w:rPr>
        <w:endnoteRef/>
      </w:r>
      <w:r w:rsidRPr="00720761">
        <w:rPr>
          <w:rFonts w:ascii="Gill Sans" w:hAnsi="Gill Sans" w:cs="Gill Sans"/>
          <w:color w:val="222222"/>
          <w:sz w:val="18"/>
          <w:szCs w:val="18"/>
          <w:lang w:val="uk-UA"/>
        </w:rPr>
        <w:t xml:space="preserve"> Див., наприклад, порядок, затверджений Київською міською радою: </w:t>
      </w:r>
      <w:hyperlink r:id="rId28" w:history="1">
        <w:r w:rsidRPr="00720761">
          <w:rPr>
            <w:rFonts w:ascii="Gill Sans" w:hAnsi="Gill Sans" w:cs="Gill Sans"/>
            <w:color w:val="222222"/>
            <w:sz w:val="18"/>
            <w:szCs w:val="18"/>
            <w:lang w:val="uk-UA"/>
          </w:rPr>
          <w:t>http://bit.ly/2j4BGLr</w:t>
        </w:r>
      </w:hyperlink>
      <w:r w:rsidRPr="00720761">
        <w:rPr>
          <w:rFonts w:ascii="Gill Sans" w:hAnsi="Gill Sans" w:cs="Gill Sans"/>
          <w:color w:val="222222"/>
          <w:sz w:val="18"/>
          <w:szCs w:val="18"/>
          <w:lang w:val="uk-UA"/>
        </w:rPr>
        <w:t>.</w:t>
      </w:r>
      <w:r w:rsidRPr="00720761">
        <w:rPr>
          <w:rFonts w:ascii="Gill Sans" w:eastAsia="Times New Roman" w:hAnsi="Gill Sans" w:cs="Gill Sans"/>
          <w:color w:val="A3AAAE"/>
          <w:sz w:val="18"/>
          <w:szCs w:val="18"/>
          <w:lang w:val="uk-UA"/>
        </w:rPr>
        <w:t xml:space="preserve"> </w:t>
      </w:r>
    </w:p>
  </w:endnote>
  <w:endnote w:id="85">
    <w:p w14:paraId="1191907F" w14:textId="77777777" w:rsidR="00A76D00" w:rsidRPr="00720761" w:rsidRDefault="00A76D00" w:rsidP="000465B4">
      <w:pPr>
        <w:rPr>
          <w:rFonts w:ascii="Gill Sans" w:hAnsi="Gill Sans" w:cs="Gill Sans"/>
          <w:color w:val="222222"/>
          <w:sz w:val="18"/>
          <w:szCs w:val="18"/>
          <w:lang w:val="uk-UA"/>
        </w:rPr>
      </w:pPr>
      <w:r w:rsidRPr="00720761">
        <w:rPr>
          <w:rFonts w:ascii="Gill Sans" w:hAnsi="Gill Sans" w:cs="Gill Sans"/>
          <w:color w:val="222222"/>
          <w:sz w:val="18"/>
          <w:szCs w:val="18"/>
          <w:vertAlign w:val="superscript"/>
          <w:lang w:val="uk-UA"/>
        </w:rPr>
        <w:endnoteRef/>
      </w:r>
      <w:r w:rsidRPr="00720761">
        <w:rPr>
          <w:rFonts w:ascii="Gill Sans" w:hAnsi="Gill Sans" w:cs="Gill Sans"/>
          <w:color w:val="222222"/>
          <w:sz w:val="18"/>
          <w:szCs w:val="18"/>
          <w:lang w:val="uk-UA"/>
        </w:rPr>
        <w:t xml:space="preserve"> </w:t>
      </w:r>
      <w:hyperlink r:id="rId29" w:history="1">
        <w:r w:rsidRPr="00720761">
          <w:rPr>
            <w:rFonts w:ascii="Gill Sans" w:hAnsi="Gill Sans" w:cs="Gill Sans"/>
            <w:color w:val="222222"/>
            <w:sz w:val="18"/>
            <w:szCs w:val="18"/>
            <w:lang w:val="uk-UA"/>
          </w:rPr>
          <w:t>http://bit.ly/2j9mGA1</w:t>
        </w:r>
      </w:hyperlink>
      <w:r w:rsidRPr="00720761">
        <w:rPr>
          <w:rFonts w:ascii="Gill Sans" w:hAnsi="Gill Sans" w:cs="Gill Sans"/>
          <w:color w:val="222222"/>
          <w:sz w:val="18"/>
          <w:szCs w:val="18"/>
          <w:lang w:val="uk-UA"/>
        </w:rPr>
        <w:t xml:space="preserve">. </w:t>
      </w:r>
    </w:p>
  </w:endnote>
  <w:endnote w:id="86">
    <w:p w14:paraId="6A3FE5A4" w14:textId="77777777" w:rsidR="00A76D00" w:rsidRPr="00720761" w:rsidRDefault="00A76D00" w:rsidP="004342F7">
      <w:pPr>
        <w:pStyle w:val="EndnoteText"/>
        <w:rPr>
          <w:szCs w:val="18"/>
          <w:lang w:val="uk-UA"/>
        </w:rPr>
      </w:pPr>
      <w:r w:rsidRPr="00720761">
        <w:rPr>
          <w:szCs w:val="18"/>
          <w:vertAlign w:val="superscript"/>
          <w:lang w:val="uk-UA"/>
        </w:rPr>
        <w:endnoteRef/>
      </w:r>
      <w:r w:rsidRPr="00720761">
        <w:rPr>
          <w:szCs w:val="18"/>
          <w:lang w:val="uk-UA"/>
        </w:rPr>
        <w:t xml:space="preserve"> </w:t>
      </w:r>
      <w:hyperlink r:id="rId30" w:history="1">
        <w:r w:rsidRPr="00720761">
          <w:rPr>
            <w:szCs w:val="18"/>
            <w:lang w:val="uk-UA"/>
          </w:rPr>
          <w:t>https://petition.president.gov.ua</w:t>
        </w:r>
      </w:hyperlink>
      <w:r w:rsidRPr="00720761">
        <w:rPr>
          <w:szCs w:val="18"/>
          <w:lang w:val="uk-UA"/>
        </w:rPr>
        <w:t xml:space="preserve">. </w:t>
      </w:r>
    </w:p>
  </w:endnote>
  <w:endnote w:id="87">
    <w:p w14:paraId="2C0D1450" w14:textId="77777777" w:rsidR="00A76D00" w:rsidRPr="00720761" w:rsidRDefault="00A76D00" w:rsidP="007D74CE">
      <w:pPr>
        <w:pStyle w:val="EndnoteText"/>
        <w:rPr>
          <w:szCs w:val="18"/>
          <w:lang w:val="uk-UA"/>
        </w:rPr>
      </w:pPr>
      <w:r w:rsidRPr="00720761">
        <w:rPr>
          <w:rStyle w:val="EndnoteReference"/>
          <w:szCs w:val="18"/>
          <w:lang w:val="uk-UA"/>
        </w:rPr>
        <w:endnoteRef/>
      </w:r>
      <w:r w:rsidRPr="00720761">
        <w:rPr>
          <w:szCs w:val="18"/>
          <w:lang w:val="uk-UA"/>
        </w:rPr>
        <w:t xml:space="preserve"> http://bit.ly/1KtKyzG.  </w:t>
      </w:r>
    </w:p>
  </w:endnote>
  <w:endnote w:id="88">
    <w:p w14:paraId="1BB80B13" w14:textId="3653861A" w:rsidR="00A76D00" w:rsidRPr="00720761" w:rsidRDefault="00A76D00" w:rsidP="00C23E3C">
      <w:pPr>
        <w:pStyle w:val="EndnoteText"/>
        <w:rPr>
          <w:szCs w:val="18"/>
          <w:lang w:val="uk-UA"/>
        </w:rPr>
      </w:pPr>
      <w:r w:rsidRPr="00720761">
        <w:rPr>
          <w:rStyle w:val="EndnoteReference"/>
          <w:szCs w:val="18"/>
          <w:lang w:val="uk-UA"/>
        </w:rPr>
        <w:endnoteRef/>
      </w:r>
      <w:r w:rsidRPr="00720761">
        <w:rPr>
          <w:szCs w:val="18"/>
          <w:lang w:val="uk-UA"/>
        </w:rPr>
        <w:t xml:space="preserve"> Механізм незалежного звітування (МНЗ), Проміжний звіт 2014-15: Україна, стор. 66-67.</w:t>
      </w:r>
    </w:p>
  </w:endnote>
  <w:endnote w:id="89">
    <w:p w14:paraId="6C1FFCD2" w14:textId="23842B56" w:rsidR="00A76D00" w:rsidRPr="00720761" w:rsidRDefault="00A76D00" w:rsidP="007B7E4D">
      <w:pPr>
        <w:pStyle w:val="EndnoteText"/>
        <w:rPr>
          <w:szCs w:val="18"/>
          <w:lang w:val="uk-UA"/>
        </w:rPr>
      </w:pPr>
      <w:r w:rsidRPr="00720761">
        <w:rPr>
          <w:rStyle w:val="EndnoteReference"/>
          <w:szCs w:val="18"/>
          <w:lang w:val="uk-UA"/>
        </w:rPr>
        <w:endnoteRef/>
      </w:r>
      <w:r w:rsidRPr="00720761">
        <w:rPr>
          <w:szCs w:val="18"/>
          <w:lang w:val="uk-UA"/>
        </w:rPr>
        <w:t xml:space="preserve"> Там само, стор. 66.</w:t>
      </w:r>
    </w:p>
  </w:endnote>
  <w:endnote w:id="90">
    <w:p w14:paraId="030CBEBA" w14:textId="77777777" w:rsidR="00A76D00" w:rsidRPr="00720761" w:rsidRDefault="00A76D00" w:rsidP="00CB48C7">
      <w:pPr>
        <w:pStyle w:val="EndnoteText"/>
        <w:rPr>
          <w:szCs w:val="18"/>
          <w:lang w:val="uk-UA"/>
        </w:rPr>
      </w:pPr>
      <w:r w:rsidRPr="00720761">
        <w:rPr>
          <w:rStyle w:val="EndnoteReference"/>
          <w:szCs w:val="18"/>
          <w:lang w:val="uk-UA"/>
        </w:rPr>
        <w:endnoteRef/>
      </w:r>
      <w:r w:rsidRPr="00720761">
        <w:rPr>
          <w:szCs w:val="18"/>
          <w:lang w:val="uk-UA"/>
        </w:rPr>
        <w:t xml:space="preserve"> http://bit.ly/1MwZ63f. </w:t>
      </w:r>
    </w:p>
  </w:endnote>
  <w:endnote w:id="91">
    <w:p w14:paraId="6988157F" w14:textId="61AEE5DA" w:rsidR="00A76D00" w:rsidRPr="00720761" w:rsidRDefault="00A76D00" w:rsidP="00CB48C7">
      <w:pPr>
        <w:pStyle w:val="EndnoteText"/>
        <w:rPr>
          <w:szCs w:val="18"/>
          <w:lang w:val="uk-UA"/>
        </w:rPr>
      </w:pPr>
      <w:r w:rsidRPr="00720761">
        <w:rPr>
          <w:rStyle w:val="EndnoteReference"/>
          <w:szCs w:val="18"/>
          <w:lang w:val="uk-UA"/>
        </w:rPr>
        <w:endnoteRef/>
      </w:r>
      <w:r w:rsidRPr="00720761">
        <w:rPr>
          <w:szCs w:val="18"/>
          <w:lang w:val="uk-UA"/>
        </w:rPr>
        <w:t xml:space="preserve"> Механізм незалежного звітування (МНЗ), Проміжний звіт 2014-15: Україна, стор. 68.</w:t>
      </w:r>
    </w:p>
  </w:endnote>
  <w:endnote w:id="92">
    <w:p w14:paraId="4960B41C" w14:textId="77777777" w:rsidR="00A76D00" w:rsidRPr="00720761" w:rsidRDefault="00A76D00" w:rsidP="00D05985">
      <w:pPr>
        <w:rPr>
          <w:rFonts w:ascii="Gill Sans" w:hAnsi="Gill Sans" w:cs="Gill Sans"/>
          <w:color w:val="222222"/>
          <w:sz w:val="18"/>
          <w:szCs w:val="18"/>
          <w:lang w:val="uk-UA"/>
        </w:rPr>
      </w:pPr>
      <w:r w:rsidRPr="00720761">
        <w:rPr>
          <w:rFonts w:ascii="Gill Sans" w:hAnsi="Gill Sans" w:cs="Gill Sans"/>
          <w:color w:val="222222"/>
          <w:sz w:val="18"/>
          <w:szCs w:val="18"/>
          <w:vertAlign w:val="superscript"/>
          <w:lang w:val="uk-UA"/>
        </w:rPr>
        <w:endnoteRef/>
      </w:r>
      <w:r w:rsidRPr="00720761">
        <w:rPr>
          <w:rFonts w:ascii="Gill Sans" w:hAnsi="Gill Sans" w:cs="Gill Sans"/>
          <w:color w:val="222222"/>
          <w:sz w:val="18"/>
          <w:szCs w:val="18"/>
          <w:lang w:val="uk-UA"/>
        </w:rPr>
        <w:t xml:space="preserve"> </w:t>
      </w:r>
      <w:hyperlink r:id="rId31" w:history="1">
        <w:r w:rsidRPr="00720761">
          <w:rPr>
            <w:rFonts w:ascii="Gill Sans" w:hAnsi="Gill Sans" w:cs="Gill Sans"/>
            <w:color w:val="222222"/>
            <w:sz w:val="18"/>
            <w:szCs w:val="18"/>
            <w:lang w:val="uk-UA"/>
          </w:rPr>
          <w:t>http://bit.ly/2jadLON</w:t>
        </w:r>
      </w:hyperlink>
      <w:r w:rsidRPr="00720761">
        <w:rPr>
          <w:rFonts w:ascii="Gill Sans" w:hAnsi="Gill Sans" w:cs="Gill Sans"/>
          <w:color w:val="222222"/>
          <w:sz w:val="18"/>
          <w:szCs w:val="18"/>
          <w:lang w:val="uk-UA"/>
        </w:rPr>
        <w:t xml:space="preserve">. </w:t>
      </w:r>
    </w:p>
  </w:endnote>
  <w:endnote w:id="93">
    <w:p w14:paraId="7082507D" w14:textId="77777777" w:rsidR="00A76D00" w:rsidRPr="00720761" w:rsidRDefault="00A76D00" w:rsidP="00D05985">
      <w:pPr>
        <w:rPr>
          <w:rFonts w:ascii="Gill Sans" w:hAnsi="Gill Sans" w:cs="Gill Sans"/>
          <w:color w:val="222222"/>
          <w:sz w:val="18"/>
          <w:szCs w:val="18"/>
          <w:lang w:val="uk-UA"/>
        </w:rPr>
      </w:pPr>
      <w:r w:rsidRPr="00720761">
        <w:rPr>
          <w:rFonts w:ascii="Gill Sans" w:hAnsi="Gill Sans" w:cs="Gill Sans"/>
          <w:color w:val="222222"/>
          <w:sz w:val="18"/>
          <w:szCs w:val="18"/>
          <w:vertAlign w:val="superscript"/>
          <w:lang w:val="uk-UA"/>
        </w:rPr>
        <w:endnoteRef/>
      </w:r>
      <w:r w:rsidRPr="00720761">
        <w:rPr>
          <w:rFonts w:ascii="Gill Sans" w:hAnsi="Gill Sans" w:cs="Gill Sans"/>
          <w:color w:val="222222"/>
          <w:sz w:val="18"/>
          <w:szCs w:val="18"/>
          <w:lang w:val="uk-UA"/>
        </w:rPr>
        <w:t xml:space="preserve"> </w:t>
      </w:r>
      <w:hyperlink r:id="rId32" w:history="1">
        <w:r w:rsidRPr="00720761">
          <w:rPr>
            <w:rFonts w:ascii="Gill Sans" w:hAnsi="Gill Sans" w:cs="Gill Sans"/>
            <w:color w:val="222222"/>
            <w:sz w:val="18"/>
            <w:szCs w:val="18"/>
            <w:lang w:val="uk-UA"/>
          </w:rPr>
          <w:t>http://bit.ly/2iEA9g8</w:t>
        </w:r>
      </w:hyperlink>
      <w:r w:rsidRPr="00720761">
        <w:rPr>
          <w:rFonts w:ascii="Gill Sans" w:hAnsi="Gill Sans" w:cs="Gill Sans"/>
          <w:color w:val="222222"/>
          <w:sz w:val="18"/>
          <w:szCs w:val="18"/>
          <w:lang w:val="uk-UA"/>
        </w:rPr>
        <w:t xml:space="preserve">. </w:t>
      </w:r>
    </w:p>
  </w:endnote>
  <w:endnote w:id="94">
    <w:p w14:paraId="72016E87" w14:textId="77777777" w:rsidR="00A76D00" w:rsidRPr="00720761" w:rsidRDefault="00A76D00" w:rsidP="00D05985">
      <w:pPr>
        <w:rPr>
          <w:rFonts w:ascii="Gill Sans" w:hAnsi="Gill Sans" w:cs="Gill Sans"/>
          <w:color w:val="222222"/>
          <w:sz w:val="18"/>
          <w:szCs w:val="18"/>
          <w:lang w:val="uk-UA"/>
        </w:rPr>
      </w:pPr>
      <w:r w:rsidRPr="00720761">
        <w:rPr>
          <w:rFonts w:ascii="Gill Sans" w:hAnsi="Gill Sans" w:cs="Gill Sans"/>
          <w:color w:val="222222"/>
          <w:sz w:val="18"/>
          <w:szCs w:val="18"/>
          <w:vertAlign w:val="superscript"/>
          <w:lang w:val="uk-UA"/>
        </w:rPr>
        <w:endnoteRef/>
      </w:r>
      <w:r w:rsidRPr="00720761">
        <w:rPr>
          <w:rFonts w:ascii="Gill Sans" w:hAnsi="Gill Sans" w:cs="Gill Sans"/>
          <w:color w:val="222222"/>
          <w:sz w:val="18"/>
          <w:szCs w:val="18"/>
          <w:lang w:val="uk-UA"/>
        </w:rPr>
        <w:t xml:space="preserve"> </w:t>
      </w:r>
      <w:hyperlink r:id="rId33" w:history="1">
        <w:r w:rsidRPr="00720761">
          <w:rPr>
            <w:rStyle w:val="Hyperlink"/>
            <w:rFonts w:ascii="Gill Sans" w:hAnsi="Gill Sans" w:cs="Gill Sans"/>
            <w:sz w:val="18"/>
            <w:szCs w:val="18"/>
            <w:lang w:val="uk-UA"/>
          </w:rPr>
          <w:t>http://bit.ly/1XnhtPa</w:t>
        </w:r>
      </w:hyperlink>
      <w:r w:rsidRPr="00720761">
        <w:rPr>
          <w:rFonts w:ascii="Gill Sans" w:hAnsi="Gill Sans" w:cs="Gill Sans"/>
          <w:color w:val="222222"/>
          <w:sz w:val="18"/>
          <w:szCs w:val="18"/>
          <w:lang w:val="uk-UA"/>
        </w:rPr>
        <w:t xml:space="preserve">. </w:t>
      </w:r>
    </w:p>
  </w:endnote>
  <w:endnote w:id="95">
    <w:p w14:paraId="5F8393D4" w14:textId="77777777" w:rsidR="00A76D00" w:rsidRPr="00720761" w:rsidRDefault="00A76D00" w:rsidP="00C179AD">
      <w:pPr>
        <w:pStyle w:val="EndnoteText"/>
        <w:rPr>
          <w:szCs w:val="18"/>
          <w:lang w:val="uk-UA"/>
        </w:rPr>
      </w:pPr>
      <w:r w:rsidRPr="00720761">
        <w:rPr>
          <w:rStyle w:val="EndnoteReference"/>
          <w:szCs w:val="18"/>
          <w:lang w:val="uk-UA"/>
        </w:rPr>
        <w:endnoteRef/>
      </w:r>
      <w:r w:rsidRPr="00720761">
        <w:rPr>
          <w:szCs w:val="18"/>
          <w:lang w:val="uk-UA"/>
        </w:rPr>
        <w:t xml:space="preserve"> Data.gov.ua. </w:t>
      </w:r>
    </w:p>
  </w:endnote>
  <w:endnote w:id="96">
    <w:p w14:paraId="30B02F9A" w14:textId="77777777" w:rsidR="00A76D00" w:rsidRPr="00720761" w:rsidRDefault="00A76D00" w:rsidP="00C179AD">
      <w:pPr>
        <w:pStyle w:val="EndnoteText"/>
        <w:rPr>
          <w:szCs w:val="18"/>
          <w:lang w:val="uk-UA"/>
        </w:rPr>
      </w:pPr>
      <w:r w:rsidRPr="00720761">
        <w:rPr>
          <w:szCs w:val="18"/>
          <w:vertAlign w:val="superscript"/>
          <w:lang w:val="uk-UA"/>
        </w:rPr>
        <w:endnoteRef/>
      </w:r>
      <w:r w:rsidRPr="00720761">
        <w:rPr>
          <w:szCs w:val="18"/>
          <w:lang w:val="uk-UA"/>
        </w:rPr>
        <w:t xml:space="preserve"> </w:t>
      </w:r>
      <w:hyperlink r:id="rId34" w:history="1">
        <w:r w:rsidRPr="00720761">
          <w:rPr>
            <w:szCs w:val="18"/>
            <w:lang w:val="uk-UA"/>
          </w:rPr>
          <w:t>http://bit.ly/2hTrLux</w:t>
        </w:r>
      </w:hyperlink>
      <w:r w:rsidRPr="00720761">
        <w:rPr>
          <w:szCs w:val="18"/>
          <w:lang w:val="uk-UA"/>
        </w:rPr>
        <w:t>.</w:t>
      </w:r>
    </w:p>
  </w:endnote>
  <w:endnote w:id="97">
    <w:p w14:paraId="6043C017" w14:textId="77777777" w:rsidR="00A76D00" w:rsidRPr="00720761" w:rsidRDefault="00A76D00" w:rsidP="00C179AD">
      <w:pPr>
        <w:rPr>
          <w:rFonts w:ascii="Gill Sans" w:hAnsi="Gill Sans" w:cs="Gill Sans"/>
          <w:color w:val="222222"/>
          <w:sz w:val="18"/>
          <w:szCs w:val="18"/>
          <w:lang w:val="uk-UA"/>
        </w:rPr>
      </w:pPr>
      <w:r w:rsidRPr="00720761">
        <w:rPr>
          <w:rFonts w:ascii="Gill Sans" w:hAnsi="Gill Sans" w:cs="Gill Sans"/>
          <w:color w:val="222222"/>
          <w:sz w:val="18"/>
          <w:szCs w:val="18"/>
          <w:vertAlign w:val="superscript"/>
          <w:lang w:val="uk-UA"/>
        </w:rPr>
        <w:endnoteRef/>
      </w:r>
      <w:r w:rsidRPr="00720761">
        <w:rPr>
          <w:rFonts w:ascii="Gill Sans" w:hAnsi="Gill Sans" w:cs="Gill Sans"/>
          <w:color w:val="222222"/>
          <w:sz w:val="18"/>
          <w:szCs w:val="18"/>
          <w:lang w:val="uk-UA"/>
        </w:rPr>
        <w:t xml:space="preserve"> </w:t>
      </w:r>
      <w:hyperlink r:id="rId35" w:history="1">
        <w:r w:rsidRPr="00720761">
          <w:rPr>
            <w:rFonts w:ascii="Gill Sans" w:hAnsi="Gill Sans" w:cs="Gill Sans"/>
            <w:color w:val="222222"/>
            <w:sz w:val="18"/>
            <w:szCs w:val="18"/>
            <w:lang w:val="uk-UA"/>
          </w:rPr>
          <w:t>http://bit.ly/2j5vzqg</w:t>
        </w:r>
      </w:hyperlink>
      <w:r w:rsidRPr="00720761">
        <w:rPr>
          <w:rFonts w:ascii="Gill Sans" w:hAnsi="Gill Sans" w:cs="Gill Sans"/>
          <w:color w:val="222222"/>
          <w:sz w:val="18"/>
          <w:szCs w:val="18"/>
          <w:lang w:val="uk-UA"/>
        </w:rPr>
        <w:t xml:space="preserve">. </w:t>
      </w:r>
    </w:p>
  </w:endnote>
  <w:endnote w:id="98">
    <w:p w14:paraId="67DF8306" w14:textId="77777777" w:rsidR="00A76D00" w:rsidRPr="00720761" w:rsidRDefault="00A76D00" w:rsidP="00C179AD">
      <w:pPr>
        <w:rPr>
          <w:rFonts w:ascii="Gill Sans" w:eastAsia="Times New Roman" w:hAnsi="Gill Sans" w:cs="Gill Sans"/>
          <w:sz w:val="18"/>
          <w:szCs w:val="18"/>
          <w:lang w:val="uk-UA"/>
        </w:rPr>
      </w:pPr>
      <w:r w:rsidRPr="00720761">
        <w:rPr>
          <w:rFonts w:ascii="Gill Sans" w:hAnsi="Gill Sans" w:cs="Gill Sans"/>
          <w:color w:val="222222"/>
          <w:sz w:val="18"/>
          <w:szCs w:val="18"/>
          <w:vertAlign w:val="superscript"/>
          <w:lang w:val="uk-UA"/>
        </w:rPr>
        <w:endnoteRef/>
      </w:r>
      <w:r w:rsidRPr="00720761">
        <w:rPr>
          <w:rFonts w:ascii="Gill Sans" w:hAnsi="Gill Sans" w:cs="Gill Sans"/>
          <w:color w:val="222222"/>
          <w:sz w:val="18"/>
          <w:szCs w:val="18"/>
          <w:lang w:val="uk-UA"/>
        </w:rPr>
        <w:t xml:space="preserve"> </w:t>
      </w:r>
      <w:hyperlink r:id="rId36" w:history="1">
        <w:r w:rsidRPr="00720761">
          <w:rPr>
            <w:rFonts w:ascii="Gill Sans" w:hAnsi="Gill Sans" w:cs="Gill Sans"/>
            <w:color w:val="222222"/>
            <w:sz w:val="18"/>
            <w:szCs w:val="18"/>
            <w:lang w:val="uk-UA"/>
          </w:rPr>
          <w:t>http://bit.ly/2iJ8qgz</w:t>
        </w:r>
      </w:hyperlink>
      <w:r w:rsidRPr="00720761">
        <w:rPr>
          <w:rFonts w:ascii="Gill Sans" w:hAnsi="Gill Sans" w:cs="Gill Sans"/>
          <w:color w:val="222222"/>
          <w:sz w:val="18"/>
          <w:szCs w:val="18"/>
          <w:lang w:val="uk-UA"/>
        </w:rPr>
        <w:t xml:space="preserve">. </w:t>
      </w:r>
    </w:p>
  </w:endnote>
  <w:endnote w:id="99">
    <w:p w14:paraId="3767A9E3" w14:textId="77777777" w:rsidR="00A76D00" w:rsidRPr="00720761" w:rsidRDefault="00A76D00" w:rsidP="006F38CF">
      <w:pPr>
        <w:pStyle w:val="EndnoteText"/>
        <w:rPr>
          <w:szCs w:val="18"/>
          <w:lang w:val="uk-UA"/>
        </w:rPr>
      </w:pPr>
      <w:r w:rsidRPr="00720761">
        <w:rPr>
          <w:rStyle w:val="EndnoteReference"/>
          <w:szCs w:val="18"/>
          <w:lang w:val="uk-UA"/>
        </w:rPr>
        <w:endnoteRef/>
      </w:r>
      <w:r w:rsidRPr="00720761">
        <w:rPr>
          <w:szCs w:val="18"/>
          <w:lang w:val="uk-UA"/>
        </w:rPr>
        <w:t xml:space="preserve"> http://bit.ly/1jYVTlV. </w:t>
      </w:r>
    </w:p>
  </w:endnote>
  <w:endnote w:id="100">
    <w:p w14:paraId="3941B101" w14:textId="3E150E0F" w:rsidR="00A76D00" w:rsidRPr="00720761" w:rsidRDefault="00A76D00" w:rsidP="006F38CF">
      <w:pPr>
        <w:pStyle w:val="EndnoteText"/>
        <w:rPr>
          <w:szCs w:val="18"/>
          <w:lang w:val="uk-UA"/>
        </w:rPr>
      </w:pPr>
      <w:r w:rsidRPr="00720761">
        <w:rPr>
          <w:rStyle w:val="EndnoteReference"/>
          <w:szCs w:val="18"/>
          <w:lang w:val="uk-UA"/>
        </w:rPr>
        <w:endnoteRef/>
      </w:r>
      <w:r w:rsidRPr="00720761">
        <w:rPr>
          <w:szCs w:val="18"/>
          <w:lang w:val="uk-UA"/>
        </w:rPr>
        <w:t xml:space="preserve"> Механізм незалежного звітування (МНЗ), Проміжний звіт 2014-15: Україна, стор. 73.</w:t>
      </w:r>
    </w:p>
  </w:endnote>
  <w:endnote w:id="101">
    <w:p w14:paraId="26049374" w14:textId="159CB3F1" w:rsidR="00A76D00" w:rsidRPr="00720761" w:rsidRDefault="00A76D00" w:rsidP="008F23C2">
      <w:pPr>
        <w:pStyle w:val="EndnoteText"/>
        <w:rPr>
          <w:szCs w:val="18"/>
          <w:lang w:val="uk-UA"/>
        </w:rPr>
      </w:pPr>
      <w:r w:rsidRPr="00720761">
        <w:rPr>
          <w:rStyle w:val="EndnoteReference"/>
          <w:szCs w:val="18"/>
          <w:lang w:val="uk-UA"/>
        </w:rPr>
        <w:endnoteRef/>
      </w:r>
      <w:r w:rsidRPr="00720761">
        <w:rPr>
          <w:szCs w:val="18"/>
          <w:lang w:val="uk-UA"/>
        </w:rPr>
        <w:t xml:space="preserve"> Там само, стор. 73.</w:t>
      </w:r>
    </w:p>
  </w:endnote>
  <w:endnote w:id="102">
    <w:p w14:paraId="555C5F33" w14:textId="72E37990" w:rsidR="00A76D00" w:rsidRPr="00720761" w:rsidRDefault="00A76D00" w:rsidP="007919CD">
      <w:pPr>
        <w:rPr>
          <w:rFonts w:ascii="Gill Sans" w:eastAsia="Times New Roman" w:hAnsi="Gill Sans" w:cs="Gill Sans"/>
          <w:sz w:val="18"/>
          <w:szCs w:val="18"/>
          <w:lang w:val="uk-UA"/>
        </w:rPr>
      </w:pPr>
      <w:r w:rsidRPr="00720761">
        <w:rPr>
          <w:rFonts w:ascii="Gill Sans" w:hAnsi="Gill Sans" w:cs="Gill Sans"/>
          <w:color w:val="222222"/>
          <w:sz w:val="18"/>
          <w:szCs w:val="18"/>
          <w:vertAlign w:val="superscript"/>
          <w:lang w:val="uk-UA"/>
        </w:rPr>
        <w:endnoteRef/>
      </w:r>
      <w:r w:rsidRPr="00720761">
        <w:rPr>
          <w:rFonts w:ascii="Gill Sans" w:hAnsi="Gill Sans" w:cs="Gill Sans"/>
          <w:color w:val="222222"/>
          <w:sz w:val="18"/>
          <w:szCs w:val="18"/>
          <w:lang w:val="uk-UA"/>
        </w:rPr>
        <w:t xml:space="preserve"> </w:t>
      </w:r>
      <w:hyperlink r:id="rId37" w:history="1">
        <w:r w:rsidRPr="00720761">
          <w:rPr>
            <w:rFonts w:ascii="Gill Sans" w:hAnsi="Gill Sans" w:cs="Gill Sans"/>
            <w:color w:val="222222"/>
            <w:sz w:val="18"/>
            <w:szCs w:val="18"/>
            <w:lang w:val="uk-UA"/>
          </w:rPr>
          <w:t>http://bit.ly/2ifuWKH</w:t>
        </w:r>
      </w:hyperlink>
      <w:r w:rsidRPr="00720761">
        <w:rPr>
          <w:rFonts w:ascii="Gill Sans" w:hAnsi="Gill Sans" w:cs="Gill Sans"/>
          <w:color w:val="222222"/>
          <w:sz w:val="18"/>
          <w:szCs w:val="18"/>
          <w:lang w:val="uk-UA"/>
        </w:rPr>
        <w:t>.</w:t>
      </w:r>
      <w:r w:rsidRPr="00720761">
        <w:rPr>
          <w:rFonts w:ascii="Gill Sans" w:eastAsia="Times New Roman" w:hAnsi="Gill Sans" w:cs="Gill Sans"/>
          <w:color w:val="A3AAAE"/>
          <w:sz w:val="18"/>
          <w:szCs w:val="18"/>
          <w:lang w:val="uk-UA"/>
        </w:rPr>
        <w:t xml:space="preserve"> </w:t>
      </w:r>
    </w:p>
  </w:endnote>
  <w:endnote w:id="103">
    <w:p w14:paraId="6BB8A9E0" w14:textId="7010B68A" w:rsidR="00A76D00" w:rsidRPr="00720761" w:rsidRDefault="00A76D00" w:rsidP="00F945A2">
      <w:pPr>
        <w:pStyle w:val="EndnoteText"/>
        <w:rPr>
          <w:szCs w:val="18"/>
          <w:lang w:val="uk-UA"/>
        </w:rPr>
      </w:pPr>
      <w:r w:rsidRPr="00720761">
        <w:rPr>
          <w:rStyle w:val="EndnoteReference"/>
          <w:szCs w:val="18"/>
          <w:lang w:val="uk-UA"/>
        </w:rPr>
        <w:endnoteRef/>
      </w:r>
      <w:r w:rsidRPr="00720761">
        <w:rPr>
          <w:szCs w:val="18"/>
          <w:lang w:val="uk-UA"/>
        </w:rPr>
        <w:t xml:space="preserve"> </w:t>
      </w:r>
      <w:r w:rsidR="00CF0F13" w:rsidRPr="00720761">
        <w:rPr>
          <w:szCs w:val="18"/>
          <w:lang w:val="uk-UA"/>
        </w:rPr>
        <w:t xml:space="preserve">Механізм незалежного звітування (МНЗ), Проміжний звіт 2014-15: Україна, стор. </w:t>
      </w:r>
      <w:r w:rsidRPr="00720761">
        <w:rPr>
          <w:szCs w:val="18"/>
          <w:lang w:val="uk-UA"/>
        </w:rPr>
        <w:t>69.</w:t>
      </w:r>
    </w:p>
  </w:endnote>
  <w:endnote w:id="104">
    <w:p w14:paraId="0E3E544E" w14:textId="2F023200" w:rsidR="00A76D00" w:rsidRPr="00720761" w:rsidRDefault="00A76D00" w:rsidP="004772A5">
      <w:pPr>
        <w:pStyle w:val="EndnoteText"/>
        <w:rPr>
          <w:szCs w:val="18"/>
          <w:lang w:val="uk-UA"/>
        </w:rPr>
      </w:pPr>
      <w:r w:rsidRPr="00720761">
        <w:rPr>
          <w:rStyle w:val="EndnoteReference"/>
          <w:szCs w:val="18"/>
          <w:lang w:val="uk-UA"/>
        </w:rPr>
        <w:endnoteRef/>
      </w:r>
      <w:r w:rsidRPr="00720761">
        <w:rPr>
          <w:szCs w:val="18"/>
          <w:lang w:val="uk-UA"/>
        </w:rPr>
        <w:t xml:space="preserve"> </w:t>
      </w:r>
      <w:r w:rsidR="00CF0F13" w:rsidRPr="00720761">
        <w:rPr>
          <w:szCs w:val="18"/>
          <w:lang w:val="uk-UA"/>
        </w:rPr>
        <w:t>Там само</w:t>
      </w:r>
      <w:r w:rsidRPr="00720761">
        <w:rPr>
          <w:szCs w:val="18"/>
          <w:lang w:val="uk-UA"/>
        </w:rPr>
        <w:t xml:space="preserve">, </w:t>
      </w:r>
      <w:r w:rsidR="00CF0F13" w:rsidRPr="00720761">
        <w:rPr>
          <w:szCs w:val="18"/>
          <w:lang w:val="uk-UA"/>
        </w:rPr>
        <w:t xml:space="preserve">стор. </w:t>
      </w:r>
      <w:r w:rsidRPr="00720761">
        <w:rPr>
          <w:szCs w:val="18"/>
          <w:lang w:val="uk-UA"/>
        </w:rPr>
        <w:t>69.</w:t>
      </w:r>
    </w:p>
  </w:endnote>
  <w:endnote w:id="105">
    <w:p w14:paraId="40440063" w14:textId="6744EC5E" w:rsidR="00A76D00" w:rsidRPr="00720761" w:rsidRDefault="00A76D00" w:rsidP="00CF0F13">
      <w:pPr>
        <w:rPr>
          <w:rFonts w:ascii="Gill Sans" w:eastAsia="Times New Roman" w:hAnsi="Gill Sans" w:cs="Gill Sans"/>
          <w:sz w:val="18"/>
          <w:szCs w:val="18"/>
          <w:lang w:val="uk-UA"/>
        </w:rPr>
      </w:pPr>
      <w:r w:rsidRPr="00720761">
        <w:rPr>
          <w:rStyle w:val="EndnoteReference"/>
          <w:rFonts w:ascii="Gill Sans" w:hAnsi="Gill Sans" w:cs="Gill Sans"/>
          <w:sz w:val="18"/>
          <w:szCs w:val="18"/>
          <w:lang w:val="uk-UA"/>
        </w:rPr>
        <w:endnoteRef/>
      </w:r>
      <w:r w:rsidRPr="00720761">
        <w:rPr>
          <w:rFonts w:ascii="Gill Sans" w:hAnsi="Gill Sans" w:cs="Gill Sans"/>
          <w:sz w:val="18"/>
          <w:szCs w:val="18"/>
          <w:lang w:val="uk-UA"/>
        </w:rPr>
        <w:t xml:space="preserve"> </w:t>
      </w:r>
      <w:r w:rsidR="00CF0F13" w:rsidRPr="00720761">
        <w:rPr>
          <w:rFonts w:ascii="Gill Sans" w:hAnsi="Gill Sans" w:cs="Gill Sans"/>
          <w:sz w:val="18"/>
          <w:szCs w:val="18"/>
          <w:lang w:val="uk-UA"/>
        </w:rPr>
        <w:t xml:space="preserve">Розпорядження від </w:t>
      </w:r>
      <w:r w:rsidRPr="00720761">
        <w:rPr>
          <w:rFonts w:ascii="Gill Sans" w:hAnsi="Gill Sans" w:cs="Gill Sans"/>
          <w:sz w:val="18"/>
          <w:szCs w:val="18"/>
          <w:lang w:val="uk-UA"/>
        </w:rPr>
        <w:t xml:space="preserve">14 </w:t>
      </w:r>
      <w:r w:rsidR="00CF0F13" w:rsidRPr="00720761">
        <w:rPr>
          <w:rFonts w:ascii="Gill Sans" w:hAnsi="Gill Sans" w:cs="Gill Sans"/>
          <w:sz w:val="18"/>
          <w:szCs w:val="18"/>
          <w:lang w:val="uk-UA"/>
        </w:rPr>
        <w:t xml:space="preserve">вересня </w:t>
      </w:r>
      <w:r w:rsidRPr="00720761">
        <w:rPr>
          <w:rFonts w:ascii="Gill Sans" w:hAnsi="Gill Sans" w:cs="Gill Sans"/>
          <w:sz w:val="18"/>
          <w:szCs w:val="18"/>
          <w:lang w:val="uk-UA"/>
        </w:rPr>
        <w:t xml:space="preserve">2015 </w:t>
      </w:r>
      <w:r w:rsidR="00CF0F13" w:rsidRPr="00720761">
        <w:rPr>
          <w:rFonts w:ascii="Gill Sans" w:hAnsi="Gill Sans" w:cs="Gill Sans"/>
          <w:sz w:val="18"/>
          <w:szCs w:val="18"/>
          <w:lang w:val="uk-UA"/>
        </w:rPr>
        <w:t xml:space="preserve">року № </w:t>
      </w:r>
      <w:r w:rsidRPr="00720761">
        <w:rPr>
          <w:rFonts w:ascii="Gill Sans" w:hAnsi="Gill Sans" w:cs="Gill Sans"/>
          <w:sz w:val="18"/>
          <w:szCs w:val="18"/>
          <w:lang w:val="uk-UA"/>
        </w:rPr>
        <w:t xml:space="preserve">911 </w:t>
      </w:r>
      <w:r w:rsidR="00CF0F13" w:rsidRPr="00720761">
        <w:rPr>
          <w:rFonts w:ascii="Gill Sans" w:hAnsi="Gill Sans" w:cs="Gill Sans"/>
          <w:sz w:val="18"/>
          <w:szCs w:val="18"/>
          <w:lang w:val="uk-UA"/>
        </w:rPr>
        <w:t xml:space="preserve">щодо </w:t>
      </w:r>
      <w:r w:rsidR="00CF0F13" w:rsidRPr="00720761">
        <w:rPr>
          <w:rFonts w:ascii="Gill Sans" w:hAnsi="Gill Sans" w:cs="Gill Sans"/>
          <w:sz w:val="18"/>
          <w:szCs w:val="18"/>
          <w:lang w:val="uk-UA"/>
        </w:rPr>
        <w:t>створення і функціонування єдиного </w:t>
      </w:r>
      <w:r w:rsidR="00CF0F13" w:rsidRPr="00720761">
        <w:rPr>
          <w:rFonts w:ascii="Gill Sans" w:hAnsi="Gill Sans" w:cs="Gill Sans"/>
          <w:sz w:val="18"/>
          <w:szCs w:val="18"/>
          <w:lang w:val="uk-UA"/>
        </w:rPr>
        <w:br/>
        <w:t>веб-порталу використання публічних коштів</w:t>
      </w:r>
      <w:r w:rsidRPr="00720761">
        <w:rPr>
          <w:rFonts w:ascii="Gill Sans" w:hAnsi="Gill Sans" w:cs="Gill Sans"/>
          <w:sz w:val="18"/>
          <w:szCs w:val="18"/>
          <w:lang w:val="uk-UA"/>
        </w:rPr>
        <w:t xml:space="preserve">, http://bit.ly/1KQGltn; </w:t>
      </w:r>
      <w:r w:rsidR="00506FF5">
        <w:rPr>
          <w:rFonts w:ascii="Gill Sans" w:hAnsi="Gill Sans" w:cs="Gill Sans"/>
          <w:sz w:val="18"/>
          <w:szCs w:val="18"/>
          <w:lang w:val="uk-UA"/>
        </w:rPr>
        <w:t>п</w:t>
      </w:r>
      <w:r w:rsidR="00CF0F13" w:rsidRPr="00720761">
        <w:rPr>
          <w:rFonts w:ascii="Gill Sans" w:hAnsi="Gill Sans" w:cs="Gill Sans"/>
          <w:sz w:val="18"/>
          <w:szCs w:val="18"/>
          <w:lang w:val="uk-UA"/>
        </w:rPr>
        <w:t xml:space="preserve">останова від </w:t>
      </w:r>
      <w:r w:rsidRPr="00720761">
        <w:rPr>
          <w:rFonts w:ascii="Gill Sans" w:hAnsi="Gill Sans" w:cs="Gill Sans"/>
          <w:sz w:val="18"/>
          <w:szCs w:val="18"/>
          <w:lang w:val="uk-UA"/>
        </w:rPr>
        <w:t xml:space="preserve">14 </w:t>
      </w:r>
      <w:r w:rsidR="00CF0F13" w:rsidRPr="00720761">
        <w:rPr>
          <w:rFonts w:ascii="Gill Sans" w:hAnsi="Gill Sans" w:cs="Gill Sans"/>
          <w:sz w:val="18"/>
          <w:szCs w:val="18"/>
          <w:lang w:val="uk-UA"/>
        </w:rPr>
        <w:t xml:space="preserve">вересня </w:t>
      </w:r>
      <w:r w:rsidRPr="00720761">
        <w:rPr>
          <w:rFonts w:ascii="Gill Sans" w:hAnsi="Gill Sans" w:cs="Gill Sans"/>
          <w:sz w:val="18"/>
          <w:szCs w:val="18"/>
          <w:lang w:val="uk-UA"/>
        </w:rPr>
        <w:t xml:space="preserve">2015 </w:t>
      </w:r>
      <w:r w:rsidR="00CF0F13" w:rsidRPr="00720761">
        <w:rPr>
          <w:rFonts w:ascii="Gill Sans" w:hAnsi="Gill Sans" w:cs="Gill Sans"/>
          <w:sz w:val="18"/>
          <w:szCs w:val="18"/>
          <w:lang w:val="uk-UA"/>
        </w:rPr>
        <w:t xml:space="preserve">року № </w:t>
      </w:r>
      <w:r w:rsidRPr="00720761">
        <w:rPr>
          <w:rFonts w:ascii="Gill Sans" w:hAnsi="Gill Sans" w:cs="Gill Sans"/>
          <w:sz w:val="18"/>
          <w:szCs w:val="18"/>
          <w:lang w:val="uk-UA"/>
        </w:rPr>
        <w:t xml:space="preserve">694 </w:t>
      </w:r>
      <w:r w:rsidR="00CF0F13" w:rsidRPr="00720761">
        <w:rPr>
          <w:rFonts w:ascii="Gill Sans" w:hAnsi="Gill Sans" w:cs="Gill Sans"/>
          <w:sz w:val="18"/>
          <w:szCs w:val="18"/>
          <w:lang w:val="uk-UA"/>
        </w:rPr>
        <w:t>щодо п</w:t>
      </w:r>
      <w:r w:rsidR="00CF0F13" w:rsidRPr="00720761">
        <w:rPr>
          <w:rFonts w:ascii="Gill Sans" w:hAnsi="Gill Sans" w:cs="Gill Sans"/>
          <w:sz w:val="18"/>
          <w:szCs w:val="18"/>
          <w:lang w:val="uk-UA"/>
        </w:rPr>
        <w:t>орядку адміністрування єдиного веб-порталу використання публічних коштів</w:t>
      </w:r>
      <w:r w:rsidRPr="00720761">
        <w:rPr>
          <w:rFonts w:ascii="Gill Sans" w:hAnsi="Gill Sans" w:cs="Gill Sans"/>
          <w:sz w:val="18"/>
          <w:szCs w:val="18"/>
          <w:lang w:val="uk-UA"/>
        </w:rPr>
        <w:t xml:space="preserve">, http://bit.ly/1hfJBE4; </w:t>
      </w:r>
      <w:r w:rsidR="00CF0F13" w:rsidRPr="00720761">
        <w:rPr>
          <w:rFonts w:ascii="Gill Sans" w:hAnsi="Gill Sans" w:cs="Gill Sans"/>
          <w:sz w:val="18"/>
          <w:szCs w:val="18"/>
          <w:lang w:val="uk-UA"/>
        </w:rPr>
        <w:t xml:space="preserve">та </w:t>
      </w:r>
      <w:r w:rsidR="00506FF5">
        <w:rPr>
          <w:rFonts w:ascii="Gill Sans" w:hAnsi="Gill Sans" w:cs="Gill Sans"/>
          <w:sz w:val="18"/>
          <w:szCs w:val="18"/>
          <w:lang w:val="uk-UA"/>
        </w:rPr>
        <w:t>п</w:t>
      </w:r>
      <w:r w:rsidR="00CF0F13" w:rsidRPr="00720761">
        <w:rPr>
          <w:rFonts w:ascii="Gill Sans" w:hAnsi="Gill Sans" w:cs="Gill Sans"/>
          <w:sz w:val="18"/>
          <w:szCs w:val="18"/>
          <w:lang w:val="uk-UA"/>
        </w:rPr>
        <w:t xml:space="preserve">останова від </w:t>
      </w:r>
      <w:r w:rsidRPr="00720761">
        <w:rPr>
          <w:rFonts w:ascii="Gill Sans" w:hAnsi="Gill Sans" w:cs="Gill Sans"/>
          <w:sz w:val="18"/>
          <w:szCs w:val="18"/>
          <w:lang w:val="uk-UA"/>
        </w:rPr>
        <w:t xml:space="preserve">14 </w:t>
      </w:r>
      <w:r w:rsidR="00CF0F13" w:rsidRPr="00720761">
        <w:rPr>
          <w:rFonts w:ascii="Gill Sans" w:hAnsi="Gill Sans" w:cs="Gill Sans"/>
          <w:sz w:val="18"/>
          <w:szCs w:val="18"/>
          <w:lang w:val="uk-UA"/>
        </w:rPr>
        <w:t xml:space="preserve">вересня </w:t>
      </w:r>
      <w:r w:rsidRPr="00720761">
        <w:rPr>
          <w:rFonts w:ascii="Gill Sans" w:hAnsi="Gill Sans" w:cs="Gill Sans"/>
          <w:sz w:val="18"/>
          <w:szCs w:val="18"/>
          <w:lang w:val="uk-UA"/>
        </w:rPr>
        <w:t xml:space="preserve">2015 </w:t>
      </w:r>
      <w:r w:rsidR="00CF0F13" w:rsidRPr="00720761">
        <w:rPr>
          <w:rFonts w:ascii="Gill Sans" w:hAnsi="Gill Sans" w:cs="Gill Sans"/>
          <w:sz w:val="18"/>
          <w:szCs w:val="18"/>
          <w:lang w:val="uk-UA"/>
        </w:rPr>
        <w:t xml:space="preserve">року № </w:t>
      </w:r>
      <w:r w:rsidRPr="00720761">
        <w:rPr>
          <w:rFonts w:ascii="Gill Sans" w:hAnsi="Gill Sans" w:cs="Gill Sans"/>
          <w:sz w:val="18"/>
          <w:szCs w:val="18"/>
          <w:lang w:val="uk-UA"/>
        </w:rPr>
        <w:t xml:space="preserve">676 </w:t>
      </w:r>
      <w:r w:rsidR="00CF0F13" w:rsidRPr="00720761">
        <w:rPr>
          <w:rFonts w:ascii="Gill Sans" w:hAnsi="Gill Sans" w:cs="Gill Sans"/>
          <w:sz w:val="18"/>
          <w:szCs w:val="18"/>
          <w:lang w:val="uk-UA"/>
        </w:rPr>
        <w:t>щодо п</w:t>
      </w:r>
      <w:r w:rsidR="00CF0F13" w:rsidRPr="00720761">
        <w:rPr>
          <w:rFonts w:ascii="Gill Sans" w:hAnsi="Gill Sans" w:cs="Gill Sans"/>
          <w:sz w:val="18"/>
          <w:szCs w:val="18"/>
          <w:lang w:val="uk-UA"/>
        </w:rPr>
        <w:t>орядку оприлюднення на єдиному </w:t>
      </w:r>
      <w:r w:rsidR="00CF0F13" w:rsidRPr="00720761">
        <w:rPr>
          <w:rFonts w:ascii="Gill Sans" w:hAnsi="Gill Sans" w:cs="Gill Sans"/>
          <w:sz w:val="18"/>
          <w:szCs w:val="18"/>
          <w:lang w:val="uk-UA"/>
        </w:rPr>
        <w:t>веб-порталі</w:t>
      </w:r>
      <w:r w:rsidR="00CF0F13" w:rsidRPr="00720761">
        <w:rPr>
          <w:rFonts w:ascii="Gill Sans" w:hAnsi="Gill Sans" w:cs="Gill Sans"/>
          <w:sz w:val="18"/>
          <w:szCs w:val="18"/>
          <w:lang w:val="uk-UA"/>
        </w:rPr>
        <w:t> використання публічних</w:t>
      </w:r>
      <w:r w:rsidR="00CF0F13" w:rsidRPr="00720761">
        <w:rPr>
          <w:rFonts w:ascii="Gill Sans" w:hAnsi="Gill Sans" w:cs="Gill Sans"/>
          <w:sz w:val="18"/>
          <w:szCs w:val="18"/>
          <w:lang w:val="uk-UA"/>
        </w:rPr>
        <w:t xml:space="preserve"> </w:t>
      </w:r>
      <w:r w:rsidR="00CF0F13" w:rsidRPr="00720761">
        <w:rPr>
          <w:rFonts w:ascii="Gill Sans" w:hAnsi="Gill Sans" w:cs="Gill Sans"/>
          <w:sz w:val="18"/>
          <w:szCs w:val="18"/>
          <w:lang w:val="uk-UA"/>
        </w:rPr>
        <w:t>коштів інформації про платіжні трансакції на єдиному казначейському рахунку</w:t>
      </w:r>
      <w:r w:rsidRPr="00720761">
        <w:rPr>
          <w:rFonts w:ascii="Gill Sans" w:hAnsi="Gill Sans" w:cs="Gill Sans"/>
          <w:sz w:val="18"/>
          <w:szCs w:val="18"/>
          <w:lang w:val="uk-UA"/>
        </w:rPr>
        <w:t>, http://bit.ly/1Ocw9zf.</w:t>
      </w:r>
    </w:p>
  </w:endnote>
  <w:endnote w:id="106">
    <w:p w14:paraId="42986E64" w14:textId="0030B5FE" w:rsidR="00A76D00" w:rsidRPr="00720761" w:rsidRDefault="00A76D00" w:rsidP="002429B3">
      <w:pPr>
        <w:pStyle w:val="EndnoteText"/>
        <w:rPr>
          <w:szCs w:val="18"/>
          <w:lang w:val="uk-UA"/>
        </w:rPr>
      </w:pPr>
      <w:r w:rsidRPr="00720761">
        <w:rPr>
          <w:rStyle w:val="EndnoteReference"/>
          <w:szCs w:val="18"/>
          <w:lang w:val="uk-UA"/>
        </w:rPr>
        <w:endnoteRef/>
      </w:r>
      <w:r w:rsidRPr="00720761">
        <w:rPr>
          <w:szCs w:val="18"/>
          <w:lang w:val="uk-UA"/>
        </w:rPr>
        <w:t xml:space="preserve"> </w:t>
      </w:r>
      <w:r w:rsidR="00BE4A28" w:rsidRPr="00720761">
        <w:rPr>
          <w:szCs w:val="18"/>
          <w:lang w:val="uk-UA"/>
        </w:rPr>
        <w:t>Див. офіційне повідомлення про запуск порталу</w:t>
      </w:r>
      <w:r w:rsidRPr="00720761">
        <w:rPr>
          <w:szCs w:val="18"/>
          <w:lang w:val="uk-UA"/>
        </w:rPr>
        <w:t xml:space="preserve">: http://bit.ly/1YucqYM. </w:t>
      </w:r>
    </w:p>
  </w:endnote>
  <w:endnote w:id="107">
    <w:p w14:paraId="70B0FC71" w14:textId="77777777" w:rsidR="00A76D00" w:rsidRPr="00720761" w:rsidRDefault="00A76D00" w:rsidP="002429B3">
      <w:pPr>
        <w:pStyle w:val="EndnoteText"/>
        <w:rPr>
          <w:szCs w:val="18"/>
          <w:lang w:val="uk-UA"/>
        </w:rPr>
      </w:pPr>
      <w:r w:rsidRPr="00720761">
        <w:rPr>
          <w:rStyle w:val="EndnoteReference"/>
          <w:szCs w:val="18"/>
          <w:lang w:val="uk-UA"/>
        </w:rPr>
        <w:endnoteRef/>
      </w:r>
      <w:r w:rsidRPr="00720761">
        <w:rPr>
          <w:szCs w:val="18"/>
          <w:lang w:val="uk-UA"/>
        </w:rPr>
        <w:t xml:space="preserve"> http://openbudget.in.ua/?locale=uk.</w:t>
      </w:r>
    </w:p>
  </w:endnote>
  <w:endnote w:id="108">
    <w:p w14:paraId="12440CA1" w14:textId="212914E5" w:rsidR="00A76D00" w:rsidRPr="00720761" w:rsidRDefault="00A76D00" w:rsidP="00846486">
      <w:pPr>
        <w:pStyle w:val="EndnoteText"/>
        <w:rPr>
          <w:szCs w:val="18"/>
          <w:lang w:val="uk-UA"/>
        </w:rPr>
      </w:pPr>
      <w:r w:rsidRPr="00720761">
        <w:rPr>
          <w:rStyle w:val="EndnoteReference"/>
          <w:szCs w:val="18"/>
          <w:lang w:val="uk-UA"/>
        </w:rPr>
        <w:endnoteRef/>
      </w:r>
      <w:r w:rsidRPr="00720761">
        <w:rPr>
          <w:szCs w:val="18"/>
          <w:lang w:val="uk-UA"/>
        </w:rPr>
        <w:t xml:space="preserve"> </w:t>
      </w:r>
      <w:r w:rsidR="00BE4A28" w:rsidRPr="00720761">
        <w:rPr>
          <w:szCs w:val="18"/>
          <w:lang w:val="uk-UA"/>
        </w:rPr>
        <w:t>Інтерв’ю з Володимиром Тарнаєм</w:t>
      </w:r>
      <w:r w:rsidRPr="00720761">
        <w:rPr>
          <w:szCs w:val="18"/>
          <w:lang w:val="uk-UA"/>
        </w:rPr>
        <w:t xml:space="preserve">, </w:t>
      </w:r>
      <w:r w:rsidR="00BE4A28" w:rsidRPr="00720761">
        <w:rPr>
          <w:szCs w:val="18"/>
          <w:lang w:val="uk-UA"/>
        </w:rPr>
        <w:t>ГО “Центр політичних студій та аналітики Ейдос”</w:t>
      </w:r>
      <w:r w:rsidRPr="00720761">
        <w:rPr>
          <w:szCs w:val="18"/>
          <w:lang w:val="uk-UA"/>
        </w:rPr>
        <w:t xml:space="preserve">, 20 </w:t>
      </w:r>
      <w:r w:rsidR="00BE4A28" w:rsidRPr="00720761">
        <w:rPr>
          <w:szCs w:val="18"/>
          <w:lang w:val="uk-UA"/>
        </w:rPr>
        <w:t xml:space="preserve">червня </w:t>
      </w:r>
      <w:r w:rsidRPr="00720761">
        <w:rPr>
          <w:szCs w:val="18"/>
          <w:lang w:val="uk-UA"/>
        </w:rPr>
        <w:t>2017</w:t>
      </w:r>
      <w:r w:rsidR="00BE4A28" w:rsidRPr="00720761">
        <w:rPr>
          <w:szCs w:val="18"/>
          <w:lang w:val="uk-UA"/>
        </w:rPr>
        <w:t xml:space="preserve"> року</w:t>
      </w:r>
      <w:r w:rsidRPr="00720761">
        <w:rPr>
          <w:szCs w:val="18"/>
          <w:lang w:val="uk-UA"/>
        </w:rPr>
        <w:t>.</w:t>
      </w:r>
    </w:p>
  </w:endnote>
  <w:endnote w:id="109">
    <w:p w14:paraId="1AAA7861" w14:textId="539A3B23" w:rsidR="00A76D00" w:rsidRPr="00720761" w:rsidRDefault="00A76D00" w:rsidP="005C7E96">
      <w:pPr>
        <w:pStyle w:val="EndnoteText"/>
        <w:rPr>
          <w:szCs w:val="18"/>
          <w:lang w:val="uk-UA"/>
        </w:rPr>
      </w:pPr>
      <w:r w:rsidRPr="00720761">
        <w:rPr>
          <w:rStyle w:val="EndnoteReference"/>
          <w:szCs w:val="18"/>
          <w:lang w:val="uk-UA"/>
        </w:rPr>
        <w:endnoteRef/>
      </w:r>
      <w:r w:rsidRPr="00720761">
        <w:rPr>
          <w:szCs w:val="18"/>
          <w:lang w:val="uk-UA"/>
        </w:rPr>
        <w:t xml:space="preserve"> </w:t>
      </w:r>
      <w:r w:rsidR="00BE4A28" w:rsidRPr="00720761">
        <w:rPr>
          <w:szCs w:val="18"/>
          <w:lang w:val="uk-UA"/>
        </w:rPr>
        <w:t>Там само</w:t>
      </w:r>
      <w:r w:rsidRPr="00720761">
        <w:rPr>
          <w:szCs w:val="18"/>
          <w:lang w:val="uk-UA"/>
        </w:rPr>
        <w:t>.</w:t>
      </w:r>
    </w:p>
  </w:endnote>
  <w:endnote w:id="110">
    <w:p w14:paraId="71C5D335" w14:textId="77777777" w:rsidR="00163E89" w:rsidRPr="00720761" w:rsidRDefault="00163E89" w:rsidP="00163E89">
      <w:pPr>
        <w:pStyle w:val="EndnoteText"/>
        <w:rPr>
          <w:szCs w:val="18"/>
          <w:lang w:val="uk-UA"/>
        </w:rPr>
      </w:pPr>
      <w:r w:rsidRPr="00720761">
        <w:rPr>
          <w:rStyle w:val="EndnoteReference"/>
          <w:szCs w:val="18"/>
          <w:lang w:val="uk-UA"/>
        </w:rPr>
        <w:endnoteRef/>
      </w:r>
      <w:r w:rsidRPr="00720761">
        <w:rPr>
          <w:szCs w:val="18"/>
          <w:lang w:val="uk-UA"/>
        </w:rPr>
        <w:t xml:space="preserve"> Механізм незалежного звітування (МНЗ), Проміжний звіт 2014-15: Україна, стор. 78.</w:t>
      </w:r>
    </w:p>
  </w:endnote>
  <w:endnote w:id="111">
    <w:p w14:paraId="70FB9837" w14:textId="77777777" w:rsidR="00840537" w:rsidRPr="00720761" w:rsidRDefault="00840537" w:rsidP="00840537">
      <w:pPr>
        <w:pStyle w:val="EndnoteText"/>
        <w:rPr>
          <w:szCs w:val="18"/>
          <w:lang w:val="uk-UA"/>
        </w:rPr>
      </w:pPr>
      <w:r w:rsidRPr="00720761">
        <w:rPr>
          <w:rStyle w:val="EndnoteReference"/>
          <w:szCs w:val="18"/>
          <w:lang w:val="uk-UA"/>
        </w:rPr>
        <w:endnoteRef/>
      </w:r>
      <w:r w:rsidRPr="00720761">
        <w:rPr>
          <w:szCs w:val="18"/>
          <w:lang w:val="uk-UA"/>
        </w:rPr>
        <w:t xml:space="preserve"> Там само, стор. 78-79.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00"/>
    <w:family w:val="swiss"/>
    <w:pitch w:val="variable"/>
    <w:sig w:usb0="80000267" w:usb1="00000000" w:usb2="00000000" w:usb3="00000000" w:csb0="000001F7" w:csb1="00000000"/>
  </w:font>
  <w:font w:name="ＭＳ 明朝">
    <w:charset w:val="80"/>
    <w:family w:val="roman"/>
    <w:pitch w:val="fixed"/>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Adobe Caslon Pro">
    <w:altName w:val="Times New Roman"/>
    <w:charset w:val="00"/>
    <w:family w:val="auto"/>
    <w:pitch w:val="default"/>
  </w:font>
  <w:font w:name="Gill Sans SemiBold">
    <w:panose1 w:val="020B0702020104020203"/>
    <w:charset w:val="00"/>
    <w:family w:val="swiss"/>
    <w:pitch w:val="variable"/>
    <w:sig w:usb0="8000026F" w:usb1="5000004A" w:usb2="00000000" w:usb3="00000000" w:csb0="00000005" w:csb1="00000000"/>
  </w:font>
  <w:font w:name="Times">
    <w:panose1 w:val="02000500000000000000"/>
    <w:charset w:val="00"/>
    <w:family w:val="roman"/>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Menlo Bold">
    <w:charset w:val="00"/>
    <w:family w:val="auto"/>
    <w:pitch w:val="variable"/>
    <w:sig w:usb0="E60022FF" w:usb1="D000F1FB" w:usb2="00000028" w:usb3="00000000" w:csb0="000001D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0C446" w14:textId="77777777" w:rsidR="00A76D00" w:rsidRDefault="00A76D00" w:rsidP="00926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766BCC" w14:textId="77777777" w:rsidR="00A76D00" w:rsidRDefault="00A76D00" w:rsidP="00D7637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F1CF9" w14:textId="6223F5F8" w:rsidR="00A76D00" w:rsidRDefault="00A76D00" w:rsidP="00926D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23F9">
      <w:rPr>
        <w:rStyle w:val="PageNumber"/>
        <w:noProof/>
      </w:rPr>
      <w:t>64</w:t>
    </w:r>
    <w:r>
      <w:rPr>
        <w:rStyle w:val="PageNumber"/>
      </w:rPr>
      <w:fldChar w:fldCharType="end"/>
    </w:r>
  </w:p>
  <w:p w14:paraId="0DF746DD" w14:textId="77777777" w:rsidR="00A76D00" w:rsidRDefault="00A76D00" w:rsidP="00D7637D">
    <w:pPr>
      <w:pStyle w:val="Footer"/>
      <w:ind w:right="360"/>
    </w:pPr>
  </w:p>
  <w:p w14:paraId="62664DEC" w14:textId="77777777" w:rsidR="00A76D00" w:rsidRDefault="00A76D0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8A228" w14:textId="2052A20D" w:rsidR="00A76D00" w:rsidRPr="0067272C" w:rsidRDefault="00A76D00" w:rsidP="006023C3">
    <w:pPr>
      <w:pStyle w:val="Normalrglronly"/>
      <w:spacing w:before="100" w:beforeAutospacing="1" w:after="480"/>
      <w:rPr>
        <w:color w:val="1F497D" w:themeColor="text2"/>
      </w:rPr>
    </w:pPr>
    <w:r>
      <w:t>Цей звіт було підготовлено Дмитром Котляром, незалежним дослідником</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27E68" w14:textId="66761BAE" w:rsidR="00A76D00" w:rsidRPr="0067272C" w:rsidRDefault="00A76D00" w:rsidP="006023C3">
    <w:pPr>
      <w:pStyle w:val="Normalrglronly"/>
      <w:spacing w:before="100" w:beforeAutospacing="1" w:after="480"/>
      <w:rPr>
        <w:color w:val="1F497D" w:themeColor="text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85CFB" w14:textId="77777777" w:rsidR="00ED7E25" w:rsidRDefault="00ED7E25" w:rsidP="008F072B">
      <w:r>
        <w:separator/>
      </w:r>
    </w:p>
  </w:footnote>
  <w:footnote w:type="continuationSeparator" w:id="0">
    <w:p w14:paraId="149B5208" w14:textId="77777777" w:rsidR="00ED7E25" w:rsidRDefault="00ED7E25" w:rsidP="008F072B">
      <w:r>
        <w:continuationSeparator/>
      </w:r>
    </w:p>
  </w:footnote>
  <w:footnote w:type="continuationNotice" w:id="1">
    <w:p w14:paraId="07FA2392" w14:textId="77777777" w:rsidR="00ED7E25" w:rsidRDefault="00ED7E2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C44AB" w14:textId="77777777" w:rsidR="00A76D00" w:rsidRDefault="00A76D00" w:rsidP="003D53E1">
    <w:pPr>
      <w:pStyle w:val="Normalrglronly"/>
    </w:pPr>
  </w:p>
  <w:p w14:paraId="68C214D4" w14:textId="78FD64BC" w:rsidR="00A76D00" w:rsidRDefault="00A76D00" w:rsidP="003D53E1">
    <w:pPr>
      <w:pStyle w:val="Normalrglronly"/>
    </w:pPr>
    <w:r>
      <w:t>ВЕРСІЯ ВИКЛЮЧНО ДЛЯ ПУБЛІЧНИХ КОНСУЛЬТАЦІЙ: НЕ ЦИТУВАТИ</w:t>
    </w:r>
  </w:p>
  <w:p w14:paraId="73BCBE86" w14:textId="77777777" w:rsidR="00A76D00" w:rsidRPr="00671E59" w:rsidRDefault="00A76D00">
    <w:pPr>
      <w:rPr>
        <w:lang w:val="ru-RU"/>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21A3A5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C30E22"/>
    <w:multiLevelType w:val="hybridMultilevel"/>
    <w:tmpl w:val="B1720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8226B"/>
    <w:multiLevelType w:val="hybridMultilevel"/>
    <w:tmpl w:val="8BD615DE"/>
    <w:lvl w:ilvl="0" w:tplc="58ECB59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817CEE"/>
    <w:multiLevelType w:val="hybridMultilevel"/>
    <w:tmpl w:val="F364039A"/>
    <w:lvl w:ilvl="0" w:tplc="DAC2F97E">
      <w:start w:val="3"/>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582FC4"/>
    <w:multiLevelType w:val="hybridMultilevel"/>
    <w:tmpl w:val="3446C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2B4585"/>
    <w:multiLevelType w:val="hybridMultilevel"/>
    <w:tmpl w:val="7D36DF74"/>
    <w:lvl w:ilvl="0" w:tplc="CCF66D2C">
      <w:start w:val="3"/>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422BBF"/>
    <w:multiLevelType w:val="hybridMultilevel"/>
    <w:tmpl w:val="EBACC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56E33"/>
    <w:multiLevelType w:val="hybridMultilevel"/>
    <w:tmpl w:val="D99A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21308"/>
    <w:multiLevelType w:val="hybridMultilevel"/>
    <w:tmpl w:val="ADBA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D55E55"/>
    <w:multiLevelType w:val="hybridMultilevel"/>
    <w:tmpl w:val="37A4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E124EA"/>
    <w:multiLevelType w:val="hybridMultilevel"/>
    <w:tmpl w:val="65549E50"/>
    <w:lvl w:ilvl="0" w:tplc="36CA626C">
      <w:start w:val="16"/>
      <w:numFmt w:val="bullet"/>
      <w:lvlText w:val="-"/>
      <w:lvlJc w:val="left"/>
      <w:pPr>
        <w:ind w:left="720" w:hanging="360"/>
      </w:pPr>
      <w:rPr>
        <w:rFonts w:ascii="Gill Sans" w:eastAsiaTheme="minorEastAsia" w:hAnsi="Gill Sans"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BF4C63"/>
    <w:multiLevelType w:val="hybridMultilevel"/>
    <w:tmpl w:val="4C7239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5055A4B"/>
    <w:multiLevelType w:val="multilevel"/>
    <w:tmpl w:val="14FC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FF5DBF"/>
    <w:multiLevelType w:val="hybridMultilevel"/>
    <w:tmpl w:val="5944E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FA0B44"/>
    <w:multiLevelType w:val="hybridMultilevel"/>
    <w:tmpl w:val="CBFC1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796BBF"/>
    <w:multiLevelType w:val="hybridMultilevel"/>
    <w:tmpl w:val="9796D5BA"/>
    <w:lvl w:ilvl="0" w:tplc="9F842804">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BF62F3"/>
    <w:multiLevelType w:val="hybridMultilevel"/>
    <w:tmpl w:val="BC04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57243A"/>
    <w:multiLevelType w:val="hybridMultilevel"/>
    <w:tmpl w:val="F9FAB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1D570C4"/>
    <w:multiLevelType w:val="hybridMultilevel"/>
    <w:tmpl w:val="D6D8D056"/>
    <w:lvl w:ilvl="0" w:tplc="10C835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5F2821"/>
    <w:multiLevelType w:val="hybridMultilevel"/>
    <w:tmpl w:val="8C88C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27B4D85"/>
    <w:multiLevelType w:val="hybridMultilevel"/>
    <w:tmpl w:val="35B4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FB7460"/>
    <w:multiLevelType w:val="hybridMultilevel"/>
    <w:tmpl w:val="CFF0DE92"/>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44D25AF"/>
    <w:multiLevelType w:val="hybridMultilevel"/>
    <w:tmpl w:val="7012BF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3C69DA"/>
    <w:multiLevelType w:val="hybridMultilevel"/>
    <w:tmpl w:val="E864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511F2F"/>
    <w:multiLevelType w:val="multilevel"/>
    <w:tmpl w:val="A3EAE322"/>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6977144"/>
    <w:multiLevelType w:val="hybridMultilevel"/>
    <w:tmpl w:val="CF6AB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99385F"/>
    <w:multiLevelType w:val="hybridMultilevel"/>
    <w:tmpl w:val="862226A0"/>
    <w:lvl w:ilvl="0" w:tplc="53322A2E">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3BEE6A1F"/>
    <w:multiLevelType w:val="hybridMultilevel"/>
    <w:tmpl w:val="CCDCBE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3E62EB"/>
    <w:multiLevelType w:val="hybridMultilevel"/>
    <w:tmpl w:val="926CC3DE"/>
    <w:lvl w:ilvl="0" w:tplc="CCF66D2C">
      <w:start w:val="3"/>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60E4442"/>
    <w:multiLevelType w:val="hybridMultilevel"/>
    <w:tmpl w:val="D8583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96770C"/>
    <w:multiLevelType w:val="hybridMultilevel"/>
    <w:tmpl w:val="94C2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CA1716C"/>
    <w:multiLevelType w:val="hybridMultilevel"/>
    <w:tmpl w:val="9326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660858"/>
    <w:multiLevelType w:val="hybridMultilevel"/>
    <w:tmpl w:val="22C07832"/>
    <w:lvl w:ilvl="0" w:tplc="DAC2F97E">
      <w:start w:val="3"/>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06C179F"/>
    <w:multiLevelType w:val="hybridMultilevel"/>
    <w:tmpl w:val="182CCD04"/>
    <w:lvl w:ilvl="0" w:tplc="B14405F4">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D32CC1"/>
    <w:multiLevelType w:val="hybridMultilevel"/>
    <w:tmpl w:val="4E82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D778AA"/>
    <w:multiLevelType w:val="hybridMultilevel"/>
    <w:tmpl w:val="DEFE5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766DAB"/>
    <w:multiLevelType w:val="hybridMultilevel"/>
    <w:tmpl w:val="2A6C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A340CC"/>
    <w:multiLevelType w:val="hybridMultilevel"/>
    <w:tmpl w:val="2A44E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1775F2"/>
    <w:multiLevelType w:val="hybridMultilevel"/>
    <w:tmpl w:val="0D2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A37867"/>
    <w:multiLevelType w:val="hybridMultilevel"/>
    <w:tmpl w:val="35F462E4"/>
    <w:lvl w:ilvl="0" w:tplc="9FB0A1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EDC1DE1"/>
    <w:multiLevelType w:val="multilevel"/>
    <w:tmpl w:val="14FC6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7"/>
  </w:num>
  <w:num w:numId="3">
    <w:abstractNumId w:val="25"/>
  </w:num>
  <w:num w:numId="4">
    <w:abstractNumId w:val="29"/>
  </w:num>
  <w:num w:numId="5">
    <w:abstractNumId w:val="37"/>
  </w:num>
  <w:num w:numId="6">
    <w:abstractNumId w:val="8"/>
  </w:num>
  <w:num w:numId="7">
    <w:abstractNumId w:val="15"/>
  </w:num>
  <w:num w:numId="8">
    <w:abstractNumId w:val="14"/>
  </w:num>
  <w:num w:numId="9">
    <w:abstractNumId w:val="39"/>
  </w:num>
  <w:num w:numId="10">
    <w:abstractNumId w:val="11"/>
  </w:num>
  <w:num w:numId="11">
    <w:abstractNumId w:val="28"/>
  </w:num>
  <w:num w:numId="12">
    <w:abstractNumId w:val="16"/>
  </w:num>
  <w:num w:numId="13">
    <w:abstractNumId w:val="1"/>
  </w:num>
  <w:num w:numId="14">
    <w:abstractNumId w:val="5"/>
  </w:num>
  <w:num w:numId="15">
    <w:abstractNumId w:val="13"/>
  </w:num>
  <w:num w:numId="16">
    <w:abstractNumId w:val="2"/>
  </w:num>
  <w:num w:numId="17">
    <w:abstractNumId w:val="0"/>
  </w:num>
  <w:num w:numId="18">
    <w:abstractNumId w:val="32"/>
  </w:num>
  <w:num w:numId="19">
    <w:abstractNumId w:val="3"/>
  </w:num>
  <w:num w:numId="20">
    <w:abstractNumId w:val="21"/>
  </w:num>
  <w:num w:numId="21">
    <w:abstractNumId w:val="6"/>
  </w:num>
  <w:num w:numId="22">
    <w:abstractNumId w:val="19"/>
  </w:num>
  <w:num w:numId="23">
    <w:abstractNumId w:val="35"/>
  </w:num>
  <w:num w:numId="24">
    <w:abstractNumId w:val="31"/>
  </w:num>
  <w:num w:numId="25">
    <w:abstractNumId w:val="20"/>
  </w:num>
  <w:num w:numId="26">
    <w:abstractNumId w:val="30"/>
  </w:num>
  <w:num w:numId="27">
    <w:abstractNumId w:val="27"/>
  </w:num>
  <w:num w:numId="28">
    <w:abstractNumId w:val="7"/>
  </w:num>
  <w:num w:numId="29">
    <w:abstractNumId w:val="18"/>
  </w:num>
  <w:num w:numId="30">
    <w:abstractNumId w:val="18"/>
  </w:num>
  <w:num w:numId="31">
    <w:abstractNumId w:val="34"/>
  </w:num>
  <w:num w:numId="32">
    <w:abstractNumId w:val="36"/>
  </w:num>
  <w:num w:numId="33">
    <w:abstractNumId w:val="9"/>
  </w:num>
  <w:num w:numId="34">
    <w:abstractNumId w:val="33"/>
  </w:num>
  <w:num w:numId="35">
    <w:abstractNumId w:val="40"/>
    <w:lvlOverride w:ilvl="0">
      <w:lvl w:ilvl="0">
        <w:numFmt w:val="lowerLetter"/>
        <w:lvlText w:val="%1."/>
        <w:lvlJc w:val="left"/>
      </w:lvl>
    </w:lvlOverride>
  </w:num>
  <w:num w:numId="36">
    <w:abstractNumId w:val="12"/>
  </w:num>
  <w:num w:numId="37">
    <w:abstractNumId w:val="24"/>
  </w:num>
  <w:num w:numId="38">
    <w:abstractNumId w:val="26"/>
  </w:num>
  <w:num w:numId="39">
    <w:abstractNumId w:val="23"/>
  </w:num>
  <w:num w:numId="40">
    <w:abstractNumId w:val="10"/>
  </w:num>
  <w:num w:numId="41">
    <w:abstractNumId w:val="38"/>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ctiveWritingStyle w:appName="MSWord" w:lang="en-GB" w:vendorID="64" w:dllVersion="6" w:nlCheck="1" w:checkStyle="0"/>
  <w:activeWritingStyle w:appName="MSWord" w:lang="en-US" w:vendorID="64" w:dllVersion="6" w:nlCheck="1" w:checkStyle="0"/>
  <w:activeWritingStyle w:appName="MSWord" w:lang="en-ZA" w:vendorID="64" w:dllVersion="6" w:nlCheck="1" w:checkStyle="1"/>
  <w:activeWritingStyle w:appName="MSWord" w:lang="es-ES" w:vendorID="64" w:dllVersion="6" w:nlCheck="1" w:checkStyle="0"/>
  <w:activeWritingStyle w:appName="MSWord" w:lang="ru-RU" w:vendorID="64" w:dllVersion="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ru-RU"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pos w:val="sectEnd"/>
    <w:numFmt w:val="decimal"/>
    <w:numRestart w:val="eachSect"/>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437"/>
    <w:rsid w:val="000003DC"/>
    <w:rsid w:val="00000FA4"/>
    <w:rsid w:val="00001497"/>
    <w:rsid w:val="000017EE"/>
    <w:rsid w:val="00007CDF"/>
    <w:rsid w:val="000102DA"/>
    <w:rsid w:val="00010A68"/>
    <w:rsid w:val="00010BB6"/>
    <w:rsid w:val="00012280"/>
    <w:rsid w:val="000130C8"/>
    <w:rsid w:val="000140C0"/>
    <w:rsid w:val="000146F2"/>
    <w:rsid w:val="000147E8"/>
    <w:rsid w:val="0001504A"/>
    <w:rsid w:val="00015671"/>
    <w:rsid w:val="00016537"/>
    <w:rsid w:val="00016DB2"/>
    <w:rsid w:val="00020C75"/>
    <w:rsid w:val="0002188F"/>
    <w:rsid w:val="0002285E"/>
    <w:rsid w:val="000228CC"/>
    <w:rsid w:val="00023A0B"/>
    <w:rsid w:val="00024103"/>
    <w:rsid w:val="000242C8"/>
    <w:rsid w:val="00024A0A"/>
    <w:rsid w:val="00024A5F"/>
    <w:rsid w:val="00025289"/>
    <w:rsid w:val="00025FA1"/>
    <w:rsid w:val="000265F8"/>
    <w:rsid w:val="00026E02"/>
    <w:rsid w:val="000318B7"/>
    <w:rsid w:val="00032660"/>
    <w:rsid w:val="00032CB3"/>
    <w:rsid w:val="00035E36"/>
    <w:rsid w:val="00036090"/>
    <w:rsid w:val="0003760A"/>
    <w:rsid w:val="000417D7"/>
    <w:rsid w:val="00042580"/>
    <w:rsid w:val="00042F7B"/>
    <w:rsid w:val="00043ABD"/>
    <w:rsid w:val="00043CC2"/>
    <w:rsid w:val="00045756"/>
    <w:rsid w:val="00046277"/>
    <w:rsid w:val="000465B4"/>
    <w:rsid w:val="000477EF"/>
    <w:rsid w:val="00050333"/>
    <w:rsid w:val="0005120F"/>
    <w:rsid w:val="0005197F"/>
    <w:rsid w:val="00051D19"/>
    <w:rsid w:val="00052692"/>
    <w:rsid w:val="00052B72"/>
    <w:rsid w:val="00054FE0"/>
    <w:rsid w:val="000550BE"/>
    <w:rsid w:val="00056ACB"/>
    <w:rsid w:val="00061D8E"/>
    <w:rsid w:val="00061FED"/>
    <w:rsid w:val="000623D1"/>
    <w:rsid w:val="000635FA"/>
    <w:rsid w:val="00063F75"/>
    <w:rsid w:val="00064131"/>
    <w:rsid w:val="00064B44"/>
    <w:rsid w:val="000656EA"/>
    <w:rsid w:val="00066027"/>
    <w:rsid w:val="00066415"/>
    <w:rsid w:val="000678EC"/>
    <w:rsid w:val="000707DB"/>
    <w:rsid w:val="0007173A"/>
    <w:rsid w:val="00071776"/>
    <w:rsid w:val="000718A4"/>
    <w:rsid w:val="00071CD7"/>
    <w:rsid w:val="000720A5"/>
    <w:rsid w:val="00073123"/>
    <w:rsid w:val="00073400"/>
    <w:rsid w:val="0007463F"/>
    <w:rsid w:val="00075044"/>
    <w:rsid w:val="0007621A"/>
    <w:rsid w:val="000801E8"/>
    <w:rsid w:val="0008128B"/>
    <w:rsid w:val="0008409D"/>
    <w:rsid w:val="00084120"/>
    <w:rsid w:val="00084369"/>
    <w:rsid w:val="0008527B"/>
    <w:rsid w:val="000859D4"/>
    <w:rsid w:val="00086868"/>
    <w:rsid w:val="00087069"/>
    <w:rsid w:val="000873A4"/>
    <w:rsid w:val="00087565"/>
    <w:rsid w:val="00087B9A"/>
    <w:rsid w:val="0009052D"/>
    <w:rsid w:val="00090F51"/>
    <w:rsid w:val="000912E0"/>
    <w:rsid w:val="00091A27"/>
    <w:rsid w:val="00093C9C"/>
    <w:rsid w:val="00093DAF"/>
    <w:rsid w:val="00095D3F"/>
    <w:rsid w:val="0009609A"/>
    <w:rsid w:val="00096BAB"/>
    <w:rsid w:val="000971D3"/>
    <w:rsid w:val="000A00F3"/>
    <w:rsid w:val="000A16F2"/>
    <w:rsid w:val="000A3909"/>
    <w:rsid w:val="000A525F"/>
    <w:rsid w:val="000A5901"/>
    <w:rsid w:val="000A7124"/>
    <w:rsid w:val="000B05DD"/>
    <w:rsid w:val="000B2002"/>
    <w:rsid w:val="000B2CCA"/>
    <w:rsid w:val="000B387D"/>
    <w:rsid w:val="000B3C8A"/>
    <w:rsid w:val="000B4543"/>
    <w:rsid w:val="000B48EB"/>
    <w:rsid w:val="000B5D72"/>
    <w:rsid w:val="000B6396"/>
    <w:rsid w:val="000B7073"/>
    <w:rsid w:val="000B7734"/>
    <w:rsid w:val="000C03DB"/>
    <w:rsid w:val="000C08D4"/>
    <w:rsid w:val="000C1B87"/>
    <w:rsid w:val="000C1B93"/>
    <w:rsid w:val="000C24B2"/>
    <w:rsid w:val="000C25AD"/>
    <w:rsid w:val="000C286E"/>
    <w:rsid w:val="000C3803"/>
    <w:rsid w:val="000C40FB"/>
    <w:rsid w:val="000C495D"/>
    <w:rsid w:val="000C5643"/>
    <w:rsid w:val="000C69D9"/>
    <w:rsid w:val="000D03F6"/>
    <w:rsid w:val="000D151E"/>
    <w:rsid w:val="000D183E"/>
    <w:rsid w:val="000D2041"/>
    <w:rsid w:val="000D214B"/>
    <w:rsid w:val="000D22CC"/>
    <w:rsid w:val="000D2EE2"/>
    <w:rsid w:val="000D3029"/>
    <w:rsid w:val="000D4261"/>
    <w:rsid w:val="000D5B27"/>
    <w:rsid w:val="000D794F"/>
    <w:rsid w:val="000D7BDC"/>
    <w:rsid w:val="000E060B"/>
    <w:rsid w:val="000E0613"/>
    <w:rsid w:val="000E0B9A"/>
    <w:rsid w:val="000E113A"/>
    <w:rsid w:val="000E129F"/>
    <w:rsid w:val="000E2003"/>
    <w:rsid w:val="000E2615"/>
    <w:rsid w:val="000E3922"/>
    <w:rsid w:val="000E4530"/>
    <w:rsid w:val="000E56CC"/>
    <w:rsid w:val="000E69F6"/>
    <w:rsid w:val="000F02E8"/>
    <w:rsid w:val="000F0FBC"/>
    <w:rsid w:val="000F1788"/>
    <w:rsid w:val="000F1F37"/>
    <w:rsid w:val="000F26C0"/>
    <w:rsid w:val="000F26DC"/>
    <w:rsid w:val="000F28B1"/>
    <w:rsid w:val="000F2DB1"/>
    <w:rsid w:val="000F51C3"/>
    <w:rsid w:val="000F67B6"/>
    <w:rsid w:val="000F72FC"/>
    <w:rsid w:val="00100239"/>
    <w:rsid w:val="00100A27"/>
    <w:rsid w:val="00101E17"/>
    <w:rsid w:val="00102223"/>
    <w:rsid w:val="0010265E"/>
    <w:rsid w:val="00106ABE"/>
    <w:rsid w:val="00107C28"/>
    <w:rsid w:val="0011009A"/>
    <w:rsid w:val="00110C02"/>
    <w:rsid w:val="0011133D"/>
    <w:rsid w:val="00111B59"/>
    <w:rsid w:val="00112881"/>
    <w:rsid w:val="00113A3A"/>
    <w:rsid w:val="00113C68"/>
    <w:rsid w:val="00113F13"/>
    <w:rsid w:val="00114719"/>
    <w:rsid w:val="00114B88"/>
    <w:rsid w:val="0011609C"/>
    <w:rsid w:val="001176C7"/>
    <w:rsid w:val="001178AF"/>
    <w:rsid w:val="00117B86"/>
    <w:rsid w:val="00120BB3"/>
    <w:rsid w:val="0012261D"/>
    <w:rsid w:val="00122A2F"/>
    <w:rsid w:val="00122D79"/>
    <w:rsid w:val="00123113"/>
    <w:rsid w:val="0012351A"/>
    <w:rsid w:val="0012404D"/>
    <w:rsid w:val="00124C9B"/>
    <w:rsid w:val="001257DE"/>
    <w:rsid w:val="0012584B"/>
    <w:rsid w:val="001259ED"/>
    <w:rsid w:val="001261D5"/>
    <w:rsid w:val="00126B16"/>
    <w:rsid w:val="00126D8E"/>
    <w:rsid w:val="0012769B"/>
    <w:rsid w:val="00127DE4"/>
    <w:rsid w:val="00131C34"/>
    <w:rsid w:val="0013364E"/>
    <w:rsid w:val="00133B10"/>
    <w:rsid w:val="001344F1"/>
    <w:rsid w:val="001352BC"/>
    <w:rsid w:val="001353EB"/>
    <w:rsid w:val="00136D54"/>
    <w:rsid w:val="00136DE2"/>
    <w:rsid w:val="00140D0F"/>
    <w:rsid w:val="0014135F"/>
    <w:rsid w:val="0014384C"/>
    <w:rsid w:val="001441EA"/>
    <w:rsid w:val="00144B1E"/>
    <w:rsid w:val="0014593C"/>
    <w:rsid w:val="00146EB3"/>
    <w:rsid w:val="001472DB"/>
    <w:rsid w:val="0015071D"/>
    <w:rsid w:val="00151D5E"/>
    <w:rsid w:val="00152E14"/>
    <w:rsid w:val="00152FB2"/>
    <w:rsid w:val="00153171"/>
    <w:rsid w:val="001534F4"/>
    <w:rsid w:val="001537B4"/>
    <w:rsid w:val="001538FA"/>
    <w:rsid w:val="00155047"/>
    <w:rsid w:val="00155367"/>
    <w:rsid w:val="00156BB9"/>
    <w:rsid w:val="00156F16"/>
    <w:rsid w:val="00157262"/>
    <w:rsid w:val="00160167"/>
    <w:rsid w:val="00161626"/>
    <w:rsid w:val="00161CF6"/>
    <w:rsid w:val="00163080"/>
    <w:rsid w:val="00163E89"/>
    <w:rsid w:val="00164941"/>
    <w:rsid w:val="00164AC8"/>
    <w:rsid w:val="0016542B"/>
    <w:rsid w:val="00166676"/>
    <w:rsid w:val="00166B05"/>
    <w:rsid w:val="00167546"/>
    <w:rsid w:val="00171735"/>
    <w:rsid w:val="001718B6"/>
    <w:rsid w:val="00171EEE"/>
    <w:rsid w:val="001722EE"/>
    <w:rsid w:val="00172433"/>
    <w:rsid w:val="00174931"/>
    <w:rsid w:val="00174A6F"/>
    <w:rsid w:val="0017541C"/>
    <w:rsid w:val="0017564E"/>
    <w:rsid w:val="00175D6E"/>
    <w:rsid w:val="00177699"/>
    <w:rsid w:val="00180227"/>
    <w:rsid w:val="001811D5"/>
    <w:rsid w:val="00181A97"/>
    <w:rsid w:val="00181CBF"/>
    <w:rsid w:val="00184D0F"/>
    <w:rsid w:val="00184DAA"/>
    <w:rsid w:val="00184EA5"/>
    <w:rsid w:val="00185DD2"/>
    <w:rsid w:val="001868A3"/>
    <w:rsid w:val="00191326"/>
    <w:rsid w:val="00191565"/>
    <w:rsid w:val="00191A2B"/>
    <w:rsid w:val="00191BAA"/>
    <w:rsid w:val="00192709"/>
    <w:rsid w:val="00194911"/>
    <w:rsid w:val="00194F26"/>
    <w:rsid w:val="00196161"/>
    <w:rsid w:val="00196AC8"/>
    <w:rsid w:val="001974D4"/>
    <w:rsid w:val="001A07DF"/>
    <w:rsid w:val="001A1108"/>
    <w:rsid w:val="001A2854"/>
    <w:rsid w:val="001A3454"/>
    <w:rsid w:val="001A6A10"/>
    <w:rsid w:val="001A6B8B"/>
    <w:rsid w:val="001A79FC"/>
    <w:rsid w:val="001A7DD7"/>
    <w:rsid w:val="001B091D"/>
    <w:rsid w:val="001B0EE8"/>
    <w:rsid w:val="001B365B"/>
    <w:rsid w:val="001B4152"/>
    <w:rsid w:val="001B4420"/>
    <w:rsid w:val="001B53C1"/>
    <w:rsid w:val="001B5498"/>
    <w:rsid w:val="001B54FD"/>
    <w:rsid w:val="001B5C76"/>
    <w:rsid w:val="001B5CE7"/>
    <w:rsid w:val="001B5DF3"/>
    <w:rsid w:val="001B61E6"/>
    <w:rsid w:val="001B6779"/>
    <w:rsid w:val="001B7080"/>
    <w:rsid w:val="001B7C15"/>
    <w:rsid w:val="001C0FE1"/>
    <w:rsid w:val="001C23F9"/>
    <w:rsid w:val="001C25CF"/>
    <w:rsid w:val="001C2BF8"/>
    <w:rsid w:val="001C347E"/>
    <w:rsid w:val="001C573A"/>
    <w:rsid w:val="001C6AD8"/>
    <w:rsid w:val="001C6DAC"/>
    <w:rsid w:val="001D0999"/>
    <w:rsid w:val="001D0DE3"/>
    <w:rsid w:val="001D183B"/>
    <w:rsid w:val="001D3FB6"/>
    <w:rsid w:val="001D6BC3"/>
    <w:rsid w:val="001D701A"/>
    <w:rsid w:val="001D7A7E"/>
    <w:rsid w:val="001E1BA1"/>
    <w:rsid w:val="001E2FFD"/>
    <w:rsid w:val="001E3219"/>
    <w:rsid w:val="001E390F"/>
    <w:rsid w:val="001E48D4"/>
    <w:rsid w:val="001F1FA3"/>
    <w:rsid w:val="001F2967"/>
    <w:rsid w:val="001F2D6C"/>
    <w:rsid w:val="001F38C4"/>
    <w:rsid w:val="001F4062"/>
    <w:rsid w:val="001F5810"/>
    <w:rsid w:val="001F70BE"/>
    <w:rsid w:val="00202168"/>
    <w:rsid w:val="002025B9"/>
    <w:rsid w:val="00203D7D"/>
    <w:rsid w:val="00204473"/>
    <w:rsid w:val="00204D0E"/>
    <w:rsid w:val="00205A72"/>
    <w:rsid w:val="0020660D"/>
    <w:rsid w:val="00206981"/>
    <w:rsid w:val="00207DBD"/>
    <w:rsid w:val="00211269"/>
    <w:rsid w:val="00211B28"/>
    <w:rsid w:val="00211C78"/>
    <w:rsid w:val="00211D1B"/>
    <w:rsid w:val="0021228F"/>
    <w:rsid w:val="00212333"/>
    <w:rsid w:val="00213091"/>
    <w:rsid w:val="002167AE"/>
    <w:rsid w:val="00217AB0"/>
    <w:rsid w:val="0022077F"/>
    <w:rsid w:val="00221040"/>
    <w:rsid w:val="002210EF"/>
    <w:rsid w:val="00221638"/>
    <w:rsid w:val="002223ED"/>
    <w:rsid w:val="0022264B"/>
    <w:rsid w:val="00224647"/>
    <w:rsid w:val="002263D0"/>
    <w:rsid w:val="0023126A"/>
    <w:rsid w:val="002312E4"/>
    <w:rsid w:val="002350DF"/>
    <w:rsid w:val="002353A7"/>
    <w:rsid w:val="002358E3"/>
    <w:rsid w:val="00236D85"/>
    <w:rsid w:val="00237824"/>
    <w:rsid w:val="00237C20"/>
    <w:rsid w:val="0024010F"/>
    <w:rsid w:val="00242308"/>
    <w:rsid w:val="002427C1"/>
    <w:rsid w:val="002429B3"/>
    <w:rsid w:val="00242DE3"/>
    <w:rsid w:val="00244C06"/>
    <w:rsid w:val="002505C7"/>
    <w:rsid w:val="00251801"/>
    <w:rsid w:val="002532DF"/>
    <w:rsid w:val="00254159"/>
    <w:rsid w:val="00254401"/>
    <w:rsid w:val="002547D0"/>
    <w:rsid w:val="0025485D"/>
    <w:rsid w:val="002551D4"/>
    <w:rsid w:val="00257845"/>
    <w:rsid w:val="00257C98"/>
    <w:rsid w:val="00257E70"/>
    <w:rsid w:val="00257F44"/>
    <w:rsid w:val="00260559"/>
    <w:rsid w:val="002605F4"/>
    <w:rsid w:val="00260FDE"/>
    <w:rsid w:val="00262325"/>
    <w:rsid w:val="00262F72"/>
    <w:rsid w:val="0026378A"/>
    <w:rsid w:val="00263898"/>
    <w:rsid w:val="002641CA"/>
    <w:rsid w:val="00264604"/>
    <w:rsid w:val="002646AE"/>
    <w:rsid w:val="00264977"/>
    <w:rsid w:val="002666A0"/>
    <w:rsid w:val="00266A17"/>
    <w:rsid w:val="00266F08"/>
    <w:rsid w:val="00270652"/>
    <w:rsid w:val="00270C53"/>
    <w:rsid w:val="00270E2E"/>
    <w:rsid w:val="002710FB"/>
    <w:rsid w:val="002718EC"/>
    <w:rsid w:val="00272577"/>
    <w:rsid w:val="00272703"/>
    <w:rsid w:val="00272BF0"/>
    <w:rsid w:val="00274089"/>
    <w:rsid w:val="00276291"/>
    <w:rsid w:val="00276F43"/>
    <w:rsid w:val="00277150"/>
    <w:rsid w:val="00280389"/>
    <w:rsid w:val="00280581"/>
    <w:rsid w:val="00280A1B"/>
    <w:rsid w:val="00281CE5"/>
    <w:rsid w:val="002836BB"/>
    <w:rsid w:val="00283E80"/>
    <w:rsid w:val="00283EF2"/>
    <w:rsid w:val="002851F0"/>
    <w:rsid w:val="002857F4"/>
    <w:rsid w:val="00285D2F"/>
    <w:rsid w:val="00286E42"/>
    <w:rsid w:val="00291291"/>
    <w:rsid w:val="002912B8"/>
    <w:rsid w:val="002917FA"/>
    <w:rsid w:val="00292B8D"/>
    <w:rsid w:val="002932FC"/>
    <w:rsid w:val="0029335F"/>
    <w:rsid w:val="0029341E"/>
    <w:rsid w:val="0029384B"/>
    <w:rsid w:val="00294403"/>
    <w:rsid w:val="00297770"/>
    <w:rsid w:val="002A0749"/>
    <w:rsid w:val="002A2120"/>
    <w:rsid w:val="002A2966"/>
    <w:rsid w:val="002A2A0F"/>
    <w:rsid w:val="002A309E"/>
    <w:rsid w:val="002A5063"/>
    <w:rsid w:val="002A5749"/>
    <w:rsid w:val="002A5B11"/>
    <w:rsid w:val="002A601F"/>
    <w:rsid w:val="002A605D"/>
    <w:rsid w:val="002A67DE"/>
    <w:rsid w:val="002A69D4"/>
    <w:rsid w:val="002A736F"/>
    <w:rsid w:val="002A7DDA"/>
    <w:rsid w:val="002B01BE"/>
    <w:rsid w:val="002B0589"/>
    <w:rsid w:val="002B24F6"/>
    <w:rsid w:val="002B2A60"/>
    <w:rsid w:val="002B4D5B"/>
    <w:rsid w:val="002B6C88"/>
    <w:rsid w:val="002B734D"/>
    <w:rsid w:val="002B7CA4"/>
    <w:rsid w:val="002C0523"/>
    <w:rsid w:val="002C2373"/>
    <w:rsid w:val="002C264C"/>
    <w:rsid w:val="002C3F6D"/>
    <w:rsid w:val="002C42E4"/>
    <w:rsid w:val="002C456D"/>
    <w:rsid w:val="002C4A92"/>
    <w:rsid w:val="002C59D7"/>
    <w:rsid w:val="002C5FF4"/>
    <w:rsid w:val="002C6325"/>
    <w:rsid w:val="002C6674"/>
    <w:rsid w:val="002C7E50"/>
    <w:rsid w:val="002C7ECA"/>
    <w:rsid w:val="002D0824"/>
    <w:rsid w:val="002D1882"/>
    <w:rsid w:val="002D18BF"/>
    <w:rsid w:val="002D191A"/>
    <w:rsid w:val="002D2CC2"/>
    <w:rsid w:val="002D3389"/>
    <w:rsid w:val="002D36A9"/>
    <w:rsid w:val="002D439E"/>
    <w:rsid w:val="002D45E6"/>
    <w:rsid w:val="002D4649"/>
    <w:rsid w:val="002D64E2"/>
    <w:rsid w:val="002D693D"/>
    <w:rsid w:val="002D6D9A"/>
    <w:rsid w:val="002D7C5E"/>
    <w:rsid w:val="002D7E98"/>
    <w:rsid w:val="002D7FD2"/>
    <w:rsid w:val="002E0362"/>
    <w:rsid w:val="002E09DC"/>
    <w:rsid w:val="002E1018"/>
    <w:rsid w:val="002E33B8"/>
    <w:rsid w:val="002E3AF9"/>
    <w:rsid w:val="002E3B0F"/>
    <w:rsid w:val="002E44D7"/>
    <w:rsid w:val="002E495E"/>
    <w:rsid w:val="002E4ABB"/>
    <w:rsid w:val="002E62BE"/>
    <w:rsid w:val="002E7D42"/>
    <w:rsid w:val="002F0BB5"/>
    <w:rsid w:val="002F0E44"/>
    <w:rsid w:val="002F107D"/>
    <w:rsid w:val="002F10C2"/>
    <w:rsid w:val="002F11FA"/>
    <w:rsid w:val="002F137A"/>
    <w:rsid w:val="002F1F92"/>
    <w:rsid w:val="002F3975"/>
    <w:rsid w:val="002F45B2"/>
    <w:rsid w:val="002F4B2C"/>
    <w:rsid w:val="002F53FE"/>
    <w:rsid w:val="002F7133"/>
    <w:rsid w:val="002F73A2"/>
    <w:rsid w:val="00300BBE"/>
    <w:rsid w:val="0030173D"/>
    <w:rsid w:val="00301EB0"/>
    <w:rsid w:val="00302157"/>
    <w:rsid w:val="003025A4"/>
    <w:rsid w:val="00302F1F"/>
    <w:rsid w:val="003048D0"/>
    <w:rsid w:val="00305896"/>
    <w:rsid w:val="00305B5C"/>
    <w:rsid w:val="00305B82"/>
    <w:rsid w:val="00305DEA"/>
    <w:rsid w:val="003072CE"/>
    <w:rsid w:val="00307994"/>
    <w:rsid w:val="00307BCB"/>
    <w:rsid w:val="00310CD5"/>
    <w:rsid w:val="00311BD9"/>
    <w:rsid w:val="00311D1A"/>
    <w:rsid w:val="00311E61"/>
    <w:rsid w:val="00313710"/>
    <w:rsid w:val="00314AB4"/>
    <w:rsid w:val="0031506A"/>
    <w:rsid w:val="003154C0"/>
    <w:rsid w:val="00316E04"/>
    <w:rsid w:val="00317048"/>
    <w:rsid w:val="003178D9"/>
    <w:rsid w:val="00317CB0"/>
    <w:rsid w:val="00317D08"/>
    <w:rsid w:val="003200CE"/>
    <w:rsid w:val="00320A56"/>
    <w:rsid w:val="003221C6"/>
    <w:rsid w:val="003223C0"/>
    <w:rsid w:val="0032277F"/>
    <w:rsid w:val="003258C7"/>
    <w:rsid w:val="00326248"/>
    <w:rsid w:val="003264DD"/>
    <w:rsid w:val="0032654A"/>
    <w:rsid w:val="00327E1F"/>
    <w:rsid w:val="00330A98"/>
    <w:rsid w:val="003311FC"/>
    <w:rsid w:val="0033158A"/>
    <w:rsid w:val="0033166D"/>
    <w:rsid w:val="003332D5"/>
    <w:rsid w:val="00333E6A"/>
    <w:rsid w:val="00334725"/>
    <w:rsid w:val="00335442"/>
    <w:rsid w:val="00335E25"/>
    <w:rsid w:val="00336F1F"/>
    <w:rsid w:val="0033718A"/>
    <w:rsid w:val="003374AE"/>
    <w:rsid w:val="0034069F"/>
    <w:rsid w:val="003419BE"/>
    <w:rsid w:val="00342258"/>
    <w:rsid w:val="003423A7"/>
    <w:rsid w:val="00342B5B"/>
    <w:rsid w:val="0034402D"/>
    <w:rsid w:val="003466EE"/>
    <w:rsid w:val="00347F05"/>
    <w:rsid w:val="00350131"/>
    <w:rsid w:val="00352098"/>
    <w:rsid w:val="003520FC"/>
    <w:rsid w:val="0035271D"/>
    <w:rsid w:val="00352741"/>
    <w:rsid w:val="0035365B"/>
    <w:rsid w:val="00353FB5"/>
    <w:rsid w:val="00354032"/>
    <w:rsid w:val="0035571F"/>
    <w:rsid w:val="00356BC2"/>
    <w:rsid w:val="003602E2"/>
    <w:rsid w:val="00360740"/>
    <w:rsid w:val="003609DF"/>
    <w:rsid w:val="003615A9"/>
    <w:rsid w:val="00362F02"/>
    <w:rsid w:val="003635B2"/>
    <w:rsid w:val="00363BA9"/>
    <w:rsid w:val="00364293"/>
    <w:rsid w:val="003650A3"/>
    <w:rsid w:val="00365B0F"/>
    <w:rsid w:val="00365B88"/>
    <w:rsid w:val="00370592"/>
    <w:rsid w:val="00370768"/>
    <w:rsid w:val="00370EA3"/>
    <w:rsid w:val="003718C5"/>
    <w:rsid w:val="003726D7"/>
    <w:rsid w:val="003733FC"/>
    <w:rsid w:val="00373F37"/>
    <w:rsid w:val="00374410"/>
    <w:rsid w:val="003744CC"/>
    <w:rsid w:val="00374CF5"/>
    <w:rsid w:val="00374D64"/>
    <w:rsid w:val="003762AD"/>
    <w:rsid w:val="003767C6"/>
    <w:rsid w:val="00377C78"/>
    <w:rsid w:val="00380417"/>
    <w:rsid w:val="00380840"/>
    <w:rsid w:val="0038165E"/>
    <w:rsid w:val="00381D04"/>
    <w:rsid w:val="00381D13"/>
    <w:rsid w:val="00381EA9"/>
    <w:rsid w:val="00382C96"/>
    <w:rsid w:val="00383ACD"/>
    <w:rsid w:val="0038432F"/>
    <w:rsid w:val="003855EF"/>
    <w:rsid w:val="00385828"/>
    <w:rsid w:val="00386BE8"/>
    <w:rsid w:val="0038739C"/>
    <w:rsid w:val="0038791B"/>
    <w:rsid w:val="003879EE"/>
    <w:rsid w:val="003900A1"/>
    <w:rsid w:val="003904AA"/>
    <w:rsid w:val="00390930"/>
    <w:rsid w:val="00390DC9"/>
    <w:rsid w:val="00390FEF"/>
    <w:rsid w:val="003912FF"/>
    <w:rsid w:val="003925E5"/>
    <w:rsid w:val="00392E63"/>
    <w:rsid w:val="00393DAD"/>
    <w:rsid w:val="00396CFF"/>
    <w:rsid w:val="00397A0C"/>
    <w:rsid w:val="00397CBB"/>
    <w:rsid w:val="003A0B01"/>
    <w:rsid w:val="003A1449"/>
    <w:rsid w:val="003A5E0D"/>
    <w:rsid w:val="003A6622"/>
    <w:rsid w:val="003A7441"/>
    <w:rsid w:val="003A784B"/>
    <w:rsid w:val="003B0224"/>
    <w:rsid w:val="003B0C45"/>
    <w:rsid w:val="003B1E8D"/>
    <w:rsid w:val="003B2494"/>
    <w:rsid w:val="003B4138"/>
    <w:rsid w:val="003B41F1"/>
    <w:rsid w:val="003B619F"/>
    <w:rsid w:val="003B6266"/>
    <w:rsid w:val="003B6751"/>
    <w:rsid w:val="003B6CC9"/>
    <w:rsid w:val="003B756C"/>
    <w:rsid w:val="003B7E7C"/>
    <w:rsid w:val="003C0FFD"/>
    <w:rsid w:val="003C1534"/>
    <w:rsid w:val="003C1572"/>
    <w:rsid w:val="003C37B2"/>
    <w:rsid w:val="003C45B4"/>
    <w:rsid w:val="003C650A"/>
    <w:rsid w:val="003C6809"/>
    <w:rsid w:val="003C6D0A"/>
    <w:rsid w:val="003C72D9"/>
    <w:rsid w:val="003D0BBE"/>
    <w:rsid w:val="003D19BD"/>
    <w:rsid w:val="003D1EC8"/>
    <w:rsid w:val="003D2358"/>
    <w:rsid w:val="003D2BAA"/>
    <w:rsid w:val="003D2DBA"/>
    <w:rsid w:val="003D2E83"/>
    <w:rsid w:val="003D46F1"/>
    <w:rsid w:val="003D4CC5"/>
    <w:rsid w:val="003D53E1"/>
    <w:rsid w:val="003D55F9"/>
    <w:rsid w:val="003D6461"/>
    <w:rsid w:val="003D69EC"/>
    <w:rsid w:val="003D7A6B"/>
    <w:rsid w:val="003E032A"/>
    <w:rsid w:val="003E1F34"/>
    <w:rsid w:val="003E2313"/>
    <w:rsid w:val="003E2ABB"/>
    <w:rsid w:val="003E42BF"/>
    <w:rsid w:val="003E4D3E"/>
    <w:rsid w:val="003E5265"/>
    <w:rsid w:val="003E55BF"/>
    <w:rsid w:val="003E6215"/>
    <w:rsid w:val="003F0D03"/>
    <w:rsid w:val="003F1309"/>
    <w:rsid w:val="003F15B1"/>
    <w:rsid w:val="003F33C2"/>
    <w:rsid w:val="003F47A0"/>
    <w:rsid w:val="003F57AE"/>
    <w:rsid w:val="003F6B7B"/>
    <w:rsid w:val="0040091A"/>
    <w:rsid w:val="00400965"/>
    <w:rsid w:val="00401503"/>
    <w:rsid w:val="004030C6"/>
    <w:rsid w:val="0040377E"/>
    <w:rsid w:val="00404880"/>
    <w:rsid w:val="00405B34"/>
    <w:rsid w:val="00406A70"/>
    <w:rsid w:val="0040756E"/>
    <w:rsid w:val="004075C3"/>
    <w:rsid w:val="004078AA"/>
    <w:rsid w:val="00410557"/>
    <w:rsid w:val="00411841"/>
    <w:rsid w:val="00411BB0"/>
    <w:rsid w:val="00415A7F"/>
    <w:rsid w:val="0041665B"/>
    <w:rsid w:val="004167CA"/>
    <w:rsid w:val="00416E3E"/>
    <w:rsid w:val="00416E6C"/>
    <w:rsid w:val="004220D0"/>
    <w:rsid w:val="00422881"/>
    <w:rsid w:val="004229A6"/>
    <w:rsid w:val="00423ED9"/>
    <w:rsid w:val="00423F59"/>
    <w:rsid w:val="00424263"/>
    <w:rsid w:val="00424A79"/>
    <w:rsid w:val="0042522E"/>
    <w:rsid w:val="00425CF2"/>
    <w:rsid w:val="004261CE"/>
    <w:rsid w:val="00426663"/>
    <w:rsid w:val="00427BE0"/>
    <w:rsid w:val="00430EE5"/>
    <w:rsid w:val="004312AA"/>
    <w:rsid w:val="004312F1"/>
    <w:rsid w:val="00432906"/>
    <w:rsid w:val="004333D6"/>
    <w:rsid w:val="004342F7"/>
    <w:rsid w:val="00434A64"/>
    <w:rsid w:val="0043535E"/>
    <w:rsid w:val="004404A8"/>
    <w:rsid w:val="0044065F"/>
    <w:rsid w:val="0044146F"/>
    <w:rsid w:val="00441998"/>
    <w:rsid w:val="00443B52"/>
    <w:rsid w:val="004450D4"/>
    <w:rsid w:val="004459B0"/>
    <w:rsid w:val="00446CAF"/>
    <w:rsid w:val="004476E1"/>
    <w:rsid w:val="0044773A"/>
    <w:rsid w:val="0044786C"/>
    <w:rsid w:val="00451DF5"/>
    <w:rsid w:val="00451F20"/>
    <w:rsid w:val="00452531"/>
    <w:rsid w:val="00452D68"/>
    <w:rsid w:val="00452DA3"/>
    <w:rsid w:val="004536D8"/>
    <w:rsid w:val="00453D39"/>
    <w:rsid w:val="00454D43"/>
    <w:rsid w:val="004550CC"/>
    <w:rsid w:val="00455340"/>
    <w:rsid w:val="00455886"/>
    <w:rsid w:val="00455F9E"/>
    <w:rsid w:val="00456A7F"/>
    <w:rsid w:val="00456B1E"/>
    <w:rsid w:val="00456DE4"/>
    <w:rsid w:val="00457B86"/>
    <w:rsid w:val="00460638"/>
    <w:rsid w:val="00461B88"/>
    <w:rsid w:val="00463183"/>
    <w:rsid w:val="004633BC"/>
    <w:rsid w:val="00463938"/>
    <w:rsid w:val="00465C57"/>
    <w:rsid w:val="004662A8"/>
    <w:rsid w:val="00466E44"/>
    <w:rsid w:val="00467773"/>
    <w:rsid w:val="00470D73"/>
    <w:rsid w:val="004736F7"/>
    <w:rsid w:val="00473F1E"/>
    <w:rsid w:val="00474326"/>
    <w:rsid w:val="00474959"/>
    <w:rsid w:val="00475B46"/>
    <w:rsid w:val="00475C6C"/>
    <w:rsid w:val="00475D8F"/>
    <w:rsid w:val="00475DC6"/>
    <w:rsid w:val="004772A5"/>
    <w:rsid w:val="004777C8"/>
    <w:rsid w:val="0048026D"/>
    <w:rsid w:val="00480BD7"/>
    <w:rsid w:val="00481C68"/>
    <w:rsid w:val="00481E04"/>
    <w:rsid w:val="004825BE"/>
    <w:rsid w:val="004839BB"/>
    <w:rsid w:val="00483BDD"/>
    <w:rsid w:val="00483E88"/>
    <w:rsid w:val="00483E8F"/>
    <w:rsid w:val="00484A62"/>
    <w:rsid w:val="00484FD7"/>
    <w:rsid w:val="004875C1"/>
    <w:rsid w:val="00487944"/>
    <w:rsid w:val="00490301"/>
    <w:rsid w:val="004922C5"/>
    <w:rsid w:val="00493011"/>
    <w:rsid w:val="0049340A"/>
    <w:rsid w:val="00495465"/>
    <w:rsid w:val="004A0263"/>
    <w:rsid w:val="004A0579"/>
    <w:rsid w:val="004A05A0"/>
    <w:rsid w:val="004A094E"/>
    <w:rsid w:val="004A0A32"/>
    <w:rsid w:val="004A1149"/>
    <w:rsid w:val="004A3EF7"/>
    <w:rsid w:val="004A5D3F"/>
    <w:rsid w:val="004A5D5D"/>
    <w:rsid w:val="004A5E8D"/>
    <w:rsid w:val="004A6AFE"/>
    <w:rsid w:val="004A78B1"/>
    <w:rsid w:val="004B092F"/>
    <w:rsid w:val="004B1162"/>
    <w:rsid w:val="004B12C4"/>
    <w:rsid w:val="004B2DEC"/>
    <w:rsid w:val="004B3FB1"/>
    <w:rsid w:val="004B4698"/>
    <w:rsid w:val="004B46F3"/>
    <w:rsid w:val="004B4DA8"/>
    <w:rsid w:val="004B53DD"/>
    <w:rsid w:val="004B56FA"/>
    <w:rsid w:val="004B5AE3"/>
    <w:rsid w:val="004B5F80"/>
    <w:rsid w:val="004B7760"/>
    <w:rsid w:val="004B799A"/>
    <w:rsid w:val="004C071C"/>
    <w:rsid w:val="004C1716"/>
    <w:rsid w:val="004C351A"/>
    <w:rsid w:val="004C3DA6"/>
    <w:rsid w:val="004C3FFA"/>
    <w:rsid w:val="004C435A"/>
    <w:rsid w:val="004C7E1A"/>
    <w:rsid w:val="004D01E5"/>
    <w:rsid w:val="004D20D6"/>
    <w:rsid w:val="004D22A5"/>
    <w:rsid w:val="004D30C7"/>
    <w:rsid w:val="004D4D65"/>
    <w:rsid w:val="004D5BC4"/>
    <w:rsid w:val="004D62D1"/>
    <w:rsid w:val="004D6882"/>
    <w:rsid w:val="004D6ACC"/>
    <w:rsid w:val="004D6C58"/>
    <w:rsid w:val="004D6F87"/>
    <w:rsid w:val="004D73F8"/>
    <w:rsid w:val="004D775D"/>
    <w:rsid w:val="004E05E3"/>
    <w:rsid w:val="004E0740"/>
    <w:rsid w:val="004E0DA3"/>
    <w:rsid w:val="004E1495"/>
    <w:rsid w:val="004E29BE"/>
    <w:rsid w:val="004E2BB4"/>
    <w:rsid w:val="004E32BD"/>
    <w:rsid w:val="004E33DE"/>
    <w:rsid w:val="004E47D1"/>
    <w:rsid w:val="004E7645"/>
    <w:rsid w:val="004F0A80"/>
    <w:rsid w:val="004F13A5"/>
    <w:rsid w:val="004F15D8"/>
    <w:rsid w:val="004F160E"/>
    <w:rsid w:val="004F2BFE"/>
    <w:rsid w:val="004F2F5D"/>
    <w:rsid w:val="004F4DC0"/>
    <w:rsid w:val="004F7F95"/>
    <w:rsid w:val="00500276"/>
    <w:rsid w:val="0050151E"/>
    <w:rsid w:val="005018B2"/>
    <w:rsid w:val="00501FE2"/>
    <w:rsid w:val="00503192"/>
    <w:rsid w:val="00503F0F"/>
    <w:rsid w:val="00504217"/>
    <w:rsid w:val="00504C91"/>
    <w:rsid w:val="005059F5"/>
    <w:rsid w:val="005066C0"/>
    <w:rsid w:val="00506A7B"/>
    <w:rsid w:val="00506FF5"/>
    <w:rsid w:val="00507F2E"/>
    <w:rsid w:val="005103E3"/>
    <w:rsid w:val="00510D0F"/>
    <w:rsid w:val="00511702"/>
    <w:rsid w:val="00511ECB"/>
    <w:rsid w:val="005123B1"/>
    <w:rsid w:val="005141FC"/>
    <w:rsid w:val="00514E9C"/>
    <w:rsid w:val="00516A70"/>
    <w:rsid w:val="00516D07"/>
    <w:rsid w:val="005170CE"/>
    <w:rsid w:val="00517546"/>
    <w:rsid w:val="00517871"/>
    <w:rsid w:val="005179FF"/>
    <w:rsid w:val="00517E72"/>
    <w:rsid w:val="00520EC5"/>
    <w:rsid w:val="005215FB"/>
    <w:rsid w:val="00521DA5"/>
    <w:rsid w:val="005229D9"/>
    <w:rsid w:val="005234F2"/>
    <w:rsid w:val="00524885"/>
    <w:rsid w:val="00524F26"/>
    <w:rsid w:val="0052796A"/>
    <w:rsid w:val="0052798E"/>
    <w:rsid w:val="00527E40"/>
    <w:rsid w:val="00531117"/>
    <w:rsid w:val="00531827"/>
    <w:rsid w:val="00532790"/>
    <w:rsid w:val="00533665"/>
    <w:rsid w:val="005345F1"/>
    <w:rsid w:val="005353AA"/>
    <w:rsid w:val="00535E96"/>
    <w:rsid w:val="00536A96"/>
    <w:rsid w:val="00536DEE"/>
    <w:rsid w:val="00536FB4"/>
    <w:rsid w:val="0053764F"/>
    <w:rsid w:val="00540420"/>
    <w:rsid w:val="00540836"/>
    <w:rsid w:val="00541E0E"/>
    <w:rsid w:val="00542C2B"/>
    <w:rsid w:val="00542C9C"/>
    <w:rsid w:val="00542CD1"/>
    <w:rsid w:val="00544F00"/>
    <w:rsid w:val="00545649"/>
    <w:rsid w:val="00545B73"/>
    <w:rsid w:val="00546C25"/>
    <w:rsid w:val="00547677"/>
    <w:rsid w:val="00547694"/>
    <w:rsid w:val="005502CB"/>
    <w:rsid w:val="00550AFF"/>
    <w:rsid w:val="00552270"/>
    <w:rsid w:val="00552781"/>
    <w:rsid w:val="00553F2E"/>
    <w:rsid w:val="0055450A"/>
    <w:rsid w:val="00554EA9"/>
    <w:rsid w:val="0055612F"/>
    <w:rsid w:val="00556FED"/>
    <w:rsid w:val="00560451"/>
    <w:rsid w:val="00561192"/>
    <w:rsid w:val="00561217"/>
    <w:rsid w:val="005617B9"/>
    <w:rsid w:val="0056253F"/>
    <w:rsid w:val="005649AB"/>
    <w:rsid w:val="005661AD"/>
    <w:rsid w:val="00566D19"/>
    <w:rsid w:val="00567927"/>
    <w:rsid w:val="005703E0"/>
    <w:rsid w:val="00570CA1"/>
    <w:rsid w:val="005719CA"/>
    <w:rsid w:val="00571A41"/>
    <w:rsid w:val="005724D8"/>
    <w:rsid w:val="005725FA"/>
    <w:rsid w:val="005733AE"/>
    <w:rsid w:val="00573F5D"/>
    <w:rsid w:val="0057420B"/>
    <w:rsid w:val="00574E04"/>
    <w:rsid w:val="0057543F"/>
    <w:rsid w:val="00575FBB"/>
    <w:rsid w:val="0057663C"/>
    <w:rsid w:val="00577CC3"/>
    <w:rsid w:val="0058118E"/>
    <w:rsid w:val="00581D4D"/>
    <w:rsid w:val="005826BA"/>
    <w:rsid w:val="0058305D"/>
    <w:rsid w:val="00583C5A"/>
    <w:rsid w:val="0059050B"/>
    <w:rsid w:val="00590F01"/>
    <w:rsid w:val="005925E7"/>
    <w:rsid w:val="005931AD"/>
    <w:rsid w:val="0059432B"/>
    <w:rsid w:val="00594E87"/>
    <w:rsid w:val="0059737B"/>
    <w:rsid w:val="005973CA"/>
    <w:rsid w:val="0059786B"/>
    <w:rsid w:val="00597BD6"/>
    <w:rsid w:val="00597DE6"/>
    <w:rsid w:val="005A0E5C"/>
    <w:rsid w:val="005A17F4"/>
    <w:rsid w:val="005A1DEB"/>
    <w:rsid w:val="005A1EB2"/>
    <w:rsid w:val="005A2415"/>
    <w:rsid w:val="005A2918"/>
    <w:rsid w:val="005A356A"/>
    <w:rsid w:val="005A447C"/>
    <w:rsid w:val="005A52B3"/>
    <w:rsid w:val="005A5CB1"/>
    <w:rsid w:val="005A6C06"/>
    <w:rsid w:val="005A7183"/>
    <w:rsid w:val="005A74D6"/>
    <w:rsid w:val="005A75BE"/>
    <w:rsid w:val="005B031B"/>
    <w:rsid w:val="005B1009"/>
    <w:rsid w:val="005B3718"/>
    <w:rsid w:val="005B3A16"/>
    <w:rsid w:val="005B3B0D"/>
    <w:rsid w:val="005B5351"/>
    <w:rsid w:val="005B541B"/>
    <w:rsid w:val="005B5A28"/>
    <w:rsid w:val="005B6930"/>
    <w:rsid w:val="005B6F2C"/>
    <w:rsid w:val="005B76F6"/>
    <w:rsid w:val="005C0A0F"/>
    <w:rsid w:val="005C1366"/>
    <w:rsid w:val="005C5814"/>
    <w:rsid w:val="005C5AC9"/>
    <w:rsid w:val="005C5D34"/>
    <w:rsid w:val="005C6455"/>
    <w:rsid w:val="005C7E96"/>
    <w:rsid w:val="005D0F4B"/>
    <w:rsid w:val="005D1E7A"/>
    <w:rsid w:val="005D2307"/>
    <w:rsid w:val="005D263C"/>
    <w:rsid w:val="005D29EF"/>
    <w:rsid w:val="005D40FB"/>
    <w:rsid w:val="005D5C8C"/>
    <w:rsid w:val="005D61AD"/>
    <w:rsid w:val="005D6F8E"/>
    <w:rsid w:val="005D7BC5"/>
    <w:rsid w:val="005D7EC5"/>
    <w:rsid w:val="005E18D1"/>
    <w:rsid w:val="005E2226"/>
    <w:rsid w:val="005E2608"/>
    <w:rsid w:val="005E2E10"/>
    <w:rsid w:val="005E31F5"/>
    <w:rsid w:val="005E3924"/>
    <w:rsid w:val="005E4151"/>
    <w:rsid w:val="005E490A"/>
    <w:rsid w:val="005E62C0"/>
    <w:rsid w:val="005E68D4"/>
    <w:rsid w:val="005E7A57"/>
    <w:rsid w:val="005F10C0"/>
    <w:rsid w:val="005F29A7"/>
    <w:rsid w:val="005F2B0A"/>
    <w:rsid w:val="005F30C8"/>
    <w:rsid w:val="005F324F"/>
    <w:rsid w:val="005F34D4"/>
    <w:rsid w:val="005F407C"/>
    <w:rsid w:val="005F4973"/>
    <w:rsid w:val="005F49F7"/>
    <w:rsid w:val="005F7337"/>
    <w:rsid w:val="005F759F"/>
    <w:rsid w:val="005F76E4"/>
    <w:rsid w:val="006003C2"/>
    <w:rsid w:val="006017D8"/>
    <w:rsid w:val="006023C3"/>
    <w:rsid w:val="00602910"/>
    <w:rsid w:val="00602F9D"/>
    <w:rsid w:val="00603A53"/>
    <w:rsid w:val="0060422D"/>
    <w:rsid w:val="00604BCB"/>
    <w:rsid w:val="006060A5"/>
    <w:rsid w:val="00606183"/>
    <w:rsid w:val="006072DA"/>
    <w:rsid w:val="00607FDD"/>
    <w:rsid w:val="00610004"/>
    <w:rsid w:val="00611E93"/>
    <w:rsid w:val="006136CE"/>
    <w:rsid w:val="00614049"/>
    <w:rsid w:val="00614B12"/>
    <w:rsid w:val="00615734"/>
    <w:rsid w:val="00615CCC"/>
    <w:rsid w:val="006167DD"/>
    <w:rsid w:val="006221B8"/>
    <w:rsid w:val="0062301F"/>
    <w:rsid w:val="0062311F"/>
    <w:rsid w:val="006234F0"/>
    <w:rsid w:val="0062372B"/>
    <w:rsid w:val="00624961"/>
    <w:rsid w:val="00627F93"/>
    <w:rsid w:val="006309C6"/>
    <w:rsid w:val="00630FA4"/>
    <w:rsid w:val="00631489"/>
    <w:rsid w:val="0063171A"/>
    <w:rsid w:val="006319F4"/>
    <w:rsid w:val="00632CAF"/>
    <w:rsid w:val="0063406B"/>
    <w:rsid w:val="006347ED"/>
    <w:rsid w:val="00634A37"/>
    <w:rsid w:val="006355FC"/>
    <w:rsid w:val="0063563B"/>
    <w:rsid w:val="00635B53"/>
    <w:rsid w:val="00636545"/>
    <w:rsid w:val="00636754"/>
    <w:rsid w:val="00636AD1"/>
    <w:rsid w:val="00636BDA"/>
    <w:rsid w:val="006401CB"/>
    <w:rsid w:val="006428AB"/>
    <w:rsid w:val="00644744"/>
    <w:rsid w:val="00644A22"/>
    <w:rsid w:val="0064500A"/>
    <w:rsid w:val="00646A67"/>
    <w:rsid w:val="00651709"/>
    <w:rsid w:val="006523AD"/>
    <w:rsid w:val="00652C7D"/>
    <w:rsid w:val="00652CF4"/>
    <w:rsid w:val="006549B1"/>
    <w:rsid w:val="00655763"/>
    <w:rsid w:val="006558BF"/>
    <w:rsid w:val="00655992"/>
    <w:rsid w:val="00657403"/>
    <w:rsid w:val="00657F30"/>
    <w:rsid w:val="00661831"/>
    <w:rsid w:val="0066250C"/>
    <w:rsid w:val="0066253C"/>
    <w:rsid w:val="00662C6C"/>
    <w:rsid w:val="00664000"/>
    <w:rsid w:val="006643AD"/>
    <w:rsid w:val="00664E20"/>
    <w:rsid w:val="00666768"/>
    <w:rsid w:val="006672B2"/>
    <w:rsid w:val="006677A3"/>
    <w:rsid w:val="00667E37"/>
    <w:rsid w:val="0067061B"/>
    <w:rsid w:val="00670D8C"/>
    <w:rsid w:val="00671E59"/>
    <w:rsid w:val="0067272C"/>
    <w:rsid w:val="00672BD9"/>
    <w:rsid w:val="00675A8A"/>
    <w:rsid w:val="00675D43"/>
    <w:rsid w:val="006769C8"/>
    <w:rsid w:val="006769EA"/>
    <w:rsid w:val="00677BA9"/>
    <w:rsid w:val="00680934"/>
    <w:rsid w:val="0068163B"/>
    <w:rsid w:val="0068256B"/>
    <w:rsid w:val="006826C6"/>
    <w:rsid w:val="00682E4E"/>
    <w:rsid w:val="0068332A"/>
    <w:rsid w:val="00683F1F"/>
    <w:rsid w:val="00686522"/>
    <w:rsid w:val="0068662F"/>
    <w:rsid w:val="006868D8"/>
    <w:rsid w:val="00686C42"/>
    <w:rsid w:val="00686DB0"/>
    <w:rsid w:val="0068746A"/>
    <w:rsid w:val="00690340"/>
    <w:rsid w:val="00690CE0"/>
    <w:rsid w:val="006910C1"/>
    <w:rsid w:val="00691342"/>
    <w:rsid w:val="00691924"/>
    <w:rsid w:val="00693346"/>
    <w:rsid w:val="00693BC1"/>
    <w:rsid w:val="006946D2"/>
    <w:rsid w:val="006947D4"/>
    <w:rsid w:val="00694E8C"/>
    <w:rsid w:val="00697460"/>
    <w:rsid w:val="006A0EE8"/>
    <w:rsid w:val="006A19F1"/>
    <w:rsid w:val="006A3084"/>
    <w:rsid w:val="006A4117"/>
    <w:rsid w:val="006A42E4"/>
    <w:rsid w:val="006A5BC3"/>
    <w:rsid w:val="006A658B"/>
    <w:rsid w:val="006B092E"/>
    <w:rsid w:val="006B11FD"/>
    <w:rsid w:val="006B12DE"/>
    <w:rsid w:val="006B1F1A"/>
    <w:rsid w:val="006B25C6"/>
    <w:rsid w:val="006B2E9F"/>
    <w:rsid w:val="006B303E"/>
    <w:rsid w:val="006B3553"/>
    <w:rsid w:val="006B35A6"/>
    <w:rsid w:val="006B4829"/>
    <w:rsid w:val="006B61C7"/>
    <w:rsid w:val="006B668C"/>
    <w:rsid w:val="006C0E09"/>
    <w:rsid w:val="006C0F37"/>
    <w:rsid w:val="006C1A36"/>
    <w:rsid w:val="006C2138"/>
    <w:rsid w:val="006C480F"/>
    <w:rsid w:val="006C4D0E"/>
    <w:rsid w:val="006C5F1F"/>
    <w:rsid w:val="006C6193"/>
    <w:rsid w:val="006C6EF0"/>
    <w:rsid w:val="006C7855"/>
    <w:rsid w:val="006C7BC7"/>
    <w:rsid w:val="006D0A3D"/>
    <w:rsid w:val="006D19D8"/>
    <w:rsid w:val="006D2ECF"/>
    <w:rsid w:val="006D365D"/>
    <w:rsid w:val="006D4193"/>
    <w:rsid w:val="006D5E20"/>
    <w:rsid w:val="006D697C"/>
    <w:rsid w:val="006D6D42"/>
    <w:rsid w:val="006D7331"/>
    <w:rsid w:val="006E083E"/>
    <w:rsid w:val="006E18E4"/>
    <w:rsid w:val="006E2E3D"/>
    <w:rsid w:val="006E4939"/>
    <w:rsid w:val="006E4D79"/>
    <w:rsid w:val="006E53C7"/>
    <w:rsid w:val="006E6C92"/>
    <w:rsid w:val="006E6EE3"/>
    <w:rsid w:val="006E7F60"/>
    <w:rsid w:val="006F2DC6"/>
    <w:rsid w:val="006F38CF"/>
    <w:rsid w:val="006F3922"/>
    <w:rsid w:val="006F40BB"/>
    <w:rsid w:val="006F5C1E"/>
    <w:rsid w:val="006F6688"/>
    <w:rsid w:val="006F760B"/>
    <w:rsid w:val="006F7939"/>
    <w:rsid w:val="006F7EBD"/>
    <w:rsid w:val="0070147B"/>
    <w:rsid w:val="00701520"/>
    <w:rsid w:val="007025DE"/>
    <w:rsid w:val="007029FD"/>
    <w:rsid w:val="00702BCB"/>
    <w:rsid w:val="00704448"/>
    <w:rsid w:val="00704C64"/>
    <w:rsid w:val="0070554B"/>
    <w:rsid w:val="007068F6"/>
    <w:rsid w:val="00707EC6"/>
    <w:rsid w:val="007105F1"/>
    <w:rsid w:val="00710783"/>
    <w:rsid w:val="00711ADE"/>
    <w:rsid w:val="00712780"/>
    <w:rsid w:val="00712EE0"/>
    <w:rsid w:val="0071314A"/>
    <w:rsid w:val="007135A4"/>
    <w:rsid w:val="00713F4C"/>
    <w:rsid w:val="0071580A"/>
    <w:rsid w:val="00716638"/>
    <w:rsid w:val="007177A0"/>
    <w:rsid w:val="007178D9"/>
    <w:rsid w:val="00717D04"/>
    <w:rsid w:val="00720421"/>
    <w:rsid w:val="00720601"/>
    <w:rsid w:val="0072068D"/>
    <w:rsid w:val="00720761"/>
    <w:rsid w:val="00721416"/>
    <w:rsid w:val="007229C4"/>
    <w:rsid w:val="007232E6"/>
    <w:rsid w:val="00724C9F"/>
    <w:rsid w:val="00724DF5"/>
    <w:rsid w:val="00725BF3"/>
    <w:rsid w:val="00726AE2"/>
    <w:rsid w:val="00726BC2"/>
    <w:rsid w:val="0073097B"/>
    <w:rsid w:val="00731BFB"/>
    <w:rsid w:val="00731EC4"/>
    <w:rsid w:val="007324F8"/>
    <w:rsid w:val="0073255E"/>
    <w:rsid w:val="00732908"/>
    <w:rsid w:val="00733C11"/>
    <w:rsid w:val="00734D5B"/>
    <w:rsid w:val="00734F02"/>
    <w:rsid w:val="0073784D"/>
    <w:rsid w:val="007379CE"/>
    <w:rsid w:val="00740D13"/>
    <w:rsid w:val="00741635"/>
    <w:rsid w:val="00741FBB"/>
    <w:rsid w:val="00741FD8"/>
    <w:rsid w:val="00742000"/>
    <w:rsid w:val="00742184"/>
    <w:rsid w:val="00742C68"/>
    <w:rsid w:val="00743622"/>
    <w:rsid w:val="00743B72"/>
    <w:rsid w:val="00744206"/>
    <w:rsid w:val="00744B3C"/>
    <w:rsid w:val="00745F11"/>
    <w:rsid w:val="0074761B"/>
    <w:rsid w:val="00747956"/>
    <w:rsid w:val="0075010E"/>
    <w:rsid w:val="0075058A"/>
    <w:rsid w:val="00750ADF"/>
    <w:rsid w:val="00750C42"/>
    <w:rsid w:val="007511C3"/>
    <w:rsid w:val="0075125D"/>
    <w:rsid w:val="00752DC4"/>
    <w:rsid w:val="00754469"/>
    <w:rsid w:val="007557CD"/>
    <w:rsid w:val="0075597F"/>
    <w:rsid w:val="00756597"/>
    <w:rsid w:val="00756FDE"/>
    <w:rsid w:val="00757189"/>
    <w:rsid w:val="0075756E"/>
    <w:rsid w:val="00757B56"/>
    <w:rsid w:val="00760AEA"/>
    <w:rsid w:val="00761247"/>
    <w:rsid w:val="00762CD3"/>
    <w:rsid w:val="00763D4C"/>
    <w:rsid w:val="007641EA"/>
    <w:rsid w:val="007644BC"/>
    <w:rsid w:val="00765622"/>
    <w:rsid w:val="0076591E"/>
    <w:rsid w:val="00766490"/>
    <w:rsid w:val="007672DC"/>
    <w:rsid w:val="00767D4A"/>
    <w:rsid w:val="0077027D"/>
    <w:rsid w:val="007710B3"/>
    <w:rsid w:val="00771DA6"/>
    <w:rsid w:val="00772764"/>
    <w:rsid w:val="007729D3"/>
    <w:rsid w:val="007737AF"/>
    <w:rsid w:val="007737FE"/>
    <w:rsid w:val="00773967"/>
    <w:rsid w:val="00774FB2"/>
    <w:rsid w:val="00775CFB"/>
    <w:rsid w:val="00775D48"/>
    <w:rsid w:val="00777EFE"/>
    <w:rsid w:val="0078025E"/>
    <w:rsid w:val="007809BA"/>
    <w:rsid w:val="00780E9E"/>
    <w:rsid w:val="00780EC4"/>
    <w:rsid w:val="007811C1"/>
    <w:rsid w:val="00781F39"/>
    <w:rsid w:val="00782911"/>
    <w:rsid w:val="00782993"/>
    <w:rsid w:val="0078301E"/>
    <w:rsid w:val="00783083"/>
    <w:rsid w:val="00783498"/>
    <w:rsid w:val="00783D09"/>
    <w:rsid w:val="00785535"/>
    <w:rsid w:val="00785D88"/>
    <w:rsid w:val="00785DED"/>
    <w:rsid w:val="00785E28"/>
    <w:rsid w:val="00787ACB"/>
    <w:rsid w:val="00790B3C"/>
    <w:rsid w:val="007913CC"/>
    <w:rsid w:val="007917B7"/>
    <w:rsid w:val="007919CD"/>
    <w:rsid w:val="00791B5A"/>
    <w:rsid w:val="0079235E"/>
    <w:rsid w:val="0079406C"/>
    <w:rsid w:val="00794167"/>
    <w:rsid w:val="00795A54"/>
    <w:rsid w:val="00795C24"/>
    <w:rsid w:val="007965E6"/>
    <w:rsid w:val="00797D1E"/>
    <w:rsid w:val="00797E90"/>
    <w:rsid w:val="007A008B"/>
    <w:rsid w:val="007A0139"/>
    <w:rsid w:val="007A1164"/>
    <w:rsid w:val="007A145B"/>
    <w:rsid w:val="007A2F36"/>
    <w:rsid w:val="007A3449"/>
    <w:rsid w:val="007A5AC9"/>
    <w:rsid w:val="007A6F93"/>
    <w:rsid w:val="007A7581"/>
    <w:rsid w:val="007A7DB9"/>
    <w:rsid w:val="007B02FB"/>
    <w:rsid w:val="007B2976"/>
    <w:rsid w:val="007B32BA"/>
    <w:rsid w:val="007B363A"/>
    <w:rsid w:val="007B36C7"/>
    <w:rsid w:val="007B3BF3"/>
    <w:rsid w:val="007B45C2"/>
    <w:rsid w:val="007B52FA"/>
    <w:rsid w:val="007B5718"/>
    <w:rsid w:val="007B66C9"/>
    <w:rsid w:val="007B67B6"/>
    <w:rsid w:val="007B6979"/>
    <w:rsid w:val="007B6EE3"/>
    <w:rsid w:val="007B720C"/>
    <w:rsid w:val="007B7E4D"/>
    <w:rsid w:val="007C0712"/>
    <w:rsid w:val="007C1C2C"/>
    <w:rsid w:val="007C23AA"/>
    <w:rsid w:val="007C2BC9"/>
    <w:rsid w:val="007C3171"/>
    <w:rsid w:val="007C33CF"/>
    <w:rsid w:val="007C46F8"/>
    <w:rsid w:val="007C4F60"/>
    <w:rsid w:val="007C5980"/>
    <w:rsid w:val="007C5F29"/>
    <w:rsid w:val="007C72A9"/>
    <w:rsid w:val="007C7A8C"/>
    <w:rsid w:val="007D0598"/>
    <w:rsid w:val="007D1964"/>
    <w:rsid w:val="007D1AC0"/>
    <w:rsid w:val="007D1FC3"/>
    <w:rsid w:val="007D27FB"/>
    <w:rsid w:val="007D34E0"/>
    <w:rsid w:val="007D435A"/>
    <w:rsid w:val="007D4C6B"/>
    <w:rsid w:val="007D5D8C"/>
    <w:rsid w:val="007D6E90"/>
    <w:rsid w:val="007D74CE"/>
    <w:rsid w:val="007E1877"/>
    <w:rsid w:val="007E24D9"/>
    <w:rsid w:val="007E39CE"/>
    <w:rsid w:val="007E3CED"/>
    <w:rsid w:val="007E3EC4"/>
    <w:rsid w:val="007E43FE"/>
    <w:rsid w:val="007E4BDB"/>
    <w:rsid w:val="007E5B17"/>
    <w:rsid w:val="007E7A5B"/>
    <w:rsid w:val="007F0619"/>
    <w:rsid w:val="007F1029"/>
    <w:rsid w:val="007F14ED"/>
    <w:rsid w:val="007F17B8"/>
    <w:rsid w:val="007F27E3"/>
    <w:rsid w:val="007F299B"/>
    <w:rsid w:val="007F2AE7"/>
    <w:rsid w:val="007F3EC8"/>
    <w:rsid w:val="007F46E3"/>
    <w:rsid w:val="007F4A89"/>
    <w:rsid w:val="007F586E"/>
    <w:rsid w:val="007F7AE1"/>
    <w:rsid w:val="00800B09"/>
    <w:rsid w:val="00801B16"/>
    <w:rsid w:val="00801EBA"/>
    <w:rsid w:val="0080256A"/>
    <w:rsid w:val="008038F3"/>
    <w:rsid w:val="00803FFD"/>
    <w:rsid w:val="008046A9"/>
    <w:rsid w:val="00805055"/>
    <w:rsid w:val="008056A5"/>
    <w:rsid w:val="00805C82"/>
    <w:rsid w:val="00806455"/>
    <w:rsid w:val="0080692A"/>
    <w:rsid w:val="008102C2"/>
    <w:rsid w:val="0081038B"/>
    <w:rsid w:val="00810BB9"/>
    <w:rsid w:val="00811EA9"/>
    <w:rsid w:val="00812D09"/>
    <w:rsid w:val="00812DC8"/>
    <w:rsid w:val="00812F60"/>
    <w:rsid w:val="0081353E"/>
    <w:rsid w:val="00814043"/>
    <w:rsid w:val="00814437"/>
    <w:rsid w:val="00814A4F"/>
    <w:rsid w:val="00814CE9"/>
    <w:rsid w:val="00815467"/>
    <w:rsid w:val="00815825"/>
    <w:rsid w:val="00816324"/>
    <w:rsid w:val="0081642D"/>
    <w:rsid w:val="00816751"/>
    <w:rsid w:val="0081752C"/>
    <w:rsid w:val="00817695"/>
    <w:rsid w:val="008215A9"/>
    <w:rsid w:val="00822E87"/>
    <w:rsid w:val="00823329"/>
    <w:rsid w:val="0082374E"/>
    <w:rsid w:val="00823F56"/>
    <w:rsid w:val="00824279"/>
    <w:rsid w:val="00826463"/>
    <w:rsid w:val="00826902"/>
    <w:rsid w:val="0082698A"/>
    <w:rsid w:val="0082744C"/>
    <w:rsid w:val="00827C83"/>
    <w:rsid w:val="00830381"/>
    <w:rsid w:val="008303F6"/>
    <w:rsid w:val="008305F8"/>
    <w:rsid w:val="00832C51"/>
    <w:rsid w:val="00833335"/>
    <w:rsid w:val="0083394E"/>
    <w:rsid w:val="008345B9"/>
    <w:rsid w:val="008347DF"/>
    <w:rsid w:val="00835100"/>
    <w:rsid w:val="00835DF5"/>
    <w:rsid w:val="00836E3E"/>
    <w:rsid w:val="00836F8E"/>
    <w:rsid w:val="00840537"/>
    <w:rsid w:val="0084096A"/>
    <w:rsid w:val="00840A8B"/>
    <w:rsid w:val="00840D87"/>
    <w:rsid w:val="0084266A"/>
    <w:rsid w:val="0084354E"/>
    <w:rsid w:val="00843EE3"/>
    <w:rsid w:val="00844459"/>
    <w:rsid w:val="008450A2"/>
    <w:rsid w:val="008463F3"/>
    <w:rsid w:val="00846486"/>
    <w:rsid w:val="00846DF1"/>
    <w:rsid w:val="00847382"/>
    <w:rsid w:val="00847782"/>
    <w:rsid w:val="0084793B"/>
    <w:rsid w:val="00847AE4"/>
    <w:rsid w:val="0085066D"/>
    <w:rsid w:val="0085068A"/>
    <w:rsid w:val="00850E8C"/>
    <w:rsid w:val="008513FD"/>
    <w:rsid w:val="008557A7"/>
    <w:rsid w:val="00856548"/>
    <w:rsid w:val="0086128D"/>
    <w:rsid w:val="00862872"/>
    <w:rsid w:val="00862CFA"/>
    <w:rsid w:val="008655DA"/>
    <w:rsid w:val="00865F75"/>
    <w:rsid w:val="00866AFC"/>
    <w:rsid w:val="00872869"/>
    <w:rsid w:val="00873777"/>
    <w:rsid w:val="00874D39"/>
    <w:rsid w:val="008757D2"/>
    <w:rsid w:val="00875931"/>
    <w:rsid w:val="00876474"/>
    <w:rsid w:val="00877177"/>
    <w:rsid w:val="00877DD9"/>
    <w:rsid w:val="00880F3A"/>
    <w:rsid w:val="00880F4A"/>
    <w:rsid w:val="0088180D"/>
    <w:rsid w:val="00881A53"/>
    <w:rsid w:val="00881CF9"/>
    <w:rsid w:val="008825DC"/>
    <w:rsid w:val="0088274A"/>
    <w:rsid w:val="00882CB1"/>
    <w:rsid w:val="00882E9D"/>
    <w:rsid w:val="00885AA5"/>
    <w:rsid w:val="00886546"/>
    <w:rsid w:val="00886740"/>
    <w:rsid w:val="00886A11"/>
    <w:rsid w:val="00886C4B"/>
    <w:rsid w:val="00887142"/>
    <w:rsid w:val="008875D1"/>
    <w:rsid w:val="00890390"/>
    <w:rsid w:val="008915FA"/>
    <w:rsid w:val="0089268C"/>
    <w:rsid w:val="0089407F"/>
    <w:rsid w:val="0089439A"/>
    <w:rsid w:val="00894FD3"/>
    <w:rsid w:val="00896933"/>
    <w:rsid w:val="0089761F"/>
    <w:rsid w:val="008A0B05"/>
    <w:rsid w:val="008A12DB"/>
    <w:rsid w:val="008A2804"/>
    <w:rsid w:val="008A4907"/>
    <w:rsid w:val="008A5E7B"/>
    <w:rsid w:val="008A602D"/>
    <w:rsid w:val="008A7FE5"/>
    <w:rsid w:val="008B0747"/>
    <w:rsid w:val="008B160D"/>
    <w:rsid w:val="008B17C4"/>
    <w:rsid w:val="008B2881"/>
    <w:rsid w:val="008B2AEA"/>
    <w:rsid w:val="008B47D0"/>
    <w:rsid w:val="008B4FE2"/>
    <w:rsid w:val="008B66C8"/>
    <w:rsid w:val="008B69F8"/>
    <w:rsid w:val="008B7D2F"/>
    <w:rsid w:val="008C01FB"/>
    <w:rsid w:val="008C0CE1"/>
    <w:rsid w:val="008C1C4C"/>
    <w:rsid w:val="008C582A"/>
    <w:rsid w:val="008C59C0"/>
    <w:rsid w:val="008C7C81"/>
    <w:rsid w:val="008D05DF"/>
    <w:rsid w:val="008D099B"/>
    <w:rsid w:val="008D0B74"/>
    <w:rsid w:val="008D11B7"/>
    <w:rsid w:val="008D22C8"/>
    <w:rsid w:val="008D253D"/>
    <w:rsid w:val="008D2D4D"/>
    <w:rsid w:val="008D2EFF"/>
    <w:rsid w:val="008D523C"/>
    <w:rsid w:val="008D5724"/>
    <w:rsid w:val="008D5A10"/>
    <w:rsid w:val="008D61FD"/>
    <w:rsid w:val="008D67DF"/>
    <w:rsid w:val="008D71CB"/>
    <w:rsid w:val="008E1065"/>
    <w:rsid w:val="008E1A57"/>
    <w:rsid w:val="008E2D1E"/>
    <w:rsid w:val="008E304D"/>
    <w:rsid w:val="008E3268"/>
    <w:rsid w:val="008E33E4"/>
    <w:rsid w:val="008E4851"/>
    <w:rsid w:val="008E5355"/>
    <w:rsid w:val="008E5F4F"/>
    <w:rsid w:val="008E615B"/>
    <w:rsid w:val="008E62D9"/>
    <w:rsid w:val="008E6340"/>
    <w:rsid w:val="008E67F6"/>
    <w:rsid w:val="008E78AD"/>
    <w:rsid w:val="008F0197"/>
    <w:rsid w:val="008F072B"/>
    <w:rsid w:val="008F0888"/>
    <w:rsid w:val="008F0901"/>
    <w:rsid w:val="008F1352"/>
    <w:rsid w:val="008F23C2"/>
    <w:rsid w:val="008F3B0D"/>
    <w:rsid w:val="008F3B7C"/>
    <w:rsid w:val="008F3E5F"/>
    <w:rsid w:val="008F5C41"/>
    <w:rsid w:val="008F5E4E"/>
    <w:rsid w:val="008F605D"/>
    <w:rsid w:val="008F66F8"/>
    <w:rsid w:val="008F7445"/>
    <w:rsid w:val="008F779C"/>
    <w:rsid w:val="008F7DA7"/>
    <w:rsid w:val="0090119B"/>
    <w:rsid w:val="00902B00"/>
    <w:rsid w:val="0090356D"/>
    <w:rsid w:val="00904323"/>
    <w:rsid w:val="00904964"/>
    <w:rsid w:val="00907349"/>
    <w:rsid w:val="009077AB"/>
    <w:rsid w:val="0091168D"/>
    <w:rsid w:val="00911C6C"/>
    <w:rsid w:val="00912AC9"/>
    <w:rsid w:val="00913F9E"/>
    <w:rsid w:val="00915919"/>
    <w:rsid w:val="00916127"/>
    <w:rsid w:val="009167B6"/>
    <w:rsid w:val="00916838"/>
    <w:rsid w:val="00917379"/>
    <w:rsid w:val="00917392"/>
    <w:rsid w:val="00920580"/>
    <w:rsid w:val="009223FC"/>
    <w:rsid w:val="00923E3E"/>
    <w:rsid w:val="009251C8"/>
    <w:rsid w:val="009253E6"/>
    <w:rsid w:val="009265F0"/>
    <w:rsid w:val="00926A15"/>
    <w:rsid w:val="00926A82"/>
    <w:rsid w:val="00926DAC"/>
    <w:rsid w:val="00927832"/>
    <w:rsid w:val="0093048C"/>
    <w:rsid w:val="009323E2"/>
    <w:rsid w:val="0093245E"/>
    <w:rsid w:val="00932A71"/>
    <w:rsid w:val="00933FC2"/>
    <w:rsid w:val="0093493E"/>
    <w:rsid w:val="00935122"/>
    <w:rsid w:val="0093541F"/>
    <w:rsid w:val="00935C6F"/>
    <w:rsid w:val="00936E1A"/>
    <w:rsid w:val="009400F9"/>
    <w:rsid w:val="00940D13"/>
    <w:rsid w:val="009426F7"/>
    <w:rsid w:val="00944C42"/>
    <w:rsid w:val="009468DB"/>
    <w:rsid w:val="00947598"/>
    <w:rsid w:val="009475AA"/>
    <w:rsid w:val="00947A71"/>
    <w:rsid w:val="00950E1A"/>
    <w:rsid w:val="00953FDE"/>
    <w:rsid w:val="00956856"/>
    <w:rsid w:val="00956FBC"/>
    <w:rsid w:val="00957E7B"/>
    <w:rsid w:val="00957EF5"/>
    <w:rsid w:val="0096205E"/>
    <w:rsid w:val="0096274D"/>
    <w:rsid w:val="00963D75"/>
    <w:rsid w:val="009647BD"/>
    <w:rsid w:val="00964B0E"/>
    <w:rsid w:val="009651AC"/>
    <w:rsid w:val="0096535B"/>
    <w:rsid w:val="009674D5"/>
    <w:rsid w:val="00970925"/>
    <w:rsid w:val="00970B99"/>
    <w:rsid w:val="00971EF6"/>
    <w:rsid w:val="009721DC"/>
    <w:rsid w:val="00973433"/>
    <w:rsid w:val="009747BA"/>
    <w:rsid w:val="009753C6"/>
    <w:rsid w:val="009754F4"/>
    <w:rsid w:val="009766B8"/>
    <w:rsid w:val="00976B24"/>
    <w:rsid w:val="009801C2"/>
    <w:rsid w:val="0098154A"/>
    <w:rsid w:val="00982B4B"/>
    <w:rsid w:val="00984348"/>
    <w:rsid w:val="0098437B"/>
    <w:rsid w:val="0098456D"/>
    <w:rsid w:val="00984830"/>
    <w:rsid w:val="00984DCC"/>
    <w:rsid w:val="009851AA"/>
    <w:rsid w:val="009869D6"/>
    <w:rsid w:val="00987BC2"/>
    <w:rsid w:val="0099025F"/>
    <w:rsid w:val="009909F0"/>
    <w:rsid w:val="00991366"/>
    <w:rsid w:val="0099260C"/>
    <w:rsid w:val="0099274C"/>
    <w:rsid w:val="00992F18"/>
    <w:rsid w:val="0099332A"/>
    <w:rsid w:val="009933D9"/>
    <w:rsid w:val="009935F6"/>
    <w:rsid w:val="009954D6"/>
    <w:rsid w:val="00995DE7"/>
    <w:rsid w:val="00996711"/>
    <w:rsid w:val="00997391"/>
    <w:rsid w:val="00997A17"/>
    <w:rsid w:val="009A03AA"/>
    <w:rsid w:val="009A078F"/>
    <w:rsid w:val="009A0BC2"/>
    <w:rsid w:val="009A0F8A"/>
    <w:rsid w:val="009A136D"/>
    <w:rsid w:val="009A3057"/>
    <w:rsid w:val="009A3E64"/>
    <w:rsid w:val="009A494C"/>
    <w:rsid w:val="009A7706"/>
    <w:rsid w:val="009B0529"/>
    <w:rsid w:val="009B0A47"/>
    <w:rsid w:val="009B1671"/>
    <w:rsid w:val="009B2249"/>
    <w:rsid w:val="009B5E77"/>
    <w:rsid w:val="009B5FF2"/>
    <w:rsid w:val="009B622D"/>
    <w:rsid w:val="009C03DA"/>
    <w:rsid w:val="009C08CA"/>
    <w:rsid w:val="009C09B8"/>
    <w:rsid w:val="009C0C84"/>
    <w:rsid w:val="009C26B3"/>
    <w:rsid w:val="009C277D"/>
    <w:rsid w:val="009C2870"/>
    <w:rsid w:val="009C3B90"/>
    <w:rsid w:val="009C4AC1"/>
    <w:rsid w:val="009C572B"/>
    <w:rsid w:val="009C62CF"/>
    <w:rsid w:val="009C69E6"/>
    <w:rsid w:val="009D0131"/>
    <w:rsid w:val="009D1A26"/>
    <w:rsid w:val="009D1AF6"/>
    <w:rsid w:val="009D2268"/>
    <w:rsid w:val="009D22B2"/>
    <w:rsid w:val="009D2770"/>
    <w:rsid w:val="009D2B4A"/>
    <w:rsid w:val="009D2C1F"/>
    <w:rsid w:val="009D3CAB"/>
    <w:rsid w:val="009D3EC0"/>
    <w:rsid w:val="009D451A"/>
    <w:rsid w:val="009D75DB"/>
    <w:rsid w:val="009D7923"/>
    <w:rsid w:val="009D7EA8"/>
    <w:rsid w:val="009E4887"/>
    <w:rsid w:val="009E494E"/>
    <w:rsid w:val="009E4DFD"/>
    <w:rsid w:val="009E5302"/>
    <w:rsid w:val="009E5431"/>
    <w:rsid w:val="009E5861"/>
    <w:rsid w:val="009E5C1C"/>
    <w:rsid w:val="009E6AEA"/>
    <w:rsid w:val="009E7AC2"/>
    <w:rsid w:val="009F0B5C"/>
    <w:rsid w:val="009F1229"/>
    <w:rsid w:val="009F169C"/>
    <w:rsid w:val="009F2503"/>
    <w:rsid w:val="009F2BA9"/>
    <w:rsid w:val="009F3200"/>
    <w:rsid w:val="009F42FA"/>
    <w:rsid w:val="009F43C4"/>
    <w:rsid w:val="009F58CD"/>
    <w:rsid w:val="009F5B98"/>
    <w:rsid w:val="009F72E1"/>
    <w:rsid w:val="009F73E0"/>
    <w:rsid w:val="00A000D2"/>
    <w:rsid w:val="00A0032F"/>
    <w:rsid w:val="00A00494"/>
    <w:rsid w:val="00A0086C"/>
    <w:rsid w:val="00A0129D"/>
    <w:rsid w:val="00A0202C"/>
    <w:rsid w:val="00A02813"/>
    <w:rsid w:val="00A02BD2"/>
    <w:rsid w:val="00A032B1"/>
    <w:rsid w:val="00A03328"/>
    <w:rsid w:val="00A037E5"/>
    <w:rsid w:val="00A042A2"/>
    <w:rsid w:val="00A04CE7"/>
    <w:rsid w:val="00A0515D"/>
    <w:rsid w:val="00A05429"/>
    <w:rsid w:val="00A05DC7"/>
    <w:rsid w:val="00A11978"/>
    <w:rsid w:val="00A1285F"/>
    <w:rsid w:val="00A1332D"/>
    <w:rsid w:val="00A135B4"/>
    <w:rsid w:val="00A13D92"/>
    <w:rsid w:val="00A140F4"/>
    <w:rsid w:val="00A141EF"/>
    <w:rsid w:val="00A144FD"/>
    <w:rsid w:val="00A15E2A"/>
    <w:rsid w:val="00A20034"/>
    <w:rsid w:val="00A20245"/>
    <w:rsid w:val="00A203B2"/>
    <w:rsid w:val="00A2079F"/>
    <w:rsid w:val="00A20D42"/>
    <w:rsid w:val="00A2105F"/>
    <w:rsid w:val="00A21274"/>
    <w:rsid w:val="00A21709"/>
    <w:rsid w:val="00A222BC"/>
    <w:rsid w:val="00A225FC"/>
    <w:rsid w:val="00A2568C"/>
    <w:rsid w:val="00A30124"/>
    <w:rsid w:val="00A30A2F"/>
    <w:rsid w:val="00A30CF2"/>
    <w:rsid w:val="00A30DC3"/>
    <w:rsid w:val="00A31CEC"/>
    <w:rsid w:val="00A3394A"/>
    <w:rsid w:val="00A342AB"/>
    <w:rsid w:val="00A34BB6"/>
    <w:rsid w:val="00A34F16"/>
    <w:rsid w:val="00A36702"/>
    <w:rsid w:val="00A40457"/>
    <w:rsid w:val="00A409A6"/>
    <w:rsid w:val="00A4101C"/>
    <w:rsid w:val="00A41060"/>
    <w:rsid w:val="00A424B2"/>
    <w:rsid w:val="00A4369E"/>
    <w:rsid w:val="00A4390F"/>
    <w:rsid w:val="00A43998"/>
    <w:rsid w:val="00A43CF7"/>
    <w:rsid w:val="00A4455C"/>
    <w:rsid w:val="00A44CB4"/>
    <w:rsid w:val="00A45BBD"/>
    <w:rsid w:val="00A468FE"/>
    <w:rsid w:val="00A4737E"/>
    <w:rsid w:val="00A47BBF"/>
    <w:rsid w:val="00A519F1"/>
    <w:rsid w:val="00A526D9"/>
    <w:rsid w:val="00A544BE"/>
    <w:rsid w:val="00A54D92"/>
    <w:rsid w:val="00A55930"/>
    <w:rsid w:val="00A55DCA"/>
    <w:rsid w:val="00A61C94"/>
    <w:rsid w:val="00A61FBC"/>
    <w:rsid w:val="00A62688"/>
    <w:rsid w:val="00A62961"/>
    <w:rsid w:val="00A62EEB"/>
    <w:rsid w:val="00A63E76"/>
    <w:rsid w:val="00A640BB"/>
    <w:rsid w:val="00A6453A"/>
    <w:rsid w:val="00A652BA"/>
    <w:rsid w:val="00A66CEC"/>
    <w:rsid w:val="00A66E89"/>
    <w:rsid w:val="00A674A6"/>
    <w:rsid w:val="00A67E03"/>
    <w:rsid w:val="00A71534"/>
    <w:rsid w:val="00A71C82"/>
    <w:rsid w:val="00A72F53"/>
    <w:rsid w:val="00A73BBB"/>
    <w:rsid w:val="00A74A04"/>
    <w:rsid w:val="00A75580"/>
    <w:rsid w:val="00A7583C"/>
    <w:rsid w:val="00A75F1D"/>
    <w:rsid w:val="00A7667F"/>
    <w:rsid w:val="00A76D00"/>
    <w:rsid w:val="00A81E0D"/>
    <w:rsid w:val="00A8292C"/>
    <w:rsid w:val="00A8407E"/>
    <w:rsid w:val="00A853A5"/>
    <w:rsid w:val="00A85732"/>
    <w:rsid w:val="00A857EA"/>
    <w:rsid w:val="00A86208"/>
    <w:rsid w:val="00A8653F"/>
    <w:rsid w:val="00A86965"/>
    <w:rsid w:val="00A869F0"/>
    <w:rsid w:val="00A86D51"/>
    <w:rsid w:val="00A8723B"/>
    <w:rsid w:val="00A877B4"/>
    <w:rsid w:val="00A9036B"/>
    <w:rsid w:val="00A909C6"/>
    <w:rsid w:val="00A90CE1"/>
    <w:rsid w:val="00A91979"/>
    <w:rsid w:val="00A919B5"/>
    <w:rsid w:val="00A91AD5"/>
    <w:rsid w:val="00A92C4E"/>
    <w:rsid w:val="00A9435C"/>
    <w:rsid w:val="00A94A4C"/>
    <w:rsid w:val="00A96FB8"/>
    <w:rsid w:val="00A97FC1"/>
    <w:rsid w:val="00AA056B"/>
    <w:rsid w:val="00AA1995"/>
    <w:rsid w:val="00AA1D76"/>
    <w:rsid w:val="00AA2264"/>
    <w:rsid w:val="00AA2579"/>
    <w:rsid w:val="00AA4602"/>
    <w:rsid w:val="00AA4BDF"/>
    <w:rsid w:val="00AA4E55"/>
    <w:rsid w:val="00AA59D0"/>
    <w:rsid w:val="00AB2F75"/>
    <w:rsid w:val="00AB3865"/>
    <w:rsid w:val="00AB3923"/>
    <w:rsid w:val="00AB43F9"/>
    <w:rsid w:val="00AB4920"/>
    <w:rsid w:val="00AB4F41"/>
    <w:rsid w:val="00AB5600"/>
    <w:rsid w:val="00AC09A6"/>
    <w:rsid w:val="00AC0EC9"/>
    <w:rsid w:val="00AC1BA8"/>
    <w:rsid w:val="00AC32A1"/>
    <w:rsid w:val="00AC3461"/>
    <w:rsid w:val="00AC355F"/>
    <w:rsid w:val="00AC3FA0"/>
    <w:rsid w:val="00AC4D16"/>
    <w:rsid w:val="00AC4E3B"/>
    <w:rsid w:val="00AC5634"/>
    <w:rsid w:val="00AC7092"/>
    <w:rsid w:val="00AC7E21"/>
    <w:rsid w:val="00AD6B67"/>
    <w:rsid w:val="00AD7248"/>
    <w:rsid w:val="00AD76A6"/>
    <w:rsid w:val="00AE00BA"/>
    <w:rsid w:val="00AE0AA4"/>
    <w:rsid w:val="00AE14A4"/>
    <w:rsid w:val="00AE1E6C"/>
    <w:rsid w:val="00AE24E7"/>
    <w:rsid w:val="00AE265C"/>
    <w:rsid w:val="00AE29B5"/>
    <w:rsid w:val="00AE3081"/>
    <w:rsid w:val="00AE32CE"/>
    <w:rsid w:val="00AE360A"/>
    <w:rsid w:val="00AE3CC5"/>
    <w:rsid w:val="00AE68C1"/>
    <w:rsid w:val="00AE7AA6"/>
    <w:rsid w:val="00AF177D"/>
    <w:rsid w:val="00AF1785"/>
    <w:rsid w:val="00AF18C5"/>
    <w:rsid w:val="00AF26E8"/>
    <w:rsid w:val="00AF439B"/>
    <w:rsid w:val="00AF49E7"/>
    <w:rsid w:val="00AF4BBB"/>
    <w:rsid w:val="00AF5F83"/>
    <w:rsid w:val="00AF6109"/>
    <w:rsid w:val="00AF67AC"/>
    <w:rsid w:val="00B0042E"/>
    <w:rsid w:val="00B0058C"/>
    <w:rsid w:val="00B01429"/>
    <w:rsid w:val="00B015B9"/>
    <w:rsid w:val="00B0176E"/>
    <w:rsid w:val="00B017F8"/>
    <w:rsid w:val="00B01E82"/>
    <w:rsid w:val="00B02855"/>
    <w:rsid w:val="00B0359B"/>
    <w:rsid w:val="00B0395A"/>
    <w:rsid w:val="00B03C7C"/>
    <w:rsid w:val="00B04060"/>
    <w:rsid w:val="00B05374"/>
    <w:rsid w:val="00B07160"/>
    <w:rsid w:val="00B076B6"/>
    <w:rsid w:val="00B07B7D"/>
    <w:rsid w:val="00B101FB"/>
    <w:rsid w:val="00B10537"/>
    <w:rsid w:val="00B10553"/>
    <w:rsid w:val="00B10C03"/>
    <w:rsid w:val="00B11108"/>
    <w:rsid w:val="00B126F0"/>
    <w:rsid w:val="00B127A6"/>
    <w:rsid w:val="00B14BA8"/>
    <w:rsid w:val="00B14E17"/>
    <w:rsid w:val="00B17648"/>
    <w:rsid w:val="00B21040"/>
    <w:rsid w:val="00B2115C"/>
    <w:rsid w:val="00B21B14"/>
    <w:rsid w:val="00B223BA"/>
    <w:rsid w:val="00B22A8E"/>
    <w:rsid w:val="00B23480"/>
    <w:rsid w:val="00B2462D"/>
    <w:rsid w:val="00B247EC"/>
    <w:rsid w:val="00B249F8"/>
    <w:rsid w:val="00B260AC"/>
    <w:rsid w:val="00B26B3F"/>
    <w:rsid w:val="00B26DB4"/>
    <w:rsid w:val="00B272DD"/>
    <w:rsid w:val="00B27DE1"/>
    <w:rsid w:val="00B31EF7"/>
    <w:rsid w:val="00B33561"/>
    <w:rsid w:val="00B33ACA"/>
    <w:rsid w:val="00B33D38"/>
    <w:rsid w:val="00B33DA8"/>
    <w:rsid w:val="00B34F30"/>
    <w:rsid w:val="00B35151"/>
    <w:rsid w:val="00B35347"/>
    <w:rsid w:val="00B355AB"/>
    <w:rsid w:val="00B35AD4"/>
    <w:rsid w:val="00B35DC1"/>
    <w:rsid w:val="00B36036"/>
    <w:rsid w:val="00B36A11"/>
    <w:rsid w:val="00B379E6"/>
    <w:rsid w:val="00B406F8"/>
    <w:rsid w:val="00B40B26"/>
    <w:rsid w:val="00B41251"/>
    <w:rsid w:val="00B43200"/>
    <w:rsid w:val="00B435D8"/>
    <w:rsid w:val="00B44289"/>
    <w:rsid w:val="00B4455C"/>
    <w:rsid w:val="00B44A1A"/>
    <w:rsid w:val="00B45448"/>
    <w:rsid w:val="00B45535"/>
    <w:rsid w:val="00B45898"/>
    <w:rsid w:val="00B4633E"/>
    <w:rsid w:val="00B468F8"/>
    <w:rsid w:val="00B4788A"/>
    <w:rsid w:val="00B500ED"/>
    <w:rsid w:val="00B506C7"/>
    <w:rsid w:val="00B50825"/>
    <w:rsid w:val="00B51958"/>
    <w:rsid w:val="00B51A7C"/>
    <w:rsid w:val="00B51E3A"/>
    <w:rsid w:val="00B53941"/>
    <w:rsid w:val="00B53A14"/>
    <w:rsid w:val="00B5403B"/>
    <w:rsid w:val="00B56D1F"/>
    <w:rsid w:val="00B6041F"/>
    <w:rsid w:val="00B62F9B"/>
    <w:rsid w:val="00B647AD"/>
    <w:rsid w:val="00B673BE"/>
    <w:rsid w:val="00B7154A"/>
    <w:rsid w:val="00B71A71"/>
    <w:rsid w:val="00B72097"/>
    <w:rsid w:val="00B72B70"/>
    <w:rsid w:val="00B72D72"/>
    <w:rsid w:val="00B7342F"/>
    <w:rsid w:val="00B75120"/>
    <w:rsid w:val="00B752EB"/>
    <w:rsid w:val="00B76BD2"/>
    <w:rsid w:val="00B77735"/>
    <w:rsid w:val="00B80250"/>
    <w:rsid w:val="00B80896"/>
    <w:rsid w:val="00B80D8F"/>
    <w:rsid w:val="00B81036"/>
    <w:rsid w:val="00B8120B"/>
    <w:rsid w:val="00B8217D"/>
    <w:rsid w:val="00B827C2"/>
    <w:rsid w:val="00B832BA"/>
    <w:rsid w:val="00B8384C"/>
    <w:rsid w:val="00B857AF"/>
    <w:rsid w:val="00B85A63"/>
    <w:rsid w:val="00B867CC"/>
    <w:rsid w:val="00B902B3"/>
    <w:rsid w:val="00B91241"/>
    <w:rsid w:val="00B9161F"/>
    <w:rsid w:val="00B91BB2"/>
    <w:rsid w:val="00B92604"/>
    <w:rsid w:val="00B938B2"/>
    <w:rsid w:val="00B94851"/>
    <w:rsid w:val="00B951EC"/>
    <w:rsid w:val="00B966D5"/>
    <w:rsid w:val="00B975D0"/>
    <w:rsid w:val="00B97F53"/>
    <w:rsid w:val="00BA033F"/>
    <w:rsid w:val="00BA0D62"/>
    <w:rsid w:val="00BA1065"/>
    <w:rsid w:val="00BA12E0"/>
    <w:rsid w:val="00BA1686"/>
    <w:rsid w:val="00BA2A38"/>
    <w:rsid w:val="00BA4C87"/>
    <w:rsid w:val="00BA4E36"/>
    <w:rsid w:val="00BA4F09"/>
    <w:rsid w:val="00BA5D58"/>
    <w:rsid w:val="00BA78C8"/>
    <w:rsid w:val="00BB1646"/>
    <w:rsid w:val="00BB2202"/>
    <w:rsid w:val="00BB3451"/>
    <w:rsid w:val="00BB44ED"/>
    <w:rsid w:val="00BB608B"/>
    <w:rsid w:val="00BB72FB"/>
    <w:rsid w:val="00BB79FC"/>
    <w:rsid w:val="00BC01E8"/>
    <w:rsid w:val="00BC1762"/>
    <w:rsid w:val="00BC1A46"/>
    <w:rsid w:val="00BC258F"/>
    <w:rsid w:val="00BC31D1"/>
    <w:rsid w:val="00BC3586"/>
    <w:rsid w:val="00BC41B0"/>
    <w:rsid w:val="00BC465B"/>
    <w:rsid w:val="00BC4CF9"/>
    <w:rsid w:val="00BC6242"/>
    <w:rsid w:val="00BC6972"/>
    <w:rsid w:val="00BD1202"/>
    <w:rsid w:val="00BD3B00"/>
    <w:rsid w:val="00BD58CA"/>
    <w:rsid w:val="00BE0085"/>
    <w:rsid w:val="00BE016B"/>
    <w:rsid w:val="00BE05F8"/>
    <w:rsid w:val="00BE07D1"/>
    <w:rsid w:val="00BE0F65"/>
    <w:rsid w:val="00BE3B75"/>
    <w:rsid w:val="00BE4085"/>
    <w:rsid w:val="00BE4A28"/>
    <w:rsid w:val="00BE4DD0"/>
    <w:rsid w:val="00BE5BD3"/>
    <w:rsid w:val="00BE60D4"/>
    <w:rsid w:val="00BE6910"/>
    <w:rsid w:val="00BE6A28"/>
    <w:rsid w:val="00BE6A3C"/>
    <w:rsid w:val="00BF0CFB"/>
    <w:rsid w:val="00BF0FFB"/>
    <w:rsid w:val="00BF13AA"/>
    <w:rsid w:val="00BF1742"/>
    <w:rsid w:val="00BF17C0"/>
    <w:rsid w:val="00BF2548"/>
    <w:rsid w:val="00BF277B"/>
    <w:rsid w:val="00BF401B"/>
    <w:rsid w:val="00BF49AA"/>
    <w:rsid w:val="00BF4AB5"/>
    <w:rsid w:val="00BF588F"/>
    <w:rsid w:val="00BF6374"/>
    <w:rsid w:val="00BF6819"/>
    <w:rsid w:val="00BF7699"/>
    <w:rsid w:val="00BF7BA2"/>
    <w:rsid w:val="00C00679"/>
    <w:rsid w:val="00C02C67"/>
    <w:rsid w:val="00C04A67"/>
    <w:rsid w:val="00C0578E"/>
    <w:rsid w:val="00C05D07"/>
    <w:rsid w:val="00C06A02"/>
    <w:rsid w:val="00C07423"/>
    <w:rsid w:val="00C10457"/>
    <w:rsid w:val="00C1090E"/>
    <w:rsid w:val="00C11620"/>
    <w:rsid w:val="00C11C07"/>
    <w:rsid w:val="00C126F0"/>
    <w:rsid w:val="00C129F8"/>
    <w:rsid w:val="00C135BC"/>
    <w:rsid w:val="00C14A62"/>
    <w:rsid w:val="00C14BFB"/>
    <w:rsid w:val="00C151AF"/>
    <w:rsid w:val="00C151F2"/>
    <w:rsid w:val="00C156EA"/>
    <w:rsid w:val="00C15941"/>
    <w:rsid w:val="00C16052"/>
    <w:rsid w:val="00C17206"/>
    <w:rsid w:val="00C17318"/>
    <w:rsid w:val="00C179AD"/>
    <w:rsid w:val="00C2008B"/>
    <w:rsid w:val="00C21177"/>
    <w:rsid w:val="00C23352"/>
    <w:rsid w:val="00C23A3E"/>
    <w:rsid w:val="00C23E3C"/>
    <w:rsid w:val="00C243C7"/>
    <w:rsid w:val="00C24776"/>
    <w:rsid w:val="00C248D4"/>
    <w:rsid w:val="00C24DE8"/>
    <w:rsid w:val="00C24F89"/>
    <w:rsid w:val="00C25A25"/>
    <w:rsid w:val="00C25A84"/>
    <w:rsid w:val="00C25C76"/>
    <w:rsid w:val="00C262DE"/>
    <w:rsid w:val="00C2650B"/>
    <w:rsid w:val="00C26548"/>
    <w:rsid w:val="00C265F1"/>
    <w:rsid w:val="00C265FB"/>
    <w:rsid w:val="00C27F7A"/>
    <w:rsid w:val="00C3016D"/>
    <w:rsid w:val="00C30892"/>
    <w:rsid w:val="00C33441"/>
    <w:rsid w:val="00C339E6"/>
    <w:rsid w:val="00C34B83"/>
    <w:rsid w:val="00C3592D"/>
    <w:rsid w:val="00C364DD"/>
    <w:rsid w:val="00C40A6B"/>
    <w:rsid w:val="00C410B1"/>
    <w:rsid w:val="00C41369"/>
    <w:rsid w:val="00C41815"/>
    <w:rsid w:val="00C42461"/>
    <w:rsid w:val="00C440BE"/>
    <w:rsid w:val="00C45F6B"/>
    <w:rsid w:val="00C476E2"/>
    <w:rsid w:val="00C47DA9"/>
    <w:rsid w:val="00C47EE1"/>
    <w:rsid w:val="00C500B6"/>
    <w:rsid w:val="00C504FA"/>
    <w:rsid w:val="00C50B0A"/>
    <w:rsid w:val="00C51289"/>
    <w:rsid w:val="00C55FD9"/>
    <w:rsid w:val="00C5711C"/>
    <w:rsid w:val="00C5715A"/>
    <w:rsid w:val="00C613E7"/>
    <w:rsid w:val="00C6390D"/>
    <w:rsid w:val="00C644E9"/>
    <w:rsid w:val="00C64EB3"/>
    <w:rsid w:val="00C65098"/>
    <w:rsid w:val="00C66E24"/>
    <w:rsid w:val="00C701D9"/>
    <w:rsid w:val="00C70F14"/>
    <w:rsid w:val="00C70FA3"/>
    <w:rsid w:val="00C728FB"/>
    <w:rsid w:val="00C73B44"/>
    <w:rsid w:val="00C74A2F"/>
    <w:rsid w:val="00C74CB8"/>
    <w:rsid w:val="00C75241"/>
    <w:rsid w:val="00C7530A"/>
    <w:rsid w:val="00C75B2B"/>
    <w:rsid w:val="00C75B84"/>
    <w:rsid w:val="00C76B55"/>
    <w:rsid w:val="00C76E85"/>
    <w:rsid w:val="00C77645"/>
    <w:rsid w:val="00C77E15"/>
    <w:rsid w:val="00C80450"/>
    <w:rsid w:val="00C80B78"/>
    <w:rsid w:val="00C82005"/>
    <w:rsid w:val="00C8205E"/>
    <w:rsid w:val="00C82106"/>
    <w:rsid w:val="00C82814"/>
    <w:rsid w:val="00C82CDF"/>
    <w:rsid w:val="00C8446C"/>
    <w:rsid w:val="00C85D8D"/>
    <w:rsid w:val="00C86CC0"/>
    <w:rsid w:val="00C87A58"/>
    <w:rsid w:val="00C91B8E"/>
    <w:rsid w:val="00C91C39"/>
    <w:rsid w:val="00C95364"/>
    <w:rsid w:val="00C959E7"/>
    <w:rsid w:val="00C95E22"/>
    <w:rsid w:val="00C96BBB"/>
    <w:rsid w:val="00C96EB4"/>
    <w:rsid w:val="00CA02DC"/>
    <w:rsid w:val="00CA287A"/>
    <w:rsid w:val="00CA2A3D"/>
    <w:rsid w:val="00CA2CFC"/>
    <w:rsid w:val="00CA30D5"/>
    <w:rsid w:val="00CA5E31"/>
    <w:rsid w:val="00CA5EDC"/>
    <w:rsid w:val="00CA6016"/>
    <w:rsid w:val="00CA62F2"/>
    <w:rsid w:val="00CA7914"/>
    <w:rsid w:val="00CB0000"/>
    <w:rsid w:val="00CB00A7"/>
    <w:rsid w:val="00CB085D"/>
    <w:rsid w:val="00CB0918"/>
    <w:rsid w:val="00CB0A88"/>
    <w:rsid w:val="00CB23FB"/>
    <w:rsid w:val="00CB28BE"/>
    <w:rsid w:val="00CB48C7"/>
    <w:rsid w:val="00CB7782"/>
    <w:rsid w:val="00CB791F"/>
    <w:rsid w:val="00CC01FD"/>
    <w:rsid w:val="00CC0265"/>
    <w:rsid w:val="00CC137D"/>
    <w:rsid w:val="00CC14DD"/>
    <w:rsid w:val="00CC495E"/>
    <w:rsid w:val="00CC50A1"/>
    <w:rsid w:val="00CC5109"/>
    <w:rsid w:val="00CC51A7"/>
    <w:rsid w:val="00CC5A5D"/>
    <w:rsid w:val="00CC5FBD"/>
    <w:rsid w:val="00CC6504"/>
    <w:rsid w:val="00CC6D18"/>
    <w:rsid w:val="00CC7446"/>
    <w:rsid w:val="00CC7FE5"/>
    <w:rsid w:val="00CD090D"/>
    <w:rsid w:val="00CD1ED9"/>
    <w:rsid w:val="00CD4549"/>
    <w:rsid w:val="00CD49EA"/>
    <w:rsid w:val="00CD4CCC"/>
    <w:rsid w:val="00CD54B0"/>
    <w:rsid w:val="00CD6644"/>
    <w:rsid w:val="00CD7153"/>
    <w:rsid w:val="00CD7744"/>
    <w:rsid w:val="00CE0A27"/>
    <w:rsid w:val="00CE112C"/>
    <w:rsid w:val="00CE23C5"/>
    <w:rsid w:val="00CE41DA"/>
    <w:rsid w:val="00CE4D6C"/>
    <w:rsid w:val="00CE51AD"/>
    <w:rsid w:val="00CE5296"/>
    <w:rsid w:val="00CE6DD4"/>
    <w:rsid w:val="00CE72B2"/>
    <w:rsid w:val="00CE7362"/>
    <w:rsid w:val="00CE74C8"/>
    <w:rsid w:val="00CE77AD"/>
    <w:rsid w:val="00CE7A88"/>
    <w:rsid w:val="00CE7CB0"/>
    <w:rsid w:val="00CF0DDA"/>
    <w:rsid w:val="00CF0F13"/>
    <w:rsid w:val="00CF5CC8"/>
    <w:rsid w:val="00CF61D3"/>
    <w:rsid w:val="00CF6993"/>
    <w:rsid w:val="00CF7F2B"/>
    <w:rsid w:val="00D0117B"/>
    <w:rsid w:val="00D014DF"/>
    <w:rsid w:val="00D03DDA"/>
    <w:rsid w:val="00D04B53"/>
    <w:rsid w:val="00D05985"/>
    <w:rsid w:val="00D07696"/>
    <w:rsid w:val="00D113EA"/>
    <w:rsid w:val="00D11596"/>
    <w:rsid w:val="00D11694"/>
    <w:rsid w:val="00D11E4A"/>
    <w:rsid w:val="00D11FD7"/>
    <w:rsid w:val="00D1325A"/>
    <w:rsid w:val="00D14476"/>
    <w:rsid w:val="00D1485D"/>
    <w:rsid w:val="00D163B8"/>
    <w:rsid w:val="00D20958"/>
    <w:rsid w:val="00D214D5"/>
    <w:rsid w:val="00D22784"/>
    <w:rsid w:val="00D233B7"/>
    <w:rsid w:val="00D2440E"/>
    <w:rsid w:val="00D251A2"/>
    <w:rsid w:val="00D25B40"/>
    <w:rsid w:val="00D2610E"/>
    <w:rsid w:val="00D278A2"/>
    <w:rsid w:val="00D306CE"/>
    <w:rsid w:val="00D31144"/>
    <w:rsid w:val="00D31881"/>
    <w:rsid w:val="00D31AD9"/>
    <w:rsid w:val="00D323BA"/>
    <w:rsid w:val="00D33207"/>
    <w:rsid w:val="00D3337A"/>
    <w:rsid w:val="00D33739"/>
    <w:rsid w:val="00D339FF"/>
    <w:rsid w:val="00D33D43"/>
    <w:rsid w:val="00D34629"/>
    <w:rsid w:val="00D34FCA"/>
    <w:rsid w:val="00D352DD"/>
    <w:rsid w:val="00D37969"/>
    <w:rsid w:val="00D37ABC"/>
    <w:rsid w:val="00D40CF8"/>
    <w:rsid w:val="00D41900"/>
    <w:rsid w:val="00D41F32"/>
    <w:rsid w:val="00D4318D"/>
    <w:rsid w:val="00D447C1"/>
    <w:rsid w:val="00D44CBB"/>
    <w:rsid w:val="00D45E12"/>
    <w:rsid w:val="00D46485"/>
    <w:rsid w:val="00D46A31"/>
    <w:rsid w:val="00D47A3C"/>
    <w:rsid w:val="00D500C1"/>
    <w:rsid w:val="00D50236"/>
    <w:rsid w:val="00D503DB"/>
    <w:rsid w:val="00D50B0D"/>
    <w:rsid w:val="00D51AE4"/>
    <w:rsid w:val="00D53935"/>
    <w:rsid w:val="00D54FC1"/>
    <w:rsid w:val="00D55B80"/>
    <w:rsid w:val="00D562F6"/>
    <w:rsid w:val="00D5674F"/>
    <w:rsid w:val="00D5701A"/>
    <w:rsid w:val="00D601E8"/>
    <w:rsid w:val="00D60253"/>
    <w:rsid w:val="00D60E82"/>
    <w:rsid w:val="00D61BD0"/>
    <w:rsid w:val="00D62334"/>
    <w:rsid w:val="00D6272B"/>
    <w:rsid w:val="00D62875"/>
    <w:rsid w:val="00D62BC6"/>
    <w:rsid w:val="00D6315E"/>
    <w:rsid w:val="00D632BF"/>
    <w:rsid w:val="00D635BC"/>
    <w:rsid w:val="00D6416D"/>
    <w:rsid w:val="00D6486B"/>
    <w:rsid w:val="00D64D16"/>
    <w:rsid w:val="00D66747"/>
    <w:rsid w:val="00D6714A"/>
    <w:rsid w:val="00D70986"/>
    <w:rsid w:val="00D7251F"/>
    <w:rsid w:val="00D73562"/>
    <w:rsid w:val="00D74B7D"/>
    <w:rsid w:val="00D75268"/>
    <w:rsid w:val="00D75631"/>
    <w:rsid w:val="00D75AEE"/>
    <w:rsid w:val="00D7637D"/>
    <w:rsid w:val="00D76974"/>
    <w:rsid w:val="00D77C43"/>
    <w:rsid w:val="00D8008F"/>
    <w:rsid w:val="00D807A4"/>
    <w:rsid w:val="00D81323"/>
    <w:rsid w:val="00D814EC"/>
    <w:rsid w:val="00D81EB7"/>
    <w:rsid w:val="00D82076"/>
    <w:rsid w:val="00D835D5"/>
    <w:rsid w:val="00D837DF"/>
    <w:rsid w:val="00D83D71"/>
    <w:rsid w:val="00D84240"/>
    <w:rsid w:val="00D8453B"/>
    <w:rsid w:val="00D85A15"/>
    <w:rsid w:val="00D85A99"/>
    <w:rsid w:val="00D85EFE"/>
    <w:rsid w:val="00D86648"/>
    <w:rsid w:val="00D87A8C"/>
    <w:rsid w:val="00D906EC"/>
    <w:rsid w:val="00D908CF"/>
    <w:rsid w:val="00D90980"/>
    <w:rsid w:val="00D92B46"/>
    <w:rsid w:val="00D93458"/>
    <w:rsid w:val="00D93E48"/>
    <w:rsid w:val="00D94466"/>
    <w:rsid w:val="00D96A02"/>
    <w:rsid w:val="00D96CEF"/>
    <w:rsid w:val="00D970BE"/>
    <w:rsid w:val="00DA14FC"/>
    <w:rsid w:val="00DA1B29"/>
    <w:rsid w:val="00DA2201"/>
    <w:rsid w:val="00DA4E2A"/>
    <w:rsid w:val="00DA586C"/>
    <w:rsid w:val="00DA6A2A"/>
    <w:rsid w:val="00DA6F3A"/>
    <w:rsid w:val="00DA7F23"/>
    <w:rsid w:val="00DB064D"/>
    <w:rsid w:val="00DB08D8"/>
    <w:rsid w:val="00DB09F9"/>
    <w:rsid w:val="00DB1A15"/>
    <w:rsid w:val="00DB3278"/>
    <w:rsid w:val="00DB3322"/>
    <w:rsid w:val="00DB3705"/>
    <w:rsid w:val="00DB3912"/>
    <w:rsid w:val="00DB43DD"/>
    <w:rsid w:val="00DB56F7"/>
    <w:rsid w:val="00DB7BAB"/>
    <w:rsid w:val="00DC04D6"/>
    <w:rsid w:val="00DC1419"/>
    <w:rsid w:val="00DC298C"/>
    <w:rsid w:val="00DC2A12"/>
    <w:rsid w:val="00DC36D9"/>
    <w:rsid w:val="00DC3F70"/>
    <w:rsid w:val="00DD14F9"/>
    <w:rsid w:val="00DD18F8"/>
    <w:rsid w:val="00DD278C"/>
    <w:rsid w:val="00DD3DDE"/>
    <w:rsid w:val="00DD5DA5"/>
    <w:rsid w:val="00DD5EDA"/>
    <w:rsid w:val="00DD618E"/>
    <w:rsid w:val="00DD7628"/>
    <w:rsid w:val="00DE0615"/>
    <w:rsid w:val="00DE12EA"/>
    <w:rsid w:val="00DE1C85"/>
    <w:rsid w:val="00DE2735"/>
    <w:rsid w:val="00DE33C0"/>
    <w:rsid w:val="00DE39CF"/>
    <w:rsid w:val="00DE436F"/>
    <w:rsid w:val="00DE467F"/>
    <w:rsid w:val="00DE48B3"/>
    <w:rsid w:val="00DE4DED"/>
    <w:rsid w:val="00DE6058"/>
    <w:rsid w:val="00DE66DC"/>
    <w:rsid w:val="00DE78A0"/>
    <w:rsid w:val="00DE78B7"/>
    <w:rsid w:val="00DF02D5"/>
    <w:rsid w:val="00DF10FE"/>
    <w:rsid w:val="00DF1741"/>
    <w:rsid w:val="00DF1902"/>
    <w:rsid w:val="00DF4664"/>
    <w:rsid w:val="00DF5579"/>
    <w:rsid w:val="00DF6D33"/>
    <w:rsid w:val="00E00469"/>
    <w:rsid w:val="00E022F8"/>
    <w:rsid w:val="00E025E5"/>
    <w:rsid w:val="00E028AD"/>
    <w:rsid w:val="00E03025"/>
    <w:rsid w:val="00E030BF"/>
    <w:rsid w:val="00E046D7"/>
    <w:rsid w:val="00E04D21"/>
    <w:rsid w:val="00E04E26"/>
    <w:rsid w:val="00E06371"/>
    <w:rsid w:val="00E11C76"/>
    <w:rsid w:val="00E1289A"/>
    <w:rsid w:val="00E13883"/>
    <w:rsid w:val="00E1479C"/>
    <w:rsid w:val="00E1513A"/>
    <w:rsid w:val="00E15550"/>
    <w:rsid w:val="00E157A8"/>
    <w:rsid w:val="00E15A83"/>
    <w:rsid w:val="00E15D4B"/>
    <w:rsid w:val="00E171B3"/>
    <w:rsid w:val="00E179DE"/>
    <w:rsid w:val="00E204C0"/>
    <w:rsid w:val="00E210F8"/>
    <w:rsid w:val="00E21DE3"/>
    <w:rsid w:val="00E228FF"/>
    <w:rsid w:val="00E25AB9"/>
    <w:rsid w:val="00E25BDD"/>
    <w:rsid w:val="00E2632B"/>
    <w:rsid w:val="00E26AD5"/>
    <w:rsid w:val="00E26EEA"/>
    <w:rsid w:val="00E270B5"/>
    <w:rsid w:val="00E310A2"/>
    <w:rsid w:val="00E31F38"/>
    <w:rsid w:val="00E32E4A"/>
    <w:rsid w:val="00E347BA"/>
    <w:rsid w:val="00E366DA"/>
    <w:rsid w:val="00E3700C"/>
    <w:rsid w:val="00E378C4"/>
    <w:rsid w:val="00E41181"/>
    <w:rsid w:val="00E41990"/>
    <w:rsid w:val="00E425E2"/>
    <w:rsid w:val="00E43B3C"/>
    <w:rsid w:val="00E450BB"/>
    <w:rsid w:val="00E45494"/>
    <w:rsid w:val="00E4635F"/>
    <w:rsid w:val="00E50BB1"/>
    <w:rsid w:val="00E50F06"/>
    <w:rsid w:val="00E51C2A"/>
    <w:rsid w:val="00E52A4E"/>
    <w:rsid w:val="00E5405F"/>
    <w:rsid w:val="00E54A22"/>
    <w:rsid w:val="00E570D9"/>
    <w:rsid w:val="00E57A54"/>
    <w:rsid w:val="00E60008"/>
    <w:rsid w:val="00E60202"/>
    <w:rsid w:val="00E60545"/>
    <w:rsid w:val="00E63438"/>
    <w:rsid w:val="00E647C4"/>
    <w:rsid w:val="00E64B34"/>
    <w:rsid w:val="00E64D50"/>
    <w:rsid w:val="00E6507D"/>
    <w:rsid w:val="00E65430"/>
    <w:rsid w:val="00E65980"/>
    <w:rsid w:val="00E65E10"/>
    <w:rsid w:val="00E66EE2"/>
    <w:rsid w:val="00E67A12"/>
    <w:rsid w:val="00E67EBE"/>
    <w:rsid w:val="00E70DAF"/>
    <w:rsid w:val="00E71A50"/>
    <w:rsid w:val="00E72BB2"/>
    <w:rsid w:val="00E741BB"/>
    <w:rsid w:val="00E74BD5"/>
    <w:rsid w:val="00E759EC"/>
    <w:rsid w:val="00E761D6"/>
    <w:rsid w:val="00E772EB"/>
    <w:rsid w:val="00E77E04"/>
    <w:rsid w:val="00E802E5"/>
    <w:rsid w:val="00E8083B"/>
    <w:rsid w:val="00E80E32"/>
    <w:rsid w:val="00E814F2"/>
    <w:rsid w:val="00E81EF2"/>
    <w:rsid w:val="00E82031"/>
    <w:rsid w:val="00E8214A"/>
    <w:rsid w:val="00E822E8"/>
    <w:rsid w:val="00E823EE"/>
    <w:rsid w:val="00E82475"/>
    <w:rsid w:val="00E829D5"/>
    <w:rsid w:val="00E83929"/>
    <w:rsid w:val="00E8417C"/>
    <w:rsid w:val="00E8566F"/>
    <w:rsid w:val="00E85D65"/>
    <w:rsid w:val="00E873DD"/>
    <w:rsid w:val="00E877B6"/>
    <w:rsid w:val="00E877D6"/>
    <w:rsid w:val="00E921D9"/>
    <w:rsid w:val="00E937A2"/>
    <w:rsid w:val="00E94E4E"/>
    <w:rsid w:val="00E95763"/>
    <w:rsid w:val="00E97445"/>
    <w:rsid w:val="00EA41BF"/>
    <w:rsid w:val="00EA45F3"/>
    <w:rsid w:val="00EA48DB"/>
    <w:rsid w:val="00EA5141"/>
    <w:rsid w:val="00EA69B3"/>
    <w:rsid w:val="00EB01E0"/>
    <w:rsid w:val="00EB10F5"/>
    <w:rsid w:val="00EB12B5"/>
    <w:rsid w:val="00EB22DF"/>
    <w:rsid w:val="00EB2366"/>
    <w:rsid w:val="00EB2784"/>
    <w:rsid w:val="00EB2B6B"/>
    <w:rsid w:val="00EB323A"/>
    <w:rsid w:val="00EB42FB"/>
    <w:rsid w:val="00EB47FE"/>
    <w:rsid w:val="00EB580A"/>
    <w:rsid w:val="00EB6361"/>
    <w:rsid w:val="00EC0B53"/>
    <w:rsid w:val="00EC1E92"/>
    <w:rsid w:val="00EC23B4"/>
    <w:rsid w:val="00EC24A3"/>
    <w:rsid w:val="00EC35FC"/>
    <w:rsid w:val="00EC3B12"/>
    <w:rsid w:val="00EC41C0"/>
    <w:rsid w:val="00EC4256"/>
    <w:rsid w:val="00EC4B46"/>
    <w:rsid w:val="00EC59B0"/>
    <w:rsid w:val="00EC5B1F"/>
    <w:rsid w:val="00EC5C54"/>
    <w:rsid w:val="00EC7133"/>
    <w:rsid w:val="00EC7783"/>
    <w:rsid w:val="00EC7B93"/>
    <w:rsid w:val="00ED3D1F"/>
    <w:rsid w:val="00ED4ACB"/>
    <w:rsid w:val="00ED518B"/>
    <w:rsid w:val="00ED608E"/>
    <w:rsid w:val="00ED6F7E"/>
    <w:rsid w:val="00ED7E25"/>
    <w:rsid w:val="00EE07CE"/>
    <w:rsid w:val="00EE0ECC"/>
    <w:rsid w:val="00EE0FB0"/>
    <w:rsid w:val="00EE13CB"/>
    <w:rsid w:val="00EE1D94"/>
    <w:rsid w:val="00EE1FF8"/>
    <w:rsid w:val="00EE2481"/>
    <w:rsid w:val="00EE2756"/>
    <w:rsid w:val="00EE2999"/>
    <w:rsid w:val="00EE315F"/>
    <w:rsid w:val="00EE3C3C"/>
    <w:rsid w:val="00EE52DB"/>
    <w:rsid w:val="00EE58D1"/>
    <w:rsid w:val="00EE5A8E"/>
    <w:rsid w:val="00EE6C6A"/>
    <w:rsid w:val="00EE7658"/>
    <w:rsid w:val="00EE79A0"/>
    <w:rsid w:val="00EE7B61"/>
    <w:rsid w:val="00EF0AA4"/>
    <w:rsid w:val="00EF27AF"/>
    <w:rsid w:val="00EF2CFA"/>
    <w:rsid w:val="00EF3D8D"/>
    <w:rsid w:val="00EF4975"/>
    <w:rsid w:val="00EF656B"/>
    <w:rsid w:val="00EF6C68"/>
    <w:rsid w:val="00F00686"/>
    <w:rsid w:val="00F00809"/>
    <w:rsid w:val="00F00AC6"/>
    <w:rsid w:val="00F02834"/>
    <w:rsid w:val="00F037CC"/>
    <w:rsid w:val="00F04345"/>
    <w:rsid w:val="00F04568"/>
    <w:rsid w:val="00F0643E"/>
    <w:rsid w:val="00F076C2"/>
    <w:rsid w:val="00F10AA4"/>
    <w:rsid w:val="00F1131B"/>
    <w:rsid w:val="00F127F2"/>
    <w:rsid w:val="00F12A02"/>
    <w:rsid w:val="00F13174"/>
    <w:rsid w:val="00F13978"/>
    <w:rsid w:val="00F13AC0"/>
    <w:rsid w:val="00F145A7"/>
    <w:rsid w:val="00F15695"/>
    <w:rsid w:val="00F157AF"/>
    <w:rsid w:val="00F16FE3"/>
    <w:rsid w:val="00F1772D"/>
    <w:rsid w:val="00F179C2"/>
    <w:rsid w:val="00F20486"/>
    <w:rsid w:val="00F20C57"/>
    <w:rsid w:val="00F22F27"/>
    <w:rsid w:val="00F237AD"/>
    <w:rsid w:val="00F24065"/>
    <w:rsid w:val="00F24770"/>
    <w:rsid w:val="00F24CC9"/>
    <w:rsid w:val="00F24E4D"/>
    <w:rsid w:val="00F260BA"/>
    <w:rsid w:val="00F26583"/>
    <w:rsid w:val="00F269F6"/>
    <w:rsid w:val="00F26BD5"/>
    <w:rsid w:val="00F275CF"/>
    <w:rsid w:val="00F31292"/>
    <w:rsid w:val="00F32056"/>
    <w:rsid w:val="00F322E5"/>
    <w:rsid w:val="00F330F7"/>
    <w:rsid w:val="00F345D1"/>
    <w:rsid w:val="00F35338"/>
    <w:rsid w:val="00F356B7"/>
    <w:rsid w:val="00F37218"/>
    <w:rsid w:val="00F37BC6"/>
    <w:rsid w:val="00F37D41"/>
    <w:rsid w:val="00F41454"/>
    <w:rsid w:val="00F416A9"/>
    <w:rsid w:val="00F428C2"/>
    <w:rsid w:val="00F42CEC"/>
    <w:rsid w:val="00F43B39"/>
    <w:rsid w:val="00F4457B"/>
    <w:rsid w:val="00F4548F"/>
    <w:rsid w:val="00F46F4E"/>
    <w:rsid w:val="00F47EB7"/>
    <w:rsid w:val="00F505CD"/>
    <w:rsid w:val="00F51EB2"/>
    <w:rsid w:val="00F53135"/>
    <w:rsid w:val="00F53648"/>
    <w:rsid w:val="00F53D25"/>
    <w:rsid w:val="00F543E5"/>
    <w:rsid w:val="00F5487D"/>
    <w:rsid w:val="00F548DE"/>
    <w:rsid w:val="00F55484"/>
    <w:rsid w:val="00F561B7"/>
    <w:rsid w:val="00F5663D"/>
    <w:rsid w:val="00F568A4"/>
    <w:rsid w:val="00F56E87"/>
    <w:rsid w:val="00F57139"/>
    <w:rsid w:val="00F57E12"/>
    <w:rsid w:val="00F62F35"/>
    <w:rsid w:val="00F641F0"/>
    <w:rsid w:val="00F645C3"/>
    <w:rsid w:val="00F64900"/>
    <w:rsid w:val="00F66AD5"/>
    <w:rsid w:val="00F671FD"/>
    <w:rsid w:val="00F673F1"/>
    <w:rsid w:val="00F700BE"/>
    <w:rsid w:val="00F70AC8"/>
    <w:rsid w:val="00F710A3"/>
    <w:rsid w:val="00F71420"/>
    <w:rsid w:val="00F71D96"/>
    <w:rsid w:val="00F729C5"/>
    <w:rsid w:val="00F72B8B"/>
    <w:rsid w:val="00F76B1B"/>
    <w:rsid w:val="00F776A3"/>
    <w:rsid w:val="00F77834"/>
    <w:rsid w:val="00F77BD6"/>
    <w:rsid w:val="00F77E21"/>
    <w:rsid w:val="00F80EE0"/>
    <w:rsid w:val="00F8180C"/>
    <w:rsid w:val="00F83378"/>
    <w:rsid w:val="00F84A58"/>
    <w:rsid w:val="00F84C6F"/>
    <w:rsid w:val="00F856D8"/>
    <w:rsid w:val="00F8595B"/>
    <w:rsid w:val="00F863A5"/>
    <w:rsid w:val="00F8723F"/>
    <w:rsid w:val="00F87693"/>
    <w:rsid w:val="00F90D5C"/>
    <w:rsid w:val="00F92A25"/>
    <w:rsid w:val="00F9362E"/>
    <w:rsid w:val="00F945A2"/>
    <w:rsid w:val="00F951A2"/>
    <w:rsid w:val="00F9627A"/>
    <w:rsid w:val="00F96953"/>
    <w:rsid w:val="00F96F56"/>
    <w:rsid w:val="00F97711"/>
    <w:rsid w:val="00F9789E"/>
    <w:rsid w:val="00FA015A"/>
    <w:rsid w:val="00FA0720"/>
    <w:rsid w:val="00FA0D0E"/>
    <w:rsid w:val="00FA1DD4"/>
    <w:rsid w:val="00FA217C"/>
    <w:rsid w:val="00FA3A55"/>
    <w:rsid w:val="00FA3AB0"/>
    <w:rsid w:val="00FA3B49"/>
    <w:rsid w:val="00FA47DA"/>
    <w:rsid w:val="00FA5982"/>
    <w:rsid w:val="00FA6195"/>
    <w:rsid w:val="00FB062D"/>
    <w:rsid w:val="00FB0C31"/>
    <w:rsid w:val="00FB1217"/>
    <w:rsid w:val="00FB37FB"/>
    <w:rsid w:val="00FB4A54"/>
    <w:rsid w:val="00FB5B18"/>
    <w:rsid w:val="00FB5D9D"/>
    <w:rsid w:val="00FB603D"/>
    <w:rsid w:val="00FB6FE6"/>
    <w:rsid w:val="00FB7B73"/>
    <w:rsid w:val="00FC0C25"/>
    <w:rsid w:val="00FC0F8B"/>
    <w:rsid w:val="00FC107A"/>
    <w:rsid w:val="00FC1657"/>
    <w:rsid w:val="00FC315B"/>
    <w:rsid w:val="00FC4455"/>
    <w:rsid w:val="00FC5A56"/>
    <w:rsid w:val="00FC64DE"/>
    <w:rsid w:val="00FC7530"/>
    <w:rsid w:val="00FC75F4"/>
    <w:rsid w:val="00FC7A6C"/>
    <w:rsid w:val="00FD0E92"/>
    <w:rsid w:val="00FD1664"/>
    <w:rsid w:val="00FD1A48"/>
    <w:rsid w:val="00FD1AAC"/>
    <w:rsid w:val="00FD2175"/>
    <w:rsid w:val="00FD2A72"/>
    <w:rsid w:val="00FD2C3B"/>
    <w:rsid w:val="00FD3A70"/>
    <w:rsid w:val="00FD3BCA"/>
    <w:rsid w:val="00FD4261"/>
    <w:rsid w:val="00FD46D4"/>
    <w:rsid w:val="00FD46D7"/>
    <w:rsid w:val="00FD4E6C"/>
    <w:rsid w:val="00FD554C"/>
    <w:rsid w:val="00FD5891"/>
    <w:rsid w:val="00FD644B"/>
    <w:rsid w:val="00FD6C0C"/>
    <w:rsid w:val="00FD6EDE"/>
    <w:rsid w:val="00FE1B43"/>
    <w:rsid w:val="00FE204A"/>
    <w:rsid w:val="00FE373F"/>
    <w:rsid w:val="00FE3A8F"/>
    <w:rsid w:val="00FE4EAC"/>
    <w:rsid w:val="00FE4F9F"/>
    <w:rsid w:val="00FE51CD"/>
    <w:rsid w:val="00FE5493"/>
    <w:rsid w:val="00FE5AE5"/>
    <w:rsid w:val="00FE6AE5"/>
    <w:rsid w:val="00FE6F1D"/>
    <w:rsid w:val="00FE7595"/>
    <w:rsid w:val="00FF05EA"/>
    <w:rsid w:val="00FF0ECE"/>
    <w:rsid w:val="00FF1B80"/>
    <w:rsid w:val="00FF20A1"/>
    <w:rsid w:val="00FF26CC"/>
    <w:rsid w:val="00FF3C38"/>
    <w:rsid w:val="00FF59DF"/>
    <w:rsid w:val="00FF5C73"/>
    <w:rsid w:val="00FF5E9B"/>
    <w:rsid w:val="00FF622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CE34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heme="minorBidi"/>
        <w:color w:val="222222"/>
        <w:lang w:val="lv-LV"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At a glance text"/>
    <w:qFormat/>
    <w:rsid w:val="00CF0F13"/>
    <w:rPr>
      <w:rFonts w:ascii="Times New Roman" w:hAnsi="Times New Roman" w:cs="Times New Roman"/>
      <w:color w:val="auto"/>
      <w:sz w:val="24"/>
      <w:szCs w:val="24"/>
      <w:lang w:val="en-US" w:eastAsia="zh-CN"/>
    </w:rPr>
  </w:style>
  <w:style w:type="paragraph" w:styleId="Heading1">
    <w:name w:val="heading 1"/>
    <w:basedOn w:val="Normal"/>
    <w:next w:val="Normal"/>
    <w:link w:val="Heading1Char"/>
    <w:uiPriority w:val="9"/>
    <w:qFormat/>
    <w:rsid w:val="00392E63"/>
    <w:pPr>
      <w:keepNext/>
      <w:keepLines/>
      <w:tabs>
        <w:tab w:val="right" w:leader="dot" w:pos="2880"/>
      </w:tabs>
      <w:spacing w:before="480"/>
      <w:outlineLvl w:val="0"/>
    </w:pPr>
    <w:rPr>
      <w:rFonts w:ascii="Gill Sans" w:eastAsiaTheme="majorEastAsia" w:hAnsi="Gill Sans" w:cs="Gill Sans"/>
      <w:b/>
      <w:bCs/>
      <w:color w:val="1F497D" w:themeColor="text2"/>
      <w:sz w:val="32"/>
      <w:szCs w:val="32"/>
      <w:lang w:val="lv-LV"/>
    </w:rPr>
  </w:style>
  <w:style w:type="paragraph" w:styleId="Heading2">
    <w:name w:val="heading 2"/>
    <w:basedOn w:val="Normal"/>
    <w:next w:val="Normal"/>
    <w:link w:val="Heading2Char"/>
    <w:uiPriority w:val="9"/>
    <w:unhideWhenUsed/>
    <w:qFormat/>
    <w:rsid w:val="00392E63"/>
    <w:pPr>
      <w:keepNext/>
      <w:keepLines/>
      <w:tabs>
        <w:tab w:val="right" w:leader="dot" w:pos="2880"/>
      </w:tabs>
      <w:spacing w:before="200"/>
      <w:outlineLvl w:val="1"/>
    </w:pPr>
    <w:rPr>
      <w:rFonts w:ascii="Gill Sans" w:eastAsiaTheme="majorEastAsia" w:hAnsi="Gill Sans" w:cs="Gill Sans"/>
      <w:b/>
      <w:bCs/>
      <w:color w:val="1F497D" w:themeColor="text2"/>
      <w:sz w:val="26"/>
      <w:szCs w:val="26"/>
      <w:lang w:val="lv-LV"/>
    </w:rPr>
  </w:style>
  <w:style w:type="paragraph" w:styleId="Heading3">
    <w:name w:val="heading 3"/>
    <w:basedOn w:val="Normal"/>
    <w:next w:val="Normal"/>
    <w:link w:val="Heading3Char"/>
    <w:autoRedefine/>
    <w:uiPriority w:val="9"/>
    <w:unhideWhenUsed/>
    <w:qFormat/>
    <w:rsid w:val="00C2650B"/>
    <w:pPr>
      <w:keepNext/>
      <w:keepLines/>
      <w:tabs>
        <w:tab w:val="right" w:leader="dot" w:pos="2880"/>
      </w:tabs>
      <w:jc w:val="thaiDistribute"/>
      <w:outlineLvl w:val="2"/>
    </w:pPr>
    <w:rPr>
      <w:rFonts w:ascii="Gill Sans" w:eastAsiaTheme="majorEastAsia" w:hAnsi="Gill Sans" w:cs="Gill Sans"/>
      <w:b/>
      <w:bCs/>
      <w:noProof/>
      <w:color w:val="1F497D" w:themeColor="text2"/>
      <w:sz w:val="22"/>
      <w:szCs w:val="20"/>
      <w:lang w:val="en-GB"/>
    </w:rPr>
  </w:style>
  <w:style w:type="paragraph" w:styleId="Heading4">
    <w:name w:val="heading 4"/>
    <w:basedOn w:val="Normal"/>
    <w:next w:val="Normal"/>
    <w:link w:val="Heading4Char"/>
    <w:uiPriority w:val="9"/>
    <w:unhideWhenUsed/>
    <w:qFormat/>
    <w:rsid w:val="00392E63"/>
    <w:pPr>
      <w:keepNext/>
      <w:keepLines/>
      <w:tabs>
        <w:tab w:val="right" w:leader="dot" w:pos="2880"/>
      </w:tabs>
      <w:spacing w:before="200"/>
      <w:outlineLvl w:val="3"/>
    </w:pPr>
    <w:rPr>
      <w:rFonts w:ascii="Gill Sans" w:eastAsiaTheme="majorEastAsia" w:hAnsi="Gill Sans" w:cs="Gill Sans"/>
      <w:b/>
      <w:bCs/>
      <w:i/>
      <w:iCs/>
      <w:color w:val="1F497D" w:themeColor="text2"/>
      <w:sz w:val="22"/>
      <w:szCs w:val="20"/>
      <w:lang w:val="lv-LV"/>
    </w:rPr>
  </w:style>
  <w:style w:type="paragraph" w:styleId="Heading5">
    <w:name w:val="heading 5"/>
    <w:aliases w:val="Table title outside"/>
    <w:basedOn w:val="Normal"/>
    <w:next w:val="Normal"/>
    <w:link w:val="Heading5Char"/>
    <w:uiPriority w:val="9"/>
    <w:semiHidden/>
    <w:unhideWhenUsed/>
    <w:qFormat/>
    <w:rsid w:val="00392E63"/>
    <w:pPr>
      <w:keepNext/>
      <w:keepLines/>
      <w:tabs>
        <w:tab w:val="right" w:leader="dot" w:pos="2880"/>
      </w:tabs>
      <w:spacing w:before="200"/>
      <w:outlineLvl w:val="4"/>
    </w:pPr>
    <w:rPr>
      <w:rFonts w:asciiTheme="majorHAnsi" w:eastAsiaTheme="majorEastAsia" w:hAnsiTheme="majorHAnsi" w:cstheme="majorBidi"/>
      <w:b/>
      <w:color w:val="1F497D" w:themeColor="text2"/>
      <w:sz w:val="22"/>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4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autoRedefine/>
    <w:uiPriority w:val="34"/>
    <w:qFormat/>
    <w:rsid w:val="00CC5109"/>
    <w:pPr>
      <w:numPr>
        <w:numId w:val="34"/>
      </w:numPr>
      <w:spacing w:before="120" w:after="120"/>
      <w:contextualSpacing/>
    </w:pPr>
    <w:rPr>
      <w:rFonts w:ascii="Gill Sans" w:eastAsiaTheme="minorHAnsi" w:hAnsi="Gill Sans" w:cs="Gill Sans"/>
      <w:color w:val="222222"/>
      <w:sz w:val="22"/>
      <w:szCs w:val="20"/>
      <w:lang w:val="en-GB"/>
    </w:rPr>
  </w:style>
  <w:style w:type="paragraph" w:styleId="Title">
    <w:name w:val="Title"/>
    <w:basedOn w:val="Normal"/>
    <w:next w:val="Normal"/>
    <w:link w:val="TitleChar"/>
    <w:uiPriority w:val="10"/>
    <w:qFormat/>
    <w:rsid w:val="00392E63"/>
    <w:pPr>
      <w:pBdr>
        <w:bottom w:val="single" w:sz="8" w:space="1" w:color="1F497D" w:themeColor="text2"/>
      </w:pBdr>
      <w:tabs>
        <w:tab w:val="right" w:leader="dot" w:pos="2880"/>
      </w:tabs>
      <w:spacing w:after="300"/>
      <w:contextualSpacing/>
    </w:pPr>
    <w:rPr>
      <w:rFonts w:ascii="Gill Sans" w:eastAsiaTheme="majorEastAsia" w:hAnsi="Gill Sans" w:cs="Gill Sans"/>
      <w:color w:val="000000" w:themeColor="text1"/>
      <w:spacing w:val="5"/>
      <w:kern w:val="28"/>
      <w:sz w:val="52"/>
      <w:szCs w:val="52"/>
      <w:lang w:val="lv-LV"/>
    </w:rPr>
  </w:style>
  <w:style w:type="character" w:customStyle="1" w:styleId="TitleChar">
    <w:name w:val="Title Char"/>
    <w:basedOn w:val="DefaultParagraphFont"/>
    <w:link w:val="Title"/>
    <w:uiPriority w:val="10"/>
    <w:rsid w:val="00392E63"/>
    <w:rPr>
      <w:rFonts w:ascii="Gill Sans" w:eastAsiaTheme="majorEastAsia" w:hAnsi="Gill Sans" w:cs="Gill Sans"/>
      <w:color w:val="000000" w:themeColor="text1"/>
      <w:spacing w:val="5"/>
      <w:kern w:val="28"/>
      <w:sz w:val="52"/>
      <w:szCs w:val="52"/>
    </w:rPr>
  </w:style>
  <w:style w:type="paragraph" w:styleId="Subtitle">
    <w:name w:val="Subtitle"/>
    <w:basedOn w:val="Normal"/>
    <w:next w:val="Normal"/>
    <w:link w:val="SubtitleChar"/>
    <w:uiPriority w:val="11"/>
    <w:qFormat/>
    <w:rsid w:val="00392E63"/>
    <w:pPr>
      <w:numPr>
        <w:ilvl w:val="1"/>
      </w:numPr>
      <w:tabs>
        <w:tab w:val="right" w:leader="dot" w:pos="2880"/>
      </w:tabs>
      <w:spacing w:after="60"/>
    </w:pPr>
    <w:rPr>
      <w:rFonts w:ascii="Gill Sans" w:eastAsiaTheme="majorEastAsia" w:hAnsi="Gill Sans" w:cs="Gill Sans"/>
      <w:iCs/>
      <w:color w:val="1F497D" w:themeColor="text2"/>
      <w:spacing w:val="15"/>
      <w:sz w:val="36"/>
      <w:szCs w:val="36"/>
      <w:lang w:val="lv-LV"/>
    </w:rPr>
  </w:style>
  <w:style w:type="character" w:customStyle="1" w:styleId="SubtitleChar">
    <w:name w:val="Subtitle Char"/>
    <w:basedOn w:val="DefaultParagraphFont"/>
    <w:link w:val="Subtitle"/>
    <w:uiPriority w:val="11"/>
    <w:rsid w:val="00392E63"/>
    <w:rPr>
      <w:rFonts w:ascii="Gill Sans" w:eastAsiaTheme="majorEastAsia" w:hAnsi="Gill Sans" w:cs="Gill Sans"/>
      <w:iCs/>
      <w:color w:val="1F497D" w:themeColor="text2"/>
      <w:spacing w:val="15"/>
      <w:sz w:val="36"/>
      <w:szCs w:val="36"/>
    </w:rPr>
  </w:style>
  <w:style w:type="character" w:customStyle="1" w:styleId="Heading4Char">
    <w:name w:val="Heading 4 Char"/>
    <w:basedOn w:val="DefaultParagraphFont"/>
    <w:link w:val="Heading4"/>
    <w:uiPriority w:val="9"/>
    <w:rsid w:val="00392E63"/>
    <w:rPr>
      <w:rFonts w:ascii="Gill Sans" w:eastAsiaTheme="majorEastAsia" w:hAnsi="Gill Sans" w:cs="Gill Sans"/>
      <w:b/>
      <w:bCs/>
      <w:i/>
      <w:iCs/>
      <w:color w:val="1F497D" w:themeColor="text2"/>
      <w:sz w:val="22"/>
    </w:rPr>
  </w:style>
  <w:style w:type="character" w:styleId="SubtleReference">
    <w:name w:val="Subtle Reference"/>
    <w:uiPriority w:val="31"/>
    <w:rsid w:val="00EB323A"/>
    <w:rPr>
      <w:b/>
    </w:rPr>
  </w:style>
  <w:style w:type="paragraph" w:styleId="BalloonText">
    <w:name w:val="Balloon Text"/>
    <w:basedOn w:val="Normal"/>
    <w:link w:val="BalloonTextChar"/>
    <w:uiPriority w:val="99"/>
    <w:semiHidden/>
    <w:unhideWhenUsed/>
    <w:rsid w:val="003178D9"/>
    <w:pPr>
      <w:tabs>
        <w:tab w:val="right" w:leader="dot" w:pos="2880"/>
      </w:tabs>
    </w:pPr>
    <w:rPr>
      <w:rFonts w:ascii="Tahoma" w:hAnsi="Tahoma" w:cs="Tahoma"/>
      <w:color w:val="222222"/>
      <w:sz w:val="16"/>
      <w:szCs w:val="16"/>
      <w:lang w:val="lv-LV"/>
    </w:rPr>
  </w:style>
  <w:style w:type="character" w:customStyle="1" w:styleId="BalloonTextChar">
    <w:name w:val="Balloon Text Char"/>
    <w:basedOn w:val="DefaultParagraphFont"/>
    <w:link w:val="BalloonText"/>
    <w:uiPriority w:val="99"/>
    <w:semiHidden/>
    <w:rsid w:val="003178D9"/>
    <w:rPr>
      <w:rFonts w:ascii="Tahoma" w:hAnsi="Tahoma" w:cs="Tahoma"/>
      <w:sz w:val="16"/>
      <w:szCs w:val="16"/>
    </w:rPr>
  </w:style>
  <w:style w:type="paragraph" w:styleId="Header">
    <w:name w:val="header"/>
    <w:basedOn w:val="Normal"/>
    <w:link w:val="HeaderChar"/>
    <w:unhideWhenUsed/>
    <w:rsid w:val="008F072B"/>
    <w:pPr>
      <w:tabs>
        <w:tab w:val="right" w:leader="dot" w:pos="2880"/>
        <w:tab w:val="center" w:pos="4153"/>
        <w:tab w:val="right" w:pos="8306"/>
      </w:tabs>
    </w:pPr>
    <w:rPr>
      <w:rFonts w:ascii="Gill Sans" w:hAnsi="Gill Sans" w:cs="Gill Sans"/>
      <w:color w:val="222222"/>
      <w:sz w:val="22"/>
      <w:szCs w:val="20"/>
      <w:lang w:val="lv-LV"/>
    </w:rPr>
  </w:style>
  <w:style w:type="character" w:customStyle="1" w:styleId="HeaderChar">
    <w:name w:val="Header Char"/>
    <w:basedOn w:val="DefaultParagraphFont"/>
    <w:link w:val="Header"/>
    <w:rsid w:val="008F072B"/>
  </w:style>
  <w:style w:type="paragraph" w:styleId="Footer">
    <w:name w:val="footer"/>
    <w:basedOn w:val="Normal"/>
    <w:link w:val="FooterChar"/>
    <w:uiPriority w:val="99"/>
    <w:unhideWhenUsed/>
    <w:rsid w:val="008F072B"/>
    <w:pPr>
      <w:tabs>
        <w:tab w:val="right" w:leader="dot" w:pos="2880"/>
        <w:tab w:val="center" w:pos="4153"/>
        <w:tab w:val="right" w:pos="8306"/>
      </w:tabs>
    </w:pPr>
    <w:rPr>
      <w:rFonts w:ascii="Gill Sans" w:hAnsi="Gill Sans" w:cs="Gill Sans"/>
      <w:color w:val="222222"/>
      <w:sz w:val="22"/>
      <w:szCs w:val="20"/>
      <w:lang w:val="lv-LV"/>
    </w:rPr>
  </w:style>
  <w:style w:type="character" w:customStyle="1" w:styleId="FooterChar">
    <w:name w:val="Footer Char"/>
    <w:basedOn w:val="DefaultParagraphFont"/>
    <w:link w:val="Footer"/>
    <w:uiPriority w:val="99"/>
    <w:rsid w:val="008F072B"/>
  </w:style>
  <w:style w:type="character" w:customStyle="1" w:styleId="Heading2Char">
    <w:name w:val="Heading 2 Char"/>
    <w:basedOn w:val="DefaultParagraphFont"/>
    <w:link w:val="Heading2"/>
    <w:uiPriority w:val="9"/>
    <w:rsid w:val="00392E63"/>
    <w:rPr>
      <w:rFonts w:ascii="Gill Sans" w:eastAsiaTheme="majorEastAsia" w:hAnsi="Gill Sans" w:cs="Gill Sans"/>
      <w:b/>
      <w:bCs/>
      <w:color w:val="1F497D" w:themeColor="text2"/>
      <w:sz w:val="26"/>
      <w:szCs w:val="26"/>
    </w:rPr>
  </w:style>
  <w:style w:type="character" w:styleId="PageNumber">
    <w:name w:val="page number"/>
    <w:basedOn w:val="DefaultParagraphFont"/>
    <w:uiPriority w:val="99"/>
    <w:semiHidden/>
    <w:unhideWhenUsed/>
    <w:rsid w:val="00D7637D"/>
  </w:style>
  <w:style w:type="character" w:styleId="CommentReference">
    <w:name w:val="annotation reference"/>
    <w:basedOn w:val="DefaultParagraphFont"/>
    <w:uiPriority w:val="99"/>
    <w:unhideWhenUsed/>
    <w:rsid w:val="00926DAC"/>
    <w:rPr>
      <w:sz w:val="18"/>
      <w:szCs w:val="18"/>
    </w:rPr>
  </w:style>
  <w:style w:type="paragraph" w:styleId="CommentText">
    <w:name w:val="annotation text"/>
    <w:basedOn w:val="Normal"/>
    <w:link w:val="CommentTextChar"/>
    <w:uiPriority w:val="99"/>
    <w:unhideWhenUsed/>
    <w:qFormat/>
    <w:rsid w:val="00B832BA"/>
    <w:pPr>
      <w:tabs>
        <w:tab w:val="right" w:leader="dot" w:pos="2880"/>
      </w:tabs>
    </w:pPr>
    <w:rPr>
      <w:rFonts w:ascii="Gill Sans" w:hAnsi="Gill Sans" w:cs="Gill Sans"/>
      <w:color w:val="222222"/>
    </w:rPr>
  </w:style>
  <w:style w:type="character" w:customStyle="1" w:styleId="CommentTextChar">
    <w:name w:val="Comment Text Char"/>
    <w:basedOn w:val="DefaultParagraphFont"/>
    <w:link w:val="CommentText"/>
    <w:uiPriority w:val="99"/>
    <w:qFormat/>
    <w:rsid w:val="00B832BA"/>
    <w:rPr>
      <w:rFonts w:ascii="Gill Sans" w:hAnsi="Gill Sans" w:cs="Gill Sans"/>
      <w:sz w:val="24"/>
      <w:szCs w:val="24"/>
      <w:lang w:val="en-US"/>
    </w:rPr>
  </w:style>
  <w:style w:type="paragraph" w:styleId="CommentSubject">
    <w:name w:val="annotation subject"/>
    <w:basedOn w:val="CommentText"/>
    <w:next w:val="CommentText"/>
    <w:link w:val="CommentSubjectChar"/>
    <w:uiPriority w:val="99"/>
    <w:semiHidden/>
    <w:unhideWhenUsed/>
    <w:rsid w:val="00926DAC"/>
    <w:rPr>
      <w:b/>
      <w:bCs/>
      <w:sz w:val="20"/>
      <w:szCs w:val="20"/>
    </w:rPr>
  </w:style>
  <w:style w:type="character" w:customStyle="1" w:styleId="CommentSubjectChar">
    <w:name w:val="Comment Subject Char"/>
    <w:basedOn w:val="CommentTextChar"/>
    <w:link w:val="CommentSubject"/>
    <w:uiPriority w:val="99"/>
    <w:semiHidden/>
    <w:rsid w:val="00926DAC"/>
    <w:rPr>
      <w:rFonts w:ascii="Gill Sans" w:hAnsi="Gill Sans" w:cs="Gill Sans"/>
      <w:b/>
      <w:bCs/>
      <w:sz w:val="20"/>
      <w:szCs w:val="20"/>
      <w:lang w:val="en-US"/>
    </w:rPr>
  </w:style>
  <w:style w:type="paragraph" w:styleId="FootnoteText">
    <w:name w:val="footnote text"/>
    <w:basedOn w:val="Normal"/>
    <w:link w:val="FootnoteTextChar"/>
    <w:uiPriority w:val="99"/>
    <w:unhideWhenUsed/>
    <w:rsid w:val="00556FED"/>
    <w:pPr>
      <w:tabs>
        <w:tab w:val="right" w:leader="dot" w:pos="2880"/>
      </w:tabs>
    </w:pPr>
    <w:rPr>
      <w:rFonts w:ascii="Gill Sans" w:hAnsi="Gill Sans" w:cs="Gill Sans"/>
      <w:color w:val="222222"/>
      <w:lang w:val="lv-LV"/>
    </w:rPr>
  </w:style>
  <w:style w:type="character" w:customStyle="1" w:styleId="FootnoteTextChar">
    <w:name w:val="Footnote Text Char"/>
    <w:basedOn w:val="DefaultParagraphFont"/>
    <w:link w:val="FootnoteText"/>
    <w:uiPriority w:val="99"/>
    <w:rsid w:val="00556FED"/>
    <w:rPr>
      <w:sz w:val="24"/>
      <w:szCs w:val="24"/>
    </w:rPr>
  </w:style>
  <w:style w:type="character" w:styleId="FootnoteReference">
    <w:name w:val="footnote reference"/>
    <w:aliases w:val="Ref,de nota al pie,4_G,ftref Char Char Char,ftref Car Char Char Char Char, Car Car5 Char Char Car Car Char Char Char Char Char Char,Car Car5 Char Char Car Car Char Char Char Char Char Char"/>
    <w:basedOn w:val="DefaultParagraphFont"/>
    <w:link w:val="ftrefCharChar"/>
    <w:unhideWhenUsed/>
    <w:rsid w:val="00556FED"/>
    <w:rPr>
      <w:vertAlign w:val="superscript"/>
    </w:rPr>
  </w:style>
  <w:style w:type="character" w:customStyle="1" w:styleId="Heading3Char">
    <w:name w:val="Heading 3 Char"/>
    <w:basedOn w:val="DefaultParagraphFont"/>
    <w:link w:val="Heading3"/>
    <w:uiPriority w:val="9"/>
    <w:rsid w:val="00C2650B"/>
    <w:rPr>
      <w:rFonts w:ascii="Gill Sans" w:eastAsiaTheme="majorEastAsia" w:hAnsi="Gill Sans" w:cs="Gill Sans"/>
      <w:b/>
      <w:bCs/>
      <w:noProof/>
      <w:color w:val="1F497D" w:themeColor="text2"/>
      <w:sz w:val="22"/>
      <w:lang w:val="en-GB"/>
    </w:rPr>
  </w:style>
  <w:style w:type="character" w:customStyle="1" w:styleId="apple-converted-space">
    <w:name w:val="apple-converted-space"/>
    <w:basedOn w:val="DefaultParagraphFont"/>
    <w:rsid w:val="005D40FB"/>
  </w:style>
  <w:style w:type="character" w:styleId="IntenseEmphasis">
    <w:name w:val="Intense Emphasis"/>
    <w:basedOn w:val="DefaultParagraphFont"/>
    <w:uiPriority w:val="21"/>
    <w:rsid w:val="00F00AC6"/>
    <w:rPr>
      <w:b/>
      <w:bCs/>
      <w:i/>
      <w:iCs/>
      <w:color w:val="4F81BD" w:themeColor="accent1"/>
    </w:rPr>
  </w:style>
  <w:style w:type="character" w:customStyle="1" w:styleId="Heading1Char">
    <w:name w:val="Heading 1 Char"/>
    <w:basedOn w:val="DefaultParagraphFont"/>
    <w:link w:val="Heading1"/>
    <w:uiPriority w:val="9"/>
    <w:rsid w:val="00392E63"/>
    <w:rPr>
      <w:rFonts w:ascii="Gill Sans" w:eastAsiaTheme="majorEastAsia" w:hAnsi="Gill Sans" w:cs="Gill Sans"/>
      <w:b/>
      <w:bCs/>
      <w:color w:val="1F497D" w:themeColor="text2"/>
      <w:sz w:val="32"/>
      <w:szCs w:val="32"/>
    </w:rPr>
  </w:style>
  <w:style w:type="paragraph" w:customStyle="1" w:styleId="ColorfulList-Accent12">
    <w:name w:val="Colorful List - Accent 12"/>
    <w:basedOn w:val="Normal"/>
    <w:uiPriority w:val="34"/>
    <w:rsid w:val="008E3268"/>
    <w:pPr>
      <w:tabs>
        <w:tab w:val="right" w:leader="dot" w:pos="2880"/>
      </w:tabs>
      <w:spacing w:after="120"/>
      <w:ind w:left="720"/>
      <w:contextualSpacing/>
    </w:pPr>
    <w:rPr>
      <w:rFonts w:ascii="Calibri" w:eastAsia="MS Mincho" w:hAnsi="Calibri"/>
      <w:color w:val="222222"/>
      <w:sz w:val="20"/>
      <w:szCs w:val="20"/>
      <w:lang w:val="en-GB"/>
    </w:rPr>
  </w:style>
  <w:style w:type="paragraph" w:styleId="NoSpacing">
    <w:name w:val="No Spacing"/>
    <w:uiPriority w:val="1"/>
    <w:qFormat/>
    <w:rsid w:val="00F71D96"/>
    <w:pPr>
      <w:tabs>
        <w:tab w:val="right" w:leader="dot" w:pos="2880"/>
      </w:tabs>
    </w:pPr>
    <w:rPr>
      <w:rFonts w:ascii="Gill Sans" w:hAnsi="Gill Sans" w:cs="Gill Sans"/>
      <w:sz w:val="22"/>
    </w:rPr>
  </w:style>
  <w:style w:type="paragraph" w:styleId="EndnoteText">
    <w:name w:val="endnote text"/>
    <w:basedOn w:val="Normal"/>
    <w:link w:val="EndnoteTextChar"/>
    <w:autoRedefine/>
    <w:uiPriority w:val="99"/>
    <w:unhideWhenUsed/>
    <w:qFormat/>
    <w:rsid w:val="00812D09"/>
    <w:pPr>
      <w:tabs>
        <w:tab w:val="right" w:leader="dot" w:pos="2880"/>
      </w:tabs>
    </w:pPr>
    <w:rPr>
      <w:rFonts w:ascii="Gill Sans" w:hAnsi="Gill Sans" w:cs="Gill Sans"/>
      <w:color w:val="222222"/>
      <w:sz w:val="18"/>
      <w:szCs w:val="20"/>
      <w:lang w:val="lv-LV"/>
    </w:rPr>
  </w:style>
  <w:style w:type="character" w:customStyle="1" w:styleId="EndnoteTextChar">
    <w:name w:val="Endnote Text Char"/>
    <w:basedOn w:val="DefaultParagraphFont"/>
    <w:link w:val="EndnoteText"/>
    <w:uiPriority w:val="99"/>
    <w:qFormat/>
    <w:rsid w:val="00812D09"/>
    <w:rPr>
      <w:rFonts w:ascii="Gill Sans" w:hAnsi="Gill Sans" w:cs="Gill Sans"/>
      <w:sz w:val="18"/>
    </w:rPr>
  </w:style>
  <w:style w:type="character" w:styleId="EndnoteReference">
    <w:name w:val="endnote reference"/>
    <w:basedOn w:val="DefaultParagraphFont"/>
    <w:uiPriority w:val="99"/>
    <w:unhideWhenUsed/>
    <w:qFormat/>
    <w:rsid w:val="006C7855"/>
    <w:rPr>
      <w:vertAlign w:val="superscript"/>
    </w:rPr>
  </w:style>
  <w:style w:type="character" w:styleId="Hyperlink">
    <w:name w:val="Hyperlink"/>
    <w:basedOn w:val="DefaultParagraphFont"/>
    <w:unhideWhenUsed/>
    <w:rsid w:val="00D500C1"/>
    <w:rPr>
      <w:color w:val="0000FF"/>
      <w:u w:val="single"/>
    </w:rPr>
  </w:style>
  <w:style w:type="character" w:styleId="FollowedHyperlink">
    <w:name w:val="FollowedHyperlink"/>
    <w:basedOn w:val="DefaultParagraphFont"/>
    <w:uiPriority w:val="99"/>
    <w:semiHidden/>
    <w:unhideWhenUsed/>
    <w:rsid w:val="002641CA"/>
    <w:rPr>
      <w:color w:val="800080" w:themeColor="followedHyperlink"/>
      <w:u w:val="single"/>
    </w:rPr>
  </w:style>
  <w:style w:type="paragraph" w:styleId="Revision">
    <w:name w:val="Revision"/>
    <w:hidden/>
    <w:uiPriority w:val="99"/>
    <w:semiHidden/>
    <w:rsid w:val="00BF7699"/>
  </w:style>
  <w:style w:type="paragraph" w:styleId="ListBullet">
    <w:name w:val="List Bullet"/>
    <w:basedOn w:val="Normal"/>
    <w:uiPriority w:val="99"/>
    <w:unhideWhenUsed/>
    <w:rsid w:val="00D85A99"/>
    <w:pPr>
      <w:numPr>
        <w:numId w:val="17"/>
      </w:numPr>
      <w:tabs>
        <w:tab w:val="right" w:leader="dot" w:pos="2880"/>
      </w:tabs>
      <w:contextualSpacing/>
    </w:pPr>
    <w:rPr>
      <w:rFonts w:ascii="Gill Sans" w:hAnsi="Gill Sans" w:cs="Gill Sans"/>
      <w:color w:val="222222"/>
      <w:sz w:val="22"/>
      <w:szCs w:val="20"/>
      <w:lang w:val="lv-LV"/>
    </w:rPr>
  </w:style>
  <w:style w:type="paragraph" w:styleId="Caption">
    <w:name w:val="caption"/>
    <w:basedOn w:val="Normal"/>
    <w:next w:val="Normal"/>
    <w:uiPriority w:val="35"/>
    <w:unhideWhenUsed/>
    <w:qFormat/>
    <w:rsid w:val="00392E63"/>
    <w:pPr>
      <w:tabs>
        <w:tab w:val="right" w:leader="dot" w:pos="2880"/>
      </w:tabs>
      <w:spacing w:after="200"/>
    </w:pPr>
    <w:rPr>
      <w:rFonts w:ascii="Gill Sans" w:hAnsi="Gill Sans" w:cs="Gill Sans"/>
      <w:b/>
      <w:bCs/>
      <w:color w:val="4F81BD" w:themeColor="accent1"/>
      <w:sz w:val="18"/>
      <w:szCs w:val="18"/>
      <w:lang w:val="lv-LV"/>
    </w:rPr>
  </w:style>
  <w:style w:type="character" w:customStyle="1" w:styleId="EndnoteAnchor">
    <w:name w:val="Endnote Anchor"/>
    <w:rsid w:val="0063171A"/>
    <w:rPr>
      <w:vertAlign w:val="superscript"/>
    </w:rPr>
  </w:style>
  <w:style w:type="paragraph" w:customStyle="1" w:styleId="Nospacefeaturetolerant">
    <w:name w:val="No space (feature tolerant)"/>
    <w:basedOn w:val="Normal"/>
    <w:qFormat/>
    <w:rsid w:val="00392E63"/>
    <w:pPr>
      <w:tabs>
        <w:tab w:val="right" w:leader="dot" w:pos="2880"/>
      </w:tabs>
    </w:pPr>
    <w:rPr>
      <w:rFonts w:ascii="Adobe Caslon Pro" w:hAnsi="Adobe Caslon Pro" w:cs="Gill Sans"/>
      <w:color w:val="222222"/>
      <w:sz w:val="22"/>
      <w:szCs w:val="22"/>
      <w:lang w:val="lv-LV"/>
    </w:rPr>
  </w:style>
  <w:style w:type="paragraph" w:customStyle="1" w:styleId="Normalrglronly">
    <w:name w:val="Normal (rglr only)"/>
    <w:basedOn w:val="Normal"/>
    <w:qFormat/>
    <w:rsid w:val="00392E63"/>
    <w:pPr>
      <w:tabs>
        <w:tab w:val="right" w:leader="dot" w:pos="2880"/>
      </w:tabs>
      <w:spacing w:after="120"/>
    </w:pPr>
    <w:rPr>
      <w:rFonts w:ascii="Gill Sans" w:hAnsi="Gill Sans" w:cs="Gill Sans"/>
      <w:color w:val="222222"/>
      <w:sz w:val="22"/>
      <w:szCs w:val="22"/>
      <w:lang w:val="lv-LV"/>
    </w:rPr>
  </w:style>
  <w:style w:type="paragraph" w:customStyle="1" w:styleId="APQuotefeaturetol">
    <w:name w:val="AP Quote (feature tol)"/>
    <w:basedOn w:val="Normal"/>
    <w:qFormat/>
    <w:rsid w:val="00392E63"/>
    <w:pPr>
      <w:tabs>
        <w:tab w:val="right" w:leader="dot" w:pos="2880"/>
      </w:tabs>
      <w:spacing w:after="120"/>
    </w:pPr>
    <w:rPr>
      <w:rFonts w:ascii="Gill Sans" w:hAnsi="Gill Sans" w:cs="Gill Sans"/>
      <w:i/>
      <w:color w:val="222222"/>
      <w:sz w:val="22"/>
      <w:szCs w:val="22"/>
      <w:lang w:val="lv-LV"/>
    </w:rPr>
  </w:style>
  <w:style w:type="paragraph" w:customStyle="1" w:styleId="Pullquote">
    <w:name w:val="Pull quote"/>
    <w:basedOn w:val="Normal"/>
    <w:next w:val="Normal"/>
    <w:qFormat/>
    <w:rsid w:val="00392E63"/>
    <w:pPr>
      <w:tabs>
        <w:tab w:val="right" w:leader="dot" w:pos="2880"/>
      </w:tabs>
    </w:pPr>
    <w:rPr>
      <w:rFonts w:ascii="Gill Sans" w:hAnsi="Gill Sans" w:cs="Gill Sans"/>
      <w:color w:val="4BACC6" w:themeColor="accent5"/>
      <w:szCs w:val="20"/>
      <w:lang w:val="lv-LV"/>
    </w:rPr>
  </w:style>
  <w:style w:type="paragraph" w:customStyle="1" w:styleId="Tabletitleinside">
    <w:name w:val="Table title inside"/>
    <w:basedOn w:val="Heading5"/>
    <w:qFormat/>
    <w:rsid w:val="00392E63"/>
    <w:pPr>
      <w:spacing w:before="60"/>
    </w:pPr>
    <w:rPr>
      <w:rFonts w:ascii="Gill Sans" w:hAnsi="Gill Sans"/>
    </w:rPr>
  </w:style>
  <w:style w:type="character" w:customStyle="1" w:styleId="Heading5Char">
    <w:name w:val="Heading 5 Char"/>
    <w:aliases w:val="Table title outside Char"/>
    <w:basedOn w:val="DefaultParagraphFont"/>
    <w:link w:val="Heading5"/>
    <w:uiPriority w:val="9"/>
    <w:semiHidden/>
    <w:rsid w:val="00392E63"/>
    <w:rPr>
      <w:rFonts w:asciiTheme="majorHAnsi" w:eastAsiaTheme="majorEastAsia" w:hAnsiTheme="majorHAnsi" w:cstheme="majorBidi"/>
      <w:b/>
      <w:color w:val="1F497D" w:themeColor="text2"/>
      <w:sz w:val="22"/>
    </w:rPr>
  </w:style>
  <w:style w:type="paragraph" w:customStyle="1" w:styleId="Tableheader">
    <w:name w:val="Table header"/>
    <w:basedOn w:val="Normal"/>
    <w:qFormat/>
    <w:rsid w:val="00392E63"/>
    <w:pPr>
      <w:tabs>
        <w:tab w:val="right" w:leader="dot" w:pos="2880"/>
      </w:tabs>
    </w:pPr>
    <w:rPr>
      <w:rFonts w:ascii="Gill Sans SemiBold" w:hAnsi="Gill Sans SemiBold" w:cs="Gill Sans"/>
      <w:color w:val="365F91" w:themeColor="accent1" w:themeShade="BF"/>
      <w:sz w:val="22"/>
      <w:szCs w:val="20"/>
      <w:lang w:val="lv-LV"/>
    </w:rPr>
  </w:style>
  <w:style w:type="paragraph" w:customStyle="1" w:styleId="Rowcolumntitles">
    <w:name w:val="Row/column titles"/>
    <w:basedOn w:val="Normal"/>
    <w:qFormat/>
    <w:rsid w:val="00392E63"/>
    <w:pPr>
      <w:tabs>
        <w:tab w:val="right" w:leader="dot" w:pos="2880"/>
      </w:tabs>
    </w:pPr>
    <w:rPr>
      <w:rFonts w:ascii="Gill Sans" w:hAnsi="Gill Sans" w:cs="Gill Sans"/>
      <w:color w:val="000000" w:themeColor="text1"/>
      <w:sz w:val="22"/>
      <w:szCs w:val="20"/>
      <w:lang w:val="lv-LV"/>
    </w:rPr>
  </w:style>
  <w:style w:type="paragraph" w:customStyle="1" w:styleId="Tablebullet">
    <w:name w:val="Table bullet"/>
    <w:basedOn w:val="ListParagraph"/>
    <w:qFormat/>
    <w:rsid w:val="00392E63"/>
    <w:pPr>
      <w:numPr>
        <w:numId w:val="0"/>
      </w:numPr>
    </w:pPr>
    <w:rPr>
      <w:b/>
    </w:rPr>
  </w:style>
  <w:style w:type="paragraph" w:customStyle="1" w:styleId="Ataglancetitle">
    <w:name w:val="At a glance title"/>
    <w:basedOn w:val="Normal"/>
    <w:qFormat/>
    <w:rsid w:val="00392E63"/>
    <w:pPr>
      <w:tabs>
        <w:tab w:val="right" w:leader="dot" w:pos="2880"/>
      </w:tabs>
    </w:pPr>
    <w:rPr>
      <w:rFonts w:ascii="Gill Sans" w:hAnsi="Gill Sans" w:cs="Gill Sans"/>
      <w:b/>
      <w:color w:val="4F81BD" w:themeColor="accent1"/>
      <w:sz w:val="22"/>
      <w:szCs w:val="20"/>
      <w:lang w:val="lv-LV"/>
    </w:rPr>
  </w:style>
  <w:style w:type="paragraph" w:customStyle="1" w:styleId="Ataglancesubtitle">
    <w:name w:val="At a glance subtitle"/>
    <w:basedOn w:val="Normal"/>
    <w:qFormat/>
    <w:rsid w:val="00392E63"/>
    <w:pPr>
      <w:tabs>
        <w:tab w:val="right" w:leader="dot" w:pos="2880"/>
      </w:tabs>
      <w:spacing w:before="120"/>
    </w:pPr>
    <w:rPr>
      <w:rFonts w:ascii="Gill Sans" w:hAnsi="Gill Sans" w:cs="Gill Sans"/>
      <w:b/>
      <w:i/>
      <w:color w:val="403152" w:themeColor="accent4" w:themeShade="80"/>
      <w:sz w:val="22"/>
      <w:szCs w:val="20"/>
      <w:lang w:val="lv-LV"/>
    </w:rPr>
  </w:style>
  <w:style w:type="paragraph" w:styleId="Quote">
    <w:name w:val="Quote"/>
    <w:aliases w:val="Long quote"/>
    <w:basedOn w:val="Normal"/>
    <w:next w:val="Normal"/>
    <w:link w:val="QuoteChar"/>
    <w:uiPriority w:val="29"/>
    <w:qFormat/>
    <w:rsid w:val="00392E63"/>
    <w:pPr>
      <w:tabs>
        <w:tab w:val="right" w:leader="dot" w:pos="2880"/>
      </w:tabs>
      <w:ind w:left="720"/>
    </w:pPr>
    <w:rPr>
      <w:rFonts w:ascii="Adobe Caslon Pro" w:hAnsi="Adobe Caslon Pro" w:cstheme="minorBidi"/>
      <w:i/>
      <w:iCs/>
      <w:color w:val="000000" w:themeColor="text1"/>
      <w:sz w:val="22"/>
      <w:szCs w:val="20"/>
      <w:lang w:val="lv-LV"/>
    </w:rPr>
  </w:style>
  <w:style w:type="character" w:customStyle="1" w:styleId="QuoteChar">
    <w:name w:val="Quote Char"/>
    <w:aliases w:val="Long quote Char"/>
    <w:basedOn w:val="DefaultParagraphFont"/>
    <w:link w:val="Quote"/>
    <w:uiPriority w:val="29"/>
    <w:rsid w:val="00392E63"/>
    <w:rPr>
      <w:rFonts w:ascii="Adobe Caslon Pro" w:hAnsi="Adobe Caslon Pro"/>
      <w:i/>
      <w:iCs/>
      <w:color w:val="000000" w:themeColor="text1"/>
      <w:sz w:val="22"/>
    </w:rPr>
  </w:style>
  <w:style w:type="paragraph" w:styleId="TOCHeading">
    <w:name w:val="TOC Heading"/>
    <w:basedOn w:val="Heading1"/>
    <w:next w:val="Normal"/>
    <w:uiPriority w:val="39"/>
    <w:semiHidden/>
    <w:unhideWhenUsed/>
    <w:qFormat/>
    <w:rsid w:val="00392E63"/>
    <w:pPr>
      <w:outlineLvl w:val="9"/>
    </w:pPr>
    <w:rPr>
      <w:rFonts w:asciiTheme="majorHAnsi" w:hAnsiTheme="majorHAnsi" w:cstheme="majorBidi"/>
      <w:color w:val="5F497A" w:themeColor="accent4" w:themeShade="BF"/>
    </w:rPr>
  </w:style>
  <w:style w:type="paragraph" w:styleId="NormalWeb">
    <w:name w:val="Normal (Web)"/>
    <w:basedOn w:val="Normal"/>
    <w:uiPriority w:val="99"/>
    <w:unhideWhenUsed/>
    <w:rsid w:val="00E11C76"/>
    <w:pPr>
      <w:spacing w:before="100" w:beforeAutospacing="1" w:after="100" w:afterAutospacing="1"/>
    </w:pPr>
    <w:rPr>
      <w:rFonts w:ascii="Times" w:hAnsi="Times"/>
      <w:szCs w:val="20"/>
      <w:lang w:val="es-ES_tradnl" w:eastAsia="es-ES_tradnl"/>
    </w:rPr>
  </w:style>
  <w:style w:type="paragraph" w:customStyle="1" w:styleId="ftrefCharChar">
    <w:name w:val="ftref Char Char"/>
    <w:aliases w:val="ftref Car Char Char Char, Car Car5 Char Char Car Car Char Char Char Char Char,Footnote Reference.ftref Char.ftref Car Char Char.Car Car5 Char Char Car Car Char Char Char Char Char Char Char Char,callout,Footnotes refss"/>
    <w:basedOn w:val="Normal"/>
    <w:link w:val="FootnoteReference"/>
    <w:uiPriority w:val="99"/>
    <w:rsid w:val="00C476E2"/>
    <w:pPr>
      <w:spacing w:before="120" w:after="160" w:line="240" w:lineRule="exact"/>
    </w:pPr>
    <w:rPr>
      <w:rFonts w:ascii="Garamond" w:hAnsi="Garamond" w:cstheme="minorBidi"/>
      <w:color w:val="222222"/>
      <w:sz w:val="20"/>
      <w:szCs w:val="20"/>
      <w:vertAlign w:val="superscript"/>
      <w:lang w:val="lv-LV"/>
    </w:rPr>
  </w:style>
  <w:style w:type="paragraph" w:customStyle="1" w:styleId="p1">
    <w:name w:val="p1"/>
    <w:basedOn w:val="Normal"/>
    <w:rsid w:val="006E083E"/>
    <w:rPr>
      <w:sz w:val="17"/>
      <w:szCs w:val="17"/>
    </w:rPr>
  </w:style>
  <w:style w:type="character" w:styleId="Emphasis">
    <w:name w:val="Emphasis"/>
    <w:basedOn w:val="DefaultParagraphFont"/>
    <w:uiPriority w:val="20"/>
    <w:qFormat/>
    <w:rsid w:val="00DA6A2A"/>
    <w:rPr>
      <w:i/>
      <w:iCs/>
    </w:rPr>
  </w:style>
  <w:style w:type="character" w:styleId="Strong">
    <w:name w:val="Strong"/>
    <w:basedOn w:val="DefaultParagraphFont"/>
    <w:uiPriority w:val="22"/>
    <w:qFormat/>
    <w:rsid w:val="008D099B"/>
    <w:rPr>
      <w:b/>
      <w:bCs/>
    </w:rPr>
  </w:style>
  <w:style w:type="character" w:customStyle="1" w:styleId="spelle">
    <w:name w:val="spelle"/>
    <w:basedOn w:val="DefaultParagraphFont"/>
    <w:rsid w:val="00CF0F13"/>
  </w:style>
  <w:style w:type="paragraph" w:styleId="DocumentMap">
    <w:name w:val="Document Map"/>
    <w:basedOn w:val="Normal"/>
    <w:link w:val="DocumentMapChar"/>
    <w:uiPriority w:val="99"/>
    <w:semiHidden/>
    <w:unhideWhenUsed/>
    <w:rsid w:val="00DD618E"/>
  </w:style>
  <w:style w:type="character" w:customStyle="1" w:styleId="DocumentMapChar">
    <w:name w:val="Document Map Char"/>
    <w:basedOn w:val="DefaultParagraphFont"/>
    <w:link w:val="DocumentMap"/>
    <w:uiPriority w:val="99"/>
    <w:semiHidden/>
    <w:rsid w:val="00DD618E"/>
    <w:rPr>
      <w:rFonts w:ascii="Times New Roman" w:hAnsi="Times New Roman" w:cs="Times New Roman"/>
      <w:color w:val="auto"/>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4621">
      <w:bodyDiv w:val="1"/>
      <w:marLeft w:val="0"/>
      <w:marRight w:val="0"/>
      <w:marTop w:val="0"/>
      <w:marBottom w:val="0"/>
      <w:divBdr>
        <w:top w:val="none" w:sz="0" w:space="0" w:color="auto"/>
        <w:left w:val="none" w:sz="0" w:space="0" w:color="auto"/>
        <w:bottom w:val="none" w:sz="0" w:space="0" w:color="auto"/>
        <w:right w:val="none" w:sz="0" w:space="0" w:color="auto"/>
      </w:divBdr>
    </w:div>
    <w:div w:id="24447212">
      <w:bodyDiv w:val="1"/>
      <w:marLeft w:val="0"/>
      <w:marRight w:val="0"/>
      <w:marTop w:val="0"/>
      <w:marBottom w:val="0"/>
      <w:divBdr>
        <w:top w:val="none" w:sz="0" w:space="0" w:color="auto"/>
        <w:left w:val="none" w:sz="0" w:space="0" w:color="auto"/>
        <w:bottom w:val="none" w:sz="0" w:space="0" w:color="auto"/>
        <w:right w:val="none" w:sz="0" w:space="0" w:color="auto"/>
      </w:divBdr>
    </w:div>
    <w:div w:id="25494387">
      <w:bodyDiv w:val="1"/>
      <w:marLeft w:val="0"/>
      <w:marRight w:val="0"/>
      <w:marTop w:val="0"/>
      <w:marBottom w:val="0"/>
      <w:divBdr>
        <w:top w:val="none" w:sz="0" w:space="0" w:color="auto"/>
        <w:left w:val="none" w:sz="0" w:space="0" w:color="auto"/>
        <w:bottom w:val="none" w:sz="0" w:space="0" w:color="auto"/>
        <w:right w:val="none" w:sz="0" w:space="0" w:color="auto"/>
      </w:divBdr>
    </w:div>
    <w:div w:id="40592068">
      <w:bodyDiv w:val="1"/>
      <w:marLeft w:val="0"/>
      <w:marRight w:val="0"/>
      <w:marTop w:val="0"/>
      <w:marBottom w:val="0"/>
      <w:divBdr>
        <w:top w:val="none" w:sz="0" w:space="0" w:color="auto"/>
        <w:left w:val="none" w:sz="0" w:space="0" w:color="auto"/>
        <w:bottom w:val="none" w:sz="0" w:space="0" w:color="auto"/>
        <w:right w:val="none" w:sz="0" w:space="0" w:color="auto"/>
      </w:divBdr>
    </w:div>
    <w:div w:id="50227601">
      <w:bodyDiv w:val="1"/>
      <w:marLeft w:val="0"/>
      <w:marRight w:val="0"/>
      <w:marTop w:val="0"/>
      <w:marBottom w:val="0"/>
      <w:divBdr>
        <w:top w:val="none" w:sz="0" w:space="0" w:color="auto"/>
        <w:left w:val="none" w:sz="0" w:space="0" w:color="auto"/>
        <w:bottom w:val="none" w:sz="0" w:space="0" w:color="auto"/>
        <w:right w:val="none" w:sz="0" w:space="0" w:color="auto"/>
      </w:divBdr>
    </w:div>
    <w:div w:id="55588704">
      <w:bodyDiv w:val="1"/>
      <w:marLeft w:val="0"/>
      <w:marRight w:val="0"/>
      <w:marTop w:val="0"/>
      <w:marBottom w:val="0"/>
      <w:divBdr>
        <w:top w:val="none" w:sz="0" w:space="0" w:color="auto"/>
        <w:left w:val="none" w:sz="0" w:space="0" w:color="auto"/>
        <w:bottom w:val="none" w:sz="0" w:space="0" w:color="auto"/>
        <w:right w:val="none" w:sz="0" w:space="0" w:color="auto"/>
      </w:divBdr>
    </w:div>
    <w:div w:id="82070287">
      <w:bodyDiv w:val="1"/>
      <w:marLeft w:val="0"/>
      <w:marRight w:val="0"/>
      <w:marTop w:val="0"/>
      <w:marBottom w:val="0"/>
      <w:divBdr>
        <w:top w:val="none" w:sz="0" w:space="0" w:color="auto"/>
        <w:left w:val="none" w:sz="0" w:space="0" w:color="auto"/>
        <w:bottom w:val="none" w:sz="0" w:space="0" w:color="auto"/>
        <w:right w:val="none" w:sz="0" w:space="0" w:color="auto"/>
      </w:divBdr>
    </w:div>
    <w:div w:id="85469334">
      <w:bodyDiv w:val="1"/>
      <w:marLeft w:val="0"/>
      <w:marRight w:val="0"/>
      <w:marTop w:val="0"/>
      <w:marBottom w:val="0"/>
      <w:divBdr>
        <w:top w:val="none" w:sz="0" w:space="0" w:color="auto"/>
        <w:left w:val="none" w:sz="0" w:space="0" w:color="auto"/>
        <w:bottom w:val="none" w:sz="0" w:space="0" w:color="auto"/>
        <w:right w:val="none" w:sz="0" w:space="0" w:color="auto"/>
      </w:divBdr>
    </w:div>
    <w:div w:id="95249999">
      <w:bodyDiv w:val="1"/>
      <w:marLeft w:val="0"/>
      <w:marRight w:val="0"/>
      <w:marTop w:val="0"/>
      <w:marBottom w:val="0"/>
      <w:divBdr>
        <w:top w:val="none" w:sz="0" w:space="0" w:color="auto"/>
        <w:left w:val="none" w:sz="0" w:space="0" w:color="auto"/>
        <w:bottom w:val="none" w:sz="0" w:space="0" w:color="auto"/>
        <w:right w:val="none" w:sz="0" w:space="0" w:color="auto"/>
      </w:divBdr>
    </w:div>
    <w:div w:id="99373422">
      <w:bodyDiv w:val="1"/>
      <w:marLeft w:val="0"/>
      <w:marRight w:val="0"/>
      <w:marTop w:val="0"/>
      <w:marBottom w:val="0"/>
      <w:divBdr>
        <w:top w:val="none" w:sz="0" w:space="0" w:color="auto"/>
        <w:left w:val="none" w:sz="0" w:space="0" w:color="auto"/>
        <w:bottom w:val="none" w:sz="0" w:space="0" w:color="auto"/>
        <w:right w:val="none" w:sz="0" w:space="0" w:color="auto"/>
      </w:divBdr>
    </w:div>
    <w:div w:id="112941332">
      <w:bodyDiv w:val="1"/>
      <w:marLeft w:val="0"/>
      <w:marRight w:val="0"/>
      <w:marTop w:val="0"/>
      <w:marBottom w:val="0"/>
      <w:divBdr>
        <w:top w:val="none" w:sz="0" w:space="0" w:color="auto"/>
        <w:left w:val="none" w:sz="0" w:space="0" w:color="auto"/>
        <w:bottom w:val="none" w:sz="0" w:space="0" w:color="auto"/>
        <w:right w:val="none" w:sz="0" w:space="0" w:color="auto"/>
      </w:divBdr>
    </w:div>
    <w:div w:id="118184748">
      <w:bodyDiv w:val="1"/>
      <w:marLeft w:val="0"/>
      <w:marRight w:val="0"/>
      <w:marTop w:val="0"/>
      <w:marBottom w:val="0"/>
      <w:divBdr>
        <w:top w:val="none" w:sz="0" w:space="0" w:color="auto"/>
        <w:left w:val="none" w:sz="0" w:space="0" w:color="auto"/>
        <w:bottom w:val="none" w:sz="0" w:space="0" w:color="auto"/>
        <w:right w:val="none" w:sz="0" w:space="0" w:color="auto"/>
      </w:divBdr>
    </w:div>
    <w:div w:id="141195666">
      <w:bodyDiv w:val="1"/>
      <w:marLeft w:val="0"/>
      <w:marRight w:val="0"/>
      <w:marTop w:val="0"/>
      <w:marBottom w:val="0"/>
      <w:divBdr>
        <w:top w:val="none" w:sz="0" w:space="0" w:color="auto"/>
        <w:left w:val="none" w:sz="0" w:space="0" w:color="auto"/>
        <w:bottom w:val="none" w:sz="0" w:space="0" w:color="auto"/>
        <w:right w:val="none" w:sz="0" w:space="0" w:color="auto"/>
      </w:divBdr>
    </w:div>
    <w:div w:id="147946331">
      <w:bodyDiv w:val="1"/>
      <w:marLeft w:val="0"/>
      <w:marRight w:val="0"/>
      <w:marTop w:val="0"/>
      <w:marBottom w:val="0"/>
      <w:divBdr>
        <w:top w:val="none" w:sz="0" w:space="0" w:color="auto"/>
        <w:left w:val="none" w:sz="0" w:space="0" w:color="auto"/>
        <w:bottom w:val="none" w:sz="0" w:space="0" w:color="auto"/>
        <w:right w:val="none" w:sz="0" w:space="0" w:color="auto"/>
      </w:divBdr>
    </w:div>
    <w:div w:id="165826457">
      <w:bodyDiv w:val="1"/>
      <w:marLeft w:val="0"/>
      <w:marRight w:val="0"/>
      <w:marTop w:val="0"/>
      <w:marBottom w:val="0"/>
      <w:divBdr>
        <w:top w:val="none" w:sz="0" w:space="0" w:color="auto"/>
        <w:left w:val="none" w:sz="0" w:space="0" w:color="auto"/>
        <w:bottom w:val="none" w:sz="0" w:space="0" w:color="auto"/>
        <w:right w:val="none" w:sz="0" w:space="0" w:color="auto"/>
      </w:divBdr>
    </w:div>
    <w:div w:id="179242191">
      <w:bodyDiv w:val="1"/>
      <w:marLeft w:val="0"/>
      <w:marRight w:val="0"/>
      <w:marTop w:val="0"/>
      <w:marBottom w:val="0"/>
      <w:divBdr>
        <w:top w:val="none" w:sz="0" w:space="0" w:color="auto"/>
        <w:left w:val="none" w:sz="0" w:space="0" w:color="auto"/>
        <w:bottom w:val="none" w:sz="0" w:space="0" w:color="auto"/>
        <w:right w:val="none" w:sz="0" w:space="0" w:color="auto"/>
      </w:divBdr>
    </w:div>
    <w:div w:id="210583147">
      <w:bodyDiv w:val="1"/>
      <w:marLeft w:val="0"/>
      <w:marRight w:val="0"/>
      <w:marTop w:val="0"/>
      <w:marBottom w:val="0"/>
      <w:divBdr>
        <w:top w:val="none" w:sz="0" w:space="0" w:color="auto"/>
        <w:left w:val="none" w:sz="0" w:space="0" w:color="auto"/>
        <w:bottom w:val="none" w:sz="0" w:space="0" w:color="auto"/>
        <w:right w:val="none" w:sz="0" w:space="0" w:color="auto"/>
      </w:divBdr>
    </w:div>
    <w:div w:id="264922727">
      <w:bodyDiv w:val="1"/>
      <w:marLeft w:val="0"/>
      <w:marRight w:val="0"/>
      <w:marTop w:val="0"/>
      <w:marBottom w:val="0"/>
      <w:divBdr>
        <w:top w:val="none" w:sz="0" w:space="0" w:color="auto"/>
        <w:left w:val="none" w:sz="0" w:space="0" w:color="auto"/>
        <w:bottom w:val="none" w:sz="0" w:space="0" w:color="auto"/>
        <w:right w:val="none" w:sz="0" w:space="0" w:color="auto"/>
      </w:divBdr>
    </w:div>
    <w:div w:id="270356207">
      <w:bodyDiv w:val="1"/>
      <w:marLeft w:val="0"/>
      <w:marRight w:val="0"/>
      <w:marTop w:val="0"/>
      <w:marBottom w:val="0"/>
      <w:divBdr>
        <w:top w:val="none" w:sz="0" w:space="0" w:color="auto"/>
        <w:left w:val="none" w:sz="0" w:space="0" w:color="auto"/>
        <w:bottom w:val="none" w:sz="0" w:space="0" w:color="auto"/>
        <w:right w:val="none" w:sz="0" w:space="0" w:color="auto"/>
      </w:divBdr>
    </w:div>
    <w:div w:id="279118205">
      <w:bodyDiv w:val="1"/>
      <w:marLeft w:val="0"/>
      <w:marRight w:val="0"/>
      <w:marTop w:val="0"/>
      <w:marBottom w:val="0"/>
      <w:divBdr>
        <w:top w:val="none" w:sz="0" w:space="0" w:color="auto"/>
        <w:left w:val="none" w:sz="0" w:space="0" w:color="auto"/>
        <w:bottom w:val="none" w:sz="0" w:space="0" w:color="auto"/>
        <w:right w:val="none" w:sz="0" w:space="0" w:color="auto"/>
      </w:divBdr>
    </w:div>
    <w:div w:id="320275784">
      <w:bodyDiv w:val="1"/>
      <w:marLeft w:val="0"/>
      <w:marRight w:val="0"/>
      <w:marTop w:val="0"/>
      <w:marBottom w:val="0"/>
      <w:divBdr>
        <w:top w:val="none" w:sz="0" w:space="0" w:color="auto"/>
        <w:left w:val="none" w:sz="0" w:space="0" w:color="auto"/>
        <w:bottom w:val="none" w:sz="0" w:space="0" w:color="auto"/>
        <w:right w:val="none" w:sz="0" w:space="0" w:color="auto"/>
      </w:divBdr>
    </w:div>
    <w:div w:id="323553530">
      <w:bodyDiv w:val="1"/>
      <w:marLeft w:val="0"/>
      <w:marRight w:val="0"/>
      <w:marTop w:val="0"/>
      <w:marBottom w:val="0"/>
      <w:divBdr>
        <w:top w:val="none" w:sz="0" w:space="0" w:color="auto"/>
        <w:left w:val="none" w:sz="0" w:space="0" w:color="auto"/>
        <w:bottom w:val="none" w:sz="0" w:space="0" w:color="auto"/>
        <w:right w:val="none" w:sz="0" w:space="0" w:color="auto"/>
      </w:divBdr>
    </w:div>
    <w:div w:id="353967120">
      <w:bodyDiv w:val="1"/>
      <w:marLeft w:val="0"/>
      <w:marRight w:val="0"/>
      <w:marTop w:val="0"/>
      <w:marBottom w:val="0"/>
      <w:divBdr>
        <w:top w:val="none" w:sz="0" w:space="0" w:color="auto"/>
        <w:left w:val="none" w:sz="0" w:space="0" w:color="auto"/>
        <w:bottom w:val="none" w:sz="0" w:space="0" w:color="auto"/>
        <w:right w:val="none" w:sz="0" w:space="0" w:color="auto"/>
      </w:divBdr>
    </w:div>
    <w:div w:id="356395954">
      <w:bodyDiv w:val="1"/>
      <w:marLeft w:val="0"/>
      <w:marRight w:val="0"/>
      <w:marTop w:val="0"/>
      <w:marBottom w:val="0"/>
      <w:divBdr>
        <w:top w:val="none" w:sz="0" w:space="0" w:color="auto"/>
        <w:left w:val="none" w:sz="0" w:space="0" w:color="auto"/>
        <w:bottom w:val="none" w:sz="0" w:space="0" w:color="auto"/>
        <w:right w:val="none" w:sz="0" w:space="0" w:color="auto"/>
      </w:divBdr>
    </w:div>
    <w:div w:id="358623195">
      <w:bodyDiv w:val="1"/>
      <w:marLeft w:val="0"/>
      <w:marRight w:val="0"/>
      <w:marTop w:val="0"/>
      <w:marBottom w:val="0"/>
      <w:divBdr>
        <w:top w:val="none" w:sz="0" w:space="0" w:color="auto"/>
        <w:left w:val="none" w:sz="0" w:space="0" w:color="auto"/>
        <w:bottom w:val="none" w:sz="0" w:space="0" w:color="auto"/>
        <w:right w:val="none" w:sz="0" w:space="0" w:color="auto"/>
      </w:divBdr>
    </w:div>
    <w:div w:id="407655250">
      <w:bodyDiv w:val="1"/>
      <w:marLeft w:val="0"/>
      <w:marRight w:val="0"/>
      <w:marTop w:val="0"/>
      <w:marBottom w:val="0"/>
      <w:divBdr>
        <w:top w:val="none" w:sz="0" w:space="0" w:color="auto"/>
        <w:left w:val="none" w:sz="0" w:space="0" w:color="auto"/>
        <w:bottom w:val="none" w:sz="0" w:space="0" w:color="auto"/>
        <w:right w:val="none" w:sz="0" w:space="0" w:color="auto"/>
      </w:divBdr>
    </w:div>
    <w:div w:id="426652670">
      <w:bodyDiv w:val="1"/>
      <w:marLeft w:val="0"/>
      <w:marRight w:val="0"/>
      <w:marTop w:val="0"/>
      <w:marBottom w:val="0"/>
      <w:divBdr>
        <w:top w:val="none" w:sz="0" w:space="0" w:color="auto"/>
        <w:left w:val="none" w:sz="0" w:space="0" w:color="auto"/>
        <w:bottom w:val="none" w:sz="0" w:space="0" w:color="auto"/>
        <w:right w:val="none" w:sz="0" w:space="0" w:color="auto"/>
      </w:divBdr>
    </w:div>
    <w:div w:id="430200454">
      <w:bodyDiv w:val="1"/>
      <w:marLeft w:val="0"/>
      <w:marRight w:val="0"/>
      <w:marTop w:val="0"/>
      <w:marBottom w:val="0"/>
      <w:divBdr>
        <w:top w:val="none" w:sz="0" w:space="0" w:color="auto"/>
        <w:left w:val="none" w:sz="0" w:space="0" w:color="auto"/>
        <w:bottom w:val="none" w:sz="0" w:space="0" w:color="auto"/>
        <w:right w:val="none" w:sz="0" w:space="0" w:color="auto"/>
      </w:divBdr>
    </w:div>
    <w:div w:id="441653062">
      <w:bodyDiv w:val="1"/>
      <w:marLeft w:val="0"/>
      <w:marRight w:val="0"/>
      <w:marTop w:val="0"/>
      <w:marBottom w:val="0"/>
      <w:divBdr>
        <w:top w:val="none" w:sz="0" w:space="0" w:color="auto"/>
        <w:left w:val="none" w:sz="0" w:space="0" w:color="auto"/>
        <w:bottom w:val="none" w:sz="0" w:space="0" w:color="auto"/>
        <w:right w:val="none" w:sz="0" w:space="0" w:color="auto"/>
      </w:divBdr>
    </w:div>
    <w:div w:id="459305168">
      <w:bodyDiv w:val="1"/>
      <w:marLeft w:val="0"/>
      <w:marRight w:val="0"/>
      <w:marTop w:val="0"/>
      <w:marBottom w:val="0"/>
      <w:divBdr>
        <w:top w:val="none" w:sz="0" w:space="0" w:color="auto"/>
        <w:left w:val="none" w:sz="0" w:space="0" w:color="auto"/>
        <w:bottom w:val="none" w:sz="0" w:space="0" w:color="auto"/>
        <w:right w:val="none" w:sz="0" w:space="0" w:color="auto"/>
      </w:divBdr>
    </w:div>
    <w:div w:id="465390694">
      <w:bodyDiv w:val="1"/>
      <w:marLeft w:val="0"/>
      <w:marRight w:val="0"/>
      <w:marTop w:val="0"/>
      <w:marBottom w:val="0"/>
      <w:divBdr>
        <w:top w:val="none" w:sz="0" w:space="0" w:color="auto"/>
        <w:left w:val="none" w:sz="0" w:space="0" w:color="auto"/>
        <w:bottom w:val="none" w:sz="0" w:space="0" w:color="auto"/>
        <w:right w:val="none" w:sz="0" w:space="0" w:color="auto"/>
      </w:divBdr>
    </w:div>
    <w:div w:id="481965567">
      <w:bodyDiv w:val="1"/>
      <w:marLeft w:val="0"/>
      <w:marRight w:val="0"/>
      <w:marTop w:val="0"/>
      <w:marBottom w:val="0"/>
      <w:divBdr>
        <w:top w:val="none" w:sz="0" w:space="0" w:color="auto"/>
        <w:left w:val="none" w:sz="0" w:space="0" w:color="auto"/>
        <w:bottom w:val="none" w:sz="0" w:space="0" w:color="auto"/>
        <w:right w:val="none" w:sz="0" w:space="0" w:color="auto"/>
      </w:divBdr>
    </w:div>
    <w:div w:id="489029974">
      <w:bodyDiv w:val="1"/>
      <w:marLeft w:val="0"/>
      <w:marRight w:val="0"/>
      <w:marTop w:val="0"/>
      <w:marBottom w:val="0"/>
      <w:divBdr>
        <w:top w:val="none" w:sz="0" w:space="0" w:color="auto"/>
        <w:left w:val="none" w:sz="0" w:space="0" w:color="auto"/>
        <w:bottom w:val="none" w:sz="0" w:space="0" w:color="auto"/>
        <w:right w:val="none" w:sz="0" w:space="0" w:color="auto"/>
      </w:divBdr>
    </w:div>
    <w:div w:id="499463800">
      <w:bodyDiv w:val="1"/>
      <w:marLeft w:val="0"/>
      <w:marRight w:val="0"/>
      <w:marTop w:val="0"/>
      <w:marBottom w:val="0"/>
      <w:divBdr>
        <w:top w:val="none" w:sz="0" w:space="0" w:color="auto"/>
        <w:left w:val="none" w:sz="0" w:space="0" w:color="auto"/>
        <w:bottom w:val="none" w:sz="0" w:space="0" w:color="auto"/>
        <w:right w:val="none" w:sz="0" w:space="0" w:color="auto"/>
      </w:divBdr>
    </w:div>
    <w:div w:id="545484462">
      <w:bodyDiv w:val="1"/>
      <w:marLeft w:val="0"/>
      <w:marRight w:val="0"/>
      <w:marTop w:val="0"/>
      <w:marBottom w:val="0"/>
      <w:divBdr>
        <w:top w:val="none" w:sz="0" w:space="0" w:color="auto"/>
        <w:left w:val="none" w:sz="0" w:space="0" w:color="auto"/>
        <w:bottom w:val="none" w:sz="0" w:space="0" w:color="auto"/>
        <w:right w:val="none" w:sz="0" w:space="0" w:color="auto"/>
      </w:divBdr>
    </w:div>
    <w:div w:id="594704006">
      <w:bodyDiv w:val="1"/>
      <w:marLeft w:val="0"/>
      <w:marRight w:val="0"/>
      <w:marTop w:val="0"/>
      <w:marBottom w:val="0"/>
      <w:divBdr>
        <w:top w:val="none" w:sz="0" w:space="0" w:color="auto"/>
        <w:left w:val="none" w:sz="0" w:space="0" w:color="auto"/>
        <w:bottom w:val="none" w:sz="0" w:space="0" w:color="auto"/>
        <w:right w:val="none" w:sz="0" w:space="0" w:color="auto"/>
      </w:divBdr>
    </w:div>
    <w:div w:id="600181379">
      <w:bodyDiv w:val="1"/>
      <w:marLeft w:val="0"/>
      <w:marRight w:val="0"/>
      <w:marTop w:val="0"/>
      <w:marBottom w:val="0"/>
      <w:divBdr>
        <w:top w:val="none" w:sz="0" w:space="0" w:color="auto"/>
        <w:left w:val="none" w:sz="0" w:space="0" w:color="auto"/>
        <w:bottom w:val="none" w:sz="0" w:space="0" w:color="auto"/>
        <w:right w:val="none" w:sz="0" w:space="0" w:color="auto"/>
      </w:divBdr>
    </w:div>
    <w:div w:id="600770497">
      <w:bodyDiv w:val="1"/>
      <w:marLeft w:val="0"/>
      <w:marRight w:val="0"/>
      <w:marTop w:val="0"/>
      <w:marBottom w:val="0"/>
      <w:divBdr>
        <w:top w:val="none" w:sz="0" w:space="0" w:color="auto"/>
        <w:left w:val="none" w:sz="0" w:space="0" w:color="auto"/>
        <w:bottom w:val="none" w:sz="0" w:space="0" w:color="auto"/>
        <w:right w:val="none" w:sz="0" w:space="0" w:color="auto"/>
      </w:divBdr>
    </w:div>
    <w:div w:id="603999787">
      <w:bodyDiv w:val="1"/>
      <w:marLeft w:val="0"/>
      <w:marRight w:val="0"/>
      <w:marTop w:val="0"/>
      <w:marBottom w:val="0"/>
      <w:divBdr>
        <w:top w:val="none" w:sz="0" w:space="0" w:color="auto"/>
        <w:left w:val="none" w:sz="0" w:space="0" w:color="auto"/>
        <w:bottom w:val="none" w:sz="0" w:space="0" w:color="auto"/>
        <w:right w:val="none" w:sz="0" w:space="0" w:color="auto"/>
      </w:divBdr>
    </w:div>
    <w:div w:id="609244002">
      <w:bodyDiv w:val="1"/>
      <w:marLeft w:val="0"/>
      <w:marRight w:val="0"/>
      <w:marTop w:val="0"/>
      <w:marBottom w:val="0"/>
      <w:divBdr>
        <w:top w:val="none" w:sz="0" w:space="0" w:color="auto"/>
        <w:left w:val="none" w:sz="0" w:space="0" w:color="auto"/>
        <w:bottom w:val="none" w:sz="0" w:space="0" w:color="auto"/>
        <w:right w:val="none" w:sz="0" w:space="0" w:color="auto"/>
      </w:divBdr>
    </w:div>
    <w:div w:id="619921325">
      <w:bodyDiv w:val="1"/>
      <w:marLeft w:val="0"/>
      <w:marRight w:val="0"/>
      <w:marTop w:val="0"/>
      <w:marBottom w:val="0"/>
      <w:divBdr>
        <w:top w:val="none" w:sz="0" w:space="0" w:color="auto"/>
        <w:left w:val="none" w:sz="0" w:space="0" w:color="auto"/>
        <w:bottom w:val="none" w:sz="0" w:space="0" w:color="auto"/>
        <w:right w:val="none" w:sz="0" w:space="0" w:color="auto"/>
      </w:divBdr>
    </w:div>
    <w:div w:id="634915049">
      <w:bodyDiv w:val="1"/>
      <w:marLeft w:val="0"/>
      <w:marRight w:val="0"/>
      <w:marTop w:val="0"/>
      <w:marBottom w:val="0"/>
      <w:divBdr>
        <w:top w:val="none" w:sz="0" w:space="0" w:color="auto"/>
        <w:left w:val="none" w:sz="0" w:space="0" w:color="auto"/>
        <w:bottom w:val="none" w:sz="0" w:space="0" w:color="auto"/>
        <w:right w:val="none" w:sz="0" w:space="0" w:color="auto"/>
      </w:divBdr>
    </w:div>
    <w:div w:id="635530204">
      <w:bodyDiv w:val="1"/>
      <w:marLeft w:val="0"/>
      <w:marRight w:val="0"/>
      <w:marTop w:val="0"/>
      <w:marBottom w:val="0"/>
      <w:divBdr>
        <w:top w:val="none" w:sz="0" w:space="0" w:color="auto"/>
        <w:left w:val="none" w:sz="0" w:space="0" w:color="auto"/>
        <w:bottom w:val="none" w:sz="0" w:space="0" w:color="auto"/>
        <w:right w:val="none" w:sz="0" w:space="0" w:color="auto"/>
      </w:divBdr>
    </w:div>
    <w:div w:id="649215211">
      <w:bodyDiv w:val="1"/>
      <w:marLeft w:val="0"/>
      <w:marRight w:val="0"/>
      <w:marTop w:val="0"/>
      <w:marBottom w:val="0"/>
      <w:divBdr>
        <w:top w:val="none" w:sz="0" w:space="0" w:color="auto"/>
        <w:left w:val="none" w:sz="0" w:space="0" w:color="auto"/>
        <w:bottom w:val="none" w:sz="0" w:space="0" w:color="auto"/>
        <w:right w:val="none" w:sz="0" w:space="0" w:color="auto"/>
      </w:divBdr>
    </w:div>
    <w:div w:id="673144764">
      <w:bodyDiv w:val="1"/>
      <w:marLeft w:val="0"/>
      <w:marRight w:val="0"/>
      <w:marTop w:val="0"/>
      <w:marBottom w:val="0"/>
      <w:divBdr>
        <w:top w:val="none" w:sz="0" w:space="0" w:color="auto"/>
        <w:left w:val="none" w:sz="0" w:space="0" w:color="auto"/>
        <w:bottom w:val="none" w:sz="0" w:space="0" w:color="auto"/>
        <w:right w:val="none" w:sz="0" w:space="0" w:color="auto"/>
      </w:divBdr>
    </w:div>
    <w:div w:id="678197341">
      <w:bodyDiv w:val="1"/>
      <w:marLeft w:val="0"/>
      <w:marRight w:val="0"/>
      <w:marTop w:val="0"/>
      <w:marBottom w:val="0"/>
      <w:divBdr>
        <w:top w:val="none" w:sz="0" w:space="0" w:color="auto"/>
        <w:left w:val="none" w:sz="0" w:space="0" w:color="auto"/>
        <w:bottom w:val="none" w:sz="0" w:space="0" w:color="auto"/>
        <w:right w:val="none" w:sz="0" w:space="0" w:color="auto"/>
      </w:divBdr>
    </w:div>
    <w:div w:id="707411469">
      <w:bodyDiv w:val="1"/>
      <w:marLeft w:val="0"/>
      <w:marRight w:val="0"/>
      <w:marTop w:val="0"/>
      <w:marBottom w:val="0"/>
      <w:divBdr>
        <w:top w:val="none" w:sz="0" w:space="0" w:color="auto"/>
        <w:left w:val="none" w:sz="0" w:space="0" w:color="auto"/>
        <w:bottom w:val="none" w:sz="0" w:space="0" w:color="auto"/>
        <w:right w:val="none" w:sz="0" w:space="0" w:color="auto"/>
      </w:divBdr>
    </w:div>
    <w:div w:id="763381943">
      <w:bodyDiv w:val="1"/>
      <w:marLeft w:val="0"/>
      <w:marRight w:val="0"/>
      <w:marTop w:val="0"/>
      <w:marBottom w:val="0"/>
      <w:divBdr>
        <w:top w:val="none" w:sz="0" w:space="0" w:color="auto"/>
        <w:left w:val="none" w:sz="0" w:space="0" w:color="auto"/>
        <w:bottom w:val="none" w:sz="0" w:space="0" w:color="auto"/>
        <w:right w:val="none" w:sz="0" w:space="0" w:color="auto"/>
      </w:divBdr>
    </w:div>
    <w:div w:id="763646757">
      <w:bodyDiv w:val="1"/>
      <w:marLeft w:val="0"/>
      <w:marRight w:val="0"/>
      <w:marTop w:val="0"/>
      <w:marBottom w:val="0"/>
      <w:divBdr>
        <w:top w:val="none" w:sz="0" w:space="0" w:color="auto"/>
        <w:left w:val="none" w:sz="0" w:space="0" w:color="auto"/>
        <w:bottom w:val="none" w:sz="0" w:space="0" w:color="auto"/>
        <w:right w:val="none" w:sz="0" w:space="0" w:color="auto"/>
      </w:divBdr>
    </w:div>
    <w:div w:id="766003245">
      <w:bodyDiv w:val="1"/>
      <w:marLeft w:val="0"/>
      <w:marRight w:val="0"/>
      <w:marTop w:val="0"/>
      <w:marBottom w:val="0"/>
      <w:divBdr>
        <w:top w:val="none" w:sz="0" w:space="0" w:color="auto"/>
        <w:left w:val="none" w:sz="0" w:space="0" w:color="auto"/>
        <w:bottom w:val="none" w:sz="0" w:space="0" w:color="auto"/>
        <w:right w:val="none" w:sz="0" w:space="0" w:color="auto"/>
      </w:divBdr>
    </w:div>
    <w:div w:id="774832684">
      <w:bodyDiv w:val="1"/>
      <w:marLeft w:val="0"/>
      <w:marRight w:val="0"/>
      <w:marTop w:val="0"/>
      <w:marBottom w:val="0"/>
      <w:divBdr>
        <w:top w:val="none" w:sz="0" w:space="0" w:color="auto"/>
        <w:left w:val="none" w:sz="0" w:space="0" w:color="auto"/>
        <w:bottom w:val="none" w:sz="0" w:space="0" w:color="auto"/>
        <w:right w:val="none" w:sz="0" w:space="0" w:color="auto"/>
      </w:divBdr>
    </w:div>
    <w:div w:id="779446728">
      <w:bodyDiv w:val="1"/>
      <w:marLeft w:val="0"/>
      <w:marRight w:val="0"/>
      <w:marTop w:val="0"/>
      <w:marBottom w:val="0"/>
      <w:divBdr>
        <w:top w:val="none" w:sz="0" w:space="0" w:color="auto"/>
        <w:left w:val="none" w:sz="0" w:space="0" w:color="auto"/>
        <w:bottom w:val="none" w:sz="0" w:space="0" w:color="auto"/>
        <w:right w:val="none" w:sz="0" w:space="0" w:color="auto"/>
      </w:divBdr>
    </w:div>
    <w:div w:id="866479569">
      <w:bodyDiv w:val="1"/>
      <w:marLeft w:val="0"/>
      <w:marRight w:val="0"/>
      <w:marTop w:val="0"/>
      <w:marBottom w:val="0"/>
      <w:divBdr>
        <w:top w:val="none" w:sz="0" w:space="0" w:color="auto"/>
        <w:left w:val="none" w:sz="0" w:space="0" w:color="auto"/>
        <w:bottom w:val="none" w:sz="0" w:space="0" w:color="auto"/>
        <w:right w:val="none" w:sz="0" w:space="0" w:color="auto"/>
      </w:divBdr>
    </w:div>
    <w:div w:id="873425523">
      <w:bodyDiv w:val="1"/>
      <w:marLeft w:val="0"/>
      <w:marRight w:val="0"/>
      <w:marTop w:val="0"/>
      <w:marBottom w:val="0"/>
      <w:divBdr>
        <w:top w:val="none" w:sz="0" w:space="0" w:color="auto"/>
        <w:left w:val="none" w:sz="0" w:space="0" w:color="auto"/>
        <w:bottom w:val="none" w:sz="0" w:space="0" w:color="auto"/>
        <w:right w:val="none" w:sz="0" w:space="0" w:color="auto"/>
      </w:divBdr>
    </w:div>
    <w:div w:id="876814558">
      <w:bodyDiv w:val="1"/>
      <w:marLeft w:val="0"/>
      <w:marRight w:val="0"/>
      <w:marTop w:val="0"/>
      <w:marBottom w:val="0"/>
      <w:divBdr>
        <w:top w:val="none" w:sz="0" w:space="0" w:color="auto"/>
        <w:left w:val="none" w:sz="0" w:space="0" w:color="auto"/>
        <w:bottom w:val="none" w:sz="0" w:space="0" w:color="auto"/>
        <w:right w:val="none" w:sz="0" w:space="0" w:color="auto"/>
      </w:divBdr>
    </w:div>
    <w:div w:id="915625844">
      <w:bodyDiv w:val="1"/>
      <w:marLeft w:val="0"/>
      <w:marRight w:val="0"/>
      <w:marTop w:val="0"/>
      <w:marBottom w:val="0"/>
      <w:divBdr>
        <w:top w:val="none" w:sz="0" w:space="0" w:color="auto"/>
        <w:left w:val="none" w:sz="0" w:space="0" w:color="auto"/>
        <w:bottom w:val="none" w:sz="0" w:space="0" w:color="auto"/>
        <w:right w:val="none" w:sz="0" w:space="0" w:color="auto"/>
      </w:divBdr>
    </w:div>
    <w:div w:id="934291865">
      <w:bodyDiv w:val="1"/>
      <w:marLeft w:val="0"/>
      <w:marRight w:val="0"/>
      <w:marTop w:val="0"/>
      <w:marBottom w:val="0"/>
      <w:divBdr>
        <w:top w:val="none" w:sz="0" w:space="0" w:color="auto"/>
        <w:left w:val="none" w:sz="0" w:space="0" w:color="auto"/>
        <w:bottom w:val="none" w:sz="0" w:space="0" w:color="auto"/>
        <w:right w:val="none" w:sz="0" w:space="0" w:color="auto"/>
      </w:divBdr>
    </w:div>
    <w:div w:id="943422038">
      <w:bodyDiv w:val="1"/>
      <w:marLeft w:val="0"/>
      <w:marRight w:val="0"/>
      <w:marTop w:val="0"/>
      <w:marBottom w:val="0"/>
      <w:divBdr>
        <w:top w:val="none" w:sz="0" w:space="0" w:color="auto"/>
        <w:left w:val="none" w:sz="0" w:space="0" w:color="auto"/>
        <w:bottom w:val="none" w:sz="0" w:space="0" w:color="auto"/>
        <w:right w:val="none" w:sz="0" w:space="0" w:color="auto"/>
      </w:divBdr>
    </w:div>
    <w:div w:id="949094999">
      <w:bodyDiv w:val="1"/>
      <w:marLeft w:val="0"/>
      <w:marRight w:val="0"/>
      <w:marTop w:val="0"/>
      <w:marBottom w:val="0"/>
      <w:divBdr>
        <w:top w:val="none" w:sz="0" w:space="0" w:color="auto"/>
        <w:left w:val="none" w:sz="0" w:space="0" w:color="auto"/>
        <w:bottom w:val="none" w:sz="0" w:space="0" w:color="auto"/>
        <w:right w:val="none" w:sz="0" w:space="0" w:color="auto"/>
      </w:divBdr>
    </w:div>
    <w:div w:id="956376858">
      <w:bodyDiv w:val="1"/>
      <w:marLeft w:val="0"/>
      <w:marRight w:val="0"/>
      <w:marTop w:val="0"/>
      <w:marBottom w:val="0"/>
      <w:divBdr>
        <w:top w:val="none" w:sz="0" w:space="0" w:color="auto"/>
        <w:left w:val="none" w:sz="0" w:space="0" w:color="auto"/>
        <w:bottom w:val="none" w:sz="0" w:space="0" w:color="auto"/>
        <w:right w:val="none" w:sz="0" w:space="0" w:color="auto"/>
      </w:divBdr>
    </w:div>
    <w:div w:id="988824773">
      <w:bodyDiv w:val="1"/>
      <w:marLeft w:val="0"/>
      <w:marRight w:val="0"/>
      <w:marTop w:val="0"/>
      <w:marBottom w:val="0"/>
      <w:divBdr>
        <w:top w:val="none" w:sz="0" w:space="0" w:color="auto"/>
        <w:left w:val="none" w:sz="0" w:space="0" w:color="auto"/>
        <w:bottom w:val="none" w:sz="0" w:space="0" w:color="auto"/>
        <w:right w:val="none" w:sz="0" w:space="0" w:color="auto"/>
      </w:divBdr>
    </w:div>
    <w:div w:id="989093646">
      <w:bodyDiv w:val="1"/>
      <w:marLeft w:val="0"/>
      <w:marRight w:val="0"/>
      <w:marTop w:val="0"/>
      <w:marBottom w:val="0"/>
      <w:divBdr>
        <w:top w:val="none" w:sz="0" w:space="0" w:color="auto"/>
        <w:left w:val="none" w:sz="0" w:space="0" w:color="auto"/>
        <w:bottom w:val="none" w:sz="0" w:space="0" w:color="auto"/>
        <w:right w:val="none" w:sz="0" w:space="0" w:color="auto"/>
      </w:divBdr>
    </w:div>
    <w:div w:id="1007708889">
      <w:bodyDiv w:val="1"/>
      <w:marLeft w:val="0"/>
      <w:marRight w:val="0"/>
      <w:marTop w:val="0"/>
      <w:marBottom w:val="0"/>
      <w:divBdr>
        <w:top w:val="none" w:sz="0" w:space="0" w:color="auto"/>
        <w:left w:val="none" w:sz="0" w:space="0" w:color="auto"/>
        <w:bottom w:val="none" w:sz="0" w:space="0" w:color="auto"/>
        <w:right w:val="none" w:sz="0" w:space="0" w:color="auto"/>
      </w:divBdr>
    </w:div>
    <w:div w:id="1012149495">
      <w:bodyDiv w:val="1"/>
      <w:marLeft w:val="0"/>
      <w:marRight w:val="0"/>
      <w:marTop w:val="0"/>
      <w:marBottom w:val="0"/>
      <w:divBdr>
        <w:top w:val="none" w:sz="0" w:space="0" w:color="auto"/>
        <w:left w:val="none" w:sz="0" w:space="0" w:color="auto"/>
        <w:bottom w:val="none" w:sz="0" w:space="0" w:color="auto"/>
        <w:right w:val="none" w:sz="0" w:space="0" w:color="auto"/>
      </w:divBdr>
    </w:div>
    <w:div w:id="1044014500">
      <w:bodyDiv w:val="1"/>
      <w:marLeft w:val="0"/>
      <w:marRight w:val="0"/>
      <w:marTop w:val="0"/>
      <w:marBottom w:val="0"/>
      <w:divBdr>
        <w:top w:val="none" w:sz="0" w:space="0" w:color="auto"/>
        <w:left w:val="none" w:sz="0" w:space="0" w:color="auto"/>
        <w:bottom w:val="none" w:sz="0" w:space="0" w:color="auto"/>
        <w:right w:val="none" w:sz="0" w:space="0" w:color="auto"/>
      </w:divBdr>
    </w:div>
    <w:div w:id="1101028855">
      <w:bodyDiv w:val="1"/>
      <w:marLeft w:val="0"/>
      <w:marRight w:val="0"/>
      <w:marTop w:val="0"/>
      <w:marBottom w:val="0"/>
      <w:divBdr>
        <w:top w:val="none" w:sz="0" w:space="0" w:color="auto"/>
        <w:left w:val="none" w:sz="0" w:space="0" w:color="auto"/>
        <w:bottom w:val="none" w:sz="0" w:space="0" w:color="auto"/>
        <w:right w:val="none" w:sz="0" w:space="0" w:color="auto"/>
      </w:divBdr>
    </w:div>
    <w:div w:id="1114397578">
      <w:bodyDiv w:val="1"/>
      <w:marLeft w:val="0"/>
      <w:marRight w:val="0"/>
      <w:marTop w:val="0"/>
      <w:marBottom w:val="0"/>
      <w:divBdr>
        <w:top w:val="none" w:sz="0" w:space="0" w:color="auto"/>
        <w:left w:val="none" w:sz="0" w:space="0" w:color="auto"/>
        <w:bottom w:val="none" w:sz="0" w:space="0" w:color="auto"/>
        <w:right w:val="none" w:sz="0" w:space="0" w:color="auto"/>
      </w:divBdr>
    </w:div>
    <w:div w:id="1150055316">
      <w:bodyDiv w:val="1"/>
      <w:marLeft w:val="0"/>
      <w:marRight w:val="0"/>
      <w:marTop w:val="0"/>
      <w:marBottom w:val="0"/>
      <w:divBdr>
        <w:top w:val="none" w:sz="0" w:space="0" w:color="auto"/>
        <w:left w:val="none" w:sz="0" w:space="0" w:color="auto"/>
        <w:bottom w:val="none" w:sz="0" w:space="0" w:color="auto"/>
        <w:right w:val="none" w:sz="0" w:space="0" w:color="auto"/>
      </w:divBdr>
    </w:div>
    <w:div w:id="1161585736">
      <w:bodyDiv w:val="1"/>
      <w:marLeft w:val="0"/>
      <w:marRight w:val="0"/>
      <w:marTop w:val="0"/>
      <w:marBottom w:val="0"/>
      <w:divBdr>
        <w:top w:val="none" w:sz="0" w:space="0" w:color="auto"/>
        <w:left w:val="none" w:sz="0" w:space="0" w:color="auto"/>
        <w:bottom w:val="none" w:sz="0" w:space="0" w:color="auto"/>
        <w:right w:val="none" w:sz="0" w:space="0" w:color="auto"/>
      </w:divBdr>
    </w:div>
    <w:div w:id="1178884005">
      <w:bodyDiv w:val="1"/>
      <w:marLeft w:val="0"/>
      <w:marRight w:val="0"/>
      <w:marTop w:val="0"/>
      <w:marBottom w:val="0"/>
      <w:divBdr>
        <w:top w:val="none" w:sz="0" w:space="0" w:color="auto"/>
        <w:left w:val="none" w:sz="0" w:space="0" w:color="auto"/>
        <w:bottom w:val="none" w:sz="0" w:space="0" w:color="auto"/>
        <w:right w:val="none" w:sz="0" w:space="0" w:color="auto"/>
      </w:divBdr>
    </w:div>
    <w:div w:id="1189486264">
      <w:bodyDiv w:val="1"/>
      <w:marLeft w:val="0"/>
      <w:marRight w:val="0"/>
      <w:marTop w:val="0"/>
      <w:marBottom w:val="0"/>
      <w:divBdr>
        <w:top w:val="none" w:sz="0" w:space="0" w:color="auto"/>
        <w:left w:val="none" w:sz="0" w:space="0" w:color="auto"/>
        <w:bottom w:val="none" w:sz="0" w:space="0" w:color="auto"/>
        <w:right w:val="none" w:sz="0" w:space="0" w:color="auto"/>
      </w:divBdr>
    </w:div>
    <w:div w:id="1206143632">
      <w:bodyDiv w:val="1"/>
      <w:marLeft w:val="0"/>
      <w:marRight w:val="0"/>
      <w:marTop w:val="0"/>
      <w:marBottom w:val="0"/>
      <w:divBdr>
        <w:top w:val="none" w:sz="0" w:space="0" w:color="auto"/>
        <w:left w:val="none" w:sz="0" w:space="0" w:color="auto"/>
        <w:bottom w:val="none" w:sz="0" w:space="0" w:color="auto"/>
        <w:right w:val="none" w:sz="0" w:space="0" w:color="auto"/>
      </w:divBdr>
    </w:div>
    <w:div w:id="1269393960">
      <w:bodyDiv w:val="1"/>
      <w:marLeft w:val="0"/>
      <w:marRight w:val="0"/>
      <w:marTop w:val="0"/>
      <w:marBottom w:val="0"/>
      <w:divBdr>
        <w:top w:val="none" w:sz="0" w:space="0" w:color="auto"/>
        <w:left w:val="none" w:sz="0" w:space="0" w:color="auto"/>
        <w:bottom w:val="none" w:sz="0" w:space="0" w:color="auto"/>
        <w:right w:val="none" w:sz="0" w:space="0" w:color="auto"/>
      </w:divBdr>
    </w:div>
    <w:div w:id="1277180844">
      <w:bodyDiv w:val="1"/>
      <w:marLeft w:val="0"/>
      <w:marRight w:val="0"/>
      <w:marTop w:val="0"/>
      <w:marBottom w:val="0"/>
      <w:divBdr>
        <w:top w:val="none" w:sz="0" w:space="0" w:color="auto"/>
        <w:left w:val="none" w:sz="0" w:space="0" w:color="auto"/>
        <w:bottom w:val="none" w:sz="0" w:space="0" w:color="auto"/>
        <w:right w:val="none" w:sz="0" w:space="0" w:color="auto"/>
      </w:divBdr>
    </w:div>
    <w:div w:id="1282761792">
      <w:bodyDiv w:val="1"/>
      <w:marLeft w:val="0"/>
      <w:marRight w:val="0"/>
      <w:marTop w:val="0"/>
      <w:marBottom w:val="0"/>
      <w:divBdr>
        <w:top w:val="none" w:sz="0" w:space="0" w:color="auto"/>
        <w:left w:val="none" w:sz="0" w:space="0" w:color="auto"/>
        <w:bottom w:val="none" w:sz="0" w:space="0" w:color="auto"/>
        <w:right w:val="none" w:sz="0" w:space="0" w:color="auto"/>
      </w:divBdr>
    </w:div>
    <w:div w:id="1308365249">
      <w:bodyDiv w:val="1"/>
      <w:marLeft w:val="0"/>
      <w:marRight w:val="0"/>
      <w:marTop w:val="0"/>
      <w:marBottom w:val="0"/>
      <w:divBdr>
        <w:top w:val="none" w:sz="0" w:space="0" w:color="auto"/>
        <w:left w:val="none" w:sz="0" w:space="0" w:color="auto"/>
        <w:bottom w:val="none" w:sz="0" w:space="0" w:color="auto"/>
        <w:right w:val="none" w:sz="0" w:space="0" w:color="auto"/>
      </w:divBdr>
    </w:div>
    <w:div w:id="1349872511">
      <w:bodyDiv w:val="1"/>
      <w:marLeft w:val="0"/>
      <w:marRight w:val="0"/>
      <w:marTop w:val="0"/>
      <w:marBottom w:val="0"/>
      <w:divBdr>
        <w:top w:val="none" w:sz="0" w:space="0" w:color="auto"/>
        <w:left w:val="none" w:sz="0" w:space="0" w:color="auto"/>
        <w:bottom w:val="none" w:sz="0" w:space="0" w:color="auto"/>
        <w:right w:val="none" w:sz="0" w:space="0" w:color="auto"/>
      </w:divBdr>
    </w:div>
    <w:div w:id="1354308514">
      <w:bodyDiv w:val="1"/>
      <w:marLeft w:val="0"/>
      <w:marRight w:val="0"/>
      <w:marTop w:val="0"/>
      <w:marBottom w:val="0"/>
      <w:divBdr>
        <w:top w:val="none" w:sz="0" w:space="0" w:color="auto"/>
        <w:left w:val="none" w:sz="0" w:space="0" w:color="auto"/>
        <w:bottom w:val="none" w:sz="0" w:space="0" w:color="auto"/>
        <w:right w:val="none" w:sz="0" w:space="0" w:color="auto"/>
      </w:divBdr>
    </w:div>
    <w:div w:id="1386295219">
      <w:bodyDiv w:val="1"/>
      <w:marLeft w:val="0"/>
      <w:marRight w:val="0"/>
      <w:marTop w:val="0"/>
      <w:marBottom w:val="0"/>
      <w:divBdr>
        <w:top w:val="none" w:sz="0" w:space="0" w:color="auto"/>
        <w:left w:val="none" w:sz="0" w:space="0" w:color="auto"/>
        <w:bottom w:val="none" w:sz="0" w:space="0" w:color="auto"/>
        <w:right w:val="none" w:sz="0" w:space="0" w:color="auto"/>
      </w:divBdr>
    </w:div>
    <w:div w:id="1389649750">
      <w:bodyDiv w:val="1"/>
      <w:marLeft w:val="0"/>
      <w:marRight w:val="0"/>
      <w:marTop w:val="0"/>
      <w:marBottom w:val="0"/>
      <w:divBdr>
        <w:top w:val="none" w:sz="0" w:space="0" w:color="auto"/>
        <w:left w:val="none" w:sz="0" w:space="0" w:color="auto"/>
        <w:bottom w:val="none" w:sz="0" w:space="0" w:color="auto"/>
        <w:right w:val="none" w:sz="0" w:space="0" w:color="auto"/>
      </w:divBdr>
    </w:div>
    <w:div w:id="1390570461">
      <w:bodyDiv w:val="1"/>
      <w:marLeft w:val="0"/>
      <w:marRight w:val="0"/>
      <w:marTop w:val="0"/>
      <w:marBottom w:val="0"/>
      <w:divBdr>
        <w:top w:val="none" w:sz="0" w:space="0" w:color="auto"/>
        <w:left w:val="none" w:sz="0" w:space="0" w:color="auto"/>
        <w:bottom w:val="none" w:sz="0" w:space="0" w:color="auto"/>
        <w:right w:val="none" w:sz="0" w:space="0" w:color="auto"/>
      </w:divBdr>
    </w:div>
    <w:div w:id="1427650221">
      <w:bodyDiv w:val="1"/>
      <w:marLeft w:val="0"/>
      <w:marRight w:val="0"/>
      <w:marTop w:val="0"/>
      <w:marBottom w:val="0"/>
      <w:divBdr>
        <w:top w:val="none" w:sz="0" w:space="0" w:color="auto"/>
        <w:left w:val="none" w:sz="0" w:space="0" w:color="auto"/>
        <w:bottom w:val="none" w:sz="0" w:space="0" w:color="auto"/>
        <w:right w:val="none" w:sz="0" w:space="0" w:color="auto"/>
      </w:divBdr>
    </w:div>
    <w:div w:id="1443455572">
      <w:bodyDiv w:val="1"/>
      <w:marLeft w:val="0"/>
      <w:marRight w:val="0"/>
      <w:marTop w:val="0"/>
      <w:marBottom w:val="0"/>
      <w:divBdr>
        <w:top w:val="none" w:sz="0" w:space="0" w:color="auto"/>
        <w:left w:val="none" w:sz="0" w:space="0" w:color="auto"/>
        <w:bottom w:val="none" w:sz="0" w:space="0" w:color="auto"/>
        <w:right w:val="none" w:sz="0" w:space="0" w:color="auto"/>
      </w:divBdr>
    </w:div>
    <w:div w:id="1475751999">
      <w:bodyDiv w:val="1"/>
      <w:marLeft w:val="0"/>
      <w:marRight w:val="0"/>
      <w:marTop w:val="0"/>
      <w:marBottom w:val="0"/>
      <w:divBdr>
        <w:top w:val="none" w:sz="0" w:space="0" w:color="auto"/>
        <w:left w:val="none" w:sz="0" w:space="0" w:color="auto"/>
        <w:bottom w:val="none" w:sz="0" w:space="0" w:color="auto"/>
        <w:right w:val="none" w:sz="0" w:space="0" w:color="auto"/>
      </w:divBdr>
    </w:div>
    <w:div w:id="1495294780">
      <w:bodyDiv w:val="1"/>
      <w:marLeft w:val="0"/>
      <w:marRight w:val="0"/>
      <w:marTop w:val="0"/>
      <w:marBottom w:val="0"/>
      <w:divBdr>
        <w:top w:val="none" w:sz="0" w:space="0" w:color="auto"/>
        <w:left w:val="none" w:sz="0" w:space="0" w:color="auto"/>
        <w:bottom w:val="none" w:sz="0" w:space="0" w:color="auto"/>
        <w:right w:val="none" w:sz="0" w:space="0" w:color="auto"/>
      </w:divBdr>
    </w:div>
    <w:div w:id="1513109860">
      <w:bodyDiv w:val="1"/>
      <w:marLeft w:val="0"/>
      <w:marRight w:val="0"/>
      <w:marTop w:val="0"/>
      <w:marBottom w:val="0"/>
      <w:divBdr>
        <w:top w:val="none" w:sz="0" w:space="0" w:color="auto"/>
        <w:left w:val="none" w:sz="0" w:space="0" w:color="auto"/>
        <w:bottom w:val="none" w:sz="0" w:space="0" w:color="auto"/>
        <w:right w:val="none" w:sz="0" w:space="0" w:color="auto"/>
      </w:divBdr>
    </w:div>
    <w:div w:id="1539508126">
      <w:bodyDiv w:val="1"/>
      <w:marLeft w:val="0"/>
      <w:marRight w:val="0"/>
      <w:marTop w:val="0"/>
      <w:marBottom w:val="0"/>
      <w:divBdr>
        <w:top w:val="none" w:sz="0" w:space="0" w:color="auto"/>
        <w:left w:val="none" w:sz="0" w:space="0" w:color="auto"/>
        <w:bottom w:val="none" w:sz="0" w:space="0" w:color="auto"/>
        <w:right w:val="none" w:sz="0" w:space="0" w:color="auto"/>
      </w:divBdr>
    </w:div>
    <w:div w:id="1565794379">
      <w:bodyDiv w:val="1"/>
      <w:marLeft w:val="0"/>
      <w:marRight w:val="0"/>
      <w:marTop w:val="0"/>
      <w:marBottom w:val="0"/>
      <w:divBdr>
        <w:top w:val="none" w:sz="0" w:space="0" w:color="auto"/>
        <w:left w:val="none" w:sz="0" w:space="0" w:color="auto"/>
        <w:bottom w:val="none" w:sz="0" w:space="0" w:color="auto"/>
        <w:right w:val="none" w:sz="0" w:space="0" w:color="auto"/>
      </w:divBdr>
    </w:div>
    <w:div w:id="1612123362">
      <w:bodyDiv w:val="1"/>
      <w:marLeft w:val="0"/>
      <w:marRight w:val="0"/>
      <w:marTop w:val="0"/>
      <w:marBottom w:val="0"/>
      <w:divBdr>
        <w:top w:val="none" w:sz="0" w:space="0" w:color="auto"/>
        <w:left w:val="none" w:sz="0" w:space="0" w:color="auto"/>
        <w:bottom w:val="none" w:sz="0" w:space="0" w:color="auto"/>
        <w:right w:val="none" w:sz="0" w:space="0" w:color="auto"/>
      </w:divBdr>
    </w:div>
    <w:div w:id="1638803330">
      <w:bodyDiv w:val="1"/>
      <w:marLeft w:val="0"/>
      <w:marRight w:val="0"/>
      <w:marTop w:val="0"/>
      <w:marBottom w:val="0"/>
      <w:divBdr>
        <w:top w:val="none" w:sz="0" w:space="0" w:color="auto"/>
        <w:left w:val="none" w:sz="0" w:space="0" w:color="auto"/>
        <w:bottom w:val="none" w:sz="0" w:space="0" w:color="auto"/>
        <w:right w:val="none" w:sz="0" w:space="0" w:color="auto"/>
      </w:divBdr>
    </w:div>
    <w:div w:id="1658847366">
      <w:bodyDiv w:val="1"/>
      <w:marLeft w:val="0"/>
      <w:marRight w:val="0"/>
      <w:marTop w:val="0"/>
      <w:marBottom w:val="0"/>
      <w:divBdr>
        <w:top w:val="none" w:sz="0" w:space="0" w:color="auto"/>
        <w:left w:val="none" w:sz="0" w:space="0" w:color="auto"/>
        <w:bottom w:val="none" w:sz="0" w:space="0" w:color="auto"/>
        <w:right w:val="none" w:sz="0" w:space="0" w:color="auto"/>
      </w:divBdr>
    </w:div>
    <w:div w:id="1664775823">
      <w:bodyDiv w:val="1"/>
      <w:marLeft w:val="0"/>
      <w:marRight w:val="0"/>
      <w:marTop w:val="0"/>
      <w:marBottom w:val="0"/>
      <w:divBdr>
        <w:top w:val="none" w:sz="0" w:space="0" w:color="auto"/>
        <w:left w:val="none" w:sz="0" w:space="0" w:color="auto"/>
        <w:bottom w:val="none" w:sz="0" w:space="0" w:color="auto"/>
        <w:right w:val="none" w:sz="0" w:space="0" w:color="auto"/>
      </w:divBdr>
    </w:div>
    <w:div w:id="1674143407">
      <w:bodyDiv w:val="1"/>
      <w:marLeft w:val="0"/>
      <w:marRight w:val="0"/>
      <w:marTop w:val="0"/>
      <w:marBottom w:val="0"/>
      <w:divBdr>
        <w:top w:val="none" w:sz="0" w:space="0" w:color="auto"/>
        <w:left w:val="none" w:sz="0" w:space="0" w:color="auto"/>
        <w:bottom w:val="none" w:sz="0" w:space="0" w:color="auto"/>
        <w:right w:val="none" w:sz="0" w:space="0" w:color="auto"/>
      </w:divBdr>
    </w:div>
    <w:div w:id="1677687391">
      <w:bodyDiv w:val="1"/>
      <w:marLeft w:val="0"/>
      <w:marRight w:val="0"/>
      <w:marTop w:val="0"/>
      <w:marBottom w:val="0"/>
      <w:divBdr>
        <w:top w:val="none" w:sz="0" w:space="0" w:color="auto"/>
        <w:left w:val="none" w:sz="0" w:space="0" w:color="auto"/>
        <w:bottom w:val="none" w:sz="0" w:space="0" w:color="auto"/>
        <w:right w:val="none" w:sz="0" w:space="0" w:color="auto"/>
      </w:divBdr>
    </w:div>
    <w:div w:id="1750302666">
      <w:bodyDiv w:val="1"/>
      <w:marLeft w:val="0"/>
      <w:marRight w:val="0"/>
      <w:marTop w:val="0"/>
      <w:marBottom w:val="0"/>
      <w:divBdr>
        <w:top w:val="none" w:sz="0" w:space="0" w:color="auto"/>
        <w:left w:val="none" w:sz="0" w:space="0" w:color="auto"/>
        <w:bottom w:val="none" w:sz="0" w:space="0" w:color="auto"/>
        <w:right w:val="none" w:sz="0" w:space="0" w:color="auto"/>
      </w:divBdr>
    </w:div>
    <w:div w:id="1774474146">
      <w:bodyDiv w:val="1"/>
      <w:marLeft w:val="0"/>
      <w:marRight w:val="0"/>
      <w:marTop w:val="0"/>
      <w:marBottom w:val="0"/>
      <w:divBdr>
        <w:top w:val="none" w:sz="0" w:space="0" w:color="auto"/>
        <w:left w:val="none" w:sz="0" w:space="0" w:color="auto"/>
        <w:bottom w:val="none" w:sz="0" w:space="0" w:color="auto"/>
        <w:right w:val="none" w:sz="0" w:space="0" w:color="auto"/>
      </w:divBdr>
    </w:div>
    <w:div w:id="1778478934">
      <w:bodyDiv w:val="1"/>
      <w:marLeft w:val="0"/>
      <w:marRight w:val="0"/>
      <w:marTop w:val="0"/>
      <w:marBottom w:val="0"/>
      <w:divBdr>
        <w:top w:val="none" w:sz="0" w:space="0" w:color="auto"/>
        <w:left w:val="none" w:sz="0" w:space="0" w:color="auto"/>
        <w:bottom w:val="none" w:sz="0" w:space="0" w:color="auto"/>
        <w:right w:val="none" w:sz="0" w:space="0" w:color="auto"/>
      </w:divBdr>
    </w:div>
    <w:div w:id="1783842581">
      <w:bodyDiv w:val="1"/>
      <w:marLeft w:val="0"/>
      <w:marRight w:val="0"/>
      <w:marTop w:val="0"/>
      <w:marBottom w:val="0"/>
      <w:divBdr>
        <w:top w:val="none" w:sz="0" w:space="0" w:color="auto"/>
        <w:left w:val="none" w:sz="0" w:space="0" w:color="auto"/>
        <w:bottom w:val="none" w:sz="0" w:space="0" w:color="auto"/>
        <w:right w:val="none" w:sz="0" w:space="0" w:color="auto"/>
      </w:divBdr>
    </w:div>
    <w:div w:id="1820732923">
      <w:bodyDiv w:val="1"/>
      <w:marLeft w:val="0"/>
      <w:marRight w:val="0"/>
      <w:marTop w:val="0"/>
      <w:marBottom w:val="0"/>
      <w:divBdr>
        <w:top w:val="none" w:sz="0" w:space="0" w:color="auto"/>
        <w:left w:val="none" w:sz="0" w:space="0" w:color="auto"/>
        <w:bottom w:val="none" w:sz="0" w:space="0" w:color="auto"/>
        <w:right w:val="none" w:sz="0" w:space="0" w:color="auto"/>
      </w:divBdr>
    </w:div>
    <w:div w:id="1841458704">
      <w:bodyDiv w:val="1"/>
      <w:marLeft w:val="0"/>
      <w:marRight w:val="0"/>
      <w:marTop w:val="0"/>
      <w:marBottom w:val="0"/>
      <w:divBdr>
        <w:top w:val="none" w:sz="0" w:space="0" w:color="auto"/>
        <w:left w:val="none" w:sz="0" w:space="0" w:color="auto"/>
        <w:bottom w:val="none" w:sz="0" w:space="0" w:color="auto"/>
        <w:right w:val="none" w:sz="0" w:space="0" w:color="auto"/>
      </w:divBdr>
    </w:div>
    <w:div w:id="1844974658">
      <w:bodyDiv w:val="1"/>
      <w:marLeft w:val="0"/>
      <w:marRight w:val="0"/>
      <w:marTop w:val="0"/>
      <w:marBottom w:val="0"/>
      <w:divBdr>
        <w:top w:val="none" w:sz="0" w:space="0" w:color="auto"/>
        <w:left w:val="none" w:sz="0" w:space="0" w:color="auto"/>
        <w:bottom w:val="none" w:sz="0" w:space="0" w:color="auto"/>
        <w:right w:val="none" w:sz="0" w:space="0" w:color="auto"/>
      </w:divBdr>
    </w:div>
    <w:div w:id="1845316400">
      <w:bodyDiv w:val="1"/>
      <w:marLeft w:val="0"/>
      <w:marRight w:val="0"/>
      <w:marTop w:val="0"/>
      <w:marBottom w:val="0"/>
      <w:divBdr>
        <w:top w:val="none" w:sz="0" w:space="0" w:color="auto"/>
        <w:left w:val="none" w:sz="0" w:space="0" w:color="auto"/>
        <w:bottom w:val="none" w:sz="0" w:space="0" w:color="auto"/>
        <w:right w:val="none" w:sz="0" w:space="0" w:color="auto"/>
      </w:divBdr>
    </w:div>
    <w:div w:id="1860662398">
      <w:bodyDiv w:val="1"/>
      <w:marLeft w:val="0"/>
      <w:marRight w:val="0"/>
      <w:marTop w:val="0"/>
      <w:marBottom w:val="0"/>
      <w:divBdr>
        <w:top w:val="none" w:sz="0" w:space="0" w:color="auto"/>
        <w:left w:val="none" w:sz="0" w:space="0" w:color="auto"/>
        <w:bottom w:val="none" w:sz="0" w:space="0" w:color="auto"/>
        <w:right w:val="none" w:sz="0" w:space="0" w:color="auto"/>
      </w:divBdr>
    </w:div>
    <w:div w:id="1866139144">
      <w:bodyDiv w:val="1"/>
      <w:marLeft w:val="0"/>
      <w:marRight w:val="0"/>
      <w:marTop w:val="0"/>
      <w:marBottom w:val="0"/>
      <w:divBdr>
        <w:top w:val="none" w:sz="0" w:space="0" w:color="auto"/>
        <w:left w:val="none" w:sz="0" w:space="0" w:color="auto"/>
        <w:bottom w:val="none" w:sz="0" w:space="0" w:color="auto"/>
        <w:right w:val="none" w:sz="0" w:space="0" w:color="auto"/>
      </w:divBdr>
    </w:div>
    <w:div w:id="1879007280">
      <w:bodyDiv w:val="1"/>
      <w:marLeft w:val="0"/>
      <w:marRight w:val="0"/>
      <w:marTop w:val="0"/>
      <w:marBottom w:val="0"/>
      <w:divBdr>
        <w:top w:val="none" w:sz="0" w:space="0" w:color="auto"/>
        <w:left w:val="none" w:sz="0" w:space="0" w:color="auto"/>
        <w:bottom w:val="none" w:sz="0" w:space="0" w:color="auto"/>
        <w:right w:val="none" w:sz="0" w:space="0" w:color="auto"/>
      </w:divBdr>
    </w:div>
    <w:div w:id="1902521366">
      <w:bodyDiv w:val="1"/>
      <w:marLeft w:val="0"/>
      <w:marRight w:val="0"/>
      <w:marTop w:val="0"/>
      <w:marBottom w:val="0"/>
      <w:divBdr>
        <w:top w:val="none" w:sz="0" w:space="0" w:color="auto"/>
        <w:left w:val="none" w:sz="0" w:space="0" w:color="auto"/>
        <w:bottom w:val="none" w:sz="0" w:space="0" w:color="auto"/>
        <w:right w:val="none" w:sz="0" w:space="0" w:color="auto"/>
      </w:divBdr>
    </w:div>
    <w:div w:id="1924947935">
      <w:bodyDiv w:val="1"/>
      <w:marLeft w:val="0"/>
      <w:marRight w:val="0"/>
      <w:marTop w:val="0"/>
      <w:marBottom w:val="0"/>
      <w:divBdr>
        <w:top w:val="none" w:sz="0" w:space="0" w:color="auto"/>
        <w:left w:val="none" w:sz="0" w:space="0" w:color="auto"/>
        <w:bottom w:val="none" w:sz="0" w:space="0" w:color="auto"/>
        <w:right w:val="none" w:sz="0" w:space="0" w:color="auto"/>
      </w:divBdr>
    </w:div>
    <w:div w:id="1965503917">
      <w:bodyDiv w:val="1"/>
      <w:marLeft w:val="0"/>
      <w:marRight w:val="0"/>
      <w:marTop w:val="0"/>
      <w:marBottom w:val="0"/>
      <w:divBdr>
        <w:top w:val="none" w:sz="0" w:space="0" w:color="auto"/>
        <w:left w:val="none" w:sz="0" w:space="0" w:color="auto"/>
        <w:bottom w:val="none" w:sz="0" w:space="0" w:color="auto"/>
        <w:right w:val="none" w:sz="0" w:space="0" w:color="auto"/>
      </w:divBdr>
    </w:div>
    <w:div w:id="1988321766">
      <w:bodyDiv w:val="1"/>
      <w:marLeft w:val="0"/>
      <w:marRight w:val="0"/>
      <w:marTop w:val="0"/>
      <w:marBottom w:val="0"/>
      <w:divBdr>
        <w:top w:val="none" w:sz="0" w:space="0" w:color="auto"/>
        <w:left w:val="none" w:sz="0" w:space="0" w:color="auto"/>
        <w:bottom w:val="none" w:sz="0" w:space="0" w:color="auto"/>
        <w:right w:val="none" w:sz="0" w:space="0" w:color="auto"/>
      </w:divBdr>
    </w:div>
    <w:div w:id="2013945903">
      <w:bodyDiv w:val="1"/>
      <w:marLeft w:val="0"/>
      <w:marRight w:val="0"/>
      <w:marTop w:val="0"/>
      <w:marBottom w:val="0"/>
      <w:divBdr>
        <w:top w:val="none" w:sz="0" w:space="0" w:color="auto"/>
        <w:left w:val="none" w:sz="0" w:space="0" w:color="auto"/>
        <w:bottom w:val="none" w:sz="0" w:space="0" w:color="auto"/>
        <w:right w:val="none" w:sz="0" w:space="0" w:color="auto"/>
      </w:divBdr>
    </w:div>
    <w:div w:id="2038581439">
      <w:bodyDiv w:val="1"/>
      <w:marLeft w:val="0"/>
      <w:marRight w:val="0"/>
      <w:marTop w:val="0"/>
      <w:marBottom w:val="0"/>
      <w:divBdr>
        <w:top w:val="none" w:sz="0" w:space="0" w:color="auto"/>
        <w:left w:val="none" w:sz="0" w:space="0" w:color="auto"/>
        <w:bottom w:val="none" w:sz="0" w:space="0" w:color="auto"/>
        <w:right w:val="none" w:sz="0" w:space="0" w:color="auto"/>
      </w:divBdr>
    </w:div>
    <w:div w:id="2043245520">
      <w:bodyDiv w:val="1"/>
      <w:marLeft w:val="0"/>
      <w:marRight w:val="0"/>
      <w:marTop w:val="0"/>
      <w:marBottom w:val="0"/>
      <w:divBdr>
        <w:top w:val="none" w:sz="0" w:space="0" w:color="auto"/>
        <w:left w:val="none" w:sz="0" w:space="0" w:color="auto"/>
        <w:bottom w:val="none" w:sz="0" w:space="0" w:color="auto"/>
        <w:right w:val="none" w:sz="0" w:space="0" w:color="auto"/>
      </w:divBdr>
    </w:div>
    <w:div w:id="2068990481">
      <w:bodyDiv w:val="1"/>
      <w:marLeft w:val="0"/>
      <w:marRight w:val="0"/>
      <w:marTop w:val="0"/>
      <w:marBottom w:val="0"/>
      <w:divBdr>
        <w:top w:val="none" w:sz="0" w:space="0" w:color="auto"/>
        <w:left w:val="none" w:sz="0" w:space="0" w:color="auto"/>
        <w:bottom w:val="none" w:sz="0" w:space="0" w:color="auto"/>
        <w:right w:val="none" w:sz="0" w:space="0" w:color="auto"/>
      </w:divBdr>
    </w:div>
    <w:div w:id="2112818869">
      <w:bodyDiv w:val="1"/>
      <w:marLeft w:val="0"/>
      <w:marRight w:val="0"/>
      <w:marTop w:val="0"/>
      <w:marBottom w:val="0"/>
      <w:divBdr>
        <w:top w:val="none" w:sz="0" w:space="0" w:color="auto"/>
        <w:left w:val="none" w:sz="0" w:space="0" w:color="auto"/>
        <w:bottom w:val="none" w:sz="0" w:space="0" w:color="auto"/>
        <w:right w:val="none" w:sz="0" w:space="0" w:color="auto"/>
      </w:divBdr>
    </w:div>
    <w:div w:id="214449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opendata.rada.gov.ua" TargetMode="External"/><Relationship Id="rId21" Type="http://schemas.openxmlformats.org/officeDocument/2006/relationships/hyperlink" Target="http://spending.gov.ua)" TargetMode="External"/><Relationship Id="rId22" Type="http://schemas.openxmlformats.org/officeDocument/2006/relationships/hyperlink" Target="http://opencity.in.ua" TargetMode="External"/><Relationship Id="rId23" Type="http://schemas.openxmlformats.org/officeDocument/2006/relationships/hyperlink" Target="http://edata.gov.ua" TargetMode="External"/><Relationship Id="rId24" Type="http://schemas.openxmlformats.org/officeDocument/2006/relationships/hyperlink" Target="http://opencity.in.ua" TargetMode="External"/><Relationship Id="rId25" Type="http://schemas.openxmlformats.org/officeDocument/2006/relationships/hyperlink" Target="http://www.openbudget.in.ua)"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yperlink" Target="http://www.opengovpartnership.org/about/about-irm" TargetMode="External"/><Relationship Id="rId16" Type="http://schemas.openxmlformats.org/officeDocument/2006/relationships/hyperlink" Target="http://www.opengovpartnership.org/explorer" TargetMode="External"/><Relationship Id="rId17" Type="http://schemas.openxmlformats.org/officeDocument/2006/relationships/hyperlink" Target="http://poslugy.gov.ua" TargetMode="External"/><Relationship Id="rId18" Type="http://schemas.openxmlformats.org/officeDocument/2006/relationships/hyperlink" Target="http://poslugy.gov.ua)" TargetMode="External"/><Relationship Id="rId19" Type="http://schemas.openxmlformats.org/officeDocument/2006/relationships/hyperlink" Target="http://data.gov.ua)"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endnotes.xml.rels><?xml version="1.0" encoding="UTF-8" standalone="yes"?>
<Relationships xmlns="http://schemas.openxmlformats.org/package/2006/relationships"><Relationship Id="rId20" Type="http://schemas.openxmlformats.org/officeDocument/2006/relationships/hyperlink" Target="http://bit.ly/2irbCwJ" TargetMode="External"/><Relationship Id="rId21" Type="http://schemas.openxmlformats.org/officeDocument/2006/relationships/hyperlink" Target="http://bit.ly/2hIb0Po&#1102;" TargetMode="External"/><Relationship Id="rId22" Type="http://schemas.openxmlformats.org/officeDocument/2006/relationships/hyperlink" Target="http://bit.ly/1MTDPVZ" TargetMode="External"/><Relationship Id="rId23" Type="http://schemas.openxmlformats.org/officeDocument/2006/relationships/hyperlink" Target="http://bit.ly/1XcMgyv" TargetMode="External"/><Relationship Id="rId24" Type="http://schemas.openxmlformats.org/officeDocument/2006/relationships/hyperlink" Target="http://bit.ly/2iPCCUr" TargetMode="External"/><Relationship Id="rId25" Type="http://schemas.openxmlformats.org/officeDocument/2006/relationships/hyperlink" Target="http://bit.ly/2iAomBB" TargetMode="External"/><Relationship Id="rId26" Type="http://schemas.openxmlformats.org/officeDocument/2006/relationships/hyperlink" Target="http://bit.ly/2iAgMqw" TargetMode="External"/><Relationship Id="rId27" Type="http://schemas.openxmlformats.org/officeDocument/2006/relationships/hyperlink" Target="http://bit.ly/2j4GTmr" TargetMode="External"/><Relationship Id="rId28" Type="http://schemas.openxmlformats.org/officeDocument/2006/relationships/hyperlink" Target="http://bit.ly/2j4BGLr" TargetMode="External"/><Relationship Id="rId29" Type="http://schemas.openxmlformats.org/officeDocument/2006/relationships/hyperlink" Target="http://bit.ly/2j9mGA1" TargetMode="External"/><Relationship Id="rId1" Type="http://schemas.openxmlformats.org/officeDocument/2006/relationships/hyperlink" Target="http://bit.ly/2glgW3s" TargetMode="External"/><Relationship Id="rId2" Type="http://schemas.openxmlformats.org/officeDocument/2006/relationships/hyperlink" Target="http://bit.ly/2hkz6A7" TargetMode="External"/><Relationship Id="rId3" Type="http://schemas.openxmlformats.org/officeDocument/2006/relationships/hyperlink" Target="http://bit.ly/2ily5va" TargetMode="External"/><Relationship Id="rId4" Type="http://schemas.openxmlformats.org/officeDocument/2006/relationships/hyperlink" Target="http://bit.ly/2mSUovN" TargetMode="External"/><Relationship Id="rId5" Type="http://schemas.openxmlformats.org/officeDocument/2006/relationships/hyperlink" Target="http://bit.ly/2nw0nUg" TargetMode="External"/><Relationship Id="rId30" Type="http://schemas.openxmlformats.org/officeDocument/2006/relationships/hyperlink" Target="https://petition.president.gov.ua" TargetMode="External"/><Relationship Id="rId31" Type="http://schemas.openxmlformats.org/officeDocument/2006/relationships/hyperlink" Target="http://bit.ly/2jadLON" TargetMode="External"/><Relationship Id="rId32" Type="http://schemas.openxmlformats.org/officeDocument/2006/relationships/hyperlink" Target="http://bit.ly/2iEA9g8" TargetMode="External"/><Relationship Id="rId9" Type="http://schemas.openxmlformats.org/officeDocument/2006/relationships/hyperlink" Target="http://bit.ly/2hOdtLs" TargetMode="External"/><Relationship Id="rId6" Type="http://schemas.openxmlformats.org/officeDocument/2006/relationships/hyperlink" Target="http://bit.ly/2nhlp7u" TargetMode="External"/><Relationship Id="rId7" Type="http://schemas.openxmlformats.org/officeDocument/2006/relationships/hyperlink" Target="http://bit.ly/2nMFOVP" TargetMode="External"/><Relationship Id="rId8" Type="http://schemas.openxmlformats.org/officeDocument/2006/relationships/hyperlink" Target="http://www.google.com/url?q=http%3A%2F%2Fuacrisis.org%2Fua%2F42323-dostup-do-arhiviv&amp;sa=D&amp;sntz=1&amp;usg=AFQjCNGraJwxgsWMoytwMvjW-i4J8lbCoQ" TargetMode="External"/><Relationship Id="rId33" Type="http://schemas.openxmlformats.org/officeDocument/2006/relationships/hyperlink" Target="http://bit.ly/1XnhtPa" TargetMode="External"/><Relationship Id="rId34" Type="http://schemas.openxmlformats.org/officeDocument/2006/relationships/hyperlink" Target="http://bit.ly/2hTrLux" TargetMode="External"/><Relationship Id="rId35" Type="http://schemas.openxmlformats.org/officeDocument/2006/relationships/hyperlink" Target="http://bit.ly/2j5vzqg" TargetMode="External"/><Relationship Id="rId36" Type="http://schemas.openxmlformats.org/officeDocument/2006/relationships/hyperlink" Target="http://bit.ly/2iJ8qgz" TargetMode="External"/><Relationship Id="rId10" Type="http://schemas.openxmlformats.org/officeDocument/2006/relationships/hyperlink" Target="http://bit.ly/2f65C9J" TargetMode="External"/><Relationship Id="rId11" Type="http://schemas.openxmlformats.org/officeDocument/2006/relationships/hyperlink" Target="http://dailym.ai/2hNQtxN" TargetMode="External"/><Relationship Id="rId12" Type="http://schemas.openxmlformats.org/officeDocument/2006/relationships/hyperlink" Target="http://reut.rs/2dVY6QQ" TargetMode="External"/><Relationship Id="rId13" Type="http://schemas.openxmlformats.org/officeDocument/2006/relationships/hyperlink" Target="http://bit.ly/2iXzRQe" TargetMode="External"/><Relationship Id="rId14" Type="http://schemas.openxmlformats.org/officeDocument/2006/relationships/hyperlink" Target="http://bit.ly/2fWzyc2" TargetMode="External"/><Relationship Id="rId15" Type="http://schemas.openxmlformats.org/officeDocument/2006/relationships/hyperlink" Target="http://bit.ly/2eeftvo" TargetMode="External"/><Relationship Id="rId16" Type="http://schemas.openxmlformats.org/officeDocument/2006/relationships/hyperlink" Target="http://bit.ly/2j16P6o" TargetMode="External"/><Relationship Id="rId17" Type="http://schemas.openxmlformats.org/officeDocument/2006/relationships/hyperlink" Target="http://bit.ly/2grkaPw" TargetMode="External"/><Relationship Id="rId18" Type="http://schemas.openxmlformats.org/officeDocument/2006/relationships/hyperlink" Target="http://bit.ly/2fysVZJ" TargetMode="External"/><Relationship Id="rId19" Type="http://schemas.openxmlformats.org/officeDocument/2006/relationships/hyperlink" Target="http://bit.ly/2i3aHQg" TargetMode="External"/><Relationship Id="rId37" Type="http://schemas.openxmlformats.org/officeDocument/2006/relationships/hyperlink" Target="http://bit.ly/2ifuWK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61CD6-DEC9-014A-B47E-F252BE533FBB}">
  <ds:schemaRefs>
    <ds:schemaRef ds:uri="http://schemas.openxmlformats.org/officeDocument/2006/bibliography"/>
  </ds:schemaRefs>
</ds:datastoreItem>
</file>

<file path=customXml/itemProps2.xml><?xml version="1.0" encoding="utf-8"?>
<ds:datastoreItem xmlns:ds="http://schemas.openxmlformats.org/officeDocument/2006/customXml" ds:itemID="{BE00FA57-4E3B-7449-86C7-4599BA45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65</Pages>
  <Words>22433</Words>
  <Characters>127869</Characters>
  <Application>Microsoft Macintosh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150002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Zinta</dc:creator>
  <cp:keywords/>
  <dc:description/>
  <cp:lastModifiedBy>Dmytro Kotlyar</cp:lastModifiedBy>
  <cp:revision>296</cp:revision>
  <cp:lastPrinted>2017-08-04T14:38:00Z</cp:lastPrinted>
  <dcterms:created xsi:type="dcterms:W3CDTF">2017-08-27T19:37:00Z</dcterms:created>
  <dcterms:modified xsi:type="dcterms:W3CDTF">2017-09-04T15:16:00Z</dcterms:modified>
</cp:coreProperties>
</file>