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C9" w:rsidRDefault="003D2BC9" w:rsidP="003D2BC9">
      <w:pPr>
        <w:autoSpaceDE w:val="0"/>
        <w:autoSpaceDN w:val="0"/>
        <w:jc w:val="center"/>
        <w:rPr>
          <w:rFonts w:ascii="Gotham Bold" w:hAnsi="Gotham Bold"/>
          <w:b/>
          <w:bCs/>
          <w:color w:val="000000"/>
          <w:sz w:val="96"/>
          <w:szCs w:val="96"/>
        </w:rPr>
      </w:pPr>
      <w:bookmarkStart w:id="0" w:name="_Toc431288968"/>
      <w:bookmarkStart w:id="1" w:name="_Toc428787069"/>
      <w:bookmarkStart w:id="2" w:name="_Toc428794289"/>
      <w:bookmarkStart w:id="3" w:name="_Toc428796076"/>
      <w:bookmarkStart w:id="4" w:name="_Toc428800183"/>
      <w:bookmarkStart w:id="5" w:name="_Toc428800412"/>
      <w:bookmarkStart w:id="6" w:name="_Toc428803014"/>
      <w:bookmarkStart w:id="7" w:name="_Toc431283340"/>
      <w:bookmarkStart w:id="8" w:name="_Toc431286911"/>
      <w:r>
        <w:rPr>
          <w:rFonts w:ascii="Gotham Bold" w:hAnsi="Gotham Bold"/>
          <w:b/>
          <w:bCs/>
          <w:noProof/>
          <w:color w:val="000000"/>
          <w:sz w:val="96"/>
          <w:szCs w:val="96"/>
          <w:lang w:val="es-PE" w:eastAsia="es-PE"/>
        </w:rPr>
        <w:drawing>
          <wp:anchor distT="0" distB="0" distL="114300" distR="114300" simplePos="0" relativeHeight="251661824" behindDoc="1" locked="0" layoutInCell="1" allowOverlap="1" wp14:anchorId="4B0379AE" wp14:editId="5F5FF11C">
            <wp:simplePos x="0" y="0"/>
            <wp:positionH relativeFrom="margin">
              <wp:posOffset>3657031</wp:posOffset>
            </wp:positionH>
            <wp:positionV relativeFrom="paragraph">
              <wp:posOffset>13335</wp:posOffset>
            </wp:positionV>
            <wp:extent cx="2313305" cy="681355"/>
            <wp:effectExtent l="0" t="0" r="0" b="4445"/>
            <wp:wrapTight wrapText="bothSides">
              <wp:wrapPolygon edited="0">
                <wp:start x="0" y="0"/>
                <wp:lineTo x="0" y="21137"/>
                <wp:lineTo x="21345" y="21137"/>
                <wp:lineTo x="2134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 del Perú.JPG"/>
                    <pic:cNvPicPr/>
                  </pic:nvPicPr>
                  <pic:blipFill>
                    <a:blip r:embed="rId8">
                      <a:extLst>
                        <a:ext uri="{28A0092B-C50C-407E-A947-70E740481C1C}">
                          <a14:useLocalDpi xmlns:a14="http://schemas.microsoft.com/office/drawing/2010/main" val="0"/>
                        </a:ext>
                      </a:extLst>
                    </a:blip>
                    <a:stretch>
                      <a:fillRect/>
                    </a:stretch>
                  </pic:blipFill>
                  <pic:spPr>
                    <a:xfrm>
                      <a:off x="0" y="0"/>
                      <a:ext cx="2313305" cy="681355"/>
                    </a:xfrm>
                    <a:prstGeom prst="rect">
                      <a:avLst/>
                    </a:prstGeom>
                  </pic:spPr>
                </pic:pic>
              </a:graphicData>
            </a:graphic>
            <wp14:sizeRelH relativeFrom="margin">
              <wp14:pctWidth>0</wp14:pctWidth>
            </wp14:sizeRelH>
            <wp14:sizeRelV relativeFrom="margin">
              <wp14:pctHeight>0</wp14:pctHeight>
            </wp14:sizeRelV>
          </wp:anchor>
        </w:drawing>
      </w:r>
    </w:p>
    <w:p w:rsidR="003D2BC9" w:rsidRDefault="003D2BC9" w:rsidP="003D2BC9">
      <w:pPr>
        <w:autoSpaceDE w:val="0"/>
        <w:autoSpaceDN w:val="0"/>
        <w:jc w:val="center"/>
        <w:rPr>
          <w:rFonts w:ascii="Gotham Bold" w:hAnsi="Gotham Bold"/>
          <w:b/>
          <w:bCs/>
          <w:color w:val="000000"/>
          <w:sz w:val="96"/>
          <w:szCs w:val="96"/>
        </w:rPr>
      </w:pPr>
    </w:p>
    <w:p w:rsidR="00627CC2" w:rsidRDefault="00627CC2" w:rsidP="003D2BC9">
      <w:pPr>
        <w:autoSpaceDE w:val="0"/>
        <w:autoSpaceDN w:val="0"/>
        <w:rPr>
          <w:rFonts w:ascii="Gotham Bold" w:hAnsi="Gotham Bold"/>
          <w:b/>
          <w:bCs/>
          <w:color w:val="000000"/>
          <w:sz w:val="96"/>
          <w:szCs w:val="96"/>
        </w:rPr>
      </w:pPr>
    </w:p>
    <w:p w:rsidR="003D2BC9" w:rsidRDefault="003D2BC9" w:rsidP="003D2BC9">
      <w:pPr>
        <w:autoSpaceDE w:val="0"/>
        <w:autoSpaceDN w:val="0"/>
        <w:rPr>
          <w:rFonts w:ascii="Gotham Bold" w:hAnsi="Gotham Bold"/>
          <w:b/>
          <w:bCs/>
          <w:color w:val="000000"/>
          <w:sz w:val="96"/>
          <w:szCs w:val="96"/>
        </w:rPr>
      </w:pPr>
      <w:r>
        <w:rPr>
          <w:rFonts w:ascii="Gotham Bold" w:hAnsi="Gotham Bold"/>
          <w:b/>
          <w:bCs/>
          <w:color w:val="000000"/>
          <w:sz w:val="96"/>
          <w:szCs w:val="96"/>
        </w:rPr>
        <w:t>PERÚ</w:t>
      </w:r>
    </w:p>
    <w:p w:rsidR="003D2BC9" w:rsidRDefault="003D2BC9" w:rsidP="003D2BC9">
      <w:pPr>
        <w:autoSpaceDE w:val="0"/>
        <w:autoSpaceDN w:val="0"/>
        <w:rPr>
          <w:rFonts w:ascii="Gotham Bold" w:hAnsi="Gotham Bold"/>
          <w:b/>
          <w:bCs/>
          <w:color w:val="000000"/>
          <w:sz w:val="32"/>
          <w:szCs w:val="32"/>
        </w:rPr>
      </w:pPr>
      <w:r>
        <w:rPr>
          <w:rFonts w:ascii="Gotham Bold" w:hAnsi="Gotham Bold"/>
          <w:b/>
          <w:bCs/>
          <w:noProof/>
          <w:color w:val="000000"/>
          <w:sz w:val="96"/>
          <w:szCs w:val="96"/>
          <w:lang w:val="es-PE" w:eastAsia="es-PE"/>
        </w:rPr>
        <w:drawing>
          <wp:anchor distT="0" distB="0" distL="114300" distR="114300" simplePos="0" relativeHeight="251658752" behindDoc="1" locked="0" layoutInCell="1" allowOverlap="1" wp14:anchorId="7EB1A466" wp14:editId="7FFCC61A">
            <wp:simplePos x="0" y="0"/>
            <wp:positionH relativeFrom="margin">
              <wp:align>left</wp:align>
            </wp:positionH>
            <wp:positionV relativeFrom="paragraph">
              <wp:posOffset>38090</wp:posOffset>
            </wp:positionV>
            <wp:extent cx="916940" cy="805180"/>
            <wp:effectExtent l="0" t="0" r="0" b="0"/>
            <wp:wrapTight wrapText="bothSides">
              <wp:wrapPolygon edited="0">
                <wp:start x="0" y="0"/>
                <wp:lineTo x="0" y="20953"/>
                <wp:lineTo x="21091" y="20953"/>
                <wp:lineTo x="2109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G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940" cy="805180"/>
                    </a:xfrm>
                    <a:prstGeom prst="rect">
                      <a:avLst/>
                    </a:prstGeom>
                  </pic:spPr>
                </pic:pic>
              </a:graphicData>
            </a:graphic>
            <wp14:sizeRelH relativeFrom="margin">
              <wp14:pctWidth>0</wp14:pctWidth>
            </wp14:sizeRelH>
            <wp14:sizeRelV relativeFrom="margin">
              <wp14:pctHeight>0</wp14:pctHeight>
            </wp14:sizeRelV>
          </wp:anchor>
        </w:drawing>
      </w:r>
    </w:p>
    <w:p w:rsidR="003D2BC9" w:rsidRDefault="003D2BC9" w:rsidP="003D2BC9">
      <w:pPr>
        <w:autoSpaceDE w:val="0"/>
        <w:autoSpaceDN w:val="0"/>
        <w:rPr>
          <w:rFonts w:ascii="Gotham Bold" w:hAnsi="Gotham Bold"/>
          <w:b/>
          <w:bCs/>
          <w:color w:val="000000"/>
          <w:sz w:val="32"/>
          <w:szCs w:val="32"/>
        </w:rPr>
      </w:pPr>
    </w:p>
    <w:p w:rsidR="003D2BC9" w:rsidRDefault="003D2BC9" w:rsidP="003D2BC9">
      <w:pPr>
        <w:autoSpaceDE w:val="0"/>
        <w:autoSpaceDN w:val="0"/>
        <w:rPr>
          <w:rFonts w:ascii="Gotham Bold" w:hAnsi="Gotham Bold"/>
          <w:b/>
          <w:bCs/>
          <w:color w:val="000000"/>
          <w:sz w:val="32"/>
          <w:szCs w:val="32"/>
        </w:rPr>
      </w:pPr>
    </w:p>
    <w:p w:rsidR="003D2BC9" w:rsidRDefault="003D2BC9" w:rsidP="003D2BC9">
      <w:pPr>
        <w:autoSpaceDE w:val="0"/>
        <w:autoSpaceDN w:val="0"/>
        <w:rPr>
          <w:rFonts w:ascii="Gotham Bold" w:hAnsi="Gotham Bold"/>
          <w:b/>
          <w:bCs/>
          <w:color w:val="000000"/>
          <w:sz w:val="32"/>
          <w:szCs w:val="32"/>
        </w:rPr>
      </w:pPr>
      <w:r>
        <w:rPr>
          <w:rFonts w:ascii="Gotham Bold" w:hAnsi="Gotham Bold"/>
          <w:b/>
          <w:bCs/>
          <w:color w:val="000000"/>
          <w:sz w:val="32"/>
          <w:szCs w:val="32"/>
        </w:rPr>
        <w:t xml:space="preserve">Informe de </w:t>
      </w:r>
      <w:r w:rsidR="00D55E24">
        <w:rPr>
          <w:rFonts w:ascii="Gotham Bold" w:hAnsi="Gotham Bold"/>
          <w:b/>
          <w:bCs/>
          <w:color w:val="000000"/>
          <w:sz w:val="32"/>
          <w:szCs w:val="32"/>
        </w:rPr>
        <w:t>Autoe</w:t>
      </w:r>
      <w:r>
        <w:rPr>
          <w:rFonts w:ascii="Gotham Bold" w:hAnsi="Gotham Bold"/>
          <w:b/>
          <w:bCs/>
          <w:color w:val="000000"/>
          <w:sz w:val="32"/>
          <w:szCs w:val="32"/>
        </w:rPr>
        <w:t xml:space="preserve">valuación </w:t>
      </w:r>
      <w:r w:rsidR="00EF6C8A">
        <w:rPr>
          <w:rFonts w:ascii="Gotham Bold" w:hAnsi="Gotham Bold"/>
          <w:b/>
          <w:bCs/>
          <w:color w:val="000000"/>
          <w:sz w:val="32"/>
          <w:szCs w:val="32"/>
        </w:rPr>
        <w:t>Final</w:t>
      </w:r>
    </w:p>
    <w:p w:rsidR="003D2BC9" w:rsidRDefault="003D2BC9" w:rsidP="00627CC2">
      <w:pPr>
        <w:autoSpaceDE w:val="0"/>
        <w:autoSpaceDN w:val="0"/>
        <w:spacing w:after="0"/>
        <w:rPr>
          <w:rFonts w:ascii="Gotham Bold" w:hAnsi="Gotham Bold"/>
          <w:b/>
          <w:bCs/>
          <w:color w:val="000000"/>
          <w:sz w:val="32"/>
          <w:szCs w:val="32"/>
        </w:rPr>
      </w:pPr>
      <w:r>
        <w:rPr>
          <w:rFonts w:ascii="Gotham Bold" w:hAnsi="Gotham Bold"/>
          <w:b/>
          <w:bCs/>
          <w:color w:val="000000"/>
          <w:sz w:val="32"/>
          <w:szCs w:val="32"/>
        </w:rPr>
        <w:t>Plan de Acción Nacional</w:t>
      </w:r>
      <w:r w:rsidR="000349C8">
        <w:rPr>
          <w:rFonts w:ascii="Gotham Bold" w:hAnsi="Gotham Bold"/>
          <w:b/>
          <w:bCs/>
          <w:color w:val="000000"/>
          <w:sz w:val="32"/>
          <w:szCs w:val="32"/>
        </w:rPr>
        <w:t xml:space="preserve"> de Gobierno Abierto</w:t>
      </w:r>
    </w:p>
    <w:p w:rsidR="003D2BC9" w:rsidRDefault="003D2BC9" w:rsidP="00627CC2">
      <w:pPr>
        <w:autoSpaceDE w:val="0"/>
        <w:autoSpaceDN w:val="0"/>
        <w:spacing w:after="0"/>
        <w:rPr>
          <w:rFonts w:ascii="Gotham Bold" w:hAnsi="Gotham Bold"/>
          <w:b/>
          <w:bCs/>
          <w:color w:val="000000"/>
          <w:sz w:val="32"/>
          <w:szCs w:val="32"/>
        </w:rPr>
      </w:pPr>
      <w:r>
        <w:rPr>
          <w:rFonts w:ascii="Gotham Bold" w:hAnsi="Gotham Bold"/>
          <w:b/>
          <w:bCs/>
          <w:color w:val="000000"/>
          <w:sz w:val="32"/>
          <w:szCs w:val="32"/>
        </w:rPr>
        <w:t>201</w:t>
      </w:r>
      <w:r w:rsidR="00627CC2">
        <w:rPr>
          <w:rFonts w:ascii="Gotham Bold" w:hAnsi="Gotham Bold"/>
          <w:b/>
          <w:bCs/>
          <w:color w:val="000000"/>
          <w:sz w:val="32"/>
          <w:szCs w:val="32"/>
        </w:rPr>
        <w:t>5</w:t>
      </w:r>
      <w:r>
        <w:rPr>
          <w:rFonts w:ascii="Gotham Bold" w:hAnsi="Gotham Bold"/>
          <w:b/>
          <w:bCs/>
          <w:color w:val="000000"/>
          <w:sz w:val="32"/>
          <w:szCs w:val="32"/>
        </w:rPr>
        <w:t>-</w:t>
      </w:r>
      <w:r w:rsidRPr="00EA13E6">
        <w:rPr>
          <w:rFonts w:ascii="Gotham Bold" w:hAnsi="Gotham Bold"/>
          <w:b/>
          <w:bCs/>
          <w:color w:val="000000"/>
          <w:sz w:val="32"/>
          <w:szCs w:val="32"/>
        </w:rPr>
        <w:t>201</w:t>
      </w:r>
      <w:r w:rsidR="00627CC2">
        <w:rPr>
          <w:rFonts w:ascii="Gotham Bold" w:hAnsi="Gotham Bold"/>
          <w:b/>
          <w:bCs/>
          <w:color w:val="000000"/>
          <w:sz w:val="32"/>
          <w:szCs w:val="32"/>
        </w:rPr>
        <w:t>6</w:t>
      </w:r>
    </w:p>
    <w:p w:rsidR="000C6829" w:rsidRDefault="000C6829" w:rsidP="003D2BC9">
      <w:pPr>
        <w:autoSpaceDE w:val="0"/>
        <w:autoSpaceDN w:val="0"/>
        <w:jc w:val="center"/>
        <w:rPr>
          <w:rFonts w:ascii="Gotham Bold" w:hAnsi="Gotham Bold"/>
          <w:b/>
          <w:bCs/>
          <w:color w:val="000000"/>
          <w:sz w:val="32"/>
          <w:szCs w:val="32"/>
        </w:rPr>
      </w:pPr>
    </w:p>
    <w:p w:rsidR="000C6829" w:rsidRDefault="000C6829" w:rsidP="003D2BC9">
      <w:pPr>
        <w:autoSpaceDE w:val="0"/>
        <w:autoSpaceDN w:val="0"/>
        <w:jc w:val="center"/>
        <w:rPr>
          <w:rFonts w:ascii="Gotham Bold" w:hAnsi="Gotham Bold"/>
          <w:b/>
          <w:bCs/>
          <w:color w:val="000000"/>
          <w:sz w:val="32"/>
          <w:szCs w:val="32"/>
        </w:rPr>
      </w:pPr>
    </w:p>
    <w:p w:rsidR="000C6829" w:rsidRDefault="000C6829" w:rsidP="003D2BC9">
      <w:pPr>
        <w:autoSpaceDE w:val="0"/>
        <w:autoSpaceDN w:val="0"/>
        <w:jc w:val="center"/>
        <w:rPr>
          <w:rFonts w:ascii="Gotham Bold" w:hAnsi="Gotham Bold"/>
          <w:b/>
          <w:bCs/>
          <w:color w:val="000000"/>
          <w:sz w:val="32"/>
          <w:szCs w:val="32"/>
        </w:rPr>
      </w:pPr>
    </w:p>
    <w:p w:rsidR="000C6829" w:rsidRDefault="000C6829" w:rsidP="003D2BC9">
      <w:pPr>
        <w:autoSpaceDE w:val="0"/>
        <w:autoSpaceDN w:val="0"/>
        <w:jc w:val="center"/>
        <w:rPr>
          <w:rFonts w:ascii="Gotham Bold" w:hAnsi="Gotham Bold"/>
          <w:b/>
          <w:bCs/>
          <w:color w:val="000000"/>
          <w:sz w:val="32"/>
          <w:szCs w:val="32"/>
        </w:rPr>
      </w:pPr>
    </w:p>
    <w:p w:rsidR="003D2BC9" w:rsidRDefault="003D2BC9" w:rsidP="003D2BC9">
      <w:pPr>
        <w:autoSpaceDE w:val="0"/>
        <w:autoSpaceDN w:val="0"/>
        <w:jc w:val="center"/>
        <w:rPr>
          <w:rFonts w:ascii="Gotham Bold" w:hAnsi="Gotham Bold"/>
          <w:b/>
          <w:bCs/>
          <w:color w:val="000000"/>
          <w:sz w:val="32"/>
          <w:szCs w:val="32"/>
        </w:rPr>
      </w:pPr>
      <w:r>
        <w:rPr>
          <w:rFonts w:ascii="Gotham Bold" w:hAnsi="Gotham Bold"/>
          <w:b/>
          <w:bCs/>
          <w:noProof/>
          <w:color w:val="000000"/>
          <w:sz w:val="32"/>
          <w:szCs w:val="32"/>
          <w:lang w:val="es-PE" w:eastAsia="es-PE"/>
        </w:rPr>
        <w:drawing>
          <wp:anchor distT="0" distB="0" distL="114300" distR="114300" simplePos="0" relativeHeight="251655680" behindDoc="1" locked="0" layoutInCell="1" allowOverlap="1" wp14:anchorId="1F48C6C3" wp14:editId="45FDEF4C">
            <wp:simplePos x="0" y="0"/>
            <wp:positionH relativeFrom="page">
              <wp:align>left</wp:align>
            </wp:positionH>
            <wp:positionV relativeFrom="paragraph">
              <wp:posOffset>419716</wp:posOffset>
            </wp:positionV>
            <wp:extent cx="8099425" cy="271145"/>
            <wp:effectExtent l="0" t="0" r="0" b="0"/>
            <wp:wrapTight wrapText="bothSides">
              <wp:wrapPolygon edited="0">
                <wp:start x="0" y="0"/>
                <wp:lineTo x="0" y="19728"/>
                <wp:lineTo x="21541" y="19728"/>
                <wp:lineTo x="21541" y="0"/>
                <wp:lineTo x="0" y="0"/>
              </wp:wrapPolygon>
            </wp:wrapTight>
            <wp:docPr id="1" name="Imagen 1" descr="cid:image002.jpg@01D21359.D6CC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1359.D6CC0E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09942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2BC9" w:rsidRDefault="00FB3441" w:rsidP="003D2BC9">
      <w:pPr>
        <w:autoSpaceDE w:val="0"/>
        <w:autoSpaceDN w:val="0"/>
        <w:jc w:val="right"/>
        <w:rPr>
          <w:rFonts w:ascii="Gotham Bold" w:hAnsi="Gotham Bold"/>
          <w:b/>
          <w:bCs/>
          <w:color w:val="000000"/>
          <w:sz w:val="32"/>
          <w:szCs w:val="32"/>
        </w:rPr>
      </w:pPr>
      <w:r>
        <w:rPr>
          <w:rFonts w:ascii="Gotham Bold" w:hAnsi="Gotham Bold"/>
          <w:b/>
          <w:bCs/>
          <w:color w:val="000000"/>
          <w:sz w:val="32"/>
          <w:szCs w:val="32"/>
        </w:rPr>
        <w:t xml:space="preserve">Setiembre </w:t>
      </w:r>
      <w:r w:rsidR="003D2BC9">
        <w:rPr>
          <w:rFonts w:ascii="Gotham Bold" w:hAnsi="Gotham Bold"/>
          <w:b/>
          <w:bCs/>
          <w:color w:val="000000"/>
          <w:sz w:val="32"/>
          <w:szCs w:val="32"/>
        </w:rPr>
        <w:t>201</w:t>
      </w:r>
      <w:r w:rsidR="00EF6C8A">
        <w:rPr>
          <w:rFonts w:ascii="Gotham Bold" w:hAnsi="Gotham Bold"/>
          <w:b/>
          <w:bCs/>
          <w:color w:val="000000"/>
          <w:sz w:val="32"/>
          <w:szCs w:val="32"/>
        </w:rPr>
        <w:t>7</w:t>
      </w:r>
    </w:p>
    <w:p w:rsidR="00D14C49" w:rsidRDefault="00D14C49" w:rsidP="003D2BC9">
      <w:pPr>
        <w:autoSpaceDE w:val="0"/>
        <w:autoSpaceDN w:val="0"/>
        <w:jc w:val="right"/>
        <w:rPr>
          <w:rFonts w:ascii="Gotham Bold" w:hAnsi="Gotham Bold"/>
          <w:b/>
          <w:bCs/>
          <w:color w:val="000000"/>
          <w:sz w:val="32"/>
          <w:szCs w:val="32"/>
        </w:rPr>
      </w:pPr>
    </w:p>
    <w:p w:rsidR="000C6829" w:rsidRDefault="000C6829" w:rsidP="003D2BC9">
      <w:pPr>
        <w:autoSpaceDE w:val="0"/>
        <w:autoSpaceDN w:val="0"/>
        <w:jc w:val="right"/>
        <w:rPr>
          <w:rFonts w:ascii="Gotham Bold" w:hAnsi="Gotham Bold"/>
          <w:b/>
          <w:bCs/>
          <w:color w:val="000000"/>
          <w:sz w:val="32"/>
          <w:szCs w:val="32"/>
        </w:rPr>
      </w:pPr>
    </w:p>
    <w:p w:rsidR="00B106D3" w:rsidRDefault="00B106D3" w:rsidP="003D2BC9">
      <w:pPr>
        <w:autoSpaceDE w:val="0"/>
        <w:autoSpaceDN w:val="0"/>
        <w:jc w:val="right"/>
        <w:rPr>
          <w:rFonts w:ascii="Gotham Bold" w:hAnsi="Gotham Bold"/>
          <w:b/>
          <w:bCs/>
          <w:color w:val="000000"/>
          <w:sz w:val="32"/>
          <w:szCs w:val="32"/>
        </w:rPr>
      </w:pPr>
    </w:p>
    <w:p w:rsidR="00B106D3" w:rsidRDefault="00B106D3" w:rsidP="00B106D3">
      <w:pPr>
        <w:autoSpaceDE w:val="0"/>
        <w:autoSpaceDN w:val="0"/>
        <w:jc w:val="center"/>
        <w:rPr>
          <w:rFonts w:ascii="Gotham Bold" w:hAnsi="Gotham Bold"/>
          <w:b/>
          <w:bCs/>
          <w:color w:val="000000"/>
          <w:sz w:val="32"/>
          <w:szCs w:val="32"/>
        </w:rPr>
      </w:pPr>
      <w:r>
        <w:rPr>
          <w:rFonts w:ascii="Gotham Bold" w:hAnsi="Gotham Bold"/>
          <w:b/>
          <w:bCs/>
          <w:color w:val="000000"/>
          <w:sz w:val="32"/>
          <w:szCs w:val="32"/>
        </w:rPr>
        <w:t>Tabla de contenidos</w:t>
      </w:r>
    </w:p>
    <w:p w:rsidR="00B106D3" w:rsidRDefault="00B106D3" w:rsidP="003C3262">
      <w:pPr>
        <w:autoSpaceDE w:val="0"/>
        <w:autoSpaceDN w:val="0"/>
        <w:rPr>
          <w:rFonts w:ascii="Gotham Bold" w:hAnsi="Gotham Bold"/>
          <w:b/>
          <w:bCs/>
          <w:color w:val="000000"/>
          <w:sz w:val="32"/>
          <w:szCs w:val="32"/>
        </w:rPr>
      </w:pPr>
    </w:p>
    <w:p w:rsidR="00EC299E" w:rsidRDefault="00EC299E" w:rsidP="003C3262">
      <w:pPr>
        <w:autoSpaceDE w:val="0"/>
        <w:autoSpaceDN w:val="0"/>
        <w:rPr>
          <w:rFonts w:ascii="Gotham Bold" w:hAnsi="Gotham Bold"/>
          <w:b/>
          <w:bCs/>
          <w:color w:val="000000"/>
          <w:sz w:val="32"/>
          <w:szCs w:val="32"/>
        </w:rPr>
      </w:pPr>
    </w:p>
    <w:p w:rsidR="00B106D3" w:rsidRDefault="003C3262" w:rsidP="00A04F62">
      <w:pPr>
        <w:autoSpaceDE w:val="0"/>
        <w:autoSpaceDN w:val="0"/>
        <w:ind w:left="357" w:firstLine="708"/>
        <w:rPr>
          <w:rFonts w:ascii="Gotham Bold" w:hAnsi="Gotham Bold"/>
          <w:bCs/>
          <w:color w:val="000000"/>
          <w:sz w:val="24"/>
          <w:szCs w:val="24"/>
        </w:rPr>
      </w:pPr>
      <w:r w:rsidRPr="003C3262">
        <w:rPr>
          <w:rFonts w:ascii="Gotham Bold" w:hAnsi="Gotham Bold"/>
          <w:bCs/>
          <w:color w:val="000000"/>
          <w:sz w:val="24"/>
          <w:szCs w:val="24"/>
        </w:rPr>
        <w:t>Glosario</w:t>
      </w:r>
    </w:p>
    <w:p w:rsidR="00216D8D" w:rsidRPr="003C3262" w:rsidRDefault="00216D8D" w:rsidP="006A3912">
      <w:pPr>
        <w:autoSpaceDE w:val="0"/>
        <w:autoSpaceDN w:val="0"/>
        <w:rPr>
          <w:rFonts w:ascii="Gotham Bold" w:hAnsi="Gotham Bold"/>
          <w:bCs/>
          <w:color w:val="000000"/>
          <w:sz w:val="24"/>
          <w:szCs w:val="24"/>
        </w:rPr>
      </w:pPr>
    </w:p>
    <w:p w:rsidR="003C3262" w:rsidRDefault="003C3262" w:rsidP="003C3262">
      <w:pPr>
        <w:pStyle w:val="Prrafodelista"/>
        <w:numPr>
          <w:ilvl w:val="0"/>
          <w:numId w:val="40"/>
        </w:numPr>
        <w:autoSpaceDE w:val="0"/>
        <w:autoSpaceDN w:val="0"/>
        <w:rPr>
          <w:rFonts w:ascii="Gotham Bold" w:hAnsi="Gotham Bold"/>
          <w:bCs/>
          <w:color w:val="000000"/>
          <w:sz w:val="24"/>
          <w:szCs w:val="24"/>
        </w:rPr>
      </w:pPr>
      <w:r w:rsidRPr="003C3262">
        <w:rPr>
          <w:rFonts w:ascii="Gotham Bold" w:hAnsi="Gotham Bold"/>
          <w:bCs/>
          <w:color w:val="000000"/>
          <w:sz w:val="24"/>
          <w:szCs w:val="24"/>
        </w:rPr>
        <w:t>Introducción y antecedentes</w:t>
      </w:r>
    </w:p>
    <w:p w:rsidR="00216D8D" w:rsidRPr="003C3262" w:rsidRDefault="00216D8D" w:rsidP="00216D8D">
      <w:pPr>
        <w:pStyle w:val="Prrafodelista"/>
        <w:autoSpaceDE w:val="0"/>
        <w:autoSpaceDN w:val="0"/>
        <w:ind w:left="1065"/>
        <w:rPr>
          <w:rFonts w:ascii="Gotham Bold" w:hAnsi="Gotham Bold"/>
          <w:bCs/>
          <w:color w:val="000000"/>
          <w:sz w:val="24"/>
          <w:szCs w:val="24"/>
        </w:rPr>
      </w:pPr>
    </w:p>
    <w:p w:rsidR="003C3262" w:rsidRDefault="00FB3441" w:rsidP="006A3912">
      <w:pPr>
        <w:pStyle w:val="Prrafodelista"/>
        <w:numPr>
          <w:ilvl w:val="0"/>
          <w:numId w:val="40"/>
        </w:numPr>
        <w:autoSpaceDE w:val="0"/>
        <w:autoSpaceDN w:val="0"/>
        <w:rPr>
          <w:rFonts w:ascii="Gotham Bold" w:hAnsi="Gotham Bold"/>
          <w:bCs/>
          <w:color w:val="000000"/>
          <w:sz w:val="24"/>
          <w:szCs w:val="24"/>
        </w:rPr>
      </w:pPr>
      <w:r>
        <w:rPr>
          <w:rFonts w:ascii="Gotham Bold" w:hAnsi="Gotham Bold"/>
          <w:bCs/>
          <w:color w:val="000000"/>
          <w:sz w:val="24"/>
          <w:szCs w:val="24"/>
        </w:rPr>
        <w:t xml:space="preserve">Proceso </w:t>
      </w:r>
      <w:r w:rsidR="003C3262" w:rsidRPr="003C3262">
        <w:rPr>
          <w:rFonts w:ascii="Gotham Bold" w:hAnsi="Gotham Bold"/>
          <w:bCs/>
          <w:color w:val="000000"/>
          <w:sz w:val="24"/>
          <w:szCs w:val="24"/>
        </w:rPr>
        <w:t>de elaboración del Plan de Acción Nacional</w:t>
      </w:r>
      <w:r w:rsidR="000349C8">
        <w:rPr>
          <w:rFonts w:ascii="Gotham Bold" w:hAnsi="Gotham Bold"/>
          <w:bCs/>
          <w:color w:val="000000"/>
          <w:sz w:val="24"/>
          <w:szCs w:val="24"/>
        </w:rPr>
        <w:t xml:space="preserve"> de Gobierno Abierto</w:t>
      </w:r>
      <w:r w:rsidR="003C3262" w:rsidRPr="003C3262">
        <w:rPr>
          <w:rFonts w:ascii="Gotham Bold" w:hAnsi="Gotham Bold"/>
          <w:bCs/>
          <w:color w:val="000000"/>
          <w:sz w:val="24"/>
          <w:szCs w:val="24"/>
        </w:rPr>
        <w:t xml:space="preserve"> 2015-2016</w:t>
      </w:r>
    </w:p>
    <w:p w:rsidR="00216D8D" w:rsidRPr="00216D8D" w:rsidRDefault="00216D8D" w:rsidP="00216D8D">
      <w:pPr>
        <w:pStyle w:val="Prrafodelista"/>
        <w:rPr>
          <w:rFonts w:ascii="Gotham Bold" w:hAnsi="Gotham Bold"/>
          <w:bCs/>
          <w:color w:val="000000"/>
          <w:sz w:val="24"/>
          <w:szCs w:val="24"/>
        </w:rPr>
      </w:pPr>
    </w:p>
    <w:p w:rsidR="00216D8D" w:rsidRDefault="00503F58" w:rsidP="00216D8D">
      <w:pPr>
        <w:pStyle w:val="Prrafodelista"/>
        <w:numPr>
          <w:ilvl w:val="0"/>
          <w:numId w:val="40"/>
        </w:numPr>
        <w:autoSpaceDE w:val="0"/>
        <w:autoSpaceDN w:val="0"/>
        <w:rPr>
          <w:rFonts w:ascii="Gotham Bold" w:hAnsi="Gotham Bold"/>
          <w:bCs/>
          <w:color w:val="000000"/>
          <w:sz w:val="24"/>
          <w:szCs w:val="24"/>
        </w:rPr>
      </w:pPr>
      <w:r w:rsidRPr="00216D8D">
        <w:rPr>
          <w:rFonts w:ascii="Gotham Bold" w:hAnsi="Gotham Bold"/>
          <w:bCs/>
          <w:color w:val="000000"/>
          <w:sz w:val="24"/>
          <w:szCs w:val="24"/>
        </w:rPr>
        <w:t xml:space="preserve">Incorporación de las recomendaciones del mecanismo de revisión independiente con relación al Primer PAGA (2012-2013) </w:t>
      </w:r>
    </w:p>
    <w:p w:rsidR="00216D8D" w:rsidRPr="00216D8D" w:rsidRDefault="00216D8D" w:rsidP="00216D8D">
      <w:pPr>
        <w:pStyle w:val="Prrafodelista"/>
        <w:rPr>
          <w:rFonts w:ascii="Gotham Bold" w:hAnsi="Gotham Bold"/>
          <w:bCs/>
          <w:color w:val="000000"/>
          <w:sz w:val="24"/>
          <w:szCs w:val="24"/>
        </w:rPr>
      </w:pPr>
    </w:p>
    <w:p w:rsidR="00216D8D" w:rsidRDefault="00216D8D" w:rsidP="00216D8D">
      <w:pPr>
        <w:pStyle w:val="Prrafodelista"/>
        <w:numPr>
          <w:ilvl w:val="0"/>
          <w:numId w:val="40"/>
        </w:numPr>
        <w:autoSpaceDE w:val="0"/>
        <w:autoSpaceDN w:val="0"/>
        <w:rPr>
          <w:rFonts w:ascii="Gotham Bold" w:hAnsi="Gotham Bold"/>
          <w:bCs/>
          <w:color w:val="000000"/>
          <w:sz w:val="24"/>
          <w:szCs w:val="24"/>
        </w:rPr>
      </w:pPr>
      <w:r w:rsidRPr="00216D8D">
        <w:rPr>
          <w:rFonts w:ascii="Gotham Bold" w:hAnsi="Gotham Bold"/>
          <w:bCs/>
          <w:color w:val="000000"/>
          <w:sz w:val="24"/>
          <w:szCs w:val="24"/>
        </w:rPr>
        <w:t>Cumplimiento de la implementación de los compromisos del Plan de Acción Nacional</w:t>
      </w:r>
      <w:r w:rsidR="000349C8">
        <w:rPr>
          <w:rFonts w:ascii="Gotham Bold" w:hAnsi="Gotham Bold"/>
          <w:bCs/>
          <w:color w:val="000000"/>
          <w:sz w:val="24"/>
          <w:szCs w:val="24"/>
        </w:rPr>
        <w:t xml:space="preserve"> de Gobierno Abierto</w:t>
      </w:r>
      <w:r w:rsidRPr="00216D8D">
        <w:rPr>
          <w:rFonts w:ascii="Gotham Bold" w:hAnsi="Gotham Bold"/>
          <w:bCs/>
          <w:color w:val="000000"/>
          <w:sz w:val="24"/>
          <w:szCs w:val="24"/>
        </w:rPr>
        <w:t xml:space="preserve"> 2015 2016</w:t>
      </w:r>
    </w:p>
    <w:p w:rsidR="00CC3FFA" w:rsidRDefault="00CC3FFA" w:rsidP="00CC3FFA">
      <w:pPr>
        <w:pStyle w:val="Prrafodelista"/>
        <w:autoSpaceDE w:val="0"/>
        <w:autoSpaceDN w:val="0"/>
        <w:ind w:left="1065"/>
        <w:rPr>
          <w:rFonts w:ascii="Gotham Bold" w:hAnsi="Gotham Bold"/>
          <w:bCs/>
          <w:color w:val="000000"/>
          <w:sz w:val="24"/>
          <w:szCs w:val="24"/>
        </w:rPr>
      </w:pPr>
    </w:p>
    <w:p w:rsidR="00A04F62" w:rsidRDefault="00A04F62" w:rsidP="00216D8D">
      <w:pPr>
        <w:pStyle w:val="Prrafodelista"/>
        <w:numPr>
          <w:ilvl w:val="0"/>
          <w:numId w:val="40"/>
        </w:numPr>
        <w:autoSpaceDE w:val="0"/>
        <w:autoSpaceDN w:val="0"/>
        <w:rPr>
          <w:rFonts w:ascii="Gotham Bold" w:hAnsi="Gotham Bold"/>
          <w:bCs/>
          <w:color w:val="000000"/>
          <w:sz w:val="24"/>
          <w:szCs w:val="24"/>
        </w:rPr>
      </w:pPr>
      <w:r>
        <w:rPr>
          <w:rFonts w:ascii="Gotham Bold" w:hAnsi="Gotham Bold"/>
          <w:bCs/>
          <w:color w:val="000000"/>
          <w:sz w:val="24"/>
          <w:szCs w:val="24"/>
        </w:rPr>
        <w:t>Conclusiones</w:t>
      </w:r>
      <w:r w:rsidR="00301D7C">
        <w:rPr>
          <w:rFonts w:ascii="Gotham Bold" w:hAnsi="Gotham Bold"/>
          <w:bCs/>
          <w:color w:val="000000"/>
          <w:sz w:val="24"/>
          <w:szCs w:val="24"/>
        </w:rPr>
        <w:t xml:space="preserve"> </w:t>
      </w:r>
      <w:r w:rsidR="00DF31DB">
        <w:rPr>
          <w:rFonts w:ascii="Gotham Bold" w:hAnsi="Gotham Bold"/>
          <w:bCs/>
          <w:color w:val="000000"/>
          <w:sz w:val="24"/>
          <w:szCs w:val="24"/>
        </w:rPr>
        <w:t>y recomendaciones</w:t>
      </w:r>
    </w:p>
    <w:p w:rsidR="00301D7C" w:rsidRPr="00301D7C" w:rsidRDefault="00301D7C" w:rsidP="00301D7C">
      <w:pPr>
        <w:pStyle w:val="Prrafodelista"/>
        <w:rPr>
          <w:rFonts w:ascii="Gotham Bold" w:hAnsi="Gotham Bold"/>
          <w:bCs/>
          <w:color w:val="000000"/>
          <w:sz w:val="24"/>
          <w:szCs w:val="24"/>
        </w:rPr>
      </w:pPr>
    </w:p>
    <w:p w:rsidR="00301D7C" w:rsidRDefault="00301D7C" w:rsidP="00301D7C">
      <w:pPr>
        <w:pStyle w:val="Prrafodelista"/>
        <w:autoSpaceDE w:val="0"/>
        <w:autoSpaceDN w:val="0"/>
        <w:ind w:left="1065"/>
        <w:rPr>
          <w:rFonts w:ascii="Gotham Bold" w:hAnsi="Gotham Bold"/>
          <w:bCs/>
          <w:color w:val="000000"/>
          <w:sz w:val="24"/>
          <w:szCs w:val="24"/>
        </w:rPr>
      </w:pPr>
    </w:p>
    <w:p w:rsidR="00A04F62" w:rsidRPr="00A04F62" w:rsidRDefault="00A04F62" w:rsidP="00A04F62">
      <w:pPr>
        <w:pStyle w:val="Prrafodelista"/>
        <w:rPr>
          <w:rFonts w:ascii="Gotham Bold" w:hAnsi="Gotham Bold"/>
          <w:bCs/>
          <w:color w:val="000000"/>
          <w:sz w:val="24"/>
          <w:szCs w:val="24"/>
        </w:rPr>
      </w:pPr>
    </w:p>
    <w:p w:rsidR="00A04F62" w:rsidRPr="00216D8D" w:rsidRDefault="00A04F62" w:rsidP="00A04F62">
      <w:pPr>
        <w:pStyle w:val="Prrafodelista"/>
        <w:autoSpaceDE w:val="0"/>
        <w:autoSpaceDN w:val="0"/>
        <w:ind w:left="1065"/>
        <w:rPr>
          <w:rFonts w:ascii="Gotham Bold" w:hAnsi="Gotham Bold"/>
          <w:bCs/>
          <w:color w:val="000000"/>
          <w:sz w:val="24"/>
          <w:szCs w:val="24"/>
        </w:rPr>
      </w:pPr>
    </w:p>
    <w:p w:rsidR="00B106D3" w:rsidRPr="00216D8D" w:rsidRDefault="00B106D3" w:rsidP="00216D8D">
      <w:pPr>
        <w:pStyle w:val="Prrafodelista"/>
        <w:numPr>
          <w:ilvl w:val="0"/>
          <w:numId w:val="40"/>
        </w:numPr>
        <w:autoSpaceDE w:val="0"/>
        <w:autoSpaceDN w:val="0"/>
        <w:rPr>
          <w:rFonts w:ascii="Gotham Bold" w:hAnsi="Gotham Bold"/>
          <w:b/>
          <w:bCs/>
          <w:color w:val="000000"/>
          <w:sz w:val="32"/>
          <w:szCs w:val="32"/>
        </w:rPr>
      </w:pPr>
      <w:r w:rsidRPr="00216D8D">
        <w:rPr>
          <w:rFonts w:ascii="Gotham Bold" w:hAnsi="Gotham Bold"/>
          <w:b/>
          <w:bCs/>
          <w:color w:val="000000"/>
          <w:sz w:val="32"/>
          <w:szCs w:val="32"/>
        </w:rPr>
        <w:br w:type="page"/>
      </w:r>
    </w:p>
    <w:p w:rsidR="00B106D3" w:rsidRDefault="00B106D3" w:rsidP="00B106D3">
      <w:pPr>
        <w:autoSpaceDE w:val="0"/>
        <w:autoSpaceDN w:val="0"/>
        <w:rPr>
          <w:rFonts w:ascii="Gotham Bold" w:hAnsi="Gotham Bold"/>
          <w:b/>
          <w:bCs/>
          <w:color w:val="000000"/>
          <w:sz w:val="32"/>
          <w:szCs w:val="32"/>
        </w:rPr>
      </w:pPr>
    </w:p>
    <w:p w:rsidR="000C6829" w:rsidRDefault="000C6829" w:rsidP="00E3174A">
      <w:pPr>
        <w:autoSpaceDE w:val="0"/>
        <w:autoSpaceDN w:val="0"/>
        <w:jc w:val="center"/>
        <w:rPr>
          <w:rFonts w:ascii="Gotham Bold" w:hAnsi="Gotham Bold"/>
          <w:b/>
          <w:bCs/>
          <w:color w:val="000000"/>
          <w:sz w:val="32"/>
          <w:szCs w:val="32"/>
        </w:rPr>
      </w:pPr>
    </w:p>
    <w:p w:rsidR="000C6829" w:rsidRDefault="000C6829" w:rsidP="00E3174A">
      <w:pPr>
        <w:autoSpaceDE w:val="0"/>
        <w:autoSpaceDN w:val="0"/>
        <w:jc w:val="center"/>
        <w:rPr>
          <w:rFonts w:ascii="Gotham Bold" w:hAnsi="Gotham Bold"/>
          <w:b/>
          <w:bCs/>
          <w:color w:val="000000"/>
          <w:sz w:val="32"/>
          <w:szCs w:val="32"/>
        </w:rPr>
      </w:pPr>
    </w:p>
    <w:p w:rsidR="00B106D3" w:rsidRDefault="00E3174A" w:rsidP="00E3174A">
      <w:pPr>
        <w:autoSpaceDE w:val="0"/>
        <w:autoSpaceDN w:val="0"/>
        <w:jc w:val="center"/>
        <w:rPr>
          <w:rFonts w:ascii="Gotham Bold" w:hAnsi="Gotham Bold"/>
          <w:b/>
          <w:bCs/>
          <w:color w:val="000000"/>
          <w:sz w:val="32"/>
          <w:szCs w:val="32"/>
        </w:rPr>
      </w:pPr>
      <w:r>
        <w:rPr>
          <w:rFonts w:ascii="Gotham Bold" w:hAnsi="Gotham Bold"/>
          <w:b/>
          <w:bCs/>
          <w:color w:val="000000"/>
          <w:sz w:val="32"/>
          <w:szCs w:val="32"/>
        </w:rPr>
        <w:t>Glosario</w:t>
      </w:r>
    </w:p>
    <w:p w:rsidR="00E3174A" w:rsidRDefault="00E3174A" w:rsidP="00B106D3">
      <w:pPr>
        <w:autoSpaceDE w:val="0"/>
        <w:autoSpaceDN w:val="0"/>
        <w:rPr>
          <w:rFonts w:ascii="Gotham Bold" w:hAnsi="Gotham Bold"/>
          <w:b/>
          <w:bCs/>
          <w:color w:val="000000"/>
          <w:sz w:val="32"/>
          <w:szCs w:val="32"/>
        </w:rPr>
      </w:pPr>
    </w:p>
    <w:p w:rsidR="00700BF4" w:rsidRDefault="00700BF4" w:rsidP="00B106D3">
      <w:pPr>
        <w:autoSpaceDE w:val="0"/>
        <w:autoSpaceDN w:val="0"/>
        <w:rPr>
          <w:rFonts w:ascii="Gotham Bold" w:hAnsi="Gotham Bold"/>
          <w:b/>
          <w:bCs/>
          <w:color w:val="000000"/>
          <w:sz w:val="32"/>
          <w:szCs w:val="32"/>
        </w:rPr>
      </w:pPr>
    </w:p>
    <w:p w:rsidR="00E3174A" w:rsidRPr="00CC3FFA" w:rsidRDefault="00E3174A" w:rsidP="00216D8D">
      <w:pPr>
        <w:ind w:left="1985" w:hanging="1985"/>
        <w:jc w:val="both"/>
        <w:rPr>
          <w:rFonts w:ascii="Gotham Bold" w:hAnsi="Gotham Bold"/>
          <w:bCs/>
          <w:color w:val="000000"/>
          <w:sz w:val="28"/>
          <w:szCs w:val="28"/>
        </w:rPr>
      </w:pPr>
      <w:r w:rsidRPr="00CC3FFA">
        <w:rPr>
          <w:rFonts w:ascii="Gotham Bold" w:hAnsi="Gotham Bold"/>
          <w:bCs/>
          <w:color w:val="000000"/>
          <w:sz w:val="28"/>
          <w:szCs w:val="28"/>
        </w:rPr>
        <w:t>AGA / OGP</w:t>
      </w:r>
      <w:r w:rsidRPr="00CC3FFA">
        <w:rPr>
          <w:rFonts w:ascii="Gotham Bold" w:hAnsi="Gotham Bold"/>
          <w:bCs/>
          <w:color w:val="000000"/>
          <w:sz w:val="28"/>
          <w:szCs w:val="28"/>
        </w:rPr>
        <w:tab/>
        <w:t xml:space="preserve">Alianza para el Gobierno Abierto /Open Government Partnership en inglés </w:t>
      </w:r>
    </w:p>
    <w:p w:rsidR="00E3174A" w:rsidRPr="00CC3FFA" w:rsidRDefault="00E3174A" w:rsidP="00216D8D">
      <w:pPr>
        <w:ind w:left="1985" w:hanging="1985"/>
        <w:jc w:val="both"/>
        <w:rPr>
          <w:rFonts w:ascii="Gotham Bold" w:hAnsi="Gotham Bold"/>
          <w:bCs/>
          <w:color w:val="000000"/>
          <w:sz w:val="28"/>
          <w:szCs w:val="28"/>
        </w:rPr>
      </w:pPr>
      <w:r w:rsidRPr="00CC3FFA">
        <w:rPr>
          <w:rFonts w:ascii="Gotham Bold" w:hAnsi="Gotham Bold"/>
          <w:bCs/>
          <w:color w:val="000000"/>
          <w:sz w:val="28"/>
          <w:szCs w:val="28"/>
        </w:rPr>
        <w:t>OCDE</w:t>
      </w:r>
      <w:r w:rsidRPr="00CC3FFA">
        <w:rPr>
          <w:rFonts w:ascii="Gotham Bold" w:hAnsi="Gotham Bold"/>
          <w:bCs/>
          <w:color w:val="000000"/>
          <w:sz w:val="28"/>
          <w:szCs w:val="28"/>
        </w:rPr>
        <w:tab/>
        <w:t>Organización para la Cooperación y el Desarrollo Económico</w:t>
      </w:r>
    </w:p>
    <w:p w:rsidR="00503F58" w:rsidRPr="00CC3FFA" w:rsidRDefault="00123210" w:rsidP="00216D8D">
      <w:pPr>
        <w:ind w:left="1985" w:hanging="1985"/>
        <w:jc w:val="both"/>
        <w:rPr>
          <w:rFonts w:ascii="Gotham Bold" w:hAnsi="Gotham Bold"/>
          <w:bCs/>
          <w:color w:val="000000"/>
          <w:sz w:val="28"/>
          <w:szCs w:val="28"/>
        </w:rPr>
      </w:pPr>
      <w:r w:rsidRPr="00CC3FFA">
        <w:rPr>
          <w:rFonts w:ascii="Gotham Bold" w:hAnsi="Gotham Bold"/>
          <w:bCs/>
          <w:color w:val="000000"/>
          <w:sz w:val="28"/>
          <w:szCs w:val="28"/>
        </w:rPr>
        <w:t>MRI</w:t>
      </w:r>
      <w:r w:rsidRPr="00CC3FFA">
        <w:rPr>
          <w:rFonts w:ascii="Gotham Bold" w:hAnsi="Gotham Bold"/>
          <w:bCs/>
          <w:color w:val="000000"/>
          <w:sz w:val="28"/>
          <w:szCs w:val="28"/>
        </w:rPr>
        <w:tab/>
        <w:t>Mecanismo de E</w:t>
      </w:r>
      <w:r w:rsidR="00503F58" w:rsidRPr="00CC3FFA">
        <w:rPr>
          <w:rFonts w:ascii="Gotham Bold" w:hAnsi="Gotham Bold"/>
          <w:bCs/>
          <w:color w:val="000000"/>
          <w:sz w:val="28"/>
          <w:szCs w:val="28"/>
        </w:rPr>
        <w:t>valuación Independiente</w:t>
      </w:r>
    </w:p>
    <w:p w:rsidR="00E3174A" w:rsidRPr="00CC3FFA" w:rsidRDefault="00E3174A" w:rsidP="00216D8D">
      <w:pPr>
        <w:ind w:left="1985" w:hanging="1985"/>
        <w:jc w:val="both"/>
        <w:rPr>
          <w:rFonts w:ascii="Gotham Bold" w:hAnsi="Gotham Bold"/>
          <w:bCs/>
          <w:color w:val="000000"/>
          <w:sz w:val="28"/>
          <w:szCs w:val="28"/>
        </w:rPr>
      </w:pPr>
      <w:r w:rsidRPr="00CC3FFA">
        <w:rPr>
          <w:rFonts w:ascii="Gotham Bold" w:hAnsi="Gotham Bold"/>
          <w:bCs/>
          <w:color w:val="000000"/>
          <w:sz w:val="28"/>
          <w:szCs w:val="28"/>
        </w:rPr>
        <w:t>PAGA</w:t>
      </w:r>
      <w:r w:rsidRPr="00CC3FFA">
        <w:rPr>
          <w:rFonts w:ascii="Gotham Bold" w:hAnsi="Gotham Bold"/>
          <w:bCs/>
          <w:color w:val="000000"/>
          <w:sz w:val="28"/>
          <w:szCs w:val="28"/>
        </w:rPr>
        <w:tab/>
        <w:t>Plan de Acción de Gobierno Abierto</w:t>
      </w:r>
    </w:p>
    <w:p w:rsidR="00E3174A" w:rsidRPr="00CC3FFA" w:rsidRDefault="00E3174A" w:rsidP="00216D8D">
      <w:pPr>
        <w:ind w:left="1985" w:hanging="1985"/>
        <w:jc w:val="both"/>
        <w:rPr>
          <w:rFonts w:ascii="Gotham Bold" w:hAnsi="Gotham Bold"/>
          <w:bCs/>
          <w:color w:val="000000"/>
          <w:sz w:val="28"/>
          <w:szCs w:val="28"/>
        </w:rPr>
      </w:pPr>
      <w:r w:rsidRPr="00CC3FFA">
        <w:rPr>
          <w:rFonts w:ascii="Gotham Bold" w:hAnsi="Gotham Bold"/>
          <w:bCs/>
          <w:color w:val="000000"/>
          <w:sz w:val="28"/>
          <w:szCs w:val="28"/>
        </w:rPr>
        <w:t>SGP – PCM</w:t>
      </w:r>
      <w:r w:rsidRPr="00CC3FFA">
        <w:rPr>
          <w:rFonts w:ascii="Gotham Bold" w:hAnsi="Gotham Bold"/>
          <w:bCs/>
          <w:color w:val="000000"/>
          <w:sz w:val="28"/>
          <w:szCs w:val="28"/>
        </w:rPr>
        <w:tab/>
        <w:t>Secretaría de Gestión Pública de la Presidencia del Consejo de Ministros</w:t>
      </w:r>
    </w:p>
    <w:p w:rsidR="00E3174A" w:rsidRPr="00CC3FFA" w:rsidRDefault="00E3174A" w:rsidP="00216D8D">
      <w:pPr>
        <w:ind w:left="1985" w:hanging="1985"/>
        <w:jc w:val="both"/>
        <w:rPr>
          <w:rFonts w:ascii="Gotham Bold" w:hAnsi="Gotham Bold"/>
          <w:bCs/>
          <w:color w:val="000000"/>
          <w:sz w:val="28"/>
          <w:szCs w:val="28"/>
        </w:rPr>
      </w:pPr>
      <w:r w:rsidRPr="00CC3FFA">
        <w:rPr>
          <w:rFonts w:ascii="Gotham Bold" w:hAnsi="Gotham Bold"/>
          <w:bCs/>
          <w:color w:val="000000"/>
          <w:sz w:val="28"/>
          <w:szCs w:val="28"/>
        </w:rPr>
        <w:t>TIC</w:t>
      </w:r>
      <w:r w:rsidRPr="00CC3FFA">
        <w:rPr>
          <w:rFonts w:ascii="Gotham Bold" w:hAnsi="Gotham Bold"/>
          <w:bCs/>
          <w:color w:val="000000"/>
          <w:sz w:val="28"/>
          <w:szCs w:val="28"/>
        </w:rPr>
        <w:tab/>
        <w:t>Tecnologías de Información y Comunicación</w:t>
      </w:r>
    </w:p>
    <w:p w:rsidR="00E3174A" w:rsidRDefault="00E3174A" w:rsidP="00E3174A">
      <w:pPr>
        <w:ind w:left="1985" w:hanging="1985"/>
        <w:rPr>
          <w:rFonts w:ascii="Gotham Bold" w:hAnsi="Gotham Bold"/>
          <w:b/>
          <w:bCs/>
          <w:color w:val="000000"/>
          <w:sz w:val="32"/>
          <w:szCs w:val="32"/>
        </w:rPr>
      </w:pPr>
    </w:p>
    <w:p w:rsidR="00B106D3" w:rsidRDefault="00B106D3" w:rsidP="00E3174A">
      <w:pPr>
        <w:ind w:left="1985" w:hanging="1985"/>
        <w:rPr>
          <w:rFonts w:ascii="Gotham Bold" w:hAnsi="Gotham Bold"/>
          <w:b/>
          <w:bCs/>
          <w:color w:val="000000"/>
          <w:sz w:val="32"/>
          <w:szCs w:val="32"/>
        </w:rPr>
      </w:pPr>
      <w:r>
        <w:rPr>
          <w:rFonts w:ascii="Gotham Bold" w:hAnsi="Gotham Bold"/>
          <w:b/>
          <w:bCs/>
          <w:color w:val="000000"/>
          <w:sz w:val="32"/>
          <w:szCs w:val="32"/>
        </w:rPr>
        <w:br w:type="page"/>
      </w:r>
    </w:p>
    <w:p w:rsidR="00F04869" w:rsidRPr="009620B4" w:rsidRDefault="00A56D20" w:rsidP="003A3ABE">
      <w:pPr>
        <w:numPr>
          <w:ilvl w:val="0"/>
          <w:numId w:val="5"/>
        </w:numPr>
        <w:autoSpaceDE w:val="0"/>
        <w:autoSpaceDN w:val="0"/>
        <w:adjustRightInd w:val="0"/>
        <w:spacing w:after="0" w:line="240" w:lineRule="auto"/>
        <w:ind w:left="284"/>
        <w:rPr>
          <w:i/>
          <w:sz w:val="28"/>
          <w:szCs w:val="28"/>
        </w:rPr>
      </w:pPr>
      <w:r w:rsidRPr="009620B4">
        <w:rPr>
          <w:rFonts w:cs="Gotham Bold"/>
          <w:b/>
          <w:i/>
          <w:color w:val="000000"/>
          <w:sz w:val="28"/>
          <w:szCs w:val="28"/>
          <w:lang w:val="es-PE"/>
        </w:rPr>
        <w:t>Introducción y antecedentes</w:t>
      </w:r>
      <w:bookmarkEnd w:id="0"/>
      <w:bookmarkEnd w:id="1"/>
      <w:bookmarkEnd w:id="2"/>
      <w:bookmarkEnd w:id="3"/>
      <w:bookmarkEnd w:id="4"/>
      <w:bookmarkEnd w:id="5"/>
      <w:bookmarkEnd w:id="6"/>
      <w:bookmarkEnd w:id="7"/>
      <w:bookmarkEnd w:id="8"/>
    </w:p>
    <w:p w:rsidR="009620B4" w:rsidRPr="009620B4" w:rsidRDefault="009620B4" w:rsidP="009620B4">
      <w:pPr>
        <w:autoSpaceDE w:val="0"/>
        <w:autoSpaceDN w:val="0"/>
        <w:adjustRightInd w:val="0"/>
        <w:spacing w:after="0" w:line="240" w:lineRule="auto"/>
        <w:ind w:left="284"/>
        <w:rPr>
          <w:i/>
          <w:sz w:val="28"/>
          <w:szCs w:val="28"/>
        </w:rPr>
      </w:pPr>
    </w:p>
    <w:p w:rsidR="003E0C45" w:rsidRDefault="003E0C45" w:rsidP="003E0C45">
      <w:pPr>
        <w:pStyle w:val="Prrafodelista"/>
        <w:spacing w:line="240" w:lineRule="auto"/>
        <w:ind w:left="284"/>
        <w:jc w:val="both"/>
        <w:rPr>
          <w:rFonts w:cs="Arial"/>
          <w:shd w:val="clear" w:color="auto" w:fill="FFFFFF"/>
        </w:rPr>
      </w:pPr>
      <w:r w:rsidRPr="00617CDE">
        <w:rPr>
          <w:rFonts w:cs="Arial"/>
          <w:shd w:val="clear" w:color="auto" w:fill="FFFFFF"/>
        </w:rPr>
        <w:t xml:space="preserve">La Alianza para el </w:t>
      </w:r>
      <w:r>
        <w:rPr>
          <w:rFonts w:cs="Arial"/>
          <w:shd w:val="clear" w:color="auto" w:fill="FFFFFF"/>
        </w:rPr>
        <w:t>Gobierno Abierto (Open Government Partnership) es una iniciativa global que tiene como objetivo mejorar los niveles de transparencia mediante la apertura de datos que permita a la administración pública rendir cuentas y a la ciudadanía ejercer un adecuado control social y participar en el diseño e implementación de las políticas públicas, favoreciendo de esta manera espacios de colaboración entre las entidades públicas y la sociedad civil.</w:t>
      </w:r>
    </w:p>
    <w:p w:rsidR="009620B4" w:rsidRDefault="009620B4" w:rsidP="009620B4">
      <w:pPr>
        <w:pStyle w:val="Prrafodelista"/>
        <w:spacing w:line="240" w:lineRule="auto"/>
        <w:ind w:left="284"/>
        <w:jc w:val="both"/>
        <w:rPr>
          <w:rFonts w:cs="Arial"/>
          <w:shd w:val="clear" w:color="auto" w:fill="FFFFFF"/>
        </w:rPr>
      </w:pPr>
    </w:p>
    <w:p w:rsidR="003E0C45" w:rsidRDefault="003E0C45" w:rsidP="003E0C45">
      <w:pPr>
        <w:pStyle w:val="Prrafodelista"/>
        <w:spacing w:line="240" w:lineRule="auto"/>
        <w:ind w:left="284"/>
        <w:jc w:val="both"/>
        <w:rPr>
          <w:rFonts w:cs="Arial"/>
          <w:shd w:val="clear" w:color="auto" w:fill="FFFFFF"/>
        </w:rPr>
      </w:pPr>
      <w:r>
        <w:rPr>
          <w:rFonts w:cs="Arial"/>
          <w:shd w:val="clear" w:color="auto" w:fill="FFFFFF"/>
        </w:rPr>
        <w:t>El Perú se incorporó como miembro pleno de la Alianza para el Gobierno Abierto en abril de 2012</w:t>
      </w:r>
      <w:r w:rsidR="00EF6C8A">
        <w:rPr>
          <w:rFonts w:cs="Arial"/>
          <w:shd w:val="clear" w:color="auto" w:fill="FFFFFF"/>
        </w:rPr>
        <w:t xml:space="preserve">. </w:t>
      </w:r>
      <w:r>
        <w:rPr>
          <w:rFonts w:cs="Arial"/>
          <w:shd w:val="clear" w:color="auto" w:fill="FFFFFF"/>
        </w:rPr>
        <w:t xml:space="preserve">El 10 de abril de 2012 se aprobó el primer </w:t>
      </w:r>
      <w:r w:rsidR="003E084F">
        <w:rPr>
          <w:rFonts w:cs="Arial"/>
          <w:shd w:val="clear" w:color="auto" w:fill="FFFFFF"/>
        </w:rPr>
        <w:t>P</w:t>
      </w:r>
      <w:r>
        <w:rPr>
          <w:rFonts w:cs="Arial"/>
          <w:shd w:val="clear" w:color="auto" w:fill="FFFFFF"/>
        </w:rPr>
        <w:t xml:space="preserve">lan de </w:t>
      </w:r>
      <w:r w:rsidR="003E084F">
        <w:rPr>
          <w:rFonts w:cs="Arial"/>
          <w:shd w:val="clear" w:color="auto" w:fill="FFFFFF"/>
        </w:rPr>
        <w:t>A</w:t>
      </w:r>
      <w:r>
        <w:rPr>
          <w:rFonts w:cs="Arial"/>
          <w:shd w:val="clear" w:color="auto" w:fill="FFFFFF"/>
        </w:rPr>
        <w:t xml:space="preserve">cción 2012-2014 mediante Resolución Ministerial N° 085-2012-PCM, el cual fue elaborado de acuerdo con las exigencias de la Alianza, de manera participativa y favoreciendo la integración de los diversos sectores y representantes de la sociedad civil y de los gremios empresariales. </w:t>
      </w:r>
      <w:r w:rsidR="00EF6C8A">
        <w:rPr>
          <w:rFonts w:cs="Arial"/>
          <w:shd w:val="clear" w:color="auto" w:fill="FFFFFF"/>
        </w:rPr>
        <w:t xml:space="preserve">Dicho </w:t>
      </w:r>
      <w:r w:rsidR="00EF6C8A" w:rsidRPr="00EF6C8A">
        <w:rPr>
          <w:rFonts w:cs="Arial"/>
          <w:shd w:val="clear" w:color="auto" w:fill="FFFFFF"/>
        </w:rPr>
        <w:t xml:space="preserve">Plan de Acción </w:t>
      </w:r>
      <w:r w:rsidR="00EF6C8A">
        <w:rPr>
          <w:rFonts w:cs="Arial"/>
          <w:shd w:val="clear" w:color="auto" w:fill="FFFFFF"/>
        </w:rPr>
        <w:t xml:space="preserve">incluyó </w:t>
      </w:r>
      <w:r w:rsidR="00EF6C8A" w:rsidRPr="00EF6C8A">
        <w:rPr>
          <w:rFonts w:cs="Arial"/>
          <w:shd w:val="clear" w:color="auto" w:fill="FFFFFF"/>
        </w:rPr>
        <w:t>compromisos en materia de transparencia y acceso a la información pública, integridad pública, gobierno electrónico y promoción del desarrollo de nuevas tecnologías, participación</w:t>
      </w:r>
      <w:r w:rsidR="00EB3380">
        <w:rPr>
          <w:rFonts w:cs="Arial"/>
          <w:shd w:val="clear" w:color="auto" w:fill="FFFFFF"/>
        </w:rPr>
        <w:t xml:space="preserve"> y</w:t>
      </w:r>
      <w:r w:rsidR="00EF6C8A" w:rsidRPr="00EF6C8A">
        <w:rPr>
          <w:rFonts w:cs="Arial"/>
          <w:shd w:val="clear" w:color="auto" w:fill="FFFFFF"/>
        </w:rPr>
        <w:t xml:space="preserve"> rendición de cuentas.</w:t>
      </w:r>
    </w:p>
    <w:p w:rsidR="009620B4" w:rsidRDefault="009620B4" w:rsidP="009620B4">
      <w:pPr>
        <w:pStyle w:val="Prrafodelista"/>
        <w:spacing w:line="240" w:lineRule="auto"/>
        <w:ind w:left="284"/>
        <w:jc w:val="both"/>
        <w:rPr>
          <w:rFonts w:cs="Arial"/>
          <w:shd w:val="clear" w:color="auto" w:fill="FFFFFF"/>
        </w:rPr>
      </w:pPr>
    </w:p>
    <w:p w:rsidR="00617CDE" w:rsidRDefault="00A27E2C" w:rsidP="009620B4">
      <w:pPr>
        <w:pStyle w:val="Prrafodelista"/>
        <w:spacing w:line="240" w:lineRule="auto"/>
        <w:ind w:left="284"/>
        <w:jc w:val="both"/>
        <w:rPr>
          <w:rFonts w:cs="Arial"/>
          <w:shd w:val="clear" w:color="auto" w:fill="FFFFFF"/>
        </w:rPr>
      </w:pPr>
      <w:r>
        <w:rPr>
          <w:rFonts w:cs="Arial"/>
          <w:shd w:val="clear" w:color="auto" w:fill="FFFFFF"/>
        </w:rPr>
        <w:t>Así, c</w:t>
      </w:r>
      <w:r w:rsidR="00617CDE">
        <w:rPr>
          <w:rFonts w:cs="Arial"/>
          <w:shd w:val="clear" w:color="auto" w:fill="FFFFFF"/>
        </w:rPr>
        <w:t>oncebimos el Gobierno Abierto como aquel que entabla un constante diálogo con los ciudadanos</w:t>
      </w:r>
      <w:r w:rsidR="003E084F">
        <w:rPr>
          <w:rFonts w:cs="Arial"/>
          <w:shd w:val="clear" w:color="auto" w:fill="FFFFFF"/>
        </w:rPr>
        <w:t xml:space="preserve">, </w:t>
      </w:r>
      <w:r w:rsidR="00617CDE">
        <w:rPr>
          <w:rFonts w:cs="Arial"/>
          <w:shd w:val="clear" w:color="auto" w:fill="FFFFFF"/>
        </w:rPr>
        <w:t>con el fin de escucharlos y tomar decisiones basadas en sus necesidades, facilitando</w:t>
      </w:r>
      <w:r w:rsidR="003E084F">
        <w:rPr>
          <w:rFonts w:cs="Arial"/>
          <w:shd w:val="clear" w:color="auto" w:fill="FFFFFF"/>
        </w:rPr>
        <w:t>, además,</w:t>
      </w:r>
      <w:r w:rsidR="00617CDE">
        <w:rPr>
          <w:rFonts w:cs="Arial"/>
          <w:shd w:val="clear" w:color="auto" w:fill="FFFFFF"/>
        </w:rPr>
        <w:t xml:space="preserve"> la colaboración entre los funcionarios y los ciudadanos en el desarrollo de los servicios que presta el Estado y rindiendo cuentas de los acuerdos tomados y de los compromisos asumidos, con el propósito de fortalecer la institucionalidad y la g</w:t>
      </w:r>
      <w:r w:rsidR="0091291D">
        <w:rPr>
          <w:rFonts w:cs="Arial"/>
          <w:shd w:val="clear" w:color="auto" w:fill="FFFFFF"/>
        </w:rPr>
        <w:t xml:space="preserve">estión de los asuntos públicos para la mejora de la </w:t>
      </w:r>
      <w:r w:rsidR="00617CDE">
        <w:rPr>
          <w:rFonts w:cs="Arial"/>
          <w:shd w:val="clear" w:color="auto" w:fill="FFFFFF"/>
        </w:rPr>
        <w:t>calidad de vida de los ciudadanos.</w:t>
      </w:r>
    </w:p>
    <w:p w:rsidR="009620B4" w:rsidRDefault="009620B4" w:rsidP="009620B4">
      <w:pPr>
        <w:pStyle w:val="Prrafodelista"/>
        <w:spacing w:line="240" w:lineRule="auto"/>
        <w:ind w:left="284"/>
        <w:jc w:val="both"/>
        <w:rPr>
          <w:rFonts w:cs="Arial"/>
          <w:shd w:val="clear" w:color="auto" w:fill="FFFFFF"/>
        </w:rPr>
      </w:pPr>
    </w:p>
    <w:p w:rsidR="00617CDE" w:rsidRDefault="00617CDE" w:rsidP="009620B4">
      <w:pPr>
        <w:pStyle w:val="Prrafodelista"/>
        <w:spacing w:line="240" w:lineRule="auto"/>
        <w:ind w:left="284"/>
        <w:jc w:val="both"/>
        <w:rPr>
          <w:rFonts w:cs="Arial"/>
          <w:shd w:val="clear" w:color="auto" w:fill="FFFFFF"/>
        </w:rPr>
      </w:pPr>
      <w:r>
        <w:rPr>
          <w:rFonts w:cs="Arial"/>
          <w:shd w:val="clear" w:color="auto" w:fill="FFFFFF"/>
        </w:rPr>
        <w:t>El Gobierno Abierto constituye un eje de la Política Nacional de Modernización de la Gestión Pública</w:t>
      </w:r>
      <w:r w:rsidR="003068B4">
        <w:rPr>
          <w:rFonts w:cs="Arial"/>
          <w:shd w:val="clear" w:color="auto" w:fill="FFFFFF"/>
        </w:rPr>
        <w:t xml:space="preserve">, aprobada por Decreto Supremo N° 004-2013-PCM, </w:t>
      </w:r>
      <w:r w:rsidR="0091291D">
        <w:rPr>
          <w:rFonts w:cs="Arial"/>
          <w:shd w:val="clear" w:color="auto" w:fill="FFFFFF"/>
        </w:rPr>
        <w:t>la cual</w:t>
      </w:r>
      <w:r w:rsidR="003068B4">
        <w:rPr>
          <w:rFonts w:cs="Arial"/>
          <w:shd w:val="clear" w:color="auto" w:fill="FFFFFF"/>
        </w:rPr>
        <w:t xml:space="preserve"> debe ser implementada por todas las entidades del Estado.</w:t>
      </w:r>
    </w:p>
    <w:p w:rsidR="009620B4" w:rsidRDefault="009620B4" w:rsidP="009620B4">
      <w:pPr>
        <w:pStyle w:val="Prrafodelista"/>
        <w:spacing w:line="240" w:lineRule="auto"/>
        <w:ind w:left="284"/>
        <w:jc w:val="both"/>
        <w:rPr>
          <w:rFonts w:cs="Arial"/>
          <w:shd w:val="clear" w:color="auto" w:fill="FFFFFF"/>
        </w:rPr>
      </w:pPr>
    </w:p>
    <w:p w:rsidR="00D5461F" w:rsidRDefault="002536E7" w:rsidP="009620B4">
      <w:pPr>
        <w:pStyle w:val="Prrafodelista"/>
        <w:spacing w:line="240" w:lineRule="auto"/>
        <w:ind w:left="284"/>
        <w:jc w:val="both"/>
        <w:rPr>
          <w:rFonts w:cs="Arial"/>
          <w:shd w:val="clear" w:color="auto" w:fill="FFFFFF"/>
        </w:rPr>
      </w:pPr>
      <w:r>
        <w:rPr>
          <w:rFonts w:cs="Arial"/>
          <w:shd w:val="clear" w:color="auto" w:fill="FFFFFF"/>
        </w:rPr>
        <w:t>Para garantizar un efectivo cumplimiento de los compromisos del Plan de Acción</w:t>
      </w:r>
      <w:r w:rsidR="0091291D">
        <w:rPr>
          <w:rFonts w:cs="Arial"/>
          <w:shd w:val="clear" w:color="auto" w:fill="FFFFFF"/>
        </w:rPr>
        <w:t>,</w:t>
      </w:r>
      <w:r>
        <w:rPr>
          <w:rFonts w:cs="Arial"/>
          <w:shd w:val="clear" w:color="auto" w:fill="FFFFFF"/>
        </w:rPr>
        <w:t xml:space="preserve"> se conform</w:t>
      </w:r>
      <w:r w:rsidR="00EB3380">
        <w:rPr>
          <w:rFonts w:cs="Arial"/>
          <w:shd w:val="clear" w:color="auto" w:fill="FFFFFF"/>
        </w:rPr>
        <w:t>ó</w:t>
      </w:r>
      <w:r>
        <w:rPr>
          <w:rFonts w:cs="Arial"/>
          <w:shd w:val="clear" w:color="auto" w:fill="FFFFFF"/>
        </w:rPr>
        <w:t xml:space="preserve"> la Comisión Multisectorial para el seguimiento de la implementación </w:t>
      </w:r>
      <w:r w:rsidR="006A3912">
        <w:rPr>
          <w:rFonts w:cs="Arial"/>
          <w:shd w:val="clear" w:color="auto" w:fill="FFFFFF"/>
        </w:rPr>
        <w:t xml:space="preserve">del primer </w:t>
      </w:r>
      <w:r>
        <w:rPr>
          <w:rFonts w:cs="Arial"/>
          <w:shd w:val="clear" w:color="auto" w:fill="FFFFFF"/>
        </w:rPr>
        <w:t>Plan de Acción de Gobierno Abierto, mediante Decreto Supremo N° 003-2013-PCM, adscrita a la Presidencia del Consejo de Ministros, integrada por:</w:t>
      </w:r>
    </w:p>
    <w:p w:rsidR="002536E7" w:rsidRDefault="002536E7" w:rsidP="009620B4">
      <w:pPr>
        <w:pStyle w:val="Prrafodelista"/>
        <w:spacing w:line="240" w:lineRule="auto"/>
        <w:ind w:left="284"/>
        <w:jc w:val="both"/>
        <w:rPr>
          <w:rFonts w:cs="Arial"/>
          <w:shd w:val="clear" w:color="auto" w:fill="FFFFFF"/>
        </w:rPr>
      </w:pPr>
      <w:r>
        <w:rPr>
          <w:noProof/>
          <w:lang w:val="es-PE" w:eastAsia="es-PE"/>
        </w:rPr>
        <w:drawing>
          <wp:inline distT="0" distB="0" distL="0" distR="0" wp14:anchorId="39D202E3" wp14:editId="48C594DB">
            <wp:extent cx="5397984" cy="23628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369" t="30305" r="7882" b="16794"/>
                    <a:stretch/>
                  </pic:blipFill>
                  <pic:spPr bwMode="auto">
                    <a:xfrm>
                      <a:off x="0" y="0"/>
                      <a:ext cx="5440371" cy="2381364"/>
                    </a:xfrm>
                    <a:prstGeom prst="rect">
                      <a:avLst/>
                    </a:prstGeom>
                    <a:ln>
                      <a:noFill/>
                    </a:ln>
                    <a:extLst>
                      <a:ext uri="{53640926-AAD7-44D8-BBD7-CCE9431645EC}">
                        <a14:shadowObscured xmlns:a14="http://schemas.microsoft.com/office/drawing/2010/main"/>
                      </a:ext>
                    </a:extLst>
                  </pic:spPr>
                </pic:pic>
              </a:graphicData>
            </a:graphic>
          </wp:inline>
        </w:drawing>
      </w:r>
    </w:p>
    <w:p w:rsidR="00D5461F" w:rsidRDefault="00A27E2C" w:rsidP="009620B4">
      <w:pPr>
        <w:pStyle w:val="Prrafodelista"/>
        <w:spacing w:line="240" w:lineRule="auto"/>
        <w:ind w:left="284"/>
        <w:jc w:val="both"/>
        <w:rPr>
          <w:rFonts w:cs="Arial"/>
          <w:shd w:val="clear" w:color="auto" w:fill="FFFFFF"/>
        </w:rPr>
      </w:pPr>
      <w:r w:rsidRPr="00D115B9">
        <w:rPr>
          <w:rFonts w:cs="Arial"/>
          <w:shd w:val="clear" w:color="auto" w:fill="FFFFFF"/>
        </w:rPr>
        <w:t xml:space="preserve">Recogiendo la experiencia de la formulación e implementación del primer plan de acción, se </w:t>
      </w:r>
      <w:r w:rsidR="00597937">
        <w:rPr>
          <w:rFonts w:cs="Arial"/>
          <w:shd w:val="clear" w:color="auto" w:fill="FFFFFF"/>
        </w:rPr>
        <w:t xml:space="preserve">formuló y </w:t>
      </w:r>
      <w:r w:rsidRPr="00D115B9">
        <w:rPr>
          <w:rFonts w:cs="Arial"/>
          <w:shd w:val="clear" w:color="auto" w:fill="FFFFFF"/>
        </w:rPr>
        <w:t>aprobó el segundo plan de acción 2015-2016, mediante Resolución Ministerial N° 176-201</w:t>
      </w:r>
      <w:r w:rsidR="0091291D">
        <w:rPr>
          <w:rFonts w:cs="Arial"/>
          <w:shd w:val="clear" w:color="auto" w:fill="FFFFFF"/>
        </w:rPr>
        <w:t>5</w:t>
      </w:r>
      <w:r w:rsidRPr="00D115B9">
        <w:rPr>
          <w:rFonts w:cs="Arial"/>
          <w:shd w:val="clear" w:color="auto" w:fill="FFFFFF"/>
        </w:rPr>
        <w:t>-PCM, publicada el 17 de julio 2015.</w:t>
      </w:r>
      <w:r>
        <w:rPr>
          <w:rFonts w:cs="Arial"/>
          <w:shd w:val="clear" w:color="auto" w:fill="FFFFFF"/>
        </w:rPr>
        <w:t xml:space="preserve"> </w:t>
      </w:r>
    </w:p>
    <w:p w:rsidR="00B26F9C" w:rsidRPr="009620B4" w:rsidRDefault="00FB3441" w:rsidP="003A3ABE">
      <w:pPr>
        <w:numPr>
          <w:ilvl w:val="0"/>
          <w:numId w:val="5"/>
        </w:numPr>
        <w:autoSpaceDE w:val="0"/>
        <w:autoSpaceDN w:val="0"/>
        <w:adjustRightInd w:val="0"/>
        <w:spacing w:after="0" w:line="240" w:lineRule="auto"/>
        <w:ind w:left="284"/>
        <w:rPr>
          <w:b/>
          <w:i/>
          <w:sz w:val="28"/>
          <w:szCs w:val="28"/>
          <w:u w:val="single"/>
        </w:rPr>
      </w:pPr>
      <w:bookmarkStart w:id="9" w:name="_Toc428787070"/>
      <w:bookmarkStart w:id="10" w:name="_Toc428794290"/>
      <w:bookmarkStart w:id="11" w:name="_Toc428796077"/>
      <w:bookmarkStart w:id="12" w:name="_Toc428800184"/>
      <w:bookmarkStart w:id="13" w:name="_Toc428800413"/>
      <w:bookmarkStart w:id="14" w:name="_Toc428803015"/>
      <w:bookmarkStart w:id="15" w:name="_Toc431283341"/>
      <w:bookmarkStart w:id="16" w:name="_Toc431286912"/>
      <w:bookmarkStart w:id="17" w:name="_Toc431288969"/>
      <w:r>
        <w:rPr>
          <w:b/>
          <w:i/>
          <w:sz w:val="28"/>
          <w:szCs w:val="28"/>
        </w:rPr>
        <w:t>P</w:t>
      </w:r>
      <w:r w:rsidR="00A56D20" w:rsidRPr="009620B4">
        <w:rPr>
          <w:b/>
          <w:i/>
          <w:sz w:val="28"/>
          <w:szCs w:val="28"/>
        </w:rPr>
        <w:t>roceso de</w:t>
      </w:r>
      <w:r w:rsidR="00FB45DB">
        <w:rPr>
          <w:b/>
          <w:i/>
          <w:sz w:val="28"/>
          <w:szCs w:val="28"/>
        </w:rPr>
        <w:t xml:space="preserve"> elaboración del</w:t>
      </w:r>
      <w:r w:rsidR="00A56D20" w:rsidRPr="009620B4">
        <w:rPr>
          <w:b/>
          <w:i/>
          <w:sz w:val="28"/>
          <w:szCs w:val="28"/>
        </w:rPr>
        <w:t xml:space="preserve"> </w:t>
      </w:r>
      <w:r w:rsidR="009620B4" w:rsidRPr="009620B4">
        <w:rPr>
          <w:b/>
          <w:i/>
          <w:sz w:val="28"/>
          <w:szCs w:val="28"/>
        </w:rPr>
        <w:t>P</w:t>
      </w:r>
      <w:r w:rsidR="00A56D20" w:rsidRPr="009620B4">
        <w:rPr>
          <w:b/>
          <w:i/>
          <w:sz w:val="28"/>
          <w:szCs w:val="28"/>
        </w:rPr>
        <w:t xml:space="preserve">lan de </w:t>
      </w:r>
      <w:r w:rsidR="009620B4" w:rsidRPr="009620B4">
        <w:rPr>
          <w:b/>
          <w:i/>
          <w:sz w:val="28"/>
          <w:szCs w:val="28"/>
        </w:rPr>
        <w:t>A</w:t>
      </w:r>
      <w:r w:rsidR="00A56D20" w:rsidRPr="009620B4">
        <w:rPr>
          <w:b/>
          <w:i/>
          <w:sz w:val="28"/>
          <w:szCs w:val="28"/>
        </w:rPr>
        <w:t>cción</w:t>
      </w:r>
      <w:bookmarkEnd w:id="9"/>
      <w:bookmarkEnd w:id="10"/>
      <w:bookmarkEnd w:id="11"/>
      <w:bookmarkEnd w:id="12"/>
      <w:bookmarkEnd w:id="13"/>
      <w:bookmarkEnd w:id="14"/>
      <w:bookmarkEnd w:id="15"/>
      <w:bookmarkEnd w:id="16"/>
      <w:bookmarkEnd w:id="17"/>
      <w:r w:rsidR="008D79F2" w:rsidRPr="009620B4">
        <w:rPr>
          <w:b/>
          <w:i/>
          <w:sz w:val="28"/>
          <w:szCs w:val="28"/>
        </w:rPr>
        <w:t xml:space="preserve"> </w:t>
      </w:r>
      <w:r w:rsidR="009620B4" w:rsidRPr="009620B4">
        <w:rPr>
          <w:b/>
          <w:i/>
          <w:sz w:val="28"/>
          <w:szCs w:val="28"/>
        </w:rPr>
        <w:t>N</w:t>
      </w:r>
      <w:r w:rsidR="00A56D20" w:rsidRPr="009620B4">
        <w:rPr>
          <w:b/>
          <w:i/>
          <w:sz w:val="28"/>
          <w:szCs w:val="28"/>
        </w:rPr>
        <w:t>acional</w:t>
      </w:r>
      <w:r w:rsidR="000F6BE9">
        <w:rPr>
          <w:b/>
          <w:i/>
          <w:sz w:val="28"/>
          <w:szCs w:val="28"/>
        </w:rPr>
        <w:t xml:space="preserve"> </w:t>
      </w:r>
      <w:r w:rsidR="00670343">
        <w:rPr>
          <w:b/>
          <w:i/>
          <w:sz w:val="28"/>
          <w:szCs w:val="28"/>
        </w:rPr>
        <w:t xml:space="preserve">de Gobierno Abierto </w:t>
      </w:r>
      <w:r w:rsidR="000F6BE9">
        <w:rPr>
          <w:b/>
          <w:i/>
          <w:sz w:val="28"/>
          <w:szCs w:val="28"/>
        </w:rPr>
        <w:t>2015-2016</w:t>
      </w:r>
    </w:p>
    <w:p w:rsidR="002536E7" w:rsidRDefault="002536E7" w:rsidP="002536E7">
      <w:pPr>
        <w:pStyle w:val="Textoindependiente2"/>
        <w:spacing w:after="0" w:afterAutospacing="0"/>
        <w:rPr>
          <w:color w:val="auto"/>
          <w:u w:val="single"/>
        </w:rPr>
      </w:pPr>
    </w:p>
    <w:p w:rsidR="002536E7" w:rsidRDefault="002536E7" w:rsidP="002536E7">
      <w:pPr>
        <w:pStyle w:val="Textoindependiente2"/>
        <w:spacing w:after="0" w:afterAutospacing="0"/>
        <w:rPr>
          <w:color w:val="auto"/>
        </w:rPr>
      </w:pPr>
      <w:r w:rsidRPr="002536E7">
        <w:rPr>
          <w:color w:val="auto"/>
        </w:rPr>
        <w:t>El proceso d</w:t>
      </w:r>
      <w:r>
        <w:rPr>
          <w:color w:val="auto"/>
        </w:rPr>
        <w:t>e elaboración del Plan de Acción Nacional del Perú consideró los lineami</w:t>
      </w:r>
      <w:r w:rsidR="00E521FA">
        <w:rPr>
          <w:color w:val="auto"/>
        </w:rPr>
        <w:t xml:space="preserve">entos brindados por la Alianza. </w:t>
      </w:r>
      <w:r w:rsidR="00FB3441">
        <w:rPr>
          <w:color w:val="auto"/>
        </w:rPr>
        <w:t xml:space="preserve">El </w:t>
      </w:r>
      <w:r>
        <w:rPr>
          <w:color w:val="auto"/>
        </w:rPr>
        <w:t xml:space="preserve">17 de diciembre del 2013 se presentó oficialmente el </w:t>
      </w:r>
      <w:r w:rsidR="00FA6BB3">
        <w:rPr>
          <w:color w:val="auto"/>
        </w:rPr>
        <w:t xml:space="preserve">Plan y </w:t>
      </w:r>
      <w:r>
        <w:rPr>
          <w:color w:val="auto"/>
        </w:rPr>
        <w:t>cronograma de trabajo ante la Comisión Multisectorial para el seguimiento de la implementación del plan de acción de Gobierno Abierto</w:t>
      </w:r>
      <w:r w:rsidR="003F6EFB">
        <w:rPr>
          <w:color w:val="auto"/>
        </w:rPr>
        <w:t xml:space="preserve"> para su validación y dar inicio a la ejecución de las actividades programadas.</w:t>
      </w:r>
    </w:p>
    <w:p w:rsidR="006857C8" w:rsidRDefault="006857C8" w:rsidP="002536E7">
      <w:pPr>
        <w:pStyle w:val="Textoindependiente2"/>
        <w:spacing w:after="0" w:afterAutospacing="0"/>
        <w:rPr>
          <w:color w:val="auto"/>
        </w:rPr>
      </w:pPr>
    </w:p>
    <w:p w:rsidR="003F6EFB" w:rsidRDefault="003F6EFB" w:rsidP="002536E7">
      <w:pPr>
        <w:pStyle w:val="Textoindependiente2"/>
        <w:spacing w:after="0" w:afterAutospacing="0"/>
        <w:rPr>
          <w:color w:val="auto"/>
        </w:rPr>
      </w:pPr>
      <w:r>
        <w:rPr>
          <w:color w:val="auto"/>
        </w:rPr>
        <w:t>Se propuso una metodología participativa</w:t>
      </w:r>
      <w:r w:rsidR="00A353C5">
        <w:rPr>
          <w:color w:val="auto"/>
        </w:rPr>
        <w:t>,</w:t>
      </w:r>
      <w:r>
        <w:rPr>
          <w:color w:val="auto"/>
        </w:rPr>
        <w:t xml:space="preserve"> a través de talleres y reuniones para recoger los aportes y propuestas de las entidades públicas, organizaciones de la sociedad civil y gremios empresariales, respecto a los compromisos que se deberían incluir en el citado Plan.</w:t>
      </w:r>
    </w:p>
    <w:p w:rsidR="009973E7" w:rsidRDefault="009973E7" w:rsidP="002536E7">
      <w:pPr>
        <w:pStyle w:val="Textoindependiente2"/>
        <w:spacing w:after="0" w:afterAutospacing="0"/>
        <w:rPr>
          <w:color w:val="auto"/>
        </w:rPr>
      </w:pPr>
    </w:p>
    <w:p w:rsidR="009973E7" w:rsidRPr="009973E7" w:rsidRDefault="009973E7" w:rsidP="002536E7">
      <w:pPr>
        <w:pStyle w:val="Textoindependiente2"/>
        <w:spacing w:after="0" w:afterAutospacing="0"/>
        <w:rPr>
          <w:b/>
          <w:i/>
          <w:color w:val="auto"/>
        </w:rPr>
      </w:pPr>
      <w:r w:rsidRPr="009973E7">
        <w:rPr>
          <w:b/>
          <w:i/>
          <w:color w:val="auto"/>
        </w:rPr>
        <w:t xml:space="preserve">Difusión del Proceso de elaboración </w:t>
      </w:r>
    </w:p>
    <w:p w:rsidR="003F6EFB" w:rsidRDefault="003F6EFB" w:rsidP="002536E7">
      <w:pPr>
        <w:pStyle w:val="Textoindependiente2"/>
        <w:spacing w:after="0" w:afterAutospacing="0"/>
        <w:rPr>
          <w:color w:val="auto"/>
        </w:rPr>
      </w:pPr>
      <w:r>
        <w:rPr>
          <w:color w:val="auto"/>
        </w:rPr>
        <w:t xml:space="preserve">Para la difusión del proceso de </w:t>
      </w:r>
      <w:r w:rsidR="006857C8">
        <w:rPr>
          <w:color w:val="auto"/>
        </w:rPr>
        <w:t>consulta</w:t>
      </w:r>
      <w:r w:rsidR="00A353C5">
        <w:rPr>
          <w:color w:val="auto"/>
        </w:rPr>
        <w:t>,</w:t>
      </w:r>
      <w:r w:rsidR="006857C8">
        <w:rPr>
          <w:rStyle w:val="Refdenotaalpie"/>
          <w:color w:val="auto"/>
        </w:rPr>
        <w:footnoteReference w:id="1"/>
      </w:r>
      <w:r w:rsidR="006857C8">
        <w:rPr>
          <w:color w:val="auto"/>
        </w:rPr>
        <w:t xml:space="preserve"> se</w:t>
      </w:r>
      <w:r>
        <w:rPr>
          <w:color w:val="auto"/>
        </w:rPr>
        <w:t xml:space="preserve"> </w:t>
      </w:r>
      <w:r w:rsidR="003E0C45">
        <w:rPr>
          <w:color w:val="auto"/>
        </w:rPr>
        <w:t>utilizaron</w:t>
      </w:r>
      <w:r>
        <w:rPr>
          <w:color w:val="auto"/>
        </w:rPr>
        <w:t xml:space="preserve"> las tecnologías de la información y comunicación-TIC</w:t>
      </w:r>
      <w:r w:rsidR="00A353C5">
        <w:rPr>
          <w:color w:val="auto"/>
        </w:rPr>
        <w:t>,</w:t>
      </w:r>
      <w:r>
        <w:rPr>
          <w:color w:val="auto"/>
        </w:rPr>
        <w:t xml:space="preserve"> a través de páginas web, redes sociales</w:t>
      </w:r>
      <w:r w:rsidR="00A353C5">
        <w:rPr>
          <w:color w:val="auto"/>
        </w:rPr>
        <w:t>, como el Facebook, T</w:t>
      </w:r>
      <w:r>
        <w:rPr>
          <w:color w:val="auto"/>
        </w:rPr>
        <w:t>witter</w:t>
      </w:r>
      <w:r w:rsidR="003E0C45">
        <w:rPr>
          <w:color w:val="auto"/>
        </w:rPr>
        <w:t xml:space="preserve"> y otros </w:t>
      </w:r>
      <w:r>
        <w:rPr>
          <w:color w:val="auto"/>
        </w:rPr>
        <w:t xml:space="preserve">canales </w:t>
      </w:r>
      <w:r w:rsidR="003E0C45">
        <w:rPr>
          <w:color w:val="auto"/>
        </w:rPr>
        <w:t xml:space="preserve">para facilitar </w:t>
      </w:r>
      <w:r>
        <w:rPr>
          <w:color w:val="auto"/>
        </w:rPr>
        <w:t xml:space="preserve">el recojo de los aportes y propuestas de las </w:t>
      </w:r>
      <w:r w:rsidR="006857C8">
        <w:rPr>
          <w:color w:val="auto"/>
        </w:rPr>
        <w:t>instituciones y</w:t>
      </w:r>
      <w:r>
        <w:rPr>
          <w:color w:val="auto"/>
        </w:rPr>
        <w:t xml:space="preserve"> ciuda</w:t>
      </w:r>
      <w:r w:rsidR="006857C8">
        <w:rPr>
          <w:color w:val="auto"/>
        </w:rPr>
        <w:t>d</w:t>
      </w:r>
      <w:r>
        <w:rPr>
          <w:color w:val="auto"/>
        </w:rPr>
        <w:t xml:space="preserve">anía en general que no pudieran </w:t>
      </w:r>
      <w:r w:rsidR="006857C8">
        <w:rPr>
          <w:color w:val="auto"/>
        </w:rPr>
        <w:t xml:space="preserve">participar de los talleres.  A </w:t>
      </w:r>
      <w:r w:rsidR="00A353C5">
        <w:rPr>
          <w:color w:val="auto"/>
        </w:rPr>
        <w:t>partir</w:t>
      </w:r>
      <w:r w:rsidR="006857C8">
        <w:rPr>
          <w:color w:val="auto"/>
        </w:rPr>
        <w:t xml:space="preserve"> de estos espacios y mecanismos</w:t>
      </w:r>
      <w:r w:rsidR="00A353C5">
        <w:rPr>
          <w:color w:val="auto"/>
        </w:rPr>
        <w:t>,</w:t>
      </w:r>
      <w:r w:rsidR="006857C8">
        <w:rPr>
          <w:color w:val="auto"/>
        </w:rPr>
        <w:t xml:space="preserve"> se buscó generar un encuentro entre los actores </w:t>
      </w:r>
      <w:r w:rsidR="004F01B9">
        <w:rPr>
          <w:color w:val="auto"/>
        </w:rPr>
        <w:t xml:space="preserve">para </w:t>
      </w:r>
      <w:r w:rsidR="006857C8">
        <w:rPr>
          <w:color w:val="auto"/>
        </w:rPr>
        <w:t>deliberar sobre los diferentes compromisos a incluirse en el segundo plan.</w:t>
      </w:r>
    </w:p>
    <w:p w:rsidR="006857C8" w:rsidRDefault="006857C8" w:rsidP="002536E7">
      <w:pPr>
        <w:pStyle w:val="Textoindependiente2"/>
        <w:spacing w:after="0" w:afterAutospacing="0"/>
        <w:rPr>
          <w:color w:val="auto"/>
        </w:rPr>
      </w:pPr>
    </w:p>
    <w:p w:rsidR="009973E7" w:rsidRPr="009973E7" w:rsidRDefault="009973E7" w:rsidP="002536E7">
      <w:pPr>
        <w:pStyle w:val="Textoindependiente2"/>
        <w:spacing w:after="0" w:afterAutospacing="0"/>
        <w:rPr>
          <w:b/>
          <w:i/>
          <w:color w:val="auto"/>
        </w:rPr>
      </w:pPr>
      <w:r w:rsidRPr="009973E7">
        <w:rPr>
          <w:b/>
          <w:i/>
          <w:color w:val="auto"/>
        </w:rPr>
        <w:t>Elaboración del Plan</w:t>
      </w:r>
    </w:p>
    <w:p w:rsidR="004B5C6B" w:rsidRDefault="00FA6BB3" w:rsidP="002536E7">
      <w:pPr>
        <w:pStyle w:val="Textoindependiente2"/>
        <w:spacing w:after="0" w:afterAutospacing="0"/>
        <w:rPr>
          <w:color w:val="auto"/>
        </w:rPr>
      </w:pPr>
      <w:r>
        <w:rPr>
          <w:color w:val="auto"/>
        </w:rPr>
        <w:t>S</w:t>
      </w:r>
      <w:r w:rsidR="006857C8">
        <w:rPr>
          <w:color w:val="auto"/>
        </w:rPr>
        <w:t>e desarrollaron talleres de trabajo descentralizado en las Regiones de Ayacucho, Piura y San Martín y dos talleres en la ciudad de Lima</w:t>
      </w:r>
      <w:r w:rsidR="004B5C6B">
        <w:rPr>
          <w:color w:val="auto"/>
        </w:rPr>
        <w:t>.  Se sostuvieron</w:t>
      </w:r>
      <w:r w:rsidR="00A353C5">
        <w:rPr>
          <w:color w:val="auto"/>
        </w:rPr>
        <w:t>, además,</w:t>
      </w:r>
      <w:r w:rsidR="004B5C6B">
        <w:rPr>
          <w:color w:val="auto"/>
        </w:rPr>
        <w:t xml:space="preserve"> reuniones con representantes del Congreso de la República, a fin de informar sobre las actividades que se venían realizando para la elaboración del Plan.</w:t>
      </w:r>
      <w:r w:rsidR="00FB45DB">
        <w:rPr>
          <w:color w:val="auto"/>
        </w:rPr>
        <w:t xml:space="preserve">  </w:t>
      </w:r>
    </w:p>
    <w:p w:rsidR="00FA6BB3" w:rsidRDefault="00FA6BB3" w:rsidP="002536E7">
      <w:pPr>
        <w:pStyle w:val="Textoindependiente2"/>
        <w:spacing w:after="0" w:afterAutospacing="0"/>
        <w:rPr>
          <w:color w:val="auto"/>
        </w:rPr>
      </w:pPr>
    </w:p>
    <w:p w:rsidR="004F01B9" w:rsidRDefault="004F01B9" w:rsidP="004F01B9">
      <w:pPr>
        <w:pStyle w:val="Textoindependiente2"/>
        <w:spacing w:after="0" w:afterAutospacing="0"/>
        <w:rPr>
          <w:color w:val="auto"/>
        </w:rPr>
      </w:pPr>
      <w:r>
        <w:rPr>
          <w:color w:val="auto"/>
        </w:rPr>
        <w:t xml:space="preserve">Se </w:t>
      </w:r>
      <w:r w:rsidR="00B9283F">
        <w:rPr>
          <w:color w:val="auto"/>
        </w:rPr>
        <w:t xml:space="preserve">recabaron </w:t>
      </w:r>
      <w:r>
        <w:rPr>
          <w:color w:val="auto"/>
        </w:rPr>
        <w:t>49 compromisos como resultado de los talleres y las propuestas remitidas por escrito por los diferentes sectores del Poder Ejecutivo (170 propuestas), que fueron agrupad</w:t>
      </w:r>
      <w:r w:rsidR="00FB3441">
        <w:rPr>
          <w:color w:val="auto"/>
        </w:rPr>
        <w:t>o</w:t>
      </w:r>
      <w:r>
        <w:rPr>
          <w:color w:val="auto"/>
        </w:rPr>
        <w:t>s de acuerdo con su contenido y alinead</w:t>
      </w:r>
      <w:r w:rsidR="00FB3441">
        <w:rPr>
          <w:color w:val="auto"/>
        </w:rPr>
        <w:t>o</w:t>
      </w:r>
      <w:r>
        <w:rPr>
          <w:color w:val="auto"/>
        </w:rPr>
        <w:t>s a los compromisos no cumplidos del primer plan.</w:t>
      </w:r>
      <w:r w:rsidR="00FA6BB3">
        <w:rPr>
          <w:color w:val="auto"/>
        </w:rPr>
        <w:t xml:space="preserve"> </w:t>
      </w:r>
      <w:r w:rsidR="00FA6BB3" w:rsidRPr="00FA6BB3">
        <w:rPr>
          <w:color w:val="auto"/>
        </w:rPr>
        <w:t>El resultado final presentó 18 compromisos priorizados</w:t>
      </w:r>
      <w:r w:rsidR="00FA6BB3">
        <w:rPr>
          <w:color w:val="auto"/>
        </w:rPr>
        <w:t xml:space="preserve"> en base a la metodología SMART</w:t>
      </w:r>
      <w:r w:rsidR="00123210">
        <w:rPr>
          <w:color w:val="auto"/>
        </w:rPr>
        <w:t xml:space="preserve"> </w:t>
      </w:r>
      <w:r w:rsidR="00123210" w:rsidRPr="00123210">
        <w:rPr>
          <w:color w:val="auto"/>
        </w:rPr>
        <w:t>(por sus siglas en inglés: específicos, medibles, alcanzables, relevantes y con plazos definidos)</w:t>
      </w:r>
      <w:r w:rsidR="00FA6BB3" w:rsidRPr="00FA6BB3">
        <w:rPr>
          <w:color w:val="auto"/>
        </w:rPr>
        <w:t>.</w:t>
      </w:r>
    </w:p>
    <w:p w:rsidR="00CE27FC" w:rsidRDefault="00CE27FC" w:rsidP="002536E7">
      <w:pPr>
        <w:pStyle w:val="Textoindependiente2"/>
        <w:spacing w:after="0" w:afterAutospacing="0"/>
        <w:rPr>
          <w:color w:val="auto"/>
        </w:rPr>
      </w:pPr>
    </w:p>
    <w:p w:rsidR="006857C8" w:rsidRDefault="00B64C0E" w:rsidP="002536E7">
      <w:pPr>
        <w:pStyle w:val="Textoindependiente2"/>
        <w:spacing w:after="0" w:afterAutospacing="0"/>
        <w:rPr>
          <w:color w:val="auto"/>
        </w:rPr>
      </w:pPr>
      <w:r>
        <w:rPr>
          <w:color w:val="auto"/>
        </w:rPr>
        <w:t>Sobre el trabajo desarrollado</w:t>
      </w:r>
      <w:r w:rsidR="00226F50">
        <w:rPr>
          <w:color w:val="auto"/>
        </w:rPr>
        <w:t>,</w:t>
      </w:r>
      <w:r>
        <w:rPr>
          <w:color w:val="auto"/>
        </w:rPr>
        <w:t xml:space="preserve"> se establecieron los componentes en </w:t>
      </w:r>
      <w:r w:rsidR="00226F50">
        <w:rPr>
          <w:color w:val="auto"/>
        </w:rPr>
        <w:t>los que</w:t>
      </w:r>
      <w:r>
        <w:rPr>
          <w:color w:val="auto"/>
        </w:rPr>
        <w:t xml:space="preserve"> se agruparon los compromisos priorizados siendo: 1) </w:t>
      </w:r>
      <w:r w:rsidRPr="00B64C0E">
        <w:rPr>
          <w:b/>
          <w:i/>
          <w:color w:val="auto"/>
        </w:rPr>
        <w:t>Transparencia y Acceso a la información pública</w:t>
      </w:r>
      <w:r>
        <w:rPr>
          <w:color w:val="auto"/>
        </w:rPr>
        <w:t xml:space="preserve">, 2) </w:t>
      </w:r>
      <w:r w:rsidRPr="00B64C0E">
        <w:rPr>
          <w:b/>
          <w:i/>
          <w:color w:val="auto"/>
        </w:rPr>
        <w:t>rendición de cuentas</w:t>
      </w:r>
      <w:r>
        <w:rPr>
          <w:color w:val="auto"/>
        </w:rPr>
        <w:t xml:space="preserve">, 3) </w:t>
      </w:r>
      <w:r w:rsidRPr="00B64C0E">
        <w:rPr>
          <w:b/>
          <w:i/>
          <w:color w:val="auto"/>
        </w:rPr>
        <w:t>mejora de los servicios públicos</w:t>
      </w:r>
      <w:r>
        <w:rPr>
          <w:color w:val="auto"/>
        </w:rPr>
        <w:t xml:space="preserve"> y 4) </w:t>
      </w:r>
      <w:r w:rsidRPr="00B64C0E">
        <w:rPr>
          <w:b/>
          <w:i/>
          <w:color w:val="auto"/>
        </w:rPr>
        <w:t>participación ciudadana</w:t>
      </w:r>
      <w:r>
        <w:rPr>
          <w:b/>
          <w:i/>
          <w:color w:val="auto"/>
        </w:rPr>
        <w:t>.</w:t>
      </w:r>
      <w:r w:rsidR="004B5C6B">
        <w:rPr>
          <w:color w:val="auto"/>
        </w:rPr>
        <w:t xml:space="preserve">  </w:t>
      </w:r>
      <w:r w:rsidR="00CE27FC">
        <w:rPr>
          <w:color w:val="auto"/>
        </w:rPr>
        <w:t xml:space="preserve">Se </w:t>
      </w:r>
      <w:r w:rsidR="00B9283F">
        <w:rPr>
          <w:color w:val="auto"/>
        </w:rPr>
        <w:t xml:space="preserve">acordaron </w:t>
      </w:r>
      <w:r w:rsidR="00CE27FC">
        <w:rPr>
          <w:color w:val="auto"/>
        </w:rPr>
        <w:t>las siguientes acciones para su aprobación</w:t>
      </w:r>
      <w:r w:rsidR="00226F50">
        <w:rPr>
          <w:color w:val="auto"/>
        </w:rPr>
        <w:t>,</w:t>
      </w:r>
      <w:r w:rsidR="00CE27FC">
        <w:rPr>
          <w:color w:val="auto"/>
        </w:rPr>
        <w:t xml:space="preserve"> contemplando la conformación del grupo de redacción, sistematización de fichas con los compromisos </w:t>
      </w:r>
      <w:r w:rsidR="00621383">
        <w:rPr>
          <w:color w:val="auto"/>
        </w:rPr>
        <w:t>priorizados,</w:t>
      </w:r>
      <w:r w:rsidR="00CE27FC">
        <w:rPr>
          <w:color w:val="auto"/>
        </w:rPr>
        <w:t xml:space="preserve"> redacción del borrador del plan, realización de taller para afinar con los sectores y la Comisión </w:t>
      </w:r>
      <w:r w:rsidR="00B9283F">
        <w:rPr>
          <w:color w:val="auto"/>
        </w:rPr>
        <w:t xml:space="preserve">Multisectorial </w:t>
      </w:r>
      <w:r w:rsidR="00CE27FC">
        <w:rPr>
          <w:color w:val="auto"/>
        </w:rPr>
        <w:t>los ajustes a realizarse, consulta pública por la web, sistematización de los aportes y la aprobación de la versión final del plan.</w:t>
      </w:r>
    </w:p>
    <w:p w:rsidR="00123210" w:rsidRDefault="00123210" w:rsidP="002536E7">
      <w:pPr>
        <w:pStyle w:val="Textoindependiente2"/>
        <w:spacing w:after="0" w:afterAutospacing="0"/>
        <w:rPr>
          <w:color w:val="auto"/>
        </w:rPr>
      </w:pPr>
    </w:p>
    <w:p w:rsidR="009973E7" w:rsidRDefault="009973E7" w:rsidP="002536E7">
      <w:pPr>
        <w:pStyle w:val="Textoindependiente2"/>
        <w:spacing w:after="0" w:afterAutospacing="0"/>
        <w:rPr>
          <w:b/>
          <w:i/>
          <w:color w:val="auto"/>
        </w:rPr>
      </w:pPr>
      <w:r w:rsidRPr="009973E7">
        <w:rPr>
          <w:b/>
          <w:i/>
          <w:color w:val="auto"/>
        </w:rPr>
        <w:t>Aprobación del Plan</w:t>
      </w:r>
    </w:p>
    <w:p w:rsidR="006D20EF" w:rsidRPr="00276384" w:rsidRDefault="006D20EF" w:rsidP="006D20EF">
      <w:pPr>
        <w:pStyle w:val="Textoindependiente2"/>
        <w:spacing w:after="0" w:afterAutospacing="0"/>
        <w:rPr>
          <w:color w:val="auto"/>
        </w:rPr>
      </w:pPr>
      <w:r w:rsidRPr="00276384">
        <w:rPr>
          <w:color w:val="auto"/>
        </w:rPr>
        <w:t xml:space="preserve">Debido al cambio de gestión en la Presidencia del Consejo de Ministros, la aprobación del plan consensuado –programado para junio de 2014- se retrasó y fue aprobado en julio de 2015, en atención a la comunicación enviada por la Alianza de Gobierno Abierto recomendando al Gobierno del Perú su aprobación antes del 1 de enero de 2015. En diciembre de 2014 las organizaciones que representan a la sociedad civil comunicaron a la Presidencia del Consejo de Ministros su decisión de suspender el acompañamiento en el proceso del PLAN AGA.  </w:t>
      </w:r>
    </w:p>
    <w:p w:rsidR="006D20EF" w:rsidRPr="00276384" w:rsidRDefault="006D20EF" w:rsidP="00C1649A">
      <w:pPr>
        <w:pStyle w:val="Textoindependiente2"/>
        <w:spacing w:after="0" w:afterAutospacing="0"/>
        <w:rPr>
          <w:color w:val="auto"/>
        </w:rPr>
      </w:pPr>
    </w:p>
    <w:p w:rsidR="008D79F2" w:rsidRDefault="00C1649A" w:rsidP="0080368D">
      <w:pPr>
        <w:pStyle w:val="Textoindependiente2"/>
        <w:spacing w:after="0" w:afterAutospacing="0"/>
        <w:rPr>
          <w:color w:val="auto"/>
        </w:rPr>
      </w:pPr>
      <w:r w:rsidRPr="00276384">
        <w:rPr>
          <w:color w:val="auto"/>
        </w:rPr>
        <w:t>Este segundo plan recogió 17 de los 18 compromisos y dejó para evaluación la propuesta normativa para la creación de la Autoridad Nacional para la Transparencia y el Acceso a la Información Pública, lo que generó que los representantes de la sociedad civil condicionaran su rein</w:t>
      </w:r>
      <w:r w:rsidR="006D20EF" w:rsidRPr="00276384">
        <w:rPr>
          <w:color w:val="auto"/>
        </w:rPr>
        <w:t xml:space="preserve">corporación </w:t>
      </w:r>
      <w:r w:rsidRPr="00276384">
        <w:rPr>
          <w:color w:val="auto"/>
        </w:rPr>
        <w:t>a la Comisión a la inclusión de</w:t>
      </w:r>
      <w:r w:rsidR="006D20EF" w:rsidRPr="00276384">
        <w:rPr>
          <w:color w:val="auto"/>
        </w:rPr>
        <w:t>l compromiso de la creación de</w:t>
      </w:r>
      <w:r w:rsidRPr="00276384">
        <w:rPr>
          <w:color w:val="auto"/>
        </w:rPr>
        <w:t xml:space="preserve"> la autoridad de transparencia. Sin perjuicio </w:t>
      </w:r>
      <w:r w:rsidR="00FA6BB3">
        <w:rPr>
          <w:color w:val="auto"/>
        </w:rPr>
        <w:t>de</w:t>
      </w:r>
      <w:r w:rsidRPr="00276384">
        <w:rPr>
          <w:color w:val="auto"/>
        </w:rPr>
        <w:t xml:space="preserve"> ello</w:t>
      </w:r>
      <w:r w:rsidR="006D20EF" w:rsidRPr="00276384">
        <w:rPr>
          <w:color w:val="auto"/>
        </w:rPr>
        <w:t>,</w:t>
      </w:r>
      <w:r w:rsidRPr="00276384">
        <w:rPr>
          <w:color w:val="auto"/>
        </w:rPr>
        <w:t xml:space="preserve"> y a través de reiteradas comunicaciones, el Estado solicitó a la sociedad civil que reconsiderara retomar la</w:t>
      </w:r>
      <w:r w:rsidR="00011808" w:rsidRPr="00276384">
        <w:rPr>
          <w:color w:val="auto"/>
        </w:rPr>
        <w:t>s coordinaciones y comunicación</w:t>
      </w:r>
      <w:r w:rsidR="00FA6BB3">
        <w:rPr>
          <w:color w:val="auto"/>
        </w:rPr>
        <w:t xml:space="preserve"> y fueron </w:t>
      </w:r>
      <w:r w:rsidR="00011808" w:rsidRPr="00276384">
        <w:rPr>
          <w:color w:val="auto"/>
        </w:rPr>
        <w:t>invitados a todas las actividades desarrolladas para la implementación de los compromisos en materia de transparencia y acceso a la información pública y datos abiertos.</w:t>
      </w:r>
      <w:r w:rsidR="00FB45DB" w:rsidRPr="00276384">
        <w:rPr>
          <w:color w:val="auto"/>
        </w:rPr>
        <w:t xml:space="preserve">  Adicionalmente, </w:t>
      </w:r>
      <w:r w:rsidR="006665DE">
        <w:rPr>
          <w:color w:val="auto"/>
        </w:rPr>
        <w:t xml:space="preserve">hasta la presentación de la evaluación de medio término, </w:t>
      </w:r>
      <w:r w:rsidR="00FB45DB" w:rsidRPr="00276384">
        <w:rPr>
          <w:color w:val="auto"/>
        </w:rPr>
        <w:t>la creación de la Autoridad Autónoma fue abordad</w:t>
      </w:r>
      <w:r w:rsidR="00A82B88">
        <w:rPr>
          <w:color w:val="auto"/>
        </w:rPr>
        <w:t>a</w:t>
      </w:r>
      <w:r w:rsidR="00FB45DB" w:rsidRPr="00276384">
        <w:rPr>
          <w:color w:val="auto"/>
        </w:rPr>
        <w:t xml:space="preserve"> en la Comisión de Alto Nivel Anticorrupción, espacio donde también participa la sociedad civil.</w:t>
      </w:r>
      <w:r w:rsidR="006665DE">
        <w:rPr>
          <w:color w:val="auto"/>
        </w:rPr>
        <w:t xml:space="preserve"> </w:t>
      </w:r>
    </w:p>
    <w:p w:rsidR="006665DE" w:rsidRDefault="006665DE" w:rsidP="0080368D">
      <w:pPr>
        <w:pStyle w:val="Textoindependiente2"/>
        <w:spacing w:after="0" w:afterAutospacing="0"/>
        <w:rPr>
          <w:color w:val="auto"/>
        </w:rPr>
      </w:pPr>
    </w:p>
    <w:p w:rsidR="006665DE" w:rsidRDefault="006665DE" w:rsidP="0080368D">
      <w:pPr>
        <w:pStyle w:val="Textoindependiente2"/>
        <w:spacing w:after="0" w:afterAutospacing="0"/>
        <w:rPr>
          <w:color w:val="auto"/>
        </w:rPr>
      </w:pPr>
      <w:r>
        <w:rPr>
          <w:color w:val="auto"/>
        </w:rPr>
        <w:t xml:space="preserve">Siendo que, ante la delegación de facultades al Poder Ejecutivo mediante Ley N° 30506 para legislar en materia de reactivación económica y formalización, seguridad ciudadana, lucha contra la corrupción, agua y saneamiento y reorganización de Petroperú, </w:t>
      </w:r>
      <w:r w:rsidR="00246D8B">
        <w:rPr>
          <w:color w:val="auto"/>
        </w:rPr>
        <w:t xml:space="preserve">se </w:t>
      </w:r>
      <w:r>
        <w:rPr>
          <w:color w:val="auto"/>
        </w:rPr>
        <w:t xml:space="preserve">emite </w:t>
      </w:r>
      <w:r w:rsidR="00246D8B">
        <w:rPr>
          <w:color w:val="auto"/>
        </w:rPr>
        <w:t xml:space="preserve">en Enero del presen del 2017 </w:t>
      </w:r>
      <w:r>
        <w:rPr>
          <w:color w:val="auto"/>
        </w:rPr>
        <w:t xml:space="preserve">el Decreto Legislativo N° 1353, creando la autoridad Nacional de Transparencia y Acceso a la Información Pública, fortalece el régimen de protección de datos personales y la regulación de la gestión de intereses, adscrita el Ministerio de Justicia; y, mediante Decreto Supremo N° 019-2017-JUS </w:t>
      </w:r>
      <w:r w:rsidR="00246D8B">
        <w:rPr>
          <w:color w:val="auto"/>
        </w:rPr>
        <w:t xml:space="preserve">se </w:t>
      </w:r>
      <w:r>
        <w:rPr>
          <w:color w:val="auto"/>
        </w:rPr>
        <w:t>aprueba su Reglamento</w:t>
      </w:r>
      <w:r w:rsidR="00246D8B">
        <w:rPr>
          <w:color w:val="auto"/>
        </w:rPr>
        <w:t>, implementándose una iniciativa que fortalezca el cumplimiento de la Ley de Transparencia y acceso a la información pública.</w:t>
      </w:r>
      <w:r>
        <w:rPr>
          <w:color w:val="auto"/>
        </w:rPr>
        <w:t xml:space="preserve"> </w:t>
      </w:r>
    </w:p>
    <w:p w:rsidR="00B9283F" w:rsidRDefault="00B9283F" w:rsidP="0080368D">
      <w:pPr>
        <w:pStyle w:val="Textoindependiente2"/>
        <w:spacing w:after="0" w:afterAutospacing="0"/>
        <w:rPr>
          <w:color w:val="auto"/>
        </w:rPr>
      </w:pPr>
    </w:p>
    <w:p w:rsidR="00D14C49" w:rsidRPr="00276384" w:rsidRDefault="00D14C49" w:rsidP="0080368D">
      <w:pPr>
        <w:pStyle w:val="Textoindependiente2"/>
        <w:spacing w:after="0" w:afterAutospacing="0"/>
        <w:rPr>
          <w:color w:val="auto"/>
        </w:rPr>
      </w:pPr>
    </w:p>
    <w:p w:rsidR="00453003" w:rsidRPr="00FB3441" w:rsidRDefault="00503F58" w:rsidP="003A3ABE">
      <w:pPr>
        <w:numPr>
          <w:ilvl w:val="0"/>
          <w:numId w:val="5"/>
        </w:numPr>
        <w:autoSpaceDE w:val="0"/>
        <w:autoSpaceDN w:val="0"/>
        <w:adjustRightInd w:val="0"/>
        <w:spacing w:after="0" w:line="240" w:lineRule="auto"/>
        <w:ind w:left="284"/>
        <w:rPr>
          <w:b/>
          <w:i/>
          <w:sz w:val="28"/>
          <w:szCs w:val="28"/>
        </w:rPr>
      </w:pPr>
      <w:bookmarkStart w:id="18" w:name="_Toc428787071"/>
      <w:bookmarkStart w:id="19" w:name="_Toc428794291"/>
      <w:bookmarkStart w:id="20" w:name="_Toc428796078"/>
      <w:bookmarkStart w:id="21" w:name="_Toc428800185"/>
      <w:bookmarkStart w:id="22" w:name="_Toc428800414"/>
      <w:bookmarkStart w:id="23" w:name="_Toc428803016"/>
      <w:bookmarkStart w:id="24" w:name="_Toc431283342"/>
      <w:bookmarkStart w:id="25" w:name="_Toc431286913"/>
      <w:bookmarkStart w:id="26" w:name="_Toc431288970"/>
      <w:r w:rsidRPr="00FB3441">
        <w:rPr>
          <w:rFonts w:cs="Gotham Bold"/>
          <w:b/>
          <w:i/>
          <w:color w:val="000000"/>
          <w:sz w:val="28"/>
          <w:szCs w:val="28"/>
          <w:lang w:val="es-PE"/>
        </w:rPr>
        <w:t>Incorporación de las r</w:t>
      </w:r>
      <w:r w:rsidR="00A56D20" w:rsidRPr="00FB3441">
        <w:rPr>
          <w:rFonts w:cs="Gotham Bold"/>
          <w:b/>
          <w:i/>
          <w:color w:val="000000"/>
          <w:sz w:val="28"/>
          <w:szCs w:val="28"/>
          <w:lang w:val="es-PE"/>
        </w:rPr>
        <w:t>ecomendaciones del mecanismo de revisión independiente</w:t>
      </w:r>
      <w:r w:rsidRPr="00FB3441">
        <w:rPr>
          <w:rFonts w:cs="Gotham Bold"/>
          <w:b/>
          <w:i/>
          <w:color w:val="000000"/>
          <w:sz w:val="28"/>
          <w:szCs w:val="28"/>
          <w:lang w:val="es-PE"/>
        </w:rPr>
        <w:t xml:space="preserve"> </w:t>
      </w:r>
      <w:r w:rsidR="00B9283F" w:rsidRPr="00FB3441">
        <w:rPr>
          <w:rFonts w:cs="Gotham Bold"/>
          <w:b/>
          <w:i/>
          <w:color w:val="000000"/>
          <w:sz w:val="28"/>
          <w:szCs w:val="28"/>
          <w:lang w:val="es-PE"/>
        </w:rPr>
        <w:t xml:space="preserve">(MRI) </w:t>
      </w:r>
      <w:r w:rsidRPr="00FB3441">
        <w:rPr>
          <w:rFonts w:cs="Gotham Bold"/>
          <w:b/>
          <w:i/>
          <w:color w:val="000000"/>
          <w:sz w:val="28"/>
          <w:szCs w:val="28"/>
          <w:lang w:val="es-PE"/>
        </w:rPr>
        <w:t>del Primer PAGA (2012-2013)</w:t>
      </w:r>
      <w:r w:rsidR="00F27589" w:rsidRPr="00FB3441">
        <w:rPr>
          <w:b/>
          <w:i/>
          <w:sz w:val="28"/>
          <w:szCs w:val="28"/>
        </w:rPr>
        <w:t xml:space="preserve"> </w:t>
      </w:r>
      <w:bookmarkEnd w:id="18"/>
      <w:bookmarkEnd w:id="19"/>
      <w:bookmarkEnd w:id="20"/>
      <w:bookmarkEnd w:id="21"/>
      <w:bookmarkEnd w:id="22"/>
      <w:bookmarkEnd w:id="23"/>
      <w:bookmarkEnd w:id="24"/>
      <w:bookmarkEnd w:id="25"/>
      <w:bookmarkEnd w:id="26"/>
    </w:p>
    <w:p w:rsidR="0056200A" w:rsidRDefault="0056200A" w:rsidP="00A56D20">
      <w:pPr>
        <w:spacing w:after="0" w:line="240" w:lineRule="auto"/>
        <w:jc w:val="both"/>
        <w:rPr>
          <w:b/>
        </w:rPr>
      </w:pPr>
    </w:p>
    <w:p w:rsidR="00790122" w:rsidRDefault="00503F58" w:rsidP="0056200A">
      <w:pPr>
        <w:spacing w:after="0" w:line="240" w:lineRule="auto"/>
        <w:jc w:val="both"/>
      </w:pPr>
      <w:r w:rsidRPr="00503F58">
        <w:t xml:space="preserve">En el </w:t>
      </w:r>
      <w:r w:rsidR="0056200A" w:rsidRPr="00503F58">
        <w:t>primer Plan de Acción</w:t>
      </w:r>
      <w:r w:rsidRPr="00503F58">
        <w:t xml:space="preserve"> se formularon 47 compromisos y fue necesario </w:t>
      </w:r>
      <w:r w:rsidR="0056200A" w:rsidRPr="00503F58">
        <w:t>someterlo</w:t>
      </w:r>
      <w:r w:rsidRPr="00503F58">
        <w:t>s</w:t>
      </w:r>
      <w:r w:rsidR="0056200A" w:rsidRPr="00503F58">
        <w:t xml:space="preserve"> a un proceso de racionalización y ordenamiento</w:t>
      </w:r>
      <w:r w:rsidR="00465D73" w:rsidRPr="00503F58">
        <w:t>,</w:t>
      </w:r>
      <w:r w:rsidR="00790122" w:rsidRPr="00503F58">
        <w:t xml:space="preserve"> </w:t>
      </w:r>
      <w:r w:rsidR="00B9283F">
        <w:t xml:space="preserve">entre otras razones debido a que algunos eran actividades, </w:t>
      </w:r>
      <w:r w:rsidR="00790122" w:rsidRPr="00503F58">
        <w:t>quedando 12 compromisos para su evaluación.</w:t>
      </w:r>
      <w:r w:rsidR="00790122" w:rsidRPr="00790122">
        <w:t xml:space="preserve">  Esto conllevó a que en la formulación del segundo plan, </w:t>
      </w:r>
      <w:r w:rsidR="00465D73">
        <w:t xml:space="preserve">se </w:t>
      </w:r>
      <w:r w:rsidR="00FB45DB">
        <w:t>contemplara la metodología SMART para r</w:t>
      </w:r>
      <w:r w:rsidR="00465D73">
        <w:t>e</w:t>
      </w:r>
      <w:r>
        <w:t xml:space="preserve">ducir el número de compromisos e </w:t>
      </w:r>
      <w:r w:rsidR="00465D73">
        <w:t>identifica</w:t>
      </w:r>
      <w:r>
        <w:t xml:space="preserve">r las </w:t>
      </w:r>
      <w:r w:rsidR="00790122" w:rsidRPr="00790122">
        <w:t>actividades</w:t>
      </w:r>
      <w:r>
        <w:t xml:space="preserve"> </w:t>
      </w:r>
      <w:r w:rsidR="00FA6BB3">
        <w:t xml:space="preserve">a </w:t>
      </w:r>
      <w:r w:rsidR="00465D73">
        <w:t>ser evaluadas, a efectos d</w:t>
      </w:r>
      <w:r w:rsidR="00790122" w:rsidRPr="00790122">
        <w:t>el cumplimiento de</w:t>
      </w:r>
      <w:r w:rsidR="0056200A">
        <w:t xml:space="preserve"> </w:t>
      </w:r>
      <w:r w:rsidR="00790122" w:rsidRPr="00790122">
        <w:t>l</w:t>
      </w:r>
      <w:r w:rsidR="0056200A">
        <w:t>os</w:t>
      </w:r>
      <w:r w:rsidR="00790122" w:rsidRPr="00790122">
        <w:t xml:space="preserve"> compromiso</w:t>
      </w:r>
      <w:r w:rsidR="0056200A">
        <w:t>s</w:t>
      </w:r>
      <w:r w:rsidR="00465D73">
        <w:t>.</w:t>
      </w:r>
    </w:p>
    <w:p w:rsidR="00A819C8" w:rsidRDefault="00A819C8" w:rsidP="0056200A">
      <w:pPr>
        <w:spacing w:after="0" w:line="240" w:lineRule="auto"/>
        <w:jc w:val="both"/>
      </w:pPr>
    </w:p>
    <w:p w:rsidR="00795B4F" w:rsidRDefault="00B9283F" w:rsidP="00A56D20">
      <w:pPr>
        <w:spacing w:after="0" w:line="240" w:lineRule="auto"/>
        <w:jc w:val="both"/>
      </w:pPr>
      <w:r>
        <w:t>Otra recomendación del MRI del primer PAGA fue la n</w:t>
      </w:r>
      <w:r w:rsidR="00795B4F" w:rsidRPr="00B9283F">
        <w:t>ecesidad de contar con una autoridad autónoma que vele por la transparencia.</w:t>
      </w:r>
      <w:r>
        <w:t xml:space="preserve"> </w:t>
      </w:r>
      <w:r w:rsidR="003B56D1" w:rsidRPr="00BF42B5">
        <w:t>Si bien esta recomendación</w:t>
      </w:r>
      <w:r w:rsidR="00D115B9" w:rsidRPr="00BF42B5">
        <w:t xml:space="preserve"> fue contemplada como un compromiso en el proceso de el</w:t>
      </w:r>
      <w:r w:rsidR="003B56D1" w:rsidRPr="00BF42B5">
        <w:t>aboración del segundo plan, no fue considerada en el contenido del documento aprobado</w:t>
      </w:r>
      <w:r w:rsidR="00D115B9" w:rsidRPr="00BF42B5">
        <w:t xml:space="preserve">. </w:t>
      </w:r>
      <w:r w:rsidR="001F4040">
        <w:t xml:space="preserve">Sin embargo, </w:t>
      </w:r>
      <w:r w:rsidR="00FB3441">
        <w:t>m</w:t>
      </w:r>
      <w:r w:rsidR="00795B4F" w:rsidRPr="00BF42B5">
        <w:t>ediante Resolución Ministerial N° 0268-2016-JUS, publicada el 13 de setiembre 2016, se constituy</w:t>
      </w:r>
      <w:r>
        <w:t>ó</w:t>
      </w:r>
      <w:r w:rsidR="00795B4F" w:rsidRPr="00BF42B5">
        <w:t xml:space="preserve"> el Grupo de Trabajo encargado de elaborar un informe técnico que contenga la propuesta normativa para la creación de una Autoridad Nacional de Transparencia</w:t>
      </w:r>
      <w:r w:rsidR="005C2FE9">
        <w:t xml:space="preserve">. En enero de 2017 se creó la Autoridad Nacional de Transparencia, </w:t>
      </w:r>
      <w:r w:rsidR="001F4040">
        <w:t>adscrita al Ministerio</w:t>
      </w:r>
      <w:r w:rsidR="005C2FE9">
        <w:t xml:space="preserve"> de Justicia</w:t>
      </w:r>
      <w:r w:rsidR="00D115B9" w:rsidRPr="00BF42B5">
        <w:t>.</w:t>
      </w:r>
    </w:p>
    <w:p w:rsidR="00123210" w:rsidRDefault="00123210" w:rsidP="00A56D20">
      <w:pPr>
        <w:spacing w:after="0" w:line="240" w:lineRule="auto"/>
        <w:jc w:val="both"/>
      </w:pPr>
    </w:p>
    <w:p w:rsidR="000C6829" w:rsidRDefault="000C6829" w:rsidP="00A56D20">
      <w:pPr>
        <w:spacing w:after="0" w:line="240" w:lineRule="auto"/>
        <w:jc w:val="both"/>
      </w:pPr>
    </w:p>
    <w:p w:rsidR="000C6829" w:rsidRDefault="000C6829" w:rsidP="00A56D20">
      <w:pPr>
        <w:spacing w:after="0" w:line="240" w:lineRule="auto"/>
        <w:jc w:val="both"/>
      </w:pPr>
    </w:p>
    <w:p w:rsidR="000C6829" w:rsidRDefault="000C6829" w:rsidP="00A56D20">
      <w:pPr>
        <w:spacing w:after="0" w:line="240" w:lineRule="auto"/>
        <w:jc w:val="both"/>
      </w:pPr>
    </w:p>
    <w:p w:rsidR="000C6829" w:rsidRDefault="000C6829" w:rsidP="00A56D20">
      <w:pPr>
        <w:spacing w:after="0" w:line="240" w:lineRule="auto"/>
        <w:jc w:val="both"/>
      </w:pPr>
    </w:p>
    <w:p w:rsidR="00123210" w:rsidRDefault="00123210" w:rsidP="00A56D20">
      <w:pPr>
        <w:spacing w:after="0" w:line="240" w:lineRule="auto"/>
        <w:jc w:val="both"/>
      </w:pPr>
    </w:p>
    <w:p w:rsidR="00A56D20" w:rsidRPr="00FB3441" w:rsidRDefault="008B1BE2" w:rsidP="00FB3441">
      <w:pPr>
        <w:numPr>
          <w:ilvl w:val="0"/>
          <w:numId w:val="5"/>
        </w:numPr>
        <w:autoSpaceDE w:val="0"/>
        <w:autoSpaceDN w:val="0"/>
        <w:adjustRightInd w:val="0"/>
        <w:spacing w:after="0" w:line="240" w:lineRule="auto"/>
        <w:ind w:left="284"/>
        <w:rPr>
          <w:rFonts w:cs="Gotham Bold"/>
          <w:b/>
          <w:i/>
          <w:color w:val="000000"/>
          <w:sz w:val="28"/>
          <w:szCs w:val="28"/>
          <w:lang w:val="es-PE"/>
        </w:rPr>
      </w:pPr>
      <w:r w:rsidRPr="00FB3441">
        <w:rPr>
          <w:rFonts w:cs="Gotham Bold"/>
          <w:b/>
          <w:i/>
          <w:color w:val="000000"/>
          <w:sz w:val="28"/>
          <w:szCs w:val="28"/>
          <w:lang w:val="es-PE"/>
        </w:rPr>
        <w:t>Cumplimiento de la i</w:t>
      </w:r>
      <w:r w:rsidR="00A56D20" w:rsidRPr="00FB3441">
        <w:rPr>
          <w:rFonts w:cs="Gotham Bold"/>
          <w:b/>
          <w:i/>
          <w:color w:val="000000"/>
          <w:sz w:val="28"/>
          <w:szCs w:val="28"/>
          <w:lang w:val="es-PE"/>
        </w:rPr>
        <w:t>mplementación de los compromisos del Plan de Acción Nacional</w:t>
      </w:r>
      <w:r w:rsidR="00670343">
        <w:rPr>
          <w:rFonts w:cs="Gotham Bold"/>
          <w:b/>
          <w:i/>
          <w:color w:val="000000"/>
          <w:sz w:val="28"/>
          <w:szCs w:val="28"/>
          <w:lang w:val="es-PE"/>
        </w:rPr>
        <w:t xml:space="preserve"> de Gobierno Abierto 2015-2016</w:t>
      </w:r>
    </w:p>
    <w:p w:rsidR="00D115B9" w:rsidRDefault="00D115B9" w:rsidP="00A56D20">
      <w:pPr>
        <w:spacing w:after="0" w:line="240" w:lineRule="auto"/>
        <w:jc w:val="both"/>
        <w:rPr>
          <w:color w:val="FF0000"/>
        </w:rPr>
      </w:pPr>
    </w:p>
    <w:p w:rsidR="004F01B9" w:rsidRPr="00D115B9" w:rsidRDefault="004F01B9" w:rsidP="004F01B9">
      <w:pPr>
        <w:spacing w:after="0" w:line="240" w:lineRule="auto"/>
        <w:jc w:val="both"/>
      </w:pPr>
      <w:r w:rsidRPr="00D115B9">
        <w:t>Se presenta a continuación el nivel de avance de cumplimiento de los compromisos asumidos por el Perú</w:t>
      </w:r>
      <w:r w:rsidR="001C574F">
        <w:t>,</w:t>
      </w:r>
      <w:r w:rsidRPr="00D115B9">
        <w:t xml:space="preserve"> en el marco del Plan de Acción Nacional 2015-2016, considerando el formato de ficha de cumplimiento sugerido por la OGP. </w:t>
      </w:r>
      <w:r w:rsidR="001C574F">
        <w:t>Cabe precisar que l</w:t>
      </w:r>
      <w:r w:rsidRPr="00D115B9">
        <w:t>a implementación de los compromisos es responsabilidad de las entidades señaladas como Responsables en cada ficha.</w:t>
      </w:r>
    </w:p>
    <w:p w:rsidR="00942DA5" w:rsidRDefault="00942DA5"/>
    <w:p w:rsidR="002C2EAC" w:rsidRPr="00D14C49" w:rsidRDefault="00D14C49">
      <w:pPr>
        <w:rPr>
          <w:b/>
        </w:rPr>
      </w:pPr>
      <w:r w:rsidRPr="00D14C49">
        <w:rPr>
          <w:b/>
        </w:rPr>
        <w:t>Tema 1: Transparencia y acceso a la información pública</w:t>
      </w:r>
    </w:p>
    <w:p w:rsidR="00DF496D" w:rsidRDefault="00DF496D" w:rsidP="00123210">
      <w:pPr>
        <w:spacing w:after="0" w:line="240" w:lineRule="auto"/>
        <w:jc w:val="both"/>
      </w:pPr>
      <w:r>
        <w:t>El país se comprometió a cumplir seis compromisos</w:t>
      </w:r>
      <w:r w:rsidR="006A3912">
        <w:t xml:space="preserve"> en esta materia, que </w:t>
      </w:r>
      <w:r w:rsidR="006A3912" w:rsidRPr="006A3912">
        <w:t>reflejan el interés del Perú en fortalecer el marco normativo, mejorar las herramientas facilitadoras y desarrollar las capacidades de los servidores civiles en los tres niveles de gobierno</w:t>
      </w:r>
      <w:r w:rsidR="00123210">
        <w:t>. E</w:t>
      </w:r>
      <w:r w:rsidR="006A3912" w:rsidRPr="006A3912">
        <w:t>n particular sobre la destrucción y extravío de la información, infracciones y sanciones, la mejora del Portal de Transparencia Estándar y Sistema de Contrataciones, para facilitar el acceso y búsqueda de información y su reutilización. Asimismo, se busc</w:t>
      </w:r>
      <w:r w:rsidR="003C3262">
        <w:t>ó</w:t>
      </w:r>
      <w:r w:rsidR="006A3912" w:rsidRPr="006A3912">
        <w:t xml:space="preserve"> promover una mayor transparencia en la gestión de los programas sociales e industrias extractivas a nivel de los gobiernos regionales.</w:t>
      </w:r>
    </w:p>
    <w:p w:rsidR="003C3262" w:rsidRDefault="003C3262" w:rsidP="006A3912">
      <w:pPr>
        <w:jc w:val="both"/>
      </w:pPr>
    </w:p>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EB66E2" w:rsidRPr="00295641" w:rsidTr="00336105">
        <w:tc>
          <w:tcPr>
            <w:tcW w:w="9039" w:type="dxa"/>
            <w:gridSpan w:val="6"/>
            <w:shd w:val="clear" w:color="auto" w:fill="548DD4" w:themeFill="text2" w:themeFillTint="99"/>
          </w:tcPr>
          <w:p w:rsidR="00EB66E2" w:rsidRPr="00295641" w:rsidRDefault="00F8353E" w:rsidP="00003D89">
            <w:pPr>
              <w:ind w:left="720"/>
              <w:jc w:val="center"/>
              <w:rPr>
                <w:b/>
              </w:rPr>
            </w:pPr>
            <w:r>
              <w:rPr>
                <w:b/>
              </w:rPr>
              <w:t>Componente: Transparencia y Acceso a la Información Pública</w:t>
            </w:r>
          </w:p>
        </w:tc>
      </w:tr>
      <w:tr w:rsidR="00F8353E" w:rsidRPr="00295641" w:rsidTr="00336105">
        <w:tc>
          <w:tcPr>
            <w:tcW w:w="9039" w:type="dxa"/>
            <w:gridSpan w:val="6"/>
            <w:shd w:val="clear" w:color="auto" w:fill="548DD4" w:themeFill="text2" w:themeFillTint="99"/>
          </w:tcPr>
          <w:p w:rsidR="00F8353E" w:rsidRDefault="005E32C3" w:rsidP="005E32C3">
            <w:pPr>
              <w:ind w:left="360"/>
              <w:jc w:val="center"/>
              <w:rPr>
                <w:b/>
              </w:rPr>
            </w:pPr>
            <w:r>
              <w:rPr>
                <w:b/>
              </w:rPr>
              <w:t xml:space="preserve">Compromiso 1. </w:t>
            </w:r>
            <w:r w:rsidR="00F8353E">
              <w:rPr>
                <w:b/>
              </w:rPr>
              <w:t>Modificación de la Ley de Transparencia y Acceso a la Información Pública</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Secretaría/Ministerio</w:t>
            </w:r>
          </w:p>
          <w:p w:rsidR="00EB66E2" w:rsidRPr="00295641" w:rsidRDefault="00EB66E2" w:rsidP="00EB66E2">
            <w:pPr>
              <w:rPr>
                <w:b/>
                <w:color w:val="000000" w:themeColor="text1"/>
              </w:rPr>
            </w:pPr>
            <w:r w:rsidRPr="00295641">
              <w:rPr>
                <w:rFonts w:cs="Gotham-Book"/>
                <w:b/>
                <w:color w:val="000000" w:themeColor="text1"/>
              </w:rPr>
              <w:t>Responsable</w:t>
            </w:r>
          </w:p>
        </w:tc>
        <w:tc>
          <w:tcPr>
            <w:tcW w:w="4820" w:type="dxa"/>
            <w:gridSpan w:val="3"/>
          </w:tcPr>
          <w:p w:rsidR="00EB66E2" w:rsidRPr="00295641" w:rsidRDefault="00F8353E" w:rsidP="00EB66E2">
            <w:pPr>
              <w:jc w:val="both"/>
              <w:rPr>
                <w:color w:val="000000" w:themeColor="text1"/>
              </w:rPr>
            </w:pPr>
            <w:r>
              <w:rPr>
                <w:color w:val="000000" w:themeColor="text1"/>
              </w:rPr>
              <w:t>Presidencia del Consejo de Ministros</w:t>
            </w:r>
            <w:r w:rsidR="004A6FB0">
              <w:rPr>
                <w:color w:val="000000" w:themeColor="text1"/>
              </w:rPr>
              <w:t>,</w:t>
            </w:r>
            <w:r>
              <w:rPr>
                <w:color w:val="000000" w:themeColor="text1"/>
              </w:rPr>
              <w:t xml:space="preserve"> a través de la Secretaría de Gestión Pública</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EB66E2" w:rsidRPr="00295641" w:rsidRDefault="00645347" w:rsidP="00645347">
            <w:pPr>
              <w:jc w:val="both"/>
              <w:rPr>
                <w:color w:val="000000" w:themeColor="text1"/>
              </w:rPr>
            </w:pPr>
            <w:r>
              <w:rPr>
                <w:color w:val="000000" w:themeColor="text1"/>
              </w:rPr>
              <w:t>Mercedes Araoz</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Puesto</w:t>
            </w:r>
          </w:p>
        </w:tc>
        <w:tc>
          <w:tcPr>
            <w:tcW w:w="4820" w:type="dxa"/>
            <w:gridSpan w:val="3"/>
          </w:tcPr>
          <w:p w:rsidR="00EB66E2" w:rsidRPr="00295641" w:rsidRDefault="00F8353E" w:rsidP="00645347">
            <w:pPr>
              <w:jc w:val="both"/>
              <w:rPr>
                <w:color w:val="000000" w:themeColor="text1"/>
              </w:rPr>
            </w:pPr>
            <w:r>
              <w:rPr>
                <w:color w:val="000000" w:themeColor="text1"/>
              </w:rPr>
              <w:t>President</w:t>
            </w:r>
            <w:r w:rsidR="00645347">
              <w:rPr>
                <w:color w:val="000000" w:themeColor="text1"/>
              </w:rPr>
              <w:t>a</w:t>
            </w:r>
            <w:r>
              <w:rPr>
                <w:color w:val="000000" w:themeColor="text1"/>
              </w:rPr>
              <w:t xml:space="preserve"> del Consejo de Ministros</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EB66E2" w:rsidRPr="00295641" w:rsidRDefault="00EB66E2" w:rsidP="00645347">
            <w:pPr>
              <w:jc w:val="both"/>
              <w:rPr>
                <w:rFonts w:cs="Arial"/>
                <w:color w:val="0000FF"/>
                <w:u w:val="single"/>
              </w:rPr>
            </w:pP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Teléfono</w:t>
            </w:r>
          </w:p>
        </w:tc>
        <w:tc>
          <w:tcPr>
            <w:tcW w:w="4820" w:type="dxa"/>
            <w:gridSpan w:val="3"/>
          </w:tcPr>
          <w:p w:rsidR="00EB66E2" w:rsidRPr="00295641" w:rsidRDefault="00F8353E" w:rsidP="00EB66E2">
            <w:pPr>
              <w:jc w:val="both"/>
              <w:rPr>
                <w:color w:val="000000" w:themeColor="text1"/>
              </w:rPr>
            </w:pPr>
            <w:r>
              <w:rPr>
                <w:color w:val="000000" w:themeColor="text1"/>
              </w:rPr>
              <w:t>51-1-2197000</w:t>
            </w:r>
          </w:p>
        </w:tc>
      </w:tr>
      <w:tr w:rsidR="00EB66E2" w:rsidRPr="00295641" w:rsidTr="00336105">
        <w:tc>
          <w:tcPr>
            <w:tcW w:w="2109" w:type="dxa"/>
            <w:vMerge w:val="restart"/>
            <w:shd w:val="clear" w:color="auto" w:fill="C6D9F1" w:themeFill="text2" w:themeFillTint="33"/>
            <w:vAlign w:val="center"/>
          </w:tcPr>
          <w:p w:rsidR="00EB66E2" w:rsidRPr="00295641" w:rsidRDefault="00EB66E2" w:rsidP="00EB66E2">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EB66E2" w:rsidRPr="00295641" w:rsidRDefault="00EB66E2" w:rsidP="00EB66E2">
            <w:pPr>
              <w:rPr>
                <w:rFonts w:cs="Gotham-Book"/>
                <w:b/>
                <w:color w:val="000000" w:themeColor="text1"/>
              </w:rPr>
            </w:pPr>
            <w:r>
              <w:rPr>
                <w:rFonts w:cs="Gotham-Book"/>
                <w:b/>
                <w:color w:val="000000" w:themeColor="text1"/>
              </w:rPr>
              <w:t>Gobierno</w:t>
            </w:r>
          </w:p>
        </w:tc>
        <w:tc>
          <w:tcPr>
            <w:tcW w:w="4820" w:type="dxa"/>
            <w:gridSpan w:val="3"/>
          </w:tcPr>
          <w:p w:rsidR="00EB66E2" w:rsidRPr="00295641" w:rsidRDefault="00727C09" w:rsidP="00EB66E2">
            <w:pPr>
              <w:jc w:val="both"/>
              <w:rPr>
                <w:color w:val="000000" w:themeColor="text1"/>
              </w:rPr>
            </w:pPr>
            <w:r>
              <w:rPr>
                <w:color w:val="000000" w:themeColor="text1"/>
              </w:rPr>
              <w:t>Ministerio de Justicia, Contraloría General de la República y Comisión de Alto Nivel Anticorrupción.</w:t>
            </w:r>
          </w:p>
        </w:tc>
      </w:tr>
      <w:tr w:rsidR="00EB66E2" w:rsidRPr="00295641" w:rsidTr="00336105">
        <w:tc>
          <w:tcPr>
            <w:tcW w:w="2109" w:type="dxa"/>
            <w:vMerge/>
            <w:shd w:val="clear" w:color="auto" w:fill="C6D9F1" w:themeFill="text2" w:themeFillTint="33"/>
            <w:vAlign w:val="center"/>
          </w:tcPr>
          <w:p w:rsidR="00EB66E2" w:rsidRPr="00295641" w:rsidRDefault="00EB66E2" w:rsidP="00EB66E2">
            <w:pPr>
              <w:rPr>
                <w:rFonts w:cs="Gotham-Book"/>
                <w:b/>
                <w:color w:val="000000" w:themeColor="text1"/>
              </w:rPr>
            </w:pPr>
          </w:p>
        </w:tc>
        <w:tc>
          <w:tcPr>
            <w:tcW w:w="2110" w:type="dxa"/>
            <w:gridSpan w:val="2"/>
            <w:shd w:val="clear" w:color="auto" w:fill="C6D9F1" w:themeFill="text2" w:themeFillTint="33"/>
            <w:vAlign w:val="center"/>
          </w:tcPr>
          <w:p w:rsidR="00EB66E2" w:rsidRPr="00295641" w:rsidRDefault="00EB66E2" w:rsidP="00EB66E2">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EB66E2" w:rsidRPr="00295641" w:rsidRDefault="004A6FB0" w:rsidP="00EB66E2">
            <w:pPr>
              <w:jc w:val="both"/>
              <w:rPr>
                <w:color w:val="000000" w:themeColor="text1"/>
              </w:rPr>
            </w:pPr>
            <w:r>
              <w:rPr>
                <w:color w:val="000000" w:themeColor="text1"/>
              </w:rPr>
              <w:t>Proé</w:t>
            </w:r>
            <w:r w:rsidR="00727C09">
              <w:rPr>
                <w:color w:val="000000" w:themeColor="text1"/>
              </w:rPr>
              <w:t xml:space="preserve">tica, Ciudadanos al Día, Consejo de la Prensa Peruana. </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EB66E2" w:rsidRPr="00295641" w:rsidRDefault="00727C09" w:rsidP="002E679C">
            <w:pPr>
              <w:jc w:val="both"/>
              <w:rPr>
                <w:color w:val="000000" w:themeColor="text1"/>
              </w:rPr>
            </w:pPr>
            <w:r>
              <w:rPr>
                <w:color w:val="000000" w:themeColor="text1"/>
              </w:rPr>
              <w:t>Se identifica</w:t>
            </w:r>
            <w:r w:rsidR="002E679C">
              <w:rPr>
                <w:color w:val="000000" w:themeColor="text1"/>
              </w:rPr>
              <w:t xml:space="preserve">ron </w:t>
            </w:r>
            <w:r>
              <w:rPr>
                <w:color w:val="000000" w:themeColor="text1"/>
              </w:rPr>
              <w:t>l</w:t>
            </w:r>
            <w:r w:rsidR="002E679C">
              <w:rPr>
                <w:color w:val="000000" w:themeColor="text1"/>
              </w:rPr>
              <w:t xml:space="preserve">os siguientes vacíos </w:t>
            </w:r>
            <w:r>
              <w:rPr>
                <w:color w:val="000000" w:themeColor="text1"/>
              </w:rPr>
              <w:t>e</w:t>
            </w:r>
            <w:r w:rsidR="002E679C">
              <w:rPr>
                <w:color w:val="000000" w:themeColor="text1"/>
              </w:rPr>
              <w:t>n</w:t>
            </w:r>
            <w:r>
              <w:rPr>
                <w:color w:val="000000" w:themeColor="text1"/>
              </w:rPr>
              <w:t xml:space="preserve"> la Ley de Transparencia y Acceso a la Información Pública</w:t>
            </w:r>
            <w:r w:rsidR="002E679C">
              <w:rPr>
                <w:color w:val="000000" w:themeColor="text1"/>
              </w:rPr>
              <w:t xml:space="preserve"> (</w:t>
            </w:r>
            <w:r>
              <w:rPr>
                <w:color w:val="000000" w:themeColor="text1"/>
              </w:rPr>
              <w:t>LTAIP</w:t>
            </w:r>
            <w:r w:rsidR="002E679C">
              <w:rPr>
                <w:color w:val="000000" w:themeColor="text1"/>
              </w:rPr>
              <w:t>)</w:t>
            </w:r>
            <w:r>
              <w:rPr>
                <w:color w:val="000000" w:themeColor="text1"/>
              </w:rPr>
              <w:t xml:space="preserve"> que inciden en su aplicación:</w:t>
            </w:r>
            <w:r w:rsidR="004A6FB0">
              <w:rPr>
                <w:color w:val="000000" w:themeColor="text1"/>
              </w:rPr>
              <w:t xml:space="preserve"> </w:t>
            </w:r>
            <w:r w:rsidR="002E679C">
              <w:rPr>
                <w:color w:val="000000" w:themeColor="text1"/>
              </w:rPr>
              <w:t>a) N</w:t>
            </w:r>
            <w:r>
              <w:rPr>
                <w:color w:val="000000" w:themeColor="text1"/>
              </w:rPr>
              <w:t>o cuenta con un glosario de términos que oriente a los funcionarios públicos en</w:t>
            </w:r>
            <w:r w:rsidR="004A6FB0">
              <w:rPr>
                <w:color w:val="000000" w:themeColor="text1"/>
              </w:rPr>
              <w:t xml:space="preserve"> la interpretación de dicha ley</w:t>
            </w:r>
            <w:r w:rsidR="002E679C">
              <w:rPr>
                <w:color w:val="000000" w:themeColor="text1"/>
              </w:rPr>
              <w:t xml:space="preserve">, b) </w:t>
            </w:r>
            <w:r>
              <w:rPr>
                <w:color w:val="000000" w:themeColor="text1"/>
              </w:rPr>
              <w:t>No contiene disposiciones que regulen las consecuencias sobre el extravío y destrucción indebida de la información en poder de las entidades públicas</w:t>
            </w:r>
            <w:r w:rsidR="002E679C">
              <w:rPr>
                <w:color w:val="000000" w:themeColor="text1"/>
              </w:rPr>
              <w:t xml:space="preserve"> y c)</w:t>
            </w:r>
            <w:r>
              <w:rPr>
                <w:color w:val="000000" w:themeColor="text1"/>
              </w:rPr>
              <w:t xml:space="preserve"> Las entidades públicas tienen dificultad para aplicar sanciones a los funcionarios y servidores públicos que incumplen la LTAIP, debido a que ésta establece de manera general que el incumplimiento de sus disposiciones conlleva a la sanción por falta grave, sin establecer un catálogo </w:t>
            </w:r>
            <w:r w:rsidR="007B6A82">
              <w:rPr>
                <w:color w:val="000000" w:themeColor="text1"/>
              </w:rPr>
              <w:t>de infracciones con su correspondiente sanción.</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Objetivo principal</w:t>
            </w:r>
          </w:p>
        </w:tc>
        <w:tc>
          <w:tcPr>
            <w:tcW w:w="4820" w:type="dxa"/>
            <w:gridSpan w:val="3"/>
          </w:tcPr>
          <w:p w:rsidR="00EB66E2" w:rsidRPr="007B6A82" w:rsidRDefault="007B6A82" w:rsidP="00EB66E2">
            <w:pPr>
              <w:jc w:val="both"/>
              <w:rPr>
                <w:bCs/>
              </w:rPr>
            </w:pPr>
            <w:r w:rsidRPr="007B6A82">
              <w:rPr>
                <w:bCs/>
              </w:rPr>
              <w:t>Orientar a los funcionarios</w:t>
            </w:r>
            <w:r>
              <w:rPr>
                <w:bCs/>
              </w:rPr>
              <w:t xml:space="preserve"> públicos en la interpretación de las disposiciones de la LTAIP, así como establecer una adecuada regulación de las infracciones y sanciones en caso de incumplimiento de dicha ley.</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EB66E2" w:rsidRPr="00D55406" w:rsidRDefault="007B6A82" w:rsidP="002E679C">
            <w:pPr>
              <w:jc w:val="both"/>
              <w:rPr>
                <w:color w:val="FF0000"/>
                <w:szCs w:val="20"/>
                <w:lang w:val="es-PE"/>
              </w:rPr>
            </w:pPr>
            <w:r w:rsidRPr="007B6A82">
              <w:rPr>
                <w:szCs w:val="20"/>
                <w:lang w:val="es-PE"/>
              </w:rPr>
              <w:t xml:space="preserve">Formular una propuesta normativa para la modificación de la Ley de Transparencia y Acceso a la </w:t>
            </w:r>
            <w:r w:rsidR="002E679C">
              <w:rPr>
                <w:szCs w:val="20"/>
                <w:lang w:val="es-PE"/>
              </w:rPr>
              <w:t>Información P</w:t>
            </w:r>
            <w:r w:rsidRPr="007B6A82">
              <w:rPr>
                <w:szCs w:val="20"/>
                <w:lang w:val="es-PE"/>
              </w:rPr>
              <w:t>ública, a fin de incluir un glosario de términos, regular lo concerniente a la destrucción y extravío de la información e incorporar un capítulo de infracciones y sanciones.</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Relevancia</w:t>
            </w:r>
          </w:p>
          <w:p w:rsidR="00EB66E2" w:rsidRPr="00295641" w:rsidRDefault="00EB66E2" w:rsidP="00EB66E2">
            <w:pPr>
              <w:autoSpaceDE w:val="0"/>
              <w:autoSpaceDN w:val="0"/>
              <w:adjustRightInd w:val="0"/>
              <w:rPr>
                <w:b/>
                <w:color w:val="000000" w:themeColor="text1"/>
              </w:rPr>
            </w:pPr>
          </w:p>
        </w:tc>
        <w:tc>
          <w:tcPr>
            <w:tcW w:w="4820" w:type="dxa"/>
            <w:gridSpan w:val="3"/>
          </w:tcPr>
          <w:p w:rsidR="00EB66E2" w:rsidRPr="00D55406" w:rsidRDefault="000C6709" w:rsidP="000C6709">
            <w:pPr>
              <w:jc w:val="both"/>
              <w:rPr>
                <w:color w:val="FF0000"/>
                <w:szCs w:val="20"/>
                <w:lang w:val="es-PE"/>
              </w:rPr>
            </w:pPr>
            <w:r>
              <w:rPr>
                <w:szCs w:val="20"/>
                <w:lang w:val="es-PE"/>
              </w:rPr>
              <w:t xml:space="preserve">Actualizar </w:t>
            </w:r>
            <w:r w:rsidR="00891F42" w:rsidRPr="00891F42">
              <w:rPr>
                <w:szCs w:val="20"/>
                <w:lang w:val="es-PE"/>
              </w:rPr>
              <w:t xml:space="preserve">una norma que data desde el año 2002 y efectivizar su cumplimiento </w:t>
            </w:r>
            <w:r>
              <w:rPr>
                <w:szCs w:val="20"/>
                <w:lang w:val="es-PE"/>
              </w:rPr>
              <w:t xml:space="preserve">para </w:t>
            </w:r>
            <w:r w:rsidR="00EB66E2" w:rsidRPr="00891F42">
              <w:rPr>
                <w:szCs w:val="20"/>
                <w:lang w:val="es-PE"/>
              </w:rPr>
              <w:t xml:space="preserve">fortalecer los valores </w:t>
            </w:r>
            <w:r w:rsidR="00891F42" w:rsidRPr="00891F42">
              <w:rPr>
                <w:szCs w:val="20"/>
                <w:lang w:val="es-PE"/>
              </w:rPr>
              <w:t xml:space="preserve">que </w:t>
            </w:r>
            <w:r w:rsidR="00EB66E2" w:rsidRPr="00891F42">
              <w:rPr>
                <w:szCs w:val="20"/>
                <w:lang w:val="es-PE"/>
              </w:rPr>
              <w:t xml:space="preserve">OGP </w:t>
            </w:r>
            <w:r w:rsidR="00891F42" w:rsidRPr="00891F42">
              <w:rPr>
                <w:szCs w:val="20"/>
                <w:lang w:val="es-PE"/>
              </w:rPr>
              <w:t xml:space="preserve">promueve en materia de </w:t>
            </w:r>
            <w:r w:rsidR="00EB66E2" w:rsidRPr="00891F42">
              <w:rPr>
                <w:szCs w:val="20"/>
                <w:lang w:val="es-PE"/>
              </w:rPr>
              <w:t>transparencia y acceso a la información</w:t>
            </w:r>
            <w:r w:rsidR="00891F42" w:rsidRPr="00891F42">
              <w:rPr>
                <w:szCs w:val="20"/>
                <w:lang w:val="es-PE"/>
              </w:rPr>
              <w:t xml:space="preserve"> pública.</w:t>
            </w:r>
            <w:r w:rsidR="00EB66E2" w:rsidRPr="00D55406">
              <w:rPr>
                <w:color w:val="FF0000"/>
                <w:szCs w:val="20"/>
                <w:lang w:val="es-PE"/>
              </w:rPr>
              <w:t xml:space="preserve"> </w:t>
            </w:r>
          </w:p>
        </w:tc>
      </w:tr>
      <w:tr w:rsidR="00EB66E2" w:rsidRPr="00295641" w:rsidTr="00336105">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Ambición</w:t>
            </w:r>
          </w:p>
          <w:p w:rsidR="00EB66E2" w:rsidRPr="00295641" w:rsidRDefault="00EB66E2" w:rsidP="00EB66E2">
            <w:pPr>
              <w:autoSpaceDE w:val="0"/>
              <w:autoSpaceDN w:val="0"/>
              <w:adjustRightInd w:val="0"/>
              <w:rPr>
                <w:rFonts w:cs="Gotham-BookItalic"/>
                <w:b/>
                <w:iCs/>
                <w:color w:val="000000" w:themeColor="text1"/>
              </w:rPr>
            </w:pPr>
          </w:p>
        </w:tc>
        <w:tc>
          <w:tcPr>
            <w:tcW w:w="4820" w:type="dxa"/>
            <w:gridSpan w:val="3"/>
          </w:tcPr>
          <w:p w:rsidR="00EB66E2" w:rsidRPr="00D55406" w:rsidRDefault="00891F42" w:rsidP="003F04D3">
            <w:pPr>
              <w:jc w:val="both"/>
              <w:rPr>
                <w:color w:val="FF0000"/>
                <w:szCs w:val="20"/>
                <w:lang w:val="es-PE"/>
              </w:rPr>
            </w:pPr>
            <w:r w:rsidRPr="00891F42">
              <w:rPr>
                <w:szCs w:val="20"/>
                <w:lang w:val="es-PE"/>
              </w:rPr>
              <w:t xml:space="preserve">Es necesario </w:t>
            </w:r>
            <w:r w:rsidR="003F04D3">
              <w:rPr>
                <w:szCs w:val="20"/>
                <w:lang w:val="es-PE"/>
              </w:rPr>
              <w:t>fortalecer</w:t>
            </w:r>
            <w:r w:rsidRPr="00891F42">
              <w:rPr>
                <w:szCs w:val="20"/>
                <w:lang w:val="es-PE"/>
              </w:rPr>
              <w:t xml:space="preserve"> la transparencia de la gestión pública y garantizar el derecho de los ciudadanos y ciudadanas a acceder a información pública</w:t>
            </w:r>
            <w:r w:rsidR="003F04D3">
              <w:rPr>
                <w:szCs w:val="20"/>
                <w:lang w:val="es-PE"/>
              </w:rPr>
              <w:t>,</w:t>
            </w:r>
            <w:r w:rsidRPr="00891F42">
              <w:rPr>
                <w:szCs w:val="20"/>
                <w:lang w:val="es-PE"/>
              </w:rPr>
              <w:t xml:space="preserve"> referida a </w:t>
            </w:r>
            <w:r>
              <w:rPr>
                <w:szCs w:val="20"/>
                <w:lang w:val="es-PE"/>
              </w:rPr>
              <w:t xml:space="preserve">la </w:t>
            </w:r>
            <w:r w:rsidRPr="00891F42">
              <w:rPr>
                <w:szCs w:val="20"/>
                <w:lang w:val="es-PE"/>
              </w:rPr>
              <w:t>toma de decisiones y m</w:t>
            </w:r>
            <w:r w:rsidR="003F04D3">
              <w:rPr>
                <w:szCs w:val="20"/>
                <w:lang w:val="es-PE"/>
              </w:rPr>
              <w:t xml:space="preserve">anejo de los recursos público. Esto </w:t>
            </w:r>
            <w:r w:rsidRPr="00891F42">
              <w:rPr>
                <w:szCs w:val="20"/>
                <w:lang w:val="es-PE"/>
              </w:rPr>
              <w:t>genera confianza en la ciudadanía</w:t>
            </w:r>
            <w:r w:rsidR="003F04D3">
              <w:rPr>
                <w:szCs w:val="20"/>
                <w:lang w:val="es-PE"/>
              </w:rPr>
              <w:t>, ya que</w:t>
            </w:r>
            <w:r>
              <w:rPr>
                <w:szCs w:val="20"/>
                <w:lang w:val="es-PE"/>
              </w:rPr>
              <w:t xml:space="preserve"> fortalece el control social y </w:t>
            </w:r>
            <w:r w:rsidRPr="00891F42">
              <w:rPr>
                <w:szCs w:val="20"/>
                <w:lang w:val="es-PE"/>
              </w:rPr>
              <w:t>mejora la apertura de la gestión</w:t>
            </w:r>
            <w:r w:rsidR="00EB66E2" w:rsidRPr="00891F42">
              <w:rPr>
                <w:szCs w:val="20"/>
                <w:lang w:val="es-PE"/>
              </w:rPr>
              <w:t>.</w:t>
            </w:r>
            <w:r w:rsidR="00EB66E2" w:rsidRPr="00D55406">
              <w:rPr>
                <w:color w:val="FF0000"/>
                <w:szCs w:val="20"/>
                <w:lang w:val="es-PE"/>
              </w:rPr>
              <w:t xml:space="preserve"> </w:t>
            </w:r>
          </w:p>
        </w:tc>
      </w:tr>
      <w:tr w:rsidR="00EB66E2" w:rsidRPr="00295641" w:rsidTr="00336105">
        <w:tc>
          <w:tcPr>
            <w:tcW w:w="2518" w:type="dxa"/>
            <w:gridSpan w:val="2"/>
            <w:vMerge w:val="restart"/>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EB66E2" w:rsidRPr="00295641" w:rsidRDefault="00EB66E2" w:rsidP="00EB66E2">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EB66E2" w:rsidRPr="00295641" w:rsidRDefault="00EB66E2" w:rsidP="00EB66E2">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EB66E2" w:rsidRPr="00295641" w:rsidRDefault="00EB66E2" w:rsidP="00EB66E2">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EB66E2" w:rsidRPr="00295641" w:rsidRDefault="00EB66E2" w:rsidP="00EB66E2">
            <w:pPr>
              <w:jc w:val="center"/>
              <w:rPr>
                <w:b/>
                <w:color w:val="000000" w:themeColor="text1"/>
              </w:rPr>
            </w:pPr>
            <w:r w:rsidRPr="00295641">
              <w:rPr>
                <w:rFonts w:cs="Gotham-Book"/>
                <w:b/>
                <w:color w:val="000000" w:themeColor="text1"/>
              </w:rPr>
              <w:t>Completo</w:t>
            </w:r>
          </w:p>
        </w:tc>
      </w:tr>
      <w:tr w:rsidR="00EB66E2" w:rsidRPr="00295641" w:rsidTr="00336105">
        <w:tc>
          <w:tcPr>
            <w:tcW w:w="2518" w:type="dxa"/>
            <w:gridSpan w:val="2"/>
            <w:vMerge/>
            <w:shd w:val="clear" w:color="auto" w:fill="C6D9F1" w:themeFill="text2" w:themeFillTint="33"/>
            <w:vAlign w:val="center"/>
          </w:tcPr>
          <w:p w:rsidR="00EB66E2" w:rsidRPr="00295641" w:rsidRDefault="00EB66E2" w:rsidP="00EB66E2">
            <w:pPr>
              <w:rPr>
                <w:b/>
                <w:color w:val="000000" w:themeColor="text1"/>
              </w:rPr>
            </w:pPr>
          </w:p>
        </w:tc>
        <w:tc>
          <w:tcPr>
            <w:tcW w:w="1701" w:type="dxa"/>
          </w:tcPr>
          <w:p w:rsidR="00EB66E2" w:rsidRPr="00295641" w:rsidRDefault="000207D7" w:rsidP="00EB66E2">
            <w:pPr>
              <w:jc w:val="center"/>
              <w:rPr>
                <w:b/>
                <w:color w:val="000000" w:themeColor="text1"/>
              </w:rPr>
            </w:pPr>
            <w:r>
              <w:rPr>
                <w:b/>
                <w:color w:val="000000" w:themeColor="text1"/>
              </w:rPr>
              <w:t>X</w:t>
            </w:r>
          </w:p>
        </w:tc>
        <w:tc>
          <w:tcPr>
            <w:tcW w:w="1729" w:type="dxa"/>
          </w:tcPr>
          <w:p w:rsidR="00EB66E2" w:rsidRPr="00295641" w:rsidRDefault="00EB66E2" w:rsidP="00EB66E2">
            <w:pPr>
              <w:jc w:val="center"/>
              <w:rPr>
                <w:b/>
                <w:color w:val="000000" w:themeColor="text1"/>
              </w:rPr>
            </w:pPr>
          </w:p>
        </w:tc>
        <w:tc>
          <w:tcPr>
            <w:tcW w:w="1644" w:type="dxa"/>
          </w:tcPr>
          <w:p w:rsidR="00EB66E2" w:rsidRPr="00295641" w:rsidRDefault="00EB66E2" w:rsidP="00EB66E2">
            <w:pPr>
              <w:jc w:val="center"/>
              <w:rPr>
                <w:b/>
                <w:color w:val="000000" w:themeColor="text1"/>
              </w:rPr>
            </w:pPr>
          </w:p>
        </w:tc>
        <w:tc>
          <w:tcPr>
            <w:tcW w:w="1447" w:type="dxa"/>
            <w:shd w:val="clear" w:color="auto" w:fill="FFFFFF" w:themeFill="background1"/>
          </w:tcPr>
          <w:p w:rsidR="00EB66E2" w:rsidRPr="00295641" w:rsidRDefault="00EB66E2" w:rsidP="00EB66E2">
            <w:pPr>
              <w:jc w:val="center"/>
              <w:rPr>
                <w:b/>
                <w:color w:val="000000" w:themeColor="text1"/>
              </w:rPr>
            </w:pPr>
          </w:p>
        </w:tc>
      </w:tr>
      <w:tr w:rsidR="00EB66E2" w:rsidRPr="00295641" w:rsidTr="00336105">
        <w:tc>
          <w:tcPr>
            <w:tcW w:w="2518" w:type="dxa"/>
            <w:gridSpan w:val="2"/>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EB66E2" w:rsidRPr="00295641" w:rsidRDefault="00EB66E2" w:rsidP="00EB66E2">
            <w:pPr>
              <w:autoSpaceDE w:val="0"/>
              <w:autoSpaceDN w:val="0"/>
              <w:adjustRightInd w:val="0"/>
              <w:rPr>
                <w:rFonts w:cs="Gotham-BookItalic"/>
                <w:b/>
                <w:iCs/>
                <w:color w:val="000000" w:themeColor="text1"/>
              </w:rPr>
            </w:pPr>
          </w:p>
        </w:tc>
        <w:tc>
          <w:tcPr>
            <w:tcW w:w="6521" w:type="dxa"/>
            <w:gridSpan w:val="4"/>
          </w:tcPr>
          <w:p w:rsidR="00A227EF" w:rsidRPr="00336105" w:rsidRDefault="00891F42" w:rsidP="00EB66E2">
            <w:pPr>
              <w:jc w:val="both"/>
              <w:rPr>
                <w:b/>
                <w:szCs w:val="20"/>
                <w:lang w:val="es-PE"/>
              </w:rPr>
            </w:pPr>
            <w:r>
              <w:rPr>
                <w:szCs w:val="20"/>
                <w:lang w:val="es-PE"/>
              </w:rPr>
              <w:t>S</w:t>
            </w:r>
            <w:r w:rsidRPr="00336105">
              <w:rPr>
                <w:b/>
                <w:szCs w:val="20"/>
                <w:lang w:val="es-PE"/>
              </w:rPr>
              <w:t>e considera</w:t>
            </w:r>
            <w:r w:rsidR="000C6709" w:rsidRPr="00336105">
              <w:rPr>
                <w:b/>
                <w:szCs w:val="20"/>
                <w:lang w:val="es-PE"/>
              </w:rPr>
              <w:t xml:space="preserve">ron </w:t>
            </w:r>
            <w:r w:rsidRPr="00336105">
              <w:rPr>
                <w:b/>
                <w:szCs w:val="20"/>
                <w:lang w:val="es-PE"/>
              </w:rPr>
              <w:t>las siguientes actividades:</w:t>
            </w:r>
          </w:p>
          <w:p w:rsidR="00891F42" w:rsidRPr="00336105" w:rsidRDefault="00891F42" w:rsidP="003A3ABE">
            <w:pPr>
              <w:pStyle w:val="Prrafodelista"/>
              <w:numPr>
                <w:ilvl w:val="0"/>
                <w:numId w:val="7"/>
              </w:numPr>
              <w:jc w:val="both"/>
              <w:rPr>
                <w:b/>
                <w:i/>
                <w:szCs w:val="20"/>
                <w:lang w:val="es-PE"/>
              </w:rPr>
            </w:pPr>
            <w:r w:rsidRPr="00336105">
              <w:rPr>
                <w:b/>
                <w:i/>
                <w:szCs w:val="20"/>
                <w:lang w:val="es-PE"/>
              </w:rPr>
              <w:t>Proyecto de ley culminado</w:t>
            </w:r>
          </w:p>
          <w:p w:rsidR="00891F42" w:rsidRPr="00336105" w:rsidRDefault="00891F42" w:rsidP="003A3ABE">
            <w:pPr>
              <w:pStyle w:val="Prrafodelista"/>
              <w:numPr>
                <w:ilvl w:val="0"/>
                <w:numId w:val="7"/>
              </w:numPr>
              <w:jc w:val="both"/>
              <w:rPr>
                <w:b/>
                <w:i/>
                <w:szCs w:val="20"/>
                <w:lang w:val="es-PE"/>
              </w:rPr>
            </w:pPr>
            <w:r w:rsidRPr="00336105">
              <w:rPr>
                <w:b/>
                <w:i/>
                <w:szCs w:val="20"/>
                <w:lang w:val="es-PE"/>
              </w:rPr>
              <w:t>Reuniones de trabajo con entidades públicas y organizaciones de la sociedad civil para compartir el proyecto y recibir comentarios.</w:t>
            </w:r>
          </w:p>
          <w:p w:rsidR="00891F42" w:rsidRPr="00336105" w:rsidRDefault="00891F42" w:rsidP="003A3ABE">
            <w:pPr>
              <w:pStyle w:val="Prrafodelista"/>
              <w:numPr>
                <w:ilvl w:val="0"/>
                <w:numId w:val="7"/>
              </w:numPr>
              <w:jc w:val="both"/>
              <w:rPr>
                <w:b/>
                <w:i/>
                <w:szCs w:val="20"/>
                <w:lang w:val="es-PE"/>
              </w:rPr>
            </w:pPr>
            <w:r w:rsidRPr="00336105">
              <w:rPr>
                <w:b/>
                <w:i/>
                <w:szCs w:val="20"/>
                <w:lang w:val="es-PE"/>
              </w:rPr>
              <w:t>Aprobación del proyecto de ley por la Alta Dirección de PCM.</w:t>
            </w:r>
          </w:p>
          <w:p w:rsidR="00891F42" w:rsidRPr="00336105" w:rsidRDefault="00891F42" w:rsidP="003A3ABE">
            <w:pPr>
              <w:pStyle w:val="Prrafodelista"/>
              <w:numPr>
                <w:ilvl w:val="0"/>
                <w:numId w:val="7"/>
              </w:numPr>
              <w:jc w:val="both"/>
              <w:rPr>
                <w:b/>
                <w:i/>
                <w:szCs w:val="20"/>
                <w:lang w:val="es-PE"/>
              </w:rPr>
            </w:pPr>
            <w:r w:rsidRPr="00336105">
              <w:rPr>
                <w:b/>
                <w:i/>
                <w:szCs w:val="20"/>
                <w:lang w:val="es-PE"/>
              </w:rPr>
              <w:t xml:space="preserve">Remisión del proyecto de ley </w:t>
            </w:r>
            <w:r w:rsidR="000207D7" w:rsidRPr="00336105">
              <w:rPr>
                <w:b/>
                <w:i/>
                <w:szCs w:val="20"/>
                <w:lang w:val="es-PE"/>
              </w:rPr>
              <w:t>al Congreso de la República.</w:t>
            </w:r>
          </w:p>
          <w:p w:rsidR="00EB66E2" w:rsidRPr="00295641" w:rsidRDefault="00EB66E2" w:rsidP="000C6709">
            <w:pPr>
              <w:jc w:val="both"/>
              <w:rPr>
                <w:color w:val="000000" w:themeColor="text1"/>
              </w:rPr>
            </w:pPr>
          </w:p>
        </w:tc>
      </w:tr>
      <w:tr w:rsidR="00EB66E2" w:rsidRPr="00295641" w:rsidTr="00336105">
        <w:tc>
          <w:tcPr>
            <w:tcW w:w="9039" w:type="dxa"/>
            <w:gridSpan w:val="6"/>
            <w:tcBorders>
              <w:bottom w:val="single" w:sz="4" w:space="0" w:color="auto"/>
            </w:tcBorders>
          </w:tcPr>
          <w:p w:rsidR="00EB66E2" w:rsidRPr="00295641" w:rsidRDefault="00EB66E2" w:rsidP="00EB66E2">
            <w:pPr>
              <w:jc w:val="both"/>
              <w:rPr>
                <w:rFonts w:cs="Gotham-Book"/>
                <w:b/>
                <w:color w:val="000000" w:themeColor="text1"/>
              </w:rPr>
            </w:pPr>
          </w:p>
          <w:p w:rsidR="00EB66E2" w:rsidRPr="00295641" w:rsidRDefault="00EB66E2" w:rsidP="00EB66E2">
            <w:pPr>
              <w:jc w:val="both"/>
              <w:rPr>
                <w:color w:val="000000" w:themeColor="text1"/>
              </w:rPr>
            </w:pPr>
            <w:r>
              <w:rPr>
                <w:rFonts w:cs="Gotham-Book"/>
                <w:b/>
                <w:color w:val="000000" w:themeColor="text1"/>
              </w:rPr>
              <w:t>Información adicional</w:t>
            </w:r>
          </w:p>
        </w:tc>
      </w:tr>
      <w:tr w:rsidR="00EB66E2" w:rsidRPr="00295641" w:rsidTr="00D55E24">
        <w:trPr>
          <w:trHeight w:val="1584"/>
        </w:trPr>
        <w:tc>
          <w:tcPr>
            <w:tcW w:w="9039" w:type="dxa"/>
            <w:gridSpan w:val="6"/>
            <w:tcBorders>
              <w:bottom w:val="single" w:sz="4" w:space="0" w:color="auto"/>
            </w:tcBorders>
          </w:tcPr>
          <w:p w:rsidR="00270FA7" w:rsidRDefault="00270FA7" w:rsidP="00270FA7">
            <w:pPr>
              <w:jc w:val="both"/>
              <w:rPr>
                <w:rFonts w:cs="Gotham-Book"/>
                <w:color w:val="000000" w:themeColor="text1"/>
              </w:rPr>
            </w:pPr>
            <w:r w:rsidRPr="00270FA7">
              <w:rPr>
                <w:rFonts w:cs="Gotham-Book"/>
                <w:color w:val="000000" w:themeColor="text1"/>
              </w:rPr>
              <w:t>El Ministerio de Justicia ha creado la Autoridad Autónoma de Transparencia y Protección de Datos en enero de 2017</w:t>
            </w:r>
            <w:r w:rsidR="00E919ED">
              <w:rPr>
                <w:rFonts w:cs="Gotham-Book"/>
                <w:color w:val="000000" w:themeColor="text1"/>
              </w:rPr>
              <w:t>, mediante Decreto Legislativo N° 1353, el mismo que contiene modificaciones a la Ley de Transparencia y Acceso a la Información Pública referido a los plazos de atención, incorporación de la doble instancia a cargo de la Autoridad</w:t>
            </w:r>
            <w:r w:rsidR="003A20A7">
              <w:rPr>
                <w:rFonts w:cs="Gotham-Book"/>
                <w:color w:val="000000" w:themeColor="text1"/>
              </w:rPr>
              <w:t xml:space="preserve"> y del Régimen Sancionador.</w:t>
            </w:r>
          </w:p>
          <w:p w:rsidR="00D55E24" w:rsidRPr="00A57770" w:rsidRDefault="00A57770" w:rsidP="00270FA7">
            <w:pPr>
              <w:jc w:val="both"/>
              <w:rPr>
                <w:rFonts w:cs="Gotham-Book"/>
                <w:color w:val="000000" w:themeColor="text1"/>
              </w:rPr>
            </w:pPr>
            <w:r w:rsidRPr="00A57770">
              <w:rPr>
                <w:rFonts w:cs="Gotham-Book"/>
                <w:color w:val="000000" w:themeColor="text1"/>
              </w:rPr>
              <w:t>De acuerdo al nuevo ROF de la Secretaría de Gestión Pública de la Presidencia del Consejo de Ministros, no tiene competencia en transparencia y acceso a la información pública.</w:t>
            </w:r>
            <w:r>
              <w:rPr>
                <w:rFonts w:cs="Gotham-Book"/>
                <w:color w:val="000000" w:themeColor="text1"/>
              </w:rPr>
              <w:t xml:space="preserve"> DS No.022-2017-PCM del 27 de febrero de 2017.</w:t>
            </w:r>
          </w:p>
        </w:tc>
      </w:tr>
    </w:tbl>
    <w:p w:rsidR="009B09B1" w:rsidRDefault="009B09B1"/>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9A7AEB" w:rsidRPr="00295641" w:rsidTr="000410D3">
        <w:tc>
          <w:tcPr>
            <w:tcW w:w="9039" w:type="dxa"/>
            <w:gridSpan w:val="6"/>
            <w:tcBorders>
              <w:top w:val="single" w:sz="4" w:space="0" w:color="auto"/>
            </w:tcBorders>
            <w:shd w:val="clear" w:color="auto" w:fill="548DD4" w:themeFill="text2" w:themeFillTint="99"/>
          </w:tcPr>
          <w:p w:rsidR="009A7AEB" w:rsidRPr="00295641" w:rsidRDefault="009A7AEB" w:rsidP="000410D3">
            <w:pPr>
              <w:ind w:left="720"/>
              <w:jc w:val="center"/>
              <w:rPr>
                <w:b/>
              </w:rPr>
            </w:pPr>
            <w:r>
              <w:rPr>
                <w:b/>
              </w:rPr>
              <w:t>Componente: Transparencia y Acceso a la Información Pública</w:t>
            </w:r>
          </w:p>
        </w:tc>
      </w:tr>
      <w:tr w:rsidR="009A7AEB" w:rsidRPr="000207D7" w:rsidTr="000410D3">
        <w:tc>
          <w:tcPr>
            <w:tcW w:w="9039" w:type="dxa"/>
            <w:gridSpan w:val="6"/>
            <w:shd w:val="clear" w:color="auto" w:fill="548DD4" w:themeFill="text2" w:themeFillTint="99"/>
          </w:tcPr>
          <w:p w:rsidR="009A7AEB" w:rsidRPr="000207D7" w:rsidRDefault="009A7AEB" w:rsidP="000410D3">
            <w:pPr>
              <w:ind w:left="360"/>
              <w:jc w:val="center"/>
              <w:rPr>
                <w:b/>
              </w:rPr>
            </w:pPr>
            <w:r w:rsidRPr="005E32C3">
              <w:rPr>
                <w:b/>
                <w:u w:val="single"/>
              </w:rPr>
              <w:t>Compromiso 2.</w:t>
            </w:r>
            <w:r>
              <w:rPr>
                <w:b/>
              </w:rPr>
              <w:t xml:space="preserve"> Mejora del Portal de Transparencia Estándar</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Secretaría/Ministerio</w:t>
            </w:r>
          </w:p>
          <w:p w:rsidR="009A7AEB" w:rsidRPr="00295641" w:rsidRDefault="009A7AEB" w:rsidP="000410D3">
            <w:pPr>
              <w:rPr>
                <w:b/>
                <w:color w:val="000000" w:themeColor="text1"/>
              </w:rPr>
            </w:pPr>
            <w:r w:rsidRPr="00295641">
              <w:rPr>
                <w:rFonts w:cs="Gotham-Book"/>
                <w:b/>
                <w:color w:val="000000" w:themeColor="text1"/>
              </w:rPr>
              <w:t>Responsable</w:t>
            </w:r>
          </w:p>
        </w:tc>
        <w:tc>
          <w:tcPr>
            <w:tcW w:w="4820" w:type="dxa"/>
            <w:gridSpan w:val="3"/>
          </w:tcPr>
          <w:p w:rsidR="009A7AEB" w:rsidRPr="00295641" w:rsidRDefault="009A7AEB" w:rsidP="000410D3">
            <w:pPr>
              <w:jc w:val="both"/>
              <w:rPr>
                <w:color w:val="000000" w:themeColor="text1"/>
              </w:rPr>
            </w:pPr>
            <w:r>
              <w:rPr>
                <w:color w:val="000000" w:themeColor="text1"/>
              </w:rPr>
              <w:t>Presidencia del Consejo de Ministros, a través de la Secretaría de Gestión Pública y la Oficina Nacional de Gobierno Electrónico e Informática-ONGEI</w:t>
            </w:r>
          </w:p>
        </w:tc>
      </w:tr>
      <w:tr w:rsidR="009A7AEB" w:rsidRPr="0026073D"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9A7AEB" w:rsidRPr="0026073D" w:rsidRDefault="009A7AEB" w:rsidP="000410D3">
            <w:r w:rsidRPr="0026073D">
              <w:t>Mercedes Araoz</w:t>
            </w:r>
          </w:p>
        </w:tc>
      </w:tr>
      <w:tr w:rsidR="009A7AEB" w:rsidRPr="0026073D"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Puesto</w:t>
            </w:r>
          </w:p>
        </w:tc>
        <w:tc>
          <w:tcPr>
            <w:tcW w:w="4820" w:type="dxa"/>
            <w:gridSpan w:val="3"/>
          </w:tcPr>
          <w:p w:rsidR="009A7AEB" w:rsidRPr="0026073D" w:rsidRDefault="009A7AEB" w:rsidP="000410D3">
            <w:r w:rsidRPr="0026073D">
              <w:t>Presidenta del Consejo de Ministros</w:t>
            </w:r>
          </w:p>
        </w:tc>
      </w:tr>
      <w:tr w:rsidR="009A7AEB"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9A7AEB" w:rsidRDefault="009A7AEB" w:rsidP="000410D3"/>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Teléfono</w:t>
            </w:r>
          </w:p>
        </w:tc>
        <w:tc>
          <w:tcPr>
            <w:tcW w:w="4820" w:type="dxa"/>
            <w:gridSpan w:val="3"/>
          </w:tcPr>
          <w:p w:rsidR="009A7AEB" w:rsidRPr="00295641" w:rsidRDefault="009A7AEB" w:rsidP="000410D3">
            <w:pPr>
              <w:jc w:val="both"/>
              <w:rPr>
                <w:color w:val="000000" w:themeColor="text1"/>
              </w:rPr>
            </w:pPr>
            <w:r>
              <w:rPr>
                <w:color w:val="000000" w:themeColor="text1"/>
              </w:rPr>
              <w:t>51-1-2197000</w:t>
            </w:r>
          </w:p>
        </w:tc>
      </w:tr>
      <w:tr w:rsidR="009A7AEB" w:rsidRPr="00295641" w:rsidTr="000410D3">
        <w:tc>
          <w:tcPr>
            <w:tcW w:w="2109" w:type="dxa"/>
            <w:vMerge w:val="restart"/>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Gobierno</w:t>
            </w:r>
          </w:p>
        </w:tc>
        <w:tc>
          <w:tcPr>
            <w:tcW w:w="4820" w:type="dxa"/>
            <w:gridSpan w:val="3"/>
          </w:tcPr>
          <w:p w:rsidR="009A7AEB" w:rsidRPr="00295641" w:rsidRDefault="009A7AEB" w:rsidP="000410D3">
            <w:pPr>
              <w:jc w:val="both"/>
              <w:rPr>
                <w:color w:val="000000" w:themeColor="text1"/>
              </w:rPr>
            </w:pPr>
            <w:r>
              <w:rPr>
                <w:color w:val="000000" w:themeColor="text1"/>
              </w:rPr>
              <w:t>No aplica</w:t>
            </w:r>
          </w:p>
        </w:tc>
      </w:tr>
      <w:tr w:rsidR="009A7AEB" w:rsidRPr="00295641" w:rsidTr="000410D3">
        <w:tc>
          <w:tcPr>
            <w:tcW w:w="2109" w:type="dxa"/>
            <w:vMerge/>
            <w:shd w:val="clear" w:color="auto" w:fill="C6D9F1" w:themeFill="text2" w:themeFillTint="33"/>
            <w:vAlign w:val="center"/>
          </w:tcPr>
          <w:p w:rsidR="009A7AEB" w:rsidRPr="00295641" w:rsidRDefault="009A7AEB" w:rsidP="000410D3">
            <w:pPr>
              <w:rPr>
                <w:rFonts w:cs="Gotham-Book"/>
                <w:b/>
                <w:color w:val="000000" w:themeColor="text1"/>
              </w:rPr>
            </w:pPr>
          </w:p>
        </w:tc>
        <w:tc>
          <w:tcPr>
            <w:tcW w:w="2110" w:type="dxa"/>
            <w:gridSpan w:val="2"/>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9A7AEB" w:rsidRPr="00295641" w:rsidRDefault="009A7AEB" w:rsidP="000410D3">
            <w:pPr>
              <w:jc w:val="both"/>
              <w:rPr>
                <w:color w:val="000000" w:themeColor="text1"/>
              </w:rPr>
            </w:pPr>
          </w:p>
        </w:tc>
      </w:tr>
      <w:tr w:rsidR="009A7AEB" w:rsidRPr="001B6855" w:rsidTr="000410D3">
        <w:tc>
          <w:tcPr>
            <w:tcW w:w="4219" w:type="dxa"/>
            <w:gridSpan w:val="3"/>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9A7AEB" w:rsidRDefault="009A7AEB" w:rsidP="000410D3">
            <w:pPr>
              <w:jc w:val="both"/>
              <w:rPr>
                <w:color w:val="000000" w:themeColor="text1"/>
              </w:rPr>
            </w:pPr>
            <w:r>
              <w:rPr>
                <w:color w:val="000000" w:themeColor="text1"/>
              </w:rPr>
              <w:t>De acuerdo a un estudio realizado por Proética, por encargo de la Secretaría de Gestión Pública, vinculado a la percepción ciudadana sobre el PTE, se determinó que:</w:t>
            </w:r>
          </w:p>
          <w:p w:rsidR="009A7AEB" w:rsidRDefault="009A7AEB" w:rsidP="000410D3">
            <w:pPr>
              <w:pStyle w:val="Prrafodelista"/>
              <w:numPr>
                <w:ilvl w:val="0"/>
                <w:numId w:val="8"/>
              </w:numPr>
              <w:jc w:val="both"/>
              <w:rPr>
                <w:color w:val="000000" w:themeColor="text1"/>
              </w:rPr>
            </w:pPr>
            <w:r>
              <w:rPr>
                <w:color w:val="000000" w:themeColor="text1"/>
              </w:rPr>
              <w:t>En algunas secciones del PTE la información es publicada en formato PDF cuya imagen es poco legible. Asimismo, dicha información es publicada en formatos que no pueden ser descargados y utilizados por los ciudadanos y ciudadanas.</w:t>
            </w:r>
          </w:p>
          <w:p w:rsidR="009A7AEB" w:rsidRDefault="009A7AEB" w:rsidP="000410D3">
            <w:pPr>
              <w:pStyle w:val="Prrafodelista"/>
              <w:numPr>
                <w:ilvl w:val="0"/>
                <w:numId w:val="8"/>
              </w:numPr>
              <w:jc w:val="both"/>
              <w:rPr>
                <w:color w:val="000000" w:themeColor="text1"/>
              </w:rPr>
            </w:pPr>
            <w:r>
              <w:rPr>
                <w:color w:val="000000" w:themeColor="text1"/>
              </w:rPr>
              <w:t>Una alta proporción de participantes a los talleres y focus group señaló su insatisfacción con los resultados de búsqueda de información.  Para algunos no fue fácil encontrar la información que buscaban y otros, indicaron que no encontraron la información completa o actualizada.</w:t>
            </w:r>
          </w:p>
          <w:p w:rsidR="009A7AEB" w:rsidRDefault="009A7AEB" w:rsidP="000410D3">
            <w:pPr>
              <w:pStyle w:val="Prrafodelista"/>
              <w:numPr>
                <w:ilvl w:val="0"/>
                <w:numId w:val="8"/>
              </w:numPr>
              <w:jc w:val="both"/>
              <w:rPr>
                <w:color w:val="000000" w:themeColor="text1"/>
              </w:rPr>
            </w:pPr>
            <w:r>
              <w:rPr>
                <w:color w:val="000000" w:themeColor="text1"/>
              </w:rPr>
              <w:t>Los ciudadanos y ciudadanas manifestaron que no han usado nunca el PTE o no conocían de su existencia.</w:t>
            </w:r>
          </w:p>
          <w:p w:rsidR="009A7AEB" w:rsidRPr="001B6855" w:rsidRDefault="009A7AEB" w:rsidP="000410D3">
            <w:pPr>
              <w:pStyle w:val="Prrafodelista"/>
              <w:numPr>
                <w:ilvl w:val="0"/>
                <w:numId w:val="8"/>
              </w:numPr>
              <w:jc w:val="both"/>
              <w:rPr>
                <w:color w:val="000000" w:themeColor="text1"/>
              </w:rPr>
            </w:pPr>
            <w:r>
              <w:rPr>
                <w:color w:val="000000" w:themeColor="text1"/>
              </w:rPr>
              <w:t>La mayoría de participantes tuvo dificultad para encontrar el PTE en las páginas web de las entidades y, una vez que accedieron, consideran que el diseño de la herramienta es poco amigable.</w:t>
            </w:r>
          </w:p>
        </w:tc>
      </w:tr>
      <w:tr w:rsidR="009A7AEB" w:rsidRPr="007B6A82"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Objetivo principal</w:t>
            </w:r>
          </w:p>
        </w:tc>
        <w:tc>
          <w:tcPr>
            <w:tcW w:w="4820" w:type="dxa"/>
            <w:gridSpan w:val="3"/>
          </w:tcPr>
          <w:p w:rsidR="009A7AEB" w:rsidRPr="007B6A82" w:rsidRDefault="009A7AEB" w:rsidP="000410D3">
            <w:pPr>
              <w:jc w:val="both"/>
              <w:rPr>
                <w:bCs/>
              </w:rPr>
            </w:pPr>
            <w:r>
              <w:rPr>
                <w:bCs/>
              </w:rPr>
              <w:t>Contar con un PTE que difunda oportunamente información actualizada, a fin de ser utilizada o reutilizada por los ciudadanos y ciudadanas, así como permitir una fácil navegabilidad para los usuarios. Esto permitirá comunicar sus beneficios a la ciudadanía, a fin de fomentar su uso.</w:t>
            </w:r>
          </w:p>
        </w:tc>
      </w:tr>
      <w:tr w:rsidR="009A7AEB" w:rsidRPr="00D55406"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9A7AEB" w:rsidRPr="00D55406" w:rsidRDefault="009A7AEB" w:rsidP="000410D3">
            <w:pPr>
              <w:jc w:val="both"/>
              <w:rPr>
                <w:color w:val="FF0000"/>
                <w:szCs w:val="20"/>
                <w:lang w:val="es-PE"/>
              </w:rPr>
            </w:pPr>
            <w:r>
              <w:rPr>
                <w:szCs w:val="20"/>
                <w:lang w:val="es-PE"/>
              </w:rPr>
              <w:t>Mejorar la accesibilidad e interoperabilidad de los Portales de Transparencia Estándar-PTE y fomentar la reutilización de los datos contenidos en dichos portales.</w:t>
            </w:r>
          </w:p>
        </w:tc>
      </w:tr>
      <w:tr w:rsidR="009A7AEB" w:rsidRPr="00D55406"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Relevancia</w:t>
            </w:r>
          </w:p>
          <w:p w:rsidR="009A7AEB" w:rsidRPr="00295641" w:rsidRDefault="009A7AEB" w:rsidP="000410D3">
            <w:pPr>
              <w:autoSpaceDE w:val="0"/>
              <w:autoSpaceDN w:val="0"/>
              <w:adjustRightInd w:val="0"/>
              <w:rPr>
                <w:b/>
                <w:color w:val="000000" w:themeColor="text1"/>
              </w:rPr>
            </w:pPr>
          </w:p>
        </w:tc>
        <w:tc>
          <w:tcPr>
            <w:tcW w:w="4820" w:type="dxa"/>
            <w:gridSpan w:val="3"/>
          </w:tcPr>
          <w:p w:rsidR="009A7AEB" w:rsidRPr="00D55406" w:rsidRDefault="009A7AEB" w:rsidP="000410D3">
            <w:pPr>
              <w:jc w:val="both"/>
              <w:rPr>
                <w:color w:val="FF0000"/>
                <w:szCs w:val="20"/>
                <w:lang w:val="es-PE"/>
              </w:rPr>
            </w:pPr>
            <w:r>
              <w:rPr>
                <w:szCs w:val="20"/>
                <w:lang w:val="es-PE"/>
              </w:rPr>
              <w:t>La nueva versión del Portal de Transparencia Estándar contiene el enfoque amigable de cara al ciudadano, y mejora los contenidos de información para facilitar la accesibilidad y reutilización de la información, incorporando el enfoque de la apertura de los datos, contribuyendo, así, a los principios de gobierno abierto para incrementar los niveles de transparencia y acceso a la información pues integra</w:t>
            </w:r>
            <w:r w:rsidRPr="00891F42">
              <w:rPr>
                <w:szCs w:val="20"/>
                <w:lang w:val="es-PE"/>
              </w:rPr>
              <w:t xml:space="preserve"> </w:t>
            </w:r>
            <w:r>
              <w:rPr>
                <w:szCs w:val="20"/>
                <w:lang w:val="es-PE"/>
              </w:rPr>
              <w:t>una herramienta muy importante para garantizar la transparencia de la trazabilidad de los pedidos de atención de acceso a la información pública, lo que permite contar con un sistema de registro de acceso a la información de alcance nacional</w:t>
            </w:r>
            <w:r w:rsidRPr="00891F42">
              <w:rPr>
                <w:szCs w:val="20"/>
                <w:lang w:val="es-PE"/>
              </w:rPr>
              <w:t>.</w:t>
            </w:r>
            <w:r w:rsidRPr="00D55406">
              <w:rPr>
                <w:color w:val="FF0000"/>
                <w:szCs w:val="20"/>
                <w:lang w:val="es-PE"/>
              </w:rPr>
              <w:t xml:space="preserve"> </w:t>
            </w:r>
          </w:p>
        </w:tc>
      </w:tr>
      <w:tr w:rsidR="009A7AEB" w:rsidRPr="00D55406"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Ambición</w:t>
            </w:r>
          </w:p>
          <w:p w:rsidR="009A7AEB" w:rsidRPr="00295641" w:rsidRDefault="009A7AEB" w:rsidP="000410D3">
            <w:pPr>
              <w:autoSpaceDE w:val="0"/>
              <w:autoSpaceDN w:val="0"/>
              <w:adjustRightInd w:val="0"/>
              <w:rPr>
                <w:rFonts w:cs="Gotham-BookItalic"/>
                <w:b/>
                <w:iCs/>
                <w:color w:val="000000" w:themeColor="text1"/>
              </w:rPr>
            </w:pPr>
          </w:p>
        </w:tc>
        <w:tc>
          <w:tcPr>
            <w:tcW w:w="4820" w:type="dxa"/>
            <w:gridSpan w:val="3"/>
          </w:tcPr>
          <w:p w:rsidR="009A7AEB" w:rsidRPr="00D55406" w:rsidRDefault="009A7AEB" w:rsidP="000410D3">
            <w:pPr>
              <w:jc w:val="both"/>
              <w:rPr>
                <w:color w:val="FF0000"/>
                <w:szCs w:val="20"/>
                <w:lang w:val="es-PE"/>
              </w:rPr>
            </w:pPr>
            <w:r>
              <w:rPr>
                <w:szCs w:val="20"/>
                <w:lang w:val="es-PE"/>
              </w:rPr>
              <w:t>Implementación de la nueva versión del Portal de Transparencia Estándar-PTE</w:t>
            </w:r>
          </w:p>
        </w:tc>
      </w:tr>
      <w:tr w:rsidR="009A7AEB" w:rsidRPr="00295641" w:rsidTr="000410D3">
        <w:tc>
          <w:tcPr>
            <w:tcW w:w="2518" w:type="dxa"/>
            <w:gridSpan w:val="2"/>
            <w:vMerge w:val="restart"/>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Completo</w:t>
            </w:r>
          </w:p>
        </w:tc>
      </w:tr>
      <w:tr w:rsidR="009A7AEB" w:rsidRPr="00295641" w:rsidTr="000410D3">
        <w:tc>
          <w:tcPr>
            <w:tcW w:w="2518" w:type="dxa"/>
            <w:gridSpan w:val="2"/>
            <w:vMerge/>
            <w:shd w:val="clear" w:color="auto" w:fill="C6D9F1" w:themeFill="text2" w:themeFillTint="33"/>
            <w:vAlign w:val="center"/>
          </w:tcPr>
          <w:p w:rsidR="009A7AEB" w:rsidRPr="00295641" w:rsidRDefault="009A7AEB" w:rsidP="000410D3">
            <w:pPr>
              <w:rPr>
                <w:b/>
                <w:color w:val="000000" w:themeColor="text1"/>
              </w:rPr>
            </w:pPr>
          </w:p>
        </w:tc>
        <w:tc>
          <w:tcPr>
            <w:tcW w:w="1701" w:type="dxa"/>
          </w:tcPr>
          <w:p w:rsidR="009A7AEB" w:rsidRPr="00295641" w:rsidRDefault="009A7AEB" w:rsidP="000410D3">
            <w:pPr>
              <w:jc w:val="center"/>
              <w:rPr>
                <w:b/>
                <w:color w:val="000000" w:themeColor="text1"/>
              </w:rPr>
            </w:pPr>
          </w:p>
        </w:tc>
        <w:tc>
          <w:tcPr>
            <w:tcW w:w="1729" w:type="dxa"/>
          </w:tcPr>
          <w:p w:rsidR="009A7AEB" w:rsidRPr="00295641" w:rsidRDefault="009A7AEB" w:rsidP="000410D3">
            <w:pPr>
              <w:jc w:val="center"/>
              <w:rPr>
                <w:b/>
                <w:color w:val="000000" w:themeColor="text1"/>
              </w:rPr>
            </w:pPr>
          </w:p>
        </w:tc>
        <w:tc>
          <w:tcPr>
            <w:tcW w:w="1644" w:type="dxa"/>
          </w:tcPr>
          <w:p w:rsidR="009A7AEB" w:rsidRPr="00295641" w:rsidRDefault="009A7AEB" w:rsidP="000410D3">
            <w:pPr>
              <w:jc w:val="center"/>
              <w:rPr>
                <w:b/>
                <w:color w:val="000000" w:themeColor="text1"/>
              </w:rPr>
            </w:pPr>
          </w:p>
        </w:tc>
        <w:tc>
          <w:tcPr>
            <w:tcW w:w="1447" w:type="dxa"/>
            <w:shd w:val="clear" w:color="auto" w:fill="FFFFFF" w:themeFill="background1"/>
          </w:tcPr>
          <w:p w:rsidR="009A7AEB" w:rsidRPr="00295641" w:rsidRDefault="009A7AEB" w:rsidP="000410D3">
            <w:pPr>
              <w:jc w:val="center"/>
              <w:rPr>
                <w:b/>
                <w:color w:val="000000" w:themeColor="text1"/>
              </w:rPr>
            </w:pPr>
            <w:r>
              <w:rPr>
                <w:b/>
                <w:color w:val="000000" w:themeColor="text1"/>
              </w:rPr>
              <w:t>X</w:t>
            </w:r>
          </w:p>
        </w:tc>
      </w:tr>
      <w:tr w:rsidR="009A7AEB" w:rsidRPr="00295641" w:rsidTr="000410D3">
        <w:tc>
          <w:tcPr>
            <w:tcW w:w="2518" w:type="dxa"/>
            <w:gridSpan w:val="2"/>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9A7AEB" w:rsidRPr="00295641" w:rsidRDefault="009A7AEB" w:rsidP="000410D3">
            <w:pPr>
              <w:autoSpaceDE w:val="0"/>
              <w:autoSpaceDN w:val="0"/>
              <w:adjustRightInd w:val="0"/>
              <w:rPr>
                <w:rFonts w:cs="Gotham-BookItalic"/>
                <w:b/>
                <w:iCs/>
                <w:color w:val="000000" w:themeColor="text1"/>
              </w:rPr>
            </w:pPr>
          </w:p>
        </w:tc>
        <w:tc>
          <w:tcPr>
            <w:tcW w:w="6521" w:type="dxa"/>
            <w:gridSpan w:val="4"/>
          </w:tcPr>
          <w:p w:rsidR="009A7AEB" w:rsidRDefault="009A7AEB" w:rsidP="000410D3">
            <w:pPr>
              <w:jc w:val="both"/>
              <w:rPr>
                <w:szCs w:val="20"/>
                <w:lang w:val="es-PE"/>
              </w:rPr>
            </w:pPr>
            <w:r>
              <w:rPr>
                <w:szCs w:val="20"/>
                <w:lang w:val="es-PE"/>
              </w:rPr>
              <w:t>Se consideraron las siguientes actividades:</w:t>
            </w:r>
          </w:p>
          <w:p w:rsidR="009A7AEB" w:rsidRPr="005E32C3" w:rsidRDefault="009A7AEB" w:rsidP="000410D3">
            <w:pPr>
              <w:pStyle w:val="Prrafodelista"/>
              <w:numPr>
                <w:ilvl w:val="0"/>
                <w:numId w:val="9"/>
              </w:numPr>
              <w:jc w:val="both"/>
              <w:rPr>
                <w:b/>
                <w:i/>
                <w:szCs w:val="20"/>
                <w:lang w:val="es-PE"/>
              </w:rPr>
            </w:pPr>
            <w:r w:rsidRPr="005E32C3">
              <w:rPr>
                <w:b/>
                <w:i/>
                <w:szCs w:val="20"/>
                <w:lang w:val="es-PE"/>
              </w:rPr>
              <w:t>Portal de Transparencia Estándar-PTE- rediseñado de la vista mostrada en las páginas web de las entidades públicas.</w:t>
            </w:r>
          </w:p>
          <w:p w:rsidR="009A7AEB" w:rsidRDefault="009A7AEB" w:rsidP="000410D3">
            <w:pPr>
              <w:ind w:left="743"/>
              <w:jc w:val="both"/>
            </w:pPr>
            <w:r>
              <w:rPr>
                <w:szCs w:val="20"/>
                <w:lang w:val="es-PE"/>
              </w:rPr>
              <w:t>La nueva versión del PTE se aprobó en febrero 2017, se accede a la misma a través del Portal del Estado Peruano. S</w:t>
            </w:r>
            <w:r>
              <w:rPr>
                <w:rFonts w:cs="Arial"/>
              </w:rPr>
              <w:t xml:space="preserve">e puede visualizar en el siguiente enlace </w:t>
            </w:r>
            <w:r w:rsidRPr="000F0D46">
              <w:rPr>
                <w:rStyle w:val="Hipervnculo"/>
                <w:rFonts w:cs="Arial"/>
              </w:rPr>
              <w:t>http://peru.gob.pe/Portal_Transparencia_Estandar/</w:t>
            </w:r>
          </w:p>
          <w:p w:rsidR="009A7AEB" w:rsidRDefault="009A7AEB" w:rsidP="000410D3">
            <w:pPr>
              <w:pStyle w:val="Prrafodelista"/>
              <w:numPr>
                <w:ilvl w:val="0"/>
                <w:numId w:val="9"/>
              </w:numPr>
              <w:jc w:val="both"/>
              <w:rPr>
                <w:b/>
                <w:i/>
                <w:szCs w:val="20"/>
                <w:lang w:val="es-PE"/>
              </w:rPr>
            </w:pPr>
            <w:r w:rsidRPr="005E32C3">
              <w:rPr>
                <w:b/>
                <w:i/>
                <w:szCs w:val="20"/>
                <w:lang w:val="es-PE"/>
              </w:rPr>
              <w:t>Elaboración y aprobación de la Estrategia de difusión y comunicación sobre los beneficios del PTE.</w:t>
            </w:r>
          </w:p>
          <w:p w:rsidR="009A7AEB" w:rsidRPr="005B619D" w:rsidRDefault="009A7AEB" w:rsidP="000410D3">
            <w:pPr>
              <w:pStyle w:val="Prrafodelista"/>
              <w:jc w:val="both"/>
              <w:rPr>
                <w:szCs w:val="20"/>
                <w:lang w:val="es-PE"/>
              </w:rPr>
            </w:pPr>
            <w:r w:rsidRPr="005B619D">
              <w:rPr>
                <w:szCs w:val="20"/>
                <w:lang w:val="es-PE"/>
              </w:rPr>
              <w:t xml:space="preserve">Se </w:t>
            </w:r>
            <w:r>
              <w:rPr>
                <w:szCs w:val="20"/>
                <w:lang w:val="es-PE"/>
              </w:rPr>
              <w:t xml:space="preserve">desarrollaron acciones de difusión como la publicación de la norma en la página web de la SGP_PCM en el siguiente enlace </w:t>
            </w:r>
            <w:hyperlink r:id="rId13" w:history="1">
              <w:r w:rsidRPr="00514A83">
                <w:rPr>
                  <w:rStyle w:val="Hipervnculo"/>
                  <w:szCs w:val="20"/>
                  <w:lang w:val="es-PE"/>
                </w:rPr>
                <w:t>http://sgp.pcm.gob.pe/biblioteca/?searchll=Normas</w:t>
              </w:r>
            </w:hyperlink>
            <w:r>
              <w:rPr>
                <w:szCs w:val="20"/>
                <w:lang w:val="es-PE"/>
              </w:rPr>
              <w:t xml:space="preserve"> , se difundió a través de las redes sociales su implementación y diferentes talleres de asistencia técnica a las entidades públicas sobre la implementación de la nueva versión del PTE. </w:t>
            </w:r>
          </w:p>
          <w:p w:rsidR="009A7AEB" w:rsidRPr="005E32C3" w:rsidRDefault="009A7AEB" w:rsidP="000410D3">
            <w:pPr>
              <w:pStyle w:val="Prrafodelista"/>
              <w:numPr>
                <w:ilvl w:val="0"/>
                <w:numId w:val="9"/>
              </w:numPr>
              <w:jc w:val="both"/>
              <w:rPr>
                <w:b/>
                <w:i/>
                <w:szCs w:val="20"/>
                <w:lang w:val="es-PE"/>
              </w:rPr>
            </w:pPr>
            <w:r w:rsidRPr="005E32C3">
              <w:rPr>
                <w:b/>
                <w:i/>
                <w:szCs w:val="20"/>
                <w:lang w:val="es-PE"/>
              </w:rPr>
              <w:t>Presentación pública de las mejoras introducidas en el PTE.</w:t>
            </w:r>
          </w:p>
          <w:p w:rsidR="009A7AEB" w:rsidRDefault="009A7AEB" w:rsidP="000410D3">
            <w:pPr>
              <w:pStyle w:val="Prrafodelista"/>
              <w:jc w:val="both"/>
              <w:rPr>
                <w:szCs w:val="20"/>
                <w:lang w:val="es-PE"/>
              </w:rPr>
            </w:pPr>
            <w:r w:rsidRPr="00F320B0">
              <w:rPr>
                <w:szCs w:val="20"/>
                <w:lang w:val="es-PE"/>
              </w:rPr>
              <w:t xml:space="preserve">Se desarrollaron dos reuniones con entidades públicas y </w:t>
            </w:r>
            <w:r>
              <w:rPr>
                <w:szCs w:val="20"/>
                <w:lang w:val="es-PE"/>
              </w:rPr>
              <w:t xml:space="preserve">con las oficinas regionales de la Defensoría del Pueblo, a solicitud de esta institución. </w:t>
            </w:r>
          </w:p>
          <w:p w:rsidR="009A7AEB" w:rsidRPr="003D2BC9" w:rsidRDefault="009A7AEB" w:rsidP="000410D3">
            <w:pPr>
              <w:pStyle w:val="Prrafodelista"/>
              <w:jc w:val="both"/>
              <w:rPr>
                <w:szCs w:val="20"/>
                <w:lang w:val="es-PE"/>
              </w:rPr>
            </w:pPr>
            <w:r>
              <w:rPr>
                <w:szCs w:val="20"/>
                <w:lang w:val="es-PE"/>
              </w:rPr>
              <w:t>El PTE cuenta con una directiva para su utilización que establece el tipo de información a publicar y las normas que lo sustentan.</w:t>
            </w:r>
          </w:p>
          <w:p w:rsidR="009A7AEB" w:rsidRPr="00295641" w:rsidRDefault="009A7AEB" w:rsidP="000410D3">
            <w:pPr>
              <w:jc w:val="both"/>
              <w:rPr>
                <w:color w:val="000000" w:themeColor="text1"/>
              </w:rPr>
            </w:pPr>
          </w:p>
        </w:tc>
      </w:tr>
      <w:tr w:rsidR="009A7AEB" w:rsidRPr="00295641" w:rsidTr="000410D3">
        <w:tc>
          <w:tcPr>
            <w:tcW w:w="9039" w:type="dxa"/>
            <w:gridSpan w:val="6"/>
          </w:tcPr>
          <w:p w:rsidR="009A7AEB" w:rsidRPr="00295641" w:rsidRDefault="009A7AEB" w:rsidP="000410D3">
            <w:pPr>
              <w:jc w:val="both"/>
              <w:rPr>
                <w:rFonts w:cs="Gotham-Book"/>
                <w:b/>
                <w:color w:val="000000" w:themeColor="text1"/>
              </w:rPr>
            </w:pPr>
          </w:p>
          <w:p w:rsidR="009A7AEB" w:rsidRPr="00295641" w:rsidRDefault="009A7AEB" w:rsidP="000410D3">
            <w:pPr>
              <w:jc w:val="both"/>
              <w:rPr>
                <w:color w:val="000000" w:themeColor="text1"/>
              </w:rPr>
            </w:pPr>
            <w:r>
              <w:rPr>
                <w:rFonts w:cs="Gotham-Book"/>
                <w:b/>
                <w:color w:val="000000" w:themeColor="text1"/>
              </w:rPr>
              <w:t>Información adicional</w:t>
            </w:r>
          </w:p>
        </w:tc>
      </w:tr>
      <w:tr w:rsidR="009A7AEB" w:rsidRPr="00295641" w:rsidTr="000410D3">
        <w:tc>
          <w:tcPr>
            <w:tcW w:w="9039" w:type="dxa"/>
            <w:gridSpan w:val="6"/>
          </w:tcPr>
          <w:p w:rsidR="009A7AEB" w:rsidRPr="00295641" w:rsidRDefault="009A7AEB" w:rsidP="000410D3">
            <w:pPr>
              <w:jc w:val="both"/>
              <w:rPr>
                <w:rFonts w:cs="Gotham-Book"/>
                <w:b/>
                <w:color w:val="000000" w:themeColor="text1"/>
              </w:rPr>
            </w:pPr>
            <w:r>
              <w:rPr>
                <w:szCs w:val="20"/>
                <w:lang w:val="es-PE"/>
              </w:rPr>
              <w:t xml:space="preserve">La integración de los sistemas de información de entes rectores en el Portal de Transparencia Estándar </w:t>
            </w:r>
            <w:r w:rsidR="000410D3">
              <w:rPr>
                <w:szCs w:val="20"/>
                <w:lang w:val="es-PE"/>
              </w:rPr>
              <w:t xml:space="preserve">(PTE) </w:t>
            </w:r>
            <w:r>
              <w:rPr>
                <w:szCs w:val="20"/>
                <w:lang w:val="es-PE"/>
              </w:rPr>
              <w:t xml:space="preserve">ha sido significativo, ya que se cuenta con la información proporcionada por el Ministerio de Economía y Finanzas sobre información presupuestal del Sistema Integrado de Administración Financiera- SIAF, o información de Contrataciones </w:t>
            </w:r>
            <w:r w:rsidRPr="000410D3">
              <w:rPr>
                <w:szCs w:val="20"/>
                <w:lang w:val="es-PE"/>
              </w:rPr>
              <w:t>cuya información proviene del Sistema Electrónico de Contrataciones del Estado-SEACE</w:t>
            </w:r>
            <w:r>
              <w:rPr>
                <w:szCs w:val="20"/>
                <w:lang w:val="es-PE"/>
              </w:rPr>
              <w:t xml:space="preserve">. El PTE que es de alcance nacional cuenta con información oficial y actualizada diariamente. Asimismo, se le ha dado un valor agregado, </w:t>
            </w:r>
            <w:r w:rsidRPr="000410D3">
              <w:rPr>
                <w:szCs w:val="20"/>
                <w:lang w:val="es-PE"/>
              </w:rPr>
              <w:t>mediante la integración de un sistema de registro de solicitudes de información pública y seguimiento a las respuestas para conocer el estado de la trazabilidad en su atención</w:t>
            </w:r>
            <w:r>
              <w:rPr>
                <w:szCs w:val="20"/>
                <w:lang w:val="es-PE"/>
              </w:rPr>
              <w:t>; y se ha contemplado la migración de la información estructurada para el Portal Nacional de Datos Abiertos.</w:t>
            </w:r>
          </w:p>
        </w:tc>
      </w:tr>
    </w:tbl>
    <w:p w:rsidR="009A7AEB" w:rsidRDefault="009A7AEB"/>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9A7AEB" w:rsidRPr="00295641" w:rsidTr="000410D3">
        <w:tc>
          <w:tcPr>
            <w:tcW w:w="9039" w:type="dxa"/>
            <w:gridSpan w:val="6"/>
            <w:shd w:val="clear" w:color="auto" w:fill="548DD4" w:themeFill="text2" w:themeFillTint="99"/>
          </w:tcPr>
          <w:p w:rsidR="009A7AEB" w:rsidRPr="00295641" w:rsidRDefault="009A7AEB" w:rsidP="000410D3">
            <w:pPr>
              <w:ind w:left="720"/>
              <w:jc w:val="center"/>
              <w:rPr>
                <w:b/>
              </w:rPr>
            </w:pPr>
            <w:r>
              <w:rPr>
                <w:b/>
              </w:rPr>
              <w:t>Componente: Transparencia y Acceso a la Información Pública</w:t>
            </w:r>
          </w:p>
        </w:tc>
      </w:tr>
      <w:tr w:rsidR="009A7AEB" w:rsidTr="000410D3">
        <w:tc>
          <w:tcPr>
            <w:tcW w:w="9039" w:type="dxa"/>
            <w:gridSpan w:val="6"/>
            <w:shd w:val="clear" w:color="auto" w:fill="548DD4" w:themeFill="text2" w:themeFillTint="99"/>
          </w:tcPr>
          <w:p w:rsidR="009A7AEB" w:rsidRDefault="009A7AEB" w:rsidP="000410D3">
            <w:pPr>
              <w:ind w:left="720"/>
              <w:jc w:val="center"/>
              <w:rPr>
                <w:b/>
              </w:rPr>
            </w:pPr>
            <w:r w:rsidRPr="005E32C3">
              <w:rPr>
                <w:b/>
                <w:u w:val="single"/>
              </w:rPr>
              <w:t>Compromiso 3</w:t>
            </w:r>
            <w:r>
              <w:rPr>
                <w:b/>
              </w:rPr>
              <w:t>. Mejorar conocimientos a funcionarios y servidores públicos en transparencia y acceso a la información pública</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Secretaría/Ministerio</w:t>
            </w:r>
          </w:p>
          <w:p w:rsidR="009A7AEB" w:rsidRPr="00295641" w:rsidRDefault="009A7AEB" w:rsidP="000410D3">
            <w:pPr>
              <w:rPr>
                <w:b/>
                <w:color w:val="000000" w:themeColor="text1"/>
              </w:rPr>
            </w:pPr>
            <w:r w:rsidRPr="00295641">
              <w:rPr>
                <w:rFonts w:cs="Gotham-Book"/>
                <w:b/>
                <w:color w:val="000000" w:themeColor="text1"/>
              </w:rPr>
              <w:t>Responsable</w:t>
            </w:r>
          </w:p>
        </w:tc>
        <w:tc>
          <w:tcPr>
            <w:tcW w:w="4820" w:type="dxa"/>
            <w:gridSpan w:val="3"/>
          </w:tcPr>
          <w:p w:rsidR="009A7AEB" w:rsidRPr="00295641" w:rsidRDefault="009A7AEB" w:rsidP="000410D3">
            <w:pPr>
              <w:jc w:val="both"/>
              <w:rPr>
                <w:color w:val="000000" w:themeColor="text1"/>
              </w:rPr>
            </w:pPr>
            <w:r>
              <w:rPr>
                <w:color w:val="000000" w:themeColor="text1"/>
              </w:rPr>
              <w:t>Presidencia del Consejo de Ministros, a través de la Secretaría de Gestión Pública</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9A7AEB" w:rsidRPr="00295641" w:rsidRDefault="009A7AEB" w:rsidP="000410D3">
            <w:pPr>
              <w:jc w:val="both"/>
              <w:rPr>
                <w:color w:val="000000" w:themeColor="text1"/>
              </w:rPr>
            </w:pPr>
            <w:r>
              <w:rPr>
                <w:color w:val="000000" w:themeColor="text1"/>
              </w:rPr>
              <w:t>Mercedes Araoz</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Puesto</w:t>
            </w:r>
          </w:p>
        </w:tc>
        <w:tc>
          <w:tcPr>
            <w:tcW w:w="4820" w:type="dxa"/>
            <w:gridSpan w:val="3"/>
          </w:tcPr>
          <w:p w:rsidR="009A7AEB" w:rsidRPr="00295641" w:rsidRDefault="009A7AEB" w:rsidP="000410D3">
            <w:pPr>
              <w:jc w:val="both"/>
              <w:rPr>
                <w:color w:val="000000" w:themeColor="text1"/>
              </w:rPr>
            </w:pPr>
            <w:r w:rsidRPr="005031BE">
              <w:rPr>
                <w:color w:val="000000" w:themeColor="text1"/>
              </w:rPr>
              <w:t>Presidenta del Consejo de Ministros</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9A7AEB" w:rsidRPr="00295641" w:rsidRDefault="009A7AEB" w:rsidP="000410D3">
            <w:pPr>
              <w:jc w:val="both"/>
              <w:rPr>
                <w:rFonts w:cs="Arial"/>
                <w:color w:val="0000FF"/>
                <w:u w:val="single"/>
              </w:rPr>
            </w:pP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Teléfono</w:t>
            </w:r>
          </w:p>
        </w:tc>
        <w:tc>
          <w:tcPr>
            <w:tcW w:w="4820" w:type="dxa"/>
            <w:gridSpan w:val="3"/>
          </w:tcPr>
          <w:p w:rsidR="009A7AEB" w:rsidRPr="00295641" w:rsidRDefault="009A7AEB" w:rsidP="000410D3">
            <w:pPr>
              <w:jc w:val="both"/>
              <w:rPr>
                <w:color w:val="000000" w:themeColor="text1"/>
              </w:rPr>
            </w:pPr>
            <w:r>
              <w:rPr>
                <w:color w:val="000000" w:themeColor="text1"/>
              </w:rPr>
              <w:t>51-1-2197000</w:t>
            </w:r>
          </w:p>
        </w:tc>
      </w:tr>
      <w:tr w:rsidR="009A7AEB" w:rsidRPr="00295641" w:rsidTr="000410D3">
        <w:tc>
          <w:tcPr>
            <w:tcW w:w="2109" w:type="dxa"/>
            <w:vMerge w:val="restart"/>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Gobierno</w:t>
            </w:r>
          </w:p>
        </w:tc>
        <w:tc>
          <w:tcPr>
            <w:tcW w:w="4820" w:type="dxa"/>
            <w:gridSpan w:val="3"/>
          </w:tcPr>
          <w:p w:rsidR="009A7AEB" w:rsidRPr="00295641" w:rsidRDefault="009A7AEB" w:rsidP="000410D3">
            <w:pPr>
              <w:jc w:val="both"/>
              <w:rPr>
                <w:color w:val="000000" w:themeColor="text1"/>
              </w:rPr>
            </w:pPr>
            <w:r>
              <w:rPr>
                <w:color w:val="000000" w:themeColor="text1"/>
              </w:rPr>
              <w:t>No aplica</w:t>
            </w:r>
          </w:p>
        </w:tc>
      </w:tr>
      <w:tr w:rsidR="009A7AEB" w:rsidRPr="00295641" w:rsidTr="000410D3">
        <w:tc>
          <w:tcPr>
            <w:tcW w:w="2109" w:type="dxa"/>
            <w:vMerge/>
            <w:shd w:val="clear" w:color="auto" w:fill="C6D9F1" w:themeFill="text2" w:themeFillTint="33"/>
            <w:vAlign w:val="center"/>
          </w:tcPr>
          <w:p w:rsidR="009A7AEB" w:rsidRPr="00295641" w:rsidRDefault="009A7AEB" w:rsidP="000410D3">
            <w:pPr>
              <w:rPr>
                <w:rFonts w:cs="Gotham-Book"/>
                <w:b/>
                <w:color w:val="000000" w:themeColor="text1"/>
              </w:rPr>
            </w:pPr>
          </w:p>
        </w:tc>
        <w:tc>
          <w:tcPr>
            <w:tcW w:w="2110" w:type="dxa"/>
            <w:gridSpan w:val="2"/>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9A7AEB" w:rsidRPr="00295641" w:rsidRDefault="009A7AEB" w:rsidP="000410D3">
            <w:pPr>
              <w:jc w:val="both"/>
              <w:rPr>
                <w:color w:val="000000" w:themeColor="text1"/>
              </w:rPr>
            </w:pP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9A7AEB" w:rsidRPr="00295641" w:rsidRDefault="009A7AEB" w:rsidP="000410D3">
            <w:pPr>
              <w:jc w:val="both"/>
              <w:rPr>
                <w:color w:val="000000" w:themeColor="text1"/>
              </w:rPr>
            </w:pPr>
            <w:r>
              <w:rPr>
                <w:color w:val="000000" w:themeColor="text1"/>
              </w:rPr>
              <w:t>Se identificaron dificultades en el acceso a información o falta de actualización de los portales de transparencia.</w:t>
            </w:r>
          </w:p>
        </w:tc>
      </w:tr>
      <w:tr w:rsidR="009A7AEB" w:rsidRPr="007B6A82"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Objetivo principal</w:t>
            </w:r>
          </w:p>
        </w:tc>
        <w:tc>
          <w:tcPr>
            <w:tcW w:w="4820" w:type="dxa"/>
            <w:gridSpan w:val="3"/>
          </w:tcPr>
          <w:p w:rsidR="009A7AEB" w:rsidRPr="007B6A82" w:rsidRDefault="009A7AEB" w:rsidP="000410D3">
            <w:pPr>
              <w:jc w:val="both"/>
              <w:rPr>
                <w:bCs/>
              </w:rPr>
            </w:pPr>
            <w:r>
              <w:rPr>
                <w:bCs/>
              </w:rPr>
              <w:t>Fortalecer las capacidades de los funcionarios responsables de atender las solicitudes de información y de los responsables del PTE sobre los alcances de la normativa en materia de TAIP, para promover un mejor ejercicio de sus funciones, generando valor público para los ciudadanos y ciudadanas.</w:t>
            </w:r>
          </w:p>
        </w:tc>
      </w:tr>
      <w:tr w:rsidR="009A7AEB" w:rsidRPr="00D55406"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9A7AEB" w:rsidRPr="00D55406" w:rsidRDefault="009A7AEB" w:rsidP="000410D3">
            <w:pPr>
              <w:jc w:val="both"/>
              <w:rPr>
                <w:color w:val="FF0000"/>
                <w:szCs w:val="20"/>
                <w:lang w:val="es-PE"/>
              </w:rPr>
            </w:pPr>
            <w:r>
              <w:rPr>
                <w:szCs w:val="20"/>
                <w:lang w:val="es-PE"/>
              </w:rPr>
              <w:t xml:space="preserve">Mejorar los conocimientos y desarrollar habilidades de los funcionarios y servidores públicos para la adecuada implementación de la normativa de transparencia y acceso a la información pública, ampliando progresivamente la cobertura de la capacitación. </w:t>
            </w:r>
          </w:p>
        </w:tc>
      </w:tr>
      <w:tr w:rsidR="009A7AEB" w:rsidRPr="00D55406"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Relevancia</w:t>
            </w:r>
          </w:p>
          <w:p w:rsidR="009A7AEB" w:rsidRPr="00295641" w:rsidRDefault="009A7AEB" w:rsidP="000410D3">
            <w:pPr>
              <w:autoSpaceDE w:val="0"/>
              <w:autoSpaceDN w:val="0"/>
              <w:adjustRightInd w:val="0"/>
              <w:rPr>
                <w:b/>
                <w:color w:val="000000" w:themeColor="text1"/>
              </w:rPr>
            </w:pPr>
          </w:p>
        </w:tc>
        <w:tc>
          <w:tcPr>
            <w:tcW w:w="4820" w:type="dxa"/>
            <w:gridSpan w:val="3"/>
          </w:tcPr>
          <w:p w:rsidR="009A7AEB" w:rsidRPr="00D55406" w:rsidRDefault="009A7AEB" w:rsidP="000410D3">
            <w:pPr>
              <w:jc w:val="both"/>
              <w:rPr>
                <w:color w:val="FF0000"/>
                <w:szCs w:val="20"/>
                <w:lang w:val="es-PE"/>
              </w:rPr>
            </w:pPr>
            <w:r>
              <w:rPr>
                <w:szCs w:val="20"/>
                <w:lang w:val="es-PE"/>
              </w:rPr>
              <w:t>El fortalecimiento de capacidades del personal de la administración pública promoverá un mayor conocimiento y sensibilización sobre la aplicación de los principios de gobierno abierto para un mejor ejercicio de sus funciones.</w:t>
            </w:r>
          </w:p>
        </w:tc>
      </w:tr>
      <w:tr w:rsidR="009A7AEB" w:rsidRPr="00D55406"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Ambición</w:t>
            </w:r>
          </w:p>
          <w:p w:rsidR="009A7AEB" w:rsidRPr="00295641" w:rsidRDefault="009A7AEB" w:rsidP="000410D3">
            <w:pPr>
              <w:autoSpaceDE w:val="0"/>
              <w:autoSpaceDN w:val="0"/>
              <w:adjustRightInd w:val="0"/>
              <w:rPr>
                <w:rFonts w:cs="Gotham-BookItalic"/>
                <w:b/>
                <w:iCs/>
                <w:color w:val="000000" w:themeColor="text1"/>
              </w:rPr>
            </w:pPr>
          </w:p>
        </w:tc>
        <w:tc>
          <w:tcPr>
            <w:tcW w:w="4820" w:type="dxa"/>
            <w:gridSpan w:val="3"/>
          </w:tcPr>
          <w:p w:rsidR="009A7AEB" w:rsidRPr="00D55406" w:rsidRDefault="009A7AEB" w:rsidP="000410D3">
            <w:pPr>
              <w:jc w:val="both"/>
              <w:rPr>
                <w:color w:val="FF0000"/>
                <w:szCs w:val="20"/>
                <w:lang w:val="es-PE"/>
              </w:rPr>
            </w:pPr>
            <w:r>
              <w:rPr>
                <w:szCs w:val="20"/>
                <w:lang w:val="es-PE"/>
              </w:rPr>
              <w:t>Se espera incrementar el conocimiento de funcionarios y servidores públicos sobre los conceptos y enfoque de gobierno abierto y que sea aplicado en la formulación y diseño de políticas públicas, reforzando la apertura de un Estado hacia el ciudadano.</w:t>
            </w:r>
            <w:r w:rsidRPr="00D55406">
              <w:rPr>
                <w:color w:val="FF0000"/>
                <w:szCs w:val="20"/>
                <w:lang w:val="es-PE"/>
              </w:rPr>
              <w:t xml:space="preserve"> </w:t>
            </w:r>
          </w:p>
        </w:tc>
      </w:tr>
      <w:tr w:rsidR="009A7AEB" w:rsidRPr="00295641" w:rsidTr="000410D3">
        <w:tc>
          <w:tcPr>
            <w:tcW w:w="2518" w:type="dxa"/>
            <w:gridSpan w:val="2"/>
            <w:vMerge w:val="restart"/>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Completo</w:t>
            </w:r>
          </w:p>
        </w:tc>
      </w:tr>
      <w:tr w:rsidR="009A7AEB" w:rsidRPr="00295641" w:rsidTr="000410D3">
        <w:tc>
          <w:tcPr>
            <w:tcW w:w="2518" w:type="dxa"/>
            <w:gridSpan w:val="2"/>
            <w:vMerge/>
            <w:shd w:val="clear" w:color="auto" w:fill="C6D9F1" w:themeFill="text2" w:themeFillTint="33"/>
            <w:vAlign w:val="center"/>
          </w:tcPr>
          <w:p w:rsidR="009A7AEB" w:rsidRPr="00295641" w:rsidRDefault="009A7AEB" w:rsidP="000410D3">
            <w:pPr>
              <w:rPr>
                <w:b/>
                <w:color w:val="000000" w:themeColor="text1"/>
              </w:rPr>
            </w:pPr>
          </w:p>
        </w:tc>
        <w:tc>
          <w:tcPr>
            <w:tcW w:w="1701" w:type="dxa"/>
          </w:tcPr>
          <w:p w:rsidR="009A7AEB" w:rsidRPr="00295641" w:rsidRDefault="009A7AEB" w:rsidP="000410D3">
            <w:pPr>
              <w:jc w:val="center"/>
              <w:rPr>
                <w:b/>
                <w:color w:val="000000" w:themeColor="text1"/>
              </w:rPr>
            </w:pPr>
          </w:p>
        </w:tc>
        <w:tc>
          <w:tcPr>
            <w:tcW w:w="1729" w:type="dxa"/>
          </w:tcPr>
          <w:p w:rsidR="009A7AEB" w:rsidRPr="00295641" w:rsidRDefault="009A7AEB" w:rsidP="000410D3">
            <w:pPr>
              <w:jc w:val="center"/>
              <w:rPr>
                <w:b/>
                <w:color w:val="000000" w:themeColor="text1"/>
              </w:rPr>
            </w:pPr>
          </w:p>
        </w:tc>
        <w:tc>
          <w:tcPr>
            <w:tcW w:w="1644" w:type="dxa"/>
          </w:tcPr>
          <w:p w:rsidR="009A7AEB" w:rsidRPr="00295641" w:rsidRDefault="009A7AEB" w:rsidP="000410D3">
            <w:pPr>
              <w:jc w:val="center"/>
              <w:rPr>
                <w:b/>
                <w:color w:val="000000" w:themeColor="text1"/>
              </w:rPr>
            </w:pPr>
          </w:p>
        </w:tc>
        <w:tc>
          <w:tcPr>
            <w:tcW w:w="1447" w:type="dxa"/>
            <w:shd w:val="clear" w:color="auto" w:fill="FFFFFF" w:themeFill="background1"/>
          </w:tcPr>
          <w:p w:rsidR="009A7AEB" w:rsidRPr="00295641" w:rsidRDefault="009A7AEB" w:rsidP="000410D3">
            <w:pPr>
              <w:jc w:val="center"/>
              <w:rPr>
                <w:b/>
                <w:color w:val="000000" w:themeColor="text1"/>
              </w:rPr>
            </w:pPr>
            <w:r>
              <w:rPr>
                <w:b/>
                <w:color w:val="000000" w:themeColor="text1"/>
              </w:rPr>
              <w:t>X</w:t>
            </w:r>
          </w:p>
        </w:tc>
      </w:tr>
      <w:tr w:rsidR="009A7AEB" w:rsidRPr="00A730A4" w:rsidTr="000410D3">
        <w:tc>
          <w:tcPr>
            <w:tcW w:w="2518" w:type="dxa"/>
            <w:gridSpan w:val="2"/>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9A7AEB" w:rsidRPr="00295641" w:rsidRDefault="009A7AEB" w:rsidP="000410D3">
            <w:pPr>
              <w:autoSpaceDE w:val="0"/>
              <w:autoSpaceDN w:val="0"/>
              <w:adjustRightInd w:val="0"/>
              <w:rPr>
                <w:rFonts w:cs="Gotham-BookItalic"/>
                <w:b/>
                <w:iCs/>
                <w:color w:val="000000" w:themeColor="text1"/>
              </w:rPr>
            </w:pPr>
          </w:p>
        </w:tc>
        <w:tc>
          <w:tcPr>
            <w:tcW w:w="6521" w:type="dxa"/>
            <w:gridSpan w:val="4"/>
          </w:tcPr>
          <w:p w:rsidR="009A7AEB" w:rsidRPr="008B6C96" w:rsidRDefault="009A7AEB" w:rsidP="000410D3">
            <w:pPr>
              <w:jc w:val="both"/>
              <w:rPr>
                <w:szCs w:val="20"/>
                <w:lang w:val="es-PE"/>
              </w:rPr>
            </w:pPr>
            <w:r w:rsidRPr="008B6C96">
              <w:rPr>
                <w:szCs w:val="20"/>
                <w:lang w:val="es-PE"/>
              </w:rPr>
              <w:t xml:space="preserve">Se </w:t>
            </w:r>
            <w:r>
              <w:rPr>
                <w:szCs w:val="20"/>
                <w:lang w:val="es-PE"/>
              </w:rPr>
              <w:t xml:space="preserve">consideraron </w:t>
            </w:r>
            <w:r w:rsidRPr="008B6C96">
              <w:rPr>
                <w:szCs w:val="20"/>
                <w:lang w:val="es-PE"/>
              </w:rPr>
              <w:t>las siguientes actividades:</w:t>
            </w:r>
          </w:p>
          <w:p w:rsidR="009A7AEB" w:rsidRPr="005E32C3" w:rsidRDefault="009A7AEB" w:rsidP="000410D3">
            <w:pPr>
              <w:pStyle w:val="Prrafodelista"/>
              <w:numPr>
                <w:ilvl w:val="0"/>
                <w:numId w:val="10"/>
              </w:numPr>
              <w:jc w:val="both"/>
              <w:rPr>
                <w:b/>
                <w:i/>
                <w:szCs w:val="20"/>
                <w:lang w:val="es-PE"/>
              </w:rPr>
            </w:pPr>
            <w:r w:rsidRPr="005E32C3">
              <w:rPr>
                <w:b/>
                <w:i/>
                <w:szCs w:val="20"/>
                <w:lang w:val="es-PE"/>
              </w:rPr>
              <w:t>Programa de fortalecimiento de capacidades sobre Gobierno Abierto enfocado en transparencia y acceso a la información pública.</w:t>
            </w:r>
          </w:p>
          <w:p w:rsidR="009A7AEB" w:rsidRPr="008B6C96" w:rsidRDefault="009A7AEB" w:rsidP="000410D3">
            <w:pPr>
              <w:ind w:left="360"/>
              <w:jc w:val="both"/>
              <w:rPr>
                <w:szCs w:val="20"/>
                <w:lang w:val="es-PE"/>
              </w:rPr>
            </w:pPr>
            <w:r w:rsidRPr="008B6C96">
              <w:rPr>
                <w:szCs w:val="20"/>
                <w:lang w:val="es-PE"/>
              </w:rPr>
              <w:t>Con el apoyo de Prodescentralización</w:t>
            </w:r>
            <w:r>
              <w:rPr>
                <w:szCs w:val="20"/>
                <w:lang w:val="es-PE"/>
              </w:rPr>
              <w:t xml:space="preserve"> </w:t>
            </w:r>
            <w:r w:rsidRPr="008B6C96">
              <w:rPr>
                <w:szCs w:val="20"/>
                <w:lang w:val="es-PE"/>
              </w:rPr>
              <w:t xml:space="preserve">USAID se desarrolló </w:t>
            </w:r>
            <w:r>
              <w:rPr>
                <w:szCs w:val="20"/>
                <w:lang w:val="es-PE"/>
              </w:rPr>
              <w:t xml:space="preserve">e implementó durante el 2015-2016 </w:t>
            </w:r>
            <w:r w:rsidRPr="008B6C96">
              <w:rPr>
                <w:szCs w:val="20"/>
                <w:lang w:val="es-PE"/>
              </w:rPr>
              <w:t>el Programa de Fortalecimiento de capacidades en materia de Gobierno Abierto</w:t>
            </w:r>
            <w:r>
              <w:rPr>
                <w:szCs w:val="20"/>
                <w:lang w:val="es-PE"/>
              </w:rPr>
              <w:t>,</w:t>
            </w:r>
            <w:r w:rsidRPr="008B6C96">
              <w:rPr>
                <w:szCs w:val="20"/>
                <w:lang w:val="es-PE"/>
              </w:rPr>
              <w:t xml:space="preserve"> dirigido a gobiernos regionales y locales. Dicho Programa brinda herramientas para gestionar la capacitación en las entidades, bajo enfoques y criterios del ente rector, pero ade</w:t>
            </w:r>
            <w:r>
              <w:rPr>
                <w:szCs w:val="20"/>
                <w:lang w:val="es-PE"/>
              </w:rPr>
              <w:t xml:space="preserve">cuado a su cultura y territorio. El </w:t>
            </w:r>
            <w:r w:rsidRPr="008B6C96">
              <w:rPr>
                <w:szCs w:val="20"/>
                <w:lang w:val="es-PE"/>
              </w:rPr>
              <w:t xml:space="preserve">programa contiene </w:t>
            </w:r>
            <w:r>
              <w:rPr>
                <w:szCs w:val="20"/>
                <w:lang w:val="es-PE"/>
              </w:rPr>
              <w:t xml:space="preserve">una </w:t>
            </w:r>
            <w:r w:rsidRPr="008B6C96">
              <w:rPr>
                <w:szCs w:val="20"/>
                <w:lang w:val="es-PE"/>
              </w:rPr>
              <w:t>Guía Metodológica que pe</w:t>
            </w:r>
            <w:r>
              <w:rPr>
                <w:szCs w:val="20"/>
                <w:lang w:val="es-PE"/>
              </w:rPr>
              <w:t>rmite capacitar a capacitadores. A</w:t>
            </w:r>
            <w:r w:rsidRPr="008B6C96">
              <w:rPr>
                <w:szCs w:val="20"/>
                <w:lang w:val="es-PE"/>
              </w:rPr>
              <w:t>simismo</w:t>
            </w:r>
            <w:r>
              <w:rPr>
                <w:szCs w:val="20"/>
                <w:lang w:val="es-PE"/>
              </w:rPr>
              <w:t>,</w:t>
            </w:r>
            <w:r w:rsidRPr="008B6C96">
              <w:rPr>
                <w:szCs w:val="20"/>
                <w:lang w:val="es-PE"/>
              </w:rPr>
              <w:t xml:space="preserve"> contiene </w:t>
            </w:r>
            <w:r>
              <w:rPr>
                <w:szCs w:val="20"/>
                <w:lang w:val="es-PE"/>
              </w:rPr>
              <w:t xml:space="preserve">cuatro </w:t>
            </w:r>
            <w:r w:rsidRPr="008B6C96">
              <w:rPr>
                <w:szCs w:val="20"/>
                <w:lang w:val="es-PE"/>
              </w:rPr>
              <w:t>fascículos:</w:t>
            </w:r>
          </w:p>
          <w:p w:rsidR="009A7AEB" w:rsidRPr="008B6C96" w:rsidRDefault="009A7AEB" w:rsidP="000410D3">
            <w:pPr>
              <w:ind w:left="360"/>
              <w:jc w:val="both"/>
              <w:rPr>
                <w:szCs w:val="20"/>
                <w:lang w:val="es-PE"/>
              </w:rPr>
            </w:pPr>
            <w:r w:rsidRPr="008B6C96">
              <w:rPr>
                <w:szCs w:val="20"/>
                <w:lang w:val="es-PE"/>
              </w:rPr>
              <w:t>Fascículo 1- Transparencia</w:t>
            </w:r>
          </w:p>
          <w:p w:rsidR="009A7AEB" w:rsidRPr="008B6C96" w:rsidRDefault="009A7AEB" w:rsidP="000410D3">
            <w:pPr>
              <w:ind w:left="360"/>
              <w:jc w:val="both"/>
              <w:rPr>
                <w:szCs w:val="20"/>
                <w:lang w:val="es-PE"/>
              </w:rPr>
            </w:pPr>
            <w:r w:rsidRPr="008B6C96">
              <w:rPr>
                <w:szCs w:val="20"/>
                <w:lang w:val="es-PE"/>
              </w:rPr>
              <w:t>Fascículo 2. Acceso a la Información Pública</w:t>
            </w:r>
          </w:p>
          <w:p w:rsidR="009A7AEB" w:rsidRPr="008B6C96" w:rsidRDefault="009A7AEB" w:rsidP="000410D3">
            <w:pPr>
              <w:ind w:left="360"/>
              <w:jc w:val="both"/>
              <w:rPr>
                <w:szCs w:val="20"/>
                <w:lang w:val="es-PE"/>
              </w:rPr>
            </w:pPr>
            <w:r w:rsidRPr="008B6C96">
              <w:rPr>
                <w:szCs w:val="20"/>
                <w:lang w:val="es-PE"/>
              </w:rPr>
              <w:t>Fascículo 3- Participación Ciudadana y Rendición de Cuentas</w:t>
            </w:r>
          </w:p>
          <w:p w:rsidR="009A7AEB" w:rsidRDefault="009A7AEB" w:rsidP="000410D3">
            <w:pPr>
              <w:ind w:left="360"/>
              <w:jc w:val="both"/>
              <w:rPr>
                <w:szCs w:val="20"/>
                <w:lang w:val="es-PE"/>
              </w:rPr>
            </w:pPr>
            <w:r w:rsidRPr="008B6C96">
              <w:rPr>
                <w:szCs w:val="20"/>
                <w:lang w:val="es-PE"/>
              </w:rPr>
              <w:t>Fascículo 4- Gobierno Abierto</w:t>
            </w:r>
          </w:p>
          <w:p w:rsidR="009A7AEB" w:rsidRDefault="009A7AEB" w:rsidP="000410D3">
            <w:pPr>
              <w:ind w:left="360"/>
              <w:jc w:val="both"/>
              <w:rPr>
                <w:szCs w:val="20"/>
                <w:lang w:val="es-PE"/>
              </w:rPr>
            </w:pPr>
            <w:r>
              <w:rPr>
                <w:szCs w:val="20"/>
                <w:lang w:val="es-PE"/>
              </w:rPr>
              <w:t>El material fue publicado en junio del 2015 y puede ser encontrado en el siguiente enlace:</w:t>
            </w:r>
          </w:p>
          <w:p w:rsidR="009A7AEB" w:rsidRDefault="004165D0" w:rsidP="000410D3">
            <w:pPr>
              <w:ind w:left="360"/>
              <w:jc w:val="both"/>
              <w:rPr>
                <w:szCs w:val="20"/>
                <w:lang w:val="es-PE"/>
              </w:rPr>
            </w:pPr>
            <w:hyperlink r:id="rId14" w:history="1">
              <w:r w:rsidR="009A7AEB" w:rsidRPr="00C23A79">
                <w:rPr>
                  <w:rStyle w:val="Hipervnculo"/>
                  <w:szCs w:val="20"/>
                  <w:lang w:val="es-PE"/>
                </w:rPr>
                <w:t>http://sgp.pcm.gob.pe/biblioteca/?searchll=%22gobierno%20abierto%22</w:t>
              </w:r>
            </w:hyperlink>
          </w:p>
          <w:p w:rsidR="009A7AEB" w:rsidRDefault="009A7AEB" w:rsidP="000410D3">
            <w:pPr>
              <w:ind w:left="360"/>
              <w:jc w:val="both"/>
              <w:rPr>
                <w:szCs w:val="20"/>
                <w:lang w:val="es-PE"/>
              </w:rPr>
            </w:pPr>
            <w:r>
              <w:rPr>
                <w:szCs w:val="20"/>
                <w:lang w:val="es-PE"/>
              </w:rPr>
              <w:t xml:space="preserve"> </w:t>
            </w:r>
          </w:p>
          <w:p w:rsidR="009A7AEB" w:rsidRPr="0041190D" w:rsidRDefault="009A7AEB" w:rsidP="000410D3">
            <w:pPr>
              <w:pStyle w:val="Prrafodelista"/>
              <w:numPr>
                <w:ilvl w:val="0"/>
                <w:numId w:val="11"/>
              </w:numPr>
              <w:ind w:left="346" w:hanging="142"/>
              <w:jc w:val="both"/>
              <w:rPr>
                <w:szCs w:val="20"/>
                <w:lang w:val="es-PE"/>
              </w:rPr>
            </w:pPr>
            <w:r w:rsidRPr="0041190D">
              <w:rPr>
                <w:szCs w:val="20"/>
                <w:lang w:val="es-PE"/>
              </w:rPr>
              <w:t>Público objetivo:</w:t>
            </w:r>
            <w:r>
              <w:rPr>
                <w:szCs w:val="20"/>
                <w:lang w:val="es-PE"/>
              </w:rPr>
              <w:t xml:space="preserve">   </w:t>
            </w:r>
            <w:r w:rsidRPr="0041190D">
              <w:rPr>
                <w:szCs w:val="20"/>
                <w:lang w:val="es-PE"/>
              </w:rPr>
              <w:t xml:space="preserve">Se realizó capacitación a los 19 Ministerios y 54 organismos públicos del Poder Ejecutivo, conformando equipos de capacitación que realizaron réplicas de los talleres de Gobierno Abierto en sus entidades. </w:t>
            </w:r>
          </w:p>
          <w:p w:rsidR="009A7AEB" w:rsidRPr="0041190D" w:rsidRDefault="009A7AEB" w:rsidP="000410D3">
            <w:pPr>
              <w:pStyle w:val="Prrafodelista"/>
              <w:numPr>
                <w:ilvl w:val="0"/>
                <w:numId w:val="11"/>
              </w:numPr>
              <w:ind w:left="346" w:hanging="142"/>
              <w:jc w:val="both"/>
              <w:rPr>
                <w:szCs w:val="20"/>
                <w:lang w:val="es-PE"/>
              </w:rPr>
            </w:pPr>
            <w:r w:rsidRPr="0041190D">
              <w:rPr>
                <w:szCs w:val="20"/>
                <w:lang w:val="es-PE"/>
              </w:rPr>
              <w:t>Alcance: tres niveles de gobierno.</w:t>
            </w:r>
          </w:p>
          <w:p w:rsidR="009A7AEB" w:rsidRDefault="009A7AEB" w:rsidP="000410D3">
            <w:pPr>
              <w:pStyle w:val="Prrafodelista"/>
              <w:numPr>
                <w:ilvl w:val="0"/>
                <w:numId w:val="38"/>
              </w:numPr>
              <w:jc w:val="both"/>
              <w:rPr>
                <w:szCs w:val="20"/>
                <w:lang w:val="es-PE"/>
              </w:rPr>
            </w:pPr>
            <w:r w:rsidRPr="0041190D">
              <w:rPr>
                <w:szCs w:val="20"/>
                <w:lang w:val="es-PE"/>
              </w:rPr>
              <w:t>5 gobiernos regionales: Amazona</w:t>
            </w:r>
            <w:r>
              <w:rPr>
                <w:szCs w:val="20"/>
                <w:lang w:val="es-PE"/>
              </w:rPr>
              <w:t>s</w:t>
            </w:r>
            <w:r w:rsidRPr="0041190D">
              <w:rPr>
                <w:szCs w:val="20"/>
                <w:lang w:val="es-PE"/>
              </w:rPr>
              <w:t>, Loreto, Madre</w:t>
            </w:r>
            <w:r>
              <w:rPr>
                <w:szCs w:val="20"/>
                <w:lang w:val="es-PE"/>
              </w:rPr>
              <w:t xml:space="preserve"> de Dios, San Martín y Ucayali.</w:t>
            </w:r>
          </w:p>
          <w:p w:rsidR="009A7AEB" w:rsidRDefault="009A7AEB" w:rsidP="000410D3">
            <w:pPr>
              <w:pStyle w:val="Prrafodelista"/>
              <w:numPr>
                <w:ilvl w:val="0"/>
                <w:numId w:val="38"/>
              </w:numPr>
              <w:jc w:val="both"/>
              <w:rPr>
                <w:szCs w:val="20"/>
                <w:lang w:val="es-PE"/>
              </w:rPr>
            </w:pPr>
            <w:r w:rsidRPr="0041190D">
              <w:rPr>
                <w:szCs w:val="20"/>
                <w:lang w:val="es-PE"/>
              </w:rPr>
              <w:t xml:space="preserve">6 gobiernos locales provinciales: Condorcanqui y Chachapoyas (Amazonas), Maynas (Loreto), Tambopata (Madre de Dios), Lamas (San Martín) y </w:t>
            </w:r>
            <w:r>
              <w:rPr>
                <w:szCs w:val="20"/>
                <w:lang w:val="es-PE"/>
              </w:rPr>
              <w:t>Coronel Portillo (Ucayali)</w:t>
            </w:r>
          </w:p>
          <w:p w:rsidR="009A7AEB" w:rsidRDefault="009A7AEB" w:rsidP="000410D3">
            <w:pPr>
              <w:pStyle w:val="Prrafodelista"/>
              <w:numPr>
                <w:ilvl w:val="0"/>
                <w:numId w:val="38"/>
              </w:numPr>
              <w:jc w:val="both"/>
              <w:rPr>
                <w:szCs w:val="20"/>
                <w:lang w:val="es-PE"/>
              </w:rPr>
            </w:pPr>
            <w:r>
              <w:rPr>
                <w:szCs w:val="20"/>
                <w:lang w:val="es-PE"/>
              </w:rPr>
              <w:t>16 g</w:t>
            </w:r>
            <w:r w:rsidRPr="0041190D">
              <w:rPr>
                <w:szCs w:val="20"/>
                <w:lang w:val="es-PE"/>
              </w:rPr>
              <w:t>obiernos locales distritales: Río Santiago (Amazonas), Barranquita, Cuñumbuqui, Zapatero y Tabalosos (San Martín), Belén, San Juan Bautista, Punchana, Mazán, Indiana, Tnte. Manua</w:t>
            </w:r>
            <w:r>
              <w:rPr>
                <w:szCs w:val="20"/>
                <w:lang w:val="es-PE"/>
              </w:rPr>
              <w:t>l Clavero – Río Putumayo (</w:t>
            </w:r>
            <w:r w:rsidRPr="0041190D">
              <w:rPr>
                <w:szCs w:val="20"/>
                <w:lang w:val="es-PE"/>
              </w:rPr>
              <w:t>Loreto), Yarinacocha, Manantay y Campo Verde (Ucayali), Tahuamanu y Las Piedras (Madre de Dios)</w:t>
            </w:r>
          </w:p>
          <w:p w:rsidR="009A7AEB" w:rsidRDefault="009A7AEB" w:rsidP="000410D3">
            <w:pPr>
              <w:pStyle w:val="Prrafodelista"/>
              <w:numPr>
                <w:ilvl w:val="0"/>
                <w:numId w:val="38"/>
              </w:numPr>
              <w:jc w:val="both"/>
              <w:rPr>
                <w:szCs w:val="20"/>
                <w:lang w:val="es-PE"/>
              </w:rPr>
            </w:pPr>
            <w:r>
              <w:rPr>
                <w:szCs w:val="20"/>
                <w:lang w:val="es-PE"/>
              </w:rPr>
              <w:t>Otras entidades, como Registro Nacional de Identificación y Estado Civil y el Programa Juntos, Policía Nacional del Perú.</w:t>
            </w:r>
          </w:p>
          <w:p w:rsidR="009A7AEB" w:rsidRDefault="009A7AEB" w:rsidP="000410D3">
            <w:pPr>
              <w:pStyle w:val="Prrafodelista"/>
              <w:ind w:left="346" w:hanging="142"/>
              <w:jc w:val="both"/>
              <w:rPr>
                <w:szCs w:val="20"/>
                <w:lang w:val="es-PE"/>
              </w:rPr>
            </w:pPr>
          </w:p>
          <w:p w:rsidR="009A7AEB" w:rsidRDefault="009A7AEB" w:rsidP="000410D3">
            <w:pPr>
              <w:pStyle w:val="Prrafodelista"/>
              <w:ind w:left="346" w:hanging="142"/>
              <w:jc w:val="both"/>
              <w:rPr>
                <w:szCs w:val="20"/>
                <w:lang w:val="es-PE"/>
              </w:rPr>
            </w:pPr>
            <w:r>
              <w:rPr>
                <w:szCs w:val="20"/>
                <w:lang w:val="es-PE"/>
              </w:rPr>
              <w:t xml:space="preserve">  Adicionalmente, la SGP desarrolló Talleres Macroregionales en el año 2015 y 2016, logrando capacitar:</w:t>
            </w:r>
          </w:p>
          <w:tbl>
            <w:tblPr>
              <w:tblStyle w:val="Tablaconcuadrcula"/>
              <w:tblW w:w="6544" w:type="dxa"/>
              <w:tblLayout w:type="fixed"/>
              <w:tblLook w:val="04A0" w:firstRow="1" w:lastRow="0" w:firstColumn="1" w:lastColumn="0" w:noHBand="0" w:noVBand="1"/>
            </w:tblPr>
            <w:tblGrid>
              <w:gridCol w:w="3908"/>
              <w:gridCol w:w="834"/>
              <w:gridCol w:w="890"/>
              <w:gridCol w:w="912"/>
            </w:tblGrid>
            <w:tr w:rsidR="009A7AEB" w:rsidTr="000410D3">
              <w:trPr>
                <w:trHeight w:val="464"/>
              </w:trPr>
              <w:tc>
                <w:tcPr>
                  <w:tcW w:w="3908" w:type="dxa"/>
                  <w:shd w:val="clear" w:color="auto" w:fill="B8CCE4" w:themeFill="accent1" w:themeFillTint="66"/>
                </w:tcPr>
                <w:p w:rsidR="009A7AEB" w:rsidRDefault="009A7AEB" w:rsidP="000410D3">
                  <w:r>
                    <w:t>Tópico o tema a capacitar</w:t>
                  </w:r>
                </w:p>
              </w:tc>
              <w:tc>
                <w:tcPr>
                  <w:tcW w:w="834" w:type="dxa"/>
                  <w:shd w:val="clear" w:color="auto" w:fill="B8CCE4" w:themeFill="accent1" w:themeFillTint="66"/>
                </w:tcPr>
                <w:p w:rsidR="009A7AEB" w:rsidRDefault="009A7AEB" w:rsidP="000410D3">
                  <w:pPr>
                    <w:jc w:val="center"/>
                  </w:pPr>
                  <w:r>
                    <w:t>2015</w:t>
                  </w:r>
                </w:p>
              </w:tc>
              <w:tc>
                <w:tcPr>
                  <w:tcW w:w="890" w:type="dxa"/>
                  <w:shd w:val="clear" w:color="auto" w:fill="B8CCE4" w:themeFill="accent1" w:themeFillTint="66"/>
                </w:tcPr>
                <w:p w:rsidR="009A7AEB" w:rsidRDefault="009A7AEB" w:rsidP="000410D3">
                  <w:pPr>
                    <w:jc w:val="center"/>
                  </w:pPr>
                  <w:r>
                    <w:t>2016</w:t>
                  </w:r>
                </w:p>
              </w:tc>
              <w:tc>
                <w:tcPr>
                  <w:tcW w:w="912" w:type="dxa"/>
                  <w:shd w:val="clear" w:color="auto" w:fill="B8CCE4" w:themeFill="accent1" w:themeFillTint="66"/>
                </w:tcPr>
                <w:p w:rsidR="009A7AEB" w:rsidRDefault="009A7AEB" w:rsidP="000410D3">
                  <w:pPr>
                    <w:jc w:val="center"/>
                  </w:pPr>
                  <w:r>
                    <w:t>Total</w:t>
                  </w:r>
                </w:p>
              </w:tc>
            </w:tr>
            <w:tr w:rsidR="009A7AEB" w:rsidTr="000410D3">
              <w:trPr>
                <w:trHeight w:val="439"/>
              </w:trPr>
              <w:tc>
                <w:tcPr>
                  <w:tcW w:w="3908" w:type="dxa"/>
                </w:tcPr>
                <w:p w:rsidR="009A7AEB" w:rsidRDefault="009A7AEB" w:rsidP="000410D3">
                  <w:pPr>
                    <w:jc w:val="both"/>
                  </w:pPr>
                  <w:r>
                    <w:t>Implementación del Portal de Transparencia Estándar</w:t>
                  </w:r>
                </w:p>
              </w:tc>
              <w:tc>
                <w:tcPr>
                  <w:tcW w:w="834" w:type="dxa"/>
                </w:tcPr>
                <w:p w:rsidR="009A7AEB" w:rsidRDefault="009A7AEB" w:rsidP="000410D3">
                  <w:pPr>
                    <w:jc w:val="center"/>
                  </w:pPr>
                  <w:r>
                    <w:t>998</w:t>
                  </w:r>
                </w:p>
              </w:tc>
              <w:tc>
                <w:tcPr>
                  <w:tcW w:w="890" w:type="dxa"/>
                </w:tcPr>
                <w:p w:rsidR="009A7AEB" w:rsidRDefault="009A7AEB" w:rsidP="000410D3">
                  <w:pPr>
                    <w:jc w:val="center"/>
                  </w:pPr>
                  <w:r>
                    <w:t>941</w:t>
                  </w:r>
                </w:p>
              </w:tc>
              <w:tc>
                <w:tcPr>
                  <w:tcW w:w="912" w:type="dxa"/>
                  <w:shd w:val="clear" w:color="auto" w:fill="B8CCE4" w:themeFill="accent1" w:themeFillTint="66"/>
                </w:tcPr>
                <w:p w:rsidR="009A7AEB" w:rsidRDefault="009A7AEB" w:rsidP="000410D3">
                  <w:pPr>
                    <w:jc w:val="center"/>
                  </w:pPr>
                  <w:r>
                    <w:t>1939</w:t>
                  </w:r>
                </w:p>
              </w:tc>
            </w:tr>
            <w:tr w:rsidR="009A7AEB" w:rsidTr="000410D3">
              <w:trPr>
                <w:trHeight w:val="464"/>
              </w:trPr>
              <w:tc>
                <w:tcPr>
                  <w:tcW w:w="3908" w:type="dxa"/>
                </w:tcPr>
                <w:p w:rsidR="009A7AEB" w:rsidRDefault="009A7AEB" w:rsidP="000410D3">
                  <w:pPr>
                    <w:jc w:val="both"/>
                  </w:pPr>
                  <w:r>
                    <w:t>Gobierno Abierto: Portal de Transparencia Estándar, Acceso a la información pública, datos abiertos y promoción de la ética pública</w:t>
                  </w:r>
                </w:p>
              </w:tc>
              <w:tc>
                <w:tcPr>
                  <w:tcW w:w="834" w:type="dxa"/>
                </w:tcPr>
                <w:p w:rsidR="009A7AEB" w:rsidRDefault="009A7AEB" w:rsidP="000410D3">
                  <w:pPr>
                    <w:jc w:val="center"/>
                  </w:pPr>
                  <w:r>
                    <w:t>732</w:t>
                  </w:r>
                </w:p>
              </w:tc>
              <w:tc>
                <w:tcPr>
                  <w:tcW w:w="890" w:type="dxa"/>
                </w:tcPr>
                <w:p w:rsidR="009A7AEB" w:rsidRDefault="009A7AEB" w:rsidP="000410D3">
                  <w:pPr>
                    <w:jc w:val="center"/>
                  </w:pPr>
                  <w:r>
                    <w:t>703</w:t>
                  </w:r>
                </w:p>
              </w:tc>
              <w:tc>
                <w:tcPr>
                  <w:tcW w:w="912" w:type="dxa"/>
                  <w:shd w:val="clear" w:color="auto" w:fill="B8CCE4" w:themeFill="accent1" w:themeFillTint="66"/>
                </w:tcPr>
                <w:p w:rsidR="009A7AEB" w:rsidRDefault="009A7AEB" w:rsidP="000410D3">
                  <w:pPr>
                    <w:jc w:val="center"/>
                  </w:pPr>
                  <w:r>
                    <w:t>1435</w:t>
                  </w:r>
                </w:p>
              </w:tc>
            </w:tr>
            <w:tr w:rsidR="009A7AEB" w:rsidTr="000410D3">
              <w:trPr>
                <w:trHeight w:val="439"/>
              </w:trPr>
              <w:tc>
                <w:tcPr>
                  <w:tcW w:w="3908" w:type="dxa"/>
                </w:tcPr>
                <w:p w:rsidR="009A7AEB" w:rsidRDefault="009A7AEB" w:rsidP="000410D3">
                  <w:pPr>
                    <w:jc w:val="both"/>
                  </w:pPr>
                  <w:r>
                    <w:t>Datos Abiertos</w:t>
                  </w:r>
                </w:p>
              </w:tc>
              <w:tc>
                <w:tcPr>
                  <w:tcW w:w="834" w:type="dxa"/>
                </w:tcPr>
                <w:p w:rsidR="009A7AEB" w:rsidRDefault="009A7AEB" w:rsidP="000410D3">
                  <w:pPr>
                    <w:jc w:val="center"/>
                  </w:pPr>
                  <w:r>
                    <w:t>650</w:t>
                  </w:r>
                </w:p>
              </w:tc>
              <w:tc>
                <w:tcPr>
                  <w:tcW w:w="890" w:type="dxa"/>
                </w:tcPr>
                <w:p w:rsidR="009A7AEB" w:rsidRDefault="009A7AEB" w:rsidP="000410D3">
                  <w:pPr>
                    <w:jc w:val="center"/>
                  </w:pPr>
                  <w:r>
                    <w:t>0</w:t>
                  </w:r>
                </w:p>
              </w:tc>
              <w:tc>
                <w:tcPr>
                  <w:tcW w:w="912" w:type="dxa"/>
                  <w:shd w:val="clear" w:color="auto" w:fill="B8CCE4" w:themeFill="accent1" w:themeFillTint="66"/>
                </w:tcPr>
                <w:p w:rsidR="009A7AEB" w:rsidRDefault="009A7AEB" w:rsidP="000410D3">
                  <w:pPr>
                    <w:jc w:val="center"/>
                  </w:pPr>
                  <w:r>
                    <w:t>650</w:t>
                  </w:r>
                </w:p>
                <w:p w:rsidR="009A7AEB" w:rsidRDefault="009A7AEB" w:rsidP="000410D3">
                  <w:pPr>
                    <w:jc w:val="center"/>
                  </w:pPr>
                </w:p>
              </w:tc>
            </w:tr>
            <w:tr w:rsidR="009A7AEB" w:rsidTr="000410D3">
              <w:trPr>
                <w:trHeight w:val="464"/>
              </w:trPr>
              <w:tc>
                <w:tcPr>
                  <w:tcW w:w="3908" w:type="dxa"/>
                </w:tcPr>
                <w:p w:rsidR="009A7AEB" w:rsidRDefault="009A7AEB" w:rsidP="000410D3">
                  <w:pPr>
                    <w:jc w:val="both"/>
                  </w:pPr>
                  <w:r>
                    <w:t>Promoción de la Ética pública</w:t>
                  </w:r>
                </w:p>
              </w:tc>
              <w:tc>
                <w:tcPr>
                  <w:tcW w:w="834" w:type="dxa"/>
                </w:tcPr>
                <w:p w:rsidR="009A7AEB" w:rsidRDefault="009A7AEB" w:rsidP="000410D3">
                  <w:pPr>
                    <w:jc w:val="center"/>
                  </w:pPr>
                  <w:r>
                    <w:t>637</w:t>
                  </w:r>
                </w:p>
              </w:tc>
              <w:tc>
                <w:tcPr>
                  <w:tcW w:w="890" w:type="dxa"/>
                </w:tcPr>
                <w:p w:rsidR="009A7AEB" w:rsidRDefault="009A7AEB" w:rsidP="000410D3">
                  <w:pPr>
                    <w:jc w:val="center"/>
                  </w:pPr>
                  <w:r>
                    <w:t>221</w:t>
                  </w:r>
                </w:p>
              </w:tc>
              <w:tc>
                <w:tcPr>
                  <w:tcW w:w="912" w:type="dxa"/>
                  <w:shd w:val="clear" w:color="auto" w:fill="B8CCE4" w:themeFill="accent1" w:themeFillTint="66"/>
                </w:tcPr>
                <w:p w:rsidR="009A7AEB" w:rsidRDefault="009A7AEB" w:rsidP="000410D3">
                  <w:pPr>
                    <w:jc w:val="center"/>
                  </w:pPr>
                  <w:r>
                    <w:t>858</w:t>
                  </w:r>
                </w:p>
              </w:tc>
            </w:tr>
            <w:tr w:rsidR="009A7AEB" w:rsidTr="000410D3">
              <w:trPr>
                <w:trHeight w:val="439"/>
              </w:trPr>
              <w:tc>
                <w:tcPr>
                  <w:tcW w:w="3908" w:type="dxa"/>
                </w:tcPr>
                <w:p w:rsidR="009A7AEB" w:rsidRDefault="009A7AEB" w:rsidP="000410D3">
                  <w:pPr>
                    <w:jc w:val="both"/>
                  </w:pPr>
                  <w:r>
                    <w:t>Importancia de la Transparencia y Acceso a la información pública</w:t>
                  </w:r>
                </w:p>
              </w:tc>
              <w:tc>
                <w:tcPr>
                  <w:tcW w:w="834" w:type="dxa"/>
                </w:tcPr>
                <w:p w:rsidR="009A7AEB" w:rsidRDefault="009A7AEB" w:rsidP="000410D3">
                  <w:pPr>
                    <w:jc w:val="center"/>
                  </w:pPr>
                  <w:r>
                    <w:t>201</w:t>
                  </w:r>
                </w:p>
              </w:tc>
              <w:tc>
                <w:tcPr>
                  <w:tcW w:w="890" w:type="dxa"/>
                </w:tcPr>
                <w:p w:rsidR="009A7AEB" w:rsidRDefault="009A7AEB" w:rsidP="000410D3">
                  <w:pPr>
                    <w:jc w:val="center"/>
                  </w:pPr>
                  <w:r>
                    <w:t>515</w:t>
                  </w:r>
                </w:p>
              </w:tc>
              <w:tc>
                <w:tcPr>
                  <w:tcW w:w="912" w:type="dxa"/>
                  <w:shd w:val="clear" w:color="auto" w:fill="B8CCE4" w:themeFill="accent1" w:themeFillTint="66"/>
                </w:tcPr>
                <w:p w:rsidR="009A7AEB" w:rsidRDefault="009A7AEB" w:rsidP="000410D3">
                  <w:pPr>
                    <w:jc w:val="center"/>
                  </w:pPr>
                  <w:r>
                    <w:t>716</w:t>
                  </w:r>
                </w:p>
              </w:tc>
            </w:tr>
            <w:tr w:rsidR="009A7AEB" w:rsidTr="000410D3">
              <w:trPr>
                <w:trHeight w:val="464"/>
              </w:trPr>
              <w:tc>
                <w:tcPr>
                  <w:tcW w:w="3908" w:type="dxa"/>
                  <w:shd w:val="clear" w:color="auto" w:fill="B8CCE4" w:themeFill="accent1" w:themeFillTint="66"/>
                </w:tcPr>
                <w:p w:rsidR="009A7AEB" w:rsidRDefault="009A7AEB" w:rsidP="000410D3">
                  <w:r>
                    <w:t>Total</w:t>
                  </w:r>
                </w:p>
              </w:tc>
              <w:tc>
                <w:tcPr>
                  <w:tcW w:w="834" w:type="dxa"/>
                  <w:shd w:val="clear" w:color="auto" w:fill="B8CCE4" w:themeFill="accent1" w:themeFillTint="66"/>
                </w:tcPr>
                <w:p w:rsidR="009A7AEB" w:rsidRDefault="009A7AEB" w:rsidP="000410D3">
                  <w:pPr>
                    <w:jc w:val="center"/>
                  </w:pPr>
                  <w:r>
                    <w:t>3218</w:t>
                  </w:r>
                </w:p>
              </w:tc>
              <w:tc>
                <w:tcPr>
                  <w:tcW w:w="890" w:type="dxa"/>
                  <w:shd w:val="clear" w:color="auto" w:fill="B8CCE4" w:themeFill="accent1" w:themeFillTint="66"/>
                </w:tcPr>
                <w:p w:rsidR="009A7AEB" w:rsidRDefault="009A7AEB" w:rsidP="000410D3">
                  <w:pPr>
                    <w:jc w:val="center"/>
                  </w:pPr>
                  <w:r>
                    <w:t>2380</w:t>
                  </w:r>
                </w:p>
              </w:tc>
              <w:tc>
                <w:tcPr>
                  <w:tcW w:w="912" w:type="dxa"/>
                  <w:shd w:val="clear" w:color="auto" w:fill="B8CCE4" w:themeFill="accent1" w:themeFillTint="66"/>
                </w:tcPr>
                <w:p w:rsidR="009A7AEB" w:rsidRDefault="009A7AEB" w:rsidP="000410D3">
                  <w:pPr>
                    <w:jc w:val="center"/>
                  </w:pPr>
                  <w:r>
                    <w:t>5598</w:t>
                  </w:r>
                </w:p>
              </w:tc>
            </w:tr>
          </w:tbl>
          <w:p w:rsidR="009A7AEB" w:rsidRPr="0041190D" w:rsidRDefault="009A7AEB" w:rsidP="000410D3">
            <w:pPr>
              <w:pStyle w:val="Prrafodelista"/>
              <w:ind w:left="1440"/>
              <w:jc w:val="both"/>
              <w:rPr>
                <w:szCs w:val="20"/>
                <w:highlight w:val="yellow"/>
                <w:lang w:val="es-PE"/>
              </w:rPr>
            </w:pPr>
            <w:r>
              <w:rPr>
                <w:szCs w:val="20"/>
                <w:lang w:val="es-PE"/>
              </w:rPr>
              <w:t xml:space="preserve"> </w:t>
            </w:r>
          </w:p>
          <w:p w:rsidR="009A7AEB" w:rsidRPr="009705A7" w:rsidRDefault="009A7AEB" w:rsidP="000410D3">
            <w:pPr>
              <w:pStyle w:val="Prrafodelista"/>
              <w:numPr>
                <w:ilvl w:val="0"/>
                <w:numId w:val="10"/>
              </w:numPr>
              <w:jc w:val="both"/>
              <w:rPr>
                <w:b/>
                <w:i/>
                <w:szCs w:val="20"/>
                <w:lang w:val="es-PE"/>
              </w:rPr>
            </w:pPr>
            <w:r w:rsidRPr="009705A7">
              <w:rPr>
                <w:b/>
                <w:i/>
                <w:szCs w:val="20"/>
                <w:lang w:val="es-PE"/>
              </w:rPr>
              <w:t>Virtualización del Programa de fortalecimiento de capacidades sobre Gobierno Abierto enfocado en transparencia y acceso a la información pública.</w:t>
            </w:r>
          </w:p>
          <w:p w:rsidR="009A7AEB" w:rsidRPr="00597DEF" w:rsidRDefault="009A7AEB" w:rsidP="000410D3">
            <w:pPr>
              <w:jc w:val="both"/>
              <w:rPr>
                <w:szCs w:val="20"/>
                <w:lang w:val="es-PE"/>
              </w:rPr>
            </w:pPr>
            <w:r>
              <w:rPr>
                <w:szCs w:val="20"/>
                <w:lang w:val="es-PE"/>
              </w:rPr>
              <w:t>La SGP ha considerado que es</w:t>
            </w:r>
            <w:r w:rsidRPr="00597DEF">
              <w:rPr>
                <w:szCs w:val="20"/>
                <w:lang w:val="es-PE"/>
              </w:rPr>
              <w:t>ta actividad está a cargo de la Autoridad Nacional del Servicio Civil, a fin de que incorpore el Programa</w:t>
            </w:r>
            <w:r>
              <w:rPr>
                <w:szCs w:val="20"/>
                <w:lang w:val="es-PE"/>
              </w:rPr>
              <w:t xml:space="preserve"> de Gobierno Abierto en su currí</w:t>
            </w:r>
            <w:r w:rsidRPr="00597DEF">
              <w:rPr>
                <w:szCs w:val="20"/>
                <w:lang w:val="es-PE"/>
              </w:rPr>
              <w:t>cula y sea esta entidad, en el marco de sus competencias, la que desarrolle el fortalecimiento de capacidades de los servidores civiles.</w:t>
            </w:r>
          </w:p>
          <w:p w:rsidR="009A7AEB" w:rsidRPr="00A730A4" w:rsidRDefault="009A7AEB" w:rsidP="000410D3">
            <w:pPr>
              <w:jc w:val="both"/>
              <w:rPr>
                <w:color w:val="000000" w:themeColor="text1"/>
                <w:lang w:val="es-PE"/>
              </w:rPr>
            </w:pPr>
          </w:p>
        </w:tc>
      </w:tr>
      <w:tr w:rsidR="009A7AEB" w:rsidRPr="00295641" w:rsidTr="000410D3">
        <w:tc>
          <w:tcPr>
            <w:tcW w:w="9039" w:type="dxa"/>
            <w:gridSpan w:val="6"/>
          </w:tcPr>
          <w:p w:rsidR="009A7AEB" w:rsidRPr="00295641" w:rsidRDefault="009A7AEB" w:rsidP="000410D3">
            <w:pPr>
              <w:jc w:val="both"/>
              <w:rPr>
                <w:rFonts w:cs="Gotham-Book"/>
                <w:b/>
                <w:color w:val="000000" w:themeColor="text1"/>
              </w:rPr>
            </w:pPr>
          </w:p>
          <w:p w:rsidR="009A7AEB" w:rsidRPr="00295641" w:rsidRDefault="009A7AEB" w:rsidP="000410D3">
            <w:pPr>
              <w:jc w:val="both"/>
              <w:rPr>
                <w:color w:val="000000" w:themeColor="text1"/>
              </w:rPr>
            </w:pPr>
            <w:r>
              <w:rPr>
                <w:rFonts w:cs="Gotham-Book"/>
                <w:b/>
                <w:color w:val="000000" w:themeColor="text1"/>
              </w:rPr>
              <w:t>Información adicional</w:t>
            </w:r>
          </w:p>
        </w:tc>
      </w:tr>
      <w:tr w:rsidR="009A7AEB" w:rsidRPr="00597DEF" w:rsidTr="000410D3">
        <w:tc>
          <w:tcPr>
            <w:tcW w:w="9039" w:type="dxa"/>
            <w:gridSpan w:val="6"/>
          </w:tcPr>
          <w:p w:rsidR="009A7AEB" w:rsidRPr="00597DEF" w:rsidRDefault="009A7AEB" w:rsidP="000410D3">
            <w:pPr>
              <w:jc w:val="both"/>
              <w:rPr>
                <w:rFonts w:cs="Gotham-Book"/>
                <w:color w:val="000000" w:themeColor="text1"/>
              </w:rPr>
            </w:pPr>
            <w:r w:rsidRPr="00597DEF">
              <w:rPr>
                <w:rFonts w:cs="Gotham-Book"/>
                <w:color w:val="000000" w:themeColor="text1"/>
              </w:rPr>
              <w:t xml:space="preserve">Cabe precisar que </w:t>
            </w:r>
            <w:r>
              <w:rPr>
                <w:rFonts w:cs="Gotham-Book"/>
                <w:color w:val="000000" w:themeColor="text1"/>
              </w:rPr>
              <w:t xml:space="preserve">el </w:t>
            </w:r>
            <w:r w:rsidRPr="00597DEF">
              <w:rPr>
                <w:rFonts w:cs="Gotham-Book"/>
                <w:color w:val="000000" w:themeColor="text1"/>
              </w:rPr>
              <w:t xml:space="preserve">Programa de fortalecimiento de capacidades sobre Gobierno Abierto obtuvo el segundo lugar de la Categoría Buenas Prácticas en gestión curricular en el Concurso de Buenas prácticas en gestión de la capacitación, realizado en el marco de la gestión pública descentralizada, el cual fue organizado  por la Autoridad Nacional del Servicio Civil-SERVIR con el Proyecto CADESAN de la Cooperación Alemana GIZ: </w:t>
            </w:r>
            <w:hyperlink r:id="rId15" w:history="1">
              <w:r w:rsidRPr="005C613D">
                <w:rPr>
                  <w:rStyle w:val="Hipervnculo"/>
                  <w:rFonts w:cs="Gotham-Book"/>
                </w:rPr>
                <w:t>http://www.servir.gob.pe/servir-premia-a-ganadores-de-buenas-practicas-en-gestion-de-la-capacitacion/</w:t>
              </w:r>
            </w:hyperlink>
          </w:p>
        </w:tc>
      </w:tr>
    </w:tbl>
    <w:p w:rsidR="00A730A4" w:rsidRDefault="00A730A4"/>
    <w:tbl>
      <w:tblPr>
        <w:tblStyle w:val="Tablaconcuadrcula"/>
        <w:tblW w:w="0" w:type="auto"/>
        <w:tblLayout w:type="fixed"/>
        <w:tblLook w:val="04A0" w:firstRow="1" w:lastRow="0" w:firstColumn="1" w:lastColumn="0" w:noHBand="0" w:noVBand="1"/>
      </w:tblPr>
      <w:tblGrid>
        <w:gridCol w:w="1526"/>
        <w:gridCol w:w="425"/>
        <w:gridCol w:w="1701"/>
        <w:gridCol w:w="1729"/>
        <w:gridCol w:w="1644"/>
        <w:gridCol w:w="2014"/>
      </w:tblGrid>
      <w:tr w:rsidR="000A074A" w:rsidRPr="000A074A" w:rsidTr="006465DE">
        <w:trPr>
          <w:trHeight w:val="331"/>
        </w:trPr>
        <w:tc>
          <w:tcPr>
            <w:tcW w:w="9039" w:type="dxa"/>
            <w:gridSpan w:val="6"/>
            <w:shd w:val="clear" w:color="auto" w:fill="548DD4" w:themeFill="text2" w:themeFillTint="99"/>
          </w:tcPr>
          <w:p w:rsidR="000A074A" w:rsidRPr="000A074A" w:rsidRDefault="000A074A" w:rsidP="00DF077D">
            <w:pPr>
              <w:spacing w:after="200" w:line="276" w:lineRule="auto"/>
              <w:jc w:val="center"/>
              <w:rPr>
                <w:b/>
              </w:rPr>
            </w:pPr>
            <w:r>
              <w:rPr>
                <w:b/>
              </w:rPr>
              <w:t>Componente: Transparencia y Acceso a la Información Pública</w:t>
            </w:r>
          </w:p>
        </w:tc>
      </w:tr>
      <w:tr w:rsidR="000A074A" w:rsidRPr="000A074A" w:rsidTr="0041466B">
        <w:tc>
          <w:tcPr>
            <w:tcW w:w="9039" w:type="dxa"/>
            <w:gridSpan w:val="6"/>
            <w:shd w:val="clear" w:color="auto" w:fill="548DD4" w:themeFill="text2" w:themeFillTint="99"/>
          </w:tcPr>
          <w:p w:rsidR="000A074A" w:rsidRPr="000A074A" w:rsidRDefault="009705A7" w:rsidP="009705A7">
            <w:pPr>
              <w:jc w:val="center"/>
              <w:rPr>
                <w:b/>
              </w:rPr>
            </w:pPr>
            <w:r w:rsidRPr="009705A7">
              <w:rPr>
                <w:b/>
                <w:u w:val="single"/>
              </w:rPr>
              <w:t xml:space="preserve">Compromiso </w:t>
            </w:r>
            <w:r w:rsidR="000A074A" w:rsidRPr="009705A7">
              <w:rPr>
                <w:b/>
                <w:u w:val="single"/>
              </w:rPr>
              <w:t>4</w:t>
            </w:r>
            <w:r w:rsidR="000A074A" w:rsidRPr="000A074A">
              <w:rPr>
                <w:b/>
              </w:rPr>
              <w:t>.</w:t>
            </w:r>
            <w:r w:rsidR="000A074A">
              <w:rPr>
                <w:b/>
              </w:rPr>
              <w:t xml:space="preserve"> Fomentar una mayor información sobre usuarios y la cobertura de los programas sociales</w:t>
            </w:r>
          </w:p>
        </w:tc>
      </w:tr>
      <w:tr w:rsidR="00635ACD" w:rsidRPr="000A074A" w:rsidTr="0041466B">
        <w:trPr>
          <w:trHeight w:val="517"/>
        </w:trPr>
        <w:tc>
          <w:tcPr>
            <w:tcW w:w="3652" w:type="dxa"/>
            <w:gridSpan w:val="3"/>
            <w:shd w:val="clear" w:color="auto" w:fill="C6D9F1" w:themeFill="text2" w:themeFillTint="33"/>
            <w:vAlign w:val="center"/>
          </w:tcPr>
          <w:p w:rsidR="00635ACD" w:rsidRPr="000A074A" w:rsidRDefault="00635ACD" w:rsidP="00635ACD">
            <w:pPr>
              <w:rPr>
                <w:b/>
              </w:rPr>
            </w:pPr>
            <w:r w:rsidRPr="000A074A">
              <w:rPr>
                <w:b/>
              </w:rPr>
              <w:t>Secretaría/Ministerio</w:t>
            </w:r>
          </w:p>
          <w:p w:rsidR="00635ACD" w:rsidRPr="000A074A" w:rsidRDefault="00635ACD" w:rsidP="00635ACD">
            <w:pPr>
              <w:rPr>
                <w:b/>
              </w:rPr>
            </w:pPr>
            <w:r w:rsidRPr="000A074A">
              <w:rPr>
                <w:b/>
              </w:rPr>
              <w:t>Responsable</w:t>
            </w:r>
          </w:p>
        </w:tc>
        <w:tc>
          <w:tcPr>
            <w:tcW w:w="5387" w:type="dxa"/>
            <w:gridSpan w:val="3"/>
          </w:tcPr>
          <w:p w:rsidR="00635ACD" w:rsidRPr="00295641" w:rsidRDefault="00635ACD" w:rsidP="00635ACD">
            <w:pPr>
              <w:jc w:val="both"/>
              <w:rPr>
                <w:color w:val="000000" w:themeColor="text1"/>
              </w:rPr>
            </w:pPr>
            <w:r w:rsidRPr="00A730A4">
              <w:t>Ministerio de Desarrollo e Inclusión Social</w:t>
            </w:r>
          </w:p>
        </w:tc>
      </w:tr>
      <w:tr w:rsidR="00635ACD" w:rsidRPr="000A074A" w:rsidTr="0041466B">
        <w:trPr>
          <w:trHeight w:val="398"/>
        </w:trPr>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Nombre de la persona  responsable</w:t>
            </w:r>
          </w:p>
        </w:tc>
        <w:tc>
          <w:tcPr>
            <w:tcW w:w="5387" w:type="dxa"/>
            <w:gridSpan w:val="3"/>
          </w:tcPr>
          <w:p w:rsidR="00635ACD" w:rsidRPr="00295641" w:rsidRDefault="00D32A23" w:rsidP="00635ACD">
            <w:pPr>
              <w:jc w:val="both"/>
              <w:rPr>
                <w:color w:val="000000" w:themeColor="text1"/>
              </w:rPr>
            </w:pPr>
            <w:r>
              <w:rPr>
                <w:color w:val="000000" w:themeColor="text1"/>
              </w:rPr>
              <w:t>Fiorella Molinelli</w:t>
            </w:r>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Puesto</w:t>
            </w:r>
          </w:p>
        </w:tc>
        <w:tc>
          <w:tcPr>
            <w:tcW w:w="5387" w:type="dxa"/>
            <w:gridSpan w:val="3"/>
          </w:tcPr>
          <w:p w:rsidR="00635ACD" w:rsidRPr="00295641" w:rsidRDefault="00635ACD" w:rsidP="00635ACD">
            <w:pPr>
              <w:jc w:val="both"/>
              <w:rPr>
                <w:color w:val="000000" w:themeColor="text1"/>
              </w:rPr>
            </w:pPr>
            <w:r>
              <w:rPr>
                <w:color w:val="000000" w:themeColor="text1"/>
              </w:rPr>
              <w:t>Ministra</w:t>
            </w:r>
          </w:p>
        </w:tc>
      </w:tr>
      <w:tr w:rsidR="00635ACD" w:rsidRPr="000A074A" w:rsidTr="0041466B">
        <w:trPr>
          <w:trHeight w:val="342"/>
        </w:trPr>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Correo electrónico</w:t>
            </w:r>
          </w:p>
        </w:tc>
        <w:tc>
          <w:tcPr>
            <w:tcW w:w="5387" w:type="dxa"/>
            <w:gridSpan w:val="3"/>
          </w:tcPr>
          <w:p w:rsidR="00635ACD" w:rsidRPr="00295641" w:rsidRDefault="004165D0" w:rsidP="00635ACD">
            <w:pPr>
              <w:jc w:val="both"/>
              <w:rPr>
                <w:rFonts w:cs="Arial"/>
                <w:color w:val="0000FF"/>
                <w:u w:val="single"/>
              </w:rPr>
            </w:pPr>
            <w:hyperlink r:id="rId16" w:history="1">
              <w:r w:rsidR="006465DE" w:rsidRPr="00085904">
                <w:rPr>
                  <w:rStyle w:val="Hipervnculo"/>
                  <w:rFonts w:cs="Arial"/>
                </w:rPr>
                <w:t>despachoministerial1@midis.gob.pe</w:t>
              </w:r>
            </w:hyperlink>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Teléfono</w:t>
            </w:r>
          </w:p>
        </w:tc>
        <w:tc>
          <w:tcPr>
            <w:tcW w:w="5387" w:type="dxa"/>
            <w:gridSpan w:val="3"/>
          </w:tcPr>
          <w:p w:rsidR="00635ACD" w:rsidRPr="00295641" w:rsidRDefault="00C059E6" w:rsidP="00635ACD">
            <w:pPr>
              <w:jc w:val="both"/>
              <w:rPr>
                <w:color w:val="000000" w:themeColor="text1"/>
              </w:rPr>
            </w:pPr>
            <w:r>
              <w:rPr>
                <w:color w:val="000000" w:themeColor="text1"/>
              </w:rPr>
              <w:t>51-1-6318000</w:t>
            </w:r>
          </w:p>
        </w:tc>
      </w:tr>
      <w:tr w:rsidR="00635ACD" w:rsidRPr="000A074A" w:rsidTr="0041466B">
        <w:tc>
          <w:tcPr>
            <w:tcW w:w="1526" w:type="dxa"/>
            <w:vMerge w:val="restart"/>
            <w:shd w:val="clear" w:color="auto" w:fill="C6D9F1" w:themeFill="text2" w:themeFillTint="33"/>
            <w:vAlign w:val="center"/>
          </w:tcPr>
          <w:p w:rsidR="00635ACD" w:rsidRPr="000A074A" w:rsidRDefault="00635ACD" w:rsidP="00494E52">
            <w:pPr>
              <w:spacing w:line="276" w:lineRule="auto"/>
              <w:rPr>
                <w:b/>
              </w:rPr>
            </w:pPr>
            <w:r w:rsidRPr="000A074A">
              <w:rPr>
                <w:b/>
              </w:rPr>
              <w:t>Otros actores involucrados</w:t>
            </w:r>
          </w:p>
        </w:tc>
        <w:tc>
          <w:tcPr>
            <w:tcW w:w="2126" w:type="dxa"/>
            <w:gridSpan w:val="2"/>
            <w:shd w:val="clear" w:color="auto" w:fill="C6D9F1" w:themeFill="text2" w:themeFillTint="33"/>
            <w:vAlign w:val="center"/>
          </w:tcPr>
          <w:p w:rsidR="00635ACD" w:rsidRPr="000A074A" w:rsidRDefault="00635ACD" w:rsidP="00494E52">
            <w:pPr>
              <w:spacing w:line="276" w:lineRule="auto"/>
              <w:rPr>
                <w:b/>
              </w:rPr>
            </w:pPr>
            <w:r w:rsidRPr="000A074A">
              <w:rPr>
                <w:b/>
              </w:rPr>
              <w:t>Gobierno</w:t>
            </w:r>
          </w:p>
        </w:tc>
        <w:tc>
          <w:tcPr>
            <w:tcW w:w="5387" w:type="dxa"/>
            <w:gridSpan w:val="3"/>
          </w:tcPr>
          <w:p w:rsidR="00635ACD" w:rsidRPr="000A074A" w:rsidRDefault="00635ACD" w:rsidP="00494E52">
            <w:pPr>
              <w:spacing w:line="276" w:lineRule="auto"/>
            </w:pPr>
            <w:r>
              <w:t>No Aplica</w:t>
            </w:r>
          </w:p>
        </w:tc>
      </w:tr>
      <w:tr w:rsidR="00635ACD" w:rsidRPr="000A074A" w:rsidTr="0041466B">
        <w:trPr>
          <w:trHeight w:val="1170"/>
        </w:trPr>
        <w:tc>
          <w:tcPr>
            <w:tcW w:w="1526" w:type="dxa"/>
            <w:vMerge/>
            <w:shd w:val="clear" w:color="auto" w:fill="C6D9F1" w:themeFill="text2" w:themeFillTint="33"/>
            <w:vAlign w:val="center"/>
          </w:tcPr>
          <w:p w:rsidR="00635ACD" w:rsidRPr="000A074A" w:rsidRDefault="00635ACD" w:rsidP="00494E52">
            <w:pPr>
              <w:spacing w:line="276" w:lineRule="auto"/>
              <w:rPr>
                <w:b/>
              </w:rPr>
            </w:pPr>
          </w:p>
        </w:tc>
        <w:tc>
          <w:tcPr>
            <w:tcW w:w="2126" w:type="dxa"/>
            <w:gridSpan w:val="2"/>
            <w:shd w:val="clear" w:color="auto" w:fill="C6D9F1" w:themeFill="text2" w:themeFillTint="33"/>
            <w:vAlign w:val="center"/>
          </w:tcPr>
          <w:p w:rsidR="00635ACD" w:rsidRPr="000A074A" w:rsidRDefault="00635ACD" w:rsidP="00494E52">
            <w:pPr>
              <w:spacing w:line="276" w:lineRule="auto"/>
              <w:rPr>
                <w:b/>
              </w:rPr>
            </w:pPr>
            <w:r w:rsidRPr="000A074A">
              <w:rPr>
                <w:b/>
              </w:rPr>
              <w:t>Sociedad civil, iniciativa privada, grupos de trabajo o multilaterales</w:t>
            </w:r>
          </w:p>
        </w:tc>
        <w:tc>
          <w:tcPr>
            <w:tcW w:w="5387" w:type="dxa"/>
            <w:gridSpan w:val="3"/>
          </w:tcPr>
          <w:p w:rsidR="00635ACD" w:rsidRPr="000A074A" w:rsidRDefault="00635ACD" w:rsidP="00494E52">
            <w:pPr>
              <w:spacing w:line="276" w:lineRule="auto"/>
            </w:pPr>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rPr>
                <w:b/>
              </w:rPr>
            </w:pPr>
            <w:r w:rsidRPr="000A074A">
              <w:rPr>
                <w:b/>
              </w:rPr>
              <w:t>Status quo o problema/</w:t>
            </w:r>
            <w:r w:rsidRPr="000A074A">
              <w:rPr>
                <w:b/>
              </w:rPr>
              <w:br/>
              <w:t>desafío que será atendido</w:t>
            </w:r>
          </w:p>
        </w:tc>
        <w:tc>
          <w:tcPr>
            <w:tcW w:w="5387" w:type="dxa"/>
            <w:gridSpan w:val="3"/>
          </w:tcPr>
          <w:p w:rsidR="00635ACD" w:rsidRPr="000A074A" w:rsidRDefault="00635ACD" w:rsidP="003D453C">
            <w:pPr>
              <w:jc w:val="both"/>
            </w:pPr>
            <w:r>
              <w:t>Si bien el país cuenta con el Sistema de Focalización de Hogares (SISFOH), el cual cuenta con la información de los ciudadanos con su respectiva clasi</w:t>
            </w:r>
            <w:r w:rsidR="009A6EA8">
              <w:t>f</w:t>
            </w:r>
            <w:r>
              <w:t xml:space="preserve">icación socioeconómica (CSE), </w:t>
            </w:r>
            <w:r w:rsidR="003D453C">
              <w:t xml:space="preserve">es necesario </w:t>
            </w:r>
            <w:r w:rsidR="009A6EA8">
              <w:t>con</w:t>
            </w:r>
            <w:r w:rsidR="003D453C">
              <w:t>tar con</w:t>
            </w:r>
            <w:r w:rsidR="009A6EA8">
              <w:t xml:space="preserve"> un Registro de personas que se encuentr</w:t>
            </w:r>
            <w:r w:rsidR="003D453C">
              <w:t>e</w:t>
            </w:r>
            <w:r w:rsidR="009A6EA8">
              <w:t>n afiliados a un Programa Social y/o de subsidios del Estado (PPSS)</w:t>
            </w:r>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Objetivo principal</w:t>
            </w:r>
          </w:p>
        </w:tc>
        <w:tc>
          <w:tcPr>
            <w:tcW w:w="5387" w:type="dxa"/>
            <w:gridSpan w:val="3"/>
          </w:tcPr>
          <w:p w:rsidR="00635ACD" w:rsidRPr="009A6EA8" w:rsidRDefault="009A6EA8" w:rsidP="00D74C76">
            <w:pPr>
              <w:jc w:val="both"/>
              <w:rPr>
                <w:bCs/>
              </w:rPr>
            </w:pPr>
            <w:r w:rsidRPr="009A6EA8">
              <w:rPr>
                <w:bCs/>
              </w:rPr>
              <w:t>Mejorar la transparencia sobre los usuarios de los Programas Sociales</w:t>
            </w:r>
            <w:r>
              <w:rPr>
                <w:bCs/>
              </w:rPr>
              <w:t xml:space="preserve"> a cargo del Estado, </w:t>
            </w:r>
            <w:r w:rsidR="00E47B58">
              <w:rPr>
                <w:bCs/>
              </w:rPr>
              <w:t>con información actualizada, a fin de</w:t>
            </w:r>
            <w:r w:rsidR="00FD1C08">
              <w:rPr>
                <w:bCs/>
              </w:rPr>
              <w:t xml:space="preserve"> conocer con mayor detalle</w:t>
            </w:r>
            <w:r>
              <w:rPr>
                <w:bCs/>
              </w:rPr>
              <w:t xml:space="preserve"> </w:t>
            </w:r>
            <w:r w:rsidR="00E47B58">
              <w:rPr>
                <w:bCs/>
              </w:rPr>
              <w:t>la ubicación de</w:t>
            </w:r>
            <w:r>
              <w:rPr>
                <w:bCs/>
              </w:rPr>
              <w:t xml:space="preserve"> la población atendida</w:t>
            </w:r>
            <w:r w:rsidR="00E47B58">
              <w:rPr>
                <w:bCs/>
              </w:rPr>
              <w:t xml:space="preserve">. Esto permitirá, además, </w:t>
            </w:r>
            <w:r>
              <w:rPr>
                <w:bCs/>
              </w:rPr>
              <w:t>promover la vigilancia ciudadana en la prestación de servicios que brindan estos programas.</w:t>
            </w:r>
          </w:p>
        </w:tc>
      </w:tr>
      <w:tr w:rsidR="00635ACD" w:rsidRPr="000A074A" w:rsidTr="0041466B">
        <w:tc>
          <w:tcPr>
            <w:tcW w:w="3652" w:type="dxa"/>
            <w:gridSpan w:val="3"/>
            <w:shd w:val="clear" w:color="auto" w:fill="C6D9F1" w:themeFill="text2" w:themeFillTint="33"/>
            <w:vAlign w:val="center"/>
          </w:tcPr>
          <w:p w:rsidR="00635ACD" w:rsidRPr="000A074A" w:rsidRDefault="00635ACD" w:rsidP="009A6EA8">
            <w:pPr>
              <w:spacing w:line="276" w:lineRule="auto"/>
              <w:rPr>
                <w:b/>
              </w:rPr>
            </w:pPr>
            <w:r w:rsidRPr="000A074A">
              <w:rPr>
                <w:b/>
              </w:rPr>
              <w:t>Breve Descripción del</w:t>
            </w:r>
          </w:p>
          <w:p w:rsidR="00635ACD" w:rsidRPr="000A074A" w:rsidRDefault="00635ACD" w:rsidP="009A6EA8">
            <w:pPr>
              <w:spacing w:line="276" w:lineRule="auto"/>
              <w:rPr>
                <w:b/>
              </w:rPr>
            </w:pPr>
            <w:r w:rsidRPr="000A074A">
              <w:rPr>
                <w:b/>
              </w:rPr>
              <w:t>Compromiso</w:t>
            </w:r>
          </w:p>
        </w:tc>
        <w:tc>
          <w:tcPr>
            <w:tcW w:w="5387" w:type="dxa"/>
            <w:gridSpan w:val="3"/>
          </w:tcPr>
          <w:p w:rsidR="00635ACD" w:rsidRPr="000A074A" w:rsidRDefault="00635ACD" w:rsidP="00334F32">
            <w:pPr>
              <w:jc w:val="both"/>
              <w:rPr>
                <w:lang w:val="es-PE"/>
              </w:rPr>
            </w:pPr>
            <w:r>
              <w:rPr>
                <w:lang w:val="es-PE"/>
              </w:rPr>
              <w:t>Fomentar una mayor información sobre usuarios y la cobertura de los programas sociales, que permita mejorar la focalización de los destinatarios y la promoción de la participación y vigilancia ciudadana.</w:t>
            </w:r>
          </w:p>
        </w:tc>
      </w:tr>
      <w:tr w:rsidR="00635ACD" w:rsidRPr="000A074A" w:rsidTr="0041466B">
        <w:tc>
          <w:tcPr>
            <w:tcW w:w="3652" w:type="dxa"/>
            <w:gridSpan w:val="3"/>
            <w:shd w:val="clear" w:color="auto" w:fill="C6D9F1" w:themeFill="text2" w:themeFillTint="33"/>
            <w:vAlign w:val="center"/>
          </w:tcPr>
          <w:p w:rsidR="00635ACD" w:rsidRPr="000A074A" w:rsidRDefault="00635ACD" w:rsidP="009A6EA8">
            <w:pPr>
              <w:spacing w:line="276" w:lineRule="auto"/>
              <w:rPr>
                <w:b/>
              </w:rPr>
            </w:pPr>
            <w:r w:rsidRPr="000A074A">
              <w:rPr>
                <w:b/>
              </w:rPr>
              <w:t>Relevancia</w:t>
            </w:r>
          </w:p>
          <w:p w:rsidR="00635ACD" w:rsidRPr="000A074A" w:rsidRDefault="00635ACD" w:rsidP="009A6EA8">
            <w:pPr>
              <w:spacing w:line="276" w:lineRule="auto"/>
              <w:rPr>
                <w:b/>
              </w:rPr>
            </w:pPr>
          </w:p>
        </w:tc>
        <w:tc>
          <w:tcPr>
            <w:tcW w:w="5387" w:type="dxa"/>
            <w:gridSpan w:val="3"/>
          </w:tcPr>
          <w:p w:rsidR="00635ACD" w:rsidRPr="000A074A" w:rsidRDefault="00494E52" w:rsidP="00334F32">
            <w:pPr>
              <w:jc w:val="both"/>
              <w:rPr>
                <w:lang w:val="es-PE"/>
              </w:rPr>
            </w:pPr>
            <w:r>
              <w:rPr>
                <w:lang w:val="es-PE"/>
              </w:rPr>
              <w:t xml:space="preserve">Contar con un </w:t>
            </w:r>
            <w:r w:rsidR="009705A7">
              <w:rPr>
                <w:lang w:val="es-PE"/>
              </w:rPr>
              <w:t>Registro que</w:t>
            </w:r>
            <w:r>
              <w:rPr>
                <w:lang w:val="es-PE"/>
              </w:rPr>
              <w:t xml:space="preserve"> concentre la base de datos de la información de todos los usuarios afiliados a los Programas Sociales o de subsidios del Estado</w:t>
            </w:r>
            <w:r w:rsidR="00417D25">
              <w:rPr>
                <w:lang w:val="es-PE"/>
              </w:rPr>
              <w:t>,</w:t>
            </w:r>
            <w:r>
              <w:rPr>
                <w:lang w:val="es-PE"/>
              </w:rPr>
              <w:t xml:space="preserve"> a través de un aplicativo </w:t>
            </w:r>
            <w:r w:rsidR="009705A7">
              <w:rPr>
                <w:lang w:val="es-PE"/>
              </w:rPr>
              <w:t>web que</w:t>
            </w:r>
            <w:r>
              <w:rPr>
                <w:lang w:val="es-PE"/>
              </w:rPr>
              <w:t xml:space="preserve"> puede ser consultado por los ciudadanos, fortalece la transparencia de la entidad y promueve el derecho de los ciudadanos a acceder a información pública.</w:t>
            </w:r>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Ambición</w:t>
            </w:r>
          </w:p>
          <w:p w:rsidR="00635ACD" w:rsidRPr="000A074A" w:rsidRDefault="00635ACD" w:rsidP="00635ACD">
            <w:pPr>
              <w:spacing w:after="200" w:line="276" w:lineRule="auto"/>
              <w:rPr>
                <w:b/>
                <w:iCs/>
              </w:rPr>
            </w:pPr>
          </w:p>
        </w:tc>
        <w:tc>
          <w:tcPr>
            <w:tcW w:w="5387" w:type="dxa"/>
            <w:gridSpan w:val="3"/>
          </w:tcPr>
          <w:p w:rsidR="00635ACD" w:rsidRPr="000A074A" w:rsidRDefault="00494E52" w:rsidP="00334F32">
            <w:pPr>
              <w:jc w:val="both"/>
              <w:rPr>
                <w:lang w:val="es-PE"/>
              </w:rPr>
            </w:pPr>
            <w:r>
              <w:rPr>
                <w:lang w:val="es-PE"/>
              </w:rPr>
              <w:t xml:space="preserve">Se espera </w:t>
            </w:r>
            <w:r w:rsidR="0041466B">
              <w:rPr>
                <w:lang w:val="es-PE"/>
              </w:rPr>
              <w:t>contar con un aplicativo actualizado de acuerdo a su normativa y procesos establecidos y que tenga la debida difusión que permita</w:t>
            </w:r>
            <w:r w:rsidR="00417D25">
              <w:rPr>
                <w:lang w:val="es-PE"/>
              </w:rPr>
              <w:t>,</w:t>
            </w:r>
            <w:r w:rsidR="0041466B">
              <w:rPr>
                <w:lang w:val="es-PE"/>
              </w:rPr>
              <w:t xml:space="preserve"> a través de su uso</w:t>
            </w:r>
            <w:r w:rsidR="00417D25">
              <w:rPr>
                <w:lang w:val="es-PE"/>
              </w:rPr>
              <w:t>,</w:t>
            </w:r>
            <w:r w:rsidR="0041466B">
              <w:rPr>
                <w:lang w:val="es-PE"/>
              </w:rPr>
              <w:t xml:space="preserve"> mejorar la focalización de los destinatarios y promover la participación y vigilancia ciudadana</w:t>
            </w:r>
            <w:r w:rsidR="00417D25">
              <w:rPr>
                <w:lang w:val="es-PE"/>
              </w:rPr>
              <w:t>.</w:t>
            </w:r>
          </w:p>
        </w:tc>
      </w:tr>
      <w:tr w:rsidR="00635ACD" w:rsidRPr="000A074A" w:rsidTr="0041466B">
        <w:tc>
          <w:tcPr>
            <w:tcW w:w="1951" w:type="dxa"/>
            <w:gridSpan w:val="2"/>
            <w:vMerge w:val="restart"/>
            <w:shd w:val="clear" w:color="auto" w:fill="C6D9F1" w:themeFill="text2" w:themeFillTint="33"/>
            <w:vAlign w:val="center"/>
          </w:tcPr>
          <w:p w:rsidR="00635ACD" w:rsidRPr="000A074A" w:rsidRDefault="00635ACD" w:rsidP="00635ACD">
            <w:pPr>
              <w:spacing w:after="200" w:line="276" w:lineRule="auto"/>
              <w:rPr>
                <w:b/>
              </w:rPr>
            </w:pPr>
            <w:r w:rsidRPr="000A074A">
              <w:rPr>
                <w:b/>
              </w:rPr>
              <w:t>Cumplimiento</w:t>
            </w:r>
          </w:p>
        </w:tc>
        <w:tc>
          <w:tcPr>
            <w:tcW w:w="1701" w:type="dxa"/>
            <w:shd w:val="clear" w:color="auto" w:fill="C6D9F1" w:themeFill="text2" w:themeFillTint="33"/>
          </w:tcPr>
          <w:p w:rsidR="00635ACD" w:rsidRPr="000A074A" w:rsidRDefault="00635ACD" w:rsidP="00635ACD">
            <w:pPr>
              <w:spacing w:after="200" w:line="276" w:lineRule="auto"/>
              <w:rPr>
                <w:b/>
              </w:rPr>
            </w:pPr>
            <w:r w:rsidRPr="000A074A">
              <w:rPr>
                <w:b/>
              </w:rPr>
              <w:t>No iniciado</w:t>
            </w:r>
          </w:p>
        </w:tc>
        <w:tc>
          <w:tcPr>
            <w:tcW w:w="1729" w:type="dxa"/>
            <w:shd w:val="clear" w:color="auto" w:fill="C6D9F1" w:themeFill="text2" w:themeFillTint="33"/>
          </w:tcPr>
          <w:p w:rsidR="00635ACD" w:rsidRPr="000A074A" w:rsidRDefault="00635ACD" w:rsidP="00635ACD">
            <w:pPr>
              <w:spacing w:after="200" w:line="276" w:lineRule="auto"/>
              <w:rPr>
                <w:b/>
              </w:rPr>
            </w:pPr>
            <w:r w:rsidRPr="000A074A">
              <w:rPr>
                <w:b/>
              </w:rPr>
              <w:t>Limitado</w:t>
            </w:r>
          </w:p>
        </w:tc>
        <w:tc>
          <w:tcPr>
            <w:tcW w:w="1644" w:type="dxa"/>
            <w:shd w:val="clear" w:color="auto" w:fill="C6D9F1" w:themeFill="text2" w:themeFillTint="33"/>
          </w:tcPr>
          <w:p w:rsidR="00635ACD" w:rsidRPr="000A074A" w:rsidRDefault="00635ACD" w:rsidP="00635ACD">
            <w:pPr>
              <w:spacing w:after="200" w:line="276" w:lineRule="auto"/>
              <w:rPr>
                <w:b/>
              </w:rPr>
            </w:pPr>
            <w:r w:rsidRPr="000A074A">
              <w:rPr>
                <w:b/>
              </w:rPr>
              <w:t>Sustancial</w:t>
            </w:r>
          </w:p>
        </w:tc>
        <w:tc>
          <w:tcPr>
            <w:tcW w:w="2014" w:type="dxa"/>
            <w:shd w:val="clear" w:color="auto" w:fill="C6D9F1" w:themeFill="text2" w:themeFillTint="33"/>
          </w:tcPr>
          <w:p w:rsidR="00635ACD" w:rsidRPr="000A074A" w:rsidRDefault="00635ACD" w:rsidP="00635ACD">
            <w:pPr>
              <w:spacing w:after="200" w:line="276" w:lineRule="auto"/>
              <w:rPr>
                <w:b/>
              </w:rPr>
            </w:pPr>
            <w:r w:rsidRPr="000A074A">
              <w:rPr>
                <w:b/>
              </w:rPr>
              <w:t>Completo</w:t>
            </w:r>
          </w:p>
        </w:tc>
      </w:tr>
      <w:tr w:rsidR="00635ACD" w:rsidRPr="000A074A" w:rsidTr="0041466B">
        <w:tc>
          <w:tcPr>
            <w:tcW w:w="1951" w:type="dxa"/>
            <w:gridSpan w:val="2"/>
            <w:vMerge/>
            <w:shd w:val="clear" w:color="auto" w:fill="C6D9F1" w:themeFill="text2" w:themeFillTint="33"/>
            <w:vAlign w:val="center"/>
          </w:tcPr>
          <w:p w:rsidR="00635ACD" w:rsidRPr="000A074A" w:rsidRDefault="00635ACD" w:rsidP="00635ACD">
            <w:pPr>
              <w:spacing w:after="200" w:line="276" w:lineRule="auto"/>
              <w:rPr>
                <w:b/>
              </w:rPr>
            </w:pPr>
          </w:p>
        </w:tc>
        <w:tc>
          <w:tcPr>
            <w:tcW w:w="1701" w:type="dxa"/>
          </w:tcPr>
          <w:p w:rsidR="00670343" w:rsidRDefault="00670343" w:rsidP="00635ACD">
            <w:pPr>
              <w:spacing w:after="200" w:line="276" w:lineRule="auto"/>
              <w:rPr>
                <w:b/>
              </w:rPr>
            </w:pPr>
          </w:p>
          <w:p w:rsidR="00670343" w:rsidRPr="000A074A" w:rsidRDefault="00670343" w:rsidP="00635ACD">
            <w:pPr>
              <w:spacing w:after="200" w:line="276" w:lineRule="auto"/>
              <w:rPr>
                <w:b/>
              </w:rPr>
            </w:pPr>
          </w:p>
        </w:tc>
        <w:tc>
          <w:tcPr>
            <w:tcW w:w="1729" w:type="dxa"/>
          </w:tcPr>
          <w:p w:rsidR="00635ACD" w:rsidRPr="000A074A" w:rsidRDefault="00635ACD" w:rsidP="00635ACD">
            <w:pPr>
              <w:spacing w:after="200" w:line="276" w:lineRule="auto"/>
              <w:rPr>
                <w:b/>
              </w:rPr>
            </w:pPr>
          </w:p>
        </w:tc>
        <w:tc>
          <w:tcPr>
            <w:tcW w:w="1644" w:type="dxa"/>
          </w:tcPr>
          <w:p w:rsidR="00635ACD" w:rsidRPr="000A074A" w:rsidRDefault="00F0257B" w:rsidP="009705A7">
            <w:pPr>
              <w:spacing w:after="200" w:line="276" w:lineRule="auto"/>
              <w:jc w:val="center"/>
              <w:rPr>
                <w:b/>
              </w:rPr>
            </w:pPr>
            <w:r>
              <w:rPr>
                <w:b/>
              </w:rPr>
              <w:t>X</w:t>
            </w:r>
          </w:p>
        </w:tc>
        <w:tc>
          <w:tcPr>
            <w:tcW w:w="2014" w:type="dxa"/>
            <w:shd w:val="clear" w:color="auto" w:fill="FFFFFF" w:themeFill="background1"/>
          </w:tcPr>
          <w:p w:rsidR="00635ACD" w:rsidRPr="000A074A" w:rsidRDefault="00635ACD" w:rsidP="00635ACD">
            <w:pPr>
              <w:spacing w:after="200" w:line="276" w:lineRule="auto"/>
              <w:rPr>
                <w:b/>
              </w:rPr>
            </w:pPr>
          </w:p>
        </w:tc>
      </w:tr>
      <w:tr w:rsidR="00635ACD" w:rsidRPr="000A074A" w:rsidTr="00D5726E">
        <w:trPr>
          <w:trHeight w:val="6616"/>
        </w:trPr>
        <w:tc>
          <w:tcPr>
            <w:tcW w:w="1951" w:type="dxa"/>
            <w:gridSpan w:val="2"/>
            <w:shd w:val="clear" w:color="auto" w:fill="C6D9F1" w:themeFill="text2" w:themeFillTint="33"/>
            <w:vAlign w:val="center"/>
          </w:tcPr>
          <w:p w:rsidR="00635ACD" w:rsidRPr="000A074A" w:rsidRDefault="00635ACD" w:rsidP="00635ACD">
            <w:pPr>
              <w:spacing w:after="200" w:line="276" w:lineRule="auto"/>
              <w:rPr>
                <w:b/>
              </w:rPr>
            </w:pPr>
            <w:r w:rsidRPr="000A074A">
              <w:rPr>
                <w:b/>
              </w:rPr>
              <w:t>Descripción de los resultados</w:t>
            </w:r>
          </w:p>
          <w:p w:rsidR="00635ACD" w:rsidRPr="000A074A" w:rsidRDefault="00635ACD" w:rsidP="00635ACD">
            <w:pPr>
              <w:spacing w:after="200" w:line="276" w:lineRule="auto"/>
              <w:rPr>
                <w:b/>
                <w:iCs/>
              </w:rPr>
            </w:pPr>
          </w:p>
        </w:tc>
        <w:tc>
          <w:tcPr>
            <w:tcW w:w="7088" w:type="dxa"/>
            <w:gridSpan w:val="4"/>
          </w:tcPr>
          <w:p w:rsidR="00CE2D9B" w:rsidRDefault="00CE2D9B" w:rsidP="000410D3">
            <w:pPr>
              <w:ind w:left="708"/>
            </w:pPr>
          </w:p>
          <w:p w:rsidR="00670343" w:rsidRDefault="00670343" w:rsidP="000410D3">
            <w:pPr>
              <w:ind w:left="708"/>
              <w:jc w:val="both"/>
              <w:rPr>
                <w:rFonts w:ascii="Calibri" w:eastAsia="Times New Roman" w:hAnsi="Calibri" w:cs="Times New Roman"/>
                <w:b/>
                <w:i/>
                <w:color w:val="000000"/>
                <w:lang w:eastAsia="es-PE"/>
              </w:rPr>
            </w:pPr>
            <w:r w:rsidRPr="00FE4354">
              <w:rPr>
                <w:rFonts w:ascii="Calibri" w:eastAsia="Times New Roman" w:hAnsi="Calibri" w:cs="Times New Roman"/>
                <w:b/>
                <w:i/>
                <w:color w:val="000000"/>
                <w:lang w:eastAsia="es-PE"/>
              </w:rPr>
              <w:t xml:space="preserve">Registro Nacional de Usuarios (RNU) elaborado que concentrará las bases de datos de la información de todos los usuarios afiliados a los Programas Sociales o de subsidios del Estado, la cual es provista por cada sector e institución responsable. </w:t>
            </w:r>
          </w:p>
          <w:p w:rsidR="00670343" w:rsidRDefault="00670343" w:rsidP="000410D3">
            <w:pPr>
              <w:ind w:left="708"/>
              <w:rPr>
                <w:rFonts w:ascii="Calibri" w:eastAsia="Times New Roman" w:hAnsi="Calibri" w:cs="Times New Roman"/>
                <w:color w:val="000000"/>
                <w:lang w:eastAsia="es-PE"/>
              </w:rPr>
            </w:pPr>
            <w:r w:rsidRPr="00FE4354">
              <w:rPr>
                <w:rFonts w:ascii="Calibri" w:eastAsia="Times New Roman" w:hAnsi="Calibri" w:cs="Times New Roman"/>
                <w:color w:val="000000"/>
                <w:lang w:eastAsia="es-PE"/>
              </w:rPr>
              <w:t>Este padrón podrá ser consultado por los ciudadanos a</w:t>
            </w:r>
            <w:r>
              <w:rPr>
                <w:rFonts w:ascii="Calibri" w:eastAsia="Times New Roman" w:hAnsi="Calibri" w:cs="Times New Roman"/>
                <w:color w:val="000000"/>
                <w:lang w:eastAsia="es-PE"/>
              </w:rPr>
              <w:t xml:space="preserve"> través de un aplicativo en web, en el marco de las funciones que recaen en la </w:t>
            </w:r>
            <w:r w:rsidRPr="00FE4354">
              <w:rPr>
                <w:rFonts w:ascii="Calibri" w:eastAsia="Times New Roman" w:hAnsi="Calibri" w:cs="Times New Roman"/>
                <w:color w:val="000000"/>
                <w:lang w:eastAsia="es-PE"/>
              </w:rPr>
              <w:t xml:space="preserve">Dirección General de </w:t>
            </w:r>
            <w:r>
              <w:rPr>
                <w:rFonts w:ascii="Calibri" w:eastAsia="Times New Roman" w:hAnsi="Calibri" w:cs="Times New Roman"/>
                <w:color w:val="000000"/>
                <w:lang w:eastAsia="es-PE"/>
              </w:rPr>
              <w:t xml:space="preserve">Focalización (DGFO) como administrador del </w:t>
            </w:r>
            <w:r w:rsidRPr="00FE4354">
              <w:rPr>
                <w:rFonts w:ascii="Calibri" w:eastAsia="Times New Roman" w:hAnsi="Calibri" w:cs="Times New Roman"/>
                <w:color w:val="000000"/>
                <w:lang w:eastAsia="es-PE"/>
              </w:rPr>
              <w:t>Registro Nacional de Usuarios (RNU)</w:t>
            </w:r>
            <w:r>
              <w:rPr>
                <w:rFonts w:ascii="Calibri" w:eastAsia="Times New Roman" w:hAnsi="Calibri" w:cs="Times New Roman"/>
                <w:color w:val="000000"/>
                <w:lang w:eastAsia="es-PE"/>
              </w:rPr>
              <w:t>. Se remitió el Oficio No. 001-2017-MIDIS/VMPES/DGFO (16 de marzo de 2017) donde se solicita la remisión de bases de datos de los padrones de usuarios de los Programas Sociales o subsidios del Estado de manera regular.</w:t>
            </w:r>
          </w:p>
          <w:p w:rsidR="00670343" w:rsidRDefault="00670343" w:rsidP="000410D3">
            <w:pPr>
              <w:ind w:left="708"/>
              <w:rPr>
                <w:rFonts w:ascii="Calibri" w:eastAsia="Times New Roman" w:hAnsi="Calibri" w:cs="Times New Roman"/>
                <w:color w:val="000000"/>
                <w:lang w:eastAsia="es-PE"/>
              </w:rPr>
            </w:pPr>
          </w:p>
          <w:p w:rsidR="00670343" w:rsidRPr="00FE4354" w:rsidRDefault="00670343" w:rsidP="000410D3">
            <w:pPr>
              <w:ind w:left="708"/>
              <w:jc w:val="both"/>
              <w:rPr>
                <w:rFonts w:ascii="Calibri" w:eastAsia="Times New Roman" w:hAnsi="Calibri" w:cs="Times New Roman"/>
                <w:b/>
                <w:i/>
                <w:color w:val="000000"/>
                <w:lang w:eastAsia="es-PE"/>
              </w:rPr>
            </w:pPr>
            <w:r w:rsidRPr="00FE4354">
              <w:rPr>
                <w:rFonts w:ascii="Calibri" w:eastAsia="Times New Roman" w:hAnsi="Calibri" w:cs="Times New Roman"/>
                <w:b/>
                <w:i/>
                <w:color w:val="000000"/>
                <w:lang w:eastAsia="es-PE"/>
              </w:rPr>
              <w:t>Aplicativo web implementado y su difusión sobre su uso y beneficios.</w:t>
            </w:r>
          </w:p>
          <w:p w:rsidR="00670343" w:rsidRDefault="00670343" w:rsidP="000410D3">
            <w:pPr>
              <w:ind w:left="708"/>
              <w:jc w:val="both"/>
              <w:rPr>
                <w:rFonts w:ascii="Calibri" w:eastAsia="Times New Roman" w:hAnsi="Calibri" w:cs="Times New Roman"/>
                <w:color w:val="000000"/>
                <w:lang w:eastAsia="es-PE"/>
              </w:rPr>
            </w:pPr>
            <w:r w:rsidRPr="00FE4354">
              <w:rPr>
                <w:rFonts w:ascii="Calibri" w:eastAsia="Times New Roman" w:hAnsi="Calibri" w:cs="Times New Roman"/>
                <w:color w:val="000000"/>
                <w:lang w:eastAsia="es-PE"/>
              </w:rPr>
              <w:t xml:space="preserve">La Dirección General de </w:t>
            </w:r>
            <w:r>
              <w:rPr>
                <w:rFonts w:ascii="Calibri" w:eastAsia="Times New Roman" w:hAnsi="Calibri" w:cs="Times New Roman"/>
                <w:color w:val="000000"/>
                <w:lang w:eastAsia="es-PE"/>
              </w:rPr>
              <w:t>Focalización diseñó y desarrolló el módulo de reporte web en tiempo real de consulta del Padrón General de Hogares (PGH) a nivel nacional, regional, provincial y distrital para su utilización a través del Aplicativo web InfoMidis:</w:t>
            </w:r>
          </w:p>
          <w:p w:rsidR="00670343" w:rsidRDefault="004165D0" w:rsidP="000410D3">
            <w:pPr>
              <w:ind w:left="708"/>
              <w:jc w:val="both"/>
              <w:rPr>
                <w:rFonts w:ascii="Calibri" w:eastAsia="Times New Roman" w:hAnsi="Calibri" w:cs="Times New Roman"/>
                <w:color w:val="000000"/>
                <w:lang w:eastAsia="es-PE"/>
              </w:rPr>
            </w:pPr>
            <w:hyperlink r:id="rId17" w:anchor="/padronGralHog" w:history="1">
              <w:r w:rsidR="00670343" w:rsidRPr="00C23A79">
                <w:rPr>
                  <w:rStyle w:val="Hipervnculo"/>
                  <w:rFonts w:ascii="Calibri" w:eastAsia="Times New Roman" w:hAnsi="Calibri" w:cs="Times New Roman"/>
                  <w:lang w:eastAsia="es-PE"/>
                </w:rPr>
                <w:t>http://sdv.midis.gob.pe/Infomidis/#/padronGralHog</w:t>
              </w:r>
            </w:hyperlink>
          </w:p>
          <w:p w:rsidR="00670343" w:rsidRDefault="00670343" w:rsidP="00670343"/>
          <w:p w:rsidR="00670343" w:rsidRDefault="00670343" w:rsidP="000D4A9D"/>
          <w:p w:rsidR="00670343" w:rsidRDefault="00670343" w:rsidP="000D4A9D"/>
          <w:p w:rsidR="00877B2F" w:rsidRPr="000A074A" w:rsidRDefault="00CE2D9B" w:rsidP="000D4A9D">
            <w:r>
              <w:t>Fuente: Oficio N° 290-2017-MIDIS/SG/OGPPM, del 12.09.17</w:t>
            </w:r>
          </w:p>
        </w:tc>
      </w:tr>
      <w:tr w:rsidR="00635ACD" w:rsidRPr="000A074A" w:rsidTr="0041466B">
        <w:trPr>
          <w:trHeight w:val="410"/>
        </w:trPr>
        <w:tc>
          <w:tcPr>
            <w:tcW w:w="9039" w:type="dxa"/>
            <w:gridSpan w:val="6"/>
          </w:tcPr>
          <w:p w:rsidR="00E40DA0" w:rsidRPr="000A074A" w:rsidRDefault="00635ACD" w:rsidP="000349C8">
            <w:pPr>
              <w:spacing w:after="200" w:line="276" w:lineRule="auto"/>
            </w:pPr>
            <w:r w:rsidRPr="000410D3">
              <w:rPr>
                <w:b/>
              </w:rPr>
              <w:t>Información adicional</w:t>
            </w:r>
          </w:p>
        </w:tc>
      </w:tr>
      <w:tr w:rsidR="000349C8" w:rsidRPr="000A074A" w:rsidTr="0041466B">
        <w:trPr>
          <w:trHeight w:val="410"/>
        </w:trPr>
        <w:tc>
          <w:tcPr>
            <w:tcW w:w="9039" w:type="dxa"/>
            <w:gridSpan w:val="6"/>
          </w:tcPr>
          <w:p w:rsidR="000349C8" w:rsidRDefault="000349C8" w:rsidP="000349C8">
            <w:pPr>
              <w:spacing w:after="200" w:line="276" w:lineRule="auto"/>
              <w:rPr>
                <w:b/>
              </w:rPr>
            </w:pPr>
            <w:r w:rsidRPr="000410D3">
              <w:t xml:space="preserve">El padrón general de hogares forma parte de la información de los programas sociales disponible en el sistema infoMIDIS donde también se puede encontrar indicadores socio-económicos. </w:t>
            </w:r>
            <w:hyperlink r:id="rId18" w:anchor="/" w:history="1">
              <w:r w:rsidRPr="00C23A79">
                <w:rPr>
                  <w:rStyle w:val="Hipervnculo"/>
                  <w:b/>
                </w:rPr>
                <w:t>http://sdv.midis.gob.pe/Infomidis#/</w:t>
              </w:r>
            </w:hyperlink>
          </w:p>
          <w:p w:rsidR="000349C8" w:rsidRPr="00A6717C" w:rsidRDefault="000349C8" w:rsidP="00635ACD">
            <w:pPr>
              <w:rPr>
                <w:b/>
                <w:highlight w:val="yellow"/>
              </w:rPr>
            </w:pPr>
          </w:p>
        </w:tc>
      </w:tr>
    </w:tbl>
    <w:p w:rsidR="000A074A" w:rsidRDefault="000A074A"/>
    <w:p w:rsidR="00700BF4" w:rsidRDefault="00700BF4"/>
    <w:p w:rsidR="009C7D2E" w:rsidRDefault="009C7D2E"/>
    <w:tbl>
      <w:tblPr>
        <w:tblStyle w:val="Tablaconcuadrcula"/>
        <w:tblW w:w="9039" w:type="dxa"/>
        <w:tblLayout w:type="fixed"/>
        <w:tblLook w:val="04A0" w:firstRow="1" w:lastRow="0" w:firstColumn="1" w:lastColumn="0" w:noHBand="0" w:noVBand="1"/>
      </w:tblPr>
      <w:tblGrid>
        <w:gridCol w:w="1526"/>
        <w:gridCol w:w="583"/>
        <w:gridCol w:w="2110"/>
        <w:gridCol w:w="1729"/>
        <w:gridCol w:w="1644"/>
        <w:gridCol w:w="1447"/>
      </w:tblGrid>
      <w:tr w:rsidR="006A6F3E" w:rsidRPr="00295641" w:rsidTr="002C2EAC">
        <w:tc>
          <w:tcPr>
            <w:tcW w:w="9039" w:type="dxa"/>
            <w:gridSpan w:val="6"/>
            <w:shd w:val="clear" w:color="auto" w:fill="548DD4" w:themeFill="text2" w:themeFillTint="99"/>
          </w:tcPr>
          <w:p w:rsidR="006A6F3E" w:rsidRPr="00295641" w:rsidRDefault="006A6F3E" w:rsidP="00DF077D">
            <w:pPr>
              <w:ind w:left="720"/>
              <w:jc w:val="center"/>
              <w:rPr>
                <w:b/>
              </w:rPr>
            </w:pPr>
            <w:r>
              <w:rPr>
                <w:b/>
              </w:rPr>
              <w:t xml:space="preserve">Componente: Transparencia y Acceso a la Información Pública </w:t>
            </w:r>
          </w:p>
        </w:tc>
      </w:tr>
      <w:tr w:rsidR="006A6F3E" w:rsidRPr="00295641" w:rsidTr="002C2EAC">
        <w:tc>
          <w:tcPr>
            <w:tcW w:w="9039" w:type="dxa"/>
            <w:gridSpan w:val="6"/>
            <w:shd w:val="clear" w:color="auto" w:fill="548DD4" w:themeFill="text2" w:themeFillTint="99"/>
          </w:tcPr>
          <w:p w:rsidR="006A6F3E" w:rsidRPr="00C0701E" w:rsidRDefault="001C55F9" w:rsidP="00C0701E">
            <w:pPr>
              <w:pStyle w:val="Prrafodelista"/>
              <w:rPr>
                <w:b/>
              </w:rPr>
            </w:pPr>
            <w:r w:rsidRPr="001C55F9">
              <w:rPr>
                <w:b/>
                <w:u w:val="single"/>
              </w:rPr>
              <w:t xml:space="preserve">Compromiso </w:t>
            </w:r>
            <w:r w:rsidR="00C0701E" w:rsidRPr="001C55F9">
              <w:rPr>
                <w:b/>
                <w:u w:val="single"/>
              </w:rPr>
              <w:t>5</w:t>
            </w:r>
            <w:r w:rsidR="00C0701E">
              <w:rPr>
                <w:b/>
              </w:rPr>
              <w:t>.</w:t>
            </w:r>
            <w:r>
              <w:rPr>
                <w:b/>
              </w:rPr>
              <w:t xml:space="preserve"> </w:t>
            </w:r>
            <w:r w:rsidR="006A6F3E" w:rsidRPr="00C0701E">
              <w:rPr>
                <w:b/>
              </w:rPr>
              <w:t xml:space="preserve">Mejorar el SEACE- Sistema Electrónico de Adquisiciones del Estado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Secretaría/Ministerio</w:t>
            </w:r>
          </w:p>
          <w:p w:rsidR="006A6F3E" w:rsidRPr="00295641" w:rsidRDefault="006A6F3E" w:rsidP="00DF077D">
            <w:pPr>
              <w:rPr>
                <w:b/>
                <w:color w:val="000000" w:themeColor="text1"/>
              </w:rPr>
            </w:pPr>
            <w:r w:rsidRPr="00295641">
              <w:rPr>
                <w:rFonts w:cs="Gotham-Book"/>
                <w:b/>
                <w:color w:val="000000" w:themeColor="text1"/>
              </w:rPr>
              <w:t>Responsable</w:t>
            </w:r>
          </w:p>
        </w:tc>
        <w:tc>
          <w:tcPr>
            <w:tcW w:w="4820" w:type="dxa"/>
            <w:gridSpan w:val="3"/>
          </w:tcPr>
          <w:p w:rsidR="006A6F3E" w:rsidRPr="00295641" w:rsidRDefault="006A6F3E" w:rsidP="00DF077D">
            <w:pPr>
              <w:jc w:val="both"/>
              <w:rPr>
                <w:color w:val="000000" w:themeColor="text1"/>
              </w:rPr>
            </w:pPr>
            <w:r>
              <w:rPr>
                <w:color w:val="000000" w:themeColor="text1"/>
              </w:rPr>
              <w:t xml:space="preserve">Organismo Supervisor de las Contrataciones del Estado - </w:t>
            </w:r>
            <w:r w:rsidRPr="003E519B">
              <w:t>OSCE</w:t>
            </w:r>
            <w:r w:rsidRPr="00C754AA">
              <w:rPr>
                <w:color w:val="FF0000"/>
              </w:rPr>
              <w:t xml:space="preserve">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6A6F3E" w:rsidRPr="00295641" w:rsidRDefault="003E519B" w:rsidP="003E519B">
            <w:pPr>
              <w:jc w:val="both"/>
              <w:rPr>
                <w:color w:val="000000" w:themeColor="text1"/>
              </w:rPr>
            </w:pPr>
            <w:r>
              <w:rPr>
                <w:color w:val="000000" w:themeColor="text1"/>
              </w:rPr>
              <w:t>Thou Su Chen</w:t>
            </w:r>
            <w:r w:rsidR="006A6F3E">
              <w:rPr>
                <w:color w:val="000000" w:themeColor="text1"/>
              </w:rPr>
              <w:t xml:space="preserve">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Puesto</w:t>
            </w:r>
          </w:p>
        </w:tc>
        <w:tc>
          <w:tcPr>
            <w:tcW w:w="4820" w:type="dxa"/>
            <w:gridSpan w:val="3"/>
          </w:tcPr>
          <w:p w:rsidR="006A6F3E" w:rsidRPr="00295641" w:rsidRDefault="006A6F3E" w:rsidP="00DF077D">
            <w:pPr>
              <w:jc w:val="both"/>
              <w:rPr>
                <w:color w:val="000000" w:themeColor="text1"/>
              </w:rPr>
            </w:pPr>
            <w:r>
              <w:rPr>
                <w:color w:val="000000" w:themeColor="text1"/>
              </w:rPr>
              <w:t xml:space="preserve">Secretaria General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877B2F" w:rsidRPr="003E519B" w:rsidRDefault="004165D0" w:rsidP="00DF077D">
            <w:pPr>
              <w:jc w:val="both"/>
              <w:rPr>
                <w:rFonts w:ascii="Arial" w:hAnsi="Arial" w:cs="Arial"/>
                <w:color w:val="000000"/>
                <w:sz w:val="17"/>
                <w:szCs w:val="17"/>
                <w:bdr w:val="none" w:sz="0" w:space="0" w:color="auto" w:frame="1"/>
                <w:shd w:val="clear" w:color="auto" w:fill="FFFFFF"/>
              </w:rPr>
            </w:pPr>
            <w:hyperlink r:id="rId19" w:history="1">
              <w:r w:rsidR="003E519B" w:rsidRPr="008F4FDF">
                <w:rPr>
                  <w:rStyle w:val="Hipervnculo"/>
                  <w:rFonts w:ascii="Arial" w:hAnsi="Arial" w:cs="Arial"/>
                  <w:sz w:val="17"/>
                  <w:szCs w:val="17"/>
                  <w:bdr w:val="none" w:sz="0" w:space="0" w:color="auto" w:frame="1"/>
                  <w:shd w:val="clear" w:color="auto" w:fill="FFFFFF"/>
                </w:rPr>
                <w:t>secretaria_general@osce.gob.pe</w:t>
              </w:r>
            </w:hyperlink>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Teléfono</w:t>
            </w:r>
          </w:p>
        </w:tc>
        <w:tc>
          <w:tcPr>
            <w:tcW w:w="4820" w:type="dxa"/>
            <w:gridSpan w:val="3"/>
          </w:tcPr>
          <w:p w:rsidR="006A6F3E" w:rsidRPr="00295641" w:rsidRDefault="00877B2F" w:rsidP="00DF077D">
            <w:pPr>
              <w:jc w:val="both"/>
              <w:rPr>
                <w:color w:val="000000" w:themeColor="text1"/>
              </w:rPr>
            </w:pPr>
            <w:r>
              <w:rPr>
                <w:color w:val="000000" w:themeColor="text1"/>
              </w:rPr>
              <w:t>51-1-</w:t>
            </w:r>
            <w:r w:rsidR="006A6F3E" w:rsidRPr="00387988">
              <w:rPr>
                <w:color w:val="000000" w:themeColor="text1"/>
              </w:rPr>
              <w:t>613-5555</w:t>
            </w:r>
          </w:p>
        </w:tc>
      </w:tr>
      <w:tr w:rsidR="006A6F3E" w:rsidRPr="00295641" w:rsidTr="002C2EAC">
        <w:tc>
          <w:tcPr>
            <w:tcW w:w="2109" w:type="dxa"/>
            <w:gridSpan w:val="2"/>
            <w:vMerge w:val="restart"/>
            <w:shd w:val="clear" w:color="auto" w:fill="C6D9F1" w:themeFill="text2" w:themeFillTint="33"/>
            <w:vAlign w:val="center"/>
          </w:tcPr>
          <w:p w:rsidR="006A6F3E" w:rsidRPr="00295641" w:rsidRDefault="006A6F3E" w:rsidP="00DF077D">
            <w:pPr>
              <w:rPr>
                <w:rFonts w:cs="Gotham-Book"/>
                <w:b/>
                <w:color w:val="000000" w:themeColor="text1"/>
              </w:rPr>
            </w:pPr>
            <w:r>
              <w:rPr>
                <w:rFonts w:cs="Gotham-Book"/>
                <w:b/>
                <w:color w:val="000000" w:themeColor="text1"/>
              </w:rPr>
              <w:t>Otros actores involucrados</w:t>
            </w:r>
          </w:p>
        </w:tc>
        <w:tc>
          <w:tcPr>
            <w:tcW w:w="2110" w:type="dxa"/>
            <w:shd w:val="clear" w:color="auto" w:fill="C6D9F1" w:themeFill="text2" w:themeFillTint="33"/>
            <w:vAlign w:val="center"/>
          </w:tcPr>
          <w:p w:rsidR="006A6F3E" w:rsidRPr="00295641" w:rsidRDefault="006A6F3E" w:rsidP="00DF077D">
            <w:pPr>
              <w:rPr>
                <w:rFonts w:cs="Gotham-Book"/>
                <w:b/>
                <w:color w:val="000000" w:themeColor="text1"/>
              </w:rPr>
            </w:pPr>
            <w:r>
              <w:rPr>
                <w:rFonts w:cs="Gotham-Book"/>
                <w:b/>
                <w:color w:val="000000" w:themeColor="text1"/>
              </w:rPr>
              <w:t>Gobierno</w:t>
            </w:r>
          </w:p>
        </w:tc>
        <w:tc>
          <w:tcPr>
            <w:tcW w:w="4820" w:type="dxa"/>
            <w:gridSpan w:val="3"/>
          </w:tcPr>
          <w:p w:rsidR="006A6F3E" w:rsidRPr="00295641" w:rsidRDefault="006A6F3E" w:rsidP="00DF077D">
            <w:pPr>
              <w:jc w:val="both"/>
              <w:rPr>
                <w:color w:val="000000" w:themeColor="text1"/>
              </w:rPr>
            </w:pPr>
            <w:r>
              <w:rPr>
                <w:color w:val="000000" w:themeColor="text1"/>
              </w:rPr>
              <w:t>NO APLICA</w:t>
            </w:r>
          </w:p>
        </w:tc>
      </w:tr>
      <w:tr w:rsidR="006A6F3E" w:rsidRPr="00295641" w:rsidTr="002C2EAC">
        <w:tc>
          <w:tcPr>
            <w:tcW w:w="2109" w:type="dxa"/>
            <w:gridSpan w:val="2"/>
            <w:vMerge/>
            <w:shd w:val="clear" w:color="auto" w:fill="C6D9F1" w:themeFill="text2" w:themeFillTint="33"/>
            <w:vAlign w:val="center"/>
          </w:tcPr>
          <w:p w:rsidR="006A6F3E" w:rsidRPr="00295641" w:rsidRDefault="006A6F3E" w:rsidP="00DF077D">
            <w:pPr>
              <w:rPr>
                <w:rFonts w:cs="Gotham-Book"/>
                <w:b/>
                <w:color w:val="000000" w:themeColor="text1"/>
              </w:rPr>
            </w:pPr>
          </w:p>
        </w:tc>
        <w:tc>
          <w:tcPr>
            <w:tcW w:w="2110" w:type="dxa"/>
            <w:shd w:val="clear" w:color="auto" w:fill="C6D9F1" w:themeFill="text2" w:themeFillTint="33"/>
            <w:vAlign w:val="center"/>
          </w:tcPr>
          <w:p w:rsidR="006A6F3E" w:rsidRPr="00295641" w:rsidRDefault="006A6F3E" w:rsidP="00DF077D">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6A6F3E" w:rsidRPr="00295641" w:rsidRDefault="006A6F3E" w:rsidP="00DF077D">
            <w:pPr>
              <w:jc w:val="both"/>
              <w:rPr>
                <w:color w:val="000000" w:themeColor="text1"/>
              </w:rPr>
            </w:pP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6A6F3E" w:rsidRPr="00295641" w:rsidRDefault="006A6F3E" w:rsidP="00A04361">
            <w:pPr>
              <w:jc w:val="both"/>
              <w:rPr>
                <w:color w:val="000000" w:themeColor="text1"/>
              </w:rPr>
            </w:pPr>
            <w:r w:rsidRPr="00EB4179">
              <w:rPr>
                <w:rFonts w:cs="Calibri"/>
                <w:lang w:val="es-PE"/>
              </w:rPr>
              <w:t xml:space="preserve">Limitada operatividad del </w:t>
            </w:r>
            <w:r w:rsidR="0024723C">
              <w:rPr>
                <w:rFonts w:cs="Calibri"/>
                <w:lang w:val="es-PE"/>
              </w:rPr>
              <w:t xml:space="preserve">Sistema Electrónico de Adquisiciones del Estado- </w:t>
            </w:r>
            <w:r w:rsidRPr="00EB4179">
              <w:rPr>
                <w:rFonts w:cs="Calibri"/>
                <w:lang w:val="es-PE"/>
              </w:rPr>
              <w:t xml:space="preserve">SEACE para su uso por parte de los Órganos Encargados de las Contrataciones -OEC-, así como para la búsqueda de </w:t>
            </w:r>
            <w:r>
              <w:rPr>
                <w:rFonts w:cs="Calibri"/>
                <w:lang w:val="es-PE"/>
              </w:rPr>
              <w:t xml:space="preserve">los </w:t>
            </w:r>
            <w:r w:rsidRPr="00EB4179">
              <w:rPr>
                <w:rFonts w:cs="Calibri"/>
                <w:lang w:val="es-PE"/>
              </w:rPr>
              <w:t xml:space="preserve">procesos de las entidades por parte de los proveedores y la ciudadanía.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Objetivo principal</w:t>
            </w:r>
          </w:p>
        </w:tc>
        <w:tc>
          <w:tcPr>
            <w:tcW w:w="4820" w:type="dxa"/>
            <w:gridSpan w:val="3"/>
          </w:tcPr>
          <w:p w:rsidR="006A6F3E" w:rsidRPr="00D21EEF" w:rsidRDefault="006A6F3E" w:rsidP="00DF077D">
            <w:pPr>
              <w:jc w:val="both"/>
              <w:rPr>
                <w:bCs/>
              </w:rPr>
            </w:pPr>
            <w:r w:rsidRPr="00FD6803">
              <w:rPr>
                <w:bCs/>
              </w:rPr>
              <w:t>Mejorar el SEACE para su uso eficiente, contando con información amigable de procesos similares, simplificando</w:t>
            </w:r>
            <w:r w:rsidR="00C512EA">
              <w:rPr>
                <w:bCs/>
              </w:rPr>
              <w:t>, además,</w:t>
            </w:r>
            <w:r w:rsidRPr="00FD6803">
              <w:rPr>
                <w:bCs/>
              </w:rPr>
              <w:t xml:space="preserve"> la búsqueda de procesos de contrataciones de las entidades públicas y poniendo a disposición información de proveedores potenciales a nivel nacional.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6A6F3E" w:rsidRPr="004C1255" w:rsidRDefault="006A6F3E" w:rsidP="0024723C">
            <w:pPr>
              <w:jc w:val="both"/>
              <w:rPr>
                <w:szCs w:val="20"/>
                <w:lang w:val="es-PE"/>
              </w:rPr>
            </w:pPr>
            <w:r w:rsidRPr="00FD6803">
              <w:rPr>
                <w:szCs w:val="20"/>
                <w:lang w:val="es-PE"/>
              </w:rPr>
              <w:t>Mejorar el Portal del SEACE</w:t>
            </w:r>
            <w:r w:rsidR="00C512EA">
              <w:rPr>
                <w:szCs w:val="20"/>
                <w:lang w:val="es-PE"/>
              </w:rPr>
              <w:t>,</w:t>
            </w:r>
            <w:r w:rsidRPr="00FD6803">
              <w:rPr>
                <w:szCs w:val="20"/>
                <w:lang w:val="es-PE"/>
              </w:rPr>
              <w:t xml:space="preserve"> a través de la implementación de módulos que faciliten la búsqueda de procesos de contrataciones de las entidades públicas</w:t>
            </w:r>
            <w:r>
              <w:rPr>
                <w:szCs w:val="20"/>
                <w:lang w:val="es-PE"/>
              </w:rPr>
              <w:t>.</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Relevancia</w:t>
            </w:r>
          </w:p>
          <w:p w:rsidR="006A6F3E" w:rsidRPr="00295641" w:rsidRDefault="006A6F3E" w:rsidP="00DF077D">
            <w:pPr>
              <w:autoSpaceDE w:val="0"/>
              <w:autoSpaceDN w:val="0"/>
              <w:adjustRightInd w:val="0"/>
              <w:rPr>
                <w:b/>
                <w:color w:val="000000" w:themeColor="text1"/>
              </w:rPr>
            </w:pPr>
          </w:p>
        </w:tc>
        <w:tc>
          <w:tcPr>
            <w:tcW w:w="4820" w:type="dxa"/>
            <w:gridSpan w:val="3"/>
          </w:tcPr>
          <w:p w:rsidR="006A6F3E" w:rsidRDefault="006A6F3E" w:rsidP="00DF077D">
            <w:pPr>
              <w:jc w:val="both"/>
              <w:rPr>
                <w:szCs w:val="20"/>
                <w:lang w:val="es-PE"/>
              </w:rPr>
            </w:pPr>
            <w:r w:rsidRPr="00A34967">
              <w:rPr>
                <w:szCs w:val="20"/>
                <w:lang w:val="es-PE"/>
              </w:rPr>
              <w:t>El compromiso asumido por el OSCE contribuye como una medida de contingencia ante una eventual caída y/o prohibición de la herramienta tecnológica que a la fecha funciona como SEACE 2.0</w:t>
            </w:r>
            <w:r>
              <w:rPr>
                <w:szCs w:val="20"/>
                <w:lang w:val="es-PE"/>
              </w:rPr>
              <w:t xml:space="preserve">, habiéndose implementado los módulos </w:t>
            </w:r>
            <w:r w:rsidR="0024723C">
              <w:rPr>
                <w:szCs w:val="20"/>
                <w:lang w:val="es-PE"/>
              </w:rPr>
              <w:t>Plan Anual de Contrataciones -</w:t>
            </w:r>
            <w:r>
              <w:rPr>
                <w:szCs w:val="20"/>
                <w:lang w:val="es-PE"/>
              </w:rPr>
              <w:t>PAC versión 2.9, Contratos versión 2.9 y</w:t>
            </w:r>
            <w:r w:rsidR="0024723C">
              <w:rPr>
                <w:szCs w:val="20"/>
                <w:lang w:val="es-PE"/>
              </w:rPr>
              <w:t xml:space="preserve"> Catálogo Único de Bienes, Servicios y Obras -</w:t>
            </w:r>
            <w:r>
              <w:rPr>
                <w:szCs w:val="20"/>
                <w:lang w:val="es-PE"/>
              </w:rPr>
              <w:t xml:space="preserve"> CUBSO versión 2.9. </w:t>
            </w:r>
          </w:p>
          <w:p w:rsidR="006A6F3E" w:rsidRPr="00F142A5" w:rsidRDefault="006A6F3E" w:rsidP="0024723C">
            <w:pPr>
              <w:jc w:val="both"/>
              <w:rPr>
                <w:szCs w:val="20"/>
                <w:lang w:val="es-PE"/>
              </w:rPr>
            </w:pPr>
            <w:r>
              <w:rPr>
                <w:szCs w:val="20"/>
                <w:lang w:val="es-PE"/>
              </w:rPr>
              <w:t xml:space="preserve">Cabe precisar que dicha herramienta tecnológica fomenta la transparencia y coadyuva en la lucha contra la corrupción.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Ambición</w:t>
            </w:r>
          </w:p>
          <w:p w:rsidR="006A6F3E" w:rsidRPr="00295641" w:rsidRDefault="006A6F3E" w:rsidP="00DF077D">
            <w:pPr>
              <w:autoSpaceDE w:val="0"/>
              <w:autoSpaceDN w:val="0"/>
              <w:adjustRightInd w:val="0"/>
              <w:rPr>
                <w:rFonts w:cs="Gotham-BookItalic"/>
                <w:b/>
                <w:iCs/>
                <w:color w:val="000000" w:themeColor="text1"/>
              </w:rPr>
            </w:pPr>
          </w:p>
        </w:tc>
        <w:tc>
          <w:tcPr>
            <w:tcW w:w="4820" w:type="dxa"/>
            <w:gridSpan w:val="3"/>
          </w:tcPr>
          <w:p w:rsidR="006A6F3E" w:rsidRDefault="006A6F3E" w:rsidP="00DF077D">
            <w:pPr>
              <w:jc w:val="both"/>
              <w:rPr>
                <w:szCs w:val="20"/>
                <w:lang w:val="es-PE"/>
              </w:rPr>
            </w:pPr>
            <w:r>
              <w:rPr>
                <w:szCs w:val="20"/>
                <w:lang w:val="es-PE"/>
              </w:rPr>
              <w:t>Se espera que</w:t>
            </w:r>
            <w:r w:rsidR="00C512EA">
              <w:rPr>
                <w:szCs w:val="20"/>
                <w:lang w:val="es-PE"/>
              </w:rPr>
              <w:t xml:space="preserve"> se realicen las mejoras a</w:t>
            </w:r>
            <w:r>
              <w:rPr>
                <w:szCs w:val="20"/>
                <w:lang w:val="es-PE"/>
              </w:rPr>
              <w:t>l Sistema Electrónico de Adquisiciones d</w:t>
            </w:r>
            <w:r w:rsidR="00C512EA">
              <w:rPr>
                <w:szCs w:val="20"/>
                <w:lang w:val="es-PE"/>
              </w:rPr>
              <w:t xml:space="preserve">el Estado (SEACE), </w:t>
            </w:r>
            <w:r>
              <w:rPr>
                <w:szCs w:val="20"/>
                <w:lang w:val="es-PE"/>
              </w:rPr>
              <w:t xml:space="preserve">a través de la implementación de los módulos de: </w:t>
            </w:r>
          </w:p>
          <w:p w:rsidR="006A6F3E" w:rsidRDefault="006A6F3E" w:rsidP="00DF077D">
            <w:pPr>
              <w:jc w:val="both"/>
              <w:rPr>
                <w:szCs w:val="20"/>
                <w:lang w:val="es-PE"/>
              </w:rPr>
            </w:pPr>
            <w:r w:rsidRPr="0078013D">
              <w:rPr>
                <w:szCs w:val="20"/>
                <w:lang w:val="es-PE"/>
              </w:rPr>
              <w:t>Plan Anual de Contrataciones – PAC</w:t>
            </w:r>
            <w:r>
              <w:rPr>
                <w:szCs w:val="20"/>
                <w:lang w:val="es-PE"/>
              </w:rPr>
              <w:t xml:space="preserve"> versión 2.9; </w:t>
            </w:r>
            <w:r w:rsidRPr="0078013D">
              <w:rPr>
                <w:szCs w:val="20"/>
                <w:lang w:val="es-PE"/>
              </w:rPr>
              <w:t xml:space="preserve"> </w:t>
            </w:r>
          </w:p>
          <w:p w:rsidR="006A6F3E" w:rsidRPr="0078013D" w:rsidRDefault="006A6F3E" w:rsidP="003E0700">
            <w:pPr>
              <w:jc w:val="both"/>
              <w:rPr>
                <w:szCs w:val="20"/>
                <w:lang w:val="es-PE"/>
              </w:rPr>
            </w:pPr>
            <w:r w:rsidRPr="0078013D">
              <w:rPr>
                <w:szCs w:val="20"/>
                <w:lang w:val="es-PE"/>
              </w:rPr>
              <w:t xml:space="preserve">Catálogo Único </w:t>
            </w:r>
            <w:r>
              <w:rPr>
                <w:szCs w:val="20"/>
                <w:lang w:val="es-PE"/>
              </w:rPr>
              <w:t xml:space="preserve">de Bienes, Servicios y </w:t>
            </w:r>
            <w:r w:rsidRPr="0078013D">
              <w:rPr>
                <w:szCs w:val="20"/>
                <w:lang w:val="es-PE"/>
              </w:rPr>
              <w:t>Obras –</w:t>
            </w:r>
            <w:r>
              <w:rPr>
                <w:szCs w:val="20"/>
                <w:lang w:val="es-PE"/>
              </w:rPr>
              <w:t xml:space="preserve"> CUBSO versión 2.9; y </w:t>
            </w:r>
            <w:r w:rsidR="003E0700">
              <w:rPr>
                <w:szCs w:val="20"/>
                <w:lang w:val="es-PE"/>
              </w:rPr>
              <w:t>C</w:t>
            </w:r>
            <w:r w:rsidRPr="0078013D">
              <w:rPr>
                <w:szCs w:val="20"/>
                <w:lang w:val="es-PE"/>
              </w:rPr>
              <w:t>ontratos</w:t>
            </w:r>
            <w:r>
              <w:rPr>
                <w:szCs w:val="20"/>
                <w:lang w:val="es-PE"/>
              </w:rPr>
              <w:t xml:space="preserve"> 2.9</w:t>
            </w:r>
            <w:r w:rsidRPr="0078013D">
              <w:rPr>
                <w:szCs w:val="20"/>
                <w:lang w:val="es-PE"/>
              </w:rPr>
              <w:t xml:space="preserve">. </w:t>
            </w:r>
          </w:p>
        </w:tc>
      </w:tr>
      <w:tr w:rsidR="006A6F3E" w:rsidRPr="00295641" w:rsidTr="002C2EAC">
        <w:tc>
          <w:tcPr>
            <w:tcW w:w="1526" w:type="dxa"/>
            <w:vMerge w:val="restart"/>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Cumplimiento</w:t>
            </w:r>
          </w:p>
        </w:tc>
        <w:tc>
          <w:tcPr>
            <w:tcW w:w="2693" w:type="dxa"/>
            <w:gridSpan w:val="2"/>
            <w:shd w:val="clear" w:color="auto" w:fill="C6D9F1" w:themeFill="text2" w:themeFillTint="33"/>
          </w:tcPr>
          <w:p w:rsidR="006A6F3E" w:rsidRPr="00295641" w:rsidRDefault="006A6F3E" w:rsidP="00DF077D">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6A6F3E" w:rsidRPr="00295641" w:rsidRDefault="006A6F3E" w:rsidP="00DF077D">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6A6F3E" w:rsidRPr="00295641" w:rsidRDefault="006A6F3E" w:rsidP="00DF077D">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6A6F3E" w:rsidRPr="00295641" w:rsidRDefault="006A6F3E" w:rsidP="00DF077D">
            <w:pPr>
              <w:jc w:val="center"/>
              <w:rPr>
                <w:b/>
                <w:color w:val="000000" w:themeColor="text1"/>
              </w:rPr>
            </w:pPr>
            <w:r w:rsidRPr="00295641">
              <w:rPr>
                <w:rFonts w:cs="Gotham-Book"/>
                <w:b/>
                <w:color w:val="000000" w:themeColor="text1"/>
              </w:rPr>
              <w:t>Completo</w:t>
            </w:r>
          </w:p>
        </w:tc>
      </w:tr>
      <w:tr w:rsidR="006A6F3E" w:rsidRPr="00295641" w:rsidTr="002C2EAC">
        <w:tc>
          <w:tcPr>
            <w:tcW w:w="1526" w:type="dxa"/>
            <w:vMerge/>
            <w:shd w:val="clear" w:color="auto" w:fill="C6D9F1" w:themeFill="text2" w:themeFillTint="33"/>
            <w:vAlign w:val="center"/>
          </w:tcPr>
          <w:p w:rsidR="006A6F3E" w:rsidRPr="00295641" w:rsidRDefault="006A6F3E" w:rsidP="00DF077D">
            <w:pPr>
              <w:rPr>
                <w:b/>
                <w:color w:val="000000" w:themeColor="text1"/>
              </w:rPr>
            </w:pPr>
          </w:p>
        </w:tc>
        <w:tc>
          <w:tcPr>
            <w:tcW w:w="2693" w:type="dxa"/>
            <w:gridSpan w:val="2"/>
          </w:tcPr>
          <w:p w:rsidR="006A6F3E" w:rsidRPr="00295641" w:rsidRDefault="006A6F3E" w:rsidP="00DF077D">
            <w:pPr>
              <w:jc w:val="center"/>
              <w:rPr>
                <w:b/>
                <w:color w:val="000000" w:themeColor="text1"/>
              </w:rPr>
            </w:pPr>
          </w:p>
        </w:tc>
        <w:tc>
          <w:tcPr>
            <w:tcW w:w="1729" w:type="dxa"/>
          </w:tcPr>
          <w:p w:rsidR="006A6F3E" w:rsidRPr="00295641" w:rsidRDefault="006A6F3E" w:rsidP="00DF077D">
            <w:pPr>
              <w:jc w:val="center"/>
              <w:rPr>
                <w:b/>
                <w:color w:val="000000" w:themeColor="text1"/>
              </w:rPr>
            </w:pPr>
          </w:p>
        </w:tc>
        <w:tc>
          <w:tcPr>
            <w:tcW w:w="1644" w:type="dxa"/>
          </w:tcPr>
          <w:p w:rsidR="006A6F3E" w:rsidRPr="00295641" w:rsidRDefault="006A6F3E" w:rsidP="00DF077D">
            <w:pPr>
              <w:jc w:val="center"/>
              <w:rPr>
                <w:b/>
                <w:color w:val="000000" w:themeColor="text1"/>
              </w:rPr>
            </w:pPr>
          </w:p>
        </w:tc>
        <w:tc>
          <w:tcPr>
            <w:tcW w:w="1447" w:type="dxa"/>
            <w:shd w:val="clear" w:color="auto" w:fill="FFFFFF" w:themeFill="background1"/>
          </w:tcPr>
          <w:p w:rsidR="006A6F3E" w:rsidRPr="00295641" w:rsidRDefault="00A730A4" w:rsidP="00DF077D">
            <w:pPr>
              <w:jc w:val="center"/>
              <w:rPr>
                <w:b/>
                <w:color w:val="000000" w:themeColor="text1"/>
              </w:rPr>
            </w:pPr>
            <w:r>
              <w:rPr>
                <w:b/>
                <w:color w:val="000000" w:themeColor="text1"/>
              </w:rPr>
              <w:t>X</w:t>
            </w:r>
          </w:p>
        </w:tc>
      </w:tr>
      <w:tr w:rsidR="006A6F3E" w:rsidRPr="00295641" w:rsidTr="002C2EAC">
        <w:tc>
          <w:tcPr>
            <w:tcW w:w="1526" w:type="dxa"/>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6A6F3E" w:rsidRPr="00295641" w:rsidRDefault="006A6F3E" w:rsidP="00DF077D">
            <w:pPr>
              <w:autoSpaceDE w:val="0"/>
              <w:autoSpaceDN w:val="0"/>
              <w:adjustRightInd w:val="0"/>
              <w:rPr>
                <w:rFonts w:cs="Gotham-BookItalic"/>
                <w:b/>
                <w:iCs/>
                <w:color w:val="000000" w:themeColor="text1"/>
              </w:rPr>
            </w:pPr>
          </w:p>
        </w:tc>
        <w:tc>
          <w:tcPr>
            <w:tcW w:w="7513" w:type="dxa"/>
            <w:gridSpan w:val="5"/>
          </w:tcPr>
          <w:p w:rsidR="006A6F3E" w:rsidRDefault="006A6F3E" w:rsidP="00DF077D">
            <w:pPr>
              <w:jc w:val="both"/>
              <w:rPr>
                <w:szCs w:val="20"/>
                <w:lang w:val="es-PE"/>
              </w:rPr>
            </w:pPr>
            <w:r>
              <w:rPr>
                <w:szCs w:val="20"/>
                <w:lang w:val="es-PE"/>
              </w:rPr>
              <w:t>Para el cumplimiento del compromiso, se</w:t>
            </w:r>
            <w:r w:rsidR="00A04361">
              <w:rPr>
                <w:szCs w:val="20"/>
                <w:lang w:val="es-PE"/>
              </w:rPr>
              <w:t xml:space="preserve"> </w:t>
            </w:r>
            <w:r>
              <w:rPr>
                <w:szCs w:val="20"/>
                <w:lang w:val="es-PE"/>
              </w:rPr>
              <w:t>contempl</w:t>
            </w:r>
            <w:r w:rsidR="00A04361">
              <w:rPr>
                <w:szCs w:val="20"/>
                <w:lang w:val="es-PE"/>
              </w:rPr>
              <w:t>ó</w:t>
            </w:r>
            <w:r>
              <w:rPr>
                <w:szCs w:val="20"/>
                <w:lang w:val="es-PE"/>
              </w:rPr>
              <w:t xml:space="preserve"> la realización de las siguientes actividades:</w:t>
            </w:r>
          </w:p>
          <w:p w:rsidR="006A6F3E" w:rsidRDefault="00422E29" w:rsidP="00422E29">
            <w:pPr>
              <w:tabs>
                <w:tab w:val="left" w:pos="1710"/>
              </w:tabs>
              <w:jc w:val="both"/>
              <w:rPr>
                <w:szCs w:val="20"/>
                <w:lang w:val="es-PE"/>
              </w:rPr>
            </w:pPr>
            <w:r>
              <w:rPr>
                <w:szCs w:val="20"/>
                <w:lang w:val="es-PE"/>
              </w:rPr>
              <w:t xml:space="preserve"> </w:t>
            </w:r>
          </w:p>
          <w:p w:rsidR="006A6F3E" w:rsidRPr="001C55F9" w:rsidRDefault="001C55F9" w:rsidP="001C55F9">
            <w:pPr>
              <w:pStyle w:val="Prrafodelista"/>
              <w:ind w:left="204"/>
              <w:jc w:val="both"/>
              <w:rPr>
                <w:b/>
                <w:i/>
                <w:szCs w:val="20"/>
                <w:lang w:val="es-PE"/>
              </w:rPr>
            </w:pPr>
            <w:r>
              <w:rPr>
                <w:b/>
                <w:i/>
                <w:szCs w:val="20"/>
                <w:lang w:val="es-PE"/>
              </w:rPr>
              <w:t xml:space="preserve">1. </w:t>
            </w:r>
            <w:r w:rsidR="006A6F3E" w:rsidRPr="001C55F9">
              <w:rPr>
                <w:b/>
                <w:i/>
                <w:szCs w:val="20"/>
                <w:lang w:val="es-PE"/>
              </w:rPr>
              <w:t>Implementación de los módulos del Plan Anual de Contrataciones - PAC</w:t>
            </w:r>
          </w:p>
          <w:p w:rsidR="006A6F3E" w:rsidRDefault="006A6F3E" w:rsidP="001C55F9">
            <w:pPr>
              <w:pStyle w:val="Prrafodelista"/>
              <w:ind w:left="346"/>
              <w:jc w:val="both"/>
              <w:rPr>
                <w:b/>
                <w:i/>
                <w:szCs w:val="20"/>
                <w:lang w:val="es-PE"/>
              </w:rPr>
            </w:pPr>
            <w:r w:rsidRPr="001C55F9">
              <w:rPr>
                <w:b/>
                <w:i/>
                <w:szCs w:val="20"/>
                <w:lang w:val="es-PE"/>
              </w:rPr>
              <w:t>Catálogo Único de Bienes, Servicios y Obras –CUBSO.</w:t>
            </w:r>
          </w:p>
          <w:p w:rsidR="00A77FF3" w:rsidRDefault="00A77FF3" w:rsidP="00A77FF3">
            <w:pPr>
              <w:pStyle w:val="Prrafodelista"/>
              <w:numPr>
                <w:ilvl w:val="0"/>
                <w:numId w:val="39"/>
              </w:numPr>
              <w:jc w:val="both"/>
              <w:rPr>
                <w:b/>
                <w:szCs w:val="20"/>
                <w:lang w:val="es-PE"/>
              </w:rPr>
            </w:pPr>
            <w:r w:rsidRPr="00A77FF3">
              <w:rPr>
                <w:b/>
                <w:szCs w:val="20"/>
                <w:lang w:val="es-PE"/>
              </w:rPr>
              <w:t>Módulo PAC en SEACE versión 3.0:</w:t>
            </w:r>
          </w:p>
          <w:p w:rsidR="00A77FF3" w:rsidRPr="00A77FF3" w:rsidRDefault="00A77FF3" w:rsidP="00A77FF3">
            <w:pPr>
              <w:ind w:left="1026"/>
              <w:jc w:val="both"/>
              <w:rPr>
                <w:szCs w:val="20"/>
                <w:lang w:val="es-PE"/>
              </w:rPr>
            </w:pPr>
            <w:r w:rsidRPr="00A77FF3">
              <w:rPr>
                <w:szCs w:val="20"/>
                <w:lang w:val="es-PE"/>
              </w:rPr>
              <w:t>E</w:t>
            </w:r>
            <w:r>
              <w:rPr>
                <w:szCs w:val="20"/>
                <w:lang w:val="es-PE"/>
              </w:rPr>
              <w:t xml:space="preserve">l nuevo </w:t>
            </w:r>
            <w:r w:rsidRPr="00A77FF3">
              <w:rPr>
                <w:szCs w:val="20"/>
                <w:lang w:val="es-PE"/>
              </w:rPr>
              <w:t xml:space="preserve">módulo </w:t>
            </w:r>
            <w:r>
              <w:rPr>
                <w:szCs w:val="20"/>
                <w:lang w:val="es-PE"/>
              </w:rPr>
              <w:t xml:space="preserve">PAC en versión 3.0 </w:t>
            </w:r>
            <w:r w:rsidRPr="00A77FF3">
              <w:rPr>
                <w:szCs w:val="20"/>
                <w:lang w:val="es-PE"/>
              </w:rPr>
              <w:t>se de</w:t>
            </w:r>
            <w:r>
              <w:rPr>
                <w:szCs w:val="20"/>
                <w:lang w:val="es-PE"/>
              </w:rPr>
              <w:t>splegó el 01 de enero del 2017 e</w:t>
            </w:r>
            <w:r w:rsidRPr="00A77FF3">
              <w:rPr>
                <w:szCs w:val="20"/>
                <w:lang w:val="es-PE"/>
              </w:rPr>
              <w:t>n el ambiente de Producción del SEACE versión 3.0</w:t>
            </w:r>
          </w:p>
          <w:p w:rsidR="00A77FF3" w:rsidRPr="00A77FF3" w:rsidRDefault="00A77FF3" w:rsidP="00A77FF3">
            <w:pPr>
              <w:pStyle w:val="Prrafodelista"/>
              <w:numPr>
                <w:ilvl w:val="0"/>
                <w:numId w:val="39"/>
              </w:numPr>
              <w:jc w:val="both"/>
              <w:rPr>
                <w:b/>
                <w:szCs w:val="20"/>
                <w:lang w:val="es-PE"/>
              </w:rPr>
            </w:pPr>
            <w:r w:rsidRPr="00A77FF3">
              <w:rPr>
                <w:b/>
                <w:szCs w:val="20"/>
                <w:lang w:val="es-PE"/>
              </w:rPr>
              <w:t xml:space="preserve">Módulo CUBSO en SEACE versión </w:t>
            </w:r>
            <w:r w:rsidR="00422E29">
              <w:rPr>
                <w:b/>
                <w:szCs w:val="20"/>
                <w:lang w:val="es-PE"/>
              </w:rPr>
              <w:t>2.9</w:t>
            </w:r>
            <w:r w:rsidRPr="00A77FF3">
              <w:rPr>
                <w:b/>
                <w:szCs w:val="20"/>
                <w:lang w:val="es-PE"/>
              </w:rPr>
              <w:t>:</w:t>
            </w:r>
          </w:p>
          <w:p w:rsidR="00422E29" w:rsidRDefault="00A77FF3" w:rsidP="00A77FF3">
            <w:pPr>
              <w:ind w:left="1026"/>
              <w:jc w:val="both"/>
              <w:rPr>
                <w:szCs w:val="20"/>
                <w:lang w:val="es-PE"/>
              </w:rPr>
            </w:pPr>
            <w:r w:rsidRPr="00A77FF3">
              <w:rPr>
                <w:szCs w:val="20"/>
                <w:lang w:val="es-PE"/>
              </w:rPr>
              <w:t>Se ha cumplido con tener la nueva versión del Módulo CUBSO en la versión 2.9</w:t>
            </w:r>
            <w:r>
              <w:rPr>
                <w:szCs w:val="20"/>
                <w:lang w:val="es-PE"/>
              </w:rPr>
              <w:t xml:space="preserve">  </w:t>
            </w:r>
          </w:p>
          <w:p w:rsidR="006A6F3E" w:rsidRPr="001C55F9" w:rsidRDefault="001C55F9" w:rsidP="001C55F9">
            <w:pPr>
              <w:pStyle w:val="Prrafodelista"/>
              <w:ind w:left="360" w:hanging="156"/>
              <w:jc w:val="both"/>
              <w:rPr>
                <w:b/>
                <w:i/>
                <w:szCs w:val="20"/>
                <w:lang w:val="es-PE"/>
              </w:rPr>
            </w:pPr>
            <w:r>
              <w:rPr>
                <w:b/>
                <w:i/>
                <w:szCs w:val="20"/>
                <w:lang w:val="es-PE"/>
              </w:rPr>
              <w:t xml:space="preserve">2. </w:t>
            </w:r>
            <w:r w:rsidR="006A6F3E" w:rsidRPr="001C55F9">
              <w:rPr>
                <w:b/>
                <w:i/>
                <w:szCs w:val="20"/>
                <w:lang w:val="es-PE"/>
              </w:rPr>
              <w:t xml:space="preserve">Implementación del Módulo de Contratos </w:t>
            </w:r>
          </w:p>
          <w:p w:rsidR="00422E29" w:rsidRDefault="00C512EA" w:rsidP="00434983">
            <w:pPr>
              <w:ind w:left="1026"/>
              <w:jc w:val="both"/>
              <w:rPr>
                <w:szCs w:val="20"/>
                <w:lang w:val="es-PE"/>
              </w:rPr>
            </w:pPr>
            <w:r>
              <w:rPr>
                <w:szCs w:val="20"/>
                <w:lang w:val="es-PE"/>
              </w:rPr>
              <w:t xml:space="preserve">Se </w:t>
            </w:r>
            <w:r w:rsidR="00422E29">
              <w:rPr>
                <w:szCs w:val="20"/>
                <w:lang w:val="es-PE"/>
              </w:rPr>
              <w:t xml:space="preserve">tiene la versión 2.9 del Módulo </w:t>
            </w:r>
            <w:r w:rsidR="00422E29" w:rsidRPr="00422E29">
              <w:rPr>
                <w:szCs w:val="20"/>
                <w:lang w:val="es-PE"/>
              </w:rPr>
              <w:t>Contratos</w:t>
            </w:r>
            <w:r w:rsidR="00422E29">
              <w:rPr>
                <w:szCs w:val="20"/>
                <w:lang w:val="es-PE"/>
              </w:rPr>
              <w:t xml:space="preserve">. </w:t>
            </w:r>
          </w:p>
          <w:p w:rsidR="006A6F3E" w:rsidRPr="0094684C" w:rsidRDefault="005031BE" w:rsidP="00422E29">
            <w:pPr>
              <w:jc w:val="both"/>
              <w:rPr>
                <w:szCs w:val="20"/>
                <w:lang w:val="es-PE"/>
              </w:rPr>
            </w:pPr>
            <w:r>
              <w:rPr>
                <w:szCs w:val="20"/>
                <w:lang w:val="es-PE"/>
              </w:rPr>
              <w:t xml:space="preserve">      </w:t>
            </w:r>
            <w:r w:rsidR="006A6F3E">
              <w:rPr>
                <w:szCs w:val="20"/>
                <w:lang w:val="es-PE"/>
              </w:rPr>
              <w:t xml:space="preserve">Fuente: </w:t>
            </w:r>
            <w:r w:rsidR="00422E29">
              <w:rPr>
                <w:szCs w:val="20"/>
                <w:lang w:val="es-PE"/>
              </w:rPr>
              <w:t xml:space="preserve">Oficio </w:t>
            </w:r>
            <w:r w:rsidR="006A6F3E">
              <w:rPr>
                <w:szCs w:val="20"/>
                <w:lang w:val="es-PE"/>
              </w:rPr>
              <w:t xml:space="preserve">N° </w:t>
            </w:r>
            <w:r w:rsidR="00422E29">
              <w:rPr>
                <w:szCs w:val="20"/>
                <w:lang w:val="es-PE"/>
              </w:rPr>
              <w:t>2813-</w:t>
            </w:r>
            <w:r w:rsidR="006A6F3E">
              <w:rPr>
                <w:szCs w:val="20"/>
                <w:lang w:val="es-PE"/>
              </w:rPr>
              <w:t>201</w:t>
            </w:r>
            <w:r w:rsidR="00422E29">
              <w:rPr>
                <w:szCs w:val="20"/>
                <w:lang w:val="es-PE"/>
              </w:rPr>
              <w:t>7</w:t>
            </w:r>
            <w:r w:rsidR="006A6F3E">
              <w:rPr>
                <w:szCs w:val="20"/>
                <w:lang w:val="es-PE"/>
              </w:rPr>
              <w:t>/O</w:t>
            </w:r>
            <w:r w:rsidR="00422E29">
              <w:rPr>
                <w:szCs w:val="20"/>
                <w:lang w:val="es-PE"/>
              </w:rPr>
              <w:t>SCE/SGE</w:t>
            </w:r>
            <w:r w:rsidR="006A6F3E">
              <w:rPr>
                <w:szCs w:val="20"/>
                <w:lang w:val="es-PE"/>
              </w:rPr>
              <w:t>.</w:t>
            </w:r>
          </w:p>
        </w:tc>
      </w:tr>
      <w:tr w:rsidR="006A6F3E" w:rsidRPr="00295641" w:rsidTr="002C2EAC">
        <w:tc>
          <w:tcPr>
            <w:tcW w:w="9039" w:type="dxa"/>
            <w:gridSpan w:val="6"/>
          </w:tcPr>
          <w:p w:rsidR="006A6F3E" w:rsidRDefault="006A6F3E" w:rsidP="00DF077D">
            <w:pPr>
              <w:jc w:val="both"/>
              <w:rPr>
                <w:rFonts w:cs="Gotham-Book"/>
                <w:b/>
                <w:color w:val="000000" w:themeColor="text1"/>
              </w:rPr>
            </w:pPr>
            <w:r>
              <w:rPr>
                <w:rFonts w:cs="Gotham-Book"/>
                <w:b/>
                <w:color w:val="000000" w:themeColor="text1"/>
              </w:rPr>
              <w:t>Información adicional</w:t>
            </w:r>
          </w:p>
          <w:p w:rsidR="00FF5E25" w:rsidRPr="00295641" w:rsidRDefault="00FF5E25" w:rsidP="00FF5E25">
            <w:pPr>
              <w:jc w:val="both"/>
              <w:rPr>
                <w:color w:val="000000" w:themeColor="text1"/>
              </w:rPr>
            </w:pPr>
          </w:p>
        </w:tc>
      </w:tr>
      <w:tr w:rsidR="000349C8" w:rsidRPr="00295641" w:rsidTr="002C2EAC">
        <w:tc>
          <w:tcPr>
            <w:tcW w:w="9039" w:type="dxa"/>
            <w:gridSpan w:val="6"/>
          </w:tcPr>
          <w:p w:rsidR="000349C8" w:rsidRPr="00FF5E25" w:rsidRDefault="000349C8" w:rsidP="000349C8">
            <w:pPr>
              <w:jc w:val="both"/>
              <w:rPr>
                <w:color w:val="000000" w:themeColor="text1"/>
              </w:rPr>
            </w:pPr>
            <w:r w:rsidRPr="00FF5E25">
              <w:rPr>
                <w:color w:val="000000" w:themeColor="text1"/>
              </w:rPr>
              <w:t xml:space="preserve">Se tiene previsto la implementación de un Módulo CUBSO versión 3.0, su realización y avance dependerá de las coordinaciones que efectúe el OSCE (mediante la Dirección del SEACE) y el MEF para la armonización, estandarización y gobierno de los Catálogos Nacionales. El objetivo es contar con un único catálogo donde se pueda clasificar e identificar las necesidades de las entidades del Estado, y que éste logre integrarse con otros sistemas administrativos del </w:t>
            </w:r>
            <w:r w:rsidR="000410D3">
              <w:rPr>
                <w:color w:val="000000" w:themeColor="text1"/>
              </w:rPr>
              <w:t>E</w:t>
            </w:r>
            <w:r w:rsidRPr="00FF5E25">
              <w:rPr>
                <w:color w:val="000000" w:themeColor="text1"/>
              </w:rPr>
              <w:t>stado.</w:t>
            </w:r>
          </w:p>
          <w:p w:rsidR="000349C8" w:rsidRPr="00FF5E25" w:rsidRDefault="000349C8" w:rsidP="000349C8">
            <w:pPr>
              <w:jc w:val="both"/>
              <w:rPr>
                <w:color w:val="000000" w:themeColor="text1"/>
              </w:rPr>
            </w:pPr>
          </w:p>
          <w:p w:rsidR="000349C8" w:rsidRDefault="000349C8" w:rsidP="000349C8">
            <w:pPr>
              <w:jc w:val="both"/>
              <w:rPr>
                <w:rFonts w:cs="Gotham-Book"/>
                <w:b/>
                <w:color w:val="000000" w:themeColor="text1"/>
              </w:rPr>
            </w:pPr>
            <w:r w:rsidRPr="00FF5E25">
              <w:rPr>
                <w:color w:val="000000" w:themeColor="text1"/>
              </w:rPr>
              <w:t>El desarrollo e implementación de un nuevo Módulo de Contratos está siendo coordinado entre la Unidad de Gestión de Desarrollo de Software con la Subdirección de gestión Funcional del SEACE.  Se tiene previsto implementarlo en marzo 2018.</w:t>
            </w:r>
          </w:p>
        </w:tc>
      </w:tr>
    </w:tbl>
    <w:p w:rsidR="00FF5E25" w:rsidRDefault="00FF5E25"/>
    <w:tbl>
      <w:tblPr>
        <w:tblStyle w:val="Tablaconcuadrcula"/>
        <w:tblW w:w="0" w:type="auto"/>
        <w:tblLayout w:type="fixed"/>
        <w:tblLook w:val="04A0" w:firstRow="1" w:lastRow="0" w:firstColumn="1" w:lastColumn="0" w:noHBand="0" w:noVBand="1"/>
      </w:tblPr>
      <w:tblGrid>
        <w:gridCol w:w="1526"/>
        <w:gridCol w:w="583"/>
        <w:gridCol w:w="2110"/>
        <w:gridCol w:w="1729"/>
        <w:gridCol w:w="1644"/>
        <w:gridCol w:w="1447"/>
      </w:tblGrid>
      <w:tr w:rsidR="00C0701E" w:rsidRPr="00295641" w:rsidTr="00DF077D">
        <w:tc>
          <w:tcPr>
            <w:tcW w:w="9039" w:type="dxa"/>
            <w:gridSpan w:val="6"/>
            <w:shd w:val="clear" w:color="auto" w:fill="548DD4" w:themeFill="text2" w:themeFillTint="99"/>
          </w:tcPr>
          <w:p w:rsidR="00C0701E" w:rsidRPr="00295641" w:rsidRDefault="00C0701E" w:rsidP="00C0701E">
            <w:pPr>
              <w:ind w:left="720"/>
              <w:jc w:val="center"/>
              <w:rPr>
                <w:b/>
              </w:rPr>
            </w:pPr>
            <w:r>
              <w:rPr>
                <w:b/>
              </w:rPr>
              <w:t>Componente: Transparencia y Acceso a la información Pública</w:t>
            </w:r>
          </w:p>
        </w:tc>
      </w:tr>
      <w:tr w:rsidR="00C0701E" w:rsidRPr="00295641" w:rsidTr="00DF077D">
        <w:tc>
          <w:tcPr>
            <w:tcW w:w="9039" w:type="dxa"/>
            <w:gridSpan w:val="6"/>
            <w:shd w:val="clear" w:color="auto" w:fill="548DD4" w:themeFill="text2" w:themeFillTint="99"/>
          </w:tcPr>
          <w:p w:rsidR="00C0701E" w:rsidRDefault="001C55F9" w:rsidP="00C0701E">
            <w:pPr>
              <w:ind w:left="720"/>
              <w:jc w:val="center"/>
              <w:rPr>
                <w:b/>
              </w:rPr>
            </w:pPr>
            <w:r w:rsidRPr="001C55F9">
              <w:rPr>
                <w:b/>
                <w:u w:val="single"/>
              </w:rPr>
              <w:t xml:space="preserve">Compromiso </w:t>
            </w:r>
            <w:r w:rsidR="00C0701E" w:rsidRPr="001C55F9">
              <w:rPr>
                <w:b/>
                <w:u w:val="single"/>
              </w:rPr>
              <w:t>6</w:t>
            </w:r>
            <w:r w:rsidR="00C0701E">
              <w:rPr>
                <w:b/>
              </w:rPr>
              <w:t xml:space="preserve">. Implementar Comisiones para la Transparencia de la Industrias Extractivas </w:t>
            </w: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Secretaría/Ministerio</w:t>
            </w:r>
          </w:p>
          <w:p w:rsidR="00C0701E" w:rsidRPr="00295641" w:rsidRDefault="00C0701E" w:rsidP="00DF077D">
            <w:pPr>
              <w:rPr>
                <w:b/>
                <w:color w:val="000000" w:themeColor="text1"/>
              </w:rPr>
            </w:pPr>
            <w:r w:rsidRPr="00295641">
              <w:rPr>
                <w:rFonts w:cs="Gotham-Book"/>
                <w:b/>
                <w:color w:val="000000" w:themeColor="text1"/>
              </w:rPr>
              <w:t>Responsable</w:t>
            </w:r>
          </w:p>
        </w:tc>
        <w:tc>
          <w:tcPr>
            <w:tcW w:w="4820" w:type="dxa"/>
            <w:gridSpan w:val="3"/>
          </w:tcPr>
          <w:p w:rsidR="00C0701E" w:rsidRPr="00295641" w:rsidRDefault="00C72C76" w:rsidP="00C72C76">
            <w:pPr>
              <w:jc w:val="both"/>
              <w:rPr>
                <w:color w:val="000000" w:themeColor="text1"/>
              </w:rPr>
            </w:pPr>
            <w:r w:rsidRPr="003F3745">
              <w:rPr>
                <w:color w:val="000000" w:themeColor="text1"/>
              </w:rPr>
              <w:t>Comisión Multisectorial Permanente para la Transparencia de las Industrias Extractivas (Comisión EITI por sus siglas en inglés), adscrita al Ministerio de Energía y Minas-MINEM.</w:t>
            </w: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C0701E" w:rsidRPr="00295641" w:rsidRDefault="00E1443E" w:rsidP="00DF077D">
            <w:pPr>
              <w:jc w:val="both"/>
              <w:rPr>
                <w:color w:val="000000" w:themeColor="text1"/>
              </w:rPr>
            </w:pPr>
            <w:r>
              <w:rPr>
                <w:color w:val="000000" w:themeColor="text1"/>
              </w:rPr>
              <w:t>Cayetana Aljovín</w:t>
            </w: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Puesto</w:t>
            </w:r>
          </w:p>
        </w:tc>
        <w:tc>
          <w:tcPr>
            <w:tcW w:w="4820" w:type="dxa"/>
            <w:gridSpan w:val="3"/>
          </w:tcPr>
          <w:p w:rsidR="00C0701E" w:rsidRPr="00295641" w:rsidRDefault="00E1443E" w:rsidP="00DF077D">
            <w:pPr>
              <w:jc w:val="both"/>
              <w:rPr>
                <w:color w:val="000000" w:themeColor="text1"/>
              </w:rPr>
            </w:pPr>
            <w:r>
              <w:rPr>
                <w:color w:val="000000" w:themeColor="text1"/>
              </w:rPr>
              <w:t>Ministra</w:t>
            </w: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C0701E" w:rsidRPr="00295641" w:rsidRDefault="00C0701E" w:rsidP="005031BE">
            <w:pPr>
              <w:jc w:val="both"/>
              <w:rPr>
                <w:rFonts w:cs="Arial"/>
                <w:color w:val="0000FF"/>
                <w:u w:val="single"/>
              </w:rPr>
            </w:pP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Teléfono</w:t>
            </w:r>
          </w:p>
        </w:tc>
        <w:tc>
          <w:tcPr>
            <w:tcW w:w="4820" w:type="dxa"/>
            <w:gridSpan w:val="3"/>
          </w:tcPr>
          <w:p w:rsidR="00C0701E" w:rsidRPr="00295641" w:rsidRDefault="00C0701E" w:rsidP="00877B2F">
            <w:pPr>
              <w:jc w:val="both"/>
              <w:rPr>
                <w:color w:val="000000" w:themeColor="text1"/>
              </w:rPr>
            </w:pPr>
            <w:r>
              <w:rPr>
                <w:color w:val="000000" w:themeColor="text1"/>
              </w:rPr>
              <w:t>51-1-</w:t>
            </w:r>
            <w:r w:rsidR="00877B2F">
              <w:rPr>
                <w:color w:val="000000" w:themeColor="text1"/>
              </w:rPr>
              <w:t>4111100</w:t>
            </w:r>
          </w:p>
        </w:tc>
      </w:tr>
      <w:tr w:rsidR="00C0701E" w:rsidRPr="00295641" w:rsidTr="00DF077D">
        <w:tc>
          <w:tcPr>
            <w:tcW w:w="2109" w:type="dxa"/>
            <w:gridSpan w:val="2"/>
            <w:vMerge w:val="restart"/>
            <w:shd w:val="clear" w:color="auto" w:fill="C6D9F1" w:themeFill="text2" w:themeFillTint="33"/>
            <w:vAlign w:val="center"/>
          </w:tcPr>
          <w:p w:rsidR="00C0701E" w:rsidRPr="00295641" w:rsidRDefault="00C0701E" w:rsidP="00DF077D">
            <w:pPr>
              <w:rPr>
                <w:rFonts w:cs="Gotham-Book"/>
                <w:b/>
                <w:color w:val="000000" w:themeColor="text1"/>
              </w:rPr>
            </w:pPr>
            <w:r>
              <w:rPr>
                <w:rFonts w:cs="Gotham-Book"/>
                <w:b/>
                <w:color w:val="000000" w:themeColor="text1"/>
              </w:rPr>
              <w:t>Otros actores involucrados</w:t>
            </w:r>
          </w:p>
        </w:tc>
        <w:tc>
          <w:tcPr>
            <w:tcW w:w="2110" w:type="dxa"/>
            <w:shd w:val="clear" w:color="auto" w:fill="C6D9F1" w:themeFill="text2" w:themeFillTint="33"/>
            <w:vAlign w:val="center"/>
          </w:tcPr>
          <w:p w:rsidR="00C0701E" w:rsidRPr="00295641" w:rsidRDefault="00C0701E" w:rsidP="00DF077D">
            <w:pPr>
              <w:rPr>
                <w:rFonts w:cs="Gotham-Book"/>
                <w:b/>
                <w:color w:val="000000" w:themeColor="text1"/>
              </w:rPr>
            </w:pPr>
            <w:r>
              <w:rPr>
                <w:rFonts w:cs="Gotham-Book"/>
                <w:b/>
                <w:color w:val="000000" w:themeColor="text1"/>
              </w:rPr>
              <w:t>Gobierno</w:t>
            </w:r>
          </w:p>
        </w:tc>
        <w:tc>
          <w:tcPr>
            <w:tcW w:w="4820" w:type="dxa"/>
            <w:gridSpan w:val="3"/>
          </w:tcPr>
          <w:p w:rsidR="00C0701E" w:rsidRPr="00295641" w:rsidRDefault="00C0701E" w:rsidP="00DF077D">
            <w:pPr>
              <w:jc w:val="both"/>
              <w:rPr>
                <w:color w:val="000000" w:themeColor="text1"/>
              </w:rPr>
            </w:pPr>
            <w:r>
              <w:rPr>
                <w:color w:val="000000" w:themeColor="text1"/>
              </w:rPr>
              <w:t>NO APLICA</w:t>
            </w:r>
          </w:p>
        </w:tc>
      </w:tr>
      <w:tr w:rsidR="00C0701E" w:rsidRPr="00295641" w:rsidTr="00DF077D">
        <w:tc>
          <w:tcPr>
            <w:tcW w:w="2109" w:type="dxa"/>
            <w:gridSpan w:val="2"/>
            <w:vMerge/>
            <w:shd w:val="clear" w:color="auto" w:fill="C6D9F1" w:themeFill="text2" w:themeFillTint="33"/>
            <w:vAlign w:val="center"/>
          </w:tcPr>
          <w:p w:rsidR="00C0701E" w:rsidRPr="00295641" w:rsidRDefault="00C0701E" w:rsidP="00DF077D">
            <w:pPr>
              <w:rPr>
                <w:rFonts w:cs="Gotham-Book"/>
                <w:b/>
                <w:color w:val="000000" w:themeColor="text1"/>
              </w:rPr>
            </w:pPr>
          </w:p>
        </w:tc>
        <w:tc>
          <w:tcPr>
            <w:tcW w:w="2110" w:type="dxa"/>
            <w:shd w:val="clear" w:color="auto" w:fill="C6D9F1" w:themeFill="text2" w:themeFillTint="33"/>
            <w:vAlign w:val="center"/>
          </w:tcPr>
          <w:p w:rsidR="00C0701E" w:rsidRPr="00295641" w:rsidRDefault="00C0701E" w:rsidP="00DF077D">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C0701E" w:rsidRPr="00295641" w:rsidRDefault="00C0701E" w:rsidP="00DF077D">
            <w:pPr>
              <w:jc w:val="both"/>
              <w:rPr>
                <w:color w:val="000000" w:themeColor="text1"/>
              </w:rPr>
            </w:pP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C0701E" w:rsidRPr="00295641" w:rsidRDefault="00877B2F" w:rsidP="006316FC">
            <w:pPr>
              <w:jc w:val="both"/>
              <w:rPr>
                <w:color w:val="000000" w:themeColor="text1"/>
              </w:rPr>
            </w:pPr>
            <w:r>
              <w:rPr>
                <w:color w:val="000000" w:themeColor="text1"/>
              </w:rPr>
              <w:t>A nivel regional</w:t>
            </w:r>
            <w:r w:rsidR="006316FC">
              <w:rPr>
                <w:color w:val="000000" w:themeColor="text1"/>
              </w:rPr>
              <w:t>,</w:t>
            </w:r>
            <w:r>
              <w:rPr>
                <w:color w:val="000000" w:themeColor="text1"/>
              </w:rPr>
              <w:t xml:space="preserve"> se advierte</w:t>
            </w:r>
            <w:r w:rsidR="006316FC">
              <w:rPr>
                <w:color w:val="000000" w:themeColor="text1"/>
              </w:rPr>
              <w:t xml:space="preserve"> la</w:t>
            </w:r>
            <w:r>
              <w:rPr>
                <w:color w:val="000000" w:themeColor="text1"/>
              </w:rPr>
              <w:t xml:space="preserve"> </w:t>
            </w:r>
            <w:r w:rsidR="006316FC">
              <w:rPr>
                <w:color w:val="000000" w:themeColor="text1"/>
              </w:rPr>
              <w:t>necesidad de crear</w:t>
            </w:r>
            <w:r>
              <w:rPr>
                <w:color w:val="000000" w:themeColor="text1"/>
              </w:rPr>
              <w:t xml:space="preserve"> espacios de diálogo entre autoridades, empresas y sociedad civil sobre aportes fiscales (tributación y no tributarios), distribución y uso de recursos públicos provenientes de las actividades extractivas (canon y otros vinculados).</w:t>
            </w: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Objetivo principal</w:t>
            </w:r>
          </w:p>
        </w:tc>
        <w:tc>
          <w:tcPr>
            <w:tcW w:w="4820" w:type="dxa"/>
            <w:gridSpan w:val="3"/>
          </w:tcPr>
          <w:p w:rsidR="00C0701E" w:rsidRPr="00D21EEF" w:rsidRDefault="00877B2F" w:rsidP="00033088">
            <w:pPr>
              <w:jc w:val="both"/>
              <w:rPr>
                <w:bCs/>
              </w:rPr>
            </w:pPr>
            <w:r>
              <w:rPr>
                <w:bCs/>
              </w:rPr>
              <w:t xml:space="preserve">Transparentar e informar a la población sobre el destino de los recursos provenientes del canon por la explotación de recursos naturales que se realiza en </w:t>
            </w:r>
            <w:r w:rsidR="00033088">
              <w:rPr>
                <w:bCs/>
              </w:rPr>
              <w:t>su región.</w:t>
            </w: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C0701E" w:rsidRPr="004C1255" w:rsidRDefault="00B77EE6" w:rsidP="00B77EE6">
            <w:pPr>
              <w:jc w:val="both"/>
              <w:rPr>
                <w:szCs w:val="20"/>
                <w:lang w:val="es-PE"/>
              </w:rPr>
            </w:pPr>
            <w:r>
              <w:rPr>
                <w:szCs w:val="20"/>
                <w:lang w:val="es-PE"/>
              </w:rPr>
              <w:t>Implementar Comisiones para la Transparencia de las Industrias Extractivas en tres (03) Gobiernos Regionales, a fin de establecer criterios de transparencia sobre el uso de los ingresos que perciben estos gobiernos de las empresas extractivas (mineras e hidrocarburíferas), para fomentar el desarrollo de sus regiones.</w:t>
            </w: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Relevancia</w:t>
            </w:r>
          </w:p>
          <w:p w:rsidR="00C0701E" w:rsidRPr="00295641" w:rsidRDefault="00C0701E" w:rsidP="00DF077D">
            <w:pPr>
              <w:autoSpaceDE w:val="0"/>
              <w:autoSpaceDN w:val="0"/>
              <w:adjustRightInd w:val="0"/>
              <w:rPr>
                <w:b/>
                <w:color w:val="000000" w:themeColor="text1"/>
              </w:rPr>
            </w:pPr>
          </w:p>
        </w:tc>
        <w:tc>
          <w:tcPr>
            <w:tcW w:w="4820" w:type="dxa"/>
            <w:gridSpan w:val="3"/>
          </w:tcPr>
          <w:p w:rsidR="00C0701E" w:rsidRPr="00D55406" w:rsidRDefault="00B56E74" w:rsidP="002802A5">
            <w:pPr>
              <w:jc w:val="both"/>
              <w:rPr>
                <w:color w:val="FF0000"/>
                <w:szCs w:val="20"/>
                <w:lang w:val="es-PE"/>
              </w:rPr>
            </w:pPr>
            <w:r w:rsidRPr="00B56E74">
              <w:rPr>
                <w:szCs w:val="20"/>
                <w:lang w:val="es-PE"/>
              </w:rPr>
              <w:t>Destaca el compromiso como país,</w:t>
            </w:r>
            <w:r w:rsidR="00033088">
              <w:rPr>
                <w:szCs w:val="20"/>
                <w:lang w:val="es-PE"/>
              </w:rPr>
              <w:t xml:space="preserve"> ya que</w:t>
            </w:r>
            <w:r w:rsidRPr="00B56E74">
              <w:rPr>
                <w:szCs w:val="20"/>
                <w:lang w:val="es-PE"/>
              </w:rPr>
              <w:t xml:space="preserve"> para el Perú constituye una práctica exitosa en materia de transparencia en el ámbito de la industria extractiva</w:t>
            </w:r>
            <w:r w:rsidR="00033088">
              <w:rPr>
                <w:szCs w:val="20"/>
                <w:lang w:val="es-PE"/>
              </w:rPr>
              <w:t>. De esta forma, se genera</w:t>
            </w:r>
            <w:r w:rsidRPr="00B56E74">
              <w:rPr>
                <w:szCs w:val="20"/>
                <w:lang w:val="es-PE"/>
              </w:rPr>
              <w:t xml:space="preserve"> espacios de participación para el control social</w:t>
            </w:r>
            <w:r w:rsidR="002802A5">
              <w:rPr>
                <w:szCs w:val="20"/>
                <w:lang w:val="es-PE"/>
              </w:rPr>
              <w:t>,</w:t>
            </w:r>
            <w:r w:rsidRPr="00B56E74">
              <w:rPr>
                <w:szCs w:val="20"/>
                <w:lang w:val="es-PE"/>
              </w:rPr>
              <w:t xml:space="preserve"> basada en la transparencia sobre el uso de los ingresos que perciben los gobiernos regionales, </w:t>
            </w:r>
            <w:r w:rsidR="002802A5">
              <w:rPr>
                <w:szCs w:val="20"/>
                <w:lang w:val="es-PE"/>
              </w:rPr>
              <w:t>lo cual visibiliza, además, la participación de</w:t>
            </w:r>
            <w:r>
              <w:rPr>
                <w:szCs w:val="20"/>
                <w:lang w:val="es-PE"/>
              </w:rPr>
              <w:t xml:space="preserve"> gobiernos regionales que promueven el gobierno abierto.</w:t>
            </w:r>
          </w:p>
        </w:tc>
      </w:tr>
      <w:tr w:rsidR="00C0701E" w:rsidRPr="00295641" w:rsidTr="00DF077D">
        <w:tc>
          <w:tcPr>
            <w:tcW w:w="4219" w:type="dxa"/>
            <w:gridSpan w:val="3"/>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Ambición</w:t>
            </w:r>
          </w:p>
          <w:p w:rsidR="00C0701E" w:rsidRPr="00295641" w:rsidRDefault="00C0701E" w:rsidP="00DF077D">
            <w:pPr>
              <w:autoSpaceDE w:val="0"/>
              <w:autoSpaceDN w:val="0"/>
              <w:adjustRightInd w:val="0"/>
              <w:rPr>
                <w:rFonts w:cs="Gotham-BookItalic"/>
                <w:b/>
                <w:iCs/>
                <w:color w:val="000000" w:themeColor="text1"/>
              </w:rPr>
            </w:pPr>
          </w:p>
        </w:tc>
        <w:tc>
          <w:tcPr>
            <w:tcW w:w="4820" w:type="dxa"/>
            <w:gridSpan w:val="3"/>
          </w:tcPr>
          <w:p w:rsidR="00C0701E" w:rsidRPr="00D55406" w:rsidRDefault="00B56E74" w:rsidP="00B56E74">
            <w:pPr>
              <w:jc w:val="both"/>
              <w:rPr>
                <w:color w:val="FF0000"/>
                <w:szCs w:val="20"/>
                <w:lang w:val="es-PE"/>
              </w:rPr>
            </w:pPr>
            <w:r w:rsidRPr="00B56E74">
              <w:rPr>
                <w:szCs w:val="20"/>
                <w:lang w:val="es-PE"/>
              </w:rPr>
              <w:t xml:space="preserve">Se espera que la </w:t>
            </w:r>
            <w:r>
              <w:rPr>
                <w:color w:val="000000" w:themeColor="text1"/>
              </w:rPr>
              <w:t>Comisión Multisectorial Permanente EITI Perú amplíe las gestiones en otros gobiernos regionales incrementando la conformación de comisiones EITI.</w:t>
            </w:r>
          </w:p>
        </w:tc>
      </w:tr>
      <w:tr w:rsidR="00C0701E" w:rsidRPr="00295641" w:rsidTr="00DF077D">
        <w:tc>
          <w:tcPr>
            <w:tcW w:w="1526" w:type="dxa"/>
            <w:vMerge w:val="restart"/>
            <w:shd w:val="clear" w:color="auto" w:fill="C6D9F1" w:themeFill="text2" w:themeFillTint="33"/>
            <w:vAlign w:val="center"/>
          </w:tcPr>
          <w:p w:rsidR="00C0701E" w:rsidRPr="00295641" w:rsidRDefault="008B16E3" w:rsidP="00DF077D">
            <w:pPr>
              <w:rPr>
                <w:b/>
                <w:color w:val="000000" w:themeColor="text1"/>
              </w:rPr>
            </w:pPr>
            <w:r>
              <w:br w:type="page"/>
            </w:r>
            <w:r w:rsidR="00C0701E" w:rsidRPr="00295641">
              <w:rPr>
                <w:rFonts w:cs="Gotham-Book"/>
                <w:b/>
                <w:color w:val="000000" w:themeColor="text1"/>
              </w:rPr>
              <w:t>Cumplimiento</w:t>
            </w:r>
          </w:p>
        </w:tc>
        <w:tc>
          <w:tcPr>
            <w:tcW w:w="2693" w:type="dxa"/>
            <w:gridSpan w:val="2"/>
            <w:shd w:val="clear" w:color="auto" w:fill="C6D9F1" w:themeFill="text2" w:themeFillTint="33"/>
          </w:tcPr>
          <w:p w:rsidR="00C0701E" w:rsidRPr="00295641" w:rsidRDefault="00C0701E" w:rsidP="00DF077D">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C0701E" w:rsidRPr="00295641" w:rsidRDefault="00C0701E" w:rsidP="00DF077D">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C0701E" w:rsidRPr="00295641" w:rsidRDefault="00C0701E" w:rsidP="00DF077D">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C0701E" w:rsidRPr="00295641" w:rsidRDefault="00C0701E" w:rsidP="00DF077D">
            <w:pPr>
              <w:jc w:val="center"/>
              <w:rPr>
                <w:b/>
                <w:color w:val="000000" w:themeColor="text1"/>
              </w:rPr>
            </w:pPr>
            <w:r w:rsidRPr="00295641">
              <w:rPr>
                <w:rFonts w:cs="Gotham-Book"/>
                <w:b/>
                <w:color w:val="000000" w:themeColor="text1"/>
              </w:rPr>
              <w:t>Completo</w:t>
            </w:r>
          </w:p>
        </w:tc>
      </w:tr>
      <w:tr w:rsidR="00C0701E" w:rsidRPr="00295641" w:rsidTr="00DF077D">
        <w:tc>
          <w:tcPr>
            <w:tcW w:w="1526" w:type="dxa"/>
            <w:vMerge/>
            <w:shd w:val="clear" w:color="auto" w:fill="C6D9F1" w:themeFill="text2" w:themeFillTint="33"/>
            <w:vAlign w:val="center"/>
          </w:tcPr>
          <w:p w:rsidR="00C0701E" w:rsidRPr="00295641" w:rsidRDefault="00C0701E" w:rsidP="00DF077D">
            <w:pPr>
              <w:rPr>
                <w:b/>
                <w:color w:val="000000" w:themeColor="text1"/>
              </w:rPr>
            </w:pPr>
          </w:p>
        </w:tc>
        <w:tc>
          <w:tcPr>
            <w:tcW w:w="2693" w:type="dxa"/>
            <w:gridSpan w:val="2"/>
          </w:tcPr>
          <w:p w:rsidR="00C0701E" w:rsidRPr="00295641" w:rsidRDefault="00C0701E" w:rsidP="00DF077D">
            <w:pPr>
              <w:jc w:val="center"/>
              <w:rPr>
                <w:b/>
                <w:color w:val="000000" w:themeColor="text1"/>
              </w:rPr>
            </w:pPr>
          </w:p>
        </w:tc>
        <w:tc>
          <w:tcPr>
            <w:tcW w:w="1729" w:type="dxa"/>
          </w:tcPr>
          <w:p w:rsidR="00C0701E" w:rsidRPr="00295641" w:rsidRDefault="00C0701E" w:rsidP="00DF077D">
            <w:pPr>
              <w:jc w:val="center"/>
              <w:rPr>
                <w:b/>
                <w:color w:val="000000" w:themeColor="text1"/>
              </w:rPr>
            </w:pPr>
          </w:p>
        </w:tc>
        <w:tc>
          <w:tcPr>
            <w:tcW w:w="1644" w:type="dxa"/>
          </w:tcPr>
          <w:p w:rsidR="00C0701E" w:rsidRPr="00295641" w:rsidRDefault="00C0701E" w:rsidP="00DF077D">
            <w:pPr>
              <w:jc w:val="center"/>
              <w:rPr>
                <w:b/>
                <w:color w:val="000000" w:themeColor="text1"/>
              </w:rPr>
            </w:pPr>
          </w:p>
        </w:tc>
        <w:tc>
          <w:tcPr>
            <w:tcW w:w="1447" w:type="dxa"/>
            <w:shd w:val="clear" w:color="auto" w:fill="FFFFFF" w:themeFill="background1"/>
          </w:tcPr>
          <w:p w:rsidR="00C0701E" w:rsidRPr="00295641" w:rsidRDefault="00B77EE6" w:rsidP="00DF077D">
            <w:pPr>
              <w:jc w:val="center"/>
              <w:rPr>
                <w:b/>
                <w:color w:val="000000" w:themeColor="text1"/>
              </w:rPr>
            </w:pPr>
            <w:r>
              <w:rPr>
                <w:b/>
                <w:color w:val="000000" w:themeColor="text1"/>
              </w:rPr>
              <w:t>X</w:t>
            </w:r>
          </w:p>
        </w:tc>
      </w:tr>
      <w:tr w:rsidR="00C0701E" w:rsidRPr="00295641" w:rsidTr="00DF077D">
        <w:tc>
          <w:tcPr>
            <w:tcW w:w="1526" w:type="dxa"/>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C0701E" w:rsidRPr="00295641" w:rsidRDefault="00C0701E" w:rsidP="00DF077D">
            <w:pPr>
              <w:autoSpaceDE w:val="0"/>
              <w:autoSpaceDN w:val="0"/>
              <w:adjustRightInd w:val="0"/>
              <w:rPr>
                <w:rFonts w:cs="Gotham-BookItalic"/>
                <w:b/>
                <w:iCs/>
                <w:color w:val="000000" w:themeColor="text1"/>
              </w:rPr>
            </w:pPr>
          </w:p>
        </w:tc>
        <w:tc>
          <w:tcPr>
            <w:tcW w:w="7513" w:type="dxa"/>
            <w:gridSpan w:val="5"/>
          </w:tcPr>
          <w:p w:rsidR="00C0701E" w:rsidRPr="005E32C3" w:rsidRDefault="00B77EE6" w:rsidP="00DF077D">
            <w:pPr>
              <w:jc w:val="both"/>
              <w:rPr>
                <w:b/>
                <w:i/>
                <w:color w:val="000000" w:themeColor="text1"/>
              </w:rPr>
            </w:pPr>
            <w:r w:rsidRPr="005E32C3">
              <w:rPr>
                <w:b/>
                <w:i/>
                <w:color w:val="000000" w:themeColor="text1"/>
              </w:rPr>
              <w:t>Como acciones se contempló que 03 Gobiernos Regionales publican la respectiva Ordenanza que crea la Comisión EITI en su región.</w:t>
            </w:r>
          </w:p>
          <w:p w:rsidR="003F1BBB" w:rsidRDefault="003F1BBB" w:rsidP="003F1BBB">
            <w:pPr>
              <w:jc w:val="both"/>
              <w:rPr>
                <w:color w:val="000000" w:themeColor="text1"/>
              </w:rPr>
            </w:pPr>
            <w:r>
              <w:rPr>
                <w:color w:val="000000" w:themeColor="text1"/>
              </w:rPr>
              <w:t xml:space="preserve">El Ministerio reportó el cumplimiento del compromiso al 100%, informando </w:t>
            </w:r>
            <w:r w:rsidR="008B16E3">
              <w:rPr>
                <w:color w:val="000000" w:themeColor="text1"/>
              </w:rPr>
              <w:t>sobre</w:t>
            </w:r>
            <w:r>
              <w:rPr>
                <w:color w:val="000000" w:themeColor="text1"/>
              </w:rPr>
              <w:t xml:space="preserve"> los procesos regionales EITI:</w:t>
            </w:r>
          </w:p>
          <w:p w:rsidR="00F25989" w:rsidRPr="000230B4" w:rsidRDefault="003F1BBB" w:rsidP="007F2DE7">
            <w:pPr>
              <w:ind w:left="317" w:hanging="283"/>
              <w:jc w:val="both"/>
              <w:rPr>
                <w:rStyle w:val="Hipervnculo"/>
                <w:lang w:val="es-PE"/>
              </w:rPr>
            </w:pPr>
            <w:r>
              <w:rPr>
                <w:color w:val="000000" w:themeColor="text1"/>
              </w:rPr>
              <w:t xml:space="preserve">1. </w:t>
            </w:r>
            <w:r w:rsidR="0000303B">
              <w:rPr>
                <w:color w:val="000000" w:themeColor="text1"/>
              </w:rPr>
              <w:t xml:space="preserve"> </w:t>
            </w:r>
            <w:r w:rsidR="007F2DE7">
              <w:rPr>
                <w:color w:val="000000" w:themeColor="text1"/>
              </w:rPr>
              <w:t xml:space="preserve"> </w:t>
            </w:r>
            <w:r>
              <w:rPr>
                <w:color w:val="000000" w:themeColor="text1"/>
              </w:rPr>
              <w:t>Proceso Regional Piura.  Documento Referencial: Ordenanza Regional N° 289-2014/GRP-CR.</w:t>
            </w:r>
            <w:r w:rsidR="007F2DE7">
              <w:rPr>
                <w:color w:val="000000" w:themeColor="text1"/>
              </w:rPr>
              <w:t xml:space="preserve"> </w:t>
            </w:r>
            <w:r w:rsidR="00F25989" w:rsidRPr="000230B4">
              <w:rPr>
                <w:color w:val="000000" w:themeColor="text1"/>
                <w:lang w:val="es-PE"/>
              </w:rPr>
              <w:t xml:space="preserve">EITI Piura:   </w:t>
            </w:r>
            <w:hyperlink r:id="rId20" w:history="1">
              <w:r w:rsidR="00F25989" w:rsidRPr="000230B4">
                <w:rPr>
                  <w:rStyle w:val="Hipervnculo"/>
                  <w:lang w:val="es-PE"/>
                </w:rPr>
                <w:t>http://eitipiura.regionpiura.gob.pe/</w:t>
              </w:r>
            </w:hyperlink>
          </w:p>
          <w:p w:rsidR="0000303B" w:rsidRPr="000230B4" w:rsidRDefault="0000303B" w:rsidP="003F1BBB">
            <w:pPr>
              <w:jc w:val="both"/>
              <w:rPr>
                <w:color w:val="000000" w:themeColor="text1"/>
                <w:lang w:val="es-PE"/>
              </w:rPr>
            </w:pPr>
          </w:p>
          <w:p w:rsidR="003F1BBB" w:rsidRDefault="003F1BBB" w:rsidP="007F2DE7">
            <w:pPr>
              <w:ind w:left="317" w:hanging="317"/>
              <w:jc w:val="both"/>
              <w:rPr>
                <w:color w:val="000000" w:themeColor="text1"/>
              </w:rPr>
            </w:pPr>
            <w:r>
              <w:rPr>
                <w:color w:val="000000" w:themeColor="text1"/>
              </w:rPr>
              <w:t xml:space="preserve">2. </w:t>
            </w:r>
            <w:r w:rsidR="0000303B">
              <w:rPr>
                <w:color w:val="000000" w:themeColor="text1"/>
              </w:rPr>
              <w:t xml:space="preserve"> </w:t>
            </w:r>
            <w:r w:rsidR="007F2DE7">
              <w:rPr>
                <w:color w:val="000000" w:themeColor="text1"/>
              </w:rPr>
              <w:t xml:space="preserve"> </w:t>
            </w:r>
            <w:r>
              <w:rPr>
                <w:color w:val="000000" w:themeColor="text1"/>
              </w:rPr>
              <w:t>Proceso Regional Moquegua: Documento Referencial: Ordenanza Regional N° 002-2014/CR-GRM</w:t>
            </w:r>
          </w:p>
          <w:p w:rsidR="00F25989" w:rsidRDefault="00F25989" w:rsidP="003F1BBB">
            <w:pPr>
              <w:jc w:val="both"/>
              <w:rPr>
                <w:color w:val="000000" w:themeColor="text1"/>
              </w:rPr>
            </w:pPr>
            <w:r>
              <w:rPr>
                <w:color w:val="000000" w:themeColor="text1"/>
              </w:rPr>
              <w:t xml:space="preserve">EITI Moquegua: </w:t>
            </w:r>
            <w:hyperlink r:id="rId21" w:history="1">
              <w:r w:rsidRPr="00085904">
                <w:rPr>
                  <w:rStyle w:val="Hipervnculo"/>
                </w:rPr>
                <w:t>http://regionmoquegua.gob.pe/web13/transparencia/eiti.html</w:t>
              </w:r>
            </w:hyperlink>
          </w:p>
          <w:p w:rsidR="00E1443E" w:rsidRDefault="00E1443E" w:rsidP="003F1BBB">
            <w:pPr>
              <w:jc w:val="both"/>
              <w:rPr>
                <w:color w:val="000000" w:themeColor="text1"/>
              </w:rPr>
            </w:pPr>
          </w:p>
          <w:p w:rsidR="003F1BBB" w:rsidRDefault="008B16E3" w:rsidP="003F1BBB">
            <w:pPr>
              <w:jc w:val="both"/>
              <w:rPr>
                <w:color w:val="000000" w:themeColor="text1"/>
              </w:rPr>
            </w:pPr>
            <w:r>
              <w:rPr>
                <w:color w:val="000000" w:themeColor="text1"/>
              </w:rPr>
              <w:t>Ambos procesos</w:t>
            </w:r>
            <w:r w:rsidR="003F1BBB">
              <w:rPr>
                <w:color w:val="000000" w:themeColor="text1"/>
              </w:rPr>
              <w:t xml:space="preserve"> tienen Estudios de Transparencia Regional sobre las transferencias y usos de recursos que provienen de las actividades extractivas, los mismos que se vienen difundiendo en varios espacios regionales.</w:t>
            </w:r>
          </w:p>
          <w:p w:rsidR="0000303B" w:rsidRDefault="0000303B" w:rsidP="003F1BBB">
            <w:pPr>
              <w:jc w:val="both"/>
              <w:rPr>
                <w:color w:val="000000" w:themeColor="text1"/>
              </w:rPr>
            </w:pPr>
          </w:p>
          <w:p w:rsidR="0000303B" w:rsidRPr="0000303B" w:rsidRDefault="003F1BBB" w:rsidP="007F2DE7">
            <w:pPr>
              <w:pStyle w:val="Prrafodelista"/>
              <w:numPr>
                <w:ilvl w:val="0"/>
                <w:numId w:val="10"/>
              </w:numPr>
              <w:ind w:left="317" w:hanging="283"/>
              <w:jc w:val="both"/>
              <w:rPr>
                <w:color w:val="000000" w:themeColor="text1"/>
              </w:rPr>
            </w:pPr>
            <w:r w:rsidRPr="0000303B">
              <w:rPr>
                <w:color w:val="000000" w:themeColor="text1"/>
              </w:rPr>
              <w:t xml:space="preserve">Proceso Regional </w:t>
            </w:r>
            <w:r w:rsidR="0000303B" w:rsidRPr="0000303B">
              <w:rPr>
                <w:color w:val="000000" w:themeColor="text1"/>
              </w:rPr>
              <w:t xml:space="preserve">Arequipa. Documento referencial: </w:t>
            </w:r>
            <w:r w:rsidR="0000303B" w:rsidRPr="000410D3">
              <w:rPr>
                <w:color w:val="000000" w:themeColor="text1"/>
              </w:rPr>
              <w:t>Ordenanza Regional N°356 que crea la Comisión Regional Multisectorial Permanente.</w:t>
            </w:r>
          </w:p>
          <w:p w:rsidR="00F25989" w:rsidRDefault="00F25989" w:rsidP="00CE74E2">
            <w:pPr>
              <w:jc w:val="both"/>
              <w:rPr>
                <w:color w:val="000000" w:themeColor="text1"/>
              </w:rPr>
            </w:pPr>
          </w:p>
          <w:p w:rsidR="0048508A" w:rsidRDefault="004165D0" w:rsidP="00CE74E2">
            <w:pPr>
              <w:jc w:val="both"/>
              <w:rPr>
                <w:color w:val="000000" w:themeColor="text1"/>
              </w:rPr>
            </w:pPr>
            <w:hyperlink r:id="rId22" w:history="1">
              <w:r w:rsidR="0048508A" w:rsidRPr="00180CF7">
                <w:rPr>
                  <w:rStyle w:val="Hipervnculo"/>
                </w:rPr>
                <w:t>http://busquedas.elperuano.com.pe/normaslegales/crean-la-comision-regional-multisectorial-permanente-para-l-ordenanza-no-356-arequipa-1466858-3/</w:t>
              </w:r>
            </w:hyperlink>
          </w:p>
          <w:p w:rsidR="00E1443E" w:rsidRPr="00295641" w:rsidRDefault="00E1443E" w:rsidP="00CE74E2">
            <w:pPr>
              <w:jc w:val="both"/>
              <w:rPr>
                <w:color w:val="000000" w:themeColor="text1"/>
              </w:rPr>
            </w:pPr>
          </w:p>
        </w:tc>
      </w:tr>
      <w:tr w:rsidR="00C0701E" w:rsidRPr="00295641" w:rsidTr="00DF077D">
        <w:tc>
          <w:tcPr>
            <w:tcW w:w="9039" w:type="dxa"/>
            <w:gridSpan w:val="6"/>
          </w:tcPr>
          <w:p w:rsidR="00C0701E" w:rsidRPr="00295641" w:rsidRDefault="00C0701E" w:rsidP="00DF077D">
            <w:pPr>
              <w:jc w:val="both"/>
              <w:rPr>
                <w:rFonts w:cs="Gotham-Book"/>
                <w:b/>
                <w:color w:val="000000" w:themeColor="text1"/>
              </w:rPr>
            </w:pPr>
          </w:p>
          <w:p w:rsidR="00C0701E" w:rsidRPr="00295641" w:rsidRDefault="00C0701E" w:rsidP="00DF077D">
            <w:pPr>
              <w:jc w:val="both"/>
              <w:rPr>
                <w:color w:val="000000" w:themeColor="text1"/>
              </w:rPr>
            </w:pPr>
            <w:r>
              <w:rPr>
                <w:rFonts w:cs="Gotham-Book"/>
                <w:b/>
                <w:color w:val="000000" w:themeColor="text1"/>
              </w:rPr>
              <w:t>Información adicional</w:t>
            </w:r>
          </w:p>
        </w:tc>
      </w:tr>
      <w:tr w:rsidR="001F1972" w:rsidRPr="00295641" w:rsidTr="00DF077D">
        <w:tc>
          <w:tcPr>
            <w:tcW w:w="9039" w:type="dxa"/>
            <w:gridSpan w:val="6"/>
          </w:tcPr>
          <w:p w:rsidR="001F1972" w:rsidRDefault="001F1972" w:rsidP="003E19C4">
            <w:pPr>
              <w:jc w:val="both"/>
              <w:rPr>
                <w:rFonts w:cs="Gotham-Book"/>
                <w:color w:val="000000" w:themeColor="text1"/>
              </w:rPr>
            </w:pPr>
            <w:r w:rsidRPr="001F1972">
              <w:rPr>
                <w:rFonts w:cs="Gotham-Book"/>
                <w:color w:val="000000" w:themeColor="text1"/>
              </w:rPr>
              <w:t xml:space="preserve">Perú es el </w:t>
            </w:r>
            <w:r>
              <w:rPr>
                <w:rFonts w:cs="Gotham-Book"/>
                <w:color w:val="000000" w:themeColor="text1"/>
              </w:rPr>
              <w:t>primer país que logró la implementación del EITI a nivel de gobiernos subnacionales.  Con ello</w:t>
            </w:r>
            <w:r w:rsidR="008B16E3">
              <w:rPr>
                <w:rFonts w:cs="Gotham-Book"/>
                <w:color w:val="000000" w:themeColor="text1"/>
              </w:rPr>
              <w:t>,</w:t>
            </w:r>
            <w:r>
              <w:rPr>
                <w:rFonts w:cs="Gotham-Book"/>
                <w:color w:val="000000" w:themeColor="text1"/>
              </w:rPr>
              <w:t xml:space="preserve"> no s</w:t>
            </w:r>
            <w:r w:rsidR="003E19C4">
              <w:rPr>
                <w:rFonts w:cs="Gotham-Book"/>
                <w:color w:val="000000" w:themeColor="text1"/>
              </w:rPr>
              <w:t>ó</w:t>
            </w:r>
            <w:r>
              <w:rPr>
                <w:rFonts w:cs="Gotham-Book"/>
                <w:color w:val="000000" w:themeColor="text1"/>
              </w:rPr>
              <w:t>lo se busca transparentar los recursos de la industria extractiva, sino también conocer cómo estos ingresos son trasladados a los gobiernos regionales o locales, y su uso para el beneficio de la población.</w:t>
            </w:r>
          </w:p>
          <w:p w:rsidR="00BD3FA0" w:rsidRPr="001F1972" w:rsidRDefault="00BD3FA0" w:rsidP="0048508A">
            <w:pPr>
              <w:jc w:val="both"/>
              <w:rPr>
                <w:rFonts w:cs="Gotham-Book"/>
                <w:color w:val="000000" w:themeColor="text1"/>
              </w:rPr>
            </w:pPr>
            <w:r w:rsidRPr="000410D3">
              <w:rPr>
                <w:color w:val="000000" w:themeColor="text1"/>
              </w:rPr>
              <w:t xml:space="preserve">Se contempla la creación de una Comisión EITI en Apurímac para el presente año </w:t>
            </w:r>
            <w:r w:rsidR="004F7802">
              <w:rPr>
                <w:color w:val="000000" w:themeColor="text1"/>
              </w:rPr>
              <w:t xml:space="preserve">y </w:t>
            </w:r>
            <w:r w:rsidRPr="000410D3">
              <w:rPr>
                <w:color w:val="000000" w:themeColor="text1"/>
              </w:rPr>
              <w:t xml:space="preserve">otra adicional, en La </w:t>
            </w:r>
            <w:r w:rsidR="0048508A">
              <w:rPr>
                <w:color w:val="000000" w:themeColor="text1"/>
              </w:rPr>
              <w:t>L</w:t>
            </w:r>
            <w:r w:rsidRPr="000410D3">
              <w:rPr>
                <w:color w:val="000000" w:themeColor="text1"/>
              </w:rPr>
              <w:t>ibertad o Cusco, en el 2018.</w:t>
            </w:r>
          </w:p>
        </w:tc>
      </w:tr>
    </w:tbl>
    <w:p w:rsidR="00D55E24" w:rsidRDefault="00D55E24"/>
    <w:p w:rsidR="00D55E24" w:rsidRDefault="00D55E24" w:rsidP="00CC3FFA">
      <w:pPr>
        <w:spacing w:after="0" w:line="240" w:lineRule="auto"/>
        <w:jc w:val="both"/>
        <w:rPr>
          <w:rFonts w:cs="Gotham-Book"/>
          <w:color w:val="000000" w:themeColor="text1"/>
        </w:rPr>
      </w:pPr>
      <w:r w:rsidRPr="00CC3FFA">
        <w:rPr>
          <w:rFonts w:cs="Gotham-Book"/>
          <w:color w:val="000000" w:themeColor="text1"/>
        </w:rPr>
        <w:t xml:space="preserve">En síntesis, de los 6 compromisos establecidos en materia de </w:t>
      </w:r>
      <w:r w:rsidR="00CC3FFA">
        <w:rPr>
          <w:rFonts w:cs="Gotham-Book"/>
          <w:color w:val="000000" w:themeColor="text1"/>
        </w:rPr>
        <w:t>T</w:t>
      </w:r>
      <w:r w:rsidRPr="00CC3FFA">
        <w:rPr>
          <w:rFonts w:cs="Gotham-Book"/>
          <w:color w:val="000000" w:themeColor="text1"/>
        </w:rPr>
        <w:t>rans</w:t>
      </w:r>
      <w:r w:rsidR="00CC3FFA" w:rsidRPr="00CC3FFA">
        <w:rPr>
          <w:rFonts w:cs="Gotham-Book"/>
          <w:color w:val="000000" w:themeColor="text1"/>
        </w:rPr>
        <w:t xml:space="preserve">parencia y </w:t>
      </w:r>
      <w:r w:rsidR="00CC3FFA">
        <w:rPr>
          <w:rFonts w:cs="Gotham-Book"/>
          <w:color w:val="000000" w:themeColor="text1"/>
        </w:rPr>
        <w:t>A</w:t>
      </w:r>
      <w:r w:rsidR="00CC3FFA" w:rsidRPr="00CC3FFA">
        <w:rPr>
          <w:rFonts w:cs="Gotham-Book"/>
          <w:color w:val="000000" w:themeColor="text1"/>
        </w:rPr>
        <w:t xml:space="preserve">cceso a la </w:t>
      </w:r>
      <w:r w:rsidR="00CC3FFA">
        <w:rPr>
          <w:rFonts w:cs="Gotham-Book"/>
          <w:color w:val="000000" w:themeColor="text1"/>
        </w:rPr>
        <w:t>Información P</w:t>
      </w:r>
      <w:r w:rsidR="00CC3FFA" w:rsidRPr="00CC3FFA">
        <w:rPr>
          <w:rFonts w:cs="Gotham-Book"/>
          <w:color w:val="000000" w:themeColor="text1"/>
        </w:rPr>
        <w:t xml:space="preserve">ública, 4 han sido culminados y uno tiene un avance sustancial. El que no se ha iniciado aún, </w:t>
      </w:r>
      <w:r w:rsidR="00D74C76">
        <w:rPr>
          <w:rFonts w:cs="Gotham-Book"/>
          <w:color w:val="000000" w:themeColor="text1"/>
        </w:rPr>
        <w:t xml:space="preserve">es </w:t>
      </w:r>
      <w:r w:rsidR="00CC3FFA" w:rsidRPr="00CC3FFA">
        <w:rPr>
          <w:rFonts w:cs="Gotham-Book"/>
          <w:color w:val="000000" w:themeColor="text1"/>
        </w:rPr>
        <w:t xml:space="preserve">el mejoramiento de la Ley de Transparencia y Acceso a la Información Pública </w:t>
      </w:r>
      <w:r w:rsidR="00D74C76">
        <w:rPr>
          <w:rFonts w:cs="Gotham-Book"/>
          <w:color w:val="000000" w:themeColor="text1"/>
        </w:rPr>
        <w:t xml:space="preserve">que a la fecha ya es de </w:t>
      </w:r>
      <w:r w:rsidR="00CC3FFA" w:rsidRPr="00CC3FFA">
        <w:rPr>
          <w:rFonts w:cs="Gotham-Book"/>
          <w:color w:val="000000" w:themeColor="text1"/>
        </w:rPr>
        <w:t>compete</w:t>
      </w:r>
      <w:r w:rsidR="00D74C76">
        <w:rPr>
          <w:rFonts w:cs="Gotham-Book"/>
          <w:color w:val="000000" w:themeColor="text1"/>
        </w:rPr>
        <w:t>ncia de</w:t>
      </w:r>
      <w:r w:rsidR="00CC3FFA" w:rsidRPr="00CC3FFA">
        <w:rPr>
          <w:rFonts w:cs="Gotham-Book"/>
          <w:color w:val="000000" w:themeColor="text1"/>
        </w:rPr>
        <w:t xml:space="preserve"> la Autoridad </w:t>
      </w:r>
      <w:r w:rsidR="00D74C76">
        <w:rPr>
          <w:rFonts w:cs="Gotham-Book"/>
          <w:color w:val="000000" w:themeColor="text1"/>
        </w:rPr>
        <w:t xml:space="preserve">Nacional </w:t>
      </w:r>
      <w:r w:rsidR="00CC3FFA" w:rsidRPr="00CC3FFA">
        <w:rPr>
          <w:rFonts w:cs="Gotham-Book"/>
          <w:color w:val="000000" w:themeColor="text1"/>
        </w:rPr>
        <w:t xml:space="preserve">de Transparencia y </w:t>
      </w:r>
      <w:r w:rsidR="00D74C76">
        <w:rPr>
          <w:rFonts w:cs="Gotham-Book"/>
          <w:color w:val="000000" w:themeColor="text1"/>
        </w:rPr>
        <w:t xml:space="preserve">Acceso a la Información Pública y </w:t>
      </w:r>
      <w:r w:rsidR="00CC3FFA" w:rsidRPr="00CC3FFA">
        <w:rPr>
          <w:rFonts w:cs="Gotham-Book"/>
          <w:color w:val="000000" w:themeColor="text1"/>
        </w:rPr>
        <w:t xml:space="preserve">Protección de Datos </w:t>
      </w:r>
      <w:r w:rsidR="00D74C76">
        <w:rPr>
          <w:rFonts w:cs="Gotham-Book"/>
          <w:color w:val="000000" w:themeColor="text1"/>
        </w:rPr>
        <w:t xml:space="preserve">Personales </w:t>
      </w:r>
      <w:r w:rsidR="00CC3FFA" w:rsidRPr="00CC3FFA">
        <w:rPr>
          <w:rFonts w:cs="Gotham-Book"/>
          <w:color w:val="000000" w:themeColor="text1"/>
        </w:rPr>
        <w:t xml:space="preserve">creada por el Ministerio de Justicia en enero de 2017. </w:t>
      </w:r>
    </w:p>
    <w:p w:rsidR="00700BF4" w:rsidRPr="00CC3FFA" w:rsidRDefault="00700BF4" w:rsidP="00CC3FFA">
      <w:pPr>
        <w:spacing w:after="0" w:line="240" w:lineRule="auto"/>
        <w:jc w:val="both"/>
        <w:rPr>
          <w:rFonts w:cs="Gotham-Book"/>
          <w:color w:val="000000" w:themeColor="text1"/>
        </w:rPr>
      </w:pPr>
    </w:p>
    <w:p w:rsidR="00700BF4" w:rsidRDefault="00700BF4" w:rsidP="00D14C49">
      <w:pPr>
        <w:rPr>
          <w:b/>
        </w:rPr>
      </w:pPr>
    </w:p>
    <w:p w:rsidR="00D14C49" w:rsidRPr="00D14C49" w:rsidRDefault="007F2DE7" w:rsidP="00D14C49">
      <w:pPr>
        <w:rPr>
          <w:b/>
        </w:rPr>
      </w:pPr>
      <w:r>
        <w:rPr>
          <w:b/>
        </w:rPr>
        <w:t>T</w:t>
      </w:r>
      <w:r w:rsidR="00D14C49" w:rsidRPr="00D14C49">
        <w:rPr>
          <w:b/>
        </w:rPr>
        <w:t>ema 2: Participación ciudadana</w:t>
      </w:r>
    </w:p>
    <w:p w:rsidR="00272BDF" w:rsidRDefault="006A3912" w:rsidP="00CC3FFA">
      <w:pPr>
        <w:spacing w:after="0" w:line="240" w:lineRule="auto"/>
        <w:jc w:val="both"/>
        <w:rPr>
          <w:rFonts w:cs="Gotham-Book"/>
          <w:color w:val="000000" w:themeColor="text1"/>
        </w:rPr>
      </w:pPr>
      <w:r w:rsidRPr="00CC3FFA">
        <w:rPr>
          <w:rFonts w:cs="Gotham-Book"/>
          <w:color w:val="000000" w:themeColor="text1"/>
        </w:rPr>
        <w:t>Con respecto a participación ciudadana, el PAGA 2015-2016 estableció cuatro compromisos que apunta</w:t>
      </w:r>
      <w:r w:rsidR="003C3262" w:rsidRPr="00CC3FFA">
        <w:rPr>
          <w:rFonts w:cs="Gotham-Book"/>
          <w:color w:val="000000" w:themeColor="text1"/>
        </w:rPr>
        <w:t>ban a</w:t>
      </w:r>
      <w:r w:rsidRPr="00CC3FFA">
        <w:rPr>
          <w:rFonts w:cs="Gotham-Book"/>
          <w:color w:val="000000" w:themeColor="text1"/>
        </w:rPr>
        <w:t xml:space="preserve"> desarrollar un marco normativo que permita establecer lineamientos sobre la gestión de la participación ciudadana en las entidades públicas en los tres niveles de gobierno</w:t>
      </w:r>
      <w:r w:rsidR="003C3262" w:rsidRPr="00CC3FFA">
        <w:rPr>
          <w:rFonts w:cs="Gotham-Book"/>
          <w:color w:val="000000" w:themeColor="text1"/>
        </w:rPr>
        <w:t>,</w:t>
      </w:r>
      <w:r w:rsidRPr="00CC3FFA">
        <w:rPr>
          <w:rFonts w:cs="Gotham-Book"/>
          <w:color w:val="000000" w:themeColor="text1"/>
        </w:rPr>
        <w:t xml:space="preserve"> el desarrollo de capacidades en los servidores civiles y pueblos indígenas sobre la Ley de Consulta Previa </w:t>
      </w:r>
      <w:r w:rsidR="003C3262" w:rsidRPr="00CC3FFA">
        <w:rPr>
          <w:rFonts w:cs="Gotham-Book"/>
          <w:color w:val="000000" w:themeColor="text1"/>
        </w:rPr>
        <w:t xml:space="preserve">y </w:t>
      </w:r>
      <w:r w:rsidRPr="00CC3FFA">
        <w:rPr>
          <w:rFonts w:cs="Gotham-Book"/>
          <w:color w:val="000000" w:themeColor="text1"/>
        </w:rPr>
        <w:t>la participación de actores sociales en la vigilancia de la gestión del Programa Nacional de Alimentación Escolar y en los acuerdos plenarios de la Corte Suprema de la República.</w:t>
      </w:r>
    </w:p>
    <w:p w:rsidR="00CC3FFA" w:rsidRPr="00CC3FFA" w:rsidRDefault="00CC3FFA" w:rsidP="00CC3FFA">
      <w:pPr>
        <w:spacing w:after="0" w:line="240" w:lineRule="auto"/>
        <w:jc w:val="both"/>
        <w:rPr>
          <w:rFonts w:cs="Gotham-Book"/>
          <w:color w:val="000000" w:themeColor="text1"/>
        </w:rPr>
      </w:pPr>
    </w:p>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DF077D" w:rsidRPr="00295641" w:rsidTr="003F3745">
        <w:tc>
          <w:tcPr>
            <w:tcW w:w="9039" w:type="dxa"/>
            <w:gridSpan w:val="6"/>
            <w:shd w:val="clear" w:color="auto" w:fill="548DD4" w:themeFill="text2" w:themeFillTint="99"/>
          </w:tcPr>
          <w:p w:rsidR="00DF077D" w:rsidRPr="00295641" w:rsidRDefault="00DF077D" w:rsidP="00DF077D">
            <w:pPr>
              <w:ind w:left="720"/>
              <w:jc w:val="center"/>
              <w:rPr>
                <w:b/>
              </w:rPr>
            </w:pPr>
            <w:r>
              <w:rPr>
                <w:b/>
              </w:rPr>
              <w:t>Componente: Participación Ciudadana</w:t>
            </w:r>
          </w:p>
        </w:tc>
      </w:tr>
      <w:tr w:rsidR="00DF077D" w:rsidRPr="00295641" w:rsidTr="003F3745">
        <w:tc>
          <w:tcPr>
            <w:tcW w:w="9039" w:type="dxa"/>
            <w:gridSpan w:val="6"/>
            <w:shd w:val="clear" w:color="auto" w:fill="548DD4" w:themeFill="text2" w:themeFillTint="99"/>
          </w:tcPr>
          <w:p w:rsidR="00DF077D" w:rsidRPr="00DF077D" w:rsidRDefault="001C55F9" w:rsidP="00DF077D">
            <w:pPr>
              <w:ind w:left="720"/>
              <w:rPr>
                <w:b/>
              </w:rPr>
            </w:pPr>
            <w:r w:rsidRPr="001C55F9">
              <w:rPr>
                <w:b/>
                <w:u w:val="single"/>
              </w:rPr>
              <w:t xml:space="preserve">Compromiso </w:t>
            </w:r>
            <w:r w:rsidR="00DF077D" w:rsidRPr="001C55F9">
              <w:rPr>
                <w:b/>
                <w:u w:val="single"/>
              </w:rPr>
              <w:t>7</w:t>
            </w:r>
            <w:r w:rsidR="00DF077D" w:rsidRPr="00DF077D">
              <w:rPr>
                <w:b/>
              </w:rPr>
              <w:t>.</w:t>
            </w:r>
            <w:r w:rsidR="00DF077D">
              <w:rPr>
                <w:b/>
              </w:rPr>
              <w:t xml:space="preserve"> </w:t>
            </w:r>
            <w:r w:rsidR="00DF077D" w:rsidRPr="00DF077D">
              <w:rPr>
                <w:b/>
              </w:rPr>
              <w:t>Fortalecer</w:t>
            </w:r>
            <w:r w:rsidR="00DF077D">
              <w:rPr>
                <w:b/>
              </w:rPr>
              <w:t xml:space="preserve"> la gestión de la participación ciudadana</w:t>
            </w: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autoSpaceDE w:val="0"/>
              <w:autoSpaceDN w:val="0"/>
              <w:adjustRightInd w:val="0"/>
              <w:rPr>
                <w:rFonts w:cs="Gotham-Book"/>
                <w:b/>
                <w:color w:val="000000" w:themeColor="text1"/>
              </w:rPr>
            </w:pPr>
            <w:r w:rsidRPr="00295641">
              <w:rPr>
                <w:rFonts w:cs="Gotham-Book"/>
                <w:b/>
                <w:color w:val="000000" w:themeColor="text1"/>
              </w:rPr>
              <w:t>Secretaría/Ministerio</w:t>
            </w:r>
          </w:p>
          <w:p w:rsidR="003F3745" w:rsidRPr="00295641" w:rsidRDefault="003F3745" w:rsidP="003F3745">
            <w:pPr>
              <w:rPr>
                <w:b/>
                <w:color w:val="000000" w:themeColor="text1"/>
              </w:rPr>
            </w:pPr>
            <w:r w:rsidRPr="00295641">
              <w:rPr>
                <w:rFonts w:cs="Gotham-Book"/>
                <w:b/>
                <w:color w:val="000000" w:themeColor="text1"/>
              </w:rPr>
              <w:t>Responsable</w:t>
            </w:r>
          </w:p>
        </w:tc>
        <w:tc>
          <w:tcPr>
            <w:tcW w:w="4820" w:type="dxa"/>
            <w:gridSpan w:val="3"/>
          </w:tcPr>
          <w:p w:rsidR="003F3745" w:rsidRPr="00295641" w:rsidRDefault="003F3745" w:rsidP="003F3745">
            <w:pPr>
              <w:jc w:val="both"/>
              <w:rPr>
                <w:color w:val="000000" w:themeColor="text1"/>
              </w:rPr>
            </w:pPr>
            <w:r>
              <w:rPr>
                <w:color w:val="000000" w:themeColor="text1"/>
              </w:rPr>
              <w:t>Presidencia del Consejo de Ministros</w:t>
            </w:r>
            <w:r w:rsidR="00067EC2">
              <w:rPr>
                <w:color w:val="000000" w:themeColor="text1"/>
              </w:rPr>
              <w:t>,</w:t>
            </w:r>
            <w:r>
              <w:rPr>
                <w:color w:val="000000" w:themeColor="text1"/>
              </w:rPr>
              <w:t xml:space="preserve"> a través de la Secretaría de Gestión Pública</w:t>
            </w: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3F3745" w:rsidRPr="00295641" w:rsidRDefault="00625544" w:rsidP="003F3745">
            <w:pPr>
              <w:jc w:val="both"/>
              <w:rPr>
                <w:color w:val="000000" w:themeColor="text1"/>
              </w:rPr>
            </w:pPr>
            <w:r>
              <w:rPr>
                <w:color w:val="000000" w:themeColor="text1"/>
              </w:rPr>
              <w:t>Mercedes Araoz</w:t>
            </w: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rPr>
                <w:b/>
                <w:color w:val="000000" w:themeColor="text1"/>
              </w:rPr>
            </w:pPr>
            <w:r w:rsidRPr="00295641">
              <w:rPr>
                <w:rFonts w:cs="Gotham-Book"/>
                <w:b/>
                <w:color w:val="000000" w:themeColor="text1"/>
              </w:rPr>
              <w:t>Puesto</w:t>
            </w:r>
          </w:p>
        </w:tc>
        <w:tc>
          <w:tcPr>
            <w:tcW w:w="4820" w:type="dxa"/>
            <w:gridSpan w:val="3"/>
          </w:tcPr>
          <w:p w:rsidR="003F3745" w:rsidRPr="00295641" w:rsidRDefault="00625544" w:rsidP="00625544">
            <w:pPr>
              <w:jc w:val="both"/>
              <w:rPr>
                <w:color w:val="000000" w:themeColor="text1"/>
              </w:rPr>
            </w:pPr>
            <w:r>
              <w:rPr>
                <w:color w:val="000000" w:themeColor="text1"/>
              </w:rPr>
              <w:t>Presidenta del Consejo de Ministros</w:t>
            </w: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3F3745" w:rsidRPr="00295641" w:rsidRDefault="003F3745" w:rsidP="003F3745">
            <w:pPr>
              <w:jc w:val="both"/>
              <w:rPr>
                <w:rFonts w:cs="Arial"/>
                <w:color w:val="0000FF"/>
                <w:u w:val="single"/>
              </w:rPr>
            </w:pP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rPr>
                <w:b/>
                <w:color w:val="000000" w:themeColor="text1"/>
              </w:rPr>
            </w:pPr>
            <w:r w:rsidRPr="00295641">
              <w:rPr>
                <w:rFonts w:cs="Gotham-Book"/>
                <w:b/>
                <w:color w:val="000000" w:themeColor="text1"/>
              </w:rPr>
              <w:t>Teléfono</w:t>
            </w:r>
          </w:p>
        </w:tc>
        <w:tc>
          <w:tcPr>
            <w:tcW w:w="4820" w:type="dxa"/>
            <w:gridSpan w:val="3"/>
          </w:tcPr>
          <w:p w:rsidR="003F3745" w:rsidRPr="00295641" w:rsidRDefault="003F3745" w:rsidP="003F3745">
            <w:pPr>
              <w:jc w:val="both"/>
              <w:rPr>
                <w:color w:val="000000" w:themeColor="text1"/>
              </w:rPr>
            </w:pPr>
            <w:r>
              <w:rPr>
                <w:color w:val="000000" w:themeColor="text1"/>
              </w:rPr>
              <w:t>51-1-2197000</w:t>
            </w:r>
          </w:p>
        </w:tc>
      </w:tr>
      <w:tr w:rsidR="00DF077D" w:rsidRPr="00295641" w:rsidTr="003F3745">
        <w:tc>
          <w:tcPr>
            <w:tcW w:w="2109" w:type="dxa"/>
            <w:vMerge w:val="restart"/>
            <w:shd w:val="clear" w:color="auto" w:fill="C6D9F1" w:themeFill="text2" w:themeFillTint="33"/>
            <w:vAlign w:val="center"/>
          </w:tcPr>
          <w:p w:rsidR="00DF077D" w:rsidRPr="00295641" w:rsidRDefault="00DF077D" w:rsidP="00DF077D">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DF077D" w:rsidRPr="00295641" w:rsidRDefault="00DF077D" w:rsidP="00DF077D">
            <w:pPr>
              <w:rPr>
                <w:rFonts w:cs="Gotham-Book"/>
                <w:b/>
                <w:color w:val="000000" w:themeColor="text1"/>
              </w:rPr>
            </w:pPr>
            <w:r>
              <w:rPr>
                <w:rFonts w:cs="Gotham-Book"/>
                <w:b/>
                <w:color w:val="000000" w:themeColor="text1"/>
              </w:rPr>
              <w:t>Gobierno</w:t>
            </w:r>
          </w:p>
        </w:tc>
        <w:tc>
          <w:tcPr>
            <w:tcW w:w="4820" w:type="dxa"/>
            <w:gridSpan w:val="3"/>
          </w:tcPr>
          <w:p w:rsidR="00DF077D" w:rsidRPr="00295641" w:rsidRDefault="00DF077D" w:rsidP="00DF077D">
            <w:pPr>
              <w:jc w:val="both"/>
              <w:rPr>
                <w:color w:val="000000" w:themeColor="text1"/>
              </w:rPr>
            </w:pPr>
            <w:r>
              <w:rPr>
                <w:color w:val="000000" w:themeColor="text1"/>
              </w:rPr>
              <w:t>No aplica</w:t>
            </w:r>
          </w:p>
        </w:tc>
      </w:tr>
      <w:tr w:rsidR="00DF077D" w:rsidRPr="00295641" w:rsidTr="003F3745">
        <w:tc>
          <w:tcPr>
            <w:tcW w:w="2109" w:type="dxa"/>
            <w:vMerge/>
            <w:shd w:val="clear" w:color="auto" w:fill="C6D9F1" w:themeFill="text2" w:themeFillTint="33"/>
            <w:vAlign w:val="center"/>
          </w:tcPr>
          <w:p w:rsidR="00DF077D" w:rsidRPr="00295641" w:rsidRDefault="00DF077D" w:rsidP="00DF077D">
            <w:pPr>
              <w:rPr>
                <w:rFonts w:cs="Gotham-Book"/>
                <w:b/>
                <w:color w:val="000000" w:themeColor="text1"/>
              </w:rPr>
            </w:pPr>
          </w:p>
        </w:tc>
        <w:tc>
          <w:tcPr>
            <w:tcW w:w="2110" w:type="dxa"/>
            <w:gridSpan w:val="2"/>
            <w:shd w:val="clear" w:color="auto" w:fill="C6D9F1" w:themeFill="text2" w:themeFillTint="33"/>
            <w:vAlign w:val="center"/>
          </w:tcPr>
          <w:p w:rsidR="00DF077D" w:rsidRPr="00295641" w:rsidRDefault="00DF077D" w:rsidP="00DF077D">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DF077D" w:rsidRPr="00295641" w:rsidRDefault="00DF077D" w:rsidP="00DF077D">
            <w:pPr>
              <w:jc w:val="both"/>
              <w:rPr>
                <w:color w:val="000000" w:themeColor="text1"/>
              </w:rPr>
            </w:pP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70372D" w:rsidRDefault="0070372D" w:rsidP="0070372D">
            <w:pPr>
              <w:jc w:val="both"/>
              <w:rPr>
                <w:color w:val="000000" w:themeColor="text1"/>
              </w:rPr>
            </w:pPr>
            <w:r>
              <w:rPr>
                <w:color w:val="000000" w:themeColor="text1"/>
              </w:rPr>
              <w:t>De acuerdo a la Carta Iberoamericana de la Participación Ciudadana en la Gestión Pública (p.3), la participación ciudadana se entiende como un proceso de construcción social de las políticas públicas, fomentando la expresión y defensa de sus intereses y un mayor conocimiento de los asuntos públicos.</w:t>
            </w:r>
          </w:p>
          <w:p w:rsidR="00DF077D" w:rsidRPr="00295641" w:rsidRDefault="0070372D" w:rsidP="003E19C4">
            <w:pPr>
              <w:jc w:val="both"/>
              <w:rPr>
                <w:color w:val="000000" w:themeColor="text1"/>
              </w:rPr>
            </w:pPr>
            <w:r>
              <w:rPr>
                <w:color w:val="000000" w:themeColor="text1"/>
              </w:rPr>
              <w:t xml:space="preserve">Si bien en nuestro país existen mecanismos </w:t>
            </w:r>
            <w:r w:rsidR="003E19C4">
              <w:rPr>
                <w:color w:val="000000" w:themeColor="text1"/>
              </w:rPr>
              <w:t xml:space="preserve">para la participación ciudadana, </w:t>
            </w:r>
            <w:r>
              <w:rPr>
                <w:color w:val="000000" w:themeColor="text1"/>
              </w:rPr>
              <w:t>es necesaria l</w:t>
            </w:r>
            <w:r w:rsidR="003F3745">
              <w:rPr>
                <w:color w:val="000000" w:themeColor="text1"/>
              </w:rPr>
              <w:t xml:space="preserve">a </w:t>
            </w:r>
            <w:r>
              <w:rPr>
                <w:color w:val="000000" w:themeColor="text1"/>
              </w:rPr>
              <w:t xml:space="preserve">implementación </w:t>
            </w:r>
            <w:r w:rsidR="003F3745">
              <w:rPr>
                <w:color w:val="000000" w:themeColor="text1"/>
              </w:rPr>
              <w:t xml:space="preserve">de lineamientos y orientaciones sobre la gestión de las políticas </w:t>
            </w:r>
            <w:r w:rsidR="00067EC2">
              <w:rPr>
                <w:color w:val="000000" w:themeColor="text1"/>
              </w:rPr>
              <w:t>de participación ciudadana</w:t>
            </w:r>
            <w:r>
              <w:rPr>
                <w:color w:val="000000" w:themeColor="text1"/>
              </w:rPr>
              <w:t xml:space="preserve">. Esto permitirá fortalecer dichos mecanismos, a fin de que se desarrollen de forma adecuada y activa. </w:t>
            </w: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rPr>
                <w:b/>
                <w:color w:val="000000" w:themeColor="text1"/>
              </w:rPr>
            </w:pPr>
            <w:r w:rsidRPr="00295641">
              <w:rPr>
                <w:rFonts w:cs="Gotham-Book"/>
                <w:b/>
                <w:color w:val="000000" w:themeColor="text1"/>
              </w:rPr>
              <w:t>Objetivo principal</w:t>
            </w:r>
          </w:p>
        </w:tc>
        <w:tc>
          <w:tcPr>
            <w:tcW w:w="4820" w:type="dxa"/>
            <w:gridSpan w:val="3"/>
          </w:tcPr>
          <w:p w:rsidR="00DF077D" w:rsidRPr="00EB66E2" w:rsidRDefault="00067EC2" w:rsidP="00265D44">
            <w:pPr>
              <w:jc w:val="both"/>
              <w:rPr>
                <w:bCs/>
              </w:rPr>
            </w:pPr>
            <w:r>
              <w:rPr>
                <w:bCs/>
              </w:rPr>
              <w:t>Sensibilizar y orientar</w:t>
            </w:r>
            <w:r w:rsidR="00A6024D">
              <w:rPr>
                <w:bCs/>
              </w:rPr>
              <w:t xml:space="preserve"> a los funcionarios públicos para la adecuada gestión de la participación ciudadana, como vía para contribuir a una mejora en la calidad de la gestión pública, de acuerdo con la normativa nacional y la Carta Iberoamericana de la Participación ciudadana.</w:t>
            </w: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DF077D" w:rsidRPr="00295641" w:rsidRDefault="00DF077D" w:rsidP="00DF077D">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DF077D" w:rsidRPr="00D55406" w:rsidRDefault="00A6024D" w:rsidP="00DF077D">
            <w:pPr>
              <w:jc w:val="both"/>
              <w:rPr>
                <w:color w:val="FF0000"/>
                <w:szCs w:val="20"/>
                <w:lang w:val="es-PE"/>
              </w:rPr>
            </w:pPr>
            <w:r w:rsidRPr="00A6024D">
              <w:rPr>
                <w:szCs w:val="20"/>
                <w:lang w:val="es-PE"/>
              </w:rPr>
              <w:t>Fortalecer la gestión de la participación ciudadana en las entidades públicas de los tres niveles de gobierno a través de lineamientos y orientaciones que contribuyan a una adecuada gestión.</w:t>
            </w: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autoSpaceDE w:val="0"/>
              <w:autoSpaceDN w:val="0"/>
              <w:adjustRightInd w:val="0"/>
              <w:rPr>
                <w:rFonts w:cs="Gotham-Book"/>
                <w:b/>
                <w:color w:val="000000" w:themeColor="text1"/>
              </w:rPr>
            </w:pPr>
            <w:r w:rsidRPr="00295641">
              <w:rPr>
                <w:rFonts w:cs="Gotham-Book"/>
                <w:b/>
                <w:color w:val="000000" w:themeColor="text1"/>
              </w:rPr>
              <w:t>Relevancia</w:t>
            </w:r>
          </w:p>
          <w:p w:rsidR="00DF077D" w:rsidRPr="00295641" w:rsidRDefault="00DF077D" w:rsidP="00DF077D">
            <w:pPr>
              <w:autoSpaceDE w:val="0"/>
              <w:autoSpaceDN w:val="0"/>
              <w:adjustRightInd w:val="0"/>
              <w:rPr>
                <w:b/>
                <w:color w:val="000000" w:themeColor="text1"/>
              </w:rPr>
            </w:pPr>
          </w:p>
        </w:tc>
        <w:tc>
          <w:tcPr>
            <w:tcW w:w="4820" w:type="dxa"/>
            <w:gridSpan w:val="3"/>
          </w:tcPr>
          <w:p w:rsidR="00DF077D" w:rsidRPr="00D55406" w:rsidRDefault="00925413" w:rsidP="00DF077D">
            <w:pPr>
              <w:jc w:val="both"/>
              <w:rPr>
                <w:color w:val="FF0000"/>
                <w:szCs w:val="20"/>
                <w:lang w:val="es-PE"/>
              </w:rPr>
            </w:pPr>
            <w:r w:rsidRPr="00265D44">
              <w:rPr>
                <w:szCs w:val="20"/>
                <w:lang w:val="es-PE"/>
              </w:rPr>
              <w:t>El compromiso contribuye a fortalecer la efectividad de los mecanismos de participación ciudadana existentes</w:t>
            </w:r>
            <w:r w:rsidR="00265D44">
              <w:rPr>
                <w:szCs w:val="20"/>
                <w:lang w:val="es-PE"/>
              </w:rPr>
              <w:t>, como principio de Gobierno Abierto</w:t>
            </w:r>
            <w:r w:rsidR="00141D64">
              <w:rPr>
                <w:szCs w:val="20"/>
                <w:lang w:val="es-PE"/>
              </w:rPr>
              <w:t>.</w:t>
            </w: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autoSpaceDE w:val="0"/>
              <w:autoSpaceDN w:val="0"/>
              <w:adjustRightInd w:val="0"/>
              <w:rPr>
                <w:rFonts w:cs="Gotham-Book"/>
                <w:b/>
                <w:color w:val="000000" w:themeColor="text1"/>
              </w:rPr>
            </w:pPr>
            <w:r w:rsidRPr="00295641">
              <w:rPr>
                <w:rFonts w:cs="Gotham-Book"/>
                <w:b/>
                <w:color w:val="000000" w:themeColor="text1"/>
              </w:rPr>
              <w:t>Ambición</w:t>
            </w:r>
          </w:p>
          <w:p w:rsidR="00DF077D" w:rsidRPr="00295641" w:rsidRDefault="00DF077D" w:rsidP="00DF077D">
            <w:pPr>
              <w:autoSpaceDE w:val="0"/>
              <w:autoSpaceDN w:val="0"/>
              <w:adjustRightInd w:val="0"/>
              <w:rPr>
                <w:rFonts w:cs="Gotham-BookItalic"/>
                <w:b/>
                <w:iCs/>
                <w:color w:val="000000" w:themeColor="text1"/>
              </w:rPr>
            </w:pPr>
          </w:p>
        </w:tc>
        <w:tc>
          <w:tcPr>
            <w:tcW w:w="4820" w:type="dxa"/>
            <w:gridSpan w:val="3"/>
          </w:tcPr>
          <w:p w:rsidR="00DF077D" w:rsidRPr="00D55406" w:rsidRDefault="00265D44" w:rsidP="00265D44">
            <w:pPr>
              <w:jc w:val="both"/>
              <w:rPr>
                <w:color w:val="FF0000"/>
                <w:szCs w:val="20"/>
                <w:lang w:val="es-PE"/>
              </w:rPr>
            </w:pPr>
            <w:r w:rsidRPr="00265D44">
              <w:rPr>
                <w:szCs w:val="20"/>
                <w:lang w:val="es-PE"/>
              </w:rPr>
              <w:t>Se espera que los servidores civiles gestionen de manera adecuada la participación ciudadana para contribuir en la mejora de la calidad de la gestión pública</w:t>
            </w:r>
            <w:r w:rsidR="00DF077D" w:rsidRPr="00265D44">
              <w:rPr>
                <w:szCs w:val="20"/>
                <w:lang w:val="es-PE"/>
              </w:rPr>
              <w:t>.</w:t>
            </w:r>
            <w:r w:rsidR="00DF077D" w:rsidRPr="00D55406">
              <w:rPr>
                <w:color w:val="FF0000"/>
                <w:szCs w:val="20"/>
                <w:lang w:val="es-PE"/>
              </w:rPr>
              <w:t xml:space="preserve"> </w:t>
            </w:r>
          </w:p>
        </w:tc>
      </w:tr>
      <w:tr w:rsidR="00DF077D" w:rsidRPr="00295641" w:rsidTr="003F3745">
        <w:tc>
          <w:tcPr>
            <w:tcW w:w="2518" w:type="dxa"/>
            <w:gridSpan w:val="2"/>
            <w:vMerge w:val="restart"/>
            <w:shd w:val="clear" w:color="auto" w:fill="C6D9F1" w:themeFill="text2" w:themeFillTint="33"/>
            <w:vAlign w:val="center"/>
          </w:tcPr>
          <w:p w:rsidR="00DF077D" w:rsidRPr="00295641" w:rsidRDefault="00DF077D" w:rsidP="00DF077D">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DF077D" w:rsidRPr="00295641" w:rsidRDefault="00DF077D" w:rsidP="00DF077D">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DF077D" w:rsidRPr="00295641" w:rsidRDefault="00DF077D" w:rsidP="00DF077D">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DF077D" w:rsidRPr="00295641" w:rsidRDefault="00DF077D" w:rsidP="00DF077D">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DF077D" w:rsidRPr="00295641" w:rsidRDefault="00DF077D" w:rsidP="00DF077D">
            <w:pPr>
              <w:jc w:val="center"/>
              <w:rPr>
                <w:b/>
                <w:color w:val="000000" w:themeColor="text1"/>
              </w:rPr>
            </w:pPr>
            <w:r w:rsidRPr="00295641">
              <w:rPr>
                <w:rFonts w:cs="Gotham-Book"/>
                <w:b/>
                <w:color w:val="000000" w:themeColor="text1"/>
              </w:rPr>
              <w:t>Completo</w:t>
            </w:r>
          </w:p>
        </w:tc>
      </w:tr>
      <w:tr w:rsidR="00DF077D" w:rsidRPr="00295641" w:rsidTr="003F3745">
        <w:tc>
          <w:tcPr>
            <w:tcW w:w="2518" w:type="dxa"/>
            <w:gridSpan w:val="2"/>
            <w:vMerge/>
            <w:shd w:val="clear" w:color="auto" w:fill="C6D9F1" w:themeFill="text2" w:themeFillTint="33"/>
            <w:vAlign w:val="center"/>
          </w:tcPr>
          <w:p w:rsidR="00DF077D" w:rsidRPr="00295641" w:rsidRDefault="00DF077D" w:rsidP="00DF077D">
            <w:pPr>
              <w:rPr>
                <w:b/>
                <w:color w:val="000000" w:themeColor="text1"/>
              </w:rPr>
            </w:pPr>
          </w:p>
        </w:tc>
        <w:tc>
          <w:tcPr>
            <w:tcW w:w="1701" w:type="dxa"/>
          </w:tcPr>
          <w:p w:rsidR="00DF077D" w:rsidRPr="00295641" w:rsidRDefault="00925413" w:rsidP="00DF077D">
            <w:pPr>
              <w:jc w:val="center"/>
              <w:rPr>
                <w:b/>
                <w:color w:val="000000" w:themeColor="text1"/>
              </w:rPr>
            </w:pPr>
            <w:r>
              <w:rPr>
                <w:b/>
                <w:color w:val="000000" w:themeColor="text1"/>
              </w:rPr>
              <w:t>X</w:t>
            </w:r>
          </w:p>
        </w:tc>
        <w:tc>
          <w:tcPr>
            <w:tcW w:w="1729" w:type="dxa"/>
          </w:tcPr>
          <w:p w:rsidR="00DF077D" w:rsidRPr="00295641" w:rsidRDefault="00DF077D" w:rsidP="00DF077D">
            <w:pPr>
              <w:jc w:val="center"/>
              <w:rPr>
                <w:b/>
                <w:color w:val="000000" w:themeColor="text1"/>
              </w:rPr>
            </w:pPr>
          </w:p>
        </w:tc>
        <w:tc>
          <w:tcPr>
            <w:tcW w:w="1644" w:type="dxa"/>
          </w:tcPr>
          <w:p w:rsidR="00DF077D" w:rsidRPr="00295641" w:rsidRDefault="00DF077D" w:rsidP="00DF077D">
            <w:pPr>
              <w:jc w:val="center"/>
              <w:rPr>
                <w:b/>
                <w:color w:val="000000" w:themeColor="text1"/>
              </w:rPr>
            </w:pPr>
          </w:p>
        </w:tc>
        <w:tc>
          <w:tcPr>
            <w:tcW w:w="1447" w:type="dxa"/>
            <w:shd w:val="clear" w:color="auto" w:fill="FFFFFF" w:themeFill="background1"/>
          </w:tcPr>
          <w:p w:rsidR="00DF077D" w:rsidRPr="00295641" w:rsidRDefault="00DF077D" w:rsidP="00DF077D">
            <w:pPr>
              <w:jc w:val="center"/>
              <w:rPr>
                <w:b/>
                <w:color w:val="000000" w:themeColor="text1"/>
              </w:rPr>
            </w:pPr>
          </w:p>
        </w:tc>
      </w:tr>
      <w:tr w:rsidR="00DF077D" w:rsidRPr="00295641" w:rsidTr="003F3745">
        <w:tc>
          <w:tcPr>
            <w:tcW w:w="2518" w:type="dxa"/>
            <w:gridSpan w:val="2"/>
            <w:shd w:val="clear" w:color="auto" w:fill="C6D9F1" w:themeFill="text2" w:themeFillTint="33"/>
            <w:vAlign w:val="center"/>
          </w:tcPr>
          <w:p w:rsidR="00DF077D" w:rsidRPr="00295641" w:rsidRDefault="00DF077D" w:rsidP="00DF077D">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DF077D" w:rsidRPr="00295641" w:rsidRDefault="00DF077D" w:rsidP="00DF077D">
            <w:pPr>
              <w:autoSpaceDE w:val="0"/>
              <w:autoSpaceDN w:val="0"/>
              <w:adjustRightInd w:val="0"/>
              <w:rPr>
                <w:rFonts w:cs="Gotham-BookItalic"/>
                <w:b/>
                <w:iCs/>
                <w:color w:val="000000" w:themeColor="text1"/>
              </w:rPr>
            </w:pPr>
          </w:p>
        </w:tc>
        <w:tc>
          <w:tcPr>
            <w:tcW w:w="6521" w:type="dxa"/>
            <w:gridSpan w:val="4"/>
          </w:tcPr>
          <w:p w:rsidR="00625544" w:rsidRPr="00625544" w:rsidRDefault="00625544" w:rsidP="00DF077D">
            <w:pPr>
              <w:jc w:val="both"/>
              <w:rPr>
                <w:szCs w:val="20"/>
                <w:lang w:val="es-PE"/>
              </w:rPr>
            </w:pPr>
            <w:r w:rsidRPr="00625544">
              <w:rPr>
                <w:szCs w:val="20"/>
                <w:lang w:val="es-PE"/>
              </w:rPr>
              <w:t>Las actividades previstas fueron:</w:t>
            </w:r>
          </w:p>
          <w:p w:rsidR="00DF077D" w:rsidRPr="00625544" w:rsidRDefault="00A6024D" w:rsidP="00DF077D">
            <w:pPr>
              <w:jc w:val="both"/>
              <w:rPr>
                <w:b/>
                <w:i/>
                <w:szCs w:val="20"/>
                <w:lang w:val="es-PE"/>
              </w:rPr>
            </w:pPr>
            <w:r w:rsidRPr="00625544">
              <w:rPr>
                <w:b/>
                <w:i/>
                <w:szCs w:val="20"/>
                <w:lang w:val="es-PE"/>
              </w:rPr>
              <w:t>1. Conformación de un grupo de trabajo</w:t>
            </w:r>
            <w:r w:rsidR="00925413" w:rsidRPr="00625544">
              <w:rPr>
                <w:b/>
                <w:i/>
                <w:szCs w:val="20"/>
                <w:lang w:val="es-PE"/>
              </w:rPr>
              <w:t xml:space="preserve"> (integrado por entidades públicas y sociedad civil) para elaborar la propuesta de lineamientos.</w:t>
            </w:r>
          </w:p>
          <w:p w:rsidR="00925413" w:rsidRPr="00625544" w:rsidRDefault="00925413" w:rsidP="00DF077D">
            <w:pPr>
              <w:jc w:val="both"/>
              <w:rPr>
                <w:b/>
                <w:i/>
                <w:szCs w:val="20"/>
                <w:lang w:val="es-PE"/>
              </w:rPr>
            </w:pPr>
            <w:r w:rsidRPr="00625544">
              <w:rPr>
                <w:b/>
                <w:i/>
                <w:szCs w:val="20"/>
                <w:lang w:val="es-PE"/>
              </w:rPr>
              <w:t>2. Propuesta de lineamientos terminados.</w:t>
            </w:r>
          </w:p>
          <w:p w:rsidR="00925413" w:rsidRPr="00625544" w:rsidRDefault="00925413" w:rsidP="00DF077D">
            <w:pPr>
              <w:jc w:val="both"/>
              <w:rPr>
                <w:b/>
                <w:i/>
                <w:szCs w:val="20"/>
                <w:lang w:val="es-PE"/>
              </w:rPr>
            </w:pPr>
            <w:r w:rsidRPr="00625544">
              <w:rPr>
                <w:b/>
                <w:i/>
                <w:szCs w:val="20"/>
                <w:lang w:val="es-PE"/>
              </w:rPr>
              <w:t>3. Aprobación de la propuesta de lineamientos por la Alta Dirección de PCM.</w:t>
            </w:r>
          </w:p>
          <w:p w:rsidR="00925413" w:rsidRPr="00625544" w:rsidRDefault="00925413" w:rsidP="00DF077D">
            <w:pPr>
              <w:jc w:val="both"/>
              <w:rPr>
                <w:b/>
                <w:i/>
                <w:szCs w:val="20"/>
                <w:lang w:val="es-PE"/>
              </w:rPr>
            </w:pPr>
            <w:r w:rsidRPr="00625544">
              <w:rPr>
                <w:b/>
                <w:i/>
                <w:szCs w:val="20"/>
                <w:lang w:val="es-PE"/>
              </w:rPr>
              <w:t>4. Publicación de la norma que aprueba los lineamientos</w:t>
            </w:r>
          </w:p>
          <w:p w:rsidR="00925413" w:rsidRPr="00625544" w:rsidRDefault="00925413" w:rsidP="00DF077D">
            <w:pPr>
              <w:jc w:val="both"/>
              <w:rPr>
                <w:b/>
                <w:i/>
                <w:szCs w:val="20"/>
                <w:lang w:val="es-PE"/>
              </w:rPr>
            </w:pPr>
            <w:r w:rsidRPr="00625544">
              <w:rPr>
                <w:b/>
                <w:i/>
                <w:szCs w:val="20"/>
                <w:lang w:val="es-PE"/>
              </w:rPr>
              <w:t>5. Implementación de los lineamientos.</w:t>
            </w:r>
          </w:p>
          <w:p w:rsidR="00DF077D" w:rsidRPr="00925413" w:rsidRDefault="00DF077D" w:rsidP="00265D44">
            <w:pPr>
              <w:jc w:val="both"/>
              <w:rPr>
                <w:color w:val="000000" w:themeColor="text1"/>
                <w:lang w:val="es-PE"/>
              </w:rPr>
            </w:pPr>
          </w:p>
        </w:tc>
      </w:tr>
      <w:tr w:rsidR="00DF077D" w:rsidRPr="00295641" w:rsidTr="003F3745">
        <w:tc>
          <w:tcPr>
            <w:tcW w:w="9039" w:type="dxa"/>
            <w:gridSpan w:val="6"/>
          </w:tcPr>
          <w:p w:rsidR="00DF077D" w:rsidRPr="00295641" w:rsidRDefault="00DF077D" w:rsidP="00DF077D">
            <w:pPr>
              <w:jc w:val="both"/>
              <w:rPr>
                <w:rFonts w:cs="Gotham-Book"/>
                <w:b/>
                <w:color w:val="000000" w:themeColor="text1"/>
              </w:rPr>
            </w:pPr>
          </w:p>
          <w:p w:rsidR="00DF077D" w:rsidRPr="00295641" w:rsidRDefault="00DF077D" w:rsidP="00DF077D">
            <w:pPr>
              <w:jc w:val="both"/>
              <w:rPr>
                <w:color w:val="000000" w:themeColor="text1"/>
              </w:rPr>
            </w:pPr>
            <w:r>
              <w:rPr>
                <w:rFonts w:cs="Gotham-Book"/>
                <w:b/>
                <w:color w:val="000000" w:themeColor="text1"/>
              </w:rPr>
              <w:t>Información adicional</w:t>
            </w:r>
          </w:p>
        </w:tc>
      </w:tr>
      <w:tr w:rsidR="00DF077D" w:rsidRPr="00295641" w:rsidTr="003F3745">
        <w:tc>
          <w:tcPr>
            <w:tcW w:w="9039" w:type="dxa"/>
            <w:gridSpan w:val="6"/>
          </w:tcPr>
          <w:p w:rsidR="0006320A" w:rsidRDefault="007301E3" w:rsidP="007301E3">
            <w:pPr>
              <w:jc w:val="both"/>
              <w:rPr>
                <w:rFonts w:cs="Gotham-Book"/>
                <w:color w:val="000000" w:themeColor="text1"/>
              </w:rPr>
            </w:pPr>
            <w:r w:rsidRPr="007301E3">
              <w:rPr>
                <w:rFonts w:cs="Gotham-Book"/>
                <w:color w:val="000000" w:themeColor="text1"/>
              </w:rPr>
              <w:t xml:space="preserve">Como se señala en el acápite 2 sobre el proceso de aprobación del Plan 2015-2016, ante la demora en su aprobación </w:t>
            </w:r>
            <w:r w:rsidR="0051620F" w:rsidRPr="007301E3">
              <w:rPr>
                <w:rFonts w:cs="Gotham-Book"/>
                <w:color w:val="000000" w:themeColor="text1"/>
              </w:rPr>
              <w:t>debido al cambio de gestión en la Presidencia del Consejo de Ministros</w:t>
            </w:r>
            <w:r w:rsidRPr="007301E3">
              <w:rPr>
                <w:rFonts w:cs="Gotham-Book"/>
                <w:color w:val="000000" w:themeColor="text1"/>
              </w:rPr>
              <w:t xml:space="preserve"> las organizaciones de la sociedad civil comunicaron su decisión de suspender </w:t>
            </w:r>
            <w:r w:rsidR="00C37E0F">
              <w:rPr>
                <w:rFonts w:cs="Gotham-Book"/>
                <w:color w:val="000000" w:themeColor="text1"/>
              </w:rPr>
              <w:t xml:space="preserve">su </w:t>
            </w:r>
            <w:r w:rsidRPr="007301E3">
              <w:rPr>
                <w:rFonts w:cs="Gotham-Book"/>
                <w:color w:val="000000" w:themeColor="text1"/>
              </w:rPr>
              <w:t xml:space="preserve">acompañamiento </w:t>
            </w:r>
            <w:r w:rsidR="0006320A">
              <w:rPr>
                <w:rFonts w:cs="Gotham-Book"/>
                <w:color w:val="000000" w:themeColor="text1"/>
              </w:rPr>
              <w:t xml:space="preserve">en </w:t>
            </w:r>
            <w:r w:rsidR="00C37E0F">
              <w:rPr>
                <w:rFonts w:cs="Gotham-Book"/>
                <w:color w:val="000000" w:themeColor="text1"/>
              </w:rPr>
              <w:t xml:space="preserve">la Comisión Multisectorial de naturaleza permanente para la implementación del plan de acción de </w:t>
            </w:r>
            <w:r w:rsidR="0006320A">
              <w:rPr>
                <w:rFonts w:cs="Gotham-Book"/>
                <w:color w:val="000000" w:themeColor="text1"/>
              </w:rPr>
              <w:t>G</w:t>
            </w:r>
            <w:r w:rsidR="00C37E0F">
              <w:rPr>
                <w:rFonts w:cs="Gotham-Book"/>
                <w:color w:val="000000" w:themeColor="text1"/>
              </w:rPr>
              <w:t xml:space="preserve">obierno </w:t>
            </w:r>
            <w:r w:rsidR="0006320A">
              <w:rPr>
                <w:rFonts w:cs="Gotham-Book"/>
                <w:color w:val="000000" w:themeColor="text1"/>
              </w:rPr>
              <w:t>A</w:t>
            </w:r>
            <w:r w:rsidR="00C37E0F">
              <w:rPr>
                <w:rFonts w:cs="Gotham-Book"/>
                <w:color w:val="000000" w:themeColor="text1"/>
              </w:rPr>
              <w:t xml:space="preserve">bierto. </w:t>
            </w:r>
          </w:p>
          <w:p w:rsidR="0006320A" w:rsidRDefault="0006320A" w:rsidP="007301E3">
            <w:pPr>
              <w:jc w:val="both"/>
              <w:rPr>
                <w:rFonts w:cs="Gotham-Book"/>
                <w:color w:val="000000" w:themeColor="text1"/>
              </w:rPr>
            </w:pPr>
          </w:p>
          <w:p w:rsidR="007301E3" w:rsidRPr="007301E3" w:rsidRDefault="007301E3" w:rsidP="007301E3">
            <w:pPr>
              <w:jc w:val="both"/>
              <w:rPr>
                <w:rFonts w:cs="Gotham-Book"/>
                <w:color w:val="000000" w:themeColor="text1"/>
              </w:rPr>
            </w:pPr>
            <w:r w:rsidRPr="007301E3">
              <w:rPr>
                <w:rFonts w:cs="Gotham-Book"/>
                <w:color w:val="000000" w:themeColor="text1"/>
              </w:rPr>
              <w:t>Adicionalmente, e</w:t>
            </w:r>
            <w:r w:rsidR="00013877">
              <w:rPr>
                <w:rFonts w:cs="Gotham-Book"/>
                <w:color w:val="000000" w:themeColor="text1"/>
              </w:rPr>
              <w:t>l p</w:t>
            </w:r>
            <w:r w:rsidRPr="007301E3">
              <w:rPr>
                <w:rFonts w:cs="Gotham-Book"/>
                <w:color w:val="000000" w:themeColor="text1"/>
              </w:rPr>
              <w:t>lan</w:t>
            </w:r>
            <w:r w:rsidR="0006320A">
              <w:rPr>
                <w:rFonts w:cs="Gotham-Book"/>
                <w:color w:val="000000" w:themeColor="text1"/>
              </w:rPr>
              <w:t>,</w:t>
            </w:r>
            <w:r w:rsidRPr="007301E3">
              <w:rPr>
                <w:rFonts w:cs="Gotham-Book"/>
                <w:color w:val="000000" w:themeColor="text1"/>
              </w:rPr>
              <w:t xml:space="preserve"> </w:t>
            </w:r>
            <w:r w:rsidR="0006320A">
              <w:rPr>
                <w:rFonts w:cs="Gotham-Book"/>
                <w:color w:val="000000" w:themeColor="text1"/>
              </w:rPr>
              <w:t xml:space="preserve">al </w:t>
            </w:r>
            <w:r w:rsidRPr="007301E3">
              <w:rPr>
                <w:rFonts w:cs="Gotham-Book"/>
                <w:color w:val="000000" w:themeColor="text1"/>
              </w:rPr>
              <w:t>recog</w:t>
            </w:r>
            <w:r w:rsidR="0006320A">
              <w:rPr>
                <w:rFonts w:cs="Gotham-Book"/>
                <w:color w:val="000000" w:themeColor="text1"/>
              </w:rPr>
              <w:t>er</w:t>
            </w:r>
            <w:r w:rsidRPr="007301E3">
              <w:rPr>
                <w:rFonts w:cs="Gotham-Book"/>
                <w:color w:val="000000" w:themeColor="text1"/>
              </w:rPr>
              <w:t xml:space="preserve"> 17 de los 18 compromisos dejó para evaluación la propuesta normativa </w:t>
            </w:r>
            <w:r w:rsidR="0006320A">
              <w:rPr>
                <w:rFonts w:cs="Gotham-Book"/>
                <w:color w:val="000000" w:themeColor="text1"/>
              </w:rPr>
              <w:t>de</w:t>
            </w:r>
            <w:r w:rsidRPr="007301E3">
              <w:rPr>
                <w:rFonts w:cs="Gotham-Book"/>
                <w:color w:val="000000" w:themeColor="text1"/>
              </w:rPr>
              <w:t xml:space="preserve"> creación de la Autoridad Nacional para la Transparencia y el Acceso a la Información Pública, gener</w:t>
            </w:r>
            <w:r w:rsidR="0006320A">
              <w:rPr>
                <w:rFonts w:cs="Gotham-Book"/>
                <w:color w:val="000000" w:themeColor="text1"/>
              </w:rPr>
              <w:t>ando</w:t>
            </w:r>
            <w:r w:rsidRPr="007301E3">
              <w:rPr>
                <w:rFonts w:cs="Gotham-Book"/>
                <w:color w:val="000000" w:themeColor="text1"/>
              </w:rPr>
              <w:t xml:space="preserve"> que los representantes de la sociedad civil condicionaran su reincorporación </w:t>
            </w:r>
            <w:r w:rsidR="0006320A">
              <w:rPr>
                <w:rFonts w:cs="Gotham-Book"/>
                <w:color w:val="000000" w:themeColor="text1"/>
              </w:rPr>
              <w:t xml:space="preserve">en </w:t>
            </w:r>
            <w:r>
              <w:rPr>
                <w:rFonts w:cs="Gotham-Book"/>
                <w:color w:val="000000" w:themeColor="text1"/>
              </w:rPr>
              <w:t>dicha comisión</w:t>
            </w:r>
            <w:r w:rsidR="00C949BF">
              <w:rPr>
                <w:rFonts w:cs="Gotham-Book"/>
                <w:color w:val="000000" w:themeColor="text1"/>
              </w:rPr>
              <w:t>,</w:t>
            </w:r>
            <w:r w:rsidR="0006320A">
              <w:rPr>
                <w:rFonts w:cs="Gotham-Book"/>
                <w:color w:val="000000" w:themeColor="text1"/>
              </w:rPr>
              <w:t xml:space="preserve"> por lo tanto</w:t>
            </w:r>
            <w:r w:rsidR="00C949BF">
              <w:rPr>
                <w:rFonts w:cs="Gotham-Book"/>
                <w:color w:val="000000" w:themeColor="text1"/>
              </w:rPr>
              <w:t>, no habría</w:t>
            </w:r>
            <w:r w:rsidR="0006320A">
              <w:rPr>
                <w:rFonts w:cs="Gotham-Book"/>
                <w:color w:val="000000" w:themeColor="text1"/>
              </w:rPr>
              <w:t xml:space="preserve"> acompañamiento a la implementación del plan de acción</w:t>
            </w:r>
            <w:r w:rsidRPr="007301E3">
              <w:rPr>
                <w:rFonts w:cs="Gotham-Book"/>
                <w:color w:val="000000" w:themeColor="text1"/>
              </w:rPr>
              <w:t>.</w:t>
            </w:r>
          </w:p>
          <w:p w:rsidR="007301E3" w:rsidRDefault="007301E3" w:rsidP="004930E2">
            <w:pPr>
              <w:jc w:val="both"/>
              <w:rPr>
                <w:rFonts w:cs="Gotham-Book"/>
                <w:b/>
                <w:color w:val="000000" w:themeColor="text1"/>
              </w:rPr>
            </w:pPr>
          </w:p>
          <w:p w:rsidR="007301E3" w:rsidRPr="000C599A" w:rsidRDefault="007301E3">
            <w:pPr>
              <w:jc w:val="both"/>
              <w:rPr>
                <w:rFonts w:cs="Gotham-Book"/>
                <w:color w:val="000000" w:themeColor="text1"/>
              </w:rPr>
            </w:pPr>
            <w:r w:rsidRPr="000C599A">
              <w:rPr>
                <w:rFonts w:cs="Gotham-Book"/>
                <w:color w:val="000000" w:themeColor="text1"/>
              </w:rPr>
              <w:t>No obstante, las instituciones de la sociedad civi</w:t>
            </w:r>
            <w:r w:rsidR="000C599A" w:rsidRPr="000C599A">
              <w:rPr>
                <w:rFonts w:cs="Gotham-Book"/>
                <w:color w:val="000000" w:themeColor="text1"/>
              </w:rPr>
              <w:t>l</w:t>
            </w:r>
            <w:r w:rsidRPr="000C599A">
              <w:rPr>
                <w:rFonts w:cs="Gotham-Book"/>
                <w:color w:val="000000" w:themeColor="text1"/>
              </w:rPr>
              <w:t xml:space="preserve"> </w:t>
            </w:r>
            <w:r w:rsidR="000C599A">
              <w:rPr>
                <w:rFonts w:cs="Gotham-Book"/>
                <w:color w:val="000000" w:themeColor="text1"/>
              </w:rPr>
              <w:t xml:space="preserve">fueron </w:t>
            </w:r>
            <w:r w:rsidRPr="000C599A">
              <w:rPr>
                <w:rFonts w:cs="Gotham-Book"/>
                <w:color w:val="000000" w:themeColor="text1"/>
              </w:rPr>
              <w:t xml:space="preserve">invitadas a las </w:t>
            </w:r>
            <w:r w:rsidR="000C599A">
              <w:rPr>
                <w:rFonts w:cs="Gotham-Book"/>
                <w:color w:val="000000" w:themeColor="text1"/>
              </w:rPr>
              <w:t xml:space="preserve">diversas </w:t>
            </w:r>
            <w:r w:rsidRPr="000C599A">
              <w:rPr>
                <w:rFonts w:cs="Gotham-Book"/>
                <w:color w:val="000000" w:themeColor="text1"/>
              </w:rPr>
              <w:t xml:space="preserve">actividades realizadas. En lo que respecta a este compromiso, </w:t>
            </w:r>
            <w:r w:rsidR="00C949BF">
              <w:rPr>
                <w:rFonts w:cs="Gotham-Book"/>
                <w:color w:val="000000" w:themeColor="text1"/>
              </w:rPr>
              <w:t>fueron convocados para informar</w:t>
            </w:r>
            <w:r w:rsidR="00F7205A">
              <w:rPr>
                <w:rFonts w:cs="Gotham-Book"/>
                <w:color w:val="000000" w:themeColor="text1"/>
              </w:rPr>
              <w:t>les</w:t>
            </w:r>
            <w:r w:rsidR="00C949BF">
              <w:rPr>
                <w:rFonts w:cs="Gotham-Book"/>
                <w:color w:val="000000" w:themeColor="text1"/>
              </w:rPr>
              <w:t xml:space="preserve"> sobre su implementación, </w:t>
            </w:r>
            <w:r w:rsidR="00F7205A">
              <w:rPr>
                <w:rFonts w:cs="Gotham-Book"/>
                <w:color w:val="000000" w:themeColor="text1"/>
              </w:rPr>
              <w:t xml:space="preserve">y requirieron </w:t>
            </w:r>
            <w:r w:rsidR="00062BE5">
              <w:rPr>
                <w:rFonts w:cs="Gotham-Book"/>
                <w:color w:val="000000" w:themeColor="text1"/>
              </w:rPr>
              <w:t xml:space="preserve">para su revisión </w:t>
            </w:r>
            <w:r w:rsidR="00C949BF">
              <w:rPr>
                <w:rFonts w:cs="Gotham-Book"/>
                <w:color w:val="000000" w:themeColor="text1"/>
              </w:rPr>
              <w:t xml:space="preserve">los términos de referencia de la consultoría que el Estado iba a contratar, sin embargo, sus comentarios y opiniones tuvieron un retraso </w:t>
            </w:r>
            <w:r w:rsidR="00F7205A">
              <w:rPr>
                <w:rFonts w:cs="Gotham-Book"/>
                <w:color w:val="000000" w:themeColor="text1"/>
              </w:rPr>
              <w:t>para que el Estado pueda generar la</w:t>
            </w:r>
            <w:r w:rsidR="00C949BF">
              <w:rPr>
                <w:rFonts w:cs="Gotham-Book"/>
                <w:color w:val="000000" w:themeColor="text1"/>
              </w:rPr>
              <w:t xml:space="preserve"> convocatoria del proceso de contratación </w:t>
            </w:r>
            <w:r w:rsidR="00F7205A">
              <w:rPr>
                <w:rFonts w:cs="Gotham-Book"/>
                <w:color w:val="000000" w:themeColor="text1"/>
              </w:rPr>
              <w:t>antes de finalizar el año y poder comprometer el presupuesto.</w:t>
            </w:r>
          </w:p>
        </w:tc>
      </w:tr>
    </w:tbl>
    <w:p w:rsidR="00013877" w:rsidRDefault="00013877"/>
    <w:tbl>
      <w:tblPr>
        <w:tblStyle w:val="Tablaconcuadrcula"/>
        <w:tblW w:w="9039" w:type="dxa"/>
        <w:tblLayout w:type="fixed"/>
        <w:tblLook w:val="04A0" w:firstRow="1" w:lastRow="0" w:firstColumn="1" w:lastColumn="0" w:noHBand="0" w:noVBand="1"/>
      </w:tblPr>
      <w:tblGrid>
        <w:gridCol w:w="1555"/>
        <w:gridCol w:w="963"/>
        <w:gridCol w:w="1701"/>
        <w:gridCol w:w="1729"/>
        <w:gridCol w:w="1644"/>
        <w:gridCol w:w="1447"/>
      </w:tblGrid>
      <w:tr w:rsidR="00265D44" w:rsidRPr="00265D44" w:rsidTr="00416DF6">
        <w:tc>
          <w:tcPr>
            <w:tcW w:w="9039" w:type="dxa"/>
            <w:gridSpan w:val="6"/>
            <w:shd w:val="clear" w:color="auto" w:fill="548DD4" w:themeFill="text2" w:themeFillTint="99"/>
          </w:tcPr>
          <w:p w:rsidR="00265D44" w:rsidRPr="001C55F9" w:rsidRDefault="001C55F9" w:rsidP="001C55F9">
            <w:pPr>
              <w:ind w:left="720"/>
              <w:jc w:val="center"/>
              <w:rPr>
                <w:b/>
              </w:rPr>
            </w:pPr>
            <w:r>
              <w:rPr>
                <w:b/>
              </w:rPr>
              <w:t>Componente:</w:t>
            </w:r>
            <w:r w:rsidR="00265D44" w:rsidRPr="001C55F9">
              <w:rPr>
                <w:b/>
              </w:rPr>
              <w:t xml:space="preserve"> PARTICIPACION CIUDADANA</w:t>
            </w:r>
          </w:p>
        </w:tc>
      </w:tr>
      <w:tr w:rsidR="00265D44" w:rsidRPr="00265D44" w:rsidTr="00416DF6">
        <w:tc>
          <w:tcPr>
            <w:tcW w:w="9039" w:type="dxa"/>
            <w:gridSpan w:val="6"/>
            <w:shd w:val="clear" w:color="auto" w:fill="548DD4" w:themeFill="text2" w:themeFillTint="99"/>
          </w:tcPr>
          <w:p w:rsidR="00265D44" w:rsidRPr="001C55F9" w:rsidRDefault="00265D44" w:rsidP="007E51B6">
            <w:pPr>
              <w:ind w:left="720"/>
              <w:jc w:val="both"/>
              <w:rPr>
                <w:b/>
              </w:rPr>
            </w:pPr>
            <w:r w:rsidRPr="001C55F9">
              <w:rPr>
                <w:b/>
                <w:u w:val="single"/>
              </w:rPr>
              <w:t>Compromiso 8:</w:t>
            </w:r>
            <w:r w:rsidRPr="001C55F9">
              <w:rPr>
                <w:b/>
              </w:rPr>
              <w:t xml:space="preserve"> Mejorar los conocimientos y habilidades de los func</w:t>
            </w:r>
            <w:r w:rsidR="007E51B6" w:rsidRPr="001C55F9">
              <w:rPr>
                <w:b/>
              </w:rPr>
              <w:t xml:space="preserve">ionarios y servidores públicos y </w:t>
            </w:r>
            <w:r w:rsidRPr="001C55F9">
              <w:rPr>
                <w:b/>
              </w:rPr>
              <w:t>de los pueblos indígenas para la implementación de la Ley de Consulta Previa</w:t>
            </w:r>
            <w:r w:rsidR="007E51B6" w:rsidRPr="001C55F9">
              <w:rPr>
                <w:b/>
              </w:rPr>
              <w:t>.</w:t>
            </w:r>
            <w:r w:rsidRPr="001C55F9">
              <w:rPr>
                <w:b/>
              </w:rPr>
              <w:t xml:space="preserve"> </w:t>
            </w: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Secretaría/Ministerio</w:t>
            </w:r>
          </w:p>
          <w:p w:rsidR="00265D44" w:rsidRPr="00265D44" w:rsidRDefault="00265D44" w:rsidP="00265D44">
            <w:pPr>
              <w:rPr>
                <w:color w:val="000000" w:themeColor="text1"/>
              </w:rPr>
            </w:pPr>
            <w:r w:rsidRPr="00265D44">
              <w:rPr>
                <w:rFonts w:cs="Gotham-Book"/>
                <w:color w:val="000000" w:themeColor="text1"/>
              </w:rPr>
              <w:t>Responsable</w:t>
            </w:r>
          </w:p>
        </w:tc>
        <w:tc>
          <w:tcPr>
            <w:tcW w:w="4820" w:type="dxa"/>
            <w:gridSpan w:val="3"/>
          </w:tcPr>
          <w:p w:rsidR="00265D44" w:rsidRPr="00265D44" w:rsidRDefault="00265D44" w:rsidP="00265D44">
            <w:pPr>
              <w:jc w:val="both"/>
              <w:rPr>
                <w:color w:val="000000" w:themeColor="text1"/>
              </w:rPr>
            </w:pPr>
            <w:r w:rsidRPr="00265D44">
              <w:rPr>
                <w:color w:val="000000" w:themeColor="text1"/>
              </w:rPr>
              <w:t>Ministerio de Cultura, a través del Viceministerio de Interculturalidad</w:t>
            </w: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Nombre de la persona  responsable</w:t>
            </w:r>
          </w:p>
        </w:tc>
        <w:tc>
          <w:tcPr>
            <w:tcW w:w="4820" w:type="dxa"/>
            <w:gridSpan w:val="3"/>
          </w:tcPr>
          <w:p w:rsidR="00265D44" w:rsidRPr="00265D44" w:rsidRDefault="005031BE" w:rsidP="00265D44">
            <w:pPr>
              <w:jc w:val="both"/>
              <w:rPr>
                <w:color w:val="000000" w:themeColor="text1"/>
              </w:rPr>
            </w:pPr>
            <w:r>
              <w:rPr>
                <w:color w:val="000000" w:themeColor="text1"/>
              </w:rPr>
              <w:t>Salvador del Solar</w:t>
            </w: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Puesto</w:t>
            </w:r>
          </w:p>
        </w:tc>
        <w:tc>
          <w:tcPr>
            <w:tcW w:w="4820" w:type="dxa"/>
            <w:gridSpan w:val="3"/>
          </w:tcPr>
          <w:p w:rsidR="00265D44" w:rsidRPr="00265D44" w:rsidRDefault="005031BE" w:rsidP="00265D44">
            <w:pPr>
              <w:jc w:val="both"/>
            </w:pPr>
            <w:r>
              <w:t>Ministro</w:t>
            </w: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Correo electrónico</w:t>
            </w:r>
          </w:p>
        </w:tc>
        <w:tc>
          <w:tcPr>
            <w:tcW w:w="4820" w:type="dxa"/>
            <w:gridSpan w:val="3"/>
          </w:tcPr>
          <w:p w:rsidR="00265D44" w:rsidRPr="00265D44" w:rsidRDefault="00265D44" w:rsidP="00265D44">
            <w:pPr>
              <w:jc w:val="both"/>
              <w:rPr>
                <w:rFonts w:cs="Arial"/>
                <w:color w:val="0000FF"/>
                <w:u w:val="single"/>
              </w:rPr>
            </w:pP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Teléfono</w:t>
            </w:r>
          </w:p>
        </w:tc>
        <w:tc>
          <w:tcPr>
            <w:tcW w:w="4820" w:type="dxa"/>
            <w:gridSpan w:val="3"/>
          </w:tcPr>
          <w:p w:rsidR="00265D44" w:rsidRPr="00265D44" w:rsidRDefault="00265D44" w:rsidP="00265D44">
            <w:pPr>
              <w:jc w:val="both"/>
              <w:rPr>
                <w:color w:val="000000" w:themeColor="text1"/>
              </w:rPr>
            </w:pPr>
            <w:r w:rsidRPr="00265D44">
              <w:t>(511) 618-9393</w:t>
            </w:r>
          </w:p>
        </w:tc>
      </w:tr>
      <w:tr w:rsidR="00265D44" w:rsidRPr="00265D44" w:rsidTr="00416DF6">
        <w:tc>
          <w:tcPr>
            <w:tcW w:w="1555" w:type="dxa"/>
            <w:vMerge w:val="restart"/>
            <w:shd w:val="clear" w:color="auto" w:fill="C6D9F1" w:themeFill="text2" w:themeFillTint="33"/>
            <w:vAlign w:val="center"/>
          </w:tcPr>
          <w:p w:rsidR="00265D44" w:rsidRPr="00265D44" w:rsidRDefault="00265D44" w:rsidP="00265D44">
            <w:pPr>
              <w:rPr>
                <w:rFonts w:cs="Gotham-Book"/>
                <w:color w:val="000000" w:themeColor="text1"/>
              </w:rPr>
            </w:pPr>
            <w:r w:rsidRPr="00265D44">
              <w:rPr>
                <w:rFonts w:cs="Gotham-Book"/>
                <w:color w:val="000000" w:themeColor="text1"/>
              </w:rPr>
              <w:t>Otros actores involucrados</w:t>
            </w:r>
          </w:p>
        </w:tc>
        <w:tc>
          <w:tcPr>
            <w:tcW w:w="2664" w:type="dxa"/>
            <w:gridSpan w:val="2"/>
            <w:shd w:val="clear" w:color="auto" w:fill="C6D9F1" w:themeFill="text2" w:themeFillTint="33"/>
            <w:vAlign w:val="center"/>
          </w:tcPr>
          <w:p w:rsidR="00265D44" w:rsidRPr="00265D44" w:rsidRDefault="00265D44" w:rsidP="00265D44">
            <w:pPr>
              <w:rPr>
                <w:rFonts w:cs="Gotham-Book"/>
                <w:color w:val="000000" w:themeColor="text1"/>
              </w:rPr>
            </w:pPr>
            <w:r w:rsidRPr="00265D44">
              <w:rPr>
                <w:rFonts w:cs="Gotham-Book"/>
                <w:color w:val="000000" w:themeColor="text1"/>
              </w:rPr>
              <w:t>Gobierno</w:t>
            </w:r>
          </w:p>
        </w:tc>
        <w:tc>
          <w:tcPr>
            <w:tcW w:w="4820" w:type="dxa"/>
            <w:gridSpan w:val="3"/>
          </w:tcPr>
          <w:p w:rsidR="00265D44" w:rsidRPr="00265D44" w:rsidRDefault="00265D44" w:rsidP="00265D44">
            <w:pPr>
              <w:jc w:val="both"/>
              <w:rPr>
                <w:color w:val="000000" w:themeColor="text1"/>
              </w:rPr>
            </w:pPr>
          </w:p>
        </w:tc>
      </w:tr>
      <w:tr w:rsidR="00265D44" w:rsidRPr="00265D44" w:rsidTr="00416DF6">
        <w:trPr>
          <w:trHeight w:val="821"/>
        </w:trPr>
        <w:tc>
          <w:tcPr>
            <w:tcW w:w="1555" w:type="dxa"/>
            <w:vMerge/>
            <w:shd w:val="clear" w:color="auto" w:fill="C6D9F1" w:themeFill="text2" w:themeFillTint="33"/>
            <w:vAlign w:val="center"/>
          </w:tcPr>
          <w:p w:rsidR="00265D44" w:rsidRPr="00265D44" w:rsidRDefault="00265D44" w:rsidP="00265D44">
            <w:pPr>
              <w:rPr>
                <w:rFonts w:cs="Gotham-Book"/>
                <w:color w:val="000000" w:themeColor="text1"/>
              </w:rPr>
            </w:pPr>
          </w:p>
        </w:tc>
        <w:tc>
          <w:tcPr>
            <w:tcW w:w="2664" w:type="dxa"/>
            <w:gridSpan w:val="2"/>
            <w:shd w:val="clear" w:color="auto" w:fill="C6D9F1" w:themeFill="text2" w:themeFillTint="33"/>
            <w:vAlign w:val="center"/>
          </w:tcPr>
          <w:p w:rsidR="00265D44" w:rsidRPr="00265D44" w:rsidRDefault="00265D44" w:rsidP="00265D44">
            <w:pPr>
              <w:rPr>
                <w:rFonts w:cs="Gotham-Book"/>
                <w:color w:val="000000" w:themeColor="text1"/>
              </w:rPr>
            </w:pPr>
            <w:r w:rsidRPr="00265D44">
              <w:rPr>
                <w:rFonts w:cs="Gotham-Book"/>
                <w:color w:val="000000" w:themeColor="text1"/>
              </w:rPr>
              <w:t>Sociedad civil, iniciativa privada, grupos de trabajo o multilaterales</w:t>
            </w:r>
          </w:p>
        </w:tc>
        <w:tc>
          <w:tcPr>
            <w:tcW w:w="4820" w:type="dxa"/>
            <w:gridSpan w:val="3"/>
          </w:tcPr>
          <w:p w:rsidR="00265D44" w:rsidRPr="00265D44" w:rsidRDefault="00265D44" w:rsidP="00265D44">
            <w:pPr>
              <w:jc w:val="both"/>
              <w:rPr>
                <w:color w:val="000000" w:themeColor="text1"/>
              </w:rPr>
            </w:pP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rPr>
                <w:rFonts w:cs="Gotham-Book"/>
                <w:color w:val="000000" w:themeColor="text1"/>
              </w:rPr>
            </w:pPr>
            <w:r w:rsidRPr="00265D44">
              <w:rPr>
                <w:rFonts w:cs="Gotham-Book"/>
                <w:color w:val="000000" w:themeColor="text1"/>
              </w:rPr>
              <w:t>Status quo o problema/</w:t>
            </w:r>
            <w:r w:rsidRPr="00265D44">
              <w:rPr>
                <w:rFonts w:cs="Gotham-Book"/>
                <w:color w:val="000000" w:themeColor="text1"/>
              </w:rPr>
              <w:br/>
              <w:t>desafío que será atendido</w:t>
            </w:r>
          </w:p>
        </w:tc>
        <w:tc>
          <w:tcPr>
            <w:tcW w:w="4820" w:type="dxa"/>
            <w:gridSpan w:val="3"/>
          </w:tcPr>
          <w:p w:rsidR="00265D44" w:rsidRPr="00265D44" w:rsidRDefault="00000388" w:rsidP="00690EE6">
            <w:pPr>
              <w:jc w:val="both"/>
              <w:rPr>
                <w:color w:val="000000" w:themeColor="text1"/>
              </w:rPr>
            </w:pPr>
            <w:r>
              <w:rPr>
                <w:rFonts w:cs="Calibri"/>
              </w:rPr>
              <w:t>Se advierte la necesidad de promover una mayor difusión y conocimiento de la Ley de Consulta Previa a l</w:t>
            </w:r>
            <w:r w:rsidR="00265D44" w:rsidRPr="00265D44">
              <w:rPr>
                <w:rFonts w:cs="Calibri"/>
              </w:rPr>
              <w:t>os pueblos indígenas y los funcionarios y funcionarias de los tres niveles de gobierno</w:t>
            </w:r>
            <w:r>
              <w:rPr>
                <w:rFonts w:cs="Calibri"/>
              </w:rPr>
              <w:t>,</w:t>
            </w:r>
            <w:r w:rsidR="00265D44" w:rsidRPr="00265D44">
              <w:rPr>
                <w:rFonts w:cs="Calibri"/>
              </w:rPr>
              <w:t xml:space="preserve"> encargados de llevar a cabo la implement</w:t>
            </w:r>
            <w:r>
              <w:rPr>
                <w:rFonts w:cs="Calibri"/>
              </w:rPr>
              <w:t>ación del derecho a la consulta, a fin de que se garantice</w:t>
            </w:r>
            <w:r w:rsidR="00690EE6">
              <w:rPr>
                <w:rFonts w:cs="Calibri"/>
              </w:rPr>
              <w:t>n</w:t>
            </w:r>
            <w:r>
              <w:rPr>
                <w:rFonts w:cs="Calibri"/>
              </w:rPr>
              <w:t xml:space="preserve"> </w:t>
            </w:r>
            <w:r w:rsidR="00690EE6">
              <w:rPr>
                <w:rFonts w:cs="Calibri"/>
              </w:rPr>
              <w:t xml:space="preserve">los objetivos </w:t>
            </w:r>
            <w:r>
              <w:rPr>
                <w:rFonts w:cs="Calibri"/>
              </w:rPr>
              <w:t>de dicho proceso.</w:t>
            </w: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Objetivo principal</w:t>
            </w:r>
          </w:p>
        </w:tc>
        <w:tc>
          <w:tcPr>
            <w:tcW w:w="4820" w:type="dxa"/>
            <w:gridSpan w:val="3"/>
          </w:tcPr>
          <w:p w:rsidR="00265D44" w:rsidRPr="00265D44" w:rsidRDefault="00265D44" w:rsidP="00141D64">
            <w:pPr>
              <w:jc w:val="both"/>
            </w:pPr>
            <w:r w:rsidRPr="00265D44">
              <w:rPr>
                <w:rFonts w:cs="Calibri"/>
              </w:rPr>
              <w:t xml:space="preserve">Fortalecer el rol de asistencia técnica a los pueblos indígenas y a funcionarias (os) públicos del Viceministerio de Interculturalidad del Ministerio de Cultura </w:t>
            </w:r>
            <w:r w:rsidR="00141D64">
              <w:rPr>
                <w:rFonts w:cs="Calibri"/>
              </w:rPr>
              <w:t xml:space="preserve">para promover un mayor </w:t>
            </w:r>
            <w:r w:rsidRPr="00265D44">
              <w:rPr>
                <w:rFonts w:cs="Calibri"/>
              </w:rPr>
              <w:t xml:space="preserve"> cumplimiento de la Ley de Consulta Previa.</w:t>
            </w: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Breve descripción del Compromiso</w:t>
            </w:r>
          </w:p>
        </w:tc>
        <w:tc>
          <w:tcPr>
            <w:tcW w:w="4820" w:type="dxa"/>
            <w:gridSpan w:val="3"/>
          </w:tcPr>
          <w:p w:rsidR="00265D44" w:rsidRPr="00265D44" w:rsidRDefault="00265D44" w:rsidP="00265D44">
            <w:pPr>
              <w:jc w:val="both"/>
            </w:pPr>
            <w:r w:rsidRPr="00265D44">
              <w:t>Mejorar los conocimientos y desarrollar habilidades de los funcionarios y servidores públicos, así como de los pueblos indígenas para la implementación de la Ley de Consulta Previa y su reglamento, ampliando progresivamente la cobertura de la capacitación.</w:t>
            </w:r>
          </w:p>
          <w:p w:rsidR="00265D44" w:rsidRPr="00265D44" w:rsidRDefault="00265D44" w:rsidP="00265D44">
            <w:pPr>
              <w:jc w:val="both"/>
            </w:pPr>
            <w:r w:rsidRPr="00265D44">
              <w:t xml:space="preserve">Actividades del compromiso: </w:t>
            </w:r>
          </w:p>
          <w:p w:rsidR="00265D44" w:rsidRPr="00265D44" w:rsidRDefault="00265D44" w:rsidP="00265D44">
            <w:pPr>
              <w:numPr>
                <w:ilvl w:val="0"/>
                <w:numId w:val="30"/>
              </w:numPr>
              <w:jc w:val="both"/>
              <w:rPr>
                <w:szCs w:val="20"/>
                <w:lang w:val="es-PE"/>
              </w:rPr>
            </w:pPr>
            <w:r w:rsidRPr="00265D44">
              <w:t>Aprobación del Plan de Capacitación</w:t>
            </w:r>
          </w:p>
          <w:p w:rsidR="00265D44" w:rsidRPr="00265D44" w:rsidRDefault="00265D44" w:rsidP="00265D44">
            <w:pPr>
              <w:numPr>
                <w:ilvl w:val="0"/>
                <w:numId w:val="30"/>
              </w:numPr>
              <w:jc w:val="both"/>
              <w:rPr>
                <w:szCs w:val="20"/>
                <w:lang w:val="es-PE"/>
              </w:rPr>
            </w:pPr>
            <w:r w:rsidRPr="00265D44">
              <w:t xml:space="preserve">Implementación del Plan de Capacitación </w:t>
            </w:r>
          </w:p>
          <w:p w:rsidR="00265D44" w:rsidRPr="00265D44" w:rsidRDefault="00265D44" w:rsidP="00265D44">
            <w:pPr>
              <w:ind w:left="720"/>
              <w:jc w:val="both"/>
              <w:rPr>
                <w:szCs w:val="20"/>
                <w:lang w:val="es-PE"/>
              </w:rPr>
            </w:pP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Relevancia</w:t>
            </w:r>
          </w:p>
          <w:p w:rsidR="00265D44" w:rsidRPr="00265D44" w:rsidRDefault="00265D44" w:rsidP="00265D44">
            <w:pPr>
              <w:autoSpaceDE w:val="0"/>
              <w:autoSpaceDN w:val="0"/>
              <w:adjustRightInd w:val="0"/>
              <w:rPr>
                <w:color w:val="000000" w:themeColor="text1"/>
              </w:rPr>
            </w:pPr>
          </w:p>
        </w:tc>
        <w:tc>
          <w:tcPr>
            <w:tcW w:w="4820" w:type="dxa"/>
            <w:gridSpan w:val="3"/>
          </w:tcPr>
          <w:p w:rsidR="00265D44" w:rsidRPr="00265D44" w:rsidRDefault="00265D44" w:rsidP="00265D44">
            <w:pPr>
              <w:jc w:val="both"/>
              <w:rPr>
                <w:szCs w:val="20"/>
                <w:lang w:val="es-PE"/>
              </w:rPr>
            </w:pPr>
            <w:r w:rsidRPr="00265D44">
              <w:rPr>
                <w:szCs w:val="20"/>
                <w:lang w:val="es-PE"/>
              </w:rPr>
              <w:t>El compromiso asumido por el Ministerio de Cultura ha contribuido a fortalecer conocimientos y desarrollar habilidades en funcionarios públicos, as</w:t>
            </w:r>
            <w:r w:rsidRPr="00265D44">
              <w:t>í como de alcanzar un acuerdo o c</w:t>
            </w:r>
            <w:r w:rsidR="00767F8F">
              <w:t xml:space="preserve">onsenso </w:t>
            </w:r>
            <w:r w:rsidRPr="00265D44">
              <w:t>entre el Estado y los pueblos indígenas para la implementación de la Ley de Consulta Previa y su reglamento, resaltando su importancia como un espacio de diálogo entre el Estado y los pueblos indígenas u originarios, siendo estos, partícipes en la toma de decisiones para garantizar los derechos lingüísticos de todos los hablantes de lenguas indígenas u originarias.</w:t>
            </w:r>
          </w:p>
          <w:p w:rsidR="00265D44" w:rsidRPr="00265D44" w:rsidRDefault="00265D44" w:rsidP="00265D44">
            <w:pPr>
              <w:jc w:val="both"/>
              <w:rPr>
                <w:color w:val="FF0000"/>
                <w:szCs w:val="20"/>
                <w:lang w:val="es-PE"/>
              </w:rPr>
            </w:pPr>
          </w:p>
        </w:tc>
      </w:tr>
      <w:tr w:rsidR="00265D44" w:rsidRPr="00265D44" w:rsidTr="00416DF6">
        <w:tc>
          <w:tcPr>
            <w:tcW w:w="4219" w:type="dxa"/>
            <w:gridSpan w:val="3"/>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Ambición</w:t>
            </w:r>
          </w:p>
          <w:p w:rsidR="00265D44" w:rsidRPr="00265D44" w:rsidRDefault="00265D44" w:rsidP="00265D44">
            <w:pPr>
              <w:autoSpaceDE w:val="0"/>
              <w:autoSpaceDN w:val="0"/>
              <w:adjustRightInd w:val="0"/>
              <w:rPr>
                <w:rFonts w:cs="Gotham-BookItalic"/>
                <w:color w:val="000000" w:themeColor="text1"/>
              </w:rPr>
            </w:pPr>
          </w:p>
        </w:tc>
        <w:tc>
          <w:tcPr>
            <w:tcW w:w="4820" w:type="dxa"/>
            <w:gridSpan w:val="3"/>
          </w:tcPr>
          <w:p w:rsidR="00265D44" w:rsidRPr="00265D44" w:rsidRDefault="00265D44" w:rsidP="00265D44">
            <w:pPr>
              <w:jc w:val="both"/>
              <w:rPr>
                <w:szCs w:val="20"/>
                <w:lang w:val="es-PE"/>
              </w:rPr>
            </w:pPr>
            <w:r w:rsidRPr="00265D44">
              <w:rPr>
                <w:szCs w:val="20"/>
                <w:lang w:val="es-PE"/>
              </w:rPr>
              <w:t xml:space="preserve">Se espera </w:t>
            </w:r>
            <w:r w:rsidR="007E51B6" w:rsidRPr="00265D44">
              <w:rPr>
                <w:szCs w:val="20"/>
                <w:lang w:val="es-PE"/>
              </w:rPr>
              <w:t>fortale</w:t>
            </w:r>
            <w:r w:rsidR="007E51B6">
              <w:rPr>
                <w:szCs w:val="20"/>
                <w:lang w:val="es-PE"/>
              </w:rPr>
              <w:t>cer</w:t>
            </w:r>
            <w:r w:rsidRPr="00265D44">
              <w:rPr>
                <w:szCs w:val="20"/>
                <w:lang w:val="es-PE"/>
              </w:rPr>
              <w:t xml:space="preserve"> conocimientos y habilidades en funcionarios y servidores </w:t>
            </w:r>
            <w:r w:rsidR="007E51B6">
              <w:rPr>
                <w:szCs w:val="20"/>
                <w:lang w:val="es-PE"/>
              </w:rPr>
              <w:t xml:space="preserve">para un </w:t>
            </w:r>
            <w:r w:rsidRPr="00265D44">
              <w:rPr>
                <w:szCs w:val="20"/>
                <w:lang w:val="es-PE"/>
              </w:rPr>
              <w:t>efectiv</w:t>
            </w:r>
            <w:r w:rsidR="007E51B6">
              <w:rPr>
                <w:szCs w:val="20"/>
                <w:lang w:val="es-PE"/>
              </w:rPr>
              <w:t>o</w:t>
            </w:r>
            <w:r w:rsidRPr="00265D44">
              <w:rPr>
                <w:szCs w:val="20"/>
                <w:lang w:val="es-PE"/>
              </w:rPr>
              <w:t xml:space="preserve"> uso de las </w:t>
            </w:r>
            <w:r w:rsidR="007E51B6" w:rsidRPr="00265D44">
              <w:rPr>
                <w:szCs w:val="20"/>
                <w:lang w:val="es-PE"/>
              </w:rPr>
              <w:t>lenguas indígenas</w:t>
            </w:r>
            <w:r w:rsidRPr="00265D44">
              <w:rPr>
                <w:szCs w:val="20"/>
                <w:lang w:val="es-PE"/>
              </w:rPr>
              <w:t xml:space="preserve"> u originarias en los espacios públicos y privados.</w:t>
            </w:r>
          </w:p>
          <w:p w:rsidR="00265D44" w:rsidRPr="00265D44" w:rsidRDefault="00265D44">
            <w:pPr>
              <w:jc w:val="both"/>
              <w:rPr>
                <w:color w:val="FF0000"/>
                <w:szCs w:val="20"/>
                <w:lang w:val="es-PE"/>
              </w:rPr>
            </w:pPr>
            <w:r w:rsidRPr="00265D44">
              <w:rPr>
                <w:szCs w:val="20"/>
                <w:lang w:val="es-PE"/>
              </w:rPr>
              <w:t>Además</w:t>
            </w:r>
            <w:r w:rsidR="00767F8F">
              <w:rPr>
                <w:szCs w:val="20"/>
                <w:lang w:val="es-PE"/>
              </w:rPr>
              <w:t>,</w:t>
            </w:r>
            <w:r w:rsidRPr="00265D44">
              <w:rPr>
                <w:szCs w:val="20"/>
                <w:lang w:val="es-PE"/>
              </w:rPr>
              <w:t xml:space="preserve"> se </w:t>
            </w:r>
            <w:r w:rsidR="007E51B6">
              <w:rPr>
                <w:szCs w:val="20"/>
                <w:lang w:val="es-PE"/>
              </w:rPr>
              <w:t xml:space="preserve">espera </w:t>
            </w:r>
            <w:r w:rsidRPr="00265D44">
              <w:rPr>
                <w:szCs w:val="20"/>
                <w:lang w:val="es-PE"/>
              </w:rPr>
              <w:t xml:space="preserve">garantizar a través de un diálogo </w:t>
            </w:r>
            <w:r w:rsidR="007E51B6" w:rsidRPr="00265D44">
              <w:rPr>
                <w:szCs w:val="20"/>
                <w:lang w:val="es-PE"/>
              </w:rPr>
              <w:t>intercultural su</w:t>
            </w:r>
            <w:r w:rsidRPr="00265D44">
              <w:rPr>
                <w:szCs w:val="20"/>
                <w:lang w:val="es-PE"/>
              </w:rPr>
              <w:t xml:space="preserve"> </w:t>
            </w:r>
            <w:r w:rsidR="007E51B6" w:rsidRPr="00265D44">
              <w:rPr>
                <w:szCs w:val="20"/>
                <w:lang w:val="es-PE"/>
              </w:rPr>
              <w:t>inclusión en</w:t>
            </w:r>
            <w:r w:rsidRPr="00265D44">
              <w:rPr>
                <w:szCs w:val="20"/>
                <w:lang w:val="es-PE"/>
              </w:rPr>
              <w:t xml:space="preserve"> los procesos de toma de decisión del Estado y la adopción de medidas respetuosas a sus derechos colectivos.</w:t>
            </w:r>
          </w:p>
        </w:tc>
      </w:tr>
      <w:tr w:rsidR="00265D44" w:rsidRPr="00265D44" w:rsidTr="00416DF6">
        <w:tc>
          <w:tcPr>
            <w:tcW w:w="2518" w:type="dxa"/>
            <w:gridSpan w:val="2"/>
            <w:vMerge w:val="restart"/>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Cumplimiento</w:t>
            </w:r>
          </w:p>
        </w:tc>
        <w:tc>
          <w:tcPr>
            <w:tcW w:w="1701" w:type="dxa"/>
            <w:shd w:val="clear" w:color="auto" w:fill="C6D9F1" w:themeFill="text2" w:themeFillTint="33"/>
          </w:tcPr>
          <w:p w:rsidR="00265D44" w:rsidRPr="00265D44" w:rsidRDefault="00265D44" w:rsidP="00265D44">
            <w:pPr>
              <w:jc w:val="center"/>
              <w:rPr>
                <w:color w:val="000000" w:themeColor="text1"/>
              </w:rPr>
            </w:pPr>
            <w:r w:rsidRPr="00265D44">
              <w:rPr>
                <w:rFonts w:cs="Gotham-Book"/>
                <w:color w:val="000000" w:themeColor="text1"/>
              </w:rPr>
              <w:t>No iniciado</w:t>
            </w:r>
          </w:p>
        </w:tc>
        <w:tc>
          <w:tcPr>
            <w:tcW w:w="1729" w:type="dxa"/>
            <w:shd w:val="clear" w:color="auto" w:fill="C6D9F1" w:themeFill="text2" w:themeFillTint="33"/>
          </w:tcPr>
          <w:p w:rsidR="00265D44" w:rsidRPr="00265D44" w:rsidRDefault="00265D44" w:rsidP="00265D44">
            <w:pPr>
              <w:jc w:val="center"/>
              <w:rPr>
                <w:color w:val="000000" w:themeColor="text1"/>
              </w:rPr>
            </w:pPr>
            <w:r w:rsidRPr="00265D44">
              <w:rPr>
                <w:rFonts w:cs="Gotham-Book"/>
                <w:color w:val="000000" w:themeColor="text1"/>
              </w:rPr>
              <w:t>Limitado</w:t>
            </w:r>
          </w:p>
        </w:tc>
        <w:tc>
          <w:tcPr>
            <w:tcW w:w="1644" w:type="dxa"/>
            <w:shd w:val="clear" w:color="auto" w:fill="C6D9F1" w:themeFill="text2" w:themeFillTint="33"/>
          </w:tcPr>
          <w:p w:rsidR="00265D44" w:rsidRPr="00265D44" w:rsidRDefault="00265D44" w:rsidP="00265D44">
            <w:pPr>
              <w:jc w:val="center"/>
              <w:rPr>
                <w:color w:val="000000" w:themeColor="text1"/>
              </w:rPr>
            </w:pPr>
            <w:r w:rsidRPr="00265D44">
              <w:rPr>
                <w:rFonts w:cs="Gotham-Book"/>
                <w:color w:val="000000" w:themeColor="text1"/>
              </w:rPr>
              <w:t>Sustancial</w:t>
            </w:r>
          </w:p>
        </w:tc>
        <w:tc>
          <w:tcPr>
            <w:tcW w:w="1447" w:type="dxa"/>
            <w:shd w:val="clear" w:color="auto" w:fill="C6D9F1" w:themeFill="text2" w:themeFillTint="33"/>
          </w:tcPr>
          <w:p w:rsidR="00265D44" w:rsidRPr="00265D44" w:rsidRDefault="00265D44" w:rsidP="00265D44">
            <w:pPr>
              <w:jc w:val="center"/>
              <w:rPr>
                <w:color w:val="000000" w:themeColor="text1"/>
              </w:rPr>
            </w:pPr>
            <w:r w:rsidRPr="00265D44">
              <w:rPr>
                <w:rFonts w:cs="Gotham-Book"/>
                <w:color w:val="000000" w:themeColor="text1"/>
              </w:rPr>
              <w:t>Completo</w:t>
            </w:r>
          </w:p>
        </w:tc>
      </w:tr>
      <w:tr w:rsidR="00265D44" w:rsidRPr="00265D44" w:rsidTr="00416DF6">
        <w:tc>
          <w:tcPr>
            <w:tcW w:w="2518" w:type="dxa"/>
            <w:gridSpan w:val="2"/>
            <w:vMerge/>
            <w:shd w:val="clear" w:color="auto" w:fill="C6D9F1" w:themeFill="text2" w:themeFillTint="33"/>
            <w:vAlign w:val="center"/>
          </w:tcPr>
          <w:p w:rsidR="00265D44" w:rsidRPr="00265D44" w:rsidRDefault="00265D44" w:rsidP="00265D44">
            <w:pPr>
              <w:rPr>
                <w:color w:val="000000" w:themeColor="text1"/>
              </w:rPr>
            </w:pPr>
          </w:p>
        </w:tc>
        <w:tc>
          <w:tcPr>
            <w:tcW w:w="1701" w:type="dxa"/>
          </w:tcPr>
          <w:p w:rsidR="00265D44" w:rsidRPr="00265D44" w:rsidRDefault="00265D44" w:rsidP="00265D44">
            <w:pPr>
              <w:jc w:val="center"/>
              <w:rPr>
                <w:color w:val="000000" w:themeColor="text1"/>
              </w:rPr>
            </w:pPr>
          </w:p>
        </w:tc>
        <w:tc>
          <w:tcPr>
            <w:tcW w:w="1729" w:type="dxa"/>
          </w:tcPr>
          <w:p w:rsidR="00265D44" w:rsidRPr="00265D44" w:rsidRDefault="00265D44" w:rsidP="00265D44">
            <w:pPr>
              <w:jc w:val="center"/>
              <w:rPr>
                <w:color w:val="000000" w:themeColor="text1"/>
              </w:rPr>
            </w:pPr>
          </w:p>
        </w:tc>
        <w:tc>
          <w:tcPr>
            <w:tcW w:w="1644" w:type="dxa"/>
          </w:tcPr>
          <w:p w:rsidR="00265D44" w:rsidRPr="00265D44" w:rsidRDefault="00265D44" w:rsidP="00265D44">
            <w:pPr>
              <w:jc w:val="center"/>
              <w:rPr>
                <w:color w:val="000000" w:themeColor="text1"/>
              </w:rPr>
            </w:pPr>
          </w:p>
        </w:tc>
        <w:tc>
          <w:tcPr>
            <w:tcW w:w="1447" w:type="dxa"/>
            <w:shd w:val="clear" w:color="auto" w:fill="FFFFFF" w:themeFill="background1"/>
          </w:tcPr>
          <w:p w:rsidR="00265D44" w:rsidRPr="001C55F9" w:rsidRDefault="001C55F9" w:rsidP="00265D44">
            <w:pPr>
              <w:jc w:val="center"/>
              <w:rPr>
                <w:b/>
                <w:color w:val="000000" w:themeColor="text1"/>
              </w:rPr>
            </w:pPr>
            <w:r>
              <w:rPr>
                <w:b/>
                <w:color w:val="000000" w:themeColor="text1"/>
              </w:rPr>
              <w:t>X</w:t>
            </w:r>
          </w:p>
        </w:tc>
      </w:tr>
      <w:tr w:rsidR="00265D44" w:rsidRPr="00265D44" w:rsidTr="00416DF6">
        <w:tc>
          <w:tcPr>
            <w:tcW w:w="2518" w:type="dxa"/>
            <w:gridSpan w:val="2"/>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Descripción de los resultados</w:t>
            </w:r>
          </w:p>
          <w:p w:rsidR="00265D44" w:rsidRPr="00265D44" w:rsidRDefault="00265D44" w:rsidP="00265D44">
            <w:pPr>
              <w:autoSpaceDE w:val="0"/>
              <w:autoSpaceDN w:val="0"/>
              <w:adjustRightInd w:val="0"/>
              <w:rPr>
                <w:rFonts w:cs="Gotham-BookItalic"/>
                <w:color w:val="000000" w:themeColor="text1"/>
              </w:rPr>
            </w:pPr>
          </w:p>
        </w:tc>
        <w:tc>
          <w:tcPr>
            <w:tcW w:w="6521" w:type="dxa"/>
            <w:gridSpan w:val="4"/>
          </w:tcPr>
          <w:p w:rsidR="00265D44" w:rsidRPr="00265D44" w:rsidRDefault="00265D44" w:rsidP="00265D44">
            <w:pPr>
              <w:jc w:val="both"/>
              <w:rPr>
                <w:szCs w:val="20"/>
                <w:lang w:val="es-PE"/>
              </w:rPr>
            </w:pPr>
            <w:r w:rsidRPr="00265D44">
              <w:rPr>
                <w:szCs w:val="20"/>
                <w:lang w:val="es-PE"/>
              </w:rPr>
              <w:t>Durante el 2015</w:t>
            </w:r>
            <w:r w:rsidR="00767F8F">
              <w:rPr>
                <w:szCs w:val="20"/>
                <w:lang w:val="es-PE"/>
              </w:rPr>
              <w:t>,</w:t>
            </w:r>
            <w:r w:rsidRPr="00265D44">
              <w:rPr>
                <w:szCs w:val="20"/>
                <w:lang w:val="es-PE"/>
              </w:rPr>
              <w:t xml:space="preserve"> s</w:t>
            </w:r>
            <w:r w:rsidR="00767F8F">
              <w:rPr>
                <w:szCs w:val="20"/>
                <w:lang w:val="es-PE"/>
              </w:rPr>
              <w:t>e capacit</w:t>
            </w:r>
            <w:r w:rsidR="000C263E">
              <w:rPr>
                <w:szCs w:val="20"/>
                <w:lang w:val="es-PE"/>
              </w:rPr>
              <w:t xml:space="preserve">ó a 3,754 líderes indígenas y 353 funcionarios y durante el 2016 a 918 líderes y 878 funcionarios. </w:t>
            </w:r>
          </w:p>
          <w:p w:rsidR="00265D44" w:rsidRPr="00265D44" w:rsidRDefault="00265D44" w:rsidP="00265D44">
            <w:pPr>
              <w:jc w:val="both"/>
              <w:rPr>
                <w:color w:val="000000" w:themeColor="text1"/>
              </w:rPr>
            </w:pPr>
            <w:r w:rsidRPr="00265D44">
              <w:rPr>
                <w:color w:val="000000" w:themeColor="text1"/>
              </w:rPr>
              <w:t>E</w:t>
            </w:r>
            <w:r w:rsidR="00DC2EFE">
              <w:rPr>
                <w:color w:val="000000" w:themeColor="text1"/>
              </w:rPr>
              <w:t xml:space="preserve">l </w:t>
            </w:r>
            <w:r w:rsidRPr="00265D44">
              <w:rPr>
                <w:color w:val="000000" w:themeColor="text1"/>
              </w:rPr>
              <w:t xml:space="preserve">programa de </w:t>
            </w:r>
            <w:r w:rsidR="00DC2EFE">
              <w:rPr>
                <w:color w:val="000000" w:themeColor="text1"/>
              </w:rPr>
              <w:t>c</w:t>
            </w:r>
            <w:r w:rsidRPr="00265D44">
              <w:rPr>
                <w:color w:val="000000" w:themeColor="text1"/>
              </w:rPr>
              <w:t>apacitación de la Dirección de Consulta Previa</w:t>
            </w:r>
            <w:r w:rsidR="00DC2EFE">
              <w:rPr>
                <w:color w:val="000000" w:themeColor="text1"/>
              </w:rPr>
              <w:t xml:space="preserve"> c</w:t>
            </w:r>
            <w:r w:rsidRPr="00265D44">
              <w:rPr>
                <w:color w:val="000000" w:themeColor="text1"/>
              </w:rPr>
              <w:t>onsidera cinco tipos de actividades de capacitación</w:t>
            </w:r>
            <w:r w:rsidR="00416DF6">
              <w:rPr>
                <w:color w:val="000000" w:themeColor="text1"/>
              </w:rPr>
              <w:t>:</w:t>
            </w:r>
          </w:p>
          <w:p w:rsidR="00265D44" w:rsidRPr="00265D44" w:rsidRDefault="00265D44" w:rsidP="00265D44">
            <w:pPr>
              <w:numPr>
                <w:ilvl w:val="0"/>
                <w:numId w:val="28"/>
              </w:numPr>
              <w:jc w:val="both"/>
              <w:rPr>
                <w:color w:val="000000" w:themeColor="text1"/>
              </w:rPr>
            </w:pPr>
            <w:r w:rsidRPr="00265D44">
              <w:rPr>
                <w:color w:val="000000" w:themeColor="text1"/>
              </w:rPr>
              <w:t>Talleres con líderes y lideresas.</w:t>
            </w:r>
          </w:p>
          <w:p w:rsidR="00265D44" w:rsidRPr="00265D44" w:rsidRDefault="00265D44" w:rsidP="00265D44">
            <w:pPr>
              <w:numPr>
                <w:ilvl w:val="0"/>
                <w:numId w:val="28"/>
              </w:numPr>
              <w:jc w:val="both"/>
              <w:rPr>
                <w:color w:val="000000" w:themeColor="text1"/>
              </w:rPr>
            </w:pPr>
            <w:r w:rsidRPr="00265D44">
              <w:rPr>
                <w:color w:val="000000" w:themeColor="text1"/>
              </w:rPr>
              <w:t>Talleres con líderes y lideresas en el marco de procesos de consulta.</w:t>
            </w:r>
          </w:p>
          <w:p w:rsidR="00265D44" w:rsidRPr="00265D44" w:rsidRDefault="00265D44" w:rsidP="00265D44">
            <w:pPr>
              <w:numPr>
                <w:ilvl w:val="0"/>
                <w:numId w:val="28"/>
              </w:numPr>
              <w:jc w:val="both"/>
              <w:rPr>
                <w:color w:val="000000" w:themeColor="text1"/>
              </w:rPr>
            </w:pPr>
            <w:r w:rsidRPr="00265D44">
              <w:rPr>
                <w:color w:val="000000" w:themeColor="text1"/>
              </w:rPr>
              <w:t>Talleres con funcionarios y funcionarias</w:t>
            </w:r>
            <w:r w:rsidR="00416DF6">
              <w:rPr>
                <w:color w:val="000000" w:themeColor="text1"/>
              </w:rPr>
              <w:t>.</w:t>
            </w:r>
          </w:p>
          <w:p w:rsidR="00265D44" w:rsidRPr="00265D44" w:rsidRDefault="00265D44" w:rsidP="00265D44">
            <w:pPr>
              <w:numPr>
                <w:ilvl w:val="0"/>
                <w:numId w:val="28"/>
              </w:numPr>
              <w:jc w:val="both"/>
              <w:rPr>
                <w:color w:val="000000" w:themeColor="text1"/>
              </w:rPr>
            </w:pPr>
            <w:r w:rsidRPr="00265D44">
              <w:rPr>
                <w:color w:val="000000" w:themeColor="text1"/>
              </w:rPr>
              <w:t>Talleres con funcionarios y funcionarias en el marco de procesos de consulta.</w:t>
            </w:r>
          </w:p>
          <w:p w:rsidR="00265D44" w:rsidRDefault="00265D44" w:rsidP="00265D44">
            <w:pPr>
              <w:numPr>
                <w:ilvl w:val="0"/>
                <w:numId w:val="28"/>
              </w:numPr>
              <w:jc w:val="both"/>
              <w:rPr>
                <w:color w:val="000000" w:themeColor="text1"/>
              </w:rPr>
            </w:pPr>
            <w:r w:rsidRPr="00265D44">
              <w:rPr>
                <w:color w:val="000000" w:themeColor="text1"/>
              </w:rPr>
              <w:t>Curso de especialización sobre el derecho a consulta previa.</w:t>
            </w:r>
          </w:p>
          <w:p w:rsidR="00036344" w:rsidRDefault="00036344" w:rsidP="00036344">
            <w:pPr>
              <w:jc w:val="both"/>
              <w:rPr>
                <w:color w:val="000000" w:themeColor="text1"/>
              </w:rPr>
            </w:pPr>
          </w:p>
          <w:p w:rsidR="00265D44" w:rsidRPr="00265D44" w:rsidRDefault="00265D44" w:rsidP="00265D44">
            <w:pPr>
              <w:jc w:val="both"/>
              <w:rPr>
                <w:color w:val="000000" w:themeColor="text1"/>
              </w:rPr>
            </w:pPr>
            <w:r w:rsidRPr="00265D44">
              <w:rPr>
                <w:color w:val="000000" w:themeColor="text1"/>
              </w:rPr>
              <w:t>A la fecha</w:t>
            </w:r>
            <w:r w:rsidR="00416DF6">
              <w:rPr>
                <w:color w:val="000000" w:themeColor="text1"/>
              </w:rPr>
              <w:t>,</w:t>
            </w:r>
            <w:r w:rsidRPr="00265D44">
              <w:rPr>
                <w:color w:val="000000" w:themeColor="text1"/>
              </w:rPr>
              <w:t xml:space="preserve"> se han realizado:</w:t>
            </w:r>
            <w:r w:rsidRPr="00265D44">
              <w:rPr>
                <w:color w:val="000000" w:themeColor="text1"/>
                <w:vertAlign w:val="superscript"/>
              </w:rPr>
              <w:footnoteReference w:id="2"/>
            </w:r>
          </w:p>
          <w:p w:rsidR="00DC2EFE" w:rsidRDefault="00265D44" w:rsidP="00265D44">
            <w:pPr>
              <w:numPr>
                <w:ilvl w:val="0"/>
                <w:numId w:val="29"/>
              </w:numPr>
              <w:ind w:left="459"/>
              <w:jc w:val="both"/>
              <w:rPr>
                <w:color w:val="000000" w:themeColor="text1"/>
              </w:rPr>
            </w:pPr>
            <w:r w:rsidRPr="00DC2EFE">
              <w:rPr>
                <w:color w:val="000000" w:themeColor="text1"/>
              </w:rPr>
              <w:t xml:space="preserve">7 talleres con líderes y lideresas </w:t>
            </w:r>
          </w:p>
          <w:p w:rsidR="00265D44" w:rsidRPr="00DC2EFE" w:rsidRDefault="00265D44" w:rsidP="00265D44">
            <w:pPr>
              <w:numPr>
                <w:ilvl w:val="0"/>
                <w:numId w:val="29"/>
              </w:numPr>
              <w:ind w:left="459"/>
              <w:jc w:val="both"/>
              <w:rPr>
                <w:color w:val="000000" w:themeColor="text1"/>
              </w:rPr>
            </w:pPr>
            <w:r w:rsidRPr="00DC2EFE">
              <w:rPr>
                <w:color w:val="000000" w:themeColor="text1"/>
              </w:rPr>
              <w:t xml:space="preserve">3 talleres con líderes y lideresas en el marco de procesos de consulta </w:t>
            </w:r>
          </w:p>
          <w:p w:rsidR="00DC2EFE" w:rsidRDefault="00265D44" w:rsidP="00265D44">
            <w:pPr>
              <w:numPr>
                <w:ilvl w:val="0"/>
                <w:numId w:val="29"/>
              </w:numPr>
              <w:ind w:left="459"/>
              <w:jc w:val="both"/>
              <w:rPr>
                <w:color w:val="000000" w:themeColor="text1"/>
              </w:rPr>
            </w:pPr>
            <w:r w:rsidRPr="00DC2EFE">
              <w:rPr>
                <w:color w:val="000000" w:themeColor="text1"/>
              </w:rPr>
              <w:t>11 talleres con funcionarios y funcionarias</w:t>
            </w:r>
          </w:p>
          <w:p w:rsidR="00265D44" w:rsidRPr="00DC2EFE" w:rsidRDefault="00265D44" w:rsidP="00265D44">
            <w:pPr>
              <w:numPr>
                <w:ilvl w:val="0"/>
                <w:numId w:val="29"/>
              </w:numPr>
              <w:ind w:left="459"/>
              <w:jc w:val="both"/>
              <w:rPr>
                <w:color w:val="000000" w:themeColor="text1"/>
              </w:rPr>
            </w:pPr>
            <w:r w:rsidRPr="00DC2EFE">
              <w:rPr>
                <w:color w:val="000000" w:themeColor="text1"/>
              </w:rPr>
              <w:t>2 talleres con funcionarios y funcionarias en el</w:t>
            </w:r>
            <w:r w:rsidR="00DC2EFE">
              <w:rPr>
                <w:color w:val="000000" w:themeColor="text1"/>
              </w:rPr>
              <w:t xml:space="preserve"> marco de procesos de consulta</w:t>
            </w:r>
          </w:p>
          <w:p w:rsidR="00DC2EFE" w:rsidRPr="00265D44" w:rsidRDefault="00265D44" w:rsidP="00DC2EFE">
            <w:pPr>
              <w:numPr>
                <w:ilvl w:val="0"/>
                <w:numId w:val="29"/>
              </w:numPr>
              <w:ind w:left="459"/>
              <w:jc w:val="both"/>
              <w:rPr>
                <w:szCs w:val="20"/>
                <w:lang w:val="es-PE"/>
              </w:rPr>
            </w:pPr>
            <w:r w:rsidRPr="00265D44">
              <w:rPr>
                <w:color w:val="000000" w:themeColor="text1"/>
              </w:rPr>
              <w:t>1 curso de especialización sobre el derecho a consulta previa</w:t>
            </w:r>
          </w:p>
          <w:p w:rsidR="00265D44" w:rsidRPr="00265D44" w:rsidRDefault="00265D44" w:rsidP="00265D44">
            <w:pPr>
              <w:jc w:val="both"/>
              <w:rPr>
                <w:szCs w:val="20"/>
                <w:lang w:val="es-PE"/>
              </w:rPr>
            </w:pPr>
          </w:p>
        </w:tc>
      </w:tr>
      <w:tr w:rsidR="00265D44" w:rsidRPr="00265D44" w:rsidTr="00416DF6">
        <w:trPr>
          <w:trHeight w:val="212"/>
        </w:trPr>
        <w:tc>
          <w:tcPr>
            <w:tcW w:w="9039" w:type="dxa"/>
            <w:gridSpan w:val="6"/>
          </w:tcPr>
          <w:p w:rsidR="00BA4B11" w:rsidRPr="004F7802" w:rsidRDefault="00416DF6" w:rsidP="00265D44">
            <w:pPr>
              <w:jc w:val="both"/>
              <w:rPr>
                <w:color w:val="000000" w:themeColor="text1"/>
              </w:rPr>
            </w:pPr>
            <w:r w:rsidRPr="004F7802">
              <w:rPr>
                <w:rFonts w:cs="Gotham-Book"/>
                <w:color w:val="000000" w:themeColor="text1"/>
              </w:rPr>
              <w:t>Información adicional</w:t>
            </w:r>
          </w:p>
        </w:tc>
      </w:tr>
      <w:tr w:rsidR="000349C8" w:rsidRPr="00265D44" w:rsidTr="00416DF6">
        <w:trPr>
          <w:trHeight w:val="212"/>
        </w:trPr>
        <w:tc>
          <w:tcPr>
            <w:tcW w:w="9039" w:type="dxa"/>
            <w:gridSpan w:val="6"/>
          </w:tcPr>
          <w:p w:rsidR="000349C8" w:rsidRPr="004F7802" w:rsidRDefault="004F7802" w:rsidP="000349C8">
            <w:pPr>
              <w:jc w:val="both"/>
              <w:rPr>
                <w:rFonts w:cs="Gotham-Book"/>
                <w:color w:val="000000" w:themeColor="text1"/>
              </w:rPr>
            </w:pPr>
            <w:r>
              <w:rPr>
                <w:rFonts w:cs="Gotham-Book"/>
                <w:color w:val="000000" w:themeColor="text1"/>
              </w:rPr>
              <w:t>Los talleres dirigidos a funcionarios forman parte de las actividades permanentes del Ministerio de Cultura.</w:t>
            </w:r>
          </w:p>
          <w:p w:rsidR="000349C8" w:rsidRPr="004F7802" w:rsidRDefault="000349C8" w:rsidP="00265D44">
            <w:pPr>
              <w:jc w:val="both"/>
              <w:rPr>
                <w:rFonts w:cs="Gotham-Book"/>
                <w:color w:val="000000" w:themeColor="text1"/>
                <w:highlight w:val="yellow"/>
              </w:rPr>
            </w:pPr>
          </w:p>
        </w:tc>
      </w:tr>
    </w:tbl>
    <w:p w:rsidR="00700BF4" w:rsidRDefault="00700BF4"/>
    <w:tbl>
      <w:tblPr>
        <w:tblStyle w:val="Tablaconcuadrcula"/>
        <w:tblW w:w="9039" w:type="dxa"/>
        <w:tblLayout w:type="fixed"/>
        <w:tblLook w:val="04A0" w:firstRow="1" w:lastRow="0" w:firstColumn="1" w:lastColumn="0" w:noHBand="0" w:noVBand="1"/>
      </w:tblPr>
      <w:tblGrid>
        <w:gridCol w:w="1526"/>
        <w:gridCol w:w="583"/>
        <w:gridCol w:w="2110"/>
        <w:gridCol w:w="1729"/>
        <w:gridCol w:w="1644"/>
        <w:gridCol w:w="1447"/>
      </w:tblGrid>
      <w:tr w:rsidR="009A7AEB" w:rsidRPr="00295641" w:rsidTr="000410D3">
        <w:tc>
          <w:tcPr>
            <w:tcW w:w="9039" w:type="dxa"/>
            <w:gridSpan w:val="6"/>
            <w:shd w:val="clear" w:color="auto" w:fill="548DD4" w:themeFill="text2" w:themeFillTint="99"/>
          </w:tcPr>
          <w:p w:rsidR="009A7AEB" w:rsidRPr="00295641" w:rsidRDefault="009A7AEB" w:rsidP="000410D3">
            <w:pPr>
              <w:ind w:left="720"/>
              <w:jc w:val="center"/>
              <w:rPr>
                <w:b/>
              </w:rPr>
            </w:pPr>
            <w:r>
              <w:rPr>
                <w:b/>
              </w:rPr>
              <w:t>Componente: Participación Ciudadana</w:t>
            </w:r>
          </w:p>
        </w:tc>
      </w:tr>
      <w:tr w:rsidR="009A7AEB" w:rsidTr="000410D3">
        <w:tc>
          <w:tcPr>
            <w:tcW w:w="9039" w:type="dxa"/>
            <w:gridSpan w:val="6"/>
            <w:shd w:val="clear" w:color="auto" w:fill="548DD4" w:themeFill="text2" w:themeFillTint="99"/>
          </w:tcPr>
          <w:p w:rsidR="009A7AEB" w:rsidRDefault="009A7AEB" w:rsidP="000410D3">
            <w:pPr>
              <w:ind w:left="720"/>
              <w:jc w:val="center"/>
              <w:rPr>
                <w:b/>
              </w:rPr>
            </w:pPr>
            <w:r w:rsidRPr="000921DE">
              <w:rPr>
                <w:b/>
                <w:u w:val="single"/>
              </w:rPr>
              <w:t>Compromiso 9</w:t>
            </w:r>
            <w:r>
              <w:rPr>
                <w:b/>
              </w:rPr>
              <w:t xml:space="preserve">. Institucionalizar la participación ciudadana mediante mecanismos de vigilancia social a los procesos </w:t>
            </w:r>
            <w:r w:rsidRPr="00137011">
              <w:rPr>
                <w:b/>
                <w:szCs w:val="20"/>
                <w:lang w:val="es-PE"/>
              </w:rPr>
              <w:t>del Programa Nacional de Alimentación Escolar PNAE- “Qali Warma”</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Secretaría/Ministerio</w:t>
            </w:r>
          </w:p>
          <w:p w:rsidR="009A7AEB" w:rsidRPr="00295641" w:rsidRDefault="009A7AEB" w:rsidP="000410D3">
            <w:pPr>
              <w:rPr>
                <w:b/>
                <w:color w:val="000000" w:themeColor="text1"/>
              </w:rPr>
            </w:pPr>
            <w:r w:rsidRPr="00295641">
              <w:rPr>
                <w:rFonts w:cs="Gotham-Book"/>
                <w:b/>
                <w:color w:val="000000" w:themeColor="text1"/>
              </w:rPr>
              <w:t>Responsable</w:t>
            </w:r>
          </w:p>
        </w:tc>
        <w:tc>
          <w:tcPr>
            <w:tcW w:w="4820" w:type="dxa"/>
            <w:gridSpan w:val="3"/>
          </w:tcPr>
          <w:p w:rsidR="009A7AEB" w:rsidRPr="00295641" w:rsidRDefault="009A7AEB" w:rsidP="000410D3">
            <w:pPr>
              <w:jc w:val="both"/>
              <w:rPr>
                <w:color w:val="000000" w:themeColor="text1"/>
              </w:rPr>
            </w:pPr>
            <w:r w:rsidRPr="00036344">
              <w:t>Ministerio de Desarrollo e Inclusión Social</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9A7AEB" w:rsidRPr="00295641" w:rsidRDefault="009A7AEB" w:rsidP="000410D3">
            <w:pPr>
              <w:jc w:val="both"/>
              <w:rPr>
                <w:color w:val="000000" w:themeColor="text1"/>
              </w:rPr>
            </w:pPr>
            <w:r>
              <w:rPr>
                <w:color w:val="000000" w:themeColor="text1"/>
              </w:rPr>
              <w:t>Fiorella Molinelli</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Puesto</w:t>
            </w:r>
          </w:p>
        </w:tc>
        <w:tc>
          <w:tcPr>
            <w:tcW w:w="4820" w:type="dxa"/>
            <w:gridSpan w:val="3"/>
          </w:tcPr>
          <w:p w:rsidR="009A7AEB" w:rsidRPr="00295641" w:rsidRDefault="009A7AEB" w:rsidP="000410D3">
            <w:pPr>
              <w:jc w:val="both"/>
              <w:rPr>
                <w:color w:val="000000" w:themeColor="text1"/>
              </w:rPr>
            </w:pPr>
            <w:r>
              <w:rPr>
                <w:color w:val="000000" w:themeColor="text1"/>
              </w:rPr>
              <w:t>Ministra</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9A7AEB" w:rsidRPr="00295641" w:rsidRDefault="009A7AEB" w:rsidP="000410D3">
            <w:pPr>
              <w:jc w:val="both"/>
              <w:rPr>
                <w:rFonts w:cs="Arial"/>
                <w:color w:val="0000FF"/>
                <w:u w:val="single"/>
              </w:rPr>
            </w:pPr>
            <w:r>
              <w:rPr>
                <w:rFonts w:cs="Arial"/>
                <w:color w:val="0000FF"/>
                <w:u w:val="single"/>
              </w:rPr>
              <w:t>despachoministerial1@midis.gob.pe</w:t>
            </w: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Teléfono</w:t>
            </w:r>
          </w:p>
        </w:tc>
        <w:tc>
          <w:tcPr>
            <w:tcW w:w="4820" w:type="dxa"/>
            <w:gridSpan w:val="3"/>
          </w:tcPr>
          <w:p w:rsidR="009A7AEB" w:rsidRPr="00295641" w:rsidRDefault="009A7AEB" w:rsidP="000410D3">
            <w:pPr>
              <w:jc w:val="both"/>
              <w:rPr>
                <w:color w:val="000000" w:themeColor="text1"/>
              </w:rPr>
            </w:pPr>
            <w:r>
              <w:rPr>
                <w:color w:val="000000" w:themeColor="text1"/>
              </w:rPr>
              <w:t xml:space="preserve">51-1-6318000 </w:t>
            </w:r>
          </w:p>
        </w:tc>
      </w:tr>
      <w:tr w:rsidR="009A7AEB" w:rsidRPr="00295641" w:rsidTr="000410D3">
        <w:tc>
          <w:tcPr>
            <w:tcW w:w="2109" w:type="dxa"/>
            <w:gridSpan w:val="2"/>
            <w:vMerge w:val="restart"/>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Otros actores involucrados</w:t>
            </w:r>
          </w:p>
        </w:tc>
        <w:tc>
          <w:tcPr>
            <w:tcW w:w="2110" w:type="dxa"/>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Gobierno</w:t>
            </w:r>
          </w:p>
        </w:tc>
        <w:tc>
          <w:tcPr>
            <w:tcW w:w="4820" w:type="dxa"/>
            <w:gridSpan w:val="3"/>
          </w:tcPr>
          <w:p w:rsidR="009A7AEB" w:rsidRPr="00295641" w:rsidRDefault="009A7AEB" w:rsidP="000410D3">
            <w:pPr>
              <w:jc w:val="both"/>
              <w:rPr>
                <w:color w:val="000000" w:themeColor="text1"/>
              </w:rPr>
            </w:pPr>
            <w:r>
              <w:rPr>
                <w:color w:val="000000" w:themeColor="text1"/>
              </w:rPr>
              <w:t>NO APLICA</w:t>
            </w:r>
          </w:p>
        </w:tc>
      </w:tr>
      <w:tr w:rsidR="009A7AEB" w:rsidRPr="00295641" w:rsidTr="000410D3">
        <w:tc>
          <w:tcPr>
            <w:tcW w:w="2109" w:type="dxa"/>
            <w:gridSpan w:val="2"/>
            <w:vMerge/>
            <w:shd w:val="clear" w:color="auto" w:fill="C6D9F1" w:themeFill="text2" w:themeFillTint="33"/>
            <w:vAlign w:val="center"/>
          </w:tcPr>
          <w:p w:rsidR="009A7AEB" w:rsidRPr="00295641" w:rsidRDefault="009A7AEB" w:rsidP="000410D3">
            <w:pPr>
              <w:rPr>
                <w:rFonts w:cs="Gotham-Book"/>
                <w:b/>
                <w:color w:val="000000" w:themeColor="text1"/>
              </w:rPr>
            </w:pPr>
          </w:p>
        </w:tc>
        <w:tc>
          <w:tcPr>
            <w:tcW w:w="2110" w:type="dxa"/>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9A7AEB" w:rsidRPr="00295641" w:rsidRDefault="009A7AEB" w:rsidP="000410D3">
            <w:pPr>
              <w:jc w:val="both"/>
              <w:rPr>
                <w:color w:val="000000" w:themeColor="text1"/>
              </w:rPr>
            </w:pPr>
          </w:p>
        </w:tc>
      </w:tr>
      <w:tr w:rsidR="009A7AEB" w:rsidRPr="00295641" w:rsidTr="000410D3">
        <w:tc>
          <w:tcPr>
            <w:tcW w:w="4219" w:type="dxa"/>
            <w:gridSpan w:val="3"/>
            <w:shd w:val="clear" w:color="auto" w:fill="C6D9F1" w:themeFill="text2" w:themeFillTint="33"/>
            <w:vAlign w:val="center"/>
          </w:tcPr>
          <w:p w:rsidR="009A7AEB" w:rsidRPr="00295641" w:rsidRDefault="009A7AEB" w:rsidP="000410D3">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9A7AEB" w:rsidRPr="00295641" w:rsidRDefault="009A7AEB" w:rsidP="000410D3">
            <w:pPr>
              <w:jc w:val="both"/>
              <w:rPr>
                <w:color w:val="000000" w:themeColor="text1"/>
              </w:rPr>
            </w:pPr>
            <w:r>
              <w:rPr>
                <w:color w:val="000000" w:themeColor="text1"/>
              </w:rPr>
              <w:t>Se ha identificado la necesidad de fortalecer la gestión social y vigilancia de la gestión del servicio de alimentación del PNAE “Qali Warma”, a fin de monitorear y evaluar la calidad del Programa, a través de mecanismos de control y participación ciudadana.</w:t>
            </w:r>
          </w:p>
        </w:tc>
      </w:tr>
      <w:tr w:rsidR="009A7AEB" w:rsidRPr="00D21EEF" w:rsidTr="000410D3">
        <w:tc>
          <w:tcPr>
            <w:tcW w:w="4219" w:type="dxa"/>
            <w:gridSpan w:val="3"/>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Objetivo principal</w:t>
            </w:r>
          </w:p>
        </w:tc>
        <w:tc>
          <w:tcPr>
            <w:tcW w:w="4820" w:type="dxa"/>
            <w:gridSpan w:val="3"/>
          </w:tcPr>
          <w:p w:rsidR="009A7AEB" w:rsidRPr="00D21EEF" w:rsidRDefault="009A7AEB" w:rsidP="000410D3">
            <w:pPr>
              <w:jc w:val="both"/>
              <w:rPr>
                <w:bCs/>
              </w:rPr>
            </w:pPr>
            <w:r w:rsidRPr="00D21EEF">
              <w:rPr>
                <w:bCs/>
              </w:rPr>
              <w:t>Coad</w:t>
            </w:r>
            <w:r>
              <w:rPr>
                <w:bCs/>
              </w:rPr>
              <w:t>yuvar a la mejora de la gestión y la rendición de cuentas del PNAE  “Qali Warma”</w:t>
            </w:r>
          </w:p>
        </w:tc>
      </w:tr>
      <w:tr w:rsidR="009A7AEB" w:rsidRPr="004C1255"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9A7AEB" w:rsidRPr="004C1255" w:rsidRDefault="009A7AEB" w:rsidP="000410D3">
            <w:pPr>
              <w:jc w:val="both"/>
              <w:rPr>
                <w:szCs w:val="20"/>
                <w:lang w:val="es-PE"/>
              </w:rPr>
            </w:pPr>
            <w:r w:rsidRPr="004C1255">
              <w:rPr>
                <w:szCs w:val="20"/>
                <w:lang w:val="es-PE"/>
              </w:rPr>
              <w:t>Institucionalizar la participación ciudadana mediante los mecanismos de vigilancia social a los procesos del Programa Nacional de Alimentación Escolar PNAE- “Qali Warma” a cargo del Ministerio de Desarrollo e Inclusión Social –MIDIS.</w:t>
            </w:r>
          </w:p>
        </w:tc>
      </w:tr>
      <w:tr w:rsidR="009A7AEB" w:rsidRPr="00D55406"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Relevancia</w:t>
            </w:r>
          </w:p>
          <w:p w:rsidR="009A7AEB" w:rsidRPr="00295641" w:rsidRDefault="009A7AEB" w:rsidP="000410D3">
            <w:pPr>
              <w:autoSpaceDE w:val="0"/>
              <w:autoSpaceDN w:val="0"/>
              <w:adjustRightInd w:val="0"/>
              <w:rPr>
                <w:b/>
                <w:color w:val="000000" w:themeColor="text1"/>
              </w:rPr>
            </w:pPr>
          </w:p>
        </w:tc>
        <w:tc>
          <w:tcPr>
            <w:tcW w:w="4820" w:type="dxa"/>
            <w:gridSpan w:val="3"/>
          </w:tcPr>
          <w:p w:rsidR="009A7AEB" w:rsidRPr="00D55406" w:rsidRDefault="009A7AEB" w:rsidP="000410D3">
            <w:pPr>
              <w:jc w:val="both"/>
              <w:rPr>
                <w:color w:val="FF0000"/>
                <w:szCs w:val="20"/>
                <w:lang w:val="es-PE"/>
              </w:rPr>
            </w:pPr>
            <w:r w:rsidRPr="00342527">
              <w:rPr>
                <w:szCs w:val="20"/>
                <w:lang w:val="es-PE"/>
              </w:rPr>
              <w:t>El compromiso asumido por el MIDIS ha contribuido a fortalecer la capacidad de fiscalización y vigilancia de la ciudadanía sobre un programa social de servicio alimentario con complemento educativo, permitiendo emprender tareas de colaboración que coadyuven al logro de la mejor gestión de Qali Warma, realizar la vigilancia social en las entidades educativas, generando</w:t>
            </w:r>
            <w:r>
              <w:rPr>
                <w:szCs w:val="20"/>
                <w:lang w:val="es-PE"/>
              </w:rPr>
              <w:t>, además,</w:t>
            </w:r>
            <w:r w:rsidRPr="00342527">
              <w:rPr>
                <w:szCs w:val="20"/>
                <w:lang w:val="es-PE"/>
              </w:rPr>
              <w:t xml:space="preserve"> información sobre la gestión con un enfoque preventivo y propositivo, de generación de alertas y recomendaciones con acciones de veeduría y vigilancia, fortaleciendo el modelo de cogestión, </w:t>
            </w:r>
            <w:r>
              <w:rPr>
                <w:szCs w:val="20"/>
                <w:lang w:val="es-PE"/>
              </w:rPr>
              <w:t>a través</w:t>
            </w:r>
            <w:r w:rsidRPr="00342527">
              <w:rPr>
                <w:szCs w:val="20"/>
                <w:lang w:val="es-PE"/>
              </w:rPr>
              <w:t xml:space="preserve"> acciones de monitoreo social a la gesti</w:t>
            </w:r>
            <w:r>
              <w:rPr>
                <w:szCs w:val="20"/>
                <w:lang w:val="es-PE"/>
              </w:rPr>
              <w:t>ón del Programa.</w:t>
            </w:r>
          </w:p>
        </w:tc>
      </w:tr>
      <w:tr w:rsidR="009A7AEB" w:rsidRPr="00D55406" w:rsidTr="000410D3">
        <w:tc>
          <w:tcPr>
            <w:tcW w:w="4219" w:type="dxa"/>
            <w:gridSpan w:val="3"/>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Ambición</w:t>
            </w:r>
          </w:p>
          <w:p w:rsidR="009A7AEB" w:rsidRPr="00295641" w:rsidRDefault="009A7AEB" w:rsidP="000410D3">
            <w:pPr>
              <w:autoSpaceDE w:val="0"/>
              <w:autoSpaceDN w:val="0"/>
              <w:adjustRightInd w:val="0"/>
              <w:rPr>
                <w:rFonts w:cs="Gotham-BookItalic"/>
                <w:b/>
                <w:iCs/>
                <w:color w:val="000000" w:themeColor="text1"/>
              </w:rPr>
            </w:pPr>
          </w:p>
        </w:tc>
        <w:tc>
          <w:tcPr>
            <w:tcW w:w="4820" w:type="dxa"/>
            <w:gridSpan w:val="3"/>
          </w:tcPr>
          <w:p w:rsidR="009A7AEB" w:rsidRPr="00D55406" w:rsidRDefault="009A7AEB" w:rsidP="000410D3">
            <w:pPr>
              <w:jc w:val="both"/>
              <w:rPr>
                <w:color w:val="FF0000"/>
                <w:szCs w:val="20"/>
                <w:lang w:val="es-PE"/>
              </w:rPr>
            </w:pPr>
            <w:r>
              <w:rPr>
                <w:szCs w:val="20"/>
                <w:lang w:val="es-PE"/>
              </w:rPr>
              <w:t>Se espera que el Programa Qali Warma fortalezca su proceso de gestión social haciendo sostenible las acciones emprendidas como mantener actualizado el mapeo de actores, la supervisión, monitoreo y evaluación del Programa con los diferentes mecanismos de control como las veedurías y sistemas de alertas, fortaleciendo su modelo de cogestión.</w:t>
            </w:r>
          </w:p>
          <w:p w:rsidR="009A7AEB" w:rsidRPr="00D55406" w:rsidRDefault="009A7AEB" w:rsidP="000410D3">
            <w:pPr>
              <w:jc w:val="both"/>
              <w:rPr>
                <w:color w:val="FF0000"/>
                <w:szCs w:val="20"/>
                <w:lang w:val="es-PE"/>
              </w:rPr>
            </w:pPr>
          </w:p>
        </w:tc>
      </w:tr>
      <w:tr w:rsidR="009A7AEB" w:rsidRPr="00295641" w:rsidTr="000410D3">
        <w:tc>
          <w:tcPr>
            <w:tcW w:w="1526" w:type="dxa"/>
            <w:vMerge w:val="restart"/>
            <w:shd w:val="clear" w:color="auto" w:fill="C6D9F1" w:themeFill="text2" w:themeFillTint="33"/>
            <w:vAlign w:val="center"/>
          </w:tcPr>
          <w:p w:rsidR="009A7AEB" w:rsidRPr="00295641" w:rsidRDefault="009A7AEB" w:rsidP="000410D3">
            <w:pPr>
              <w:rPr>
                <w:b/>
                <w:color w:val="000000" w:themeColor="text1"/>
              </w:rPr>
            </w:pPr>
            <w:r w:rsidRPr="00295641">
              <w:rPr>
                <w:rFonts w:cs="Gotham-Book"/>
                <w:b/>
                <w:color w:val="000000" w:themeColor="text1"/>
              </w:rPr>
              <w:t>Cumplimiento</w:t>
            </w:r>
          </w:p>
        </w:tc>
        <w:tc>
          <w:tcPr>
            <w:tcW w:w="2693" w:type="dxa"/>
            <w:gridSpan w:val="2"/>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9A7AEB" w:rsidRPr="00295641" w:rsidRDefault="009A7AEB" w:rsidP="000410D3">
            <w:pPr>
              <w:jc w:val="center"/>
              <w:rPr>
                <w:b/>
                <w:color w:val="000000" w:themeColor="text1"/>
              </w:rPr>
            </w:pPr>
            <w:r w:rsidRPr="00295641">
              <w:rPr>
                <w:rFonts w:cs="Gotham-Book"/>
                <w:b/>
                <w:color w:val="000000" w:themeColor="text1"/>
              </w:rPr>
              <w:t>Completo</w:t>
            </w:r>
          </w:p>
        </w:tc>
      </w:tr>
      <w:tr w:rsidR="009A7AEB" w:rsidRPr="00295641" w:rsidTr="000410D3">
        <w:tc>
          <w:tcPr>
            <w:tcW w:w="1526" w:type="dxa"/>
            <w:vMerge/>
            <w:shd w:val="clear" w:color="auto" w:fill="C6D9F1" w:themeFill="text2" w:themeFillTint="33"/>
            <w:vAlign w:val="center"/>
          </w:tcPr>
          <w:p w:rsidR="009A7AEB" w:rsidRPr="00295641" w:rsidRDefault="009A7AEB" w:rsidP="000410D3">
            <w:pPr>
              <w:rPr>
                <w:b/>
                <w:color w:val="000000" w:themeColor="text1"/>
              </w:rPr>
            </w:pPr>
          </w:p>
        </w:tc>
        <w:tc>
          <w:tcPr>
            <w:tcW w:w="2693" w:type="dxa"/>
            <w:gridSpan w:val="2"/>
          </w:tcPr>
          <w:p w:rsidR="009A7AEB" w:rsidRPr="00F43A41" w:rsidRDefault="009A7AEB" w:rsidP="000410D3">
            <w:pPr>
              <w:jc w:val="center"/>
              <w:rPr>
                <w:b/>
                <w:color w:val="000000" w:themeColor="text1"/>
              </w:rPr>
            </w:pPr>
          </w:p>
        </w:tc>
        <w:tc>
          <w:tcPr>
            <w:tcW w:w="1729" w:type="dxa"/>
          </w:tcPr>
          <w:p w:rsidR="009A7AEB" w:rsidRPr="00F43A41" w:rsidRDefault="009A7AEB" w:rsidP="000410D3">
            <w:pPr>
              <w:jc w:val="center"/>
              <w:rPr>
                <w:b/>
                <w:color w:val="000000" w:themeColor="text1"/>
              </w:rPr>
            </w:pPr>
          </w:p>
        </w:tc>
        <w:tc>
          <w:tcPr>
            <w:tcW w:w="1644" w:type="dxa"/>
          </w:tcPr>
          <w:p w:rsidR="009A7AEB" w:rsidRPr="00F43A41" w:rsidRDefault="009A7AEB" w:rsidP="000410D3">
            <w:pPr>
              <w:jc w:val="center"/>
              <w:rPr>
                <w:b/>
                <w:color w:val="000000" w:themeColor="text1"/>
              </w:rPr>
            </w:pPr>
          </w:p>
        </w:tc>
        <w:tc>
          <w:tcPr>
            <w:tcW w:w="1447" w:type="dxa"/>
            <w:shd w:val="clear" w:color="auto" w:fill="FFFFFF" w:themeFill="background1"/>
          </w:tcPr>
          <w:p w:rsidR="009A7AEB" w:rsidRPr="00295641" w:rsidRDefault="009A7AEB" w:rsidP="000410D3">
            <w:pPr>
              <w:jc w:val="center"/>
              <w:rPr>
                <w:b/>
                <w:color w:val="000000" w:themeColor="text1"/>
              </w:rPr>
            </w:pPr>
            <w:r>
              <w:rPr>
                <w:b/>
                <w:color w:val="000000" w:themeColor="text1"/>
              </w:rPr>
              <w:t>X</w:t>
            </w:r>
          </w:p>
        </w:tc>
      </w:tr>
      <w:tr w:rsidR="009A7AEB" w:rsidRPr="00F43A41" w:rsidTr="000410D3">
        <w:trPr>
          <w:trHeight w:val="8075"/>
        </w:trPr>
        <w:tc>
          <w:tcPr>
            <w:tcW w:w="1526" w:type="dxa"/>
            <w:shd w:val="clear" w:color="auto" w:fill="C6D9F1" w:themeFill="text2" w:themeFillTint="33"/>
            <w:vAlign w:val="center"/>
          </w:tcPr>
          <w:p w:rsidR="009A7AEB" w:rsidRPr="00295641" w:rsidRDefault="009A7AEB" w:rsidP="000410D3">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9A7AEB" w:rsidRPr="00295641" w:rsidRDefault="009A7AEB" w:rsidP="000410D3">
            <w:pPr>
              <w:autoSpaceDE w:val="0"/>
              <w:autoSpaceDN w:val="0"/>
              <w:adjustRightInd w:val="0"/>
              <w:rPr>
                <w:rFonts w:cs="Gotham-BookItalic"/>
                <w:b/>
                <w:iCs/>
                <w:color w:val="000000" w:themeColor="text1"/>
              </w:rPr>
            </w:pPr>
          </w:p>
        </w:tc>
        <w:tc>
          <w:tcPr>
            <w:tcW w:w="7513" w:type="dxa"/>
            <w:gridSpan w:val="5"/>
          </w:tcPr>
          <w:p w:rsidR="005B5FE3" w:rsidRDefault="005B5FE3" w:rsidP="000410D3">
            <w:pPr>
              <w:jc w:val="both"/>
              <w:rPr>
                <w:color w:val="000000" w:themeColor="text1"/>
              </w:rPr>
            </w:pPr>
          </w:p>
          <w:p w:rsidR="005B5FE3" w:rsidRDefault="005B5FE3" w:rsidP="000410D3">
            <w:pPr>
              <w:jc w:val="both"/>
              <w:rPr>
                <w:color w:val="000000" w:themeColor="text1"/>
              </w:rPr>
            </w:pPr>
            <w:r w:rsidRPr="007B72FF">
              <w:rPr>
                <w:rFonts w:ascii="Calibri" w:eastAsia="Times New Roman" w:hAnsi="Calibri" w:cs="Times New Roman"/>
                <w:b/>
                <w:i/>
                <w:color w:val="000000"/>
                <w:lang w:eastAsia="es-PE"/>
              </w:rPr>
              <w:t>1. Revisar y validar el Directorio de actores sociales con interés en la vigilancia de la gestión del PNAE “Qali Warma”.</w:t>
            </w:r>
          </w:p>
          <w:p w:rsidR="005B5FE3" w:rsidRDefault="005B5FE3" w:rsidP="000410D3">
            <w:pPr>
              <w:jc w:val="both"/>
              <w:rPr>
                <w:color w:val="000000" w:themeColor="text1"/>
              </w:rPr>
            </w:pPr>
          </w:p>
          <w:p w:rsidR="005B5FE3" w:rsidRDefault="005B5FE3" w:rsidP="005B5FE3">
            <w:pPr>
              <w:ind w:right="184"/>
              <w:jc w:val="both"/>
              <w:rPr>
                <w:rFonts w:ascii="Calibri" w:eastAsia="Times New Roman" w:hAnsi="Calibri" w:cs="Times New Roman"/>
                <w:color w:val="000000"/>
                <w:lang w:eastAsia="es-PE"/>
              </w:rPr>
            </w:pPr>
            <w:r w:rsidRPr="00F43A41">
              <w:rPr>
                <w:rFonts w:ascii="Calibri" w:eastAsia="Times New Roman" w:hAnsi="Calibri" w:cs="Times New Roman"/>
                <w:color w:val="000000"/>
                <w:lang w:eastAsia="es-PE"/>
              </w:rPr>
              <w:t xml:space="preserve">El Mapeo de Actores se elaboró en el año 2015, </w:t>
            </w:r>
            <w:r>
              <w:rPr>
                <w:rFonts w:ascii="Calibri" w:eastAsia="Times New Roman" w:hAnsi="Calibri" w:cs="Times New Roman"/>
                <w:color w:val="000000"/>
                <w:lang w:eastAsia="es-PE"/>
              </w:rPr>
              <w:t xml:space="preserve">su </w:t>
            </w:r>
            <w:r w:rsidRPr="00F43A41">
              <w:rPr>
                <w:rFonts w:ascii="Calibri" w:eastAsia="Times New Roman" w:hAnsi="Calibri" w:cs="Times New Roman"/>
                <w:color w:val="000000"/>
                <w:lang w:eastAsia="es-PE"/>
              </w:rPr>
              <w:t>actualización es un proceso permanente.  A partir de</w:t>
            </w:r>
            <w:r>
              <w:rPr>
                <w:rFonts w:ascii="Calibri" w:eastAsia="Times New Roman" w:hAnsi="Calibri" w:cs="Times New Roman"/>
                <w:color w:val="000000"/>
                <w:lang w:eastAsia="es-PE"/>
              </w:rPr>
              <w:t xml:space="preserve"> a</w:t>
            </w:r>
            <w:r w:rsidRPr="00F43A41">
              <w:rPr>
                <w:rFonts w:ascii="Calibri" w:eastAsia="Times New Roman" w:hAnsi="Calibri" w:cs="Times New Roman"/>
                <w:color w:val="000000"/>
                <w:lang w:eastAsia="es-PE"/>
              </w:rPr>
              <w:t xml:space="preserve">gosto del 2016, la Unidad de Supervisión, Monitoreo y Evaluación del Programa, </w:t>
            </w:r>
            <w:r>
              <w:rPr>
                <w:rFonts w:ascii="Calibri" w:eastAsia="Times New Roman" w:hAnsi="Calibri" w:cs="Times New Roman"/>
                <w:color w:val="000000"/>
                <w:lang w:eastAsia="es-PE"/>
              </w:rPr>
              <w:t xml:space="preserve">recibe </w:t>
            </w:r>
            <w:r w:rsidRPr="00F43A41">
              <w:rPr>
                <w:rFonts w:ascii="Calibri" w:eastAsia="Times New Roman" w:hAnsi="Calibri" w:cs="Times New Roman"/>
                <w:color w:val="000000"/>
                <w:lang w:eastAsia="es-PE"/>
              </w:rPr>
              <w:t xml:space="preserve">información para actualizar el mapeo de actores, incorporando a las instituciones y a los tenientes gobernadores, que son líderes en sus comunidades y son voluntarios. </w:t>
            </w:r>
          </w:p>
          <w:p w:rsidR="005B5FE3" w:rsidRDefault="005B5FE3" w:rsidP="005B5FE3">
            <w:pPr>
              <w:ind w:right="184"/>
              <w:jc w:val="both"/>
              <w:rPr>
                <w:rFonts w:ascii="Calibri" w:eastAsia="Times New Roman" w:hAnsi="Calibri" w:cs="Times New Roman"/>
                <w:color w:val="000000"/>
                <w:lang w:eastAsia="es-PE"/>
              </w:rPr>
            </w:pPr>
          </w:p>
          <w:p w:rsidR="005B5FE3" w:rsidRDefault="005B5FE3" w:rsidP="005B5FE3">
            <w:pPr>
              <w:jc w:val="both"/>
              <w:rPr>
                <w:rFonts w:ascii="Calibri" w:eastAsia="Times New Roman" w:hAnsi="Calibri" w:cs="Times New Roman"/>
                <w:color w:val="000000"/>
                <w:lang w:eastAsia="es-PE"/>
              </w:rPr>
            </w:pPr>
            <w:r>
              <w:rPr>
                <w:rFonts w:ascii="Calibri" w:eastAsia="Times New Roman" w:hAnsi="Calibri" w:cs="Times New Roman"/>
                <w:color w:val="000000"/>
                <w:lang w:eastAsia="es-PE"/>
              </w:rPr>
              <w:t>Al mes de junio de 2017 las Unidades Territoriales (UT) cuentan con un directorio de actores actualizado y validado de acuerdo a los lineamientos impartidos por la Unidad de Supervisión, Monitoreo y Evaluación-USME.</w:t>
            </w:r>
          </w:p>
          <w:p w:rsidR="005B5FE3" w:rsidRDefault="005B5FE3" w:rsidP="005B5FE3">
            <w:pPr>
              <w:jc w:val="both"/>
              <w:rPr>
                <w:rFonts w:ascii="Calibri" w:eastAsia="Times New Roman" w:hAnsi="Calibri" w:cs="Times New Roman"/>
                <w:color w:val="000000"/>
                <w:lang w:eastAsia="es-PE"/>
              </w:rPr>
            </w:pPr>
          </w:p>
          <w:p w:rsidR="005B5FE3" w:rsidRDefault="005B5FE3" w:rsidP="005B5FE3">
            <w:pPr>
              <w:jc w:val="both"/>
              <w:rPr>
                <w:color w:val="000000" w:themeColor="text1"/>
              </w:rPr>
            </w:pPr>
            <w:r w:rsidRPr="007B72FF">
              <w:rPr>
                <w:rFonts w:ascii="Calibri" w:eastAsia="Times New Roman" w:hAnsi="Calibri" w:cs="Times New Roman"/>
                <w:b/>
                <w:i/>
                <w:color w:val="000000"/>
                <w:lang w:eastAsia="es-PE"/>
              </w:rPr>
              <w:t>2. Reuniones de trabajo realizadas con actores sociales identificados, para comprometerlos en la vigilancia.</w:t>
            </w:r>
          </w:p>
          <w:p w:rsidR="005B5FE3" w:rsidRDefault="005B5FE3" w:rsidP="000410D3">
            <w:pPr>
              <w:jc w:val="both"/>
              <w:rPr>
                <w:color w:val="000000" w:themeColor="text1"/>
              </w:rPr>
            </w:pPr>
          </w:p>
          <w:p w:rsidR="005B5FE3" w:rsidRDefault="005B5FE3" w:rsidP="005B5FE3">
            <w:pPr>
              <w:ind w:right="184"/>
              <w:jc w:val="both"/>
              <w:rPr>
                <w:rFonts w:ascii="Calibri" w:eastAsia="Times New Roman" w:hAnsi="Calibri" w:cs="Times New Roman"/>
                <w:color w:val="000000"/>
                <w:lang w:eastAsia="es-PE"/>
              </w:rPr>
            </w:pPr>
            <w:r>
              <w:rPr>
                <w:rFonts w:ascii="Calibri" w:eastAsia="Times New Roman" w:hAnsi="Calibri" w:cs="Times New Roman"/>
                <w:color w:val="000000"/>
                <w:lang w:eastAsia="es-PE"/>
              </w:rPr>
              <w:t xml:space="preserve">Se han </w:t>
            </w:r>
            <w:r w:rsidRPr="00F43A41">
              <w:rPr>
                <w:rFonts w:ascii="Calibri" w:eastAsia="Times New Roman" w:hAnsi="Calibri" w:cs="Times New Roman"/>
                <w:color w:val="000000"/>
                <w:lang w:eastAsia="es-PE"/>
              </w:rPr>
              <w:t>acredita</w:t>
            </w:r>
            <w:r>
              <w:rPr>
                <w:rFonts w:ascii="Calibri" w:eastAsia="Times New Roman" w:hAnsi="Calibri" w:cs="Times New Roman"/>
                <w:color w:val="000000"/>
                <w:lang w:eastAsia="es-PE"/>
              </w:rPr>
              <w:t>do</w:t>
            </w:r>
            <w:r w:rsidRPr="00F43A41">
              <w:rPr>
                <w:rFonts w:ascii="Calibri" w:eastAsia="Times New Roman" w:hAnsi="Calibri" w:cs="Times New Roman"/>
                <w:color w:val="000000"/>
                <w:lang w:eastAsia="es-PE"/>
              </w:rPr>
              <w:t xml:space="preserve"> </w:t>
            </w:r>
            <w:r>
              <w:rPr>
                <w:rFonts w:ascii="Calibri" w:eastAsia="Times New Roman" w:hAnsi="Calibri" w:cs="Times New Roman"/>
                <w:color w:val="000000"/>
                <w:lang w:eastAsia="es-PE"/>
              </w:rPr>
              <w:t>289</w:t>
            </w:r>
            <w:r w:rsidRPr="00F43A41">
              <w:rPr>
                <w:rFonts w:ascii="Calibri" w:eastAsia="Times New Roman" w:hAnsi="Calibri" w:cs="Times New Roman"/>
                <w:color w:val="000000"/>
                <w:lang w:eastAsia="es-PE"/>
              </w:rPr>
              <w:t xml:space="preserve"> veedores para participar en los 116 Comités de Compras. Se ha verificado la participación efectiva de 254 personas, en diferentes etapas del proceso de compra</w:t>
            </w:r>
            <w:r>
              <w:rPr>
                <w:rFonts w:ascii="Calibri" w:eastAsia="Times New Roman" w:hAnsi="Calibri" w:cs="Times New Roman"/>
                <w:color w:val="000000"/>
                <w:lang w:eastAsia="es-PE"/>
              </w:rPr>
              <w:t>s.</w:t>
            </w:r>
          </w:p>
          <w:p w:rsidR="005B5FE3" w:rsidRDefault="005B5FE3" w:rsidP="005B5FE3">
            <w:pPr>
              <w:ind w:right="184"/>
              <w:jc w:val="both"/>
              <w:rPr>
                <w:rFonts w:ascii="Calibri" w:eastAsia="Times New Roman" w:hAnsi="Calibri" w:cs="Times New Roman"/>
                <w:color w:val="000000"/>
                <w:lang w:eastAsia="es-PE"/>
              </w:rPr>
            </w:pPr>
            <w:r w:rsidRPr="00F43A41">
              <w:rPr>
                <w:rFonts w:ascii="Calibri" w:eastAsia="Times New Roman" w:hAnsi="Calibri" w:cs="Times New Roman"/>
                <w:color w:val="000000"/>
                <w:lang w:eastAsia="es-PE"/>
              </w:rPr>
              <w:br/>
              <w:t>Del total de personas que efectivamente han participado, 137 son veedores acreditados por el Comité de Transparencia y Vigilancia Ciudadana, 69 por la Mesa de Concertación para la Lucha contra la Pobreza, 07 de las Direcciones Regionales de Educación, 39 de las Unidades de Gestión Educativa Local, 01 del Ministerio Púb</w:t>
            </w:r>
            <w:r>
              <w:rPr>
                <w:rFonts w:ascii="Calibri" w:eastAsia="Times New Roman" w:hAnsi="Calibri" w:cs="Times New Roman"/>
                <w:color w:val="000000"/>
                <w:lang w:eastAsia="es-PE"/>
              </w:rPr>
              <w:t>lico y 01 del Juzgado de Paz</w:t>
            </w:r>
            <w:r w:rsidRPr="00F43A41">
              <w:rPr>
                <w:rFonts w:ascii="Calibri" w:eastAsia="Times New Roman" w:hAnsi="Calibri" w:cs="Times New Roman"/>
                <w:color w:val="000000"/>
                <w:lang w:eastAsia="es-PE"/>
              </w:rPr>
              <w:t>.</w:t>
            </w:r>
          </w:p>
          <w:p w:rsidR="005B5FE3" w:rsidRDefault="005B5FE3" w:rsidP="005B5FE3">
            <w:pPr>
              <w:ind w:right="184"/>
              <w:jc w:val="both"/>
              <w:rPr>
                <w:rFonts w:ascii="Calibri" w:eastAsia="Times New Roman" w:hAnsi="Calibri" w:cs="Times New Roman"/>
                <w:color w:val="000000"/>
                <w:lang w:eastAsia="es-PE"/>
              </w:rPr>
            </w:pPr>
          </w:p>
          <w:p w:rsidR="005B5FE3" w:rsidRDefault="005B5FE3" w:rsidP="005B5FE3">
            <w:pPr>
              <w:jc w:val="both"/>
              <w:rPr>
                <w:rFonts w:ascii="Calibri" w:eastAsia="Times New Roman" w:hAnsi="Calibri" w:cs="Times New Roman"/>
                <w:color w:val="000000"/>
                <w:lang w:eastAsia="es-PE"/>
              </w:rPr>
            </w:pPr>
            <w:r>
              <w:rPr>
                <w:rFonts w:ascii="Calibri" w:eastAsia="Times New Roman" w:hAnsi="Calibri" w:cs="Times New Roman"/>
                <w:color w:val="000000"/>
                <w:lang w:eastAsia="es-PE"/>
              </w:rPr>
              <w:t>Asimismo, las UT han sostenido reuniones de coordinación e intercambio de propuestas con representantes de la MCLCP, CTVC, DRE, redes de salud y ONAGI con el objetivo de compartir los instrumentos de veeduría y vigilancia social.</w:t>
            </w:r>
          </w:p>
          <w:p w:rsidR="005B5FE3" w:rsidRDefault="005B5FE3" w:rsidP="005B5FE3">
            <w:pPr>
              <w:jc w:val="both"/>
              <w:rPr>
                <w:rFonts w:ascii="Calibri" w:eastAsia="Times New Roman" w:hAnsi="Calibri" w:cs="Times New Roman"/>
                <w:color w:val="000000"/>
                <w:lang w:eastAsia="es-PE"/>
              </w:rPr>
            </w:pPr>
          </w:p>
          <w:p w:rsidR="005B5FE3" w:rsidRDefault="005B5FE3" w:rsidP="005B5FE3">
            <w:pPr>
              <w:jc w:val="both"/>
              <w:rPr>
                <w:rFonts w:ascii="Calibri" w:eastAsia="Times New Roman" w:hAnsi="Calibri" w:cs="Times New Roman"/>
                <w:b/>
                <w:i/>
                <w:color w:val="000000"/>
                <w:lang w:eastAsia="es-PE"/>
              </w:rPr>
            </w:pPr>
            <w:r w:rsidRPr="007B72FF">
              <w:rPr>
                <w:rFonts w:ascii="Calibri" w:eastAsia="Times New Roman" w:hAnsi="Calibri" w:cs="Times New Roman"/>
                <w:b/>
                <w:i/>
                <w:color w:val="000000"/>
                <w:lang w:eastAsia="es-PE"/>
              </w:rPr>
              <w:t>3. Implementación del programa de capacitación a los actores sociales identificados.</w:t>
            </w:r>
          </w:p>
          <w:p w:rsidR="005B5FE3" w:rsidRDefault="005B5FE3" w:rsidP="005B5FE3">
            <w:pPr>
              <w:jc w:val="both"/>
              <w:rPr>
                <w:color w:val="000000" w:themeColor="text1"/>
              </w:rPr>
            </w:pPr>
          </w:p>
          <w:p w:rsidR="005B5FE3" w:rsidRDefault="005B5FE3" w:rsidP="000410D3">
            <w:pPr>
              <w:jc w:val="both"/>
              <w:rPr>
                <w:color w:val="000000" w:themeColor="text1"/>
              </w:rPr>
            </w:pPr>
            <w:r w:rsidRPr="00F43A41">
              <w:rPr>
                <w:rFonts w:ascii="Calibri" w:eastAsia="Times New Roman" w:hAnsi="Calibri" w:cs="Times New Roman"/>
                <w:color w:val="000000"/>
                <w:lang w:eastAsia="es-PE"/>
              </w:rPr>
              <w:t xml:space="preserve">Durante el 2016, se llevaron a cabo un total de 395 asistencias técnicas a 5,931 actores sociales, donde se abordaron temas como el modelo de cogestión, el proceso de compra, comité de alimentación escolar, modalidades de atención, monitoreo social, instrumentos de la vigilancia social, alertas entre otros temas de interés. </w:t>
            </w:r>
            <w:r>
              <w:rPr>
                <w:rFonts w:ascii="Calibri" w:eastAsia="Times New Roman" w:hAnsi="Calibri" w:cs="Times New Roman"/>
                <w:color w:val="000000"/>
                <w:lang w:eastAsia="es-PE"/>
              </w:rPr>
              <w:t xml:space="preserve"> Entre enero y junio de 2017 se ha realizado 446 actividades de asistencia técnica en las 27 UT, con la participación de 6,819 actores sociales</w:t>
            </w:r>
          </w:p>
          <w:p w:rsidR="005B5FE3" w:rsidRDefault="005B5FE3" w:rsidP="000410D3">
            <w:pPr>
              <w:jc w:val="both"/>
              <w:rPr>
                <w:color w:val="000000" w:themeColor="text1"/>
              </w:rPr>
            </w:pPr>
          </w:p>
          <w:p w:rsidR="005B5FE3" w:rsidRDefault="005B5FE3" w:rsidP="000410D3">
            <w:pPr>
              <w:jc w:val="both"/>
              <w:rPr>
                <w:rFonts w:ascii="Calibri" w:eastAsia="Times New Roman" w:hAnsi="Calibri" w:cs="Times New Roman"/>
                <w:b/>
                <w:i/>
                <w:color w:val="000000"/>
                <w:lang w:eastAsia="es-PE"/>
              </w:rPr>
            </w:pPr>
            <w:r w:rsidRPr="007B72FF">
              <w:rPr>
                <w:rFonts w:ascii="Calibri" w:eastAsia="Times New Roman" w:hAnsi="Calibri" w:cs="Times New Roman"/>
                <w:b/>
                <w:i/>
                <w:color w:val="000000"/>
                <w:lang w:eastAsia="es-PE"/>
              </w:rPr>
              <w:t>4. Convenios firmados con los actores sociales identificados para el seguimiento de la gestión del PNAE “Qali Warma”.</w:t>
            </w:r>
          </w:p>
          <w:p w:rsidR="005B5FE3" w:rsidRDefault="005B5FE3" w:rsidP="000410D3">
            <w:pPr>
              <w:jc w:val="both"/>
              <w:rPr>
                <w:color w:val="000000" w:themeColor="text1"/>
              </w:rPr>
            </w:pPr>
          </w:p>
          <w:p w:rsidR="005B5FE3" w:rsidRDefault="005B5FE3" w:rsidP="005B5FE3">
            <w:pPr>
              <w:ind w:right="156"/>
              <w:jc w:val="both"/>
              <w:rPr>
                <w:rFonts w:ascii="Calibri" w:eastAsia="Times New Roman" w:hAnsi="Calibri" w:cs="Times New Roman"/>
                <w:color w:val="000000"/>
                <w:lang w:eastAsia="es-PE"/>
              </w:rPr>
            </w:pPr>
            <w:r w:rsidRPr="00F43A41">
              <w:rPr>
                <w:rFonts w:ascii="Calibri" w:eastAsia="Times New Roman" w:hAnsi="Calibri" w:cs="Times New Roman"/>
                <w:color w:val="000000"/>
                <w:lang w:eastAsia="es-PE"/>
              </w:rPr>
              <w:t>A la fecha, se cuenta con cinco convenios vigentes: 1) Unidad Territorial Cajamarca 2: Convenio de colaboración interinstitucional entre Centro Ideas y el Programa Nacional de Alimentación Escolar Qali Warma, 2) Unidad Territorial Amazonas: Convenio de colaboración interinstitucional entre la Asociación Civil Nación Awajun y Wampis del Perú y el Programa Nacional de Alimentación Escolar Qali Warma, 3) Unidad Territorial Junín: Convenio de colaboración entre la Asociación de Comunidades Nativas de Pichanaqui- ACECONAP y  el Programa Nacional de Alimentación Escolar Qali Warma, 4) Unidad Territorial Junín: Convenio de colaboración entre la Central Ashánica del Rio Ene (CARE) y el Programa Nacional de Alimentación Escolar Qali Warma, 5) Unidad Territorial Cajamarca 1: Convenio de colaboración interinstitucional entre Cuerpo de PAZ-PERÚ y el Programa Nacional de Alimentación Escolar Qali Warma.</w:t>
            </w:r>
          </w:p>
          <w:p w:rsidR="005B5FE3" w:rsidRDefault="005B5FE3" w:rsidP="000410D3">
            <w:pPr>
              <w:jc w:val="both"/>
              <w:rPr>
                <w:color w:val="000000" w:themeColor="text1"/>
              </w:rPr>
            </w:pPr>
          </w:p>
          <w:p w:rsidR="005B5FE3" w:rsidRDefault="005B5FE3" w:rsidP="000410D3">
            <w:pPr>
              <w:jc w:val="both"/>
              <w:rPr>
                <w:rFonts w:ascii="Calibri" w:eastAsia="Times New Roman" w:hAnsi="Calibri" w:cs="Times New Roman"/>
                <w:b/>
                <w:i/>
                <w:color w:val="000000"/>
                <w:lang w:eastAsia="es-PE"/>
              </w:rPr>
            </w:pPr>
            <w:r w:rsidRPr="007B72FF">
              <w:rPr>
                <w:rFonts w:ascii="Calibri" w:eastAsia="Times New Roman" w:hAnsi="Calibri" w:cs="Times New Roman"/>
                <w:b/>
                <w:i/>
                <w:color w:val="000000"/>
                <w:lang w:eastAsia="es-PE"/>
              </w:rPr>
              <w:t>5. Implementación de las acciones de vigilancia ciudadana.</w:t>
            </w:r>
          </w:p>
          <w:p w:rsidR="005B5FE3" w:rsidRDefault="005B5FE3" w:rsidP="000410D3">
            <w:pPr>
              <w:jc w:val="both"/>
              <w:rPr>
                <w:color w:val="000000" w:themeColor="text1"/>
              </w:rPr>
            </w:pPr>
          </w:p>
          <w:p w:rsidR="005B5FE3" w:rsidRDefault="005B5FE3" w:rsidP="000410D3">
            <w:pPr>
              <w:jc w:val="both"/>
              <w:rPr>
                <w:color w:val="000000" w:themeColor="text1"/>
              </w:rPr>
            </w:pPr>
            <w:r w:rsidRPr="00F43A41">
              <w:rPr>
                <w:rFonts w:ascii="Calibri" w:eastAsia="Times New Roman" w:hAnsi="Calibri" w:cs="Times New Roman"/>
                <w:color w:val="000000"/>
                <w:lang w:eastAsia="es-PE"/>
              </w:rPr>
              <w:t>Las acciones de vigilancia se realizan a través de personas que se comprometen voluntariamente</w:t>
            </w:r>
            <w:r>
              <w:rPr>
                <w:rFonts w:ascii="Calibri" w:eastAsia="Times New Roman" w:hAnsi="Calibri" w:cs="Times New Roman"/>
                <w:color w:val="000000"/>
                <w:lang w:eastAsia="es-PE"/>
              </w:rPr>
              <w:t xml:space="preserve">. </w:t>
            </w:r>
            <w:r w:rsidRPr="00F43A41">
              <w:rPr>
                <w:rFonts w:ascii="Calibri" w:eastAsia="Times New Roman" w:hAnsi="Calibri" w:cs="Times New Roman"/>
                <w:color w:val="000000"/>
                <w:lang w:eastAsia="es-PE"/>
              </w:rPr>
              <w:t xml:space="preserve"> En el marco de la vigilancia realizada, se realiza el seguimiento de las respuestas a las alertas planteadas. </w:t>
            </w:r>
            <w:r>
              <w:rPr>
                <w:rFonts w:ascii="Calibri" w:eastAsia="Times New Roman" w:hAnsi="Calibri" w:cs="Times New Roman"/>
                <w:color w:val="000000"/>
                <w:lang w:eastAsia="es-PE"/>
              </w:rPr>
              <w:t xml:space="preserve"> A junio de 2017 el Programa ha recibido 538 alertas</w:t>
            </w:r>
            <w:r>
              <w:t xml:space="preserve"> relacionadas </w:t>
            </w:r>
            <w:r w:rsidRPr="004F1AF3">
              <w:rPr>
                <w:rFonts w:ascii="Calibri" w:eastAsia="Times New Roman" w:hAnsi="Calibri" w:cs="Times New Roman"/>
                <w:color w:val="000000"/>
                <w:lang w:eastAsia="es-PE"/>
              </w:rPr>
              <w:t>al proceso de compra 2017</w:t>
            </w:r>
            <w:r>
              <w:rPr>
                <w:rFonts w:ascii="Calibri" w:eastAsia="Times New Roman" w:hAnsi="Calibri" w:cs="Times New Roman"/>
                <w:color w:val="000000"/>
                <w:lang w:eastAsia="es-PE"/>
              </w:rPr>
              <w:t xml:space="preserve">  de las cuales se respondieron 432 conforme a los plazos establecidos en el Protocolo sobre el Proceso de Atención de Alertas presentadas en las acciones de veeduría y Vigilancia, aprobado con Resolución de Dirección Ejecutiva No. 4695-2016-MIDIS/PNAEQW.</w:t>
            </w:r>
          </w:p>
          <w:p w:rsidR="005B5FE3" w:rsidRDefault="005B5FE3" w:rsidP="000410D3">
            <w:pPr>
              <w:jc w:val="both"/>
              <w:rPr>
                <w:color w:val="000000" w:themeColor="text1"/>
              </w:rPr>
            </w:pPr>
          </w:p>
          <w:p w:rsidR="009A7AEB" w:rsidRPr="00F43A41" w:rsidRDefault="009A7AEB" w:rsidP="000410D3">
            <w:pPr>
              <w:jc w:val="both"/>
              <w:rPr>
                <w:color w:val="000000" w:themeColor="text1"/>
              </w:rPr>
            </w:pPr>
            <w:r>
              <w:rPr>
                <w:color w:val="000000" w:themeColor="text1"/>
              </w:rPr>
              <w:t xml:space="preserve">Fuente: </w:t>
            </w:r>
            <w:r w:rsidRPr="004C4CFF">
              <w:rPr>
                <w:color w:val="000000" w:themeColor="text1"/>
              </w:rPr>
              <w:t>Oficio N° 290-2017-MIDIS/SG/OGPPM, del 12.09.17</w:t>
            </w:r>
          </w:p>
        </w:tc>
      </w:tr>
      <w:tr w:rsidR="009A7AEB" w:rsidRPr="00295641" w:rsidTr="000410D3">
        <w:tc>
          <w:tcPr>
            <w:tcW w:w="9039" w:type="dxa"/>
            <w:gridSpan w:val="6"/>
          </w:tcPr>
          <w:p w:rsidR="009A7AEB" w:rsidRPr="00295641" w:rsidRDefault="009A7AEB" w:rsidP="000410D3">
            <w:pPr>
              <w:jc w:val="both"/>
              <w:rPr>
                <w:rFonts w:cs="Gotham-Book"/>
                <w:b/>
                <w:color w:val="000000" w:themeColor="text1"/>
              </w:rPr>
            </w:pPr>
          </w:p>
          <w:p w:rsidR="009A7AEB" w:rsidRDefault="009A7AEB" w:rsidP="000410D3">
            <w:pPr>
              <w:jc w:val="both"/>
              <w:rPr>
                <w:rFonts w:cs="Gotham-Book"/>
                <w:b/>
                <w:color w:val="000000" w:themeColor="text1"/>
              </w:rPr>
            </w:pPr>
            <w:r>
              <w:rPr>
                <w:rFonts w:cs="Gotham-Book"/>
                <w:b/>
                <w:color w:val="000000" w:themeColor="text1"/>
              </w:rPr>
              <w:t>Información adicional</w:t>
            </w:r>
          </w:p>
          <w:p w:rsidR="009A7AEB" w:rsidRPr="00295641" w:rsidRDefault="009A7AEB" w:rsidP="000410D3">
            <w:pPr>
              <w:jc w:val="both"/>
              <w:rPr>
                <w:color w:val="000000" w:themeColor="text1"/>
              </w:rPr>
            </w:pPr>
          </w:p>
        </w:tc>
      </w:tr>
      <w:tr w:rsidR="009A7AEB" w:rsidRPr="00295641" w:rsidTr="000410D3">
        <w:tc>
          <w:tcPr>
            <w:tcW w:w="9039" w:type="dxa"/>
            <w:gridSpan w:val="6"/>
          </w:tcPr>
          <w:p w:rsidR="009A7AEB" w:rsidRDefault="009A7AEB" w:rsidP="000410D3">
            <w:pPr>
              <w:jc w:val="both"/>
              <w:rPr>
                <w:color w:val="000000" w:themeColor="text1"/>
              </w:rPr>
            </w:pPr>
            <w:r w:rsidRPr="009F6F3A">
              <w:rPr>
                <w:color w:val="000000" w:themeColor="text1"/>
              </w:rPr>
              <w:t>A excepción de la primera actividad, todas las d</w:t>
            </w:r>
            <w:r>
              <w:rPr>
                <w:color w:val="000000" w:themeColor="text1"/>
              </w:rPr>
              <w:t>emás son de carácter permanente.</w:t>
            </w:r>
          </w:p>
          <w:p w:rsidR="009A7AEB" w:rsidRPr="00295641" w:rsidRDefault="009A7AEB" w:rsidP="000410D3">
            <w:pPr>
              <w:jc w:val="both"/>
              <w:rPr>
                <w:rFonts w:cs="Gotham-Book"/>
                <w:b/>
                <w:color w:val="000000" w:themeColor="text1"/>
              </w:rPr>
            </w:pPr>
            <w:r>
              <w:rPr>
                <w:color w:val="000000" w:themeColor="text1"/>
              </w:rPr>
              <w:t>En noviembre de 2017 se realizará el V Taller de Monitoreo Social, que contará con la participación de representantes de organizaciones sociales e instituciones que realizan la veeduría (al proceso de compras) y la vigilancia social (al proceso de gestión del servicio alimentario).</w:t>
            </w:r>
          </w:p>
        </w:tc>
      </w:tr>
    </w:tbl>
    <w:p w:rsidR="00854A42" w:rsidRDefault="00854A42"/>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B54651" w:rsidRPr="00B54651" w:rsidTr="00A77FF3">
        <w:tc>
          <w:tcPr>
            <w:tcW w:w="9039" w:type="dxa"/>
            <w:gridSpan w:val="6"/>
            <w:shd w:val="clear" w:color="auto" w:fill="3E89CE"/>
          </w:tcPr>
          <w:p w:rsidR="00B54651" w:rsidRPr="00B54651" w:rsidRDefault="00B54651" w:rsidP="00B54651">
            <w:pPr>
              <w:ind w:left="720"/>
              <w:jc w:val="center"/>
              <w:rPr>
                <w:rFonts w:ascii="Calibri" w:eastAsia="Calibri" w:hAnsi="Calibri" w:cs="Times New Roman"/>
                <w:b/>
              </w:rPr>
            </w:pPr>
            <w:r w:rsidRPr="00B54651">
              <w:rPr>
                <w:rFonts w:ascii="Calibri" w:eastAsia="Calibri" w:hAnsi="Calibri" w:cs="Times New Roman"/>
                <w:b/>
              </w:rPr>
              <w:t>Componente:  Participación Ciudadana</w:t>
            </w:r>
          </w:p>
        </w:tc>
      </w:tr>
      <w:tr w:rsidR="00B54651" w:rsidRPr="00B54651" w:rsidTr="00A77FF3">
        <w:tc>
          <w:tcPr>
            <w:tcW w:w="9039" w:type="dxa"/>
            <w:gridSpan w:val="6"/>
            <w:shd w:val="clear" w:color="auto" w:fill="3E89CE"/>
          </w:tcPr>
          <w:p w:rsidR="00B54651" w:rsidRPr="00B54651" w:rsidRDefault="00B54651" w:rsidP="00B54651">
            <w:pPr>
              <w:ind w:left="720"/>
              <w:rPr>
                <w:rFonts w:ascii="Calibri" w:eastAsia="Calibri" w:hAnsi="Calibri" w:cs="Times New Roman"/>
                <w:b/>
              </w:rPr>
            </w:pPr>
            <w:r w:rsidRPr="00B54651">
              <w:rPr>
                <w:rFonts w:ascii="Calibri" w:eastAsia="Calibri" w:hAnsi="Calibri" w:cs="Times New Roman"/>
                <w:b/>
                <w:u w:val="single"/>
              </w:rPr>
              <w:t xml:space="preserve">Compromiso 10. </w:t>
            </w:r>
            <w:r w:rsidRPr="00B54651">
              <w:rPr>
                <w:rFonts w:ascii="Calibri" w:eastAsia="Calibri" w:hAnsi="Calibri" w:cs="Times New Roman"/>
                <w:b/>
              </w:rPr>
              <w:t>Fomentar la participación ciudadana en los Acuerdos Plenarios de la Corte Suprema de la República</w:t>
            </w:r>
          </w:p>
        </w:tc>
      </w:tr>
      <w:tr w:rsidR="00B54651" w:rsidRPr="00B54651" w:rsidTr="00A77FF3">
        <w:tc>
          <w:tcPr>
            <w:tcW w:w="4219" w:type="dxa"/>
            <w:gridSpan w:val="3"/>
            <w:shd w:val="clear" w:color="auto" w:fill="C2D9F0"/>
            <w:vAlign w:val="center"/>
          </w:tcPr>
          <w:p w:rsidR="00B54651" w:rsidRPr="00B54651" w:rsidRDefault="00B54651" w:rsidP="00B54651">
            <w:pPr>
              <w:autoSpaceDE w:val="0"/>
              <w:autoSpaceDN w:val="0"/>
              <w:adjustRightInd w:val="0"/>
              <w:rPr>
                <w:rFonts w:ascii="Calibri" w:eastAsia="Calibri" w:hAnsi="Calibri" w:cs="Gotham-Book"/>
                <w:b/>
                <w:color w:val="000000"/>
              </w:rPr>
            </w:pPr>
            <w:r w:rsidRPr="00B54651">
              <w:rPr>
                <w:rFonts w:ascii="Calibri" w:eastAsia="Calibri" w:hAnsi="Calibri" w:cs="Gotham-Book"/>
                <w:b/>
                <w:color w:val="000000"/>
              </w:rPr>
              <w:t>Secretaría/Ministerio</w:t>
            </w:r>
          </w:p>
          <w:p w:rsidR="00B54651" w:rsidRPr="00B54651" w:rsidRDefault="00B54651" w:rsidP="00B54651">
            <w:pPr>
              <w:autoSpaceDE w:val="0"/>
              <w:autoSpaceDN w:val="0"/>
              <w:adjustRightInd w:val="0"/>
              <w:rPr>
                <w:rFonts w:ascii="Calibri" w:eastAsia="Calibri" w:hAnsi="Calibri" w:cs="Times New Roman"/>
                <w:b/>
                <w:color w:val="000000"/>
              </w:rPr>
            </w:pPr>
            <w:r w:rsidRPr="00B54651">
              <w:rPr>
                <w:rFonts w:ascii="Calibri" w:eastAsia="Calibri" w:hAnsi="Calibri" w:cs="Gotham-Book"/>
                <w:b/>
                <w:color w:val="000000"/>
              </w:rPr>
              <w:t>Responsable</w:t>
            </w:r>
          </w:p>
        </w:tc>
        <w:tc>
          <w:tcPr>
            <w:tcW w:w="4820" w:type="dxa"/>
            <w:gridSpan w:val="3"/>
          </w:tcPr>
          <w:p w:rsidR="00B54651" w:rsidRPr="00B54651" w:rsidRDefault="00B54651" w:rsidP="00B54651">
            <w:pPr>
              <w:jc w:val="both"/>
              <w:rPr>
                <w:rFonts w:ascii="Calibri" w:eastAsia="Calibri" w:hAnsi="Calibri" w:cs="Times New Roman"/>
                <w:color w:val="000000"/>
              </w:rPr>
            </w:pPr>
            <w:r w:rsidRPr="00B54651">
              <w:rPr>
                <w:rFonts w:ascii="Calibri" w:eastAsia="Calibri" w:hAnsi="Calibri" w:cs="Times New Roman"/>
                <w:color w:val="000000"/>
              </w:rPr>
              <w:t>Poder Judicial – Corte Suprema de Justicia</w:t>
            </w:r>
          </w:p>
        </w:tc>
      </w:tr>
      <w:tr w:rsidR="00B54651" w:rsidRPr="00B54651" w:rsidTr="00A77FF3">
        <w:tc>
          <w:tcPr>
            <w:tcW w:w="4219" w:type="dxa"/>
            <w:gridSpan w:val="3"/>
            <w:shd w:val="clear" w:color="auto" w:fill="C2D9F0"/>
            <w:vAlign w:val="center"/>
          </w:tcPr>
          <w:p w:rsidR="00B54651" w:rsidRPr="00B54651" w:rsidRDefault="00B54651" w:rsidP="00B54651">
            <w:pPr>
              <w:autoSpaceDE w:val="0"/>
              <w:autoSpaceDN w:val="0"/>
              <w:adjustRightInd w:val="0"/>
              <w:rPr>
                <w:rFonts w:ascii="Calibri" w:eastAsia="Calibri" w:hAnsi="Calibri" w:cs="Gotham-Book"/>
                <w:b/>
                <w:color w:val="000000"/>
              </w:rPr>
            </w:pPr>
            <w:r w:rsidRPr="00B54651">
              <w:rPr>
                <w:rFonts w:ascii="Calibri" w:eastAsia="Calibri" w:hAnsi="Calibri" w:cs="Gotham-Book"/>
                <w:b/>
                <w:color w:val="000000"/>
              </w:rPr>
              <w:t>Nombre de la persona  responsable</w:t>
            </w:r>
          </w:p>
        </w:tc>
        <w:tc>
          <w:tcPr>
            <w:tcW w:w="4820" w:type="dxa"/>
            <w:gridSpan w:val="3"/>
          </w:tcPr>
          <w:p w:rsidR="00B54651" w:rsidRPr="00B54651" w:rsidRDefault="00B54651" w:rsidP="00B54651">
            <w:pPr>
              <w:jc w:val="both"/>
              <w:rPr>
                <w:rFonts w:ascii="Calibri" w:eastAsia="Calibri" w:hAnsi="Calibri" w:cs="Times New Roman"/>
                <w:color w:val="000000"/>
              </w:rPr>
            </w:pPr>
            <w:r w:rsidRPr="00B54651">
              <w:rPr>
                <w:rFonts w:ascii="Calibri" w:eastAsia="Calibri" w:hAnsi="Calibri" w:cs="Times New Roman"/>
                <w:color w:val="000000"/>
              </w:rPr>
              <w:t>Duberli Rodríguez Tineo</w:t>
            </w:r>
          </w:p>
        </w:tc>
      </w:tr>
      <w:tr w:rsidR="00B54651" w:rsidRPr="00B54651" w:rsidTr="00A77FF3">
        <w:tc>
          <w:tcPr>
            <w:tcW w:w="4219" w:type="dxa"/>
            <w:gridSpan w:val="3"/>
            <w:shd w:val="clear" w:color="auto" w:fill="C2D9F0"/>
            <w:vAlign w:val="center"/>
          </w:tcPr>
          <w:p w:rsidR="00B54651" w:rsidRPr="00B54651" w:rsidRDefault="00B54651" w:rsidP="00B54651">
            <w:pPr>
              <w:rPr>
                <w:rFonts w:ascii="Calibri" w:eastAsia="Calibri" w:hAnsi="Calibri" w:cs="Times New Roman"/>
                <w:b/>
                <w:color w:val="000000"/>
              </w:rPr>
            </w:pPr>
            <w:r w:rsidRPr="00B54651">
              <w:rPr>
                <w:rFonts w:ascii="Calibri" w:eastAsia="Calibri" w:hAnsi="Calibri" w:cs="Gotham-Book"/>
                <w:b/>
                <w:color w:val="000000"/>
              </w:rPr>
              <w:t>Puesto</w:t>
            </w:r>
          </w:p>
        </w:tc>
        <w:tc>
          <w:tcPr>
            <w:tcW w:w="4820" w:type="dxa"/>
            <w:gridSpan w:val="3"/>
          </w:tcPr>
          <w:p w:rsidR="00B54651" w:rsidRPr="00B54651" w:rsidRDefault="00B54651" w:rsidP="00B54651">
            <w:pPr>
              <w:jc w:val="both"/>
              <w:rPr>
                <w:rFonts w:ascii="Calibri" w:eastAsia="Calibri" w:hAnsi="Calibri" w:cs="Times New Roman"/>
                <w:color w:val="000000"/>
              </w:rPr>
            </w:pPr>
            <w:r w:rsidRPr="00B54651">
              <w:rPr>
                <w:rFonts w:ascii="Calibri" w:eastAsia="Calibri" w:hAnsi="Calibri" w:cs="Times New Roman"/>
                <w:color w:val="000000"/>
              </w:rPr>
              <w:t>Presidente del Poder Judicial y de la Corte Suprema de Justicia</w:t>
            </w:r>
          </w:p>
        </w:tc>
      </w:tr>
      <w:tr w:rsidR="00B54651" w:rsidRPr="00B54651" w:rsidTr="00A77FF3">
        <w:tc>
          <w:tcPr>
            <w:tcW w:w="4219" w:type="dxa"/>
            <w:gridSpan w:val="3"/>
            <w:shd w:val="clear" w:color="auto" w:fill="C2D9F0"/>
            <w:vAlign w:val="center"/>
          </w:tcPr>
          <w:p w:rsidR="00B54651" w:rsidRPr="00B54651" w:rsidRDefault="00B54651" w:rsidP="00B54651">
            <w:pPr>
              <w:autoSpaceDE w:val="0"/>
              <w:autoSpaceDN w:val="0"/>
              <w:adjustRightInd w:val="0"/>
              <w:rPr>
                <w:rFonts w:ascii="Calibri" w:eastAsia="Calibri" w:hAnsi="Calibri" w:cs="Gotham-Book"/>
                <w:b/>
                <w:color w:val="000000"/>
              </w:rPr>
            </w:pPr>
            <w:r w:rsidRPr="00B54651">
              <w:rPr>
                <w:rFonts w:ascii="Calibri" w:eastAsia="Calibri" w:hAnsi="Calibri" w:cs="Gotham-Book"/>
                <w:b/>
                <w:color w:val="000000"/>
              </w:rPr>
              <w:t>Correo electrónico</w:t>
            </w:r>
          </w:p>
        </w:tc>
        <w:tc>
          <w:tcPr>
            <w:tcW w:w="4820" w:type="dxa"/>
            <w:gridSpan w:val="3"/>
          </w:tcPr>
          <w:p w:rsidR="00B54651" w:rsidRPr="00B54651" w:rsidRDefault="004165D0" w:rsidP="00B54651">
            <w:pPr>
              <w:jc w:val="both"/>
              <w:rPr>
                <w:rFonts w:ascii="Calibri" w:eastAsia="Calibri" w:hAnsi="Calibri" w:cs="Arial"/>
                <w:color w:val="0000FF"/>
                <w:u w:val="single"/>
              </w:rPr>
            </w:pPr>
            <w:hyperlink r:id="rId23" w:history="1">
              <w:r w:rsidR="00B54651" w:rsidRPr="00B54651">
                <w:rPr>
                  <w:rFonts w:ascii="Arial" w:eastAsia="Calibri" w:hAnsi="Arial" w:cs="Arial"/>
                  <w:color w:val="003399"/>
                  <w:sz w:val="19"/>
                  <w:szCs w:val="19"/>
                  <w:u w:val="single"/>
                </w:rPr>
                <w:t>drodriguezt@pj.gob.pe</w:t>
              </w:r>
            </w:hyperlink>
          </w:p>
        </w:tc>
      </w:tr>
      <w:tr w:rsidR="00B54651" w:rsidRPr="00B54651" w:rsidTr="00A77FF3">
        <w:tc>
          <w:tcPr>
            <w:tcW w:w="4219" w:type="dxa"/>
            <w:gridSpan w:val="3"/>
            <w:shd w:val="clear" w:color="auto" w:fill="C2D9F0"/>
            <w:vAlign w:val="center"/>
          </w:tcPr>
          <w:p w:rsidR="00B54651" w:rsidRPr="00B54651" w:rsidRDefault="00B54651" w:rsidP="00B54651">
            <w:pPr>
              <w:rPr>
                <w:rFonts w:ascii="Calibri" w:eastAsia="Calibri" w:hAnsi="Calibri" w:cs="Times New Roman"/>
                <w:b/>
                <w:color w:val="000000"/>
              </w:rPr>
            </w:pPr>
            <w:r w:rsidRPr="00B54651">
              <w:rPr>
                <w:rFonts w:ascii="Calibri" w:eastAsia="Calibri" w:hAnsi="Calibri" w:cs="Gotham-Book"/>
                <w:b/>
                <w:color w:val="000000"/>
              </w:rPr>
              <w:t>Teléfono</w:t>
            </w:r>
          </w:p>
        </w:tc>
        <w:tc>
          <w:tcPr>
            <w:tcW w:w="4820" w:type="dxa"/>
            <w:gridSpan w:val="3"/>
          </w:tcPr>
          <w:p w:rsidR="00B54651" w:rsidRPr="00B54651" w:rsidRDefault="00B54651" w:rsidP="00B54651">
            <w:pPr>
              <w:jc w:val="both"/>
              <w:rPr>
                <w:rFonts w:ascii="Calibri" w:eastAsia="Calibri" w:hAnsi="Calibri" w:cs="Times New Roman"/>
                <w:color w:val="000000"/>
              </w:rPr>
            </w:pPr>
            <w:r w:rsidRPr="00B54651">
              <w:rPr>
                <w:rFonts w:ascii="Calibri" w:eastAsia="Calibri" w:hAnsi="Calibri" w:cs="Times New Roman"/>
                <w:color w:val="000000"/>
              </w:rPr>
              <w:t>51-1-4101010</w:t>
            </w:r>
          </w:p>
        </w:tc>
      </w:tr>
      <w:tr w:rsidR="00B54651" w:rsidRPr="00B54651" w:rsidTr="00A77FF3">
        <w:tc>
          <w:tcPr>
            <w:tcW w:w="2109" w:type="dxa"/>
            <w:vMerge w:val="restart"/>
            <w:shd w:val="clear" w:color="auto" w:fill="C2D9F0"/>
            <w:vAlign w:val="center"/>
          </w:tcPr>
          <w:p w:rsidR="00B54651" w:rsidRPr="00B54651" w:rsidRDefault="00B54651" w:rsidP="00B54651">
            <w:pPr>
              <w:rPr>
                <w:rFonts w:ascii="Calibri" w:eastAsia="Calibri" w:hAnsi="Calibri" w:cs="Gotham-Book"/>
                <w:b/>
                <w:color w:val="000000"/>
              </w:rPr>
            </w:pPr>
            <w:r w:rsidRPr="00B54651">
              <w:rPr>
                <w:rFonts w:ascii="Calibri" w:eastAsia="Calibri" w:hAnsi="Calibri" w:cs="Gotham-Book"/>
                <w:b/>
                <w:color w:val="000000"/>
              </w:rPr>
              <w:t>Otros actores involucrados</w:t>
            </w:r>
          </w:p>
        </w:tc>
        <w:tc>
          <w:tcPr>
            <w:tcW w:w="2110" w:type="dxa"/>
            <w:gridSpan w:val="2"/>
            <w:shd w:val="clear" w:color="auto" w:fill="C2D9F0"/>
            <w:vAlign w:val="center"/>
          </w:tcPr>
          <w:p w:rsidR="00B54651" w:rsidRPr="00B54651" w:rsidRDefault="00B54651" w:rsidP="00B54651">
            <w:pPr>
              <w:rPr>
                <w:rFonts w:ascii="Calibri" w:eastAsia="Calibri" w:hAnsi="Calibri" w:cs="Gotham-Book"/>
                <w:b/>
                <w:color w:val="000000"/>
              </w:rPr>
            </w:pPr>
            <w:r w:rsidRPr="00B54651">
              <w:rPr>
                <w:rFonts w:ascii="Calibri" w:eastAsia="Calibri" w:hAnsi="Calibri" w:cs="Gotham-Book"/>
                <w:b/>
                <w:color w:val="000000"/>
              </w:rPr>
              <w:t>Gobierno</w:t>
            </w:r>
          </w:p>
        </w:tc>
        <w:tc>
          <w:tcPr>
            <w:tcW w:w="4820" w:type="dxa"/>
            <w:gridSpan w:val="3"/>
          </w:tcPr>
          <w:p w:rsidR="00B54651" w:rsidRPr="00B54651" w:rsidRDefault="00B54651" w:rsidP="00B54651">
            <w:pPr>
              <w:jc w:val="both"/>
              <w:rPr>
                <w:rFonts w:ascii="Calibri" w:eastAsia="Calibri" w:hAnsi="Calibri" w:cs="Times New Roman"/>
                <w:color w:val="000000"/>
              </w:rPr>
            </w:pPr>
            <w:r w:rsidRPr="00B54651">
              <w:rPr>
                <w:rFonts w:ascii="Calibri" w:eastAsia="Calibri" w:hAnsi="Calibri" w:cs="Times New Roman"/>
                <w:color w:val="000000"/>
              </w:rPr>
              <w:t>No aplica</w:t>
            </w:r>
          </w:p>
        </w:tc>
      </w:tr>
      <w:tr w:rsidR="00B54651" w:rsidRPr="00B54651" w:rsidTr="00A77FF3">
        <w:tc>
          <w:tcPr>
            <w:tcW w:w="2109" w:type="dxa"/>
            <w:vMerge/>
            <w:shd w:val="clear" w:color="auto" w:fill="C2D9F0"/>
            <w:vAlign w:val="center"/>
          </w:tcPr>
          <w:p w:rsidR="00B54651" w:rsidRPr="00B54651" w:rsidRDefault="00B54651" w:rsidP="00B54651">
            <w:pPr>
              <w:rPr>
                <w:rFonts w:ascii="Calibri" w:eastAsia="Calibri" w:hAnsi="Calibri" w:cs="Gotham-Book"/>
                <w:b/>
                <w:color w:val="000000"/>
              </w:rPr>
            </w:pPr>
          </w:p>
        </w:tc>
        <w:tc>
          <w:tcPr>
            <w:tcW w:w="2110" w:type="dxa"/>
            <w:gridSpan w:val="2"/>
            <w:shd w:val="clear" w:color="auto" w:fill="C2D9F0"/>
            <w:vAlign w:val="center"/>
          </w:tcPr>
          <w:p w:rsidR="00B54651" w:rsidRPr="00B54651" w:rsidRDefault="00B54651" w:rsidP="00B54651">
            <w:pPr>
              <w:rPr>
                <w:rFonts w:ascii="Calibri" w:eastAsia="Calibri" w:hAnsi="Calibri" w:cs="Gotham-Book"/>
                <w:b/>
                <w:color w:val="000000"/>
              </w:rPr>
            </w:pPr>
            <w:r w:rsidRPr="00B54651">
              <w:rPr>
                <w:rFonts w:ascii="Calibri" w:eastAsia="Calibri" w:hAnsi="Calibri" w:cs="Gotham-Book"/>
                <w:b/>
                <w:color w:val="000000"/>
              </w:rPr>
              <w:t>Sociedad civil, iniciativa privada, grupos de trabajo o multilaterales</w:t>
            </w:r>
          </w:p>
        </w:tc>
        <w:tc>
          <w:tcPr>
            <w:tcW w:w="4820" w:type="dxa"/>
            <w:gridSpan w:val="3"/>
          </w:tcPr>
          <w:p w:rsidR="00B54651" w:rsidRPr="00B54651" w:rsidRDefault="00B54651" w:rsidP="00B54651">
            <w:pPr>
              <w:jc w:val="both"/>
              <w:rPr>
                <w:rFonts w:ascii="Calibri" w:eastAsia="Calibri" w:hAnsi="Calibri" w:cs="Times New Roman"/>
                <w:color w:val="000000"/>
              </w:rPr>
            </w:pPr>
          </w:p>
        </w:tc>
      </w:tr>
      <w:tr w:rsidR="00B54651" w:rsidRPr="00B54651" w:rsidTr="00A77FF3">
        <w:tc>
          <w:tcPr>
            <w:tcW w:w="4219" w:type="dxa"/>
            <w:gridSpan w:val="3"/>
            <w:shd w:val="clear" w:color="auto" w:fill="C2D9F0"/>
            <w:vAlign w:val="center"/>
          </w:tcPr>
          <w:p w:rsidR="00B54651" w:rsidRPr="00B54651" w:rsidRDefault="00B54651" w:rsidP="00B54651">
            <w:pPr>
              <w:rPr>
                <w:rFonts w:ascii="Calibri" w:eastAsia="Calibri" w:hAnsi="Calibri" w:cs="Gotham-Book"/>
                <w:b/>
                <w:color w:val="000000"/>
              </w:rPr>
            </w:pPr>
            <w:r w:rsidRPr="00B54651">
              <w:rPr>
                <w:rFonts w:ascii="Calibri" w:eastAsia="Calibri" w:hAnsi="Calibri" w:cs="Gotham-Book"/>
                <w:b/>
                <w:color w:val="000000"/>
              </w:rPr>
              <w:t>Status quo o problema/</w:t>
            </w:r>
            <w:r w:rsidRPr="00B54651">
              <w:rPr>
                <w:rFonts w:ascii="Calibri" w:eastAsia="Calibri" w:hAnsi="Calibri" w:cs="Gotham-Book"/>
                <w:b/>
                <w:color w:val="000000"/>
              </w:rPr>
              <w:br/>
              <w:t>desafío que será atendido</w:t>
            </w:r>
          </w:p>
        </w:tc>
        <w:tc>
          <w:tcPr>
            <w:tcW w:w="4820" w:type="dxa"/>
            <w:gridSpan w:val="3"/>
          </w:tcPr>
          <w:p w:rsidR="00B54651" w:rsidRPr="00B54651" w:rsidRDefault="00B54651" w:rsidP="00B54651">
            <w:pPr>
              <w:jc w:val="both"/>
              <w:rPr>
                <w:rFonts w:ascii="Calibri" w:eastAsia="Calibri" w:hAnsi="Calibri" w:cs="Times New Roman"/>
                <w:color w:val="000000"/>
              </w:rPr>
            </w:pPr>
            <w:r w:rsidRPr="00B54651">
              <w:rPr>
                <w:rFonts w:ascii="Calibri" w:eastAsia="Calibri" w:hAnsi="Calibri" w:cs="Times New Roman"/>
                <w:color w:val="000000"/>
              </w:rPr>
              <w:t xml:space="preserve">En la actualidad, los procedimientos de participación de los ciudadanos y ciudadanas, entidades privadas y otras entidades públicas en los acuerdos plenarios de la Corte Suprema de la República responden a la especialidad del pleno </w:t>
            </w:r>
            <w:r w:rsidRPr="00B54651">
              <w:rPr>
                <w:rFonts w:ascii="Calibri" w:eastAsia="Calibri" w:hAnsi="Calibri" w:cs="Arial"/>
              </w:rPr>
              <w:t>(penal, civil, laboral-previsional, constitucional o contencioso administrativo), lo que origina un problema de uniformidad.</w:t>
            </w:r>
          </w:p>
        </w:tc>
      </w:tr>
      <w:tr w:rsidR="00B54651" w:rsidRPr="00B54651" w:rsidTr="00A77FF3">
        <w:tc>
          <w:tcPr>
            <w:tcW w:w="4219" w:type="dxa"/>
            <w:gridSpan w:val="3"/>
            <w:shd w:val="clear" w:color="auto" w:fill="C2D9F0"/>
            <w:vAlign w:val="center"/>
          </w:tcPr>
          <w:p w:rsidR="00B54651" w:rsidRPr="00B54651" w:rsidRDefault="00B54651" w:rsidP="00B54651">
            <w:pPr>
              <w:rPr>
                <w:rFonts w:ascii="Calibri" w:eastAsia="Calibri" w:hAnsi="Calibri" w:cs="Times New Roman"/>
                <w:b/>
                <w:color w:val="000000"/>
              </w:rPr>
            </w:pPr>
            <w:r w:rsidRPr="00B54651">
              <w:rPr>
                <w:rFonts w:ascii="Calibri" w:eastAsia="Calibri" w:hAnsi="Calibri" w:cs="Gotham-Book"/>
                <w:b/>
                <w:color w:val="000000"/>
              </w:rPr>
              <w:t>Objetivo principal</w:t>
            </w:r>
          </w:p>
        </w:tc>
        <w:tc>
          <w:tcPr>
            <w:tcW w:w="4820" w:type="dxa"/>
            <w:gridSpan w:val="3"/>
          </w:tcPr>
          <w:p w:rsidR="00B54651" w:rsidRPr="00B54651" w:rsidRDefault="00B54651" w:rsidP="00B54651">
            <w:pPr>
              <w:jc w:val="both"/>
              <w:rPr>
                <w:rFonts w:ascii="Calibri" w:eastAsia="Calibri" w:hAnsi="Calibri" w:cs="Times New Roman"/>
                <w:bCs/>
              </w:rPr>
            </w:pPr>
            <w:r w:rsidRPr="00B54651">
              <w:rPr>
                <w:rFonts w:ascii="Calibri" w:eastAsia="Calibri" w:hAnsi="Calibri" w:cs="Times New Roman"/>
                <w:bCs/>
              </w:rPr>
              <w:t>Regular en un solo cuerpo normativo la participación de los ciudadanos y ciudadanas, entidades privadas y otras entidades públicas en los acuerdos plenarios de la Corte Suprema de la República.</w:t>
            </w:r>
          </w:p>
        </w:tc>
      </w:tr>
      <w:tr w:rsidR="00B54651" w:rsidRPr="00B54651" w:rsidTr="00A77FF3">
        <w:tc>
          <w:tcPr>
            <w:tcW w:w="4219" w:type="dxa"/>
            <w:gridSpan w:val="3"/>
            <w:shd w:val="clear" w:color="auto" w:fill="C2D9F0"/>
            <w:vAlign w:val="center"/>
          </w:tcPr>
          <w:p w:rsidR="00B54651" w:rsidRPr="00B54651" w:rsidRDefault="00B54651" w:rsidP="00B54651">
            <w:pPr>
              <w:autoSpaceDE w:val="0"/>
              <w:autoSpaceDN w:val="0"/>
              <w:adjustRightInd w:val="0"/>
              <w:rPr>
                <w:rFonts w:ascii="Calibri" w:eastAsia="Calibri" w:hAnsi="Calibri" w:cs="Gotham-Book"/>
                <w:b/>
                <w:color w:val="000000"/>
              </w:rPr>
            </w:pPr>
            <w:r w:rsidRPr="00B54651">
              <w:rPr>
                <w:rFonts w:ascii="Calibri" w:eastAsia="Calibri" w:hAnsi="Calibri" w:cs="Gotham-Book"/>
                <w:b/>
                <w:color w:val="000000"/>
              </w:rPr>
              <w:t>Breve Descripción del Compromiso</w:t>
            </w:r>
          </w:p>
        </w:tc>
        <w:tc>
          <w:tcPr>
            <w:tcW w:w="4820" w:type="dxa"/>
            <w:gridSpan w:val="3"/>
          </w:tcPr>
          <w:p w:rsidR="00B54651" w:rsidRPr="00B54651" w:rsidRDefault="00B54651">
            <w:pPr>
              <w:jc w:val="both"/>
              <w:rPr>
                <w:rFonts w:ascii="Calibri" w:eastAsia="Calibri" w:hAnsi="Calibri" w:cs="Times New Roman"/>
                <w:color w:val="FF0000"/>
                <w:szCs w:val="20"/>
                <w:lang w:val="es-PE"/>
              </w:rPr>
            </w:pPr>
            <w:r w:rsidRPr="00B54651">
              <w:rPr>
                <w:rFonts w:ascii="Calibri" w:eastAsia="Calibri" w:hAnsi="Calibri" w:cs="Times New Roman"/>
                <w:szCs w:val="20"/>
                <w:lang w:val="es-PE"/>
              </w:rPr>
              <w:t xml:space="preserve">Consolidar la institucionalización de los plenos y ampliar la participación de los ciudadanos y ciudadanas y otras entidades públicas en los acuerdos plenarios de la Corte Suprema de la República. </w:t>
            </w:r>
          </w:p>
        </w:tc>
      </w:tr>
      <w:tr w:rsidR="00B54651" w:rsidRPr="00B54651" w:rsidTr="00A77FF3">
        <w:tc>
          <w:tcPr>
            <w:tcW w:w="4219" w:type="dxa"/>
            <w:gridSpan w:val="3"/>
            <w:shd w:val="clear" w:color="auto" w:fill="C2D9F0"/>
            <w:vAlign w:val="center"/>
          </w:tcPr>
          <w:p w:rsidR="00B54651" w:rsidRPr="00B54651" w:rsidRDefault="00B54651" w:rsidP="00B54651">
            <w:pPr>
              <w:autoSpaceDE w:val="0"/>
              <w:autoSpaceDN w:val="0"/>
              <w:adjustRightInd w:val="0"/>
              <w:rPr>
                <w:rFonts w:ascii="Calibri" w:eastAsia="Calibri" w:hAnsi="Calibri" w:cs="Times New Roman"/>
                <w:b/>
                <w:color w:val="000000"/>
              </w:rPr>
            </w:pPr>
            <w:r w:rsidRPr="00B54651">
              <w:rPr>
                <w:rFonts w:ascii="Calibri" w:eastAsia="Calibri" w:hAnsi="Calibri" w:cs="Gotham-Book"/>
                <w:b/>
                <w:color w:val="000000"/>
              </w:rPr>
              <w:t>Relevancia</w:t>
            </w:r>
          </w:p>
        </w:tc>
        <w:tc>
          <w:tcPr>
            <w:tcW w:w="4820" w:type="dxa"/>
            <w:gridSpan w:val="3"/>
          </w:tcPr>
          <w:p w:rsidR="00B54651" w:rsidRPr="00B54651" w:rsidRDefault="00B54651" w:rsidP="00B54651">
            <w:pPr>
              <w:jc w:val="both"/>
              <w:rPr>
                <w:rFonts w:ascii="Calibri" w:eastAsia="Calibri" w:hAnsi="Calibri" w:cs="Times New Roman"/>
                <w:szCs w:val="20"/>
                <w:lang w:val="es-PE"/>
              </w:rPr>
            </w:pPr>
            <w:r w:rsidRPr="00B54651">
              <w:rPr>
                <w:rFonts w:ascii="Calibri" w:eastAsia="Calibri" w:hAnsi="Calibri" w:cs="Times New Roman"/>
                <w:szCs w:val="20"/>
                <w:lang w:val="es-PE"/>
              </w:rPr>
              <w:t>El compromiso contribuye a permitir y fortalecer la participación de los ciudadanos y ciudadanas en los Acuerdos Plenarios de la Corte Suprema.</w:t>
            </w:r>
          </w:p>
        </w:tc>
      </w:tr>
      <w:tr w:rsidR="00B54651" w:rsidRPr="00B54651" w:rsidTr="00A77FF3">
        <w:tc>
          <w:tcPr>
            <w:tcW w:w="4219" w:type="dxa"/>
            <w:gridSpan w:val="3"/>
            <w:shd w:val="clear" w:color="auto" w:fill="C2D9F0"/>
            <w:vAlign w:val="center"/>
          </w:tcPr>
          <w:p w:rsidR="00B54651" w:rsidRPr="00B54651" w:rsidRDefault="00B54651" w:rsidP="00B54651">
            <w:pPr>
              <w:autoSpaceDE w:val="0"/>
              <w:autoSpaceDN w:val="0"/>
              <w:adjustRightInd w:val="0"/>
              <w:rPr>
                <w:rFonts w:ascii="Calibri" w:eastAsia="Calibri" w:hAnsi="Calibri" w:cs="Gotham-BookItalic"/>
                <w:b/>
                <w:iCs/>
                <w:color w:val="000000"/>
              </w:rPr>
            </w:pPr>
            <w:r w:rsidRPr="00B54651">
              <w:rPr>
                <w:rFonts w:ascii="Calibri" w:eastAsia="Calibri" w:hAnsi="Calibri" w:cs="Gotham-Book"/>
                <w:b/>
                <w:color w:val="000000"/>
              </w:rPr>
              <w:t>Ambición</w:t>
            </w:r>
          </w:p>
        </w:tc>
        <w:tc>
          <w:tcPr>
            <w:tcW w:w="4820" w:type="dxa"/>
            <w:gridSpan w:val="3"/>
          </w:tcPr>
          <w:p w:rsidR="00B54651" w:rsidRPr="00B54651" w:rsidRDefault="00B54651" w:rsidP="00B54651">
            <w:pPr>
              <w:jc w:val="both"/>
              <w:rPr>
                <w:rFonts w:ascii="Calibri" w:eastAsia="Calibri" w:hAnsi="Calibri" w:cs="Times New Roman"/>
                <w:color w:val="FF0000"/>
                <w:szCs w:val="20"/>
                <w:lang w:val="es-PE"/>
              </w:rPr>
            </w:pPr>
            <w:r w:rsidRPr="00B54651">
              <w:rPr>
                <w:rFonts w:ascii="Calibri" w:eastAsia="Calibri" w:hAnsi="Calibri" w:cs="Times New Roman"/>
                <w:szCs w:val="20"/>
                <w:lang w:val="es-PE"/>
              </w:rPr>
              <w:t>Se espera la mayor apertura hacia los ciudadanos en los Acuerdos plenarios de la Corte Suprema, del Poder Judicial.</w:t>
            </w:r>
          </w:p>
        </w:tc>
      </w:tr>
      <w:tr w:rsidR="00B54651" w:rsidRPr="00B54651" w:rsidTr="00A77FF3">
        <w:tc>
          <w:tcPr>
            <w:tcW w:w="2518" w:type="dxa"/>
            <w:gridSpan w:val="2"/>
            <w:vMerge w:val="restart"/>
            <w:shd w:val="clear" w:color="auto" w:fill="C2D9F0"/>
            <w:vAlign w:val="center"/>
          </w:tcPr>
          <w:p w:rsidR="00B54651" w:rsidRPr="00B54651" w:rsidRDefault="00B54651" w:rsidP="00B54651">
            <w:pPr>
              <w:rPr>
                <w:rFonts w:ascii="Calibri" w:eastAsia="Calibri" w:hAnsi="Calibri" w:cs="Times New Roman"/>
                <w:b/>
                <w:color w:val="000000"/>
              </w:rPr>
            </w:pPr>
            <w:r w:rsidRPr="00B54651">
              <w:rPr>
                <w:rFonts w:ascii="Calibri" w:eastAsia="Calibri" w:hAnsi="Calibri" w:cs="Gotham-Book"/>
                <w:b/>
                <w:color w:val="000000"/>
              </w:rPr>
              <w:t>Cumplimiento</w:t>
            </w:r>
          </w:p>
        </w:tc>
        <w:tc>
          <w:tcPr>
            <w:tcW w:w="1701" w:type="dxa"/>
            <w:shd w:val="clear" w:color="auto" w:fill="C2D9F0"/>
          </w:tcPr>
          <w:p w:rsidR="00B54651" w:rsidRPr="00B54651" w:rsidRDefault="00B54651" w:rsidP="00B54651">
            <w:pPr>
              <w:jc w:val="center"/>
              <w:rPr>
                <w:rFonts w:ascii="Calibri" w:eastAsia="Calibri" w:hAnsi="Calibri" w:cs="Times New Roman"/>
                <w:b/>
                <w:color w:val="000000"/>
              </w:rPr>
            </w:pPr>
            <w:r w:rsidRPr="00B54651">
              <w:rPr>
                <w:rFonts w:ascii="Calibri" w:eastAsia="Calibri" w:hAnsi="Calibri" w:cs="Gotham-Book"/>
                <w:b/>
                <w:color w:val="000000"/>
              </w:rPr>
              <w:t>No iniciado</w:t>
            </w:r>
          </w:p>
        </w:tc>
        <w:tc>
          <w:tcPr>
            <w:tcW w:w="1729" w:type="dxa"/>
            <w:shd w:val="clear" w:color="auto" w:fill="C2D9F0"/>
          </w:tcPr>
          <w:p w:rsidR="00B54651" w:rsidRPr="00B54651" w:rsidRDefault="00B54651" w:rsidP="00B54651">
            <w:pPr>
              <w:jc w:val="center"/>
              <w:rPr>
                <w:rFonts w:ascii="Calibri" w:eastAsia="Calibri" w:hAnsi="Calibri" w:cs="Times New Roman"/>
                <w:b/>
                <w:color w:val="000000"/>
              </w:rPr>
            </w:pPr>
            <w:r w:rsidRPr="00B54651">
              <w:rPr>
                <w:rFonts w:ascii="Calibri" w:eastAsia="Calibri" w:hAnsi="Calibri" w:cs="Gotham-Book"/>
                <w:b/>
                <w:color w:val="000000"/>
              </w:rPr>
              <w:t>Limitado</w:t>
            </w:r>
          </w:p>
        </w:tc>
        <w:tc>
          <w:tcPr>
            <w:tcW w:w="1644" w:type="dxa"/>
            <w:shd w:val="clear" w:color="auto" w:fill="C2D9F0"/>
          </w:tcPr>
          <w:p w:rsidR="00B54651" w:rsidRPr="00B54651" w:rsidRDefault="00B54651" w:rsidP="00B54651">
            <w:pPr>
              <w:jc w:val="center"/>
              <w:rPr>
                <w:rFonts w:ascii="Calibri" w:eastAsia="Calibri" w:hAnsi="Calibri" w:cs="Times New Roman"/>
                <w:b/>
                <w:color w:val="000000"/>
              </w:rPr>
            </w:pPr>
            <w:r w:rsidRPr="00B54651">
              <w:rPr>
                <w:rFonts w:ascii="Calibri" w:eastAsia="Calibri" w:hAnsi="Calibri" w:cs="Gotham-Book"/>
                <w:b/>
                <w:color w:val="000000"/>
              </w:rPr>
              <w:t>Sustancial</w:t>
            </w:r>
          </w:p>
        </w:tc>
        <w:tc>
          <w:tcPr>
            <w:tcW w:w="1447" w:type="dxa"/>
            <w:shd w:val="clear" w:color="auto" w:fill="C2D9F0"/>
          </w:tcPr>
          <w:p w:rsidR="00B54651" w:rsidRPr="00B54651" w:rsidRDefault="00B54651" w:rsidP="00B54651">
            <w:pPr>
              <w:jc w:val="center"/>
              <w:rPr>
                <w:rFonts w:ascii="Calibri" w:eastAsia="Calibri" w:hAnsi="Calibri" w:cs="Times New Roman"/>
                <w:b/>
                <w:color w:val="000000"/>
              </w:rPr>
            </w:pPr>
            <w:r w:rsidRPr="00B54651">
              <w:rPr>
                <w:rFonts w:ascii="Calibri" w:eastAsia="Calibri" w:hAnsi="Calibri" w:cs="Gotham-Book"/>
                <w:b/>
                <w:color w:val="000000"/>
              </w:rPr>
              <w:t>Completo</w:t>
            </w:r>
          </w:p>
        </w:tc>
      </w:tr>
      <w:tr w:rsidR="00B54651" w:rsidRPr="00B54651" w:rsidTr="00A77FF3">
        <w:tc>
          <w:tcPr>
            <w:tcW w:w="2518" w:type="dxa"/>
            <w:gridSpan w:val="2"/>
            <w:vMerge/>
            <w:shd w:val="clear" w:color="auto" w:fill="C6D9F1" w:themeFill="text2" w:themeFillTint="33"/>
            <w:vAlign w:val="center"/>
          </w:tcPr>
          <w:p w:rsidR="00B54651" w:rsidRPr="00B54651" w:rsidRDefault="00B54651" w:rsidP="00B54651">
            <w:pPr>
              <w:rPr>
                <w:rFonts w:ascii="Calibri" w:eastAsia="Calibri" w:hAnsi="Calibri" w:cs="Times New Roman"/>
                <w:b/>
                <w:color w:val="000000"/>
              </w:rPr>
            </w:pPr>
          </w:p>
        </w:tc>
        <w:tc>
          <w:tcPr>
            <w:tcW w:w="1701" w:type="dxa"/>
          </w:tcPr>
          <w:p w:rsidR="00B54651" w:rsidRPr="00B54651" w:rsidRDefault="00B54651" w:rsidP="00B54651">
            <w:pPr>
              <w:jc w:val="center"/>
              <w:rPr>
                <w:rFonts w:ascii="Calibri" w:eastAsia="Calibri" w:hAnsi="Calibri" w:cs="Times New Roman"/>
                <w:b/>
                <w:color w:val="000000"/>
              </w:rPr>
            </w:pPr>
          </w:p>
        </w:tc>
        <w:tc>
          <w:tcPr>
            <w:tcW w:w="1729" w:type="dxa"/>
          </w:tcPr>
          <w:p w:rsidR="00B54651" w:rsidRPr="00B54651" w:rsidRDefault="00B54651" w:rsidP="00B54651">
            <w:pPr>
              <w:jc w:val="center"/>
              <w:rPr>
                <w:rFonts w:ascii="Calibri" w:eastAsia="Calibri" w:hAnsi="Calibri" w:cs="Times New Roman"/>
                <w:b/>
                <w:color w:val="000000"/>
              </w:rPr>
            </w:pPr>
            <w:r w:rsidRPr="00B54651">
              <w:rPr>
                <w:rFonts w:ascii="Calibri" w:eastAsia="Calibri" w:hAnsi="Calibri" w:cs="Times New Roman"/>
                <w:b/>
                <w:color w:val="000000"/>
              </w:rPr>
              <w:t>X</w:t>
            </w:r>
          </w:p>
        </w:tc>
        <w:tc>
          <w:tcPr>
            <w:tcW w:w="1644" w:type="dxa"/>
          </w:tcPr>
          <w:p w:rsidR="00B54651" w:rsidRPr="00B54651" w:rsidRDefault="00B54651" w:rsidP="00B54651">
            <w:pPr>
              <w:jc w:val="center"/>
              <w:rPr>
                <w:rFonts w:ascii="Calibri" w:eastAsia="Calibri" w:hAnsi="Calibri" w:cs="Times New Roman"/>
                <w:b/>
                <w:color w:val="000000"/>
              </w:rPr>
            </w:pPr>
          </w:p>
        </w:tc>
        <w:tc>
          <w:tcPr>
            <w:tcW w:w="1447" w:type="dxa"/>
            <w:shd w:val="clear" w:color="auto" w:fill="FFFFFF" w:themeFill="background1"/>
          </w:tcPr>
          <w:p w:rsidR="00B54651" w:rsidRPr="00B54651" w:rsidRDefault="00B54651" w:rsidP="00B54651">
            <w:pPr>
              <w:jc w:val="center"/>
              <w:rPr>
                <w:rFonts w:ascii="Calibri" w:eastAsia="Calibri" w:hAnsi="Calibri" w:cs="Times New Roman"/>
                <w:b/>
                <w:color w:val="000000"/>
              </w:rPr>
            </w:pPr>
          </w:p>
        </w:tc>
      </w:tr>
      <w:tr w:rsidR="00B54651" w:rsidRPr="00B54651" w:rsidTr="00A77FF3">
        <w:tc>
          <w:tcPr>
            <w:tcW w:w="2518" w:type="dxa"/>
            <w:gridSpan w:val="2"/>
            <w:shd w:val="clear" w:color="auto" w:fill="C2D9F0"/>
            <w:vAlign w:val="center"/>
          </w:tcPr>
          <w:p w:rsidR="00B54651" w:rsidRPr="00B54651" w:rsidRDefault="00B54651" w:rsidP="00B54651">
            <w:pPr>
              <w:autoSpaceDE w:val="0"/>
              <w:autoSpaceDN w:val="0"/>
              <w:adjustRightInd w:val="0"/>
              <w:rPr>
                <w:rFonts w:ascii="Calibri" w:eastAsia="Calibri" w:hAnsi="Calibri" w:cs="Gotham-BookItalic"/>
                <w:b/>
                <w:iCs/>
                <w:color w:val="000000"/>
              </w:rPr>
            </w:pPr>
            <w:r w:rsidRPr="00B54651">
              <w:rPr>
                <w:rFonts w:ascii="Calibri" w:eastAsia="Calibri" w:hAnsi="Calibri" w:cs="Gotham-Book"/>
                <w:b/>
                <w:color w:val="000000"/>
              </w:rPr>
              <w:t>Descripción de los resultados</w:t>
            </w:r>
          </w:p>
        </w:tc>
        <w:tc>
          <w:tcPr>
            <w:tcW w:w="6521" w:type="dxa"/>
            <w:gridSpan w:val="4"/>
          </w:tcPr>
          <w:p w:rsidR="00B54651" w:rsidRPr="00B54651" w:rsidRDefault="00B54651" w:rsidP="00B54651">
            <w:pPr>
              <w:jc w:val="both"/>
              <w:rPr>
                <w:rFonts w:ascii="Calibri" w:eastAsia="Calibri" w:hAnsi="Calibri" w:cs="Times New Roman"/>
                <w:szCs w:val="20"/>
                <w:lang w:val="es-PE"/>
              </w:rPr>
            </w:pPr>
            <w:r w:rsidRPr="00B54651">
              <w:rPr>
                <w:rFonts w:ascii="Calibri" w:eastAsia="Calibri" w:hAnsi="Calibri" w:cs="Times New Roman"/>
                <w:szCs w:val="20"/>
                <w:lang w:val="es-PE"/>
              </w:rPr>
              <w:t>Se contempla las siguientes actividades:</w:t>
            </w:r>
          </w:p>
          <w:p w:rsidR="00B54651" w:rsidRPr="007B72FF" w:rsidRDefault="00B54651" w:rsidP="00B54651">
            <w:pPr>
              <w:jc w:val="both"/>
              <w:rPr>
                <w:rFonts w:ascii="Calibri" w:eastAsia="Calibri" w:hAnsi="Calibri" w:cs="Times New Roman"/>
                <w:b/>
                <w:i/>
                <w:szCs w:val="20"/>
                <w:lang w:val="es-PE"/>
              </w:rPr>
            </w:pPr>
            <w:r w:rsidRPr="007B72FF">
              <w:rPr>
                <w:rFonts w:ascii="Calibri" w:eastAsia="Calibri" w:hAnsi="Calibri" w:cs="Times New Roman"/>
                <w:b/>
                <w:i/>
                <w:szCs w:val="20"/>
                <w:lang w:val="es-PE"/>
              </w:rPr>
              <w:t>1. Proyecto de resolución que regula la participación de los ciudadanos en los acuerdos plenarios de la Corte Suprema de la República terminado.</w:t>
            </w:r>
          </w:p>
          <w:p w:rsidR="00B54651" w:rsidRPr="007B72FF" w:rsidRDefault="00B54651" w:rsidP="00B54651">
            <w:pPr>
              <w:jc w:val="both"/>
              <w:rPr>
                <w:rFonts w:ascii="Calibri" w:eastAsia="Calibri" w:hAnsi="Calibri" w:cs="Times New Roman"/>
                <w:b/>
                <w:i/>
                <w:szCs w:val="20"/>
                <w:lang w:val="es-PE"/>
              </w:rPr>
            </w:pPr>
            <w:r w:rsidRPr="007B72FF">
              <w:rPr>
                <w:rFonts w:ascii="Calibri" w:eastAsia="Calibri" w:hAnsi="Calibri" w:cs="Times New Roman"/>
                <w:b/>
                <w:i/>
                <w:szCs w:val="20"/>
                <w:lang w:val="es-PE"/>
              </w:rPr>
              <w:t>2. Pre-Publicación del proyecto de resolución para comentarios de la ciudadanía.</w:t>
            </w:r>
          </w:p>
          <w:p w:rsidR="00B54651" w:rsidRPr="007B72FF" w:rsidRDefault="00B54651" w:rsidP="00B54651">
            <w:pPr>
              <w:jc w:val="both"/>
              <w:rPr>
                <w:rFonts w:ascii="Calibri" w:eastAsia="Calibri" w:hAnsi="Calibri" w:cs="Times New Roman"/>
                <w:b/>
                <w:i/>
                <w:szCs w:val="20"/>
                <w:lang w:val="es-PE"/>
              </w:rPr>
            </w:pPr>
            <w:r w:rsidRPr="007B72FF">
              <w:rPr>
                <w:rFonts w:ascii="Calibri" w:eastAsia="Calibri" w:hAnsi="Calibri" w:cs="Times New Roman"/>
                <w:b/>
                <w:i/>
                <w:szCs w:val="20"/>
                <w:lang w:val="es-PE"/>
              </w:rPr>
              <w:t>3. Publicación de la resolución que aprueba los lineamientos en el diario oficial El Peruano.</w:t>
            </w:r>
          </w:p>
          <w:p w:rsidR="00B54651" w:rsidRPr="00B54651" w:rsidRDefault="00B54651" w:rsidP="00B54651">
            <w:pPr>
              <w:jc w:val="both"/>
              <w:rPr>
                <w:rFonts w:ascii="Calibri" w:eastAsia="Calibri" w:hAnsi="Calibri" w:cs="Times New Roman"/>
                <w:color w:val="000000"/>
              </w:rPr>
            </w:pPr>
          </w:p>
        </w:tc>
      </w:tr>
      <w:tr w:rsidR="00B54651" w:rsidRPr="00B54651" w:rsidTr="00A77FF3">
        <w:tc>
          <w:tcPr>
            <w:tcW w:w="9039" w:type="dxa"/>
            <w:gridSpan w:val="6"/>
          </w:tcPr>
          <w:p w:rsidR="00B54651" w:rsidRPr="00B54651" w:rsidRDefault="00B54651" w:rsidP="00B54651">
            <w:pPr>
              <w:jc w:val="both"/>
              <w:rPr>
                <w:rFonts w:ascii="Calibri" w:eastAsia="Calibri" w:hAnsi="Calibri" w:cs="Times New Roman"/>
                <w:color w:val="000000"/>
              </w:rPr>
            </w:pPr>
            <w:r w:rsidRPr="00B54651">
              <w:rPr>
                <w:rFonts w:ascii="Calibri" w:eastAsia="Calibri" w:hAnsi="Calibri" w:cs="Gotham-Book"/>
                <w:b/>
                <w:color w:val="000000"/>
              </w:rPr>
              <w:t>Información adicional</w:t>
            </w:r>
          </w:p>
        </w:tc>
      </w:tr>
      <w:tr w:rsidR="00B54651" w:rsidRPr="00B54651" w:rsidTr="00A77FF3">
        <w:tc>
          <w:tcPr>
            <w:tcW w:w="9039" w:type="dxa"/>
            <w:gridSpan w:val="6"/>
          </w:tcPr>
          <w:p w:rsidR="00B54651" w:rsidRPr="00B54651" w:rsidRDefault="00605508" w:rsidP="00B54651">
            <w:pPr>
              <w:jc w:val="both"/>
              <w:rPr>
                <w:rFonts w:ascii="Calibri" w:eastAsia="Calibri" w:hAnsi="Calibri" w:cs="Gotham-Book"/>
                <w:color w:val="000000"/>
              </w:rPr>
            </w:pPr>
            <w:r>
              <w:rPr>
                <w:rFonts w:ascii="Calibri" w:eastAsia="Calibri" w:hAnsi="Calibri" w:cs="Gotham-Book"/>
                <w:color w:val="000000"/>
              </w:rPr>
              <w:t>E</w:t>
            </w:r>
            <w:r w:rsidR="00B54651" w:rsidRPr="00B54651">
              <w:rPr>
                <w:rFonts w:ascii="Calibri" w:eastAsia="Calibri" w:hAnsi="Calibri" w:cs="Gotham-Book"/>
                <w:color w:val="000000"/>
              </w:rPr>
              <w:t>l Poder Judicial ha elaborado un documento de trabajo o lineamientos que unifica los distintos plenos de la Corte Suprema de Justicia</w:t>
            </w:r>
            <w:r w:rsidR="00B54651">
              <w:rPr>
                <w:rFonts w:ascii="Calibri" w:eastAsia="Calibri" w:hAnsi="Calibri" w:cs="Gotham-Book"/>
                <w:color w:val="000000"/>
              </w:rPr>
              <w:t>. D</w:t>
            </w:r>
            <w:r w:rsidR="00B54651" w:rsidRPr="00B54651">
              <w:rPr>
                <w:rFonts w:ascii="Calibri" w:eastAsia="Calibri" w:hAnsi="Calibri" w:cs="Gotham-Book"/>
                <w:color w:val="000000"/>
              </w:rPr>
              <w:t>ad</w:t>
            </w:r>
            <w:r w:rsidR="000230B4">
              <w:rPr>
                <w:rFonts w:ascii="Calibri" w:eastAsia="Calibri" w:hAnsi="Calibri" w:cs="Gotham-Book"/>
                <w:color w:val="000000"/>
              </w:rPr>
              <w:t>a</w:t>
            </w:r>
            <w:r w:rsidR="00B54651" w:rsidRPr="00B54651">
              <w:rPr>
                <w:rFonts w:ascii="Calibri" w:eastAsia="Calibri" w:hAnsi="Calibri" w:cs="Gotham-Book"/>
                <w:color w:val="000000"/>
              </w:rPr>
              <w:t xml:space="preserve"> la naturaleza del procedimiento existen ciertas limitaciones que están siendo superadas para el cumplimiento de los compromisos asumidos.  </w:t>
            </w:r>
          </w:p>
          <w:p w:rsidR="00B54651" w:rsidRPr="00B54651" w:rsidRDefault="00B54651" w:rsidP="00B54651">
            <w:pPr>
              <w:jc w:val="both"/>
              <w:rPr>
                <w:rFonts w:ascii="Calibri" w:eastAsia="Calibri" w:hAnsi="Calibri" w:cs="Gotham-Book"/>
                <w:b/>
                <w:color w:val="000000"/>
              </w:rPr>
            </w:pPr>
            <w:r w:rsidRPr="00B54651">
              <w:rPr>
                <w:rFonts w:ascii="Calibri" w:eastAsia="Calibri" w:hAnsi="Calibri" w:cs="Gotham-Book"/>
                <w:color w:val="000000"/>
              </w:rPr>
              <w:t>Fuente: Oficio N° 8405-2016-SG-CS-PJ</w:t>
            </w:r>
          </w:p>
        </w:tc>
      </w:tr>
    </w:tbl>
    <w:p w:rsidR="000921DE" w:rsidRDefault="000921DE"/>
    <w:p w:rsidR="007B72FF" w:rsidRDefault="005831F0" w:rsidP="005831F0">
      <w:pPr>
        <w:spacing w:after="0" w:line="240" w:lineRule="auto"/>
        <w:jc w:val="both"/>
        <w:rPr>
          <w:rFonts w:ascii="Calibri" w:eastAsia="Calibri" w:hAnsi="Calibri" w:cs="Gotham-Book"/>
          <w:color w:val="000000"/>
        </w:rPr>
      </w:pPr>
      <w:r w:rsidRPr="005831F0">
        <w:rPr>
          <w:rFonts w:ascii="Calibri" w:eastAsia="Calibri" w:hAnsi="Calibri" w:cs="Gotham-Book"/>
          <w:color w:val="000000"/>
        </w:rPr>
        <w:t xml:space="preserve">En síntesis, de 4 compromisos asumidos para el fomento </w:t>
      </w:r>
      <w:r w:rsidR="00F32643">
        <w:rPr>
          <w:rFonts w:ascii="Calibri" w:eastAsia="Calibri" w:hAnsi="Calibri" w:cs="Gotham-Book"/>
          <w:color w:val="000000"/>
        </w:rPr>
        <w:t>de</w:t>
      </w:r>
      <w:r w:rsidRPr="005831F0">
        <w:rPr>
          <w:rFonts w:ascii="Calibri" w:eastAsia="Calibri" w:hAnsi="Calibri" w:cs="Gotham-Book"/>
          <w:color w:val="000000"/>
        </w:rPr>
        <w:t xml:space="preserve"> la participación ciudadana, se ha cumplido </w:t>
      </w:r>
      <w:r>
        <w:rPr>
          <w:rFonts w:ascii="Calibri" w:eastAsia="Calibri" w:hAnsi="Calibri" w:cs="Gotham-Book"/>
          <w:color w:val="000000"/>
        </w:rPr>
        <w:t xml:space="preserve">con la </w:t>
      </w:r>
      <w:r w:rsidRPr="005831F0">
        <w:rPr>
          <w:rFonts w:ascii="Calibri" w:eastAsia="Calibri" w:hAnsi="Calibri" w:cs="Gotham-Book"/>
          <w:color w:val="000000"/>
        </w:rPr>
        <w:t xml:space="preserve">capacitación </w:t>
      </w:r>
      <w:r>
        <w:rPr>
          <w:rFonts w:ascii="Calibri" w:eastAsia="Calibri" w:hAnsi="Calibri" w:cs="Gotham-Book"/>
          <w:color w:val="000000"/>
        </w:rPr>
        <w:t xml:space="preserve">de </w:t>
      </w:r>
      <w:r w:rsidRPr="005831F0">
        <w:rPr>
          <w:rFonts w:ascii="Calibri" w:eastAsia="Calibri" w:hAnsi="Calibri" w:cs="Gotham-Book"/>
          <w:color w:val="000000"/>
        </w:rPr>
        <w:t>funcionarios y líderes sobre la Ley de Consulta Previa, a cargo del MINCUL</w:t>
      </w:r>
      <w:r w:rsidR="00F32643">
        <w:rPr>
          <w:rFonts w:ascii="Calibri" w:eastAsia="Calibri" w:hAnsi="Calibri" w:cs="Gotham-Book"/>
          <w:color w:val="000000"/>
        </w:rPr>
        <w:t>.  Cabe señalar, no obstante, que el propósito fue alcanzar un acuerdo o consenso entre el Estado y los pueblos indígenas para la implementación de la Ley de Consulta previa</w:t>
      </w:r>
      <w:r w:rsidR="00D4022A">
        <w:rPr>
          <w:rFonts w:ascii="Calibri" w:eastAsia="Calibri" w:hAnsi="Calibri" w:cs="Gotham-Book"/>
          <w:color w:val="000000"/>
        </w:rPr>
        <w:t xml:space="preserve"> y su reglamento</w:t>
      </w:r>
      <w:r w:rsidR="00F32643">
        <w:rPr>
          <w:rFonts w:ascii="Calibri" w:eastAsia="Calibri" w:hAnsi="Calibri" w:cs="Gotham-Book"/>
          <w:color w:val="000000"/>
        </w:rPr>
        <w:t>, lo cual no es medible.</w:t>
      </w:r>
      <w:r w:rsidR="0030420B">
        <w:rPr>
          <w:rFonts w:ascii="Calibri" w:eastAsia="Calibri" w:hAnsi="Calibri" w:cs="Gotham-Book"/>
          <w:color w:val="000000"/>
        </w:rPr>
        <w:t xml:space="preserve"> Asimismo, se ha cumplido con organizar el sistema de </w:t>
      </w:r>
      <w:r w:rsidRPr="005831F0">
        <w:rPr>
          <w:rFonts w:ascii="Calibri" w:eastAsia="Calibri" w:hAnsi="Calibri" w:cs="Gotham-Book"/>
          <w:color w:val="000000"/>
        </w:rPr>
        <w:t xml:space="preserve">vigilancia </w:t>
      </w:r>
      <w:r w:rsidR="00EE1694">
        <w:rPr>
          <w:rFonts w:ascii="Calibri" w:eastAsia="Calibri" w:hAnsi="Calibri" w:cs="Gotham-Book"/>
          <w:color w:val="000000"/>
        </w:rPr>
        <w:t>ciudadana</w:t>
      </w:r>
      <w:r w:rsidRPr="005831F0">
        <w:rPr>
          <w:rFonts w:ascii="Calibri" w:eastAsia="Calibri" w:hAnsi="Calibri" w:cs="Gotham-Book"/>
          <w:color w:val="000000"/>
        </w:rPr>
        <w:t xml:space="preserve"> </w:t>
      </w:r>
      <w:r w:rsidR="0030420B">
        <w:rPr>
          <w:rFonts w:ascii="Calibri" w:eastAsia="Calibri" w:hAnsi="Calibri" w:cs="Gotham-Book"/>
          <w:color w:val="000000"/>
        </w:rPr>
        <w:t xml:space="preserve">del </w:t>
      </w:r>
      <w:r w:rsidRPr="005831F0">
        <w:rPr>
          <w:rFonts w:ascii="Calibri" w:eastAsia="Calibri" w:hAnsi="Calibri" w:cs="Gotham-Book"/>
          <w:color w:val="000000"/>
        </w:rPr>
        <w:t xml:space="preserve"> Programa Nacional de Alimentación Escolar “Qali Warma”.</w:t>
      </w:r>
    </w:p>
    <w:p w:rsidR="00F32643" w:rsidRDefault="00F32643" w:rsidP="005831F0">
      <w:pPr>
        <w:spacing w:after="0" w:line="240" w:lineRule="auto"/>
        <w:jc w:val="both"/>
        <w:rPr>
          <w:rFonts w:ascii="Calibri" w:eastAsia="Calibri" w:hAnsi="Calibri" w:cs="Gotham-Book"/>
          <w:color w:val="000000"/>
        </w:rPr>
      </w:pPr>
    </w:p>
    <w:p w:rsidR="007B72FF" w:rsidRDefault="00F32643" w:rsidP="00D4022A">
      <w:pPr>
        <w:spacing w:after="0" w:line="240" w:lineRule="auto"/>
        <w:jc w:val="both"/>
        <w:rPr>
          <w:rFonts w:ascii="Calibri" w:eastAsia="Calibri" w:hAnsi="Calibri" w:cs="Gotham-Book"/>
          <w:color w:val="000000"/>
        </w:rPr>
      </w:pPr>
      <w:r>
        <w:rPr>
          <w:rFonts w:ascii="Calibri" w:eastAsia="Calibri" w:hAnsi="Calibri" w:cs="Gotham-Book"/>
          <w:color w:val="000000"/>
        </w:rPr>
        <w:t>No se ha avanzado en fortalecer los mecanismos de participación ciudadana en las entidades de p</w:t>
      </w:r>
      <w:r w:rsidR="00D4022A">
        <w:rPr>
          <w:rFonts w:ascii="Calibri" w:eastAsia="Calibri" w:hAnsi="Calibri" w:cs="Gotham-Book"/>
          <w:color w:val="000000"/>
        </w:rPr>
        <w:t>ú</w:t>
      </w:r>
      <w:r>
        <w:rPr>
          <w:rFonts w:ascii="Calibri" w:eastAsia="Calibri" w:hAnsi="Calibri" w:cs="Gotham-Book"/>
          <w:color w:val="000000"/>
        </w:rPr>
        <w:t>blicas de los tres niveles de gobierno</w:t>
      </w:r>
      <w:r w:rsidR="00D4022A">
        <w:rPr>
          <w:rFonts w:ascii="Calibri" w:eastAsia="Calibri" w:hAnsi="Calibri" w:cs="Gotham-Book"/>
          <w:color w:val="000000"/>
        </w:rPr>
        <w:t xml:space="preserve"> debido a que </w:t>
      </w:r>
      <w:r w:rsidR="0059542A">
        <w:rPr>
          <w:rFonts w:ascii="Calibri" w:eastAsia="Calibri" w:hAnsi="Calibri" w:cs="Gotham-Book"/>
          <w:color w:val="000000"/>
        </w:rPr>
        <w:t>no se tuvo a tiempo los comentarios de la revisión de los Términos de referencia que hiciera la sociedad civil, no pudiendo comprometer el presupuesto para la contratación de dicho servicio.</w:t>
      </w:r>
    </w:p>
    <w:p w:rsidR="00D4022A" w:rsidRDefault="00D4022A" w:rsidP="00D4022A">
      <w:pPr>
        <w:spacing w:after="0" w:line="240" w:lineRule="auto"/>
        <w:jc w:val="both"/>
        <w:rPr>
          <w:rFonts w:ascii="Calibri" w:eastAsia="Calibri" w:hAnsi="Calibri" w:cs="Gotham-Book"/>
          <w:color w:val="000000"/>
        </w:rPr>
      </w:pPr>
    </w:p>
    <w:p w:rsidR="00700BF4" w:rsidRDefault="00700BF4" w:rsidP="00D14C49">
      <w:pPr>
        <w:rPr>
          <w:b/>
        </w:rPr>
      </w:pPr>
    </w:p>
    <w:p w:rsidR="00D14C49" w:rsidRPr="00D14C49" w:rsidRDefault="00D14C49" w:rsidP="00D14C49">
      <w:pPr>
        <w:rPr>
          <w:b/>
        </w:rPr>
      </w:pPr>
      <w:r w:rsidRPr="00D14C49">
        <w:rPr>
          <w:b/>
        </w:rPr>
        <w:t>Tema 3: rendición de cuentas</w:t>
      </w:r>
    </w:p>
    <w:p w:rsidR="00272BDF" w:rsidRDefault="006A3912" w:rsidP="00D4022A">
      <w:pPr>
        <w:spacing w:after="0" w:line="240" w:lineRule="auto"/>
        <w:jc w:val="both"/>
        <w:rPr>
          <w:rFonts w:ascii="Calibri" w:eastAsia="Calibri" w:hAnsi="Calibri" w:cs="Gotham-Book"/>
          <w:color w:val="000000"/>
        </w:rPr>
      </w:pPr>
      <w:r w:rsidRPr="00D4022A">
        <w:rPr>
          <w:rFonts w:ascii="Calibri" w:eastAsia="Calibri" w:hAnsi="Calibri" w:cs="Gotham-Book"/>
          <w:color w:val="000000"/>
        </w:rPr>
        <w:t xml:space="preserve">En relación a la rendición de cuentas, </w:t>
      </w:r>
      <w:r w:rsidR="003C3262" w:rsidRPr="00D4022A">
        <w:rPr>
          <w:rFonts w:ascii="Calibri" w:eastAsia="Calibri" w:hAnsi="Calibri" w:cs="Gotham-Book"/>
          <w:color w:val="000000"/>
        </w:rPr>
        <w:t xml:space="preserve">el PAGA 2015-2016 estableció tres </w:t>
      </w:r>
      <w:r w:rsidRPr="00D4022A">
        <w:rPr>
          <w:rFonts w:ascii="Calibri" w:eastAsia="Calibri" w:hAnsi="Calibri" w:cs="Gotham-Book"/>
          <w:color w:val="000000"/>
        </w:rPr>
        <w:t xml:space="preserve">compromisos del Estado Peruano </w:t>
      </w:r>
      <w:r w:rsidR="003C3262" w:rsidRPr="00D4022A">
        <w:rPr>
          <w:rFonts w:ascii="Calibri" w:eastAsia="Calibri" w:hAnsi="Calibri" w:cs="Gotham-Book"/>
          <w:color w:val="000000"/>
        </w:rPr>
        <w:t xml:space="preserve">que </w:t>
      </w:r>
      <w:r w:rsidRPr="00D4022A">
        <w:rPr>
          <w:rFonts w:ascii="Calibri" w:eastAsia="Calibri" w:hAnsi="Calibri" w:cs="Gotham-Book"/>
          <w:color w:val="000000"/>
        </w:rPr>
        <w:t>apunta</w:t>
      </w:r>
      <w:r w:rsidR="003C3262" w:rsidRPr="00D4022A">
        <w:rPr>
          <w:rFonts w:ascii="Calibri" w:eastAsia="Calibri" w:hAnsi="Calibri" w:cs="Gotham-Book"/>
          <w:color w:val="000000"/>
        </w:rPr>
        <w:t xml:space="preserve">ban </w:t>
      </w:r>
      <w:r w:rsidRPr="00D4022A">
        <w:rPr>
          <w:rFonts w:ascii="Calibri" w:eastAsia="Calibri" w:hAnsi="Calibri" w:cs="Gotham-Book"/>
          <w:color w:val="000000"/>
        </w:rPr>
        <w:t>a desarrollar el marco normativo y las herramientas que faciliten el proceso de rendición de cuentas de los titulares de las entidades públicas, y mejorar la calidad de las audiencias a nivel de los gobiernos regionales y locales. Asimismo, prop</w:t>
      </w:r>
      <w:r w:rsidR="003C3262" w:rsidRPr="00D4022A">
        <w:rPr>
          <w:rFonts w:ascii="Calibri" w:eastAsia="Calibri" w:hAnsi="Calibri" w:cs="Gotham-Book"/>
          <w:color w:val="000000"/>
        </w:rPr>
        <w:t>uso</w:t>
      </w:r>
      <w:r w:rsidRPr="00D4022A">
        <w:rPr>
          <w:rFonts w:ascii="Calibri" w:eastAsia="Calibri" w:hAnsi="Calibri" w:cs="Gotham-Book"/>
          <w:color w:val="000000"/>
        </w:rPr>
        <w:t xml:space="preserve"> la publicación y rendición de cuentas de las entidades, programas o proyectos dirigidos a la niñez.</w:t>
      </w:r>
    </w:p>
    <w:p w:rsidR="00D4022A" w:rsidRPr="00D4022A" w:rsidRDefault="00D4022A" w:rsidP="00D4022A">
      <w:pPr>
        <w:spacing w:after="0" w:line="240" w:lineRule="auto"/>
        <w:jc w:val="both"/>
        <w:rPr>
          <w:rFonts w:ascii="Calibri" w:eastAsia="Calibri" w:hAnsi="Calibri" w:cs="Gotham-Book"/>
          <w:color w:val="000000"/>
        </w:rPr>
      </w:pPr>
    </w:p>
    <w:tbl>
      <w:tblPr>
        <w:tblStyle w:val="Tablaconcuadrcula1"/>
        <w:tblW w:w="0" w:type="auto"/>
        <w:tblLayout w:type="fixed"/>
        <w:tblLook w:val="04A0" w:firstRow="1" w:lastRow="0" w:firstColumn="1" w:lastColumn="0" w:noHBand="0" w:noVBand="1"/>
      </w:tblPr>
      <w:tblGrid>
        <w:gridCol w:w="2109"/>
        <w:gridCol w:w="409"/>
        <w:gridCol w:w="1701"/>
        <w:gridCol w:w="1729"/>
        <w:gridCol w:w="1644"/>
        <w:gridCol w:w="1447"/>
      </w:tblGrid>
      <w:tr w:rsidR="00EB66E2" w:rsidRPr="009A6EA8" w:rsidTr="00EB66E2">
        <w:tc>
          <w:tcPr>
            <w:tcW w:w="9039" w:type="dxa"/>
            <w:gridSpan w:val="6"/>
            <w:shd w:val="clear" w:color="auto" w:fill="548DD4" w:themeFill="text2" w:themeFillTint="99"/>
          </w:tcPr>
          <w:p w:rsidR="00EB66E2" w:rsidRPr="009A6EA8" w:rsidRDefault="00EB66E2" w:rsidP="00EB66E2">
            <w:pPr>
              <w:ind w:left="360"/>
              <w:jc w:val="center"/>
              <w:rPr>
                <w:b/>
              </w:rPr>
            </w:pPr>
            <w:r>
              <w:rPr>
                <w:b/>
              </w:rPr>
              <w:t>Componente: Rendición de Cuentas</w:t>
            </w:r>
          </w:p>
        </w:tc>
      </w:tr>
      <w:tr w:rsidR="00EB66E2" w:rsidRPr="009A6EA8" w:rsidTr="00EB66E2">
        <w:tc>
          <w:tcPr>
            <w:tcW w:w="9039" w:type="dxa"/>
            <w:gridSpan w:val="6"/>
            <w:shd w:val="clear" w:color="auto" w:fill="548DD4" w:themeFill="text2" w:themeFillTint="99"/>
          </w:tcPr>
          <w:p w:rsidR="00EB66E2" w:rsidRPr="000921DE" w:rsidRDefault="000921DE" w:rsidP="00E35A26">
            <w:pPr>
              <w:ind w:left="360"/>
              <w:jc w:val="center"/>
              <w:rPr>
                <w:rFonts w:ascii="Calibri" w:hAnsi="Calibri"/>
                <w:b/>
                <w:color w:val="000000"/>
              </w:rPr>
            </w:pPr>
            <w:r w:rsidRPr="000921DE">
              <w:rPr>
                <w:rFonts w:ascii="Calibri" w:hAnsi="Calibri"/>
                <w:b/>
                <w:color w:val="000000"/>
                <w:u w:val="single"/>
              </w:rPr>
              <w:t>Compromiso</w:t>
            </w:r>
            <w:r w:rsidR="000C3E09">
              <w:rPr>
                <w:rFonts w:ascii="Calibri" w:hAnsi="Calibri"/>
                <w:b/>
                <w:color w:val="000000"/>
                <w:u w:val="single"/>
              </w:rPr>
              <w:t xml:space="preserve"> </w:t>
            </w:r>
            <w:r w:rsidR="00EB66E2" w:rsidRPr="000921DE">
              <w:rPr>
                <w:rFonts w:ascii="Calibri" w:hAnsi="Calibri"/>
                <w:b/>
                <w:color w:val="000000"/>
                <w:u w:val="single"/>
              </w:rPr>
              <w:t>11</w:t>
            </w:r>
            <w:r w:rsidR="00EB66E2" w:rsidRPr="000921DE">
              <w:rPr>
                <w:rFonts w:ascii="Calibri" w:hAnsi="Calibri"/>
                <w:b/>
                <w:color w:val="000000"/>
              </w:rPr>
              <w:t xml:space="preserve">. Información </w:t>
            </w:r>
            <w:r w:rsidR="00E35A26">
              <w:rPr>
                <w:rFonts w:ascii="Calibri" w:hAnsi="Calibri"/>
                <w:b/>
                <w:color w:val="000000"/>
              </w:rPr>
              <w:t>c</w:t>
            </w:r>
            <w:r w:rsidR="00EB66E2" w:rsidRPr="000921DE">
              <w:rPr>
                <w:rFonts w:ascii="Calibri" w:hAnsi="Calibri"/>
                <w:b/>
                <w:color w:val="000000"/>
              </w:rPr>
              <w:t>omprensible de Informes de Rendición de cuentas de los Titulares de las Entidades Públicas</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Secretaría/Ministerio</w:t>
            </w:r>
          </w:p>
          <w:p w:rsidR="00EB66E2" w:rsidRPr="009A6EA8" w:rsidRDefault="00EB66E2" w:rsidP="00EB66E2">
            <w:pPr>
              <w:rPr>
                <w:b/>
                <w:color w:val="000000" w:themeColor="text1"/>
              </w:rPr>
            </w:pPr>
            <w:r w:rsidRPr="009A6EA8">
              <w:rPr>
                <w:rFonts w:cs="Gotham-Book"/>
                <w:b/>
                <w:color w:val="000000" w:themeColor="text1"/>
              </w:rPr>
              <w:t>Responsable</w:t>
            </w:r>
          </w:p>
        </w:tc>
        <w:tc>
          <w:tcPr>
            <w:tcW w:w="4820" w:type="dxa"/>
            <w:gridSpan w:val="3"/>
          </w:tcPr>
          <w:p w:rsidR="00EB66E2" w:rsidRPr="009A6EA8" w:rsidRDefault="00EB66E2" w:rsidP="00EB66E2">
            <w:pPr>
              <w:jc w:val="both"/>
              <w:rPr>
                <w:color w:val="000000" w:themeColor="text1"/>
              </w:rPr>
            </w:pPr>
            <w:r w:rsidRPr="00A730A4">
              <w:t>Contraloría General de la República</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Nombre de la persona  responsable</w:t>
            </w:r>
          </w:p>
        </w:tc>
        <w:tc>
          <w:tcPr>
            <w:tcW w:w="4820" w:type="dxa"/>
            <w:gridSpan w:val="3"/>
          </w:tcPr>
          <w:p w:rsidR="00EB66E2" w:rsidRPr="009A6EA8" w:rsidRDefault="005031BE" w:rsidP="00EB66E2">
            <w:pPr>
              <w:jc w:val="both"/>
              <w:rPr>
                <w:color w:val="000000" w:themeColor="text1"/>
              </w:rPr>
            </w:pPr>
            <w:r>
              <w:rPr>
                <w:color w:val="000000" w:themeColor="text1"/>
              </w:rPr>
              <w:t>Nelson Shack</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Puesto</w:t>
            </w:r>
          </w:p>
        </w:tc>
        <w:tc>
          <w:tcPr>
            <w:tcW w:w="4820" w:type="dxa"/>
            <w:gridSpan w:val="3"/>
          </w:tcPr>
          <w:p w:rsidR="00EB66E2" w:rsidRPr="009A6EA8" w:rsidRDefault="00EB66E2" w:rsidP="00EB66E2">
            <w:pPr>
              <w:jc w:val="both"/>
              <w:rPr>
                <w:color w:val="000000" w:themeColor="text1"/>
              </w:rPr>
            </w:pPr>
            <w:r>
              <w:rPr>
                <w:color w:val="000000" w:themeColor="text1"/>
              </w:rPr>
              <w:t>Contralor General de la República</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Correo electrónico</w:t>
            </w:r>
          </w:p>
        </w:tc>
        <w:tc>
          <w:tcPr>
            <w:tcW w:w="4820" w:type="dxa"/>
            <w:gridSpan w:val="3"/>
          </w:tcPr>
          <w:p w:rsidR="00EB66E2" w:rsidRPr="009A6EA8" w:rsidRDefault="00EB66E2" w:rsidP="005031BE">
            <w:pPr>
              <w:jc w:val="both"/>
              <w:rPr>
                <w:rFonts w:cs="Arial"/>
                <w:color w:val="0000FF"/>
                <w:u w:val="single"/>
              </w:rPr>
            </w:pP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Teléfono</w:t>
            </w:r>
          </w:p>
        </w:tc>
        <w:tc>
          <w:tcPr>
            <w:tcW w:w="4820" w:type="dxa"/>
            <w:gridSpan w:val="3"/>
          </w:tcPr>
          <w:p w:rsidR="00EB66E2" w:rsidRPr="009A6EA8" w:rsidRDefault="00EB66E2" w:rsidP="00EB66E2">
            <w:pPr>
              <w:jc w:val="both"/>
              <w:rPr>
                <w:color w:val="000000" w:themeColor="text1"/>
              </w:rPr>
            </w:pPr>
            <w:r>
              <w:rPr>
                <w:color w:val="000000" w:themeColor="text1"/>
              </w:rPr>
              <w:t>51-1- 3303000</w:t>
            </w:r>
          </w:p>
        </w:tc>
      </w:tr>
      <w:tr w:rsidR="00EB66E2" w:rsidRPr="009A6EA8" w:rsidTr="00EB66E2">
        <w:tc>
          <w:tcPr>
            <w:tcW w:w="2109" w:type="dxa"/>
            <w:vMerge w:val="restart"/>
            <w:shd w:val="clear" w:color="auto" w:fill="C6D9F1" w:themeFill="text2" w:themeFillTint="33"/>
            <w:vAlign w:val="center"/>
          </w:tcPr>
          <w:p w:rsidR="00EB66E2" w:rsidRPr="009A6EA8" w:rsidRDefault="00EB66E2" w:rsidP="00EB66E2">
            <w:pPr>
              <w:rPr>
                <w:rFonts w:cs="Gotham-Book"/>
                <w:b/>
                <w:color w:val="000000" w:themeColor="text1"/>
              </w:rPr>
            </w:pPr>
            <w:r w:rsidRPr="009A6EA8">
              <w:rPr>
                <w:rFonts w:cs="Gotham-Book"/>
                <w:b/>
                <w:color w:val="000000" w:themeColor="text1"/>
              </w:rPr>
              <w:t>Otros actores involucrados</w:t>
            </w:r>
          </w:p>
        </w:tc>
        <w:tc>
          <w:tcPr>
            <w:tcW w:w="2110" w:type="dxa"/>
            <w:gridSpan w:val="2"/>
            <w:shd w:val="clear" w:color="auto" w:fill="C6D9F1" w:themeFill="text2" w:themeFillTint="33"/>
            <w:vAlign w:val="center"/>
          </w:tcPr>
          <w:p w:rsidR="00EB66E2" w:rsidRPr="009A6EA8" w:rsidRDefault="00EB66E2" w:rsidP="00EB66E2">
            <w:pPr>
              <w:rPr>
                <w:rFonts w:cs="Gotham-Book"/>
                <w:b/>
                <w:color w:val="000000" w:themeColor="text1"/>
              </w:rPr>
            </w:pPr>
            <w:r w:rsidRPr="009A6EA8">
              <w:rPr>
                <w:rFonts w:cs="Gotham-Book"/>
                <w:b/>
                <w:color w:val="000000" w:themeColor="text1"/>
              </w:rPr>
              <w:t>Gobierno</w:t>
            </w:r>
          </w:p>
        </w:tc>
        <w:tc>
          <w:tcPr>
            <w:tcW w:w="4820" w:type="dxa"/>
            <w:gridSpan w:val="3"/>
          </w:tcPr>
          <w:p w:rsidR="00EB66E2" w:rsidRPr="009A6EA8" w:rsidRDefault="00EB66E2" w:rsidP="00EB66E2">
            <w:pPr>
              <w:jc w:val="both"/>
              <w:rPr>
                <w:color w:val="000000" w:themeColor="text1"/>
              </w:rPr>
            </w:pPr>
            <w:r>
              <w:rPr>
                <w:color w:val="000000" w:themeColor="text1"/>
              </w:rPr>
              <w:t>No aplica</w:t>
            </w:r>
          </w:p>
        </w:tc>
      </w:tr>
      <w:tr w:rsidR="00EB66E2" w:rsidRPr="009A6EA8" w:rsidTr="00EB66E2">
        <w:tc>
          <w:tcPr>
            <w:tcW w:w="2109" w:type="dxa"/>
            <w:vMerge/>
            <w:shd w:val="clear" w:color="auto" w:fill="C6D9F1" w:themeFill="text2" w:themeFillTint="33"/>
            <w:vAlign w:val="center"/>
          </w:tcPr>
          <w:p w:rsidR="00EB66E2" w:rsidRPr="009A6EA8" w:rsidRDefault="00EB66E2" w:rsidP="00EB66E2">
            <w:pPr>
              <w:rPr>
                <w:rFonts w:cs="Gotham-Book"/>
                <w:b/>
                <w:color w:val="000000" w:themeColor="text1"/>
              </w:rPr>
            </w:pPr>
          </w:p>
        </w:tc>
        <w:tc>
          <w:tcPr>
            <w:tcW w:w="2110" w:type="dxa"/>
            <w:gridSpan w:val="2"/>
            <w:shd w:val="clear" w:color="auto" w:fill="C6D9F1" w:themeFill="text2" w:themeFillTint="33"/>
            <w:vAlign w:val="center"/>
          </w:tcPr>
          <w:p w:rsidR="00EB66E2" w:rsidRPr="009A6EA8" w:rsidRDefault="00EB66E2" w:rsidP="00EB66E2">
            <w:pPr>
              <w:rPr>
                <w:rFonts w:cs="Gotham-Book"/>
                <w:b/>
                <w:color w:val="000000" w:themeColor="text1"/>
              </w:rPr>
            </w:pPr>
            <w:r w:rsidRPr="009A6EA8">
              <w:rPr>
                <w:rFonts w:cs="Gotham-Book"/>
                <w:b/>
                <w:color w:val="000000" w:themeColor="text1"/>
              </w:rPr>
              <w:t>Sociedad civil, iniciativa privada, grupos de trabajo o multilaterales</w:t>
            </w:r>
          </w:p>
        </w:tc>
        <w:tc>
          <w:tcPr>
            <w:tcW w:w="4820" w:type="dxa"/>
            <w:gridSpan w:val="3"/>
          </w:tcPr>
          <w:p w:rsidR="00EB66E2" w:rsidRPr="009A6EA8" w:rsidRDefault="00EB66E2" w:rsidP="00EB66E2">
            <w:pPr>
              <w:jc w:val="both"/>
              <w:rPr>
                <w:color w:val="000000" w:themeColor="text1"/>
              </w:rPr>
            </w:pPr>
          </w:p>
        </w:tc>
      </w:tr>
      <w:tr w:rsidR="00EB66E2" w:rsidRPr="00A730A4" w:rsidTr="00EB66E2">
        <w:tc>
          <w:tcPr>
            <w:tcW w:w="4219" w:type="dxa"/>
            <w:gridSpan w:val="3"/>
            <w:shd w:val="clear" w:color="auto" w:fill="C6D9F1" w:themeFill="text2" w:themeFillTint="33"/>
            <w:vAlign w:val="center"/>
          </w:tcPr>
          <w:p w:rsidR="00EB66E2" w:rsidRPr="009A6EA8" w:rsidRDefault="00EB66E2" w:rsidP="00EB66E2">
            <w:pPr>
              <w:rPr>
                <w:rFonts w:cs="Gotham-Book"/>
                <w:b/>
                <w:color w:val="000000" w:themeColor="text1"/>
              </w:rPr>
            </w:pPr>
            <w:r w:rsidRPr="009A6EA8">
              <w:rPr>
                <w:rFonts w:cs="Gotham-Book"/>
                <w:b/>
                <w:color w:val="000000" w:themeColor="text1"/>
              </w:rPr>
              <w:t>Status quo o problema/</w:t>
            </w:r>
            <w:r w:rsidRPr="009A6EA8">
              <w:rPr>
                <w:rFonts w:cs="Gotham-Book"/>
                <w:b/>
                <w:color w:val="000000" w:themeColor="text1"/>
              </w:rPr>
              <w:br/>
              <w:t>desafío que será atendido</w:t>
            </w:r>
          </w:p>
        </w:tc>
        <w:tc>
          <w:tcPr>
            <w:tcW w:w="4820" w:type="dxa"/>
            <w:gridSpan w:val="3"/>
          </w:tcPr>
          <w:p w:rsidR="00EB66E2" w:rsidRPr="009A6EA8" w:rsidRDefault="00F35A90" w:rsidP="0048508A">
            <w:pPr>
              <w:autoSpaceDE w:val="0"/>
              <w:autoSpaceDN w:val="0"/>
              <w:adjustRightInd w:val="0"/>
              <w:jc w:val="both"/>
              <w:rPr>
                <w:color w:val="000000" w:themeColor="text1"/>
                <w:lang w:val="es-PE"/>
              </w:rPr>
            </w:pPr>
            <w:r>
              <w:rPr>
                <w:rFonts w:ascii="Calibri" w:hAnsi="Calibri" w:cs="Calibri"/>
                <w:color w:val="000000"/>
                <w:lang w:val="es-PE"/>
              </w:rPr>
              <w:t>Se advierte la necesidad de que l</w:t>
            </w:r>
            <w:r w:rsidR="00EB66E2">
              <w:rPr>
                <w:rFonts w:ascii="Calibri" w:hAnsi="Calibri" w:cs="Calibri"/>
                <w:color w:val="000000"/>
                <w:lang w:val="es-PE"/>
              </w:rPr>
              <w:t xml:space="preserve">a información contenida en los informes de rendición de cuentas de los titulares de las entidades públicas </w:t>
            </w:r>
            <w:r w:rsidR="00A730A4">
              <w:rPr>
                <w:rFonts w:ascii="Calibri" w:hAnsi="Calibri" w:cs="Calibri"/>
                <w:color w:val="000000"/>
                <w:lang w:val="es-PE"/>
              </w:rPr>
              <w:t>regulad</w:t>
            </w:r>
            <w:r w:rsidR="00AD1B80">
              <w:rPr>
                <w:rFonts w:ascii="Calibri" w:hAnsi="Calibri" w:cs="Calibri"/>
                <w:color w:val="000000"/>
                <w:lang w:val="es-PE"/>
              </w:rPr>
              <w:t>a</w:t>
            </w:r>
            <w:r w:rsidR="00A730A4">
              <w:rPr>
                <w:rFonts w:ascii="Calibri" w:hAnsi="Calibri" w:cs="Calibri"/>
                <w:color w:val="000000"/>
                <w:lang w:val="es-PE"/>
              </w:rPr>
              <w:t xml:space="preserve"> por la Directiva No. </w:t>
            </w:r>
            <w:r w:rsidR="00D4022A">
              <w:rPr>
                <w:rFonts w:ascii="Calibri" w:hAnsi="Calibri" w:cs="Calibri"/>
                <w:color w:val="000000"/>
                <w:lang w:val="es-PE"/>
              </w:rPr>
              <w:t>0</w:t>
            </w:r>
            <w:r w:rsidR="00A730A4">
              <w:rPr>
                <w:rFonts w:ascii="Calibri" w:hAnsi="Calibri" w:cs="Calibri"/>
                <w:color w:val="000000"/>
                <w:lang w:val="es-PE"/>
              </w:rPr>
              <w:t>4_2007-C</w:t>
            </w:r>
            <w:r w:rsidR="00AD1B80">
              <w:rPr>
                <w:rFonts w:ascii="Calibri" w:hAnsi="Calibri" w:cs="Calibri"/>
                <w:color w:val="000000"/>
                <w:lang w:val="es-PE"/>
              </w:rPr>
              <w:t>G</w:t>
            </w:r>
            <w:r w:rsidR="00A730A4">
              <w:rPr>
                <w:rFonts w:ascii="Calibri" w:hAnsi="Calibri" w:cs="Calibri"/>
                <w:color w:val="000000"/>
                <w:lang w:val="es-PE"/>
              </w:rPr>
              <w:t>/DES</w:t>
            </w:r>
            <w:r w:rsidR="00AD1B80">
              <w:rPr>
                <w:rFonts w:ascii="Calibri" w:hAnsi="Calibri" w:cs="Calibri"/>
                <w:color w:val="000000"/>
                <w:lang w:val="es-PE"/>
              </w:rPr>
              <w:t xml:space="preserve">, aprobada por Resolución de Contraloría No. 332-2007-CG, </w:t>
            </w:r>
            <w:r>
              <w:rPr>
                <w:rFonts w:ascii="Calibri" w:hAnsi="Calibri" w:cs="Calibri"/>
                <w:color w:val="000000"/>
                <w:lang w:val="es-PE"/>
              </w:rPr>
              <w:t xml:space="preserve">se presente en formatos de mayor comprensión, que respondan </w:t>
            </w:r>
            <w:r w:rsidR="00EB66E2">
              <w:rPr>
                <w:rFonts w:ascii="Calibri" w:hAnsi="Calibri" w:cs="Calibri"/>
                <w:color w:val="000000"/>
                <w:lang w:val="es-PE"/>
              </w:rPr>
              <w:t>a los requerimientos y necesidades de la ciudadanía para el ejercicio del control social y para labores propias del control.</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Objetivo principal</w:t>
            </w:r>
          </w:p>
        </w:tc>
        <w:tc>
          <w:tcPr>
            <w:tcW w:w="4820" w:type="dxa"/>
            <w:gridSpan w:val="3"/>
          </w:tcPr>
          <w:p w:rsidR="00EB66E2" w:rsidRPr="009A6EA8" w:rsidRDefault="00EB66E2" w:rsidP="00EB66E2">
            <w:pPr>
              <w:jc w:val="both"/>
              <w:rPr>
                <w:bCs/>
              </w:rPr>
            </w:pPr>
            <w:r>
              <w:rPr>
                <w:bCs/>
              </w:rPr>
              <w:t>Permitir el fácil acceso y la comprensión de la información brindada por los titulares de las entidades públicas sobre el manejo de los recursos, así como sobre las decisiones adoptadas en ejercicio de sus funciones, dando respuesta a la ciudadanía por la gestión y resultado de sus acciones, pudiendo ser sujeto de control social.</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Breve Descripción del</w:t>
            </w:r>
          </w:p>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Compromiso</w:t>
            </w:r>
          </w:p>
        </w:tc>
        <w:tc>
          <w:tcPr>
            <w:tcW w:w="4820" w:type="dxa"/>
            <w:gridSpan w:val="3"/>
          </w:tcPr>
          <w:p w:rsidR="00EB66E2" w:rsidRPr="009A6EA8" w:rsidRDefault="00EB66E2" w:rsidP="00EB66E2">
            <w:pPr>
              <w:jc w:val="both"/>
              <w:rPr>
                <w:color w:val="FF0000"/>
                <w:szCs w:val="20"/>
                <w:lang w:val="es-PE"/>
              </w:rPr>
            </w:pPr>
            <w:r>
              <w:rPr>
                <w:rFonts w:ascii="Calibri" w:hAnsi="Calibri"/>
                <w:color w:val="000000"/>
              </w:rPr>
              <w:t>Brindar a la ciudadanía información comprensible sobre los informes de rendición de cuentas de los titulares de las entidades públicas a través de la web, a fin de permitir el control social a partir de dicha información.</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Relevancia</w:t>
            </w:r>
          </w:p>
          <w:p w:rsidR="00EB66E2" w:rsidRPr="009A6EA8" w:rsidRDefault="00EB66E2" w:rsidP="00EB66E2">
            <w:pPr>
              <w:autoSpaceDE w:val="0"/>
              <w:autoSpaceDN w:val="0"/>
              <w:adjustRightInd w:val="0"/>
              <w:rPr>
                <w:b/>
                <w:color w:val="000000" w:themeColor="text1"/>
              </w:rPr>
            </w:pPr>
          </w:p>
        </w:tc>
        <w:tc>
          <w:tcPr>
            <w:tcW w:w="4820" w:type="dxa"/>
            <w:gridSpan w:val="3"/>
          </w:tcPr>
          <w:p w:rsidR="00EB66E2" w:rsidRPr="009A6EA8" w:rsidRDefault="00EB66E2" w:rsidP="00EB66E2">
            <w:pPr>
              <w:jc w:val="both"/>
              <w:rPr>
                <w:szCs w:val="20"/>
                <w:lang w:val="es-PE"/>
              </w:rPr>
            </w:pPr>
            <w:r w:rsidRPr="006E5344">
              <w:rPr>
                <w:szCs w:val="20"/>
                <w:lang w:val="es-PE"/>
              </w:rPr>
              <w:t xml:space="preserve">Desarrollar instrumentos basados en herramientas tecnológicas para hacer más comprensible la rendición de cuentas y facilitar el control social contribuye a la transparencia de la gestión y promueve la fiscalización y control de los ciudadanos respecto a la gestión pública, así como se promueve el uso de las tecnologías de la información para disponer de información de interés de la ciudadanía. </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Ambición</w:t>
            </w:r>
          </w:p>
          <w:p w:rsidR="00EB66E2" w:rsidRPr="009A6EA8" w:rsidRDefault="00EB66E2" w:rsidP="00EB66E2">
            <w:pPr>
              <w:autoSpaceDE w:val="0"/>
              <w:autoSpaceDN w:val="0"/>
              <w:adjustRightInd w:val="0"/>
              <w:rPr>
                <w:rFonts w:cs="Gotham-BookItalic"/>
                <w:b/>
                <w:iCs/>
                <w:color w:val="000000" w:themeColor="text1"/>
              </w:rPr>
            </w:pPr>
          </w:p>
        </w:tc>
        <w:tc>
          <w:tcPr>
            <w:tcW w:w="4820" w:type="dxa"/>
            <w:gridSpan w:val="3"/>
          </w:tcPr>
          <w:p w:rsidR="00EB66E2" w:rsidRPr="009A6EA8" w:rsidRDefault="00EB66E2" w:rsidP="00EB66E2">
            <w:pPr>
              <w:jc w:val="both"/>
              <w:rPr>
                <w:szCs w:val="20"/>
                <w:lang w:val="es-PE"/>
              </w:rPr>
            </w:pPr>
            <w:r w:rsidRPr="006E5344">
              <w:rPr>
                <w:szCs w:val="20"/>
                <w:lang w:val="es-PE"/>
              </w:rPr>
              <w:t>Se espera contar con una herramienta que permita poner en práctica de manera eficiente la rendición de cuentas como mecanismo de participación ciudadana, poniendo a la administración pública bajo el control ciudadano</w:t>
            </w:r>
            <w:r w:rsidR="00F35A90">
              <w:rPr>
                <w:szCs w:val="20"/>
                <w:lang w:val="es-PE"/>
              </w:rPr>
              <w:t>,</w:t>
            </w:r>
            <w:r w:rsidRPr="006E5344">
              <w:rPr>
                <w:szCs w:val="20"/>
                <w:lang w:val="es-PE"/>
              </w:rPr>
              <w:t xml:space="preserve"> respecto a las decisiones que toma</w:t>
            </w:r>
            <w:r w:rsidR="006612ED">
              <w:rPr>
                <w:szCs w:val="20"/>
                <w:lang w:val="es-PE"/>
              </w:rPr>
              <w:t>,</w:t>
            </w:r>
            <w:r w:rsidRPr="006E5344">
              <w:rPr>
                <w:szCs w:val="20"/>
                <w:lang w:val="es-PE"/>
              </w:rPr>
              <w:t xml:space="preserve"> así como del manejo de los recursos públicos.</w:t>
            </w:r>
          </w:p>
        </w:tc>
      </w:tr>
      <w:tr w:rsidR="00EB66E2" w:rsidRPr="009A6EA8" w:rsidTr="00EB66E2">
        <w:tc>
          <w:tcPr>
            <w:tcW w:w="2518" w:type="dxa"/>
            <w:gridSpan w:val="2"/>
            <w:vMerge w:val="restart"/>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Cumplimiento</w:t>
            </w:r>
          </w:p>
        </w:tc>
        <w:tc>
          <w:tcPr>
            <w:tcW w:w="1701" w:type="dxa"/>
            <w:shd w:val="clear" w:color="auto" w:fill="C6D9F1" w:themeFill="text2" w:themeFillTint="33"/>
          </w:tcPr>
          <w:p w:rsidR="00EB66E2" w:rsidRPr="009A6EA8" w:rsidRDefault="00EB66E2" w:rsidP="00EB66E2">
            <w:pPr>
              <w:jc w:val="center"/>
              <w:rPr>
                <w:b/>
                <w:color w:val="000000" w:themeColor="text1"/>
              </w:rPr>
            </w:pPr>
            <w:r w:rsidRPr="009A6EA8">
              <w:rPr>
                <w:rFonts w:cs="Gotham-Book"/>
                <w:b/>
                <w:color w:val="000000" w:themeColor="text1"/>
              </w:rPr>
              <w:t>No iniciado</w:t>
            </w:r>
          </w:p>
        </w:tc>
        <w:tc>
          <w:tcPr>
            <w:tcW w:w="1729" w:type="dxa"/>
            <w:shd w:val="clear" w:color="auto" w:fill="C6D9F1" w:themeFill="text2" w:themeFillTint="33"/>
          </w:tcPr>
          <w:p w:rsidR="00EB66E2" w:rsidRPr="009A6EA8" w:rsidRDefault="00EB66E2" w:rsidP="00EB66E2">
            <w:pPr>
              <w:jc w:val="center"/>
              <w:rPr>
                <w:b/>
                <w:color w:val="000000" w:themeColor="text1"/>
              </w:rPr>
            </w:pPr>
            <w:r w:rsidRPr="009A6EA8">
              <w:rPr>
                <w:rFonts w:cs="Gotham-Book"/>
                <w:b/>
                <w:color w:val="000000" w:themeColor="text1"/>
              </w:rPr>
              <w:t>Limitado</w:t>
            </w:r>
          </w:p>
        </w:tc>
        <w:tc>
          <w:tcPr>
            <w:tcW w:w="1644" w:type="dxa"/>
            <w:shd w:val="clear" w:color="auto" w:fill="C6D9F1" w:themeFill="text2" w:themeFillTint="33"/>
          </w:tcPr>
          <w:p w:rsidR="00EB66E2" w:rsidRPr="009A6EA8" w:rsidRDefault="00EB66E2" w:rsidP="00EB66E2">
            <w:pPr>
              <w:jc w:val="center"/>
              <w:rPr>
                <w:b/>
                <w:color w:val="000000" w:themeColor="text1"/>
              </w:rPr>
            </w:pPr>
            <w:r w:rsidRPr="009A6EA8">
              <w:rPr>
                <w:rFonts w:cs="Gotham-Book"/>
                <w:b/>
                <w:color w:val="000000" w:themeColor="text1"/>
              </w:rPr>
              <w:t>Sustancial</w:t>
            </w:r>
          </w:p>
        </w:tc>
        <w:tc>
          <w:tcPr>
            <w:tcW w:w="1447" w:type="dxa"/>
            <w:shd w:val="clear" w:color="auto" w:fill="C6D9F1" w:themeFill="text2" w:themeFillTint="33"/>
          </w:tcPr>
          <w:p w:rsidR="00EB66E2" w:rsidRPr="009A6EA8" w:rsidRDefault="00EB66E2" w:rsidP="00EB66E2">
            <w:pPr>
              <w:jc w:val="center"/>
              <w:rPr>
                <w:b/>
                <w:color w:val="000000" w:themeColor="text1"/>
              </w:rPr>
            </w:pPr>
            <w:r w:rsidRPr="009A6EA8">
              <w:rPr>
                <w:rFonts w:cs="Gotham-Book"/>
                <w:b/>
                <w:color w:val="000000" w:themeColor="text1"/>
              </w:rPr>
              <w:t>Completo</w:t>
            </w:r>
          </w:p>
        </w:tc>
      </w:tr>
      <w:tr w:rsidR="00EB66E2" w:rsidRPr="009A6EA8" w:rsidTr="00EB66E2">
        <w:tc>
          <w:tcPr>
            <w:tcW w:w="2518" w:type="dxa"/>
            <w:gridSpan w:val="2"/>
            <w:vMerge/>
            <w:shd w:val="clear" w:color="auto" w:fill="C6D9F1" w:themeFill="text2" w:themeFillTint="33"/>
            <w:vAlign w:val="center"/>
          </w:tcPr>
          <w:p w:rsidR="00EB66E2" w:rsidRPr="009A6EA8" w:rsidRDefault="00EB66E2" w:rsidP="00EB66E2">
            <w:pPr>
              <w:rPr>
                <w:b/>
                <w:color w:val="000000" w:themeColor="text1"/>
              </w:rPr>
            </w:pPr>
          </w:p>
        </w:tc>
        <w:tc>
          <w:tcPr>
            <w:tcW w:w="1701" w:type="dxa"/>
          </w:tcPr>
          <w:p w:rsidR="00EB66E2" w:rsidRPr="009A6EA8" w:rsidRDefault="00EB66E2" w:rsidP="00EB66E2">
            <w:pPr>
              <w:jc w:val="center"/>
              <w:rPr>
                <w:b/>
                <w:color w:val="000000" w:themeColor="text1"/>
              </w:rPr>
            </w:pPr>
          </w:p>
        </w:tc>
        <w:tc>
          <w:tcPr>
            <w:tcW w:w="1729" w:type="dxa"/>
          </w:tcPr>
          <w:p w:rsidR="00EB66E2" w:rsidRPr="009A6EA8" w:rsidRDefault="00EB66E2" w:rsidP="00EB66E2">
            <w:pPr>
              <w:jc w:val="center"/>
              <w:rPr>
                <w:b/>
                <w:color w:val="000000" w:themeColor="text1"/>
              </w:rPr>
            </w:pPr>
          </w:p>
        </w:tc>
        <w:tc>
          <w:tcPr>
            <w:tcW w:w="1644" w:type="dxa"/>
          </w:tcPr>
          <w:p w:rsidR="00EB66E2" w:rsidRPr="009A6EA8" w:rsidRDefault="00EB66E2" w:rsidP="00EB66E2">
            <w:pPr>
              <w:jc w:val="center"/>
              <w:rPr>
                <w:b/>
                <w:color w:val="000000" w:themeColor="text1"/>
              </w:rPr>
            </w:pPr>
          </w:p>
        </w:tc>
        <w:tc>
          <w:tcPr>
            <w:tcW w:w="1447" w:type="dxa"/>
            <w:shd w:val="clear" w:color="auto" w:fill="FFFFFF" w:themeFill="background1"/>
          </w:tcPr>
          <w:p w:rsidR="00EB66E2" w:rsidRPr="009A6EA8" w:rsidRDefault="00AD1B80" w:rsidP="00EB66E2">
            <w:pPr>
              <w:jc w:val="center"/>
              <w:rPr>
                <w:b/>
                <w:color w:val="000000" w:themeColor="text1"/>
              </w:rPr>
            </w:pPr>
            <w:r>
              <w:rPr>
                <w:b/>
                <w:color w:val="000000" w:themeColor="text1"/>
              </w:rPr>
              <w:t>X</w:t>
            </w:r>
          </w:p>
        </w:tc>
      </w:tr>
      <w:tr w:rsidR="00EB66E2" w:rsidRPr="009A6EA8" w:rsidTr="00EB66E2">
        <w:tc>
          <w:tcPr>
            <w:tcW w:w="2518" w:type="dxa"/>
            <w:gridSpan w:val="2"/>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Descripción de los resultados</w:t>
            </w:r>
          </w:p>
          <w:p w:rsidR="00EB66E2" w:rsidRPr="009A6EA8" w:rsidRDefault="00EB66E2" w:rsidP="00EB66E2">
            <w:pPr>
              <w:autoSpaceDE w:val="0"/>
              <w:autoSpaceDN w:val="0"/>
              <w:adjustRightInd w:val="0"/>
              <w:rPr>
                <w:rFonts w:cs="Gotham-BookItalic"/>
                <w:b/>
                <w:iCs/>
                <w:color w:val="000000" w:themeColor="text1"/>
              </w:rPr>
            </w:pPr>
          </w:p>
        </w:tc>
        <w:tc>
          <w:tcPr>
            <w:tcW w:w="6521" w:type="dxa"/>
            <w:gridSpan w:val="4"/>
          </w:tcPr>
          <w:p w:rsidR="00EB66E2" w:rsidRDefault="00EB66E2" w:rsidP="003A3ABE">
            <w:pPr>
              <w:pStyle w:val="Prrafodelista"/>
              <w:numPr>
                <w:ilvl w:val="0"/>
                <w:numId w:val="6"/>
              </w:numPr>
              <w:jc w:val="both"/>
              <w:rPr>
                <w:b/>
                <w:i/>
                <w:szCs w:val="20"/>
                <w:lang w:val="es-PE"/>
              </w:rPr>
            </w:pPr>
            <w:r w:rsidRPr="00D4022A">
              <w:rPr>
                <w:b/>
                <w:i/>
                <w:szCs w:val="20"/>
                <w:lang w:val="es-PE"/>
              </w:rPr>
              <w:t>Directiva aprobada con el rediseño del proceso de rendición de cuentas de los titulares de las entidades públicas.</w:t>
            </w:r>
          </w:p>
          <w:p w:rsidR="00C34680" w:rsidRPr="00C34680" w:rsidRDefault="00C34680" w:rsidP="00C34680">
            <w:pPr>
              <w:pStyle w:val="Prrafodelista"/>
              <w:jc w:val="both"/>
              <w:rPr>
                <w:szCs w:val="20"/>
                <w:lang w:val="es-PE"/>
              </w:rPr>
            </w:pPr>
            <w:r w:rsidRPr="00C34680">
              <w:rPr>
                <w:szCs w:val="20"/>
                <w:lang w:val="es-PE"/>
              </w:rPr>
              <w:t>Mediante Resolución de Contr</w:t>
            </w:r>
            <w:r>
              <w:rPr>
                <w:szCs w:val="20"/>
                <w:lang w:val="es-PE"/>
              </w:rPr>
              <w:t>o</w:t>
            </w:r>
            <w:r w:rsidRPr="00C34680">
              <w:rPr>
                <w:szCs w:val="20"/>
                <w:lang w:val="es-PE"/>
              </w:rPr>
              <w:t xml:space="preserve">laría No. 159-2016-CG se aprobó la Directiva No. 015-2016-CG/GPROD </w:t>
            </w:r>
            <w:r>
              <w:rPr>
                <w:szCs w:val="20"/>
                <w:lang w:val="es-PE"/>
              </w:rPr>
              <w:t>“</w:t>
            </w:r>
            <w:r w:rsidRPr="00C34680">
              <w:rPr>
                <w:szCs w:val="20"/>
                <w:lang w:val="es-PE"/>
              </w:rPr>
              <w:t>Rendición de Cuentas de los</w:t>
            </w:r>
            <w:r>
              <w:rPr>
                <w:szCs w:val="20"/>
                <w:lang w:val="es-PE"/>
              </w:rPr>
              <w:t xml:space="preserve"> Titulares de las Entidades” que comprende el proceso mediante el cual el Titular de la entidad informa a la Contraloría sobre el uso de bienes y fondos del Estado a su cargo y el resultado de su gestión, para fines de su evaluación y publicación en el portal web de la Contraloría</w:t>
            </w:r>
          </w:p>
          <w:p w:rsidR="00EB66E2" w:rsidRDefault="00EB66E2" w:rsidP="003A3ABE">
            <w:pPr>
              <w:pStyle w:val="Prrafodelista"/>
              <w:numPr>
                <w:ilvl w:val="0"/>
                <w:numId w:val="6"/>
              </w:numPr>
              <w:jc w:val="both"/>
              <w:rPr>
                <w:b/>
                <w:i/>
                <w:szCs w:val="20"/>
                <w:lang w:val="es-PE"/>
              </w:rPr>
            </w:pPr>
            <w:r w:rsidRPr="00D4022A">
              <w:rPr>
                <w:b/>
                <w:i/>
                <w:szCs w:val="20"/>
                <w:lang w:val="es-PE"/>
              </w:rPr>
              <w:t>Herramienta tecnológica con información de los informes de rendición de cuentas de los titulares de las entidades públicas diseñada y operativa.</w:t>
            </w:r>
          </w:p>
          <w:p w:rsidR="00C34680" w:rsidRDefault="00D719CF" w:rsidP="00C34680">
            <w:pPr>
              <w:pStyle w:val="Prrafodelista"/>
              <w:jc w:val="both"/>
              <w:rPr>
                <w:szCs w:val="20"/>
                <w:lang w:val="es-PE"/>
              </w:rPr>
            </w:pPr>
            <w:r w:rsidRPr="00D719CF">
              <w:rPr>
                <w:szCs w:val="20"/>
                <w:lang w:val="es-PE"/>
              </w:rPr>
              <w:t>La directiva No. 015-2016-CG/GPROD establece el uso de un aplicativo</w:t>
            </w:r>
            <w:r w:rsidR="000F6817">
              <w:rPr>
                <w:szCs w:val="20"/>
                <w:lang w:val="es-PE"/>
              </w:rPr>
              <w:t xml:space="preserve"> informático que permite la solicitud de accesos y la presentación de informes de rendición de cuentas en línea.</w:t>
            </w:r>
            <w:r w:rsidRPr="00D719CF">
              <w:rPr>
                <w:szCs w:val="20"/>
                <w:lang w:val="es-PE"/>
              </w:rPr>
              <w:t xml:space="preserve"> </w:t>
            </w:r>
          </w:p>
          <w:p w:rsidR="00BD3FA0" w:rsidRDefault="004165D0" w:rsidP="00C34680">
            <w:pPr>
              <w:pStyle w:val="Prrafodelista"/>
              <w:jc w:val="both"/>
              <w:rPr>
                <w:szCs w:val="20"/>
                <w:lang w:val="es-PE"/>
              </w:rPr>
            </w:pPr>
            <w:hyperlink r:id="rId24" w:history="1">
              <w:r w:rsidR="005B5FE3" w:rsidRPr="00DD6958">
                <w:rPr>
                  <w:rStyle w:val="Hipervnculo"/>
                  <w:szCs w:val="20"/>
                  <w:lang w:val="es-PE"/>
                </w:rPr>
                <w:t>http://www.rendiciondecuentas.gob.pe/files/DIRECTIVA_N015-2016-CGGPROD.pdf</w:t>
              </w:r>
            </w:hyperlink>
          </w:p>
          <w:p w:rsidR="005B5FE3" w:rsidRDefault="005B5FE3" w:rsidP="00C34680">
            <w:pPr>
              <w:pStyle w:val="Prrafodelista"/>
              <w:jc w:val="both"/>
              <w:rPr>
                <w:szCs w:val="20"/>
                <w:lang w:val="es-PE"/>
              </w:rPr>
            </w:pPr>
          </w:p>
          <w:p w:rsidR="00EB66E2" w:rsidRPr="00A223CA" w:rsidRDefault="00EB66E2" w:rsidP="003A3ABE">
            <w:pPr>
              <w:pStyle w:val="Prrafodelista"/>
              <w:numPr>
                <w:ilvl w:val="0"/>
                <w:numId w:val="6"/>
              </w:numPr>
              <w:jc w:val="both"/>
              <w:rPr>
                <w:b/>
                <w:i/>
                <w:szCs w:val="20"/>
                <w:lang w:val="es-PE"/>
              </w:rPr>
            </w:pPr>
            <w:r w:rsidRPr="00A223CA">
              <w:rPr>
                <w:b/>
                <w:i/>
                <w:szCs w:val="20"/>
                <w:lang w:val="es-PE"/>
              </w:rPr>
              <w:t>Lanzamiento y difusión de la herramienta tecnológica.</w:t>
            </w:r>
          </w:p>
          <w:p w:rsidR="00EB66E2" w:rsidRDefault="00E05792" w:rsidP="00EB66E2">
            <w:pPr>
              <w:pStyle w:val="Prrafodelista"/>
              <w:jc w:val="both"/>
              <w:rPr>
                <w:szCs w:val="20"/>
                <w:lang w:val="es-PE"/>
              </w:rPr>
            </w:pPr>
            <w:r w:rsidRPr="005031BE">
              <w:rPr>
                <w:szCs w:val="20"/>
                <w:lang w:val="es-PE"/>
              </w:rPr>
              <w:t xml:space="preserve">El lanzamiento </w:t>
            </w:r>
            <w:r w:rsidR="00DC3F3B" w:rsidRPr="005031BE">
              <w:rPr>
                <w:szCs w:val="20"/>
                <w:lang w:val="es-PE"/>
              </w:rPr>
              <w:t>del aplicativo informátic</w:t>
            </w:r>
            <w:r w:rsidR="000F6817">
              <w:rPr>
                <w:szCs w:val="20"/>
                <w:lang w:val="es-PE"/>
              </w:rPr>
              <w:t>o se efectuó en octubre de 2016, mediante los siguientes medios: Portal Institucional, Diario Oficial El Peruano, talleres, comunicación a Titulares, comunicación a jefes de OCI y a funcionarios CGR.</w:t>
            </w:r>
          </w:p>
          <w:p w:rsidR="00BD3FA0" w:rsidRDefault="004165D0" w:rsidP="00EB66E2">
            <w:pPr>
              <w:pStyle w:val="Prrafodelista"/>
              <w:jc w:val="both"/>
              <w:rPr>
                <w:szCs w:val="20"/>
                <w:lang w:val="es-PE"/>
              </w:rPr>
            </w:pPr>
            <w:hyperlink r:id="rId25" w:history="1">
              <w:r w:rsidR="00BD3FA0" w:rsidRPr="00C23A79">
                <w:rPr>
                  <w:rStyle w:val="Hipervnculo"/>
                  <w:szCs w:val="20"/>
                  <w:lang w:val="es-PE"/>
                </w:rPr>
                <w:t>https://apps1.contraloria.gob.pe/RRCC/ConsultaIRC/Index</w:t>
              </w:r>
            </w:hyperlink>
          </w:p>
          <w:p w:rsidR="00BD3FA0" w:rsidRPr="005031BE" w:rsidRDefault="00BD3FA0" w:rsidP="00EB66E2">
            <w:pPr>
              <w:pStyle w:val="Prrafodelista"/>
              <w:jc w:val="both"/>
              <w:rPr>
                <w:szCs w:val="20"/>
                <w:lang w:val="es-PE"/>
              </w:rPr>
            </w:pPr>
          </w:p>
          <w:p w:rsidR="00EB66E2" w:rsidRPr="000F6817" w:rsidRDefault="00EB66E2" w:rsidP="003A3ABE">
            <w:pPr>
              <w:pStyle w:val="Prrafodelista"/>
              <w:numPr>
                <w:ilvl w:val="0"/>
                <w:numId w:val="6"/>
              </w:numPr>
              <w:jc w:val="both"/>
              <w:rPr>
                <w:szCs w:val="20"/>
                <w:lang w:val="es-PE"/>
              </w:rPr>
            </w:pPr>
            <w:r w:rsidRPr="00D4022A">
              <w:rPr>
                <w:b/>
                <w:i/>
                <w:szCs w:val="20"/>
                <w:lang w:val="es-PE"/>
              </w:rPr>
              <w:t>Difusión y capacitación a nivel nacional sobre la directiva y el uso de la herramienta tecnológica.</w:t>
            </w:r>
            <w:r w:rsidR="00645347" w:rsidRPr="00D4022A">
              <w:rPr>
                <w:b/>
                <w:i/>
                <w:szCs w:val="20"/>
                <w:lang w:val="es-PE"/>
              </w:rPr>
              <w:t xml:space="preserve"> </w:t>
            </w:r>
            <w:r w:rsidR="000F6817">
              <w:rPr>
                <w:szCs w:val="20"/>
                <w:lang w:val="es-PE"/>
              </w:rPr>
              <w:t>Se han desarrollado 20 talleres en Lima (2016) y 4 en las regiones de Huánuco, Cusco, Ica y Ayacucho (2017)</w:t>
            </w:r>
            <w:r w:rsidR="000F6817" w:rsidRPr="000F6817">
              <w:rPr>
                <w:szCs w:val="20"/>
                <w:lang w:val="es-PE"/>
              </w:rPr>
              <w:t>.</w:t>
            </w:r>
          </w:p>
          <w:p w:rsidR="000C6B21" w:rsidRPr="009A6EA8" w:rsidRDefault="000C6B21" w:rsidP="000F6817">
            <w:pPr>
              <w:pStyle w:val="Prrafodelista"/>
              <w:jc w:val="both"/>
              <w:rPr>
                <w:color w:val="000000" w:themeColor="text1"/>
              </w:rPr>
            </w:pPr>
            <w:r w:rsidRPr="005031BE">
              <w:rPr>
                <w:szCs w:val="20"/>
                <w:lang w:val="es-PE"/>
              </w:rPr>
              <w:t xml:space="preserve">Fuente: Oficio N° </w:t>
            </w:r>
            <w:r w:rsidR="00DC3F3B" w:rsidRPr="005031BE">
              <w:rPr>
                <w:szCs w:val="20"/>
                <w:lang w:val="es-PE"/>
              </w:rPr>
              <w:t>962-</w:t>
            </w:r>
            <w:r w:rsidRPr="005031BE">
              <w:rPr>
                <w:szCs w:val="20"/>
                <w:lang w:val="es-PE"/>
              </w:rPr>
              <w:t>201</w:t>
            </w:r>
            <w:r w:rsidR="00DC3F3B" w:rsidRPr="005031BE">
              <w:rPr>
                <w:szCs w:val="20"/>
                <w:lang w:val="es-PE"/>
              </w:rPr>
              <w:t>7</w:t>
            </w:r>
            <w:r w:rsidRPr="005031BE">
              <w:rPr>
                <w:szCs w:val="20"/>
                <w:lang w:val="es-PE"/>
              </w:rPr>
              <w:t>-CG/SGE</w:t>
            </w:r>
          </w:p>
        </w:tc>
      </w:tr>
      <w:tr w:rsidR="00EB66E2" w:rsidRPr="009A6EA8" w:rsidTr="00EB66E2">
        <w:tc>
          <w:tcPr>
            <w:tcW w:w="9039" w:type="dxa"/>
            <w:gridSpan w:val="6"/>
          </w:tcPr>
          <w:p w:rsidR="00BD3FA0" w:rsidRPr="009A6EA8" w:rsidRDefault="00EB66E2" w:rsidP="00700BF4">
            <w:pPr>
              <w:jc w:val="both"/>
              <w:rPr>
                <w:color w:val="000000" w:themeColor="text1"/>
              </w:rPr>
            </w:pPr>
            <w:r w:rsidRPr="009A6EA8">
              <w:rPr>
                <w:rFonts w:cs="Gotham-Book"/>
                <w:b/>
                <w:color w:val="000000" w:themeColor="text1"/>
              </w:rPr>
              <w:t>Información adicional</w:t>
            </w:r>
          </w:p>
        </w:tc>
      </w:tr>
      <w:tr w:rsidR="00EB66E2" w:rsidRPr="009A6EA8" w:rsidTr="00EB66E2">
        <w:tc>
          <w:tcPr>
            <w:tcW w:w="9039" w:type="dxa"/>
            <w:gridSpan w:val="6"/>
          </w:tcPr>
          <w:p w:rsidR="000349C8" w:rsidRPr="00A47DD5" w:rsidRDefault="000349C8" w:rsidP="000349C8">
            <w:pPr>
              <w:jc w:val="both"/>
              <w:rPr>
                <w:rFonts w:cs="Gotham-Book"/>
                <w:color w:val="000000" w:themeColor="text1"/>
              </w:rPr>
            </w:pPr>
            <w:r w:rsidRPr="00A47DD5">
              <w:rPr>
                <w:rFonts w:cs="Gotham-Book"/>
                <w:color w:val="000000" w:themeColor="text1"/>
              </w:rPr>
              <w:t>Los informes de rendición de cuentas pueden ser accedidos a través del siguiente enlace:</w:t>
            </w:r>
          </w:p>
          <w:p w:rsidR="000349C8" w:rsidRDefault="004165D0" w:rsidP="000349C8">
            <w:pPr>
              <w:jc w:val="both"/>
              <w:rPr>
                <w:rFonts w:cs="Gotham-Book"/>
                <w:b/>
                <w:color w:val="000000" w:themeColor="text1"/>
              </w:rPr>
            </w:pPr>
            <w:hyperlink r:id="rId26" w:history="1">
              <w:r w:rsidR="000349C8" w:rsidRPr="00DD6958">
                <w:rPr>
                  <w:rStyle w:val="Hipervnculo"/>
                  <w:rFonts w:cs="Gotham-Book"/>
                  <w:b/>
                </w:rPr>
                <w:t>http://www.rendiciondecuentas.gob.pe/</w:t>
              </w:r>
            </w:hyperlink>
          </w:p>
          <w:p w:rsidR="00EB66E2" w:rsidRPr="009A6EA8" w:rsidRDefault="00EB66E2" w:rsidP="00EB66E2">
            <w:pPr>
              <w:jc w:val="both"/>
              <w:rPr>
                <w:rFonts w:cs="Gotham-Book"/>
                <w:b/>
                <w:color w:val="000000" w:themeColor="text1"/>
              </w:rPr>
            </w:pPr>
          </w:p>
        </w:tc>
      </w:tr>
    </w:tbl>
    <w:p w:rsidR="00EB66E2" w:rsidRDefault="00EB66E2"/>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45073C" w:rsidRPr="00295641" w:rsidTr="00E35A26">
        <w:tc>
          <w:tcPr>
            <w:tcW w:w="9039" w:type="dxa"/>
            <w:gridSpan w:val="6"/>
            <w:shd w:val="clear" w:color="auto" w:fill="548DD4" w:themeFill="text2" w:themeFillTint="99"/>
          </w:tcPr>
          <w:p w:rsidR="0045073C" w:rsidRPr="00295641" w:rsidRDefault="0045073C" w:rsidP="0045073C">
            <w:pPr>
              <w:ind w:left="720"/>
              <w:jc w:val="center"/>
              <w:rPr>
                <w:b/>
              </w:rPr>
            </w:pPr>
            <w:r>
              <w:rPr>
                <w:b/>
              </w:rPr>
              <w:t>Componente: Rendición de Cuentas</w:t>
            </w:r>
          </w:p>
        </w:tc>
      </w:tr>
      <w:tr w:rsidR="0045073C" w:rsidRPr="00295641" w:rsidTr="00E35A26">
        <w:tc>
          <w:tcPr>
            <w:tcW w:w="9039" w:type="dxa"/>
            <w:gridSpan w:val="6"/>
            <w:shd w:val="clear" w:color="auto" w:fill="548DD4" w:themeFill="text2" w:themeFillTint="99"/>
          </w:tcPr>
          <w:p w:rsidR="0045073C" w:rsidRDefault="00E35A26" w:rsidP="0045073C">
            <w:pPr>
              <w:ind w:left="720"/>
              <w:rPr>
                <w:b/>
              </w:rPr>
            </w:pPr>
            <w:r w:rsidRPr="00E35A26">
              <w:rPr>
                <w:b/>
                <w:u w:val="single"/>
              </w:rPr>
              <w:t xml:space="preserve">Compromiso </w:t>
            </w:r>
            <w:r w:rsidR="0045073C" w:rsidRPr="00E35A26">
              <w:rPr>
                <w:b/>
                <w:u w:val="single"/>
              </w:rPr>
              <w:t>12</w:t>
            </w:r>
            <w:r w:rsidR="0045073C">
              <w:rPr>
                <w:b/>
              </w:rPr>
              <w:t>. Mejorar la calidad de las audiencias de rendición de cuentas</w:t>
            </w: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autoSpaceDE w:val="0"/>
              <w:autoSpaceDN w:val="0"/>
              <w:adjustRightInd w:val="0"/>
              <w:rPr>
                <w:rFonts w:cs="Gotham-Book"/>
                <w:b/>
                <w:color w:val="000000" w:themeColor="text1"/>
              </w:rPr>
            </w:pPr>
            <w:r w:rsidRPr="00295641">
              <w:rPr>
                <w:rFonts w:cs="Gotham-Book"/>
                <w:b/>
                <w:color w:val="000000" w:themeColor="text1"/>
              </w:rPr>
              <w:t>Secretaría/Ministerio</w:t>
            </w:r>
          </w:p>
          <w:p w:rsidR="00E35A26" w:rsidRPr="00295641" w:rsidRDefault="00E35A26" w:rsidP="00E35A26">
            <w:pPr>
              <w:rPr>
                <w:b/>
                <w:color w:val="000000" w:themeColor="text1"/>
              </w:rPr>
            </w:pPr>
            <w:r w:rsidRPr="00295641">
              <w:rPr>
                <w:rFonts w:cs="Gotham-Book"/>
                <w:b/>
                <w:color w:val="000000" w:themeColor="text1"/>
              </w:rPr>
              <w:t>Responsable</w:t>
            </w:r>
          </w:p>
        </w:tc>
        <w:tc>
          <w:tcPr>
            <w:tcW w:w="4820" w:type="dxa"/>
            <w:gridSpan w:val="3"/>
          </w:tcPr>
          <w:p w:rsidR="00E35A26" w:rsidRPr="00295641" w:rsidRDefault="00E35A26" w:rsidP="00E35A26">
            <w:pPr>
              <w:jc w:val="both"/>
              <w:rPr>
                <w:color w:val="000000" w:themeColor="text1"/>
              </w:rPr>
            </w:pPr>
            <w:r>
              <w:rPr>
                <w:color w:val="000000" w:themeColor="text1"/>
              </w:rPr>
              <w:t>Presidencia del Consejo de Ministros</w:t>
            </w:r>
            <w:r w:rsidR="007C6E9B">
              <w:rPr>
                <w:color w:val="000000" w:themeColor="text1"/>
              </w:rPr>
              <w:t>,</w:t>
            </w:r>
            <w:r>
              <w:rPr>
                <w:color w:val="000000" w:themeColor="text1"/>
              </w:rPr>
              <w:t xml:space="preserve"> a través de la Secretaría de Gestión Pública</w:t>
            </w: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E35A26" w:rsidRPr="00295641" w:rsidRDefault="009704F5" w:rsidP="009704F5">
            <w:pPr>
              <w:jc w:val="both"/>
              <w:rPr>
                <w:color w:val="000000" w:themeColor="text1"/>
              </w:rPr>
            </w:pPr>
            <w:r>
              <w:rPr>
                <w:color w:val="000000" w:themeColor="text1"/>
              </w:rPr>
              <w:t>Mercedes Araoz</w:t>
            </w: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rPr>
                <w:b/>
                <w:color w:val="000000" w:themeColor="text1"/>
              </w:rPr>
            </w:pPr>
          </w:p>
        </w:tc>
        <w:tc>
          <w:tcPr>
            <w:tcW w:w="4820" w:type="dxa"/>
            <w:gridSpan w:val="3"/>
          </w:tcPr>
          <w:p w:rsidR="00E35A26" w:rsidRPr="00295641" w:rsidRDefault="009704F5" w:rsidP="00E35A26">
            <w:pPr>
              <w:jc w:val="both"/>
              <w:rPr>
                <w:color w:val="000000" w:themeColor="text1"/>
              </w:rPr>
            </w:pPr>
            <w:r>
              <w:rPr>
                <w:color w:val="000000" w:themeColor="text1"/>
              </w:rPr>
              <w:t xml:space="preserve">Presidenta </w:t>
            </w:r>
            <w:r w:rsidR="00E35A26">
              <w:rPr>
                <w:color w:val="000000" w:themeColor="text1"/>
              </w:rPr>
              <w:t xml:space="preserve"> del Consejo de Ministros</w:t>
            </w: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E35A26" w:rsidRPr="00295641" w:rsidRDefault="00E35A26" w:rsidP="00E35A26">
            <w:pPr>
              <w:jc w:val="both"/>
              <w:rPr>
                <w:rFonts w:cs="Arial"/>
                <w:color w:val="0000FF"/>
                <w:u w:val="single"/>
              </w:rPr>
            </w:pP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rPr>
                <w:b/>
                <w:color w:val="000000" w:themeColor="text1"/>
              </w:rPr>
            </w:pPr>
            <w:r w:rsidRPr="00295641">
              <w:rPr>
                <w:rFonts w:cs="Gotham-Book"/>
                <w:b/>
                <w:color w:val="000000" w:themeColor="text1"/>
              </w:rPr>
              <w:t>Teléfono</w:t>
            </w:r>
          </w:p>
        </w:tc>
        <w:tc>
          <w:tcPr>
            <w:tcW w:w="4820" w:type="dxa"/>
            <w:gridSpan w:val="3"/>
          </w:tcPr>
          <w:p w:rsidR="00E35A26" w:rsidRPr="00295641" w:rsidRDefault="00E35A26" w:rsidP="00E35A26">
            <w:pPr>
              <w:jc w:val="both"/>
              <w:rPr>
                <w:color w:val="000000" w:themeColor="text1"/>
              </w:rPr>
            </w:pPr>
            <w:r>
              <w:rPr>
                <w:color w:val="000000" w:themeColor="text1"/>
              </w:rPr>
              <w:t>51-1-2197000</w:t>
            </w:r>
          </w:p>
        </w:tc>
      </w:tr>
      <w:tr w:rsidR="0045073C" w:rsidRPr="00295641" w:rsidTr="00E35A26">
        <w:tc>
          <w:tcPr>
            <w:tcW w:w="2109" w:type="dxa"/>
            <w:vMerge w:val="restart"/>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Gobierno</w:t>
            </w:r>
          </w:p>
        </w:tc>
        <w:tc>
          <w:tcPr>
            <w:tcW w:w="4820" w:type="dxa"/>
            <w:gridSpan w:val="3"/>
          </w:tcPr>
          <w:p w:rsidR="0045073C" w:rsidRPr="00295641" w:rsidRDefault="000C6B21" w:rsidP="00B56E74">
            <w:pPr>
              <w:jc w:val="both"/>
              <w:rPr>
                <w:color w:val="000000" w:themeColor="text1"/>
              </w:rPr>
            </w:pPr>
            <w:r>
              <w:rPr>
                <w:color w:val="000000" w:themeColor="text1"/>
              </w:rPr>
              <w:t>Defensoría del Pueblo, Secretaría de Descentralización de la PCM y Gobiernos Regionales y Locales</w:t>
            </w:r>
          </w:p>
        </w:tc>
      </w:tr>
      <w:tr w:rsidR="0045073C" w:rsidRPr="00295641" w:rsidTr="00E35A26">
        <w:tc>
          <w:tcPr>
            <w:tcW w:w="2109" w:type="dxa"/>
            <w:vMerge/>
            <w:shd w:val="clear" w:color="auto" w:fill="C6D9F1" w:themeFill="text2" w:themeFillTint="33"/>
            <w:vAlign w:val="center"/>
          </w:tcPr>
          <w:p w:rsidR="0045073C" w:rsidRPr="00295641" w:rsidRDefault="0045073C" w:rsidP="00B56E74">
            <w:pPr>
              <w:rPr>
                <w:rFonts w:cs="Gotham-Book"/>
                <w:b/>
                <w:color w:val="000000" w:themeColor="text1"/>
              </w:rPr>
            </w:pPr>
          </w:p>
        </w:tc>
        <w:tc>
          <w:tcPr>
            <w:tcW w:w="2110" w:type="dxa"/>
            <w:gridSpan w:val="2"/>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45073C" w:rsidRPr="00295641" w:rsidRDefault="000C6B21" w:rsidP="00B56E74">
            <w:pPr>
              <w:jc w:val="both"/>
              <w:rPr>
                <w:color w:val="000000" w:themeColor="text1"/>
              </w:rPr>
            </w:pPr>
            <w:r>
              <w:rPr>
                <w:color w:val="000000" w:themeColor="text1"/>
              </w:rPr>
              <w:t>Grupo Propuesta Ciudadana, Ciudadanos al Día</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45073C" w:rsidRDefault="00E35A26" w:rsidP="00B56E74">
            <w:pPr>
              <w:jc w:val="both"/>
              <w:rPr>
                <w:color w:val="000000" w:themeColor="text1"/>
              </w:rPr>
            </w:pPr>
            <w:r>
              <w:rPr>
                <w:color w:val="000000" w:themeColor="text1"/>
              </w:rPr>
              <w:t>De acuerdo a un estudio de la Defensoría del Pueblo</w:t>
            </w:r>
            <w:r w:rsidR="007C6E9B">
              <w:rPr>
                <w:color w:val="000000" w:themeColor="text1"/>
              </w:rPr>
              <w:t>,</w:t>
            </w:r>
            <w:r>
              <w:rPr>
                <w:color w:val="000000" w:themeColor="text1"/>
              </w:rPr>
              <w:t xml:space="preserve"> existen las siguientes dificultades en las audiencias de rendición de cuentas realizadas por los gobiernos subnacionales:</w:t>
            </w:r>
          </w:p>
          <w:p w:rsidR="00E35A26" w:rsidRDefault="00E35A26" w:rsidP="00E35A26">
            <w:pPr>
              <w:pStyle w:val="Prrafodelista"/>
              <w:numPr>
                <w:ilvl w:val="0"/>
                <w:numId w:val="31"/>
              </w:numPr>
              <w:ind w:left="204" w:hanging="141"/>
              <w:jc w:val="both"/>
              <w:rPr>
                <w:color w:val="000000" w:themeColor="text1"/>
              </w:rPr>
            </w:pPr>
            <w:r>
              <w:rPr>
                <w:color w:val="000000" w:themeColor="text1"/>
              </w:rPr>
              <w:t>Los gobiernos regionales y locales emplean diferentes criterios para definir el lugar de realización de las audiencias públicas de rendición de cuentas.</w:t>
            </w:r>
          </w:p>
          <w:p w:rsidR="007C6E9B" w:rsidRDefault="00E35A26" w:rsidP="00EB3380">
            <w:pPr>
              <w:pStyle w:val="Prrafodelista"/>
              <w:numPr>
                <w:ilvl w:val="0"/>
                <w:numId w:val="31"/>
              </w:numPr>
              <w:ind w:left="204" w:hanging="141"/>
              <w:jc w:val="both"/>
              <w:rPr>
                <w:color w:val="000000" w:themeColor="text1"/>
              </w:rPr>
            </w:pPr>
            <w:r w:rsidRPr="007C6E9B">
              <w:rPr>
                <w:color w:val="000000" w:themeColor="text1"/>
              </w:rPr>
              <w:t>Con relación a la convocatoria, solo 10 gobiernos regionales y 4 municipalidades provinciales convocaron a la audiencia pública de rendición de cuent</w:t>
            </w:r>
            <w:r w:rsidR="007C6E9B">
              <w:rPr>
                <w:color w:val="000000" w:themeColor="text1"/>
              </w:rPr>
              <w:t>as con 30 días de anticipación.</w:t>
            </w:r>
          </w:p>
          <w:p w:rsidR="00E35A26" w:rsidRPr="007C6E9B" w:rsidRDefault="00E35A26" w:rsidP="00EB3380">
            <w:pPr>
              <w:pStyle w:val="Prrafodelista"/>
              <w:numPr>
                <w:ilvl w:val="0"/>
                <w:numId w:val="31"/>
              </w:numPr>
              <w:ind w:left="204" w:hanging="141"/>
              <w:jc w:val="both"/>
              <w:rPr>
                <w:color w:val="000000" w:themeColor="text1"/>
              </w:rPr>
            </w:pPr>
            <w:r w:rsidRPr="007C6E9B">
              <w:rPr>
                <w:color w:val="000000" w:themeColor="text1"/>
              </w:rPr>
              <w:t>La mayoría de gobiernos regionales y municipalidades provinciales señaló como temas de agenda los logros, avanc</w:t>
            </w:r>
            <w:r w:rsidR="007C6E9B">
              <w:rPr>
                <w:color w:val="000000" w:themeColor="text1"/>
              </w:rPr>
              <w:t>es y dificultades de la gestión;</w:t>
            </w:r>
            <w:r w:rsidRPr="007C6E9B">
              <w:rPr>
                <w:color w:val="000000" w:themeColor="text1"/>
              </w:rPr>
              <w:t xml:space="preserve"> sin embargo, no brindaron mayor información sobre estos puntos en el informe de rendición de cuentas.</w:t>
            </w:r>
          </w:p>
          <w:p w:rsidR="00E35A26" w:rsidRPr="00E35A26" w:rsidRDefault="00E35A26" w:rsidP="007C6E9B">
            <w:pPr>
              <w:pStyle w:val="Prrafodelista"/>
              <w:numPr>
                <w:ilvl w:val="0"/>
                <w:numId w:val="31"/>
              </w:numPr>
              <w:ind w:left="204" w:hanging="141"/>
              <w:jc w:val="both"/>
              <w:rPr>
                <w:color w:val="000000" w:themeColor="text1"/>
              </w:rPr>
            </w:pPr>
            <w:r>
              <w:rPr>
                <w:color w:val="000000" w:themeColor="text1"/>
              </w:rPr>
              <w:t>Tanto a nivel regional</w:t>
            </w:r>
            <w:r w:rsidR="007C6E9B">
              <w:rPr>
                <w:color w:val="000000" w:themeColor="text1"/>
              </w:rPr>
              <w:t>,</w:t>
            </w:r>
            <w:r>
              <w:rPr>
                <w:color w:val="000000" w:themeColor="text1"/>
              </w:rPr>
              <w:t xml:space="preserve"> como local, los informes de rendición de cuentas no se desarrollaron sobre la base de los logros y avances de la gestión de acuerdo </w:t>
            </w:r>
            <w:r w:rsidR="007C6E9B">
              <w:rPr>
                <w:color w:val="000000" w:themeColor="text1"/>
              </w:rPr>
              <w:t>a lo establecido en el</w:t>
            </w:r>
            <w:r>
              <w:rPr>
                <w:color w:val="000000" w:themeColor="text1"/>
              </w:rPr>
              <w:t xml:space="preserve"> Plan de Desarrollo Regional o Provincial Concertado.</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Objetivo principal</w:t>
            </w:r>
          </w:p>
        </w:tc>
        <w:tc>
          <w:tcPr>
            <w:tcW w:w="4820" w:type="dxa"/>
            <w:gridSpan w:val="3"/>
          </w:tcPr>
          <w:p w:rsidR="0045073C" w:rsidRPr="00EB66E2" w:rsidRDefault="00E35A26" w:rsidP="00B56E74">
            <w:pPr>
              <w:jc w:val="both"/>
              <w:rPr>
                <w:bCs/>
              </w:rPr>
            </w:pPr>
            <w:r>
              <w:rPr>
                <w:bCs/>
              </w:rPr>
              <w:t>Los gobiernos regionales y locales rinden cuentas</w:t>
            </w:r>
            <w:r w:rsidR="00EA115B">
              <w:rPr>
                <w:bCs/>
              </w:rPr>
              <w:t>,</w:t>
            </w:r>
            <w:r>
              <w:rPr>
                <w:bCs/>
              </w:rPr>
              <w:t xml:space="preserve"> de acuerdo a los lineamientos desarrollados para tal fin.</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45073C" w:rsidRPr="00D55406" w:rsidRDefault="00E35A26" w:rsidP="00E35A26">
            <w:pPr>
              <w:jc w:val="both"/>
              <w:rPr>
                <w:color w:val="FF0000"/>
                <w:szCs w:val="20"/>
                <w:lang w:val="es-PE"/>
              </w:rPr>
            </w:pPr>
            <w:r w:rsidRPr="00E35A26">
              <w:rPr>
                <w:szCs w:val="20"/>
                <w:lang w:val="es-PE"/>
              </w:rPr>
              <w:t>Mejorar la calidad de las audiencias de rendición de cuentas de los gobiernos regionales y locales.</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Relevancia</w:t>
            </w:r>
          </w:p>
          <w:p w:rsidR="0045073C" w:rsidRPr="00295641" w:rsidRDefault="0045073C" w:rsidP="00B56E74">
            <w:pPr>
              <w:autoSpaceDE w:val="0"/>
              <w:autoSpaceDN w:val="0"/>
              <w:adjustRightInd w:val="0"/>
              <w:rPr>
                <w:b/>
                <w:color w:val="000000" w:themeColor="text1"/>
              </w:rPr>
            </w:pPr>
          </w:p>
        </w:tc>
        <w:tc>
          <w:tcPr>
            <w:tcW w:w="4820" w:type="dxa"/>
            <w:gridSpan w:val="3"/>
          </w:tcPr>
          <w:p w:rsidR="0045073C" w:rsidRPr="00B020D5" w:rsidRDefault="008F0795" w:rsidP="00B56E74">
            <w:pPr>
              <w:jc w:val="both"/>
              <w:rPr>
                <w:szCs w:val="20"/>
                <w:lang w:val="es-PE"/>
              </w:rPr>
            </w:pPr>
            <w:r w:rsidRPr="00B020D5">
              <w:rPr>
                <w:szCs w:val="20"/>
                <w:lang w:val="es-PE"/>
              </w:rPr>
              <w:t>El compromiso contribuye a fortalecer el mecanismo de rendición de cuentas contando con un mecanismo efectivo en su aplicación que responda a la problemática identificada, fortaleciendo los valores OGP</w:t>
            </w:r>
            <w:r w:rsidR="00EA115B">
              <w:rPr>
                <w:szCs w:val="20"/>
                <w:lang w:val="es-PE"/>
              </w:rPr>
              <w:t>.</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Ambición</w:t>
            </w:r>
          </w:p>
          <w:p w:rsidR="0045073C" w:rsidRPr="00295641" w:rsidRDefault="0045073C" w:rsidP="00B56E74">
            <w:pPr>
              <w:autoSpaceDE w:val="0"/>
              <w:autoSpaceDN w:val="0"/>
              <w:adjustRightInd w:val="0"/>
              <w:rPr>
                <w:rFonts w:cs="Gotham-BookItalic"/>
                <w:b/>
                <w:iCs/>
                <w:color w:val="000000" w:themeColor="text1"/>
              </w:rPr>
            </w:pPr>
          </w:p>
        </w:tc>
        <w:tc>
          <w:tcPr>
            <w:tcW w:w="4820" w:type="dxa"/>
            <w:gridSpan w:val="3"/>
          </w:tcPr>
          <w:p w:rsidR="0045073C" w:rsidRPr="00B020D5" w:rsidRDefault="008F0795" w:rsidP="00B020D5">
            <w:pPr>
              <w:jc w:val="both"/>
              <w:rPr>
                <w:szCs w:val="20"/>
                <w:lang w:val="es-PE"/>
              </w:rPr>
            </w:pPr>
            <w:r w:rsidRPr="00B020D5">
              <w:rPr>
                <w:szCs w:val="20"/>
                <w:lang w:val="es-PE"/>
              </w:rPr>
              <w:t xml:space="preserve">Se espera contar con una Directiva que precise criterios para una efectiva rendición de cuentas </w:t>
            </w:r>
            <w:r w:rsidR="00B020D5">
              <w:rPr>
                <w:szCs w:val="20"/>
                <w:lang w:val="es-PE"/>
              </w:rPr>
              <w:t>considerando</w:t>
            </w:r>
            <w:r w:rsidRPr="00B020D5">
              <w:rPr>
                <w:szCs w:val="20"/>
                <w:lang w:val="es-PE"/>
              </w:rPr>
              <w:t xml:space="preserve">, lugar, plazo contenidos de los informes de rendición de cuentas, temas que </w:t>
            </w:r>
            <w:r w:rsidR="0045073C" w:rsidRPr="00B020D5">
              <w:rPr>
                <w:szCs w:val="20"/>
                <w:lang w:val="es-PE"/>
              </w:rPr>
              <w:t xml:space="preserve">hará al gobierno más abierto </w:t>
            </w:r>
            <w:r w:rsidR="00813B02" w:rsidRPr="00B020D5">
              <w:rPr>
                <w:szCs w:val="20"/>
                <w:lang w:val="es-PE"/>
              </w:rPr>
              <w:t>atendiendo la demanda ciudadana.</w:t>
            </w:r>
            <w:r w:rsidR="0045073C" w:rsidRPr="00B020D5">
              <w:rPr>
                <w:szCs w:val="20"/>
                <w:lang w:val="es-PE"/>
              </w:rPr>
              <w:t xml:space="preserve"> </w:t>
            </w:r>
          </w:p>
        </w:tc>
      </w:tr>
      <w:tr w:rsidR="0045073C" w:rsidRPr="00295641" w:rsidTr="00E35A26">
        <w:tc>
          <w:tcPr>
            <w:tcW w:w="2518" w:type="dxa"/>
            <w:gridSpan w:val="2"/>
            <w:vMerge w:val="restart"/>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Completo</w:t>
            </w:r>
          </w:p>
        </w:tc>
      </w:tr>
      <w:tr w:rsidR="0045073C" w:rsidRPr="00295641" w:rsidTr="00E35A26">
        <w:tc>
          <w:tcPr>
            <w:tcW w:w="2518" w:type="dxa"/>
            <w:gridSpan w:val="2"/>
            <w:vMerge/>
            <w:shd w:val="clear" w:color="auto" w:fill="C6D9F1" w:themeFill="text2" w:themeFillTint="33"/>
            <w:vAlign w:val="center"/>
          </w:tcPr>
          <w:p w:rsidR="0045073C" w:rsidRPr="00295641" w:rsidRDefault="0045073C" w:rsidP="00B56E74">
            <w:pPr>
              <w:rPr>
                <w:b/>
                <w:color w:val="000000" w:themeColor="text1"/>
              </w:rPr>
            </w:pPr>
          </w:p>
        </w:tc>
        <w:tc>
          <w:tcPr>
            <w:tcW w:w="1701" w:type="dxa"/>
          </w:tcPr>
          <w:p w:rsidR="0045073C" w:rsidRPr="00295641" w:rsidRDefault="00813B02" w:rsidP="00B56E74">
            <w:pPr>
              <w:jc w:val="center"/>
              <w:rPr>
                <w:b/>
                <w:color w:val="000000" w:themeColor="text1"/>
              </w:rPr>
            </w:pPr>
            <w:r>
              <w:rPr>
                <w:b/>
                <w:color w:val="000000" w:themeColor="text1"/>
              </w:rPr>
              <w:t>X</w:t>
            </w:r>
          </w:p>
        </w:tc>
        <w:tc>
          <w:tcPr>
            <w:tcW w:w="1729" w:type="dxa"/>
          </w:tcPr>
          <w:p w:rsidR="0045073C" w:rsidRPr="00295641" w:rsidRDefault="0045073C" w:rsidP="00B56E74">
            <w:pPr>
              <w:jc w:val="center"/>
              <w:rPr>
                <w:b/>
                <w:color w:val="000000" w:themeColor="text1"/>
              </w:rPr>
            </w:pPr>
          </w:p>
        </w:tc>
        <w:tc>
          <w:tcPr>
            <w:tcW w:w="1644" w:type="dxa"/>
          </w:tcPr>
          <w:p w:rsidR="0045073C" w:rsidRPr="00295641" w:rsidRDefault="0045073C" w:rsidP="00B56E74">
            <w:pPr>
              <w:jc w:val="center"/>
              <w:rPr>
                <w:b/>
                <w:color w:val="000000" w:themeColor="text1"/>
              </w:rPr>
            </w:pPr>
          </w:p>
        </w:tc>
        <w:tc>
          <w:tcPr>
            <w:tcW w:w="1447" w:type="dxa"/>
            <w:shd w:val="clear" w:color="auto" w:fill="FFFFFF" w:themeFill="background1"/>
          </w:tcPr>
          <w:p w:rsidR="0045073C" w:rsidRPr="00295641" w:rsidRDefault="0045073C" w:rsidP="00B56E74">
            <w:pPr>
              <w:jc w:val="center"/>
              <w:rPr>
                <w:b/>
                <w:color w:val="000000" w:themeColor="text1"/>
              </w:rPr>
            </w:pPr>
          </w:p>
        </w:tc>
      </w:tr>
      <w:tr w:rsidR="0045073C" w:rsidRPr="00295641" w:rsidTr="00E35A26">
        <w:tc>
          <w:tcPr>
            <w:tcW w:w="2518" w:type="dxa"/>
            <w:gridSpan w:val="2"/>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45073C" w:rsidRPr="00295641" w:rsidRDefault="0045073C" w:rsidP="00B56E74">
            <w:pPr>
              <w:autoSpaceDE w:val="0"/>
              <w:autoSpaceDN w:val="0"/>
              <w:adjustRightInd w:val="0"/>
              <w:rPr>
                <w:rFonts w:cs="Gotham-BookItalic"/>
                <w:b/>
                <w:iCs/>
                <w:color w:val="000000" w:themeColor="text1"/>
              </w:rPr>
            </w:pPr>
          </w:p>
        </w:tc>
        <w:tc>
          <w:tcPr>
            <w:tcW w:w="6521" w:type="dxa"/>
            <w:gridSpan w:val="4"/>
          </w:tcPr>
          <w:p w:rsidR="0045073C" w:rsidRPr="009704F5" w:rsidRDefault="00813B02" w:rsidP="00B56E74">
            <w:pPr>
              <w:jc w:val="both"/>
              <w:rPr>
                <w:szCs w:val="20"/>
                <w:lang w:val="es-PE"/>
              </w:rPr>
            </w:pPr>
            <w:r w:rsidRPr="009704F5">
              <w:rPr>
                <w:szCs w:val="20"/>
                <w:lang w:val="es-PE"/>
              </w:rPr>
              <w:t>Se consideraron las siguientes actividades:</w:t>
            </w:r>
          </w:p>
          <w:p w:rsidR="00813B02" w:rsidRPr="009704F5" w:rsidRDefault="00813B02" w:rsidP="00B56E74">
            <w:pPr>
              <w:jc w:val="both"/>
              <w:rPr>
                <w:szCs w:val="20"/>
                <w:lang w:val="es-PE"/>
              </w:rPr>
            </w:pPr>
            <w:r w:rsidRPr="009704F5">
              <w:rPr>
                <w:szCs w:val="20"/>
                <w:lang w:val="es-PE"/>
              </w:rPr>
              <w:t>1. Conformación de un grupo de trabajo integrado por entidades públicas y sociedad civil para elaborar una propuesta de lineamientos de audiencias de rendición de cuentas.</w:t>
            </w:r>
          </w:p>
          <w:p w:rsidR="00813B02" w:rsidRPr="009704F5" w:rsidRDefault="00813B02" w:rsidP="00B56E74">
            <w:pPr>
              <w:jc w:val="both"/>
              <w:rPr>
                <w:szCs w:val="20"/>
                <w:lang w:val="es-PE"/>
              </w:rPr>
            </w:pPr>
            <w:r w:rsidRPr="009704F5">
              <w:rPr>
                <w:szCs w:val="20"/>
                <w:lang w:val="es-PE"/>
              </w:rPr>
              <w:t>2. Lineamientos de audiencias de rendición de cuentas elaborados y aprobados.</w:t>
            </w:r>
          </w:p>
          <w:p w:rsidR="00813B02" w:rsidRPr="009704F5" w:rsidRDefault="00813B02" w:rsidP="00B56E74">
            <w:pPr>
              <w:jc w:val="both"/>
              <w:rPr>
                <w:szCs w:val="20"/>
                <w:lang w:val="es-PE"/>
              </w:rPr>
            </w:pPr>
            <w:r w:rsidRPr="009704F5">
              <w:rPr>
                <w:szCs w:val="20"/>
                <w:lang w:val="es-PE"/>
              </w:rPr>
              <w:t>3. Difusión y capacitación a funcionarios sobre lineamientos en gobiernos regionales y locales seleccionados.</w:t>
            </w:r>
          </w:p>
          <w:p w:rsidR="00813B02" w:rsidRPr="009704F5" w:rsidRDefault="00813B02" w:rsidP="00B56E74">
            <w:pPr>
              <w:jc w:val="both"/>
              <w:rPr>
                <w:b/>
                <w:szCs w:val="20"/>
                <w:lang w:val="es-PE"/>
              </w:rPr>
            </w:pPr>
            <w:r w:rsidRPr="009704F5">
              <w:rPr>
                <w:szCs w:val="20"/>
                <w:lang w:val="es-PE"/>
              </w:rPr>
              <w:t>4. Reporte sobre las mejoras en las audiencias de rendición de cuentas.</w:t>
            </w:r>
          </w:p>
          <w:p w:rsidR="0045073C" w:rsidRPr="009704F5" w:rsidRDefault="0045073C" w:rsidP="00813B02">
            <w:pPr>
              <w:jc w:val="both"/>
              <w:rPr>
                <w:b/>
                <w:color w:val="000000" w:themeColor="text1"/>
              </w:rPr>
            </w:pPr>
          </w:p>
        </w:tc>
      </w:tr>
      <w:tr w:rsidR="0045073C" w:rsidRPr="00295641" w:rsidTr="00E35A26">
        <w:tc>
          <w:tcPr>
            <w:tcW w:w="9039" w:type="dxa"/>
            <w:gridSpan w:val="6"/>
          </w:tcPr>
          <w:p w:rsidR="0045073C" w:rsidRPr="00295641" w:rsidRDefault="0045073C" w:rsidP="00B56E74">
            <w:pPr>
              <w:jc w:val="both"/>
              <w:rPr>
                <w:rFonts w:cs="Gotham-Book"/>
                <w:b/>
                <w:color w:val="000000" w:themeColor="text1"/>
              </w:rPr>
            </w:pPr>
          </w:p>
          <w:p w:rsidR="0045073C" w:rsidRPr="00295641" w:rsidRDefault="0045073C" w:rsidP="00B56E74">
            <w:pPr>
              <w:jc w:val="both"/>
              <w:rPr>
                <w:color w:val="000000" w:themeColor="text1"/>
              </w:rPr>
            </w:pPr>
            <w:r>
              <w:rPr>
                <w:rFonts w:cs="Gotham-Book"/>
                <w:b/>
                <w:color w:val="000000" w:themeColor="text1"/>
              </w:rPr>
              <w:t>Información adicional</w:t>
            </w:r>
          </w:p>
        </w:tc>
      </w:tr>
      <w:tr w:rsidR="0045073C" w:rsidRPr="00295641" w:rsidTr="00E35A26">
        <w:tc>
          <w:tcPr>
            <w:tcW w:w="9039" w:type="dxa"/>
            <w:gridSpan w:val="6"/>
          </w:tcPr>
          <w:p w:rsidR="0045073C" w:rsidRPr="00796392" w:rsidRDefault="000C3E09" w:rsidP="00796392">
            <w:pPr>
              <w:jc w:val="both"/>
              <w:rPr>
                <w:rFonts w:cs="Gotham-Book"/>
                <w:color w:val="000000" w:themeColor="text1"/>
              </w:rPr>
            </w:pPr>
            <w:r w:rsidRPr="000C3E09">
              <w:rPr>
                <w:rFonts w:cs="Gotham-Book"/>
                <w:color w:val="000000" w:themeColor="text1"/>
              </w:rPr>
              <w:t xml:space="preserve">Como se señala en el acápite 2 sobre el proceso de aprobación </w:t>
            </w:r>
            <w:r>
              <w:rPr>
                <w:rFonts w:cs="Gotham-Book"/>
                <w:color w:val="000000" w:themeColor="text1"/>
              </w:rPr>
              <w:t xml:space="preserve">del </w:t>
            </w:r>
            <w:r w:rsidRPr="000C3E09">
              <w:rPr>
                <w:rFonts w:cs="Gotham-Book"/>
                <w:color w:val="000000" w:themeColor="text1"/>
              </w:rPr>
              <w:t xml:space="preserve">Plan 2015-2016, las organizaciones de la sociedad civil </w:t>
            </w:r>
            <w:r w:rsidR="00796392">
              <w:rPr>
                <w:rFonts w:cs="Gotham-Book"/>
                <w:color w:val="000000" w:themeColor="text1"/>
              </w:rPr>
              <w:t xml:space="preserve">que iban a formar parte del grupo de trabajo, </w:t>
            </w:r>
            <w:r w:rsidRPr="000C3E09">
              <w:rPr>
                <w:rFonts w:cs="Gotham-Book"/>
                <w:color w:val="000000" w:themeColor="text1"/>
              </w:rPr>
              <w:t>comunicaron su decisión de suspender el acompañamient</w:t>
            </w:r>
            <w:r w:rsidR="00796392">
              <w:rPr>
                <w:rFonts w:cs="Gotham-Book"/>
                <w:color w:val="000000" w:themeColor="text1"/>
              </w:rPr>
              <w:t>o al proceso de implementación del Plan.</w:t>
            </w:r>
          </w:p>
        </w:tc>
      </w:tr>
    </w:tbl>
    <w:p w:rsidR="0045073C" w:rsidRDefault="0045073C"/>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45073C" w:rsidRPr="00295641" w:rsidTr="002C2EAC">
        <w:tc>
          <w:tcPr>
            <w:tcW w:w="9039" w:type="dxa"/>
            <w:gridSpan w:val="6"/>
            <w:shd w:val="clear" w:color="auto" w:fill="548DD4" w:themeFill="text2" w:themeFillTint="99"/>
          </w:tcPr>
          <w:p w:rsidR="0045073C" w:rsidRPr="00295641" w:rsidRDefault="0045073C" w:rsidP="0045073C">
            <w:pPr>
              <w:ind w:left="720"/>
              <w:jc w:val="center"/>
              <w:rPr>
                <w:b/>
              </w:rPr>
            </w:pPr>
            <w:r>
              <w:rPr>
                <w:b/>
              </w:rPr>
              <w:t>Componente: Rendición de Cuentas</w:t>
            </w:r>
          </w:p>
        </w:tc>
      </w:tr>
      <w:tr w:rsidR="0045073C" w:rsidRPr="00295641" w:rsidTr="002C2EAC">
        <w:tc>
          <w:tcPr>
            <w:tcW w:w="9039" w:type="dxa"/>
            <w:gridSpan w:val="6"/>
            <w:shd w:val="clear" w:color="auto" w:fill="548DD4" w:themeFill="text2" w:themeFillTint="99"/>
          </w:tcPr>
          <w:p w:rsidR="0045073C" w:rsidRDefault="00813B02" w:rsidP="00B56E74">
            <w:pPr>
              <w:ind w:left="720"/>
              <w:rPr>
                <w:b/>
              </w:rPr>
            </w:pPr>
            <w:r w:rsidRPr="00813B02">
              <w:rPr>
                <w:b/>
                <w:u w:val="single"/>
              </w:rPr>
              <w:t xml:space="preserve">Compromiso </w:t>
            </w:r>
            <w:r w:rsidR="0045073C" w:rsidRPr="00813B02">
              <w:rPr>
                <w:b/>
                <w:u w:val="single"/>
              </w:rPr>
              <w:t>13</w:t>
            </w:r>
            <w:r w:rsidR="0045073C">
              <w:rPr>
                <w:b/>
              </w:rPr>
              <w:t xml:space="preserve">. </w:t>
            </w:r>
            <w:r w:rsidR="00E107BA">
              <w:rPr>
                <w:b/>
              </w:rPr>
              <w:t>Implementar mecanismos para rendir cuentas sobre el gasto público en políticas, programas y proyectos dirigidos a la niñez.</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Secretaría/Ministerio</w:t>
            </w:r>
          </w:p>
          <w:p w:rsidR="0045073C" w:rsidRPr="00295641" w:rsidRDefault="0045073C" w:rsidP="00B56E74">
            <w:pPr>
              <w:rPr>
                <w:b/>
                <w:color w:val="000000" w:themeColor="text1"/>
              </w:rPr>
            </w:pPr>
            <w:r w:rsidRPr="00295641">
              <w:rPr>
                <w:rFonts w:cs="Gotham-Book"/>
                <w:b/>
                <w:color w:val="000000" w:themeColor="text1"/>
              </w:rPr>
              <w:t>Responsable</w:t>
            </w:r>
          </w:p>
        </w:tc>
        <w:tc>
          <w:tcPr>
            <w:tcW w:w="4820" w:type="dxa"/>
            <w:gridSpan w:val="3"/>
          </w:tcPr>
          <w:p w:rsidR="00487195" w:rsidRPr="00F24551" w:rsidRDefault="00E107BA" w:rsidP="00B56E74">
            <w:pPr>
              <w:jc w:val="both"/>
            </w:pPr>
            <w:r w:rsidRPr="00F24551">
              <w:t>Ministerio de la Mujer y Poblaciones Vulnerables</w:t>
            </w:r>
          </w:p>
          <w:p w:rsidR="0045073C" w:rsidRPr="00F24551" w:rsidRDefault="0045073C" w:rsidP="00F24551">
            <w:pPr>
              <w:jc w:val="both"/>
            </w:pP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45073C" w:rsidRPr="00F24551" w:rsidRDefault="00F24551" w:rsidP="00796392">
            <w:pPr>
              <w:jc w:val="both"/>
            </w:pPr>
            <w:r w:rsidRPr="00F24551">
              <w:t xml:space="preserve">Ana </w:t>
            </w:r>
            <w:r w:rsidR="00796392">
              <w:t>M</w:t>
            </w:r>
            <w:r w:rsidRPr="00F24551">
              <w:t>aría Choquehuanca</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Puesto</w:t>
            </w:r>
          </w:p>
        </w:tc>
        <w:tc>
          <w:tcPr>
            <w:tcW w:w="4820" w:type="dxa"/>
            <w:gridSpan w:val="3"/>
          </w:tcPr>
          <w:p w:rsidR="0045073C" w:rsidRPr="00F24551" w:rsidRDefault="008F1376" w:rsidP="00F24551">
            <w:pPr>
              <w:jc w:val="both"/>
            </w:pPr>
            <w:r w:rsidRPr="00F24551">
              <w:t>Ministr</w:t>
            </w:r>
            <w:r w:rsidR="00F24551" w:rsidRPr="00F24551">
              <w:t>a</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45073C" w:rsidRPr="00295641" w:rsidRDefault="0045073C" w:rsidP="00B56E74">
            <w:pPr>
              <w:jc w:val="both"/>
              <w:rPr>
                <w:rFonts w:cs="Arial"/>
                <w:color w:val="0000FF"/>
                <w:u w:val="single"/>
              </w:rPr>
            </w:pP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Teléfono</w:t>
            </w:r>
          </w:p>
        </w:tc>
        <w:tc>
          <w:tcPr>
            <w:tcW w:w="4820" w:type="dxa"/>
            <w:gridSpan w:val="3"/>
          </w:tcPr>
          <w:p w:rsidR="00043689" w:rsidRDefault="00043689" w:rsidP="00B56E74">
            <w:pPr>
              <w:jc w:val="both"/>
              <w:rPr>
                <w:color w:val="000000" w:themeColor="text1"/>
              </w:rPr>
            </w:pPr>
            <w:r>
              <w:rPr>
                <w:color w:val="000000" w:themeColor="text1"/>
              </w:rPr>
              <w:t>51-1-6318000 (MIDIS)</w:t>
            </w:r>
          </w:p>
          <w:p w:rsidR="0045073C" w:rsidRPr="00295641" w:rsidRDefault="00F24551" w:rsidP="00043689">
            <w:pPr>
              <w:jc w:val="both"/>
              <w:rPr>
                <w:color w:val="000000" w:themeColor="text1"/>
              </w:rPr>
            </w:pPr>
            <w:r>
              <w:rPr>
                <w:color w:val="000000" w:themeColor="text1"/>
              </w:rPr>
              <w:t>51-1-626-1600 (MIMP)</w:t>
            </w:r>
          </w:p>
        </w:tc>
      </w:tr>
      <w:tr w:rsidR="0045073C" w:rsidRPr="00295641" w:rsidTr="002C2EAC">
        <w:tc>
          <w:tcPr>
            <w:tcW w:w="2109" w:type="dxa"/>
            <w:vMerge w:val="restart"/>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Gobierno</w:t>
            </w:r>
          </w:p>
        </w:tc>
        <w:tc>
          <w:tcPr>
            <w:tcW w:w="4820" w:type="dxa"/>
            <w:gridSpan w:val="3"/>
          </w:tcPr>
          <w:p w:rsidR="00F24551" w:rsidRDefault="00F24551" w:rsidP="00B56E74">
            <w:pPr>
              <w:jc w:val="both"/>
              <w:rPr>
                <w:color w:val="000000" w:themeColor="text1"/>
              </w:rPr>
            </w:pPr>
            <w:r w:rsidRPr="00F24551">
              <w:rPr>
                <w:color w:val="000000" w:themeColor="text1"/>
              </w:rPr>
              <w:t>Ministerio de Desarrollo e Inclusión Socia</w:t>
            </w:r>
            <w:r>
              <w:rPr>
                <w:color w:val="000000" w:themeColor="text1"/>
              </w:rPr>
              <w:t>l (MIDIS)</w:t>
            </w:r>
            <w:r w:rsidRPr="00F24551">
              <w:rPr>
                <w:color w:val="000000" w:themeColor="text1"/>
              </w:rPr>
              <w:t xml:space="preserve"> </w:t>
            </w:r>
            <w:r>
              <w:rPr>
                <w:color w:val="000000" w:themeColor="text1"/>
              </w:rPr>
              <w:t>Ministerio de Economía y Finanzas (MEF)</w:t>
            </w:r>
          </w:p>
          <w:p w:rsidR="0045073C" w:rsidRPr="00295641" w:rsidRDefault="0045073C" w:rsidP="00B56E74">
            <w:pPr>
              <w:jc w:val="both"/>
              <w:rPr>
                <w:color w:val="000000" w:themeColor="text1"/>
              </w:rPr>
            </w:pPr>
          </w:p>
        </w:tc>
      </w:tr>
      <w:tr w:rsidR="0045073C" w:rsidRPr="00295641" w:rsidTr="002C2EAC">
        <w:tc>
          <w:tcPr>
            <w:tcW w:w="2109" w:type="dxa"/>
            <w:vMerge/>
            <w:shd w:val="clear" w:color="auto" w:fill="C6D9F1" w:themeFill="text2" w:themeFillTint="33"/>
            <w:vAlign w:val="center"/>
          </w:tcPr>
          <w:p w:rsidR="0045073C" w:rsidRPr="00295641" w:rsidRDefault="0045073C" w:rsidP="00B56E74">
            <w:pPr>
              <w:rPr>
                <w:rFonts w:cs="Gotham-Book"/>
                <w:b/>
                <w:color w:val="000000" w:themeColor="text1"/>
              </w:rPr>
            </w:pPr>
          </w:p>
        </w:tc>
        <w:tc>
          <w:tcPr>
            <w:tcW w:w="2110" w:type="dxa"/>
            <w:gridSpan w:val="2"/>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45073C" w:rsidRDefault="00F17075" w:rsidP="00B56E74">
            <w:pPr>
              <w:jc w:val="both"/>
              <w:rPr>
                <w:color w:val="000000" w:themeColor="text1"/>
              </w:rPr>
            </w:pPr>
            <w:r>
              <w:rPr>
                <w:color w:val="000000" w:themeColor="text1"/>
              </w:rPr>
              <w:t>Fondo de las Naciones Unidas para la Infancia-UNICEF</w:t>
            </w:r>
          </w:p>
          <w:p w:rsidR="00F24551" w:rsidRPr="00295641" w:rsidRDefault="00F24551" w:rsidP="00B56E74">
            <w:pPr>
              <w:jc w:val="both"/>
              <w:rPr>
                <w:color w:val="000000" w:themeColor="text1"/>
              </w:rPr>
            </w:pPr>
            <w:r w:rsidRPr="00F24551">
              <w:rPr>
                <w:color w:val="000000" w:themeColor="text1"/>
              </w:rPr>
              <w:t>Mesa de Concertación para la Lucha contra la pobreza</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45073C" w:rsidRPr="00295641" w:rsidRDefault="00477C37" w:rsidP="00B56E74">
            <w:pPr>
              <w:jc w:val="both"/>
              <w:rPr>
                <w:color w:val="000000" w:themeColor="text1"/>
              </w:rPr>
            </w:pPr>
            <w:r>
              <w:rPr>
                <w:color w:val="000000" w:themeColor="text1"/>
              </w:rPr>
              <w:t>Es necesario</w:t>
            </w:r>
            <w:r w:rsidR="00464347">
              <w:rPr>
                <w:color w:val="000000" w:themeColor="text1"/>
              </w:rPr>
              <w:t xml:space="preserve"> contar con información sistematizada, actualizada</w:t>
            </w:r>
            <w:r w:rsidR="00E107BA">
              <w:rPr>
                <w:color w:val="000000" w:themeColor="text1"/>
              </w:rPr>
              <w:t xml:space="preserve"> y centralizada sobre los recursos que el Estado destina para la implementación de políticas, programas y proyectos dirigidos a la niñez, a fin de realizar un adecuado seguimiento y rendición de cuentas.</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Objetivo principal</w:t>
            </w:r>
          </w:p>
        </w:tc>
        <w:tc>
          <w:tcPr>
            <w:tcW w:w="4820" w:type="dxa"/>
            <w:gridSpan w:val="3"/>
          </w:tcPr>
          <w:p w:rsidR="0045073C" w:rsidRPr="00EB66E2" w:rsidRDefault="00E107BA" w:rsidP="00E107BA">
            <w:pPr>
              <w:jc w:val="both"/>
              <w:rPr>
                <w:bCs/>
              </w:rPr>
            </w:pPr>
            <w:r>
              <w:rPr>
                <w:bCs/>
              </w:rPr>
              <w:t>Contar con un instrumento que permita identificar el gasto público destinado a la niñez (de forma directa o indirecta), que cuente con consenso interinstitucional y permita disponer de información actualizada para el seguimiento y la toma de decisiones en favor de este grupo de la población.</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45073C" w:rsidRPr="00D55406" w:rsidRDefault="00E107BA" w:rsidP="00464347">
            <w:pPr>
              <w:jc w:val="both"/>
              <w:rPr>
                <w:color w:val="FF0000"/>
                <w:szCs w:val="20"/>
                <w:lang w:val="es-PE"/>
              </w:rPr>
            </w:pPr>
            <w:r>
              <w:rPr>
                <w:szCs w:val="20"/>
                <w:lang w:val="es-PE"/>
              </w:rPr>
              <w:t xml:space="preserve">Implementar mecanismos para publicar y rendir cuentas sobre el gasto público de las entidades </w:t>
            </w:r>
            <w:r w:rsidR="00464347">
              <w:rPr>
                <w:szCs w:val="20"/>
                <w:lang w:val="es-PE"/>
              </w:rPr>
              <w:t>con competencia y funciones en materia de</w:t>
            </w:r>
            <w:r>
              <w:rPr>
                <w:szCs w:val="20"/>
                <w:lang w:val="es-PE"/>
              </w:rPr>
              <w:t xml:space="preserve"> formulación e implementación de políticas, programas y proyectos dirigidos a la niñez.</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Relevancia</w:t>
            </w:r>
          </w:p>
          <w:p w:rsidR="0045073C" w:rsidRPr="00295641" w:rsidRDefault="0045073C" w:rsidP="00B56E74">
            <w:pPr>
              <w:autoSpaceDE w:val="0"/>
              <w:autoSpaceDN w:val="0"/>
              <w:adjustRightInd w:val="0"/>
              <w:rPr>
                <w:b/>
                <w:color w:val="000000" w:themeColor="text1"/>
              </w:rPr>
            </w:pPr>
          </w:p>
        </w:tc>
        <w:tc>
          <w:tcPr>
            <w:tcW w:w="4820" w:type="dxa"/>
            <w:gridSpan w:val="3"/>
          </w:tcPr>
          <w:p w:rsidR="0045073C" w:rsidRPr="00D55406" w:rsidRDefault="00D12754" w:rsidP="00D12754">
            <w:pPr>
              <w:jc w:val="both"/>
              <w:rPr>
                <w:color w:val="FF0000"/>
                <w:szCs w:val="20"/>
                <w:lang w:val="es-PE"/>
              </w:rPr>
            </w:pPr>
            <w:r w:rsidRPr="00D12754">
              <w:rPr>
                <w:szCs w:val="20"/>
                <w:lang w:val="es-PE"/>
              </w:rPr>
              <w:t>El compromiso permite optimizar la rendición de cuentas sobre el gasto público destinado a una población vulnerable como lo es la niñez, contribuye a fortalecer los valores de OGP</w:t>
            </w:r>
            <w:r>
              <w:rPr>
                <w:szCs w:val="20"/>
                <w:lang w:val="es-PE"/>
              </w:rPr>
              <w:t>.</w:t>
            </w:r>
            <w:r w:rsidRPr="00D12754">
              <w:rPr>
                <w:szCs w:val="20"/>
                <w:lang w:val="es-PE"/>
              </w:rPr>
              <w:t xml:space="preserve"> </w:t>
            </w:r>
          </w:p>
        </w:tc>
      </w:tr>
      <w:tr w:rsidR="0045073C" w:rsidRPr="000C6B2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Ambición</w:t>
            </w:r>
          </w:p>
          <w:p w:rsidR="0045073C" w:rsidRPr="00295641" w:rsidRDefault="0045073C" w:rsidP="00B56E74">
            <w:pPr>
              <w:autoSpaceDE w:val="0"/>
              <w:autoSpaceDN w:val="0"/>
              <w:adjustRightInd w:val="0"/>
              <w:rPr>
                <w:rFonts w:cs="Gotham-BookItalic"/>
                <w:b/>
                <w:iCs/>
                <w:color w:val="000000" w:themeColor="text1"/>
              </w:rPr>
            </w:pPr>
          </w:p>
        </w:tc>
        <w:tc>
          <w:tcPr>
            <w:tcW w:w="4820" w:type="dxa"/>
            <w:gridSpan w:val="3"/>
          </w:tcPr>
          <w:p w:rsidR="0045073C" w:rsidRPr="00D55406" w:rsidRDefault="00D12754" w:rsidP="000C6B21">
            <w:pPr>
              <w:jc w:val="both"/>
              <w:rPr>
                <w:color w:val="FF0000"/>
                <w:szCs w:val="20"/>
                <w:lang w:val="es-PE"/>
              </w:rPr>
            </w:pPr>
            <w:r w:rsidRPr="00D12754">
              <w:rPr>
                <w:szCs w:val="20"/>
                <w:lang w:val="es-PE"/>
              </w:rPr>
              <w:t xml:space="preserve">Se espera la continuidad y sostenibilidad </w:t>
            </w:r>
            <w:r w:rsidR="000C6B21" w:rsidRPr="00D12754">
              <w:rPr>
                <w:szCs w:val="20"/>
                <w:lang w:val="es-PE"/>
              </w:rPr>
              <w:t>de</w:t>
            </w:r>
            <w:r w:rsidR="000C6B21">
              <w:rPr>
                <w:szCs w:val="20"/>
                <w:lang w:val="es-PE"/>
              </w:rPr>
              <w:t>l</w:t>
            </w:r>
            <w:r w:rsidR="000C6B21" w:rsidRPr="00D12754">
              <w:rPr>
                <w:szCs w:val="20"/>
                <w:lang w:val="es-PE"/>
              </w:rPr>
              <w:t xml:space="preserve"> </w:t>
            </w:r>
            <w:r w:rsidR="000C6B21">
              <w:rPr>
                <w:szCs w:val="20"/>
                <w:lang w:val="es-PE"/>
              </w:rPr>
              <w:t>compromiso</w:t>
            </w:r>
            <w:r w:rsidRPr="00D12754">
              <w:rPr>
                <w:szCs w:val="20"/>
                <w:lang w:val="es-PE"/>
              </w:rPr>
              <w:t xml:space="preserve"> que ha sido </w:t>
            </w:r>
            <w:r w:rsidR="000C6B21" w:rsidRPr="00D12754">
              <w:rPr>
                <w:szCs w:val="20"/>
                <w:lang w:val="es-PE"/>
              </w:rPr>
              <w:t>concluido</w:t>
            </w:r>
            <w:r w:rsidR="000C6B21">
              <w:rPr>
                <w:szCs w:val="20"/>
                <w:lang w:val="es-PE"/>
              </w:rPr>
              <w:t>.</w:t>
            </w:r>
            <w:r w:rsidR="0045073C" w:rsidRPr="00D55406">
              <w:rPr>
                <w:color w:val="FF0000"/>
                <w:szCs w:val="20"/>
                <w:lang w:val="es-PE"/>
              </w:rPr>
              <w:t xml:space="preserve"> </w:t>
            </w:r>
          </w:p>
        </w:tc>
      </w:tr>
      <w:tr w:rsidR="0045073C" w:rsidRPr="00295641" w:rsidTr="002C2EAC">
        <w:tc>
          <w:tcPr>
            <w:tcW w:w="2518" w:type="dxa"/>
            <w:gridSpan w:val="2"/>
            <w:vMerge w:val="restart"/>
            <w:shd w:val="clear" w:color="auto" w:fill="C6D9F1" w:themeFill="text2" w:themeFillTint="33"/>
            <w:vAlign w:val="center"/>
          </w:tcPr>
          <w:p w:rsidR="0045073C" w:rsidRPr="00295641" w:rsidRDefault="00464347" w:rsidP="00B56E74">
            <w:pPr>
              <w:rPr>
                <w:b/>
                <w:color w:val="000000" w:themeColor="text1"/>
              </w:rPr>
            </w:pPr>
            <w:r>
              <w:br w:type="page"/>
            </w:r>
            <w:r w:rsidR="0045073C" w:rsidRPr="00295641">
              <w:rPr>
                <w:rFonts w:cs="Gotham-Book"/>
                <w:b/>
                <w:color w:val="000000" w:themeColor="text1"/>
              </w:rPr>
              <w:t>Cumplimiento</w:t>
            </w:r>
          </w:p>
        </w:tc>
        <w:tc>
          <w:tcPr>
            <w:tcW w:w="1701"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Completo</w:t>
            </w:r>
          </w:p>
        </w:tc>
      </w:tr>
      <w:tr w:rsidR="0045073C" w:rsidRPr="00295641" w:rsidTr="002C2EAC">
        <w:tc>
          <w:tcPr>
            <w:tcW w:w="2518" w:type="dxa"/>
            <w:gridSpan w:val="2"/>
            <w:vMerge/>
            <w:shd w:val="clear" w:color="auto" w:fill="C6D9F1" w:themeFill="text2" w:themeFillTint="33"/>
            <w:vAlign w:val="center"/>
          </w:tcPr>
          <w:p w:rsidR="0045073C" w:rsidRPr="00295641" w:rsidRDefault="0045073C" w:rsidP="00B56E74">
            <w:pPr>
              <w:rPr>
                <w:b/>
                <w:color w:val="000000" w:themeColor="text1"/>
              </w:rPr>
            </w:pPr>
          </w:p>
        </w:tc>
        <w:tc>
          <w:tcPr>
            <w:tcW w:w="1701" w:type="dxa"/>
          </w:tcPr>
          <w:p w:rsidR="0045073C" w:rsidRPr="00295641" w:rsidRDefault="0045073C" w:rsidP="00B56E74">
            <w:pPr>
              <w:jc w:val="center"/>
              <w:rPr>
                <w:b/>
                <w:color w:val="000000" w:themeColor="text1"/>
              </w:rPr>
            </w:pPr>
          </w:p>
        </w:tc>
        <w:tc>
          <w:tcPr>
            <w:tcW w:w="1729" w:type="dxa"/>
          </w:tcPr>
          <w:p w:rsidR="0045073C" w:rsidRPr="00295641" w:rsidRDefault="0045073C" w:rsidP="00B56E74">
            <w:pPr>
              <w:jc w:val="center"/>
              <w:rPr>
                <w:b/>
                <w:color w:val="000000" w:themeColor="text1"/>
              </w:rPr>
            </w:pPr>
          </w:p>
        </w:tc>
        <w:tc>
          <w:tcPr>
            <w:tcW w:w="1644" w:type="dxa"/>
          </w:tcPr>
          <w:p w:rsidR="0045073C" w:rsidRPr="00295641" w:rsidRDefault="0045073C" w:rsidP="00B56E74">
            <w:pPr>
              <w:jc w:val="center"/>
              <w:rPr>
                <w:b/>
                <w:color w:val="000000" w:themeColor="text1"/>
              </w:rPr>
            </w:pPr>
          </w:p>
        </w:tc>
        <w:tc>
          <w:tcPr>
            <w:tcW w:w="1447" w:type="dxa"/>
            <w:shd w:val="clear" w:color="auto" w:fill="FFFFFF" w:themeFill="background1"/>
          </w:tcPr>
          <w:p w:rsidR="0045073C" w:rsidRPr="00295641" w:rsidRDefault="00F17075" w:rsidP="00B56E74">
            <w:pPr>
              <w:jc w:val="center"/>
              <w:rPr>
                <w:b/>
                <w:color w:val="000000" w:themeColor="text1"/>
              </w:rPr>
            </w:pPr>
            <w:r>
              <w:rPr>
                <w:b/>
                <w:color w:val="000000" w:themeColor="text1"/>
              </w:rPr>
              <w:t>X</w:t>
            </w:r>
          </w:p>
        </w:tc>
      </w:tr>
      <w:tr w:rsidR="0045073C" w:rsidRPr="00295641" w:rsidTr="002C2EAC">
        <w:tc>
          <w:tcPr>
            <w:tcW w:w="2518" w:type="dxa"/>
            <w:gridSpan w:val="2"/>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45073C" w:rsidRPr="00295641" w:rsidRDefault="0045073C" w:rsidP="00B56E74">
            <w:pPr>
              <w:autoSpaceDE w:val="0"/>
              <w:autoSpaceDN w:val="0"/>
              <w:adjustRightInd w:val="0"/>
              <w:rPr>
                <w:rFonts w:cs="Gotham-BookItalic"/>
                <w:b/>
                <w:iCs/>
                <w:color w:val="000000" w:themeColor="text1"/>
              </w:rPr>
            </w:pPr>
          </w:p>
        </w:tc>
        <w:tc>
          <w:tcPr>
            <w:tcW w:w="6521" w:type="dxa"/>
            <w:gridSpan w:val="4"/>
          </w:tcPr>
          <w:p w:rsidR="00597937" w:rsidRPr="00F17075" w:rsidRDefault="00597937" w:rsidP="00597937">
            <w:pPr>
              <w:jc w:val="both"/>
              <w:rPr>
                <w:szCs w:val="20"/>
                <w:lang w:val="es-PE"/>
              </w:rPr>
            </w:pPr>
            <w:r w:rsidRPr="00F17075">
              <w:rPr>
                <w:szCs w:val="20"/>
                <w:lang w:val="es-PE"/>
              </w:rPr>
              <w:t>Se contempló las siguientes acciones:</w:t>
            </w:r>
          </w:p>
          <w:p w:rsidR="00597937" w:rsidRPr="003F0EF8" w:rsidRDefault="00597937" w:rsidP="00597937">
            <w:pPr>
              <w:pStyle w:val="Prrafodelista"/>
              <w:numPr>
                <w:ilvl w:val="0"/>
                <w:numId w:val="29"/>
              </w:numPr>
              <w:ind w:left="317" w:hanging="283"/>
              <w:jc w:val="both"/>
              <w:rPr>
                <w:szCs w:val="20"/>
                <w:lang w:val="es-PE"/>
              </w:rPr>
            </w:pPr>
            <w:r w:rsidRPr="003F0EF8">
              <w:rPr>
                <w:szCs w:val="20"/>
                <w:lang w:val="es-PE"/>
              </w:rPr>
              <w:t xml:space="preserve">Publicación, por parte del Grupo de Trabajo Multisectorial de seguimiento de gasto Público en Niñas, niños y Adolescentes de la Comisión Permanente encargada de implementar el PNAIA  l, del documento de taxonomía y propuesta de seguimiento del gasto público en la infancia, niñez y adolescencia en el Perú. Dicho grupo se encuentra conformado por el Ministerio de la Mujer y Poblaciones Vulnerables (que asume la presidencia y la secretaría técnica), </w:t>
            </w:r>
            <w:r>
              <w:rPr>
                <w:szCs w:val="20"/>
                <w:lang w:val="es-PE"/>
              </w:rPr>
              <w:t xml:space="preserve">el </w:t>
            </w:r>
            <w:r w:rsidRPr="003F0EF8">
              <w:rPr>
                <w:szCs w:val="20"/>
                <w:lang w:val="es-PE"/>
              </w:rPr>
              <w:t>Ministerio de Inclusión y Desarrollo Social, el Ministerio de Economía y Finanzas, la Mesa de Concertación para la Lucha contra la pobreza y el UNICEF.  Cabe precisar que desde el 27 de junio del año 2014, se incorporó como miembro al Ministerio de Salud y el Ministerio de Educación.</w:t>
            </w:r>
          </w:p>
          <w:p w:rsidR="00597937" w:rsidRDefault="00597937" w:rsidP="00597937">
            <w:pPr>
              <w:pStyle w:val="Prrafodelista"/>
              <w:ind w:left="204"/>
              <w:jc w:val="both"/>
              <w:rPr>
                <w:szCs w:val="20"/>
                <w:lang w:val="es-PE"/>
              </w:rPr>
            </w:pPr>
          </w:p>
          <w:p w:rsidR="00597937" w:rsidRPr="000B5217" w:rsidRDefault="00597937" w:rsidP="00597937">
            <w:pPr>
              <w:pStyle w:val="Prrafodelista"/>
              <w:ind w:left="204"/>
              <w:jc w:val="both"/>
              <w:rPr>
                <w:szCs w:val="20"/>
                <w:lang w:val="es-PE"/>
              </w:rPr>
            </w:pPr>
            <w:r>
              <w:rPr>
                <w:szCs w:val="20"/>
                <w:lang w:val="es-PE"/>
              </w:rPr>
              <w:t>En cuanto a los a</w:t>
            </w:r>
            <w:r w:rsidRPr="000B5217">
              <w:rPr>
                <w:szCs w:val="20"/>
                <w:lang w:val="es-PE"/>
              </w:rPr>
              <w:t>vances 2015:</w:t>
            </w:r>
          </w:p>
          <w:p w:rsidR="00597937" w:rsidRPr="003F0EF8" w:rsidRDefault="00597937" w:rsidP="00597937">
            <w:pPr>
              <w:pStyle w:val="Prrafodelista"/>
              <w:numPr>
                <w:ilvl w:val="0"/>
                <w:numId w:val="29"/>
              </w:numPr>
              <w:ind w:left="459" w:hanging="425"/>
              <w:jc w:val="both"/>
              <w:rPr>
                <w:szCs w:val="20"/>
                <w:lang w:val="es-PE"/>
              </w:rPr>
            </w:pPr>
            <w:r w:rsidRPr="003F0EF8">
              <w:rPr>
                <w:szCs w:val="20"/>
                <w:lang w:val="es-PE"/>
              </w:rPr>
              <w:t xml:space="preserve">La presentación del documento de seguimiento del gasto público en la infancia y adolescencia correspondiente al año 2014, se llevó a cabo en el mes de noviembre 2015 en un evento organizado por el MIMP-UNICEF. El documento se encuentra disponible en el siguiente enlace: </w:t>
            </w:r>
            <w:hyperlink r:id="rId27" w:history="1">
              <w:r w:rsidRPr="003F0EF8">
                <w:rPr>
                  <w:rStyle w:val="Hipervnculo"/>
                  <w:szCs w:val="20"/>
                  <w:lang w:val="es-PE"/>
                </w:rPr>
                <w:t>http://www.unicef.org/peruspanish/gasto-publico-ninos-ninas-adolescentes-2014.pdf</w:t>
              </w:r>
            </w:hyperlink>
            <w:r w:rsidRPr="003F0EF8">
              <w:rPr>
                <w:szCs w:val="20"/>
                <w:lang w:val="es-PE"/>
              </w:rPr>
              <w:t>.</w:t>
            </w:r>
          </w:p>
          <w:p w:rsidR="00597937" w:rsidRDefault="00597937" w:rsidP="00597937">
            <w:pPr>
              <w:pStyle w:val="Prrafodelista"/>
              <w:ind w:left="204"/>
              <w:jc w:val="both"/>
              <w:rPr>
                <w:szCs w:val="20"/>
                <w:lang w:val="es-PE"/>
              </w:rPr>
            </w:pPr>
          </w:p>
          <w:p w:rsidR="00597937" w:rsidRDefault="00597937" w:rsidP="00597937">
            <w:pPr>
              <w:pStyle w:val="Prrafodelista"/>
              <w:numPr>
                <w:ilvl w:val="0"/>
                <w:numId w:val="29"/>
              </w:numPr>
              <w:ind w:left="459" w:hanging="459"/>
              <w:jc w:val="both"/>
              <w:rPr>
                <w:szCs w:val="20"/>
                <w:lang w:val="es-PE"/>
              </w:rPr>
            </w:pPr>
            <w:r w:rsidRPr="00F17075">
              <w:rPr>
                <w:szCs w:val="20"/>
                <w:lang w:val="es-PE"/>
              </w:rPr>
              <w:t>Elaboración, por parte del grupo interinstitucional (</w:t>
            </w:r>
            <w:r>
              <w:rPr>
                <w:szCs w:val="20"/>
                <w:lang w:val="es-PE"/>
              </w:rPr>
              <w:t>el coordinador es</w:t>
            </w:r>
            <w:r w:rsidRPr="00F17075">
              <w:rPr>
                <w:szCs w:val="20"/>
                <w:lang w:val="es-PE"/>
              </w:rPr>
              <w:t xml:space="preserve"> el Ministerio de Economía y Finanzas) de boletines semestrales de seguimiento al gasto público en infancia, niñez y adolescencia en el Perú.</w:t>
            </w:r>
          </w:p>
          <w:p w:rsidR="00597937" w:rsidRDefault="00597937" w:rsidP="00597937">
            <w:pPr>
              <w:pStyle w:val="Prrafodelista"/>
              <w:ind w:left="204"/>
              <w:jc w:val="both"/>
              <w:rPr>
                <w:szCs w:val="20"/>
                <w:lang w:val="es-PE"/>
              </w:rPr>
            </w:pPr>
          </w:p>
          <w:p w:rsidR="00597937" w:rsidRPr="000B5217" w:rsidRDefault="00597937" w:rsidP="00597937">
            <w:pPr>
              <w:pStyle w:val="Prrafodelista"/>
              <w:ind w:left="204"/>
              <w:jc w:val="both"/>
              <w:rPr>
                <w:szCs w:val="20"/>
                <w:lang w:val="es-PE"/>
              </w:rPr>
            </w:pPr>
            <w:r w:rsidRPr="000B5217">
              <w:rPr>
                <w:szCs w:val="20"/>
                <w:lang w:val="es-PE"/>
              </w:rPr>
              <w:t xml:space="preserve">Se </w:t>
            </w:r>
            <w:r>
              <w:rPr>
                <w:szCs w:val="20"/>
                <w:lang w:val="es-PE"/>
              </w:rPr>
              <w:t>publicaron en el portal del MEF</w:t>
            </w:r>
            <w:r w:rsidRPr="000B5217">
              <w:rPr>
                <w:szCs w:val="20"/>
                <w:lang w:val="es-PE"/>
              </w:rPr>
              <w:t xml:space="preserve"> los boletines correspondientes al primer semestre 2014, segundo semestre 2014 y primer semestre 2015</w:t>
            </w:r>
            <w:r>
              <w:rPr>
                <w:szCs w:val="20"/>
                <w:lang w:val="es-PE"/>
              </w:rPr>
              <w:t>, respectivamente</w:t>
            </w:r>
            <w:r w:rsidRPr="000B5217">
              <w:rPr>
                <w:szCs w:val="20"/>
                <w:lang w:val="es-PE"/>
              </w:rPr>
              <w:t xml:space="preserve">. </w:t>
            </w:r>
          </w:p>
          <w:p w:rsidR="00597937" w:rsidRDefault="00597937" w:rsidP="00597937">
            <w:pPr>
              <w:pStyle w:val="Prrafodelista"/>
              <w:ind w:left="204"/>
              <w:jc w:val="both"/>
              <w:rPr>
                <w:szCs w:val="20"/>
                <w:lang w:val="es-PE"/>
              </w:rPr>
            </w:pPr>
            <w:r w:rsidRPr="000B5217">
              <w:rPr>
                <w:szCs w:val="20"/>
                <w:lang w:val="es-PE"/>
              </w:rPr>
              <w:t xml:space="preserve">Dichos reportes se encuentran disponibles en los siguientes enlaces: </w:t>
            </w:r>
            <w:hyperlink r:id="rId28" w:history="1">
              <w:r w:rsidRPr="00085904">
                <w:rPr>
                  <w:rStyle w:val="Hipervnculo"/>
                  <w:szCs w:val="20"/>
                  <w:lang w:val="es-PE"/>
                </w:rPr>
                <w:t>http://www.mef.gob.pe/index.php?option=com_content&amp;view=article&amp;id=3849&amp;Itemid=101531&amp;lang=es</w:t>
              </w:r>
            </w:hyperlink>
          </w:p>
          <w:p w:rsidR="00597937" w:rsidRDefault="004165D0" w:rsidP="00597937">
            <w:pPr>
              <w:pStyle w:val="Prrafodelista"/>
              <w:ind w:left="204"/>
              <w:jc w:val="both"/>
              <w:rPr>
                <w:szCs w:val="20"/>
                <w:lang w:val="es-PE"/>
              </w:rPr>
            </w:pPr>
            <w:hyperlink r:id="rId29" w:history="1">
              <w:r w:rsidR="00597937" w:rsidRPr="00085904">
                <w:rPr>
                  <w:rStyle w:val="Hipervnculo"/>
                  <w:szCs w:val="20"/>
                  <w:lang w:val="es-PE"/>
                </w:rPr>
                <w:t>http://www.unicef.org/peru/spanish/GastoPublico-en-ninos-ninas-adolescentes-en-Peru-1erSemestre2015.pdf</w:t>
              </w:r>
            </w:hyperlink>
          </w:p>
          <w:p w:rsidR="00597937" w:rsidRDefault="004165D0" w:rsidP="00597937">
            <w:pPr>
              <w:pStyle w:val="Prrafodelista"/>
              <w:ind w:left="204"/>
              <w:jc w:val="both"/>
              <w:rPr>
                <w:szCs w:val="20"/>
                <w:lang w:val="es-PE"/>
              </w:rPr>
            </w:pPr>
            <w:hyperlink r:id="rId30" w:history="1">
              <w:r w:rsidR="00597937" w:rsidRPr="00085904">
                <w:rPr>
                  <w:rStyle w:val="Hipervnculo"/>
                  <w:szCs w:val="20"/>
                  <w:lang w:val="es-PE"/>
                </w:rPr>
                <w:t>http://www.mimp.gob.pe/webs/mimp/pnaia/pdf/ppto/gasto-publico-en-ninos-ninas-adolescentesNov2015.pdf</w:t>
              </w:r>
            </w:hyperlink>
          </w:p>
          <w:p w:rsidR="00597937" w:rsidRDefault="00597937" w:rsidP="00597937">
            <w:pPr>
              <w:pStyle w:val="Prrafodelista"/>
              <w:ind w:left="204"/>
              <w:jc w:val="both"/>
              <w:rPr>
                <w:szCs w:val="20"/>
                <w:lang w:val="es-PE"/>
              </w:rPr>
            </w:pPr>
          </w:p>
          <w:p w:rsidR="00597937" w:rsidRDefault="00597937" w:rsidP="00597937">
            <w:pPr>
              <w:pStyle w:val="Prrafodelista"/>
              <w:numPr>
                <w:ilvl w:val="0"/>
                <w:numId w:val="29"/>
              </w:numPr>
              <w:ind w:left="459" w:hanging="459"/>
              <w:jc w:val="both"/>
              <w:rPr>
                <w:szCs w:val="20"/>
                <w:lang w:val="es-PE"/>
              </w:rPr>
            </w:pPr>
            <w:r w:rsidRPr="00F17075">
              <w:rPr>
                <w:szCs w:val="20"/>
                <w:lang w:val="es-PE"/>
              </w:rPr>
              <w:t>Incorporación de instrumentos en el reporte anual de indicadores del Plan Nacional de Acción por la Infancia y la Adolescencia (PNAIA)</w:t>
            </w:r>
            <w:r>
              <w:rPr>
                <w:szCs w:val="20"/>
                <w:lang w:val="es-PE"/>
              </w:rPr>
              <w:t>:</w:t>
            </w:r>
          </w:p>
          <w:p w:rsidR="00597937" w:rsidRPr="000B5217" w:rsidRDefault="00597937" w:rsidP="00597937">
            <w:pPr>
              <w:pStyle w:val="Prrafodelista"/>
              <w:ind w:left="204"/>
              <w:jc w:val="both"/>
              <w:rPr>
                <w:szCs w:val="20"/>
                <w:lang w:val="es-PE"/>
              </w:rPr>
            </w:pPr>
            <w:r w:rsidRPr="000B5217">
              <w:rPr>
                <w:szCs w:val="20"/>
                <w:lang w:val="es-PE"/>
              </w:rPr>
              <w:t xml:space="preserve">La taxonomía fue incorporada al seguimiento del PNAIA, en junio de 2014, mediante acta </w:t>
            </w:r>
            <w:r>
              <w:rPr>
                <w:szCs w:val="20"/>
                <w:lang w:val="es-PE"/>
              </w:rPr>
              <w:t xml:space="preserve">de la décima </w:t>
            </w:r>
            <w:r w:rsidRPr="000B5217">
              <w:rPr>
                <w:szCs w:val="20"/>
                <w:lang w:val="es-PE"/>
              </w:rPr>
              <w:t>primera</w:t>
            </w:r>
            <w:r>
              <w:rPr>
                <w:szCs w:val="20"/>
                <w:lang w:val="es-PE"/>
              </w:rPr>
              <w:t xml:space="preserve"> sesión extraordinaria de la Comisión M</w:t>
            </w:r>
            <w:r w:rsidRPr="000B5217">
              <w:rPr>
                <w:szCs w:val="20"/>
                <w:lang w:val="es-PE"/>
              </w:rPr>
              <w:t>ultisectorial permanente encargada de la implementación de dicho plan.</w:t>
            </w:r>
          </w:p>
          <w:p w:rsidR="00597937" w:rsidRPr="000B5217" w:rsidRDefault="00597937" w:rsidP="00597937">
            <w:pPr>
              <w:pStyle w:val="Prrafodelista"/>
              <w:ind w:left="204"/>
              <w:jc w:val="both"/>
              <w:rPr>
                <w:szCs w:val="20"/>
                <w:lang w:val="es-PE"/>
              </w:rPr>
            </w:pPr>
            <w:r>
              <w:rPr>
                <w:szCs w:val="20"/>
                <w:lang w:val="es-PE"/>
              </w:rPr>
              <w:t xml:space="preserve">En cuanto a los avances </w:t>
            </w:r>
            <w:r w:rsidRPr="000B5217">
              <w:rPr>
                <w:szCs w:val="20"/>
                <w:lang w:val="es-PE"/>
              </w:rPr>
              <w:t>2015:</w:t>
            </w:r>
          </w:p>
          <w:p w:rsidR="00597937" w:rsidRDefault="00597937" w:rsidP="00597937">
            <w:pPr>
              <w:pStyle w:val="Prrafodelista"/>
              <w:ind w:left="204"/>
              <w:jc w:val="both"/>
              <w:rPr>
                <w:szCs w:val="20"/>
                <w:lang w:val="es-PE"/>
              </w:rPr>
            </w:pPr>
            <w:r>
              <w:rPr>
                <w:szCs w:val="20"/>
                <w:lang w:val="es-PE"/>
              </w:rPr>
              <w:t xml:space="preserve">Se </w:t>
            </w:r>
            <w:r w:rsidRPr="000B5217">
              <w:rPr>
                <w:szCs w:val="20"/>
                <w:lang w:val="es-PE"/>
              </w:rPr>
              <w:t>realiz</w:t>
            </w:r>
            <w:r>
              <w:rPr>
                <w:szCs w:val="20"/>
                <w:lang w:val="es-PE"/>
              </w:rPr>
              <w:t>ó</w:t>
            </w:r>
            <w:r w:rsidRPr="000B5217">
              <w:rPr>
                <w:szCs w:val="20"/>
                <w:lang w:val="es-PE"/>
              </w:rPr>
              <w:t xml:space="preserve"> el reporte correspondiente</w:t>
            </w:r>
            <w:r>
              <w:rPr>
                <w:szCs w:val="20"/>
                <w:lang w:val="es-PE"/>
              </w:rPr>
              <w:t xml:space="preserve"> al 2014,</w:t>
            </w:r>
            <w:r w:rsidRPr="000B5217">
              <w:rPr>
                <w:szCs w:val="20"/>
                <w:lang w:val="es-PE"/>
              </w:rPr>
              <w:t xml:space="preserve"> en el marco de la comisión multisectorial encargada de la implementación y seguimiento del PNAIA</w:t>
            </w:r>
            <w:r>
              <w:rPr>
                <w:szCs w:val="20"/>
                <w:lang w:val="es-PE"/>
              </w:rPr>
              <w:t xml:space="preserve"> </w:t>
            </w:r>
            <w:r w:rsidRPr="000B5217">
              <w:rPr>
                <w:szCs w:val="20"/>
                <w:lang w:val="es-PE"/>
              </w:rPr>
              <w:t>(corresponde al Ministerio de la Mujer y Poblaciones Vulnerables en su calidad de Presidencia Técnica de la Comisión).</w:t>
            </w:r>
          </w:p>
          <w:p w:rsidR="00597937" w:rsidRDefault="00597937" w:rsidP="00597937">
            <w:pPr>
              <w:jc w:val="both"/>
              <w:rPr>
                <w:szCs w:val="20"/>
                <w:lang w:val="es-PE"/>
              </w:rPr>
            </w:pPr>
            <w:r w:rsidRPr="008F1376">
              <w:rPr>
                <w:szCs w:val="20"/>
                <w:lang w:val="es-PE"/>
              </w:rPr>
              <w:t>Fuente:</w:t>
            </w:r>
            <w:r>
              <w:rPr>
                <w:szCs w:val="20"/>
                <w:lang w:val="es-PE"/>
              </w:rPr>
              <w:t xml:space="preserve">    Oficio N° 290-2017-MIDIS/SG/OGPPM del 12.09.17 </w:t>
            </w:r>
          </w:p>
          <w:p w:rsidR="00091BDE" w:rsidRPr="000B5217" w:rsidRDefault="00091BDE" w:rsidP="000A765B">
            <w:pPr>
              <w:jc w:val="both"/>
              <w:rPr>
                <w:szCs w:val="20"/>
                <w:lang w:val="es-PE"/>
              </w:rPr>
            </w:pPr>
          </w:p>
        </w:tc>
      </w:tr>
      <w:tr w:rsidR="0045073C" w:rsidRPr="00295641" w:rsidTr="002C2EAC">
        <w:tc>
          <w:tcPr>
            <w:tcW w:w="9039" w:type="dxa"/>
            <w:gridSpan w:val="6"/>
          </w:tcPr>
          <w:p w:rsidR="0045073C" w:rsidRPr="00295641" w:rsidRDefault="0045073C" w:rsidP="00B56E74">
            <w:pPr>
              <w:jc w:val="both"/>
              <w:rPr>
                <w:rFonts w:cs="Gotham-Book"/>
                <w:b/>
                <w:color w:val="000000" w:themeColor="text1"/>
              </w:rPr>
            </w:pPr>
          </w:p>
          <w:p w:rsidR="0045073C" w:rsidRPr="00295641" w:rsidRDefault="0045073C" w:rsidP="00B56E74">
            <w:pPr>
              <w:jc w:val="both"/>
              <w:rPr>
                <w:color w:val="000000" w:themeColor="text1"/>
              </w:rPr>
            </w:pPr>
            <w:r>
              <w:rPr>
                <w:rFonts w:cs="Gotham-Book"/>
                <w:b/>
                <w:color w:val="000000" w:themeColor="text1"/>
              </w:rPr>
              <w:t>Información adicional</w:t>
            </w:r>
          </w:p>
        </w:tc>
      </w:tr>
      <w:tr w:rsidR="0045073C" w:rsidRPr="00295641" w:rsidTr="002C2EAC">
        <w:tc>
          <w:tcPr>
            <w:tcW w:w="9039" w:type="dxa"/>
            <w:gridSpan w:val="6"/>
          </w:tcPr>
          <w:p w:rsidR="006E12A9" w:rsidRDefault="000A765B" w:rsidP="000A765B">
            <w:pPr>
              <w:jc w:val="both"/>
              <w:rPr>
                <w:rFonts w:cs="Gotham-Book"/>
                <w:color w:val="000000" w:themeColor="text1"/>
              </w:rPr>
            </w:pPr>
            <w:r w:rsidRPr="000A765B">
              <w:rPr>
                <w:rFonts w:cs="Gotham-Book"/>
                <w:color w:val="000000" w:themeColor="text1"/>
              </w:rPr>
              <w:t>El informe correspondiente al 2015 se presentará en noviembre de 2017. Va a incluir como valor agregado el análisis de la calidad del gasto en una región (Amazonas) y un análisis específico en materia de violencia contra la niñez en cinco regiones amazónicas.</w:t>
            </w:r>
            <w:r w:rsidR="00037205">
              <w:rPr>
                <w:rFonts w:cs="Gotham-Book"/>
                <w:color w:val="000000" w:themeColor="text1"/>
              </w:rPr>
              <w:t xml:space="preserve"> </w:t>
            </w:r>
          </w:p>
          <w:p w:rsidR="006E12A9" w:rsidRPr="00295641" w:rsidRDefault="006E12A9" w:rsidP="003E3570">
            <w:pPr>
              <w:jc w:val="both"/>
              <w:rPr>
                <w:rFonts w:cs="Gotham-Book"/>
                <w:b/>
                <w:color w:val="000000" w:themeColor="text1"/>
              </w:rPr>
            </w:pPr>
            <w:r>
              <w:rPr>
                <w:rFonts w:cs="Gotham-Book"/>
                <w:color w:val="000000" w:themeColor="text1"/>
              </w:rPr>
              <w:t>El compromiso se evalúa como concluido pues l</w:t>
            </w:r>
            <w:r w:rsidR="003E3570">
              <w:rPr>
                <w:rFonts w:cs="Gotham-Book"/>
                <w:color w:val="000000" w:themeColor="text1"/>
              </w:rPr>
              <w:t>os tres ministerios cumplieron con las actividades previstas y las activi</w:t>
            </w:r>
            <w:r w:rsidR="00037205">
              <w:rPr>
                <w:rFonts w:cs="Gotham-Book"/>
                <w:color w:val="000000" w:themeColor="text1"/>
              </w:rPr>
              <w:t>dades de difusión que realizan s</w:t>
            </w:r>
            <w:r w:rsidR="003E3570">
              <w:rPr>
                <w:rFonts w:cs="Gotham-Book"/>
                <w:color w:val="000000" w:themeColor="text1"/>
              </w:rPr>
              <w:t>on periódicas.</w:t>
            </w:r>
            <w:r>
              <w:rPr>
                <w:rFonts w:cs="Gotham-Book"/>
                <w:color w:val="000000" w:themeColor="text1"/>
              </w:rPr>
              <w:t xml:space="preserve"> </w:t>
            </w:r>
          </w:p>
        </w:tc>
      </w:tr>
    </w:tbl>
    <w:p w:rsidR="0045073C" w:rsidRDefault="0045073C"/>
    <w:p w:rsidR="00272BDF" w:rsidRPr="00FE2E5A" w:rsidRDefault="00796392" w:rsidP="00FE2E5A">
      <w:pPr>
        <w:spacing w:after="0" w:line="240" w:lineRule="auto"/>
        <w:jc w:val="both"/>
        <w:rPr>
          <w:rFonts w:cs="Gotham-Book"/>
          <w:color w:val="000000" w:themeColor="text1"/>
        </w:rPr>
      </w:pPr>
      <w:r w:rsidRPr="00FE2E5A">
        <w:rPr>
          <w:rFonts w:cs="Gotham-Book"/>
          <w:color w:val="000000" w:themeColor="text1"/>
        </w:rPr>
        <w:t>En síntesis, de los tres comp</w:t>
      </w:r>
      <w:r w:rsidR="00FE2E5A" w:rsidRPr="00FE2E5A">
        <w:rPr>
          <w:rFonts w:cs="Gotham-Book"/>
          <w:color w:val="000000" w:themeColor="text1"/>
        </w:rPr>
        <w:t xml:space="preserve">romisos </w:t>
      </w:r>
      <w:r w:rsidRPr="00FE2E5A">
        <w:rPr>
          <w:rFonts w:cs="Gotham-Book"/>
          <w:color w:val="000000" w:themeColor="text1"/>
        </w:rPr>
        <w:t>relacionados con rendición de cuentas se han cumplido dos.</w:t>
      </w:r>
      <w:r w:rsidR="00FE2E5A" w:rsidRPr="00FE2E5A">
        <w:rPr>
          <w:rFonts w:cs="Gotham-Book"/>
          <w:color w:val="000000" w:themeColor="text1"/>
        </w:rPr>
        <w:t xml:space="preserve"> No se cumplió con el compromiso No.12, que tenía como pre-requisito la conformación de un grupo de trabajo integrado por entidades públicas y sociedad civil.</w:t>
      </w:r>
    </w:p>
    <w:p w:rsidR="00F24551" w:rsidRDefault="00F24551"/>
    <w:p w:rsidR="00700BF4" w:rsidRDefault="00700BF4"/>
    <w:p w:rsidR="00272BDF" w:rsidRDefault="00D14C49">
      <w:pPr>
        <w:rPr>
          <w:b/>
        </w:rPr>
      </w:pPr>
      <w:r w:rsidRPr="00D14C49">
        <w:rPr>
          <w:b/>
        </w:rPr>
        <w:t>Tema 4: Mejora de servicios públicos</w:t>
      </w:r>
    </w:p>
    <w:p w:rsidR="003C3262" w:rsidRDefault="003C3262" w:rsidP="00FE2E5A">
      <w:pPr>
        <w:spacing w:after="0" w:line="240" w:lineRule="auto"/>
        <w:jc w:val="both"/>
        <w:rPr>
          <w:rFonts w:cs="Gotham-Book"/>
          <w:color w:val="000000" w:themeColor="text1"/>
        </w:rPr>
      </w:pPr>
      <w:r w:rsidRPr="00FE2E5A">
        <w:rPr>
          <w:rFonts w:cs="Gotham-Book"/>
          <w:color w:val="000000" w:themeColor="text1"/>
        </w:rPr>
        <w:t>La mejora de los servicios públicos es un desafío definido por la Alianza que fue abordado en el PAGA 2015 – 2016 del Perú,  mediante el compromiso del Estado Peruano de establecer el marco normativo y desarrollar los instrumentos para implementar una estrategia nacional de apertura y reutilización de la información pública (datos abiertos), que promueva la innovación a través del uso de las nuevas tecnologías y contribuya también al incremento del número de servicios en línea para la realización de trámites multicanal, con participación de la ciudadanía. Asimismo, se incorporó la necesidad de desarrollar capacidades en los servidores civiles y en la apropiación de los servicios de parte de los ciudadanos.</w:t>
      </w:r>
    </w:p>
    <w:p w:rsidR="00B50DAD" w:rsidRDefault="00B50DAD" w:rsidP="00FE2E5A">
      <w:pPr>
        <w:spacing w:after="0" w:line="240" w:lineRule="auto"/>
        <w:jc w:val="both"/>
        <w:rPr>
          <w:rFonts w:cs="Gotham-Book"/>
          <w:color w:val="000000" w:themeColor="text1"/>
        </w:rPr>
      </w:pPr>
    </w:p>
    <w:p w:rsidR="00FE2E5A" w:rsidRPr="00FE2E5A" w:rsidRDefault="00FE2E5A" w:rsidP="00FE2E5A">
      <w:pPr>
        <w:spacing w:after="0" w:line="240" w:lineRule="auto"/>
        <w:jc w:val="both"/>
        <w:rPr>
          <w:rFonts w:cs="Gotham-Book"/>
          <w:color w:val="000000" w:themeColor="text1"/>
        </w:rPr>
      </w:pPr>
    </w:p>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E107BA" w:rsidRPr="00295641" w:rsidTr="00E107BA">
        <w:tc>
          <w:tcPr>
            <w:tcW w:w="9039" w:type="dxa"/>
            <w:gridSpan w:val="6"/>
            <w:shd w:val="clear" w:color="auto" w:fill="548DD4" w:themeFill="text2" w:themeFillTint="99"/>
          </w:tcPr>
          <w:p w:rsidR="00E107BA" w:rsidRPr="00295641" w:rsidRDefault="00E107BA" w:rsidP="00E107BA">
            <w:pPr>
              <w:ind w:left="360"/>
              <w:jc w:val="center"/>
              <w:rPr>
                <w:b/>
              </w:rPr>
            </w:pPr>
            <w:r>
              <w:rPr>
                <w:b/>
              </w:rPr>
              <w:t>Componente: Mejora de los Servicios Pú</w:t>
            </w:r>
            <w:r w:rsidR="00DD0875">
              <w:rPr>
                <w:b/>
              </w:rPr>
              <w:t>b</w:t>
            </w:r>
            <w:r>
              <w:rPr>
                <w:b/>
              </w:rPr>
              <w:t>licos</w:t>
            </w:r>
          </w:p>
        </w:tc>
      </w:tr>
      <w:tr w:rsidR="00E107BA" w:rsidRPr="00295641" w:rsidTr="00E107BA">
        <w:tc>
          <w:tcPr>
            <w:tcW w:w="9039" w:type="dxa"/>
            <w:gridSpan w:val="6"/>
            <w:shd w:val="clear" w:color="auto" w:fill="548DD4" w:themeFill="text2" w:themeFillTint="99"/>
          </w:tcPr>
          <w:p w:rsidR="00E107BA" w:rsidRPr="00E107BA" w:rsidRDefault="007C4C54" w:rsidP="00B56E74">
            <w:pPr>
              <w:ind w:left="360"/>
              <w:jc w:val="center"/>
              <w:rPr>
                <w:rFonts w:ascii="Calibri" w:hAnsi="Calibri"/>
                <w:b/>
                <w:color w:val="000000"/>
              </w:rPr>
            </w:pPr>
            <w:r w:rsidRPr="007C4C54">
              <w:rPr>
                <w:rFonts w:ascii="Calibri" w:hAnsi="Calibri"/>
                <w:b/>
                <w:color w:val="000000"/>
                <w:u w:val="single"/>
              </w:rPr>
              <w:t xml:space="preserve">Compromiso </w:t>
            </w:r>
            <w:r w:rsidR="00E107BA" w:rsidRPr="007C4C54">
              <w:rPr>
                <w:rFonts w:ascii="Calibri" w:hAnsi="Calibri"/>
                <w:b/>
                <w:color w:val="000000"/>
                <w:u w:val="single"/>
              </w:rPr>
              <w:t>14</w:t>
            </w:r>
            <w:r w:rsidR="00E107BA" w:rsidRPr="00E107BA">
              <w:rPr>
                <w:rFonts w:ascii="Calibri" w:hAnsi="Calibri"/>
                <w:b/>
                <w:color w:val="000000"/>
              </w:rPr>
              <w:t>. Promover la publicación de datos abiertos de manera clara utilizando estándares abiertos e interoperables</w:t>
            </w: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Secretaría/Ministerio</w:t>
            </w:r>
          </w:p>
          <w:p w:rsidR="00E107BA" w:rsidRPr="00295641" w:rsidRDefault="00E107BA" w:rsidP="00B56E74">
            <w:pPr>
              <w:rPr>
                <w:b/>
                <w:color w:val="000000" w:themeColor="text1"/>
              </w:rPr>
            </w:pPr>
            <w:r w:rsidRPr="00295641">
              <w:rPr>
                <w:rFonts w:cs="Gotham-Book"/>
                <w:b/>
                <w:color w:val="000000" w:themeColor="text1"/>
              </w:rPr>
              <w:t>Responsable</w:t>
            </w:r>
          </w:p>
        </w:tc>
        <w:tc>
          <w:tcPr>
            <w:tcW w:w="4820" w:type="dxa"/>
            <w:gridSpan w:val="3"/>
          </w:tcPr>
          <w:p w:rsidR="00E107BA" w:rsidRPr="00F40088" w:rsidRDefault="00E107BA" w:rsidP="00B56E74">
            <w:pPr>
              <w:jc w:val="both"/>
              <w:rPr>
                <w:color w:val="000000" w:themeColor="text1"/>
                <w:highlight w:val="yellow"/>
              </w:rPr>
            </w:pPr>
            <w:r w:rsidRPr="00DD0875">
              <w:rPr>
                <w:color w:val="000000" w:themeColor="text1"/>
              </w:rPr>
              <w:t>Presidencia del Consejo de Ministros</w:t>
            </w:r>
            <w:r w:rsidR="008637D9">
              <w:rPr>
                <w:color w:val="000000" w:themeColor="text1"/>
              </w:rPr>
              <w:t>,</w:t>
            </w:r>
            <w:r w:rsidRPr="00DD0875">
              <w:rPr>
                <w:color w:val="000000" w:themeColor="text1"/>
              </w:rPr>
              <w:t xml:space="preserve"> a través de la Secretaría de Gestión Pública -SGP- y la Oficina Nacional de Gobierno Electrónico –ONGEI.</w:t>
            </w:r>
          </w:p>
        </w:tc>
      </w:tr>
      <w:tr w:rsidR="00D12754" w:rsidRPr="00295641" w:rsidTr="00E107BA">
        <w:tc>
          <w:tcPr>
            <w:tcW w:w="4219" w:type="dxa"/>
            <w:gridSpan w:val="3"/>
            <w:shd w:val="clear" w:color="auto" w:fill="C6D9F1" w:themeFill="text2" w:themeFillTint="33"/>
            <w:vAlign w:val="center"/>
          </w:tcPr>
          <w:p w:rsidR="00D12754" w:rsidRPr="00295641" w:rsidRDefault="00D12754" w:rsidP="00D12754">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D12754" w:rsidRPr="00295641" w:rsidRDefault="009704F5" w:rsidP="009704F5">
            <w:pPr>
              <w:jc w:val="both"/>
              <w:rPr>
                <w:color w:val="000000" w:themeColor="text1"/>
              </w:rPr>
            </w:pPr>
            <w:r>
              <w:rPr>
                <w:color w:val="000000" w:themeColor="text1"/>
              </w:rPr>
              <w:t>Mercedes Araoz</w:t>
            </w:r>
          </w:p>
        </w:tc>
      </w:tr>
      <w:tr w:rsidR="00D12754" w:rsidRPr="00295641" w:rsidTr="00E107BA">
        <w:tc>
          <w:tcPr>
            <w:tcW w:w="4219" w:type="dxa"/>
            <w:gridSpan w:val="3"/>
            <w:shd w:val="clear" w:color="auto" w:fill="C6D9F1" w:themeFill="text2" w:themeFillTint="33"/>
            <w:vAlign w:val="center"/>
          </w:tcPr>
          <w:p w:rsidR="00D12754" w:rsidRPr="00295641" w:rsidRDefault="00D12754" w:rsidP="00D12754">
            <w:pPr>
              <w:rPr>
                <w:b/>
                <w:color w:val="000000" w:themeColor="text1"/>
              </w:rPr>
            </w:pPr>
            <w:r w:rsidRPr="00295641">
              <w:rPr>
                <w:rFonts w:cs="Gotham-Book"/>
                <w:b/>
                <w:color w:val="000000" w:themeColor="text1"/>
              </w:rPr>
              <w:t>Puesto</w:t>
            </w:r>
          </w:p>
        </w:tc>
        <w:tc>
          <w:tcPr>
            <w:tcW w:w="4820" w:type="dxa"/>
            <w:gridSpan w:val="3"/>
          </w:tcPr>
          <w:p w:rsidR="00D12754" w:rsidRPr="00295641" w:rsidRDefault="00D12754" w:rsidP="009704F5">
            <w:pPr>
              <w:jc w:val="both"/>
              <w:rPr>
                <w:color w:val="000000" w:themeColor="text1"/>
              </w:rPr>
            </w:pPr>
            <w:r>
              <w:rPr>
                <w:color w:val="000000" w:themeColor="text1"/>
              </w:rPr>
              <w:t>President</w:t>
            </w:r>
            <w:r w:rsidR="009704F5">
              <w:rPr>
                <w:color w:val="000000" w:themeColor="text1"/>
              </w:rPr>
              <w:t>a</w:t>
            </w:r>
            <w:r>
              <w:rPr>
                <w:color w:val="000000" w:themeColor="text1"/>
              </w:rPr>
              <w:t xml:space="preserve"> del Consejo de Ministros</w:t>
            </w:r>
          </w:p>
        </w:tc>
      </w:tr>
      <w:tr w:rsidR="00D12754" w:rsidRPr="00295641" w:rsidTr="00E107BA">
        <w:tc>
          <w:tcPr>
            <w:tcW w:w="4219" w:type="dxa"/>
            <w:gridSpan w:val="3"/>
            <w:shd w:val="clear" w:color="auto" w:fill="C6D9F1" w:themeFill="text2" w:themeFillTint="33"/>
            <w:vAlign w:val="center"/>
          </w:tcPr>
          <w:p w:rsidR="00D12754" w:rsidRPr="00295641" w:rsidRDefault="00D12754" w:rsidP="00D12754">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D12754" w:rsidRPr="00295641" w:rsidRDefault="00D12754" w:rsidP="009704F5">
            <w:pPr>
              <w:jc w:val="both"/>
              <w:rPr>
                <w:rFonts w:cs="Arial"/>
                <w:color w:val="0000FF"/>
                <w:u w:val="single"/>
              </w:rPr>
            </w:pPr>
          </w:p>
        </w:tc>
      </w:tr>
      <w:tr w:rsidR="00D12754" w:rsidRPr="00295641" w:rsidTr="00E107BA">
        <w:tc>
          <w:tcPr>
            <w:tcW w:w="4219" w:type="dxa"/>
            <w:gridSpan w:val="3"/>
            <w:shd w:val="clear" w:color="auto" w:fill="C6D9F1" w:themeFill="text2" w:themeFillTint="33"/>
            <w:vAlign w:val="center"/>
          </w:tcPr>
          <w:p w:rsidR="00D12754" w:rsidRPr="00295641" w:rsidRDefault="00D12754" w:rsidP="00D12754">
            <w:pPr>
              <w:rPr>
                <w:b/>
                <w:color w:val="000000" w:themeColor="text1"/>
              </w:rPr>
            </w:pPr>
            <w:r w:rsidRPr="00295641">
              <w:rPr>
                <w:rFonts w:cs="Gotham-Book"/>
                <w:b/>
                <w:color w:val="000000" w:themeColor="text1"/>
              </w:rPr>
              <w:t>Teléfono</w:t>
            </w:r>
          </w:p>
        </w:tc>
        <w:tc>
          <w:tcPr>
            <w:tcW w:w="4820" w:type="dxa"/>
            <w:gridSpan w:val="3"/>
          </w:tcPr>
          <w:p w:rsidR="00D12754" w:rsidRPr="00295641" w:rsidRDefault="00D12754" w:rsidP="00D12754">
            <w:pPr>
              <w:jc w:val="both"/>
              <w:rPr>
                <w:color w:val="000000" w:themeColor="text1"/>
              </w:rPr>
            </w:pPr>
            <w:r>
              <w:rPr>
                <w:color w:val="000000" w:themeColor="text1"/>
              </w:rPr>
              <w:t>51-1-2197000</w:t>
            </w:r>
          </w:p>
        </w:tc>
      </w:tr>
      <w:tr w:rsidR="00E107BA" w:rsidRPr="00295641" w:rsidTr="00E107BA">
        <w:tc>
          <w:tcPr>
            <w:tcW w:w="2109" w:type="dxa"/>
            <w:vMerge w:val="restart"/>
            <w:shd w:val="clear" w:color="auto" w:fill="C6D9F1" w:themeFill="text2" w:themeFillTint="33"/>
            <w:vAlign w:val="center"/>
          </w:tcPr>
          <w:p w:rsidR="00E107BA" w:rsidRPr="00295641" w:rsidRDefault="00E107BA"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E107BA" w:rsidRPr="00295641" w:rsidRDefault="00E107BA" w:rsidP="00B56E74">
            <w:pPr>
              <w:rPr>
                <w:rFonts w:cs="Gotham-Book"/>
                <w:b/>
                <w:color w:val="000000" w:themeColor="text1"/>
              </w:rPr>
            </w:pPr>
            <w:r>
              <w:rPr>
                <w:rFonts w:cs="Gotham-Book"/>
                <w:b/>
                <w:color w:val="000000" w:themeColor="text1"/>
              </w:rPr>
              <w:t>Gobierno</w:t>
            </w:r>
          </w:p>
        </w:tc>
        <w:tc>
          <w:tcPr>
            <w:tcW w:w="4820" w:type="dxa"/>
            <w:gridSpan w:val="3"/>
          </w:tcPr>
          <w:p w:rsidR="00E107BA" w:rsidRPr="00295641" w:rsidRDefault="00E107BA" w:rsidP="00B56E74">
            <w:pPr>
              <w:jc w:val="both"/>
              <w:rPr>
                <w:color w:val="000000" w:themeColor="text1"/>
              </w:rPr>
            </w:pPr>
            <w:r>
              <w:rPr>
                <w:color w:val="000000" w:themeColor="text1"/>
              </w:rPr>
              <w:t>No aplica</w:t>
            </w:r>
          </w:p>
        </w:tc>
      </w:tr>
      <w:tr w:rsidR="00E107BA" w:rsidRPr="00295641" w:rsidTr="00E107BA">
        <w:tc>
          <w:tcPr>
            <w:tcW w:w="2109" w:type="dxa"/>
            <w:vMerge/>
            <w:shd w:val="clear" w:color="auto" w:fill="C6D9F1" w:themeFill="text2" w:themeFillTint="33"/>
            <w:vAlign w:val="center"/>
          </w:tcPr>
          <w:p w:rsidR="00E107BA" w:rsidRPr="00295641" w:rsidRDefault="00E107BA" w:rsidP="00B56E74">
            <w:pPr>
              <w:rPr>
                <w:rFonts w:cs="Gotham-Book"/>
                <w:b/>
                <w:color w:val="000000" w:themeColor="text1"/>
              </w:rPr>
            </w:pPr>
          </w:p>
        </w:tc>
        <w:tc>
          <w:tcPr>
            <w:tcW w:w="2110" w:type="dxa"/>
            <w:gridSpan w:val="2"/>
            <w:shd w:val="clear" w:color="auto" w:fill="C6D9F1" w:themeFill="text2" w:themeFillTint="33"/>
            <w:vAlign w:val="center"/>
          </w:tcPr>
          <w:p w:rsidR="00E107BA" w:rsidRPr="00295641" w:rsidRDefault="00E107BA"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E107BA" w:rsidRPr="00295641" w:rsidRDefault="00E107BA" w:rsidP="00B56E74">
            <w:pPr>
              <w:jc w:val="both"/>
              <w:rPr>
                <w:color w:val="000000" w:themeColor="text1"/>
              </w:rPr>
            </w:pP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E107BA" w:rsidRPr="00274A1A" w:rsidRDefault="00E107BA" w:rsidP="00DD0875">
            <w:pPr>
              <w:autoSpaceDE w:val="0"/>
              <w:autoSpaceDN w:val="0"/>
              <w:adjustRightInd w:val="0"/>
              <w:jc w:val="both"/>
              <w:rPr>
                <w:rFonts w:ascii="Calibri" w:hAnsi="Calibri" w:cs="Calibri"/>
                <w:color w:val="000000"/>
                <w:lang w:val="es-PE"/>
              </w:rPr>
            </w:pPr>
            <w:r w:rsidRPr="00274A1A">
              <w:rPr>
                <w:rFonts w:ascii="Calibri" w:hAnsi="Calibri" w:cs="Calibri"/>
                <w:color w:val="000000"/>
                <w:lang w:val="es-PE"/>
              </w:rPr>
              <w:t xml:space="preserve">El Estado peruano cuenta con varios portales donde se publica y difunde diferente información pública, sin embargo, </w:t>
            </w:r>
            <w:r w:rsidR="0014607C">
              <w:rPr>
                <w:rFonts w:ascii="Calibri" w:hAnsi="Calibri" w:cs="Calibri"/>
                <w:color w:val="000000"/>
                <w:lang w:val="es-PE"/>
              </w:rPr>
              <w:t>es necesario promover la aplicación de formatos</w:t>
            </w:r>
            <w:r w:rsidR="007D5081">
              <w:rPr>
                <w:rFonts w:ascii="Calibri" w:hAnsi="Calibri" w:cs="Calibri"/>
                <w:color w:val="000000"/>
                <w:lang w:val="es-PE"/>
              </w:rPr>
              <w:t xml:space="preserve"> </w:t>
            </w:r>
            <w:r w:rsidR="007D5081" w:rsidRPr="00A223CA">
              <w:rPr>
                <w:rFonts w:ascii="Calibri" w:hAnsi="Calibri" w:cs="Calibri"/>
                <w:color w:val="000000"/>
                <w:lang w:val="es-PE"/>
              </w:rPr>
              <w:t>abiertos</w:t>
            </w:r>
            <w:r w:rsidR="0014607C">
              <w:rPr>
                <w:rFonts w:ascii="Calibri" w:hAnsi="Calibri" w:cs="Calibri"/>
                <w:color w:val="000000"/>
                <w:lang w:val="es-PE"/>
              </w:rPr>
              <w:t xml:space="preserve"> que permitan</w:t>
            </w:r>
            <w:r w:rsidRPr="00274A1A">
              <w:rPr>
                <w:rFonts w:ascii="Calibri" w:hAnsi="Calibri" w:cs="Calibri"/>
                <w:color w:val="000000"/>
                <w:lang w:val="es-PE"/>
              </w:rPr>
              <w:t xml:space="preserve"> su reutilización por los ciudadan</w:t>
            </w:r>
            <w:r w:rsidR="0014607C">
              <w:rPr>
                <w:rFonts w:ascii="Calibri" w:hAnsi="Calibri" w:cs="Calibri"/>
                <w:color w:val="000000"/>
                <w:lang w:val="es-PE"/>
              </w:rPr>
              <w:t xml:space="preserve">os y ciudadanas y las empresas. </w:t>
            </w:r>
            <w:r w:rsidRPr="00274A1A">
              <w:rPr>
                <w:rFonts w:ascii="Calibri" w:hAnsi="Calibri" w:cs="Calibri"/>
                <w:color w:val="000000"/>
                <w:lang w:val="es-PE"/>
              </w:rPr>
              <w:t xml:space="preserve">Por lo tanto, se debe transitar de la publicación de información básica a la publicación de datos abiertos, </w:t>
            </w:r>
            <w:r w:rsidR="0014607C">
              <w:rPr>
                <w:rFonts w:ascii="Calibri" w:hAnsi="Calibri" w:cs="Calibri"/>
                <w:color w:val="000000"/>
                <w:lang w:val="es-PE"/>
              </w:rPr>
              <w:t>facilitando</w:t>
            </w:r>
            <w:r w:rsidRPr="00274A1A">
              <w:rPr>
                <w:rFonts w:ascii="Calibri" w:hAnsi="Calibri" w:cs="Calibri"/>
                <w:color w:val="000000"/>
                <w:lang w:val="es-PE"/>
              </w:rPr>
              <w:t xml:space="preserve"> el desarrollo de aplicaciones que se conviertan en nuevos servicios al ciudadano. </w:t>
            </w:r>
          </w:p>
          <w:p w:rsidR="00E107BA" w:rsidRPr="00274A1A" w:rsidRDefault="00E107BA" w:rsidP="00B56E74">
            <w:pPr>
              <w:jc w:val="both"/>
              <w:rPr>
                <w:color w:val="000000" w:themeColor="text1"/>
                <w:lang w:val="es-PE"/>
              </w:rPr>
            </w:pP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rPr>
                <w:b/>
                <w:color w:val="000000" w:themeColor="text1"/>
              </w:rPr>
            </w:pPr>
            <w:r w:rsidRPr="00295641">
              <w:rPr>
                <w:rFonts w:cs="Gotham-Book"/>
                <w:b/>
                <w:color w:val="000000" w:themeColor="text1"/>
              </w:rPr>
              <w:t>Objetivo principal</w:t>
            </w:r>
          </w:p>
        </w:tc>
        <w:tc>
          <w:tcPr>
            <w:tcW w:w="4820" w:type="dxa"/>
            <w:gridSpan w:val="3"/>
          </w:tcPr>
          <w:p w:rsidR="00E107BA" w:rsidRPr="005E5671" w:rsidRDefault="00E107BA" w:rsidP="00B56E74">
            <w:pPr>
              <w:jc w:val="both"/>
              <w:rPr>
                <w:bCs/>
              </w:rPr>
            </w:pPr>
            <w:r w:rsidRPr="005E5671">
              <w:rPr>
                <w:bCs/>
              </w:rPr>
              <w:t>Poner a disposición a los ciudadanos y ciudadanas la base de datos que diversas instituciones publican o han publicado en un Portal de Datos Abiertos y en sus Portales Institucionales, con la finalidad de que la ciudadanía cuente con información completa, accesible, gratuita y no restringida, para incrementar la transparencia y la rendición de cuentas de la Administración Pública y generar la innovación gubernamental y privada, así como mejores o nuevos productos y servicios para los ciudadanos y ciudadanas.</w:t>
            </w: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E107BA" w:rsidRPr="00D55406" w:rsidRDefault="00E107BA" w:rsidP="00DD0875">
            <w:pPr>
              <w:jc w:val="both"/>
              <w:rPr>
                <w:color w:val="FF0000"/>
                <w:szCs w:val="20"/>
                <w:lang w:val="es-PE"/>
              </w:rPr>
            </w:pPr>
            <w:r>
              <w:rPr>
                <w:rFonts w:ascii="Calibri" w:hAnsi="Calibri"/>
                <w:color w:val="000000"/>
              </w:rPr>
              <w:t xml:space="preserve">Promover la publicación de datos abiertos de manera clara utilizando estándares abiertos e interoperables, a fin de permitir que los ciudadanos y ciudadanas accedan sin restricciones de uso a un conjunto de datos gubernamentales, en formatos estructurados, alojados en un Portal de Datos Abiertos y en distintos portales institucionales de la administración pública, permitiendo de esta manera su reutilización.  </w:t>
            </w: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Relevancia</w:t>
            </w:r>
          </w:p>
          <w:p w:rsidR="00E107BA" w:rsidRPr="00295641" w:rsidRDefault="00E107BA" w:rsidP="00B56E74">
            <w:pPr>
              <w:autoSpaceDE w:val="0"/>
              <w:autoSpaceDN w:val="0"/>
              <w:adjustRightInd w:val="0"/>
              <w:rPr>
                <w:b/>
                <w:color w:val="000000" w:themeColor="text1"/>
              </w:rPr>
            </w:pPr>
          </w:p>
        </w:tc>
        <w:tc>
          <w:tcPr>
            <w:tcW w:w="4820" w:type="dxa"/>
            <w:gridSpan w:val="3"/>
          </w:tcPr>
          <w:p w:rsidR="00CA0DBF" w:rsidRPr="00CA0DBF" w:rsidRDefault="00CA0DBF" w:rsidP="00B56E74">
            <w:pPr>
              <w:jc w:val="both"/>
              <w:rPr>
                <w:szCs w:val="20"/>
                <w:lang w:val="es-PE"/>
              </w:rPr>
            </w:pPr>
            <w:r w:rsidRPr="00CA0DBF">
              <w:rPr>
                <w:szCs w:val="20"/>
                <w:lang w:val="es-PE"/>
              </w:rPr>
              <w:t xml:space="preserve">El compromiso contribuye a fortalecer la transparencia como valor de OGP, pues se promueve </w:t>
            </w:r>
            <w:r w:rsidR="0014607C">
              <w:rPr>
                <w:szCs w:val="20"/>
                <w:lang w:val="es-PE"/>
              </w:rPr>
              <w:t xml:space="preserve">nuevos mecanismos que promueven una mayor </w:t>
            </w:r>
            <w:r w:rsidRPr="00CA0DBF">
              <w:rPr>
                <w:szCs w:val="20"/>
                <w:lang w:val="es-PE"/>
              </w:rPr>
              <w:t xml:space="preserve">apertura de datos.  La experiencia ha sido muy enriquecedora en el proceso de construcción de la Estrategia pues se promovió la participación ciudadana y la colaboración para el proceso de validación de los instrumentos que hacen posible una efectiva implementación de la </w:t>
            </w:r>
            <w:r w:rsidR="00746982">
              <w:rPr>
                <w:szCs w:val="20"/>
                <w:lang w:val="es-PE"/>
              </w:rPr>
              <w:t>misma.</w:t>
            </w:r>
          </w:p>
          <w:p w:rsidR="00E107BA" w:rsidRPr="00D55406" w:rsidRDefault="00E107BA" w:rsidP="00B56E74">
            <w:pPr>
              <w:jc w:val="both"/>
              <w:rPr>
                <w:color w:val="FF0000"/>
                <w:szCs w:val="20"/>
                <w:lang w:val="es-PE"/>
              </w:rPr>
            </w:pP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Ambición</w:t>
            </w:r>
          </w:p>
          <w:p w:rsidR="00E107BA" w:rsidRPr="00295641" w:rsidRDefault="00E107BA" w:rsidP="00B56E74">
            <w:pPr>
              <w:autoSpaceDE w:val="0"/>
              <w:autoSpaceDN w:val="0"/>
              <w:adjustRightInd w:val="0"/>
              <w:rPr>
                <w:rFonts w:cs="Gotham-BookItalic"/>
                <w:b/>
                <w:iCs/>
                <w:color w:val="000000" w:themeColor="text1"/>
              </w:rPr>
            </w:pPr>
          </w:p>
        </w:tc>
        <w:tc>
          <w:tcPr>
            <w:tcW w:w="4820" w:type="dxa"/>
            <w:gridSpan w:val="3"/>
          </w:tcPr>
          <w:p w:rsidR="00CA0DBF" w:rsidRPr="00D12754" w:rsidRDefault="00CA0DBF" w:rsidP="00B56E74">
            <w:pPr>
              <w:jc w:val="both"/>
              <w:rPr>
                <w:szCs w:val="20"/>
                <w:lang w:val="es-PE"/>
              </w:rPr>
            </w:pPr>
            <w:r w:rsidRPr="00D12754">
              <w:rPr>
                <w:szCs w:val="20"/>
                <w:lang w:val="es-PE"/>
              </w:rPr>
              <w:t>Se espera contar con la aprobación de la norma que aprueba la implementación de la Estrategia Nacional de Datos Abiertos Gubernamentales y que se pueda culminar con la formulación de la norma técnica de datos abiertos.</w:t>
            </w:r>
          </w:p>
          <w:p w:rsidR="00E107BA" w:rsidRPr="00D55406" w:rsidRDefault="00E107BA" w:rsidP="00B56E74">
            <w:pPr>
              <w:jc w:val="both"/>
              <w:rPr>
                <w:color w:val="FF0000"/>
                <w:szCs w:val="20"/>
                <w:lang w:val="es-PE"/>
              </w:rPr>
            </w:pPr>
          </w:p>
        </w:tc>
      </w:tr>
      <w:tr w:rsidR="00E107BA" w:rsidRPr="00295641" w:rsidTr="00E107BA">
        <w:tc>
          <w:tcPr>
            <w:tcW w:w="2518" w:type="dxa"/>
            <w:gridSpan w:val="2"/>
            <w:vMerge w:val="restart"/>
            <w:shd w:val="clear" w:color="auto" w:fill="C6D9F1" w:themeFill="text2" w:themeFillTint="33"/>
            <w:vAlign w:val="center"/>
          </w:tcPr>
          <w:p w:rsidR="00E107BA" w:rsidRPr="00295641" w:rsidRDefault="00E107BA" w:rsidP="00B56E74">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E107BA" w:rsidRPr="00295641" w:rsidRDefault="00E107BA"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E107BA" w:rsidRPr="00295641" w:rsidRDefault="00E107BA"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E107BA" w:rsidRPr="00295641" w:rsidRDefault="00E107BA"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E107BA" w:rsidRPr="00295641" w:rsidRDefault="00E107BA" w:rsidP="00B56E74">
            <w:pPr>
              <w:jc w:val="center"/>
              <w:rPr>
                <w:b/>
                <w:color w:val="000000" w:themeColor="text1"/>
              </w:rPr>
            </w:pPr>
            <w:r w:rsidRPr="00295641">
              <w:rPr>
                <w:rFonts w:cs="Gotham-Book"/>
                <w:b/>
                <w:color w:val="000000" w:themeColor="text1"/>
              </w:rPr>
              <w:t>Completo</w:t>
            </w:r>
          </w:p>
        </w:tc>
      </w:tr>
      <w:tr w:rsidR="00E107BA" w:rsidRPr="00295641" w:rsidTr="00E107BA">
        <w:tc>
          <w:tcPr>
            <w:tcW w:w="2518" w:type="dxa"/>
            <w:gridSpan w:val="2"/>
            <w:vMerge/>
            <w:shd w:val="clear" w:color="auto" w:fill="C6D9F1" w:themeFill="text2" w:themeFillTint="33"/>
            <w:vAlign w:val="center"/>
          </w:tcPr>
          <w:p w:rsidR="00E107BA" w:rsidRPr="00295641" w:rsidRDefault="00E107BA" w:rsidP="00B56E74">
            <w:pPr>
              <w:rPr>
                <w:b/>
                <w:color w:val="000000" w:themeColor="text1"/>
              </w:rPr>
            </w:pPr>
          </w:p>
        </w:tc>
        <w:tc>
          <w:tcPr>
            <w:tcW w:w="1701" w:type="dxa"/>
          </w:tcPr>
          <w:p w:rsidR="00E107BA" w:rsidRPr="00295641" w:rsidRDefault="00E107BA" w:rsidP="00B56E74">
            <w:pPr>
              <w:jc w:val="center"/>
              <w:rPr>
                <w:b/>
                <w:color w:val="000000" w:themeColor="text1"/>
              </w:rPr>
            </w:pPr>
          </w:p>
        </w:tc>
        <w:tc>
          <w:tcPr>
            <w:tcW w:w="1729" w:type="dxa"/>
          </w:tcPr>
          <w:p w:rsidR="00E107BA" w:rsidRPr="00295641" w:rsidRDefault="00E107BA" w:rsidP="00B56E74">
            <w:pPr>
              <w:jc w:val="center"/>
              <w:rPr>
                <w:b/>
                <w:color w:val="000000" w:themeColor="text1"/>
              </w:rPr>
            </w:pPr>
          </w:p>
        </w:tc>
        <w:tc>
          <w:tcPr>
            <w:tcW w:w="1644" w:type="dxa"/>
          </w:tcPr>
          <w:p w:rsidR="00E107BA" w:rsidRPr="00295641" w:rsidRDefault="00E107BA" w:rsidP="00B56E74">
            <w:pPr>
              <w:jc w:val="center"/>
              <w:rPr>
                <w:b/>
                <w:color w:val="000000" w:themeColor="text1"/>
              </w:rPr>
            </w:pPr>
          </w:p>
        </w:tc>
        <w:tc>
          <w:tcPr>
            <w:tcW w:w="1447" w:type="dxa"/>
            <w:shd w:val="clear" w:color="auto" w:fill="FFFFFF" w:themeFill="background1"/>
          </w:tcPr>
          <w:p w:rsidR="00E107BA" w:rsidRPr="00295641" w:rsidRDefault="00A46A89" w:rsidP="00B56E74">
            <w:pPr>
              <w:jc w:val="center"/>
              <w:rPr>
                <w:b/>
                <w:color w:val="000000" w:themeColor="text1"/>
              </w:rPr>
            </w:pPr>
            <w:r>
              <w:rPr>
                <w:b/>
                <w:color w:val="000000" w:themeColor="text1"/>
              </w:rPr>
              <w:t>X</w:t>
            </w:r>
          </w:p>
        </w:tc>
      </w:tr>
      <w:tr w:rsidR="00E107BA" w:rsidRPr="00295641" w:rsidTr="00E107BA">
        <w:tc>
          <w:tcPr>
            <w:tcW w:w="2518" w:type="dxa"/>
            <w:gridSpan w:val="2"/>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E107BA" w:rsidRPr="00295641" w:rsidRDefault="00E107BA" w:rsidP="00B56E74">
            <w:pPr>
              <w:autoSpaceDE w:val="0"/>
              <w:autoSpaceDN w:val="0"/>
              <w:adjustRightInd w:val="0"/>
              <w:rPr>
                <w:rFonts w:cs="Gotham-BookItalic"/>
                <w:b/>
                <w:iCs/>
                <w:color w:val="000000" w:themeColor="text1"/>
              </w:rPr>
            </w:pPr>
          </w:p>
        </w:tc>
        <w:tc>
          <w:tcPr>
            <w:tcW w:w="6521" w:type="dxa"/>
            <w:gridSpan w:val="4"/>
          </w:tcPr>
          <w:p w:rsidR="00DD0875" w:rsidRPr="001F04BA" w:rsidRDefault="00DD0875" w:rsidP="00DD0875">
            <w:pPr>
              <w:pStyle w:val="Prrafodelista"/>
              <w:ind w:left="0"/>
              <w:jc w:val="both"/>
              <w:rPr>
                <w:bCs/>
                <w:color w:val="000000"/>
              </w:rPr>
            </w:pPr>
            <w:r w:rsidRPr="001F04BA">
              <w:rPr>
                <w:bCs/>
                <w:color w:val="000000"/>
              </w:rPr>
              <w:t>Se considera</w:t>
            </w:r>
            <w:r w:rsidR="00A223CA">
              <w:rPr>
                <w:bCs/>
                <w:color w:val="000000"/>
              </w:rPr>
              <w:t>ron</w:t>
            </w:r>
            <w:r w:rsidRPr="001F04BA">
              <w:rPr>
                <w:bCs/>
                <w:color w:val="000000"/>
              </w:rPr>
              <w:t xml:space="preserve"> las siguientes actividades:</w:t>
            </w:r>
          </w:p>
          <w:p w:rsidR="00DD0875" w:rsidRPr="001F04BA" w:rsidRDefault="00CA0DBF" w:rsidP="00DD0875">
            <w:pPr>
              <w:pStyle w:val="Prrafodelista"/>
              <w:numPr>
                <w:ilvl w:val="0"/>
                <w:numId w:val="24"/>
              </w:numPr>
              <w:jc w:val="both"/>
              <w:rPr>
                <w:b/>
                <w:bCs/>
                <w:i/>
                <w:color w:val="000000"/>
              </w:rPr>
            </w:pPr>
            <w:r w:rsidRPr="001F04BA">
              <w:rPr>
                <w:b/>
                <w:i/>
                <w:color w:val="000000"/>
              </w:rPr>
              <w:t xml:space="preserve">Elaborar una </w:t>
            </w:r>
            <w:r w:rsidR="00DD0875" w:rsidRPr="001F04BA">
              <w:rPr>
                <w:b/>
                <w:i/>
                <w:color w:val="000000"/>
              </w:rPr>
              <w:t>Estrategia y metodología definida para la apertura de datos del Estado.</w:t>
            </w:r>
          </w:p>
          <w:p w:rsidR="009D45C3" w:rsidRDefault="00B50DAD" w:rsidP="00084A02">
            <w:pPr>
              <w:pStyle w:val="Prrafodelista"/>
              <w:jc w:val="both"/>
              <w:rPr>
                <w:bCs/>
                <w:color w:val="000000"/>
              </w:rPr>
            </w:pPr>
            <w:r>
              <w:rPr>
                <w:bCs/>
                <w:color w:val="000000"/>
              </w:rPr>
              <w:t xml:space="preserve">Mediante </w:t>
            </w:r>
            <w:r w:rsidRPr="00B50DAD">
              <w:rPr>
                <w:bCs/>
                <w:color w:val="000000"/>
              </w:rPr>
              <w:t xml:space="preserve">D.S 016 -2017-PCM </w:t>
            </w:r>
            <w:r>
              <w:rPr>
                <w:bCs/>
                <w:color w:val="000000"/>
              </w:rPr>
              <w:t>s</w:t>
            </w:r>
            <w:r w:rsidR="009D45C3">
              <w:rPr>
                <w:bCs/>
                <w:color w:val="000000"/>
              </w:rPr>
              <w:t xml:space="preserve">e aprobó </w:t>
            </w:r>
            <w:r w:rsidR="00084A02" w:rsidRPr="001F04BA">
              <w:rPr>
                <w:bCs/>
                <w:color w:val="000000"/>
              </w:rPr>
              <w:t>la Estrategia Nacional de Datos Abiertos Gubernamentales</w:t>
            </w:r>
            <w:r w:rsidR="009D45C3">
              <w:rPr>
                <w:bCs/>
                <w:color w:val="000000"/>
              </w:rPr>
              <w:t xml:space="preserve">. </w:t>
            </w:r>
          </w:p>
          <w:p w:rsidR="00836B37" w:rsidRDefault="004165D0" w:rsidP="00084A02">
            <w:pPr>
              <w:pStyle w:val="Prrafodelista"/>
              <w:jc w:val="both"/>
              <w:rPr>
                <w:bCs/>
                <w:color w:val="000000"/>
              </w:rPr>
            </w:pPr>
            <w:hyperlink r:id="rId31" w:history="1">
              <w:r w:rsidR="00A47DD5" w:rsidRPr="00180CF7">
                <w:rPr>
                  <w:rStyle w:val="Hipervnculo"/>
                  <w:bCs/>
                </w:rPr>
                <w:t>http://sgp.pcm.gob.pe/wp-content/uploads/2017/02/DS-016-2017-PCM.pdf</w:t>
              </w:r>
            </w:hyperlink>
          </w:p>
          <w:p w:rsidR="00A47DD5" w:rsidRPr="00072269" w:rsidRDefault="00A47DD5" w:rsidP="00084A02">
            <w:pPr>
              <w:pStyle w:val="Prrafodelista"/>
              <w:jc w:val="both"/>
              <w:rPr>
                <w:bCs/>
              </w:rPr>
            </w:pPr>
          </w:p>
          <w:p w:rsidR="00DD0875" w:rsidRPr="001F04BA" w:rsidRDefault="00DD0875" w:rsidP="00DD0875">
            <w:pPr>
              <w:pStyle w:val="Prrafodelista"/>
              <w:numPr>
                <w:ilvl w:val="0"/>
                <w:numId w:val="24"/>
              </w:numPr>
              <w:jc w:val="both"/>
              <w:rPr>
                <w:b/>
                <w:bCs/>
                <w:i/>
                <w:color w:val="000000"/>
              </w:rPr>
            </w:pPr>
            <w:r w:rsidRPr="001F04BA">
              <w:rPr>
                <w:b/>
                <w:i/>
                <w:color w:val="000000"/>
              </w:rPr>
              <w:t>Creación del portal de Datos Abiertos del Estado Peruano.</w:t>
            </w:r>
          </w:p>
          <w:p w:rsidR="00836B37" w:rsidRDefault="005B619D" w:rsidP="005B619D">
            <w:pPr>
              <w:pStyle w:val="Prrafodelista"/>
              <w:jc w:val="both"/>
              <w:rPr>
                <w:color w:val="000000"/>
              </w:rPr>
            </w:pPr>
            <w:r>
              <w:rPr>
                <w:color w:val="000000"/>
              </w:rPr>
              <w:t>El Portal Nacional de Datos Abiertos ha sido creado utilizando una plataforma ad-hoc para la gestión de los datos abiertos denominada DKAN.</w:t>
            </w:r>
          </w:p>
          <w:p w:rsidR="00836B37" w:rsidRDefault="004165D0" w:rsidP="005B619D">
            <w:pPr>
              <w:pStyle w:val="Prrafodelista"/>
              <w:jc w:val="both"/>
              <w:rPr>
                <w:color w:val="000000"/>
              </w:rPr>
            </w:pPr>
            <w:hyperlink r:id="rId32" w:history="1">
              <w:r w:rsidR="00A47DD5" w:rsidRPr="00180CF7">
                <w:rPr>
                  <w:rStyle w:val="Hipervnculo"/>
                </w:rPr>
                <w:t>http://www.datosabiertos.gob.pe/</w:t>
              </w:r>
            </w:hyperlink>
          </w:p>
          <w:p w:rsidR="005B619D" w:rsidRDefault="005B619D" w:rsidP="005B619D">
            <w:pPr>
              <w:pStyle w:val="Prrafodelista"/>
              <w:jc w:val="both"/>
              <w:rPr>
                <w:color w:val="000000"/>
              </w:rPr>
            </w:pPr>
            <w:r>
              <w:rPr>
                <w:color w:val="000000"/>
              </w:rPr>
              <w:t xml:space="preserve"> </w:t>
            </w:r>
          </w:p>
          <w:p w:rsidR="00DD0875" w:rsidRDefault="00DD0875" w:rsidP="00905145">
            <w:pPr>
              <w:pStyle w:val="Prrafodelista"/>
              <w:numPr>
                <w:ilvl w:val="0"/>
                <w:numId w:val="24"/>
              </w:numPr>
              <w:jc w:val="both"/>
              <w:rPr>
                <w:b/>
                <w:i/>
                <w:color w:val="000000"/>
              </w:rPr>
            </w:pPr>
            <w:r w:rsidRPr="00905145">
              <w:rPr>
                <w:b/>
                <w:i/>
                <w:color w:val="000000"/>
              </w:rPr>
              <w:t>Norma Técnica de Datos Abiertos aprobada.</w:t>
            </w:r>
          </w:p>
          <w:p w:rsidR="005B619D" w:rsidRPr="00D970B6" w:rsidRDefault="005B619D" w:rsidP="005B619D">
            <w:pPr>
              <w:pStyle w:val="Prrafodelista"/>
              <w:rPr>
                <w:i/>
                <w:color w:val="000000"/>
              </w:rPr>
            </w:pPr>
            <w:r w:rsidRPr="00D970B6">
              <w:rPr>
                <w:i/>
                <w:color w:val="000000"/>
              </w:rPr>
              <w:t>Como parte de la estrategia se diseñaron los instrumentos que facilitan la recolección, publicación, difusión y reutilización de los datos abiertos.</w:t>
            </w:r>
          </w:p>
          <w:p w:rsidR="0047312D" w:rsidRDefault="004165D0" w:rsidP="00A223CA">
            <w:pPr>
              <w:pStyle w:val="Normal1"/>
              <w:ind w:left="708"/>
              <w:jc w:val="both"/>
              <w:rPr>
                <w:rFonts w:asciiTheme="minorHAnsi" w:hAnsiTheme="minorHAnsi"/>
                <w:color w:val="auto"/>
                <w:szCs w:val="20"/>
                <w:lang w:val="es-PE"/>
              </w:rPr>
            </w:pPr>
            <w:hyperlink r:id="rId33" w:history="1">
              <w:r w:rsidR="00A47DD5" w:rsidRPr="00180CF7">
                <w:rPr>
                  <w:rStyle w:val="Hipervnculo"/>
                  <w:rFonts w:asciiTheme="minorHAnsi" w:hAnsiTheme="minorHAnsi"/>
                  <w:szCs w:val="20"/>
                  <w:lang w:val="es-PE"/>
                </w:rPr>
                <w:t>http://www.datosabiertos.gob.pe/sobre-el-portal-nacional-de-datos-abiertos</w:t>
              </w:r>
            </w:hyperlink>
          </w:p>
          <w:p w:rsidR="00750C3A" w:rsidRDefault="00750C3A" w:rsidP="001F04BA">
            <w:pPr>
              <w:pStyle w:val="Normal1"/>
              <w:jc w:val="both"/>
              <w:rPr>
                <w:rFonts w:asciiTheme="minorHAnsi" w:hAnsiTheme="minorHAnsi"/>
                <w:color w:val="auto"/>
                <w:szCs w:val="20"/>
                <w:lang w:val="es-PE"/>
              </w:rPr>
            </w:pPr>
          </w:p>
          <w:p w:rsidR="001F04BA" w:rsidRPr="001F04BA" w:rsidRDefault="009704F5" w:rsidP="001F04BA">
            <w:pPr>
              <w:pStyle w:val="Normal1"/>
              <w:jc w:val="both"/>
              <w:rPr>
                <w:rFonts w:asciiTheme="minorHAnsi" w:hAnsiTheme="minorHAnsi"/>
                <w:szCs w:val="20"/>
                <w:lang w:val="es-PE"/>
              </w:rPr>
            </w:pPr>
            <w:r>
              <w:rPr>
                <w:rFonts w:asciiTheme="minorHAnsi" w:hAnsiTheme="minorHAnsi"/>
                <w:color w:val="auto"/>
                <w:szCs w:val="20"/>
                <w:lang w:val="es-PE"/>
              </w:rPr>
              <w:t>Hay a</w:t>
            </w:r>
            <w:r w:rsidR="00CA0DBF" w:rsidRPr="001F04BA">
              <w:rPr>
                <w:rFonts w:asciiTheme="minorHAnsi" w:hAnsiTheme="minorHAnsi"/>
                <w:color w:val="auto"/>
                <w:szCs w:val="20"/>
                <w:lang w:val="es-PE"/>
              </w:rPr>
              <w:t>vances</w:t>
            </w:r>
            <w:r w:rsidR="00CA0DBF" w:rsidRPr="001F04BA">
              <w:rPr>
                <w:rFonts w:asciiTheme="minorHAnsi" w:hAnsiTheme="minorHAnsi"/>
                <w:szCs w:val="20"/>
                <w:lang w:val="es-PE"/>
              </w:rPr>
              <w:t xml:space="preserve"> </w:t>
            </w:r>
            <w:r>
              <w:rPr>
                <w:rFonts w:asciiTheme="minorHAnsi" w:hAnsiTheme="minorHAnsi"/>
                <w:szCs w:val="20"/>
                <w:lang w:val="es-PE"/>
              </w:rPr>
              <w:t xml:space="preserve">significativos en materia de </w:t>
            </w:r>
            <w:r w:rsidR="00CA0DBF" w:rsidRPr="001F04BA">
              <w:rPr>
                <w:rFonts w:asciiTheme="minorHAnsi" w:hAnsiTheme="minorHAnsi"/>
                <w:szCs w:val="20"/>
                <w:lang w:val="es-PE"/>
              </w:rPr>
              <w:t>apertura de datos en diferentes entidades y niveles de gobierno, como es el caso de</w:t>
            </w:r>
            <w:r w:rsidR="001F04BA" w:rsidRPr="001F04BA">
              <w:rPr>
                <w:rFonts w:asciiTheme="minorHAnsi" w:hAnsiTheme="minorHAnsi"/>
                <w:szCs w:val="20"/>
                <w:lang w:val="es-PE"/>
              </w:rPr>
              <w:t xml:space="preserve">: </w:t>
            </w:r>
          </w:p>
          <w:p w:rsidR="001F04BA" w:rsidRPr="001F04BA" w:rsidRDefault="001F04BA" w:rsidP="001F04BA">
            <w:pPr>
              <w:pStyle w:val="Normal1"/>
              <w:jc w:val="both"/>
              <w:rPr>
                <w:rFonts w:ascii="Calibri" w:hAnsi="Calibri"/>
                <w:b/>
                <w:lang w:val="es-PE"/>
              </w:rPr>
            </w:pPr>
            <w:r w:rsidRPr="001F04BA">
              <w:rPr>
                <w:rFonts w:ascii="Calibri" w:hAnsi="Calibri"/>
                <w:b/>
                <w:lang w:val="es-PE"/>
              </w:rPr>
              <w:t>Gobierno Nacional:</w:t>
            </w:r>
          </w:p>
          <w:p w:rsidR="001F04BA" w:rsidRPr="001F04BA" w:rsidRDefault="005B619D" w:rsidP="001F04BA">
            <w:pPr>
              <w:pStyle w:val="Normal1"/>
              <w:jc w:val="both"/>
              <w:rPr>
                <w:rFonts w:ascii="Calibri" w:hAnsi="Calibri"/>
                <w:lang w:val="es-PE"/>
              </w:rPr>
            </w:pPr>
            <w:r>
              <w:rPr>
                <w:rFonts w:ascii="Calibri" w:hAnsi="Calibri"/>
                <w:lang w:val="es-PE"/>
              </w:rPr>
              <w:t xml:space="preserve">La Secretaria de Gobierno Digital (Ex </w:t>
            </w:r>
            <w:r w:rsidR="001F04BA" w:rsidRPr="001F04BA">
              <w:rPr>
                <w:rFonts w:ascii="Calibri" w:hAnsi="Calibri"/>
                <w:lang w:val="es-PE"/>
              </w:rPr>
              <w:t>Oficina Nacional de Gobierno Electrónico e Informática</w:t>
            </w:r>
            <w:r>
              <w:rPr>
                <w:rFonts w:ascii="Calibri" w:hAnsi="Calibri"/>
                <w:lang w:val="es-PE"/>
              </w:rPr>
              <w:t>) tiene a su cargo la administración del Portal Nacional de Datos Abiertos</w:t>
            </w:r>
            <w:r w:rsidR="001F04BA" w:rsidRPr="001F04BA">
              <w:rPr>
                <w:rFonts w:ascii="Calibri" w:hAnsi="Calibri"/>
                <w:lang w:val="es-PE"/>
              </w:rPr>
              <w:t xml:space="preserve">: </w:t>
            </w:r>
            <w:hyperlink r:id="rId34" w:history="1">
              <w:r w:rsidR="001F04BA" w:rsidRPr="001F04BA">
                <w:rPr>
                  <w:rStyle w:val="Hipervnculo"/>
                  <w:rFonts w:ascii="Calibri" w:hAnsi="Calibri"/>
                  <w:lang w:val="es-PE"/>
                </w:rPr>
                <w:t>http://www.datosabiertos.gob.pe</w:t>
              </w:r>
            </w:hyperlink>
          </w:p>
          <w:p w:rsidR="001F04BA" w:rsidRPr="001F04BA" w:rsidRDefault="001F04BA" w:rsidP="001F04BA">
            <w:pPr>
              <w:pStyle w:val="Normal1"/>
              <w:jc w:val="both"/>
              <w:rPr>
                <w:rStyle w:val="Hipervnculo"/>
                <w:rFonts w:ascii="Calibri" w:hAnsi="Calibri"/>
                <w:lang w:val="es-PE"/>
              </w:rPr>
            </w:pPr>
            <w:r w:rsidRPr="001F04BA">
              <w:rPr>
                <w:rFonts w:ascii="Calibri" w:hAnsi="Calibri"/>
                <w:lang w:val="es-PE"/>
              </w:rPr>
              <w:t xml:space="preserve">Consejo Nacional de Ciencia, Tecnología e Innovación Tecnológica: </w:t>
            </w:r>
            <w:hyperlink r:id="rId35" w:history="1">
              <w:r w:rsidRPr="001F04BA">
                <w:rPr>
                  <w:rStyle w:val="Hipervnculo"/>
                  <w:rFonts w:ascii="Calibri" w:hAnsi="Calibri"/>
                  <w:lang w:val="es-PE"/>
                </w:rPr>
                <w:t>http://datos.concytec.gob.pe/</w:t>
              </w:r>
            </w:hyperlink>
          </w:p>
          <w:p w:rsidR="001F04BA" w:rsidRPr="001F04BA" w:rsidRDefault="001F04BA" w:rsidP="001F04BA">
            <w:pPr>
              <w:pStyle w:val="Normal1"/>
              <w:contextualSpacing/>
              <w:jc w:val="both"/>
              <w:rPr>
                <w:rFonts w:ascii="Calibri" w:hAnsi="Calibri"/>
                <w:lang w:val="es-PE"/>
              </w:rPr>
            </w:pPr>
            <w:r w:rsidRPr="001F04BA">
              <w:rPr>
                <w:rFonts w:ascii="Calibri" w:hAnsi="Calibri"/>
              </w:rPr>
              <w:t>Programa Productivo Agrario Rural</w:t>
            </w:r>
            <w:r w:rsidRPr="001F04BA">
              <w:rPr>
                <w:rStyle w:val="Hipervnculo"/>
                <w:rFonts w:ascii="Calibri" w:hAnsi="Calibri"/>
                <w:lang w:val="es-PE"/>
              </w:rPr>
              <w:t xml:space="preserve">: </w:t>
            </w:r>
            <w:hyperlink r:id="rId36" w:history="1">
              <w:r w:rsidRPr="007D5081">
                <w:rPr>
                  <w:rStyle w:val="Hipervnculo"/>
                  <w:rFonts w:ascii="Calibri" w:hAnsi="Calibri"/>
                  <w:lang w:val="es-PE"/>
                </w:rPr>
                <w:t>http://datos.agrorural.gob.pe/</w:t>
              </w:r>
            </w:hyperlink>
          </w:p>
          <w:p w:rsidR="001F04BA" w:rsidRPr="001F04BA" w:rsidRDefault="001F04BA" w:rsidP="001F04BA">
            <w:pPr>
              <w:pStyle w:val="Normal1"/>
              <w:spacing w:before="360" w:after="240"/>
              <w:contextualSpacing/>
              <w:jc w:val="both"/>
              <w:rPr>
                <w:rFonts w:ascii="Calibri" w:hAnsi="Calibri"/>
                <w:b/>
                <w:lang w:val="es-PE"/>
              </w:rPr>
            </w:pPr>
            <w:r w:rsidRPr="001F04BA">
              <w:rPr>
                <w:rFonts w:ascii="Calibri" w:hAnsi="Calibri"/>
                <w:b/>
                <w:lang w:val="es-PE"/>
              </w:rPr>
              <w:t>Gobiernos Locales:</w:t>
            </w:r>
          </w:p>
          <w:p w:rsidR="001F04BA" w:rsidRPr="001F04BA" w:rsidRDefault="001F04BA" w:rsidP="001F04BA">
            <w:pPr>
              <w:pStyle w:val="Normal1"/>
              <w:contextualSpacing/>
              <w:jc w:val="both"/>
              <w:rPr>
                <w:rFonts w:ascii="Calibri" w:hAnsi="Calibri"/>
                <w:lang w:val="es-PE"/>
              </w:rPr>
            </w:pPr>
            <w:r w:rsidRPr="001F04BA">
              <w:rPr>
                <w:rFonts w:ascii="Calibri" w:hAnsi="Calibri"/>
                <w:lang w:val="es-PE"/>
              </w:rPr>
              <w:t xml:space="preserve">Municipalidad Metropolitana de Lima: </w:t>
            </w:r>
            <w:hyperlink r:id="rId37" w:history="1">
              <w:r w:rsidRPr="001F04BA">
                <w:rPr>
                  <w:rStyle w:val="Hipervnculo"/>
                  <w:rFonts w:ascii="Calibri" w:hAnsi="Calibri"/>
                  <w:lang w:val="es-PE"/>
                </w:rPr>
                <w:t>http://datosabiertos.munlima.gob.pe/</w:t>
              </w:r>
            </w:hyperlink>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Municipalidad Distrital de Miraflores: </w:t>
            </w:r>
            <w:hyperlink r:id="rId38" w:history="1">
              <w:r w:rsidRPr="001F04BA">
                <w:rPr>
                  <w:rStyle w:val="Hipervnculo"/>
                  <w:rFonts w:ascii="Calibri" w:hAnsi="Calibri"/>
                  <w:lang w:val="es-PE"/>
                </w:rPr>
                <w:t>http://datosabiertos.miraflores.gob.pe/home</w:t>
              </w:r>
            </w:hyperlink>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Municipalidad Distrital de San Isidro: </w:t>
            </w:r>
            <w:hyperlink r:id="rId39" w:history="1">
              <w:r w:rsidRPr="001F04BA">
                <w:rPr>
                  <w:rStyle w:val="Hipervnculo"/>
                  <w:rFonts w:ascii="Calibri" w:hAnsi="Calibri"/>
                  <w:lang w:val="es-PE"/>
                </w:rPr>
                <w:t>http://datosabiertos.msi.gob.pe/home/</w:t>
              </w:r>
            </w:hyperlink>
          </w:p>
          <w:p w:rsidR="001F04BA" w:rsidRPr="001F04BA" w:rsidRDefault="001F04BA" w:rsidP="001F04BA">
            <w:pPr>
              <w:pStyle w:val="Normal1"/>
              <w:contextualSpacing/>
              <w:jc w:val="both"/>
              <w:rPr>
                <w:rFonts w:ascii="Calibri" w:hAnsi="Calibri"/>
                <w:lang w:val="es-PE"/>
              </w:rPr>
            </w:pPr>
            <w:r w:rsidRPr="001F04BA">
              <w:rPr>
                <w:rFonts w:ascii="Calibri" w:hAnsi="Calibri"/>
                <w:lang w:val="es-PE"/>
              </w:rPr>
              <w:t xml:space="preserve">Municipalidad Distrital de San Martín de Porres: </w:t>
            </w:r>
            <w:hyperlink r:id="rId40" w:history="1">
              <w:r w:rsidRPr="001F04BA">
                <w:rPr>
                  <w:rStyle w:val="Hipervnculo"/>
                  <w:rFonts w:ascii="Calibri" w:hAnsi="Calibri"/>
                  <w:lang w:val="es-PE"/>
                </w:rPr>
                <w:t>http://www.mdsmp.gob.pe/datos/index.php</w:t>
              </w:r>
            </w:hyperlink>
          </w:p>
          <w:p w:rsidR="001F04BA" w:rsidRPr="001F04BA" w:rsidRDefault="001F04BA" w:rsidP="001F04BA">
            <w:pPr>
              <w:pStyle w:val="Normal1"/>
              <w:contextualSpacing/>
              <w:jc w:val="both"/>
              <w:rPr>
                <w:rFonts w:ascii="Calibri" w:hAnsi="Calibri"/>
                <w:b/>
                <w:lang w:val="es-PE"/>
              </w:rPr>
            </w:pPr>
            <w:r w:rsidRPr="001F04BA">
              <w:rPr>
                <w:rFonts w:ascii="Calibri" w:hAnsi="Calibri"/>
                <w:b/>
                <w:lang w:val="es-PE"/>
              </w:rPr>
              <w:t>Gobierno Regional:</w:t>
            </w:r>
          </w:p>
          <w:p w:rsidR="001F04BA" w:rsidRPr="001F04BA" w:rsidRDefault="001F04BA" w:rsidP="001F04BA">
            <w:pPr>
              <w:pStyle w:val="Normal1"/>
              <w:contextualSpacing/>
              <w:jc w:val="both"/>
              <w:rPr>
                <w:rFonts w:ascii="Calibri" w:hAnsi="Calibri"/>
                <w:lang w:val="es-PE"/>
              </w:rPr>
            </w:pPr>
            <w:r w:rsidRPr="001F04BA">
              <w:rPr>
                <w:rFonts w:ascii="Calibri" w:hAnsi="Calibri"/>
                <w:lang w:val="es-PE"/>
              </w:rPr>
              <w:t xml:space="preserve">Gobierno Regional la Libertad: </w:t>
            </w:r>
            <w:hyperlink r:id="rId41" w:history="1">
              <w:r w:rsidRPr="001F04BA">
                <w:rPr>
                  <w:rStyle w:val="Hipervnculo"/>
                  <w:rFonts w:ascii="Calibri" w:hAnsi="Calibri"/>
                  <w:lang w:val="es-PE"/>
                </w:rPr>
                <w:t>http://www.regionlalibertad.gob.pe/datosabiertos/</w:t>
              </w:r>
            </w:hyperlink>
          </w:p>
          <w:p w:rsidR="008F1376" w:rsidRPr="00295641" w:rsidRDefault="008F1376" w:rsidP="00B56E74">
            <w:pPr>
              <w:jc w:val="both"/>
              <w:rPr>
                <w:color w:val="000000" w:themeColor="text1"/>
              </w:rPr>
            </w:pPr>
            <w:r>
              <w:rPr>
                <w:szCs w:val="20"/>
                <w:lang w:val="es-PE"/>
              </w:rPr>
              <w:t>Fuente: Memorando N° 568-2016-PCM/ONGEI, del 15.09.16</w:t>
            </w:r>
          </w:p>
        </w:tc>
      </w:tr>
      <w:tr w:rsidR="00E107BA" w:rsidRPr="00295641" w:rsidTr="00E107BA">
        <w:tc>
          <w:tcPr>
            <w:tcW w:w="9039" w:type="dxa"/>
            <w:gridSpan w:val="6"/>
          </w:tcPr>
          <w:p w:rsidR="00E107BA" w:rsidRPr="00295641" w:rsidRDefault="00E107BA" w:rsidP="00B56E74">
            <w:pPr>
              <w:jc w:val="both"/>
              <w:rPr>
                <w:rFonts w:cs="Gotham-Book"/>
                <w:b/>
                <w:color w:val="000000" w:themeColor="text1"/>
              </w:rPr>
            </w:pPr>
          </w:p>
          <w:p w:rsidR="00E107BA" w:rsidRPr="00295641" w:rsidRDefault="00E107BA" w:rsidP="00B56E74">
            <w:pPr>
              <w:jc w:val="both"/>
              <w:rPr>
                <w:color w:val="000000" w:themeColor="text1"/>
              </w:rPr>
            </w:pPr>
            <w:r>
              <w:rPr>
                <w:rFonts w:cs="Gotham-Book"/>
                <w:b/>
                <w:color w:val="000000" w:themeColor="text1"/>
              </w:rPr>
              <w:t>Información adicional</w:t>
            </w:r>
          </w:p>
        </w:tc>
      </w:tr>
      <w:tr w:rsidR="00E107BA" w:rsidRPr="00295641" w:rsidTr="00E107BA">
        <w:tc>
          <w:tcPr>
            <w:tcW w:w="9039" w:type="dxa"/>
            <w:gridSpan w:val="6"/>
          </w:tcPr>
          <w:p w:rsidR="00E107BA" w:rsidRPr="005B5FE3" w:rsidRDefault="00750C3A" w:rsidP="00750C3A">
            <w:pPr>
              <w:jc w:val="both"/>
              <w:rPr>
                <w:rFonts w:cs="Gotham-Book"/>
                <w:color w:val="000000" w:themeColor="text1"/>
              </w:rPr>
            </w:pPr>
            <w:r w:rsidRPr="005B5FE3">
              <w:rPr>
                <w:rFonts w:cs="Gotham-Book"/>
                <w:color w:val="000000" w:themeColor="text1"/>
              </w:rPr>
              <w:t xml:space="preserve">El Portal Nacional de Datos Abiertos viene siendo utilizado por diversas instituciones públicas del Poder Ejecutivo como son los </w:t>
            </w:r>
            <w:r w:rsidR="00A223CA">
              <w:rPr>
                <w:rFonts w:cs="Gotham-Book"/>
                <w:color w:val="000000" w:themeColor="text1"/>
              </w:rPr>
              <w:t>m</w:t>
            </w:r>
            <w:r w:rsidRPr="005B5FE3">
              <w:rPr>
                <w:rFonts w:cs="Gotham-Book"/>
                <w:color w:val="000000" w:themeColor="text1"/>
              </w:rPr>
              <w:t xml:space="preserve">inisterios, y del nivel subnacional como el caso de la Municipalidad Metropolitana de Lima. </w:t>
            </w:r>
          </w:p>
          <w:p w:rsidR="00750C3A" w:rsidRDefault="004165D0" w:rsidP="00750C3A">
            <w:pPr>
              <w:jc w:val="both"/>
              <w:rPr>
                <w:rFonts w:cs="Gotham-Book"/>
                <w:color w:val="000000" w:themeColor="text1"/>
              </w:rPr>
            </w:pPr>
            <w:hyperlink r:id="rId42" w:history="1">
              <w:r w:rsidR="000948BE" w:rsidRPr="00DD6958">
                <w:rPr>
                  <w:rStyle w:val="Hipervnculo"/>
                  <w:rFonts w:cs="Gotham-Book"/>
                </w:rPr>
                <w:t>http://www.datosabiertos.gob.pe/organizaciones</w:t>
              </w:r>
            </w:hyperlink>
          </w:p>
          <w:p w:rsidR="000948BE" w:rsidRPr="00295641" w:rsidRDefault="000948BE" w:rsidP="00A223CA">
            <w:pPr>
              <w:jc w:val="both"/>
              <w:rPr>
                <w:rFonts w:cs="Gotham-Book"/>
                <w:b/>
                <w:color w:val="000000" w:themeColor="text1"/>
              </w:rPr>
            </w:pPr>
            <w:r>
              <w:rPr>
                <w:rFonts w:cs="Gotham-Book"/>
                <w:color w:val="000000" w:themeColor="text1"/>
              </w:rPr>
              <w:t>Los aspectos</w:t>
            </w:r>
            <w:r w:rsidR="00A223CA">
              <w:rPr>
                <w:rFonts w:cs="Gotham-Book"/>
                <w:color w:val="000000" w:themeColor="text1"/>
              </w:rPr>
              <w:t xml:space="preserve"> </w:t>
            </w:r>
            <w:r>
              <w:rPr>
                <w:rFonts w:cs="Gotham-Book"/>
                <w:color w:val="000000" w:themeColor="text1"/>
              </w:rPr>
              <w:t>técnicos y normativos, de acuerdo al ROF de la Presidencia del Consejo de Ministros son de competencia de la Secretaría de Gobierno Digital.</w:t>
            </w:r>
          </w:p>
        </w:tc>
      </w:tr>
    </w:tbl>
    <w:p w:rsidR="00067696" w:rsidRDefault="00067696"/>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F40088" w:rsidRPr="00295641" w:rsidTr="00F40088">
        <w:tc>
          <w:tcPr>
            <w:tcW w:w="9039" w:type="dxa"/>
            <w:gridSpan w:val="6"/>
            <w:shd w:val="clear" w:color="auto" w:fill="548DD4" w:themeFill="text2" w:themeFillTint="99"/>
          </w:tcPr>
          <w:p w:rsidR="00F40088" w:rsidRPr="00295641" w:rsidRDefault="00F40088" w:rsidP="00B56E74">
            <w:pPr>
              <w:ind w:left="360"/>
              <w:jc w:val="center"/>
              <w:rPr>
                <w:b/>
              </w:rPr>
            </w:pPr>
            <w:r>
              <w:rPr>
                <w:b/>
              </w:rPr>
              <w:t>Componente: Mejora de los Servicios Públicos</w:t>
            </w:r>
          </w:p>
        </w:tc>
      </w:tr>
      <w:tr w:rsidR="00F40088" w:rsidRPr="00295641" w:rsidTr="00F40088">
        <w:tc>
          <w:tcPr>
            <w:tcW w:w="9039" w:type="dxa"/>
            <w:gridSpan w:val="6"/>
            <w:shd w:val="clear" w:color="auto" w:fill="548DD4" w:themeFill="text2" w:themeFillTint="99"/>
          </w:tcPr>
          <w:p w:rsidR="00F40088" w:rsidRPr="00F40088" w:rsidRDefault="007C4C54" w:rsidP="007C4C54">
            <w:pPr>
              <w:ind w:left="360"/>
              <w:jc w:val="center"/>
              <w:rPr>
                <w:rFonts w:ascii="Calibri" w:hAnsi="Calibri"/>
                <w:b/>
                <w:color w:val="000000"/>
              </w:rPr>
            </w:pPr>
            <w:r w:rsidRPr="007C4C54">
              <w:rPr>
                <w:rFonts w:ascii="Calibri" w:hAnsi="Calibri"/>
                <w:b/>
                <w:color w:val="000000"/>
                <w:u w:val="single"/>
              </w:rPr>
              <w:t xml:space="preserve">Compromiso </w:t>
            </w:r>
            <w:r w:rsidR="00F40088" w:rsidRPr="007C4C54">
              <w:rPr>
                <w:rFonts w:ascii="Calibri" w:hAnsi="Calibri"/>
                <w:b/>
                <w:color w:val="000000"/>
                <w:u w:val="single"/>
              </w:rPr>
              <w:t>15</w:t>
            </w:r>
            <w:r w:rsidR="00F40088" w:rsidRPr="00F40088">
              <w:rPr>
                <w:rFonts w:ascii="Calibri" w:hAnsi="Calibri"/>
                <w:b/>
                <w:color w:val="000000"/>
              </w:rPr>
              <w:t xml:space="preserve">. Incrementar el número </w:t>
            </w:r>
            <w:r>
              <w:rPr>
                <w:rFonts w:ascii="Calibri" w:hAnsi="Calibri"/>
                <w:b/>
                <w:color w:val="000000"/>
              </w:rPr>
              <w:t xml:space="preserve">de servicios en línea </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Secretaría/Ministerio</w:t>
            </w:r>
          </w:p>
          <w:p w:rsidR="00F40088" w:rsidRPr="00295641" w:rsidRDefault="00F40088" w:rsidP="00B56E74">
            <w:pPr>
              <w:rPr>
                <w:b/>
                <w:color w:val="000000" w:themeColor="text1"/>
              </w:rPr>
            </w:pPr>
            <w:r w:rsidRPr="00295641">
              <w:rPr>
                <w:rFonts w:cs="Gotham-Book"/>
                <w:b/>
                <w:color w:val="000000" w:themeColor="text1"/>
              </w:rPr>
              <w:t>Responsable</w:t>
            </w:r>
          </w:p>
        </w:tc>
        <w:tc>
          <w:tcPr>
            <w:tcW w:w="4820" w:type="dxa"/>
            <w:gridSpan w:val="3"/>
          </w:tcPr>
          <w:p w:rsidR="00F40088" w:rsidRPr="00295641" w:rsidRDefault="00F40088" w:rsidP="00B56E74">
            <w:pPr>
              <w:jc w:val="both"/>
              <w:rPr>
                <w:color w:val="000000" w:themeColor="text1"/>
              </w:rPr>
            </w:pPr>
            <w:r w:rsidRPr="00D12754">
              <w:rPr>
                <w:color w:val="000000" w:themeColor="text1"/>
              </w:rPr>
              <w:t>Presidencia del Consejo de Ministros</w:t>
            </w:r>
            <w:r w:rsidR="008D4D0E">
              <w:rPr>
                <w:color w:val="000000" w:themeColor="text1"/>
              </w:rPr>
              <w:t>,</w:t>
            </w:r>
            <w:r w:rsidRPr="00D12754">
              <w:rPr>
                <w:color w:val="000000" w:themeColor="text1"/>
              </w:rPr>
              <w:t xml:space="preserve"> a través de la Secretaría de Gestión Pública -SGP- y la Oficina Nacional de Gobierno Electrónico –ONGEI.</w:t>
            </w:r>
          </w:p>
        </w:tc>
      </w:tr>
      <w:tr w:rsidR="00D12754" w:rsidRPr="00295641" w:rsidTr="00F40088">
        <w:tc>
          <w:tcPr>
            <w:tcW w:w="4219" w:type="dxa"/>
            <w:gridSpan w:val="3"/>
            <w:shd w:val="clear" w:color="auto" w:fill="C6D9F1" w:themeFill="text2" w:themeFillTint="33"/>
            <w:vAlign w:val="center"/>
          </w:tcPr>
          <w:p w:rsidR="00D12754" w:rsidRPr="00295641" w:rsidRDefault="00D12754" w:rsidP="00D12754">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D12754" w:rsidRPr="00295641" w:rsidRDefault="009704F5" w:rsidP="00D12754">
            <w:pPr>
              <w:jc w:val="both"/>
              <w:rPr>
                <w:color w:val="000000" w:themeColor="text1"/>
              </w:rPr>
            </w:pPr>
            <w:r>
              <w:rPr>
                <w:color w:val="000000" w:themeColor="text1"/>
              </w:rPr>
              <w:t>Mercedes Araoz</w:t>
            </w:r>
          </w:p>
        </w:tc>
      </w:tr>
      <w:tr w:rsidR="00D12754" w:rsidRPr="00295641" w:rsidTr="00F40088">
        <w:tc>
          <w:tcPr>
            <w:tcW w:w="4219" w:type="dxa"/>
            <w:gridSpan w:val="3"/>
            <w:shd w:val="clear" w:color="auto" w:fill="C6D9F1" w:themeFill="text2" w:themeFillTint="33"/>
            <w:vAlign w:val="center"/>
          </w:tcPr>
          <w:p w:rsidR="00D12754" w:rsidRPr="00295641" w:rsidRDefault="00D12754" w:rsidP="00D12754">
            <w:pPr>
              <w:rPr>
                <w:b/>
                <w:color w:val="000000" w:themeColor="text1"/>
              </w:rPr>
            </w:pPr>
            <w:r w:rsidRPr="00295641">
              <w:rPr>
                <w:rFonts w:cs="Gotham-Book"/>
                <w:b/>
                <w:color w:val="000000" w:themeColor="text1"/>
              </w:rPr>
              <w:t>Puesto</w:t>
            </w:r>
          </w:p>
        </w:tc>
        <w:tc>
          <w:tcPr>
            <w:tcW w:w="4820" w:type="dxa"/>
            <w:gridSpan w:val="3"/>
          </w:tcPr>
          <w:p w:rsidR="00D12754" w:rsidRPr="00295641" w:rsidRDefault="00D12754" w:rsidP="009704F5">
            <w:pPr>
              <w:jc w:val="both"/>
              <w:rPr>
                <w:color w:val="000000" w:themeColor="text1"/>
              </w:rPr>
            </w:pPr>
            <w:r>
              <w:rPr>
                <w:color w:val="000000" w:themeColor="text1"/>
              </w:rPr>
              <w:t>President</w:t>
            </w:r>
            <w:r w:rsidR="009704F5">
              <w:rPr>
                <w:color w:val="000000" w:themeColor="text1"/>
              </w:rPr>
              <w:t>a</w:t>
            </w:r>
            <w:r>
              <w:rPr>
                <w:color w:val="000000" w:themeColor="text1"/>
              </w:rPr>
              <w:t xml:space="preserve"> del Consejo de Ministros</w:t>
            </w:r>
          </w:p>
        </w:tc>
      </w:tr>
      <w:tr w:rsidR="00D12754" w:rsidRPr="00295641" w:rsidTr="00F40088">
        <w:tc>
          <w:tcPr>
            <w:tcW w:w="4219" w:type="dxa"/>
            <w:gridSpan w:val="3"/>
            <w:shd w:val="clear" w:color="auto" w:fill="C6D9F1" w:themeFill="text2" w:themeFillTint="33"/>
            <w:vAlign w:val="center"/>
          </w:tcPr>
          <w:p w:rsidR="00D12754" w:rsidRPr="00295641" w:rsidRDefault="00D12754" w:rsidP="00D12754">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D12754" w:rsidRPr="00295641" w:rsidRDefault="00D12754" w:rsidP="00D12754">
            <w:pPr>
              <w:jc w:val="both"/>
              <w:rPr>
                <w:rFonts w:cs="Arial"/>
                <w:color w:val="0000FF"/>
                <w:u w:val="single"/>
              </w:rPr>
            </w:pPr>
          </w:p>
        </w:tc>
      </w:tr>
      <w:tr w:rsidR="00D12754" w:rsidRPr="00295641" w:rsidTr="00F40088">
        <w:tc>
          <w:tcPr>
            <w:tcW w:w="4219" w:type="dxa"/>
            <w:gridSpan w:val="3"/>
            <w:shd w:val="clear" w:color="auto" w:fill="C6D9F1" w:themeFill="text2" w:themeFillTint="33"/>
            <w:vAlign w:val="center"/>
          </w:tcPr>
          <w:p w:rsidR="00D12754" w:rsidRPr="00295641" w:rsidRDefault="00D12754" w:rsidP="00D12754">
            <w:pPr>
              <w:rPr>
                <w:b/>
                <w:color w:val="000000" w:themeColor="text1"/>
              </w:rPr>
            </w:pPr>
            <w:r w:rsidRPr="00295641">
              <w:rPr>
                <w:rFonts w:cs="Gotham-Book"/>
                <w:b/>
                <w:color w:val="000000" w:themeColor="text1"/>
              </w:rPr>
              <w:t>Teléfono</w:t>
            </w:r>
          </w:p>
        </w:tc>
        <w:tc>
          <w:tcPr>
            <w:tcW w:w="4820" w:type="dxa"/>
            <w:gridSpan w:val="3"/>
          </w:tcPr>
          <w:p w:rsidR="00D12754" w:rsidRPr="00295641" w:rsidRDefault="00D12754" w:rsidP="00D12754">
            <w:pPr>
              <w:jc w:val="both"/>
              <w:rPr>
                <w:color w:val="000000" w:themeColor="text1"/>
              </w:rPr>
            </w:pPr>
            <w:r>
              <w:rPr>
                <w:color w:val="000000" w:themeColor="text1"/>
              </w:rPr>
              <w:t>51-1-2197000</w:t>
            </w:r>
          </w:p>
        </w:tc>
      </w:tr>
      <w:tr w:rsidR="00F40088" w:rsidRPr="00295641" w:rsidTr="00F40088">
        <w:tc>
          <w:tcPr>
            <w:tcW w:w="2109" w:type="dxa"/>
            <w:vMerge w:val="restart"/>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Gobierno</w:t>
            </w:r>
          </w:p>
        </w:tc>
        <w:tc>
          <w:tcPr>
            <w:tcW w:w="4820" w:type="dxa"/>
            <w:gridSpan w:val="3"/>
          </w:tcPr>
          <w:p w:rsidR="00F40088" w:rsidRPr="00295641" w:rsidRDefault="00F40088" w:rsidP="00B56E74">
            <w:pPr>
              <w:jc w:val="both"/>
              <w:rPr>
                <w:color w:val="000000" w:themeColor="text1"/>
              </w:rPr>
            </w:pPr>
            <w:r>
              <w:rPr>
                <w:color w:val="000000" w:themeColor="text1"/>
              </w:rPr>
              <w:t>No aplica</w:t>
            </w:r>
          </w:p>
        </w:tc>
      </w:tr>
      <w:tr w:rsidR="00F40088" w:rsidRPr="00295641" w:rsidTr="00F40088">
        <w:tc>
          <w:tcPr>
            <w:tcW w:w="2109" w:type="dxa"/>
            <w:vMerge/>
            <w:shd w:val="clear" w:color="auto" w:fill="C6D9F1" w:themeFill="text2" w:themeFillTint="33"/>
            <w:vAlign w:val="center"/>
          </w:tcPr>
          <w:p w:rsidR="00F40088" w:rsidRPr="00295641" w:rsidRDefault="00F40088" w:rsidP="00B56E74">
            <w:pPr>
              <w:rPr>
                <w:rFonts w:cs="Gotham-Book"/>
                <w:b/>
                <w:color w:val="000000" w:themeColor="text1"/>
              </w:rPr>
            </w:pPr>
          </w:p>
        </w:tc>
        <w:tc>
          <w:tcPr>
            <w:tcW w:w="2110" w:type="dxa"/>
            <w:gridSpan w:val="2"/>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F40088" w:rsidRPr="00295641" w:rsidRDefault="00F40088" w:rsidP="00B56E74">
            <w:pPr>
              <w:jc w:val="both"/>
              <w:rPr>
                <w:color w:val="000000" w:themeColor="text1"/>
              </w:rPr>
            </w:pP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6D3389" w:rsidRDefault="006D3389" w:rsidP="006D3389">
            <w:pPr>
              <w:autoSpaceDE w:val="0"/>
              <w:autoSpaceDN w:val="0"/>
              <w:adjustRightInd w:val="0"/>
              <w:jc w:val="both"/>
              <w:rPr>
                <w:color w:val="000000" w:themeColor="text1"/>
                <w:lang w:val="es-PE"/>
              </w:rPr>
            </w:pPr>
            <w:r>
              <w:rPr>
                <w:lang w:val="es-PE"/>
              </w:rPr>
              <w:t>Según CEPAL, los servicios electrónicos</w:t>
            </w:r>
            <w:r w:rsidR="001F2A73">
              <w:rPr>
                <w:lang w:val="es-PE"/>
              </w:rPr>
              <w:t xml:space="preserve"> o servicios en línea</w:t>
            </w:r>
            <w:r>
              <w:rPr>
                <w:lang w:val="es-PE"/>
              </w:rPr>
              <w:t>, “</w:t>
            </w:r>
            <w:r>
              <w:t>se refieren a la entrega de mejores servicios a los ciudadanos, como los trámites interactivos (peticiones de documentos, emisión de certificados, pagos hacia y desde los organismos públicos)” (CEPAL 2011: 12).</w:t>
            </w:r>
          </w:p>
          <w:p w:rsidR="00F40088" w:rsidRPr="00CD1969" w:rsidRDefault="001F2A73" w:rsidP="006D3389">
            <w:pPr>
              <w:autoSpaceDE w:val="0"/>
              <w:autoSpaceDN w:val="0"/>
              <w:adjustRightInd w:val="0"/>
              <w:jc w:val="both"/>
              <w:rPr>
                <w:color w:val="000000" w:themeColor="text1"/>
              </w:rPr>
            </w:pPr>
            <w:r>
              <w:rPr>
                <w:color w:val="000000" w:themeColor="text1"/>
                <w:lang w:val="es-PE"/>
              </w:rPr>
              <w:t xml:space="preserve">Actualmente, existe un “Portal de Servicios al Ciudadano y Empresas” y el “Catálogo de Servicios de la Administración Pública” elaborado por la </w:t>
            </w:r>
            <w:r w:rsidRPr="00D12754">
              <w:rPr>
                <w:color w:val="000000" w:themeColor="text1"/>
              </w:rPr>
              <w:t>Oficina Nacional de Gobierno Electrónico</w:t>
            </w:r>
            <w:r>
              <w:rPr>
                <w:color w:val="000000" w:themeColor="text1"/>
              </w:rPr>
              <w:t>, a fin de promover el uso de las TIC, como parte de la modernización del Estado y de la mejora de la calidad en la prestación de servicios.</w:t>
            </w:r>
          </w:p>
          <w:p w:rsidR="001F2A73" w:rsidRPr="007C4C54" w:rsidRDefault="001F2A73" w:rsidP="00E96152">
            <w:pPr>
              <w:autoSpaceDE w:val="0"/>
              <w:autoSpaceDN w:val="0"/>
              <w:adjustRightInd w:val="0"/>
              <w:jc w:val="both"/>
              <w:rPr>
                <w:color w:val="000000" w:themeColor="text1"/>
                <w:lang w:val="es-PE"/>
              </w:rPr>
            </w:pPr>
            <w:r>
              <w:rPr>
                <w:color w:val="000000" w:themeColor="text1"/>
                <w:lang w:val="es-PE"/>
              </w:rPr>
              <w:t>Como refiere dicho catálogo, las entidades públicas se encuentran desarrollando procesos de mejora continua, a nivel interno, como de cara a los ciudadanos. Sin embargo, se requiere que dichos avances continúen, toda vez que permitan increme</w:t>
            </w:r>
            <w:r w:rsidR="000E5CE1">
              <w:rPr>
                <w:color w:val="000000" w:themeColor="text1"/>
                <w:lang w:val="es-PE"/>
              </w:rPr>
              <w:t xml:space="preserve">ntar el número de servicios en línea, apostando de esta forma, por un Estado más eficiente y </w:t>
            </w:r>
            <w:r w:rsidR="00E96152">
              <w:rPr>
                <w:color w:val="000000" w:themeColor="text1"/>
                <w:lang w:val="es-PE"/>
              </w:rPr>
              <w:t>cercano al ciudadano.</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Objetivo principal</w:t>
            </w:r>
          </w:p>
        </w:tc>
        <w:tc>
          <w:tcPr>
            <w:tcW w:w="4820" w:type="dxa"/>
            <w:gridSpan w:val="3"/>
          </w:tcPr>
          <w:p w:rsidR="00F40088" w:rsidRPr="005E5671" w:rsidRDefault="00F40088" w:rsidP="00B56E74">
            <w:pPr>
              <w:jc w:val="both"/>
              <w:rPr>
                <w:bCs/>
              </w:rPr>
            </w:pPr>
            <w:r>
              <w:rPr>
                <w:bCs/>
              </w:rPr>
              <w:t>Incrementar el número de servicios en línea ofrecidos en tres (03) entidades públicas del Poder Ejecutivo que cuenten con servicios en línea multicanal</w:t>
            </w:r>
            <w:r w:rsidR="001F2A73">
              <w:rPr>
                <w:bCs/>
              </w:rPr>
              <w:t>.</w:t>
            </w:r>
            <w:r>
              <w:rPr>
                <w:bCs/>
              </w:rPr>
              <w:t xml:space="preserve">   </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F40088" w:rsidRPr="00B24C50" w:rsidRDefault="00F40088" w:rsidP="002C2EAC">
            <w:pPr>
              <w:jc w:val="both"/>
              <w:rPr>
                <w:color w:val="FF0000"/>
                <w:szCs w:val="20"/>
              </w:rPr>
            </w:pPr>
            <w:r>
              <w:rPr>
                <w:rFonts w:ascii="Calibri" w:hAnsi="Calibri"/>
                <w:color w:val="000000"/>
              </w:rPr>
              <w:t>Incrementar el número de servicios en línea ofrecidos a través del Portal de Servicios al Ciudadano y Empresas (Ventanilla Única del Estado), posibilitando la realización de trámites a través de distintos dispositivos electrónicos (multicanal).</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Relevancia</w:t>
            </w:r>
          </w:p>
          <w:p w:rsidR="00F40088" w:rsidRPr="00295641" w:rsidRDefault="00F40088" w:rsidP="00B56E74">
            <w:pPr>
              <w:autoSpaceDE w:val="0"/>
              <w:autoSpaceDN w:val="0"/>
              <w:adjustRightInd w:val="0"/>
              <w:rPr>
                <w:b/>
                <w:color w:val="000000" w:themeColor="text1"/>
              </w:rPr>
            </w:pPr>
          </w:p>
        </w:tc>
        <w:tc>
          <w:tcPr>
            <w:tcW w:w="4820" w:type="dxa"/>
            <w:gridSpan w:val="3"/>
          </w:tcPr>
          <w:p w:rsidR="00F40088" w:rsidRPr="00D55406" w:rsidRDefault="00150479" w:rsidP="00B757AD">
            <w:pPr>
              <w:jc w:val="both"/>
              <w:rPr>
                <w:color w:val="FF0000"/>
                <w:szCs w:val="20"/>
                <w:lang w:val="es-PE"/>
              </w:rPr>
            </w:pPr>
            <w:r w:rsidRPr="00B757AD">
              <w:rPr>
                <w:szCs w:val="20"/>
                <w:lang w:val="es-PE"/>
              </w:rPr>
              <w:t xml:space="preserve">El compromiso permite ofrecer servicios </w:t>
            </w:r>
            <w:r w:rsidR="00B757AD" w:rsidRPr="00B757AD">
              <w:rPr>
                <w:szCs w:val="20"/>
                <w:lang w:val="es-PE"/>
              </w:rPr>
              <w:t xml:space="preserve">en línea, contribuye con la transparencia y mejora de los servicios públicos, fortalece los valores que promueve la OGP. </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Ambición</w:t>
            </w:r>
          </w:p>
          <w:p w:rsidR="00F40088" w:rsidRPr="00295641" w:rsidRDefault="00F40088" w:rsidP="00B56E74">
            <w:pPr>
              <w:autoSpaceDE w:val="0"/>
              <w:autoSpaceDN w:val="0"/>
              <w:adjustRightInd w:val="0"/>
              <w:rPr>
                <w:rFonts w:cs="Gotham-BookItalic"/>
                <w:b/>
                <w:iCs/>
                <w:color w:val="000000" w:themeColor="text1"/>
              </w:rPr>
            </w:pPr>
          </w:p>
        </w:tc>
        <w:tc>
          <w:tcPr>
            <w:tcW w:w="4820" w:type="dxa"/>
            <w:gridSpan w:val="3"/>
          </w:tcPr>
          <w:p w:rsidR="00F40088" w:rsidRPr="00D55406" w:rsidRDefault="00B757AD" w:rsidP="00B757AD">
            <w:pPr>
              <w:jc w:val="both"/>
              <w:rPr>
                <w:color w:val="FF0000"/>
                <w:szCs w:val="20"/>
                <w:lang w:val="es-PE"/>
              </w:rPr>
            </w:pPr>
            <w:r w:rsidRPr="00B757AD">
              <w:rPr>
                <w:szCs w:val="20"/>
                <w:lang w:val="es-PE"/>
              </w:rPr>
              <w:t>El resultado del compromiso ha permitido ofertar mejores servicios basados en el uso de la tecnología de la información</w:t>
            </w:r>
            <w:r w:rsidR="00A90888">
              <w:rPr>
                <w:szCs w:val="20"/>
                <w:lang w:val="es-PE"/>
              </w:rPr>
              <w:t>,</w:t>
            </w:r>
            <w:r w:rsidRPr="00B757AD">
              <w:rPr>
                <w:szCs w:val="20"/>
                <w:lang w:val="es-PE"/>
              </w:rPr>
              <w:t xml:space="preserve"> lo que promueve mayor apertura y accesibilidad a los servicios públicos.</w:t>
            </w:r>
          </w:p>
        </w:tc>
      </w:tr>
      <w:tr w:rsidR="00F40088" w:rsidRPr="00295641" w:rsidTr="00F40088">
        <w:tc>
          <w:tcPr>
            <w:tcW w:w="2518" w:type="dxa"/>
            <w:gridSpan w:val="2"/>
            <w:vMerge w:val="restart"/>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Completo</w:t>
            </w:r>
          </w:p>
        </w:tc>
      </w:tr>
      <w:tr w:rsidR="00F40088" w:rsidRPr="00295641" w:rsidTr="00F40088">
        <w:tc>
          <w:tcPr>
            <w:tcW w:w="2518" w:type="dxa"/>
            <w:gridSpan w:val="2"/>
            <w:vMerge/>
            <w:shd w:val="clear" w:color="auto" w:fill="C6D9F1" w:themeFill="text2" w:themeFillTint="33"/>
            <w:vAlign w:val="center"/>
          </w:tcPr>
          <w:p w:rsidR="00F40088" w:rsidRPr="00295641" w:rsidRDefault="00F40088" w:rsidP="00B56E74">
            <w:pPr>
              <w:rPr>
                <w:b/>
                <w:color w:val="000000" w:themeColor="text1"/>
              </w:rPr>
            </w:pPr>
          </w:p>
        </w:tc>
        <w:tc>
          <w:tcPr>
            <w:tcW w:w="1701" w:type="dxa"/>
          </w:tcPr>
          <w:p w:rsidR="00F40088" w:rsidRPr="00295641" w:rsidRDefault="00F40088" w:rsidP="00B56E74">
            <w:pPr>
              <w:jc w:val="center"/>
              <w:rPr>
                <w:b/>
                <w:color w:val="000000" w:themeColor="text1"/>
              </w:rPr>
            </w:pPr>
          </w:p>
        </w:tc>
        <w:tc>
          <w:tcPr>
            <w:tcW w:w="1729" w:type="dxa"/>
          </w:tcPr>
          <w:p w:rsidR="00F40088" w:rsidRPr="00295641" w:rsidRDefault="00F40088" w:rsidP="00B56E74">
            <w:pPr>
              <w:jc w:val="center"/>
              <w:rPr>
                <w:b/>
                <w:color w:val="000000" w:themeColor="text1"/>
              </w:rPr>
            </w:pPr>
          </w:p>
        </w:tc>
        <w:tc>
          <w:tcPr>
            <w:tcW w:w="1644" w:type="dxa"/>
          </w:tcPr>
          <w:p w:rsidR="00F40088" w:rsidRPr="00295641" w:rsidRDefault="00F40088" w:rsidP="00B56E74">
            <w:pPr>
              <w:jc w:val="center"/>
              <w:rPr>
                <w:b/>
                <w:color w:val="000000" w:themeColor="text1"/>
              </w:rPr>
            </w:pPr>
          </w:p>
        </w:tc>
        <w:tc>
          <w:tcPr>
            <w:tcW w:w="1447" w:type="dxa"/>
            <w:shd w:val="clear" w:color="auto" w:fill="FFFFFF" w:themeFill="background1"/>
          </w:tcPr>
          <w:p w:rsidR="00F40088" w:rsidRPr="00295641" w:rsidRDefault="00F40088" w:rsidP="00B56E74">
            <w:pPr>
              <w:jc w:val="center"/>
              <w:rPr>
                <w:b/>
                <w:color w:val="000000" w:themeColor="text1"/>
              </w:rPr>
            </w:pPr>
            <w:r>
              <w:rPr>
                <w:b/>
                <w:color w:val="000000" w:themeColor="text1"/>
              </w:rPr>
              <w:t>X</w:t>
            </w:r>
          </w:p>
        </w:tc>
      </w:tr>
      <w:tr w:rsidR="00F40088" w:rsidRPr="00295641" w:rsidTr="00F40088">
        <w:tc>
          <w:tcPr>
            <w:tcW w:w="2518" w:type="dxa"/>
            <w:gridSpan w:val="2"/>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F40088" w:rsidRPr="00295641" w:rsidRDefault="00F40088" w:rsidP="00B56E74">
            <w:pPr>
              <w:autoSpaceDE w:val="0"/>
              <w:autoSpaceDN w:val="0"/>
              <w:adjustRightInd w:val="0"/>
              <w:rPr>
                <w:rFonts w:cs="Gotham-BookItalic"/>
                <w:b/>
                <w:iCs/>
                <w:color w:val="000000" w:themeColor="text1"/>
              </w:rPr>
            </w:pPr>
          </w:p>
        </w:tc>
        <w:tc>
          <w:tcPr>
            <w:tcW w:w="6521" w:type="dxa"/>
            <w:gridSpan w:val="4"/>
          </w:tcPr>
          <w:p w:rsidR="00672F76" w:rsidRDefault="00672F76" w:rsidP="00672F76">
            <w:pPr>
              <w:pStyle w:val="Prrafodelista"/>
              <w:ind w:left="63"/>
              <w:jc w:val="both"/>
              <w:rPr>
                <w:rFonts w:ascii="Calibri" w:hAnsi="Calibri"/>
                <w:color w:val="000000"/>
              </w:rPr>
            </w:pPr>
            <w:r>
              <w:rPr>
                <w:rFonts w:ascii="Calibri" w:hAnsi="Calibri"/>
                <w:color w:val="000000"/>
              </w:rPr>
              <w:t>Se considera las siguientes actividades:</w:t>
            </w:r>
          </w:p>
          <w:p w:rsid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Realizar el catálogo de servicios en línea y móviles del Poder Ejecutivo.</w:t>
            </w:r>
          </w:p>
          <w:p w:rsidR="00672F76" w:rsidRDefault="00672F76" w:rsidP="00150479">
            <w:pPr>
              <w:ind w:left="771"/>
              <w:jc w:val="both"/>
              <w:rPr>
                <w:rFonts w:ascii="Calibri" w:hAnsi="Calibri"/>
                <w:color w:val="000000"/>
              </w:rPr>
            </w:pPr>
            <w:r>
              <w:rPr>
                <w:rFonts w:ascii="Calibri" w:hAnsi="Calibri"/>
                <w:color w:val="000000"/>
              </w:rPr>
              <w:t xml:space="preserve">Se concluyó el compromiso, se puede encontrar la información en el siguiente enlace: </w:t>
            </w:r>
          </w:p>
          <w:p w:rsidR="00672F76" w:rsidRDefault="004165D0" w:rsidP="00150479">
            <w:pPr>
              <w:ind w:left="771"/>
              <w:jc w:val="both"/>
              <w:rPr>
                <w:color w:val="000000" w:themeColor="text1"/>
              </w:rPr>
            </w:pPr>
            <w:hyperlink r:id="rId43" w:history="1">
              <w:r w:rsidR="00672F76" w:rsidRPr="00DF6297">
                <w:rPr>
                  <w:rStyle w:val="Hipervnculo"/>
                </w:rPr>
                <w:t>https://play.google.com/store/apps/details?id=com.ongei.mperu&amp;hl=es</w:t>
              </w:r>
            </w:hyperlink>
          </w:p>
          <w:p w:rsid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Crear la página web de gobierno móvil del Estado Peruano.</w:t>
            </w:r>
          </w:p>
          <w:p w:rsidR="00672F76" w:rsidRDefault="00672F76" w:rsidP="00150479">
            <w:pPr>
              <w:ind w:left="771"/>
              <w:jc w:val="both"/>
              <w:rPr>
                <w:rFonts w:ascii="Calibri" w:hAnsi="Calibri"/>
                <w:color w:val="000000"/>
              </w:rPr>
            </w:pPr>
            <w:r>
              <w:rPr>
                <w:rFonts w:ascii="Calibri" w:hAnsi="Calibri"/>
                <w:color w:val="000000"/>
              </w:rPr>
              <w:t xml:space="preserve">Se concluyó el compromiso, se puede encontrar la información en el siguiente enlace:  </w:t>
            </w:r>
          </w:p>
          <w:p w:rsidR="00F05F8C" w:rsidRDefault="004165D0" w:rsidP="00150479">
            <w:pPr>
              <w:ind w:left="771"/>
              <w:jc w:val="both"/>
            </w:pPr>
            <w:hyperlink r:id="rId44" w:history="1">
              <w:r w:rsidR="00F05F8C">
                <w:rPr>
                  <w:rStyle w:val="Hipervnculo"/>
                </w:rPr>
                <w:t>http://movil.softwarepublico.gob.pe/web/index.html</w:t>
              </w:r>
            </w:hyperlink>
            <w:r w:rsidR="00F05F8C">
              <w:t xml:space="preserve">  </w:t>
            </w:r>
          </w:p>
          <w:p w:rsid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Concurso Nacional de Aplicaciones Móviles (Hackathon).</w:t>
            </w:r>
          </w:p>
          <w:p w:rsidR="00150479" w:rsidRDefault="00B50DAD" w:rsidP="00672F76">
            <w:pPr>
              <w:pStyle w:val="Prrafodelista"/>
              <w:jc w:val="both"/>
              <w:rPr>
                <w:rFonts w:ascii="Calibri" w:hAnsi="Calibri"/>
                <w:color w:val="000000"/>
              </w:rPr>
            </w:pPr>
            <w:r>
              <w:rPr>
                <w:rFonts w:ascii="Calibri" w:hAnsi="Calibri"/>
                <w:color w:val="000000"/>
              </w:rPr>
              <w:t xml:space="preserve">Este concurso convoca a jóvenes desarrolladores que crean aplicaciones móviles. </w:t>
            </w:r>
            <w:r w:rsidR="00672F76" w:rsidRPr="00672F76">
              <w:rPr>
                <w:rFonts w:ascii="Calibri" w:hAnsi="Calibri"/>
                <w:color w:val="000000"/>
              </w:rPr>
              <w:t>S</w:t>
            </w:r>
            <w:r w:rsidR="00672F76">
              <w:rPr>
                <w:rFonts w:ascii="Calibri" w:hAnsi="Calibri"/>
                <w:color w:val="000000"/>
              </w:rPr>
              <w:t xml:space="preserve">e </w:t>
            </w:r>
            <w:r w:rsidR="003B1927">
              <w:rPr>
                <w:rFonts w:ascii="Calibri" w:hAnsi="Calibri"/>
                <w:color w:val="000000"/>
              </w:rPr>
              <w:t xml:space="preserve">realizó la primera </w:t>
            </w:r>
            <w:r w:rsidR="003B1927" w:rsidRPr="003B1927">
              <w:rPr>
                <w:rFonts w:ascii="Calibri" w:hAnsi="Calibri"/>
                <w:i/>
                <w:color w:val="000000"/>
              </w:rPr>
              <w:t>Hackat</w:t>
            </w:r>
            <w:r>
              <w:rPr>
                <w:rFonts w:ascii="Calibri" w:hAnsi="Calibri"/>
                <w:i/>
                <w:color w:val="000000"/>
              </w:rPr>
              <w:t>h</w:t>
            </w:r>
            <w:r w:rsidR="003B1927" w:rsidRPr="003B1927">
              <w:rPr>
                <w:rFonts w:ascii="Calibri" w:hAnsi="Calibri"/>
                <w:i/>
                <w:color w:val="000000"/>
              </w:rPr>
              <w:t>o</w:t>
            </w:r>
            <w:r w:rsidR="00150479" w:rsidRPr="003B1927">
              <w:rPr>
                <w:rFonts w:ascii="Calibri" w:hAnsi="Calibri"/>
                <w:i/>
                <w:color w:val="000000"/>
              </w:rPr>
              <w:t>n</w:t>
            </w:r>
            <w:r w:rsidR="00150479">
              <w:rPr>
                <w:rFonts w:ascii="Calibri" w:hAnsi="Calibri"/>
                <w:color w:val="000000"/>
              </w:rPr>
              <w:t xml:space="preserve"> Regional </w:t>
            </w:r>
            <w:r w:rsidR="00672F76">
              <w:rPr>
                <w:rFonts w:ascii="Calibri" w:hAnsi="Calibri"/>
                <w:color w:val="000000"/>
              </w:rPr>
              <w:t>en el Gobierno Regional de La Libertad</w:t>
            </w:r>
            <w:r w:rsidR="00150479">
              <w:rPr>
                <w:rFonts w:ascii="Calibri" w:hAnsi="Calibri"/>
                <w:color w:val="000000"/>
              </w:rPr>
              <w:t xml:space="preserve">: </w:t>
            </w:r>
            <w:hyperlink r:id="rId45" w:history="1">
              <w:r w:rsidR="00150479" w:rsidRPr="00085904">
                <w:rPr>
                  <w:rStyle w:val="Hipervnculo"/>
                  <w:rFonts w:ascii="Calibri" w:hAnsi="Calibri"/>
                </w:rPr>
                <w:t>http://www.regionlalibertad.gob.pe/noticias/regionales/5989-exitosa-hackathon-en-la-libertad-marca-el-rumbo-de-la-innovacion-digital-en-el-norte-del-pais</w:t>
              </w:r>
            </w:hyperlink>
          </w:p>
          <w:p w:rsidR="00150479" w:rsidRPr="00672F76" w:rsidRDefault="00150479" w:rsidP="00672F76">
            <w:pPr>
              <w:pStyle w:val="Prrafodelista"/>
              <w:jc w:val="both"/>
              <w:rPr>
                <w:rFonts w:ascii="Calibri" w:hAnsi="Calibri"/>
                <w:color w:val="000000"/>
              </w:rPr>
            </w:pPr>
            <w:r>
              <w:rPr>
                <w:rFonts w:ascii="Calibri" w:hAnsi="Calibri"/>
                <w:color w:val="000000"/>
              </w:rPr>
              <w:t xml:space="preserve">en </w:t>
            </w:r>
            <w:r w:rsidR="00672F76">
              <w:rPr>
                <w:rFonts w:ascii="Calibri" w:hAnsi="Calibri"/>
                <w:color w:val="000000"/>
              </w:rPr>
              <w:t xml:space="preserve"> Tarapoto y en la ciudad de Lima en el Ministerio de Salud c</w:t>
            </w:r>
            <w:r>
              <w:rPr>
                <w:rFonts w:ascii="Calibri" w:hAnsi="Calibri"/>
                <w:color w:val="000000"/>
              </w:rPr>
              <w:t xml:space="preserve">on la participación de Concytec: </w:t>
            </w:r>
            <w:hyperlink r:id="rId46" w:history="1">
              <w:r w:rsidRPr="00085904">
                <w:rPr>
                  <w:rStyle w:val="Hipervnculo"/>
                  <w:rFonts w:ascii="Calibri" w:hAnsi="Calibri"/>
                </w:rPr>
                <w:t>https://www.ministeriodesalud.go.cr/index.php/sobre-ministerio/campanas-en-salud?id=558</w:t>
              </w:r>
            </w:hyperlink>
          </w:p>
          <w:p w:rsid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Capacitación a funcionarios para el desarrollo de aplicaciones móviles.</w:t>
            </w:r>
          </w:p>
          <w:p w:rsidR="00150479" w:rsidRDefault="00150479" w:rsidP="00150479">
            <w:pPr>
              <w:ind w:left="771"/>
              <w:contextualSpacing/>
              <w:jc w:val="both"/>
              <w:rPr>
                <w:color w:val="000000" w:themeColor="text1"/>
              </w:rPr>
            </w:pPr>
            <w:r>
              <w:rPr>
                <w:color w:val="000000" w:themeColor="text1"/>
              </w:rPr>
              <w:t xml:space="preserve">Se han realizado seis talleres, la información la pueden encontrar en: </w:t>
            </w:r>
            <w:hyperlink r:id="rId47" w:history="1">
              <w:r w:rsidRPr="00085904">
                <w:rPr>
                  <w:rStyle w:val="Hipervnculo"/>
                </w:rPr>
                <w:t>https://www.ongei.gob.pe/eventos/ongei_eventos.asp?pk_id_entidad=1878/eventos/ongei_eventos.asp?pk_id_entidad=1878</w:t>
              </w:r>
            </w:hyperlink>
          </w:p>
          <w:p w:rsidR="00672F76" w:rsidRP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Mejor</w:t>
            </w:r>
            <w:r w:rsidR="00A90888">
              <w:rPr>
                <w:rFonts w:ascii="Calibri" w:hAnsi="Calibri"/>
                <w:b/>
                <w:i/>
                <w:color w:val="000000"/>
              </w:rPr>
              <w:t>ar</w:t>
            </w:r>
            <w:r w:rsidRPr="00672F76">
              <w:rPr>
                <w:rFonts w:ascii="Calibri" w:hAnsi="Calibri"/>
                <w:b/>
                <w:i/>
                <w:color w:val="000000"/>
              </w:rPr>
              <w:t xml:space="preserve"> el portal de servicios al ciudadano y empresas para convertirlo en un portal de ventanilla e identificación única del ciudadano para que realicen sus trámites en los diferentes servicios públicos en línea del Poder Ejecutivo, a través de cualquier dispositivo móvil.    </w:t>
            </w:r>
          </w:p>
          <w:p w:rsidR="00150479" w:rsidRDefault="00150479" w:rsidP="00150479">
            <w:pPr>
              <w:ind w:left="771"/>
              <w:jc w:val="both"/>
              <w:rPr>
                <w:color w:val="000000" w:themeColor="text1"/>
              </w:rPr>
            </w:pPr>
            <w:r>
              <w:rPr>
                <w:color w:val="000000" w:themeColor="text1"/>
              </w:rPr>
              <w:t>Se puede visualizar el portal en el siguiente enlace:</w:t>
            </w:r>
          </w:p>
          <w:p w:rsidR="00F40088" w:rsidRDefault="004165D0" w:rsidP="00150479">
            <w:pPr>
              <w:ind w:left="771"/>
              <w:jc w:val="both"/>
              <w:rPr>
                <w:color w:val="000000" w:themeColor="text1"/>
              </w:rPr>
            </w:pPr>
            <w:hyperlink r:id="rId48" w:history="1">
              <w:r w:rsidR="00150479" w:rsidRPr="00DF31DB">
                <w:rPr>
                  <w:rStyle w:val="Hipervnculo"/>
                </w:rPr>
                <w:t>http://www.serviciosalciudadano.gob.pe</w:t>
              </w:r>
            </w:hyperlink>
          </w:p>
          <w:p w:rsidR="000E1EC0" w:rsidRPr="00295641" w:rsidRDefault="000E1EC0" w:rsidP="000E1EC0">
            <w:pPr>
              <w:jc w:val="both"/>
              <w:rPr>
                <w:color w:val="000000" w:themeColor="text1"/>
              </w:rPr>
            </w:pPr>
            <w:r>
              <w:rPr>
                <w:color w:val="000000" w:themeColor="text1"/>
              </w:rPr>
              <w:t>Fuente:  Memorando N° 568-2016-PCM/ONGEI, del 15.09.16</w:t>
            </w:r>
          </w:p>
        </w:tc>
      </w:tr>
      <w:tr w:rsidR="00F40088" w:rsidRPr="00295641" w:rsidTr="00670343">
        <w:trPr>
          <w:trHeight w:val="372"/>
        </w:trPr>
        <w:tc>
          <w:tcPr>
            <w:tcW w:w="9039" w:type="dxa"/>
            <w:gridSpan w:val="6"/>
          </w:tcPr>
          <w:p w:rsidR="00750C3A" w:rsidRPr="002C2EAC" w:rsidRDefault="002C2EAC" w:rsidP="00750C3A">
            <w:pPr>
              <w:jc w:val="both"/>
              <w:rPr>
                <w:rFonts w:cs="Gotham-Book"/>
                <w:b/>
                <w:color w:val="000000" w:themeColor="text1"/>
              </w:rPr>
            </w:pPr>
            <w:r>
              <w:rPr>
                <w:rFonts w:cs="Gotham-Book"/>
                <w:b/>
                <w:color w:val="000000" w:themeColor="text1"/>
              </w:rPr>
              <w:t>Información adicional</w:t>
            </w:r>
          </w:p>
        </w:tc>
      </w:tr>
      <w:tr w:rsidR="00750C3A" w:rsidRPr="00295641" w:rsidTr="00F40088">
        <w:tc>
          <w:tcPr>
            <w:tcW w:w="9039" w:type="dxa"/>
            <w:gridSpan w:val="6"/>
          </w:tcPr>
          <w:p w:rsidR="00750C3A" w:rsidRPr="00670343" w:rsidRDefault="00750C3A" w:rsidP="00670343">
            <w:pPr>
              <w:jc w:val="both"/>
              <w:rPr>
                <w:rFonts w:cs="Gotham-Book"/>
                <w:color w:val="000000" w:themeColor="text1"/>
              </w:rPr>
            </w:pPr>
            <w:r w:rsidRPr="00670343">
              <w:rPr>
                <w:rFonts w:cs="Gotham-Book"/>
                <w:color w:val="000000" w:themeColor="text1"/>
              </w:rPr>
              <w:t>De acuerdo al Portal de Servicios al Ciudadano y Empresas,  los trámites más solicitados son: la revalidación de pasaportes, antecedentes penales, DNI para menores, constitución de empresas, DNI para mayores, Solicitudes por la Ley de Acceso a la Información Pública, duplicado</w:t>
            </w:r>
            <w:r w:rsidR="000349C8" w:rsidRPr="00670343">
              <w:rPr>
                <w:rFonts w:cs="Gotham-Book"/>
                <w:color w:val="000000" w:themeColor="text1"/>
              </w:rPr>
              <w:t xml:space="preserve"> de DNI, Registro Único de Contribuyentes y duplicado de brevete de conducir.</w:t>
            </w:r>
          </w:p>
        </w:tc>
      </w:tr>
    </w:tbl>
    <w:p w:rsidR="00E107BA" w:rsidRDefault="00E107BA"/>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0349C8" w:rsidRPr="00295641" w:rsidTr="000410D3">
        <w:tc>
          <w:tcPr>
            <w:tcW w:w="9039" w:type="dxa"/>
            <w:gridSpan w:val="6"/>
            <w:shd w:val="clear" w:color="auto" w:fill="548DD4" w:themeFill="text2" w:themeFillTint="99"/>
          </w:tcPr>
          <w:p w:rsidR="000349C8" w:rsidRPr="00295641" w:rsidRDefault="000349C8" w:rsidP="000410D3">
            <w:pPr>
              <w:tabs>
                <w:tab w:val="left" w:pos="6254"/>
              </w:tabs>
              <w:ind w:left="360"/>
              <w:jc w:val="center"/>
              <w:rPr>
                <w:b/>
              </w:rPr>
            </w:pPr>
            <w:r w:rsidRPr="00A81D25">
              <w:rPr>
                <w:b/>
              </w:rPr>
              <w:t>Componente: Mejora de los Servicios Públicos</w:t>
            </w:r>
          </w:p>
        </w:tc>
      </w:tr>
      <w:tr w:rsidR="000349C8" w:rsidRPr="00A81D25" w:rsidTr="000410D3">
        <w:tc>
          <w:tcPr>
            <w:tcW w:w="9039" w:type="dxa"/>
            <w:gridSpan w:val="6"/>
            <w:shd w:val="clear" w:color="auto" w:fill="548DD4" w:themeFill="text2" w:themeFillTint="99"/>
          </w:tcPr>
          <w:p w:rsidR="000349C8" w:rsidRPr="00A81D25" w:rsidRDefault="000349C8" w:rsidP="000410D3">
            <w:pPr>
              <w:ind w:left="360"/>
              <w:jc w:val="center"/>
              <w:rPr>
                <w:rFonts w:ascii="Calibri" w:hAnsi="Calibri"/>
                <w:b/>
                <w:color w:val="000000"/>
              </w:rPr>
            </w:pPr>
            <w:r w:rsidRPr="00B757AD">
              <w:rPr>
                <w:rFonts w:ascii="Calibri" w:hAnsi="Calibri"/>
                <w:b/>
                <w:color w:val="000000"/>
                <w:u w:val="single"/>
              </w:rPr>
              <w:t>Compromiso 16</w:t>
            </w:r>
            <w:r w:rsidRPr="00A81D25">
              <w:rPr>
                <w:rFonts w:ascii="Calibri" w:hAnsi="Calibri"/>
                <w:b/>
                <w:color w:val="000000"/>
              </w:rPr>
              <w:t>. Mejorar los conocimientos de los funcionarios y servidores públicos para que desarrollen y brinden servicios públicos en línea</w:t>
            </w:r>
          </w:p>
        </w:tc>
      </w:tr>
      <w:tr w:rsidR="000349C8" w:rsidRPr="00295641" w:rsidTr="000410D3">
        <w:tc>
          <w:tcPr>
            <w:tcW w:w="4219" w:type="dxa"/>
            <w:gridSpan w:val="3"/>
            <w:shd w:val="clear" w:color="auto" w:fill="C6D9F1" w:themeFill="text2" w:themeFillTint="33"/>
            <w:vAlign w:val="center"/>
          </w:tcPr>
          <w:p w:rsidR="000349C8" w:rsidRPr="00295641" w:rsidRDefault="000349C8" w:rsidP="000410D3">
            <w:pPr>
              <w:autoSpaceDE w:val="0"/>
              <w:autoSpaceDN w:val="0"/>
              <w:adjustRightInd w:val="0"/>
              <w:rPr>
                <w:rFonts w:cs="Gotham-Book"/>
                <w:b/>
                <w:color w:val="000000" w:themeColor="text1"/>
              </w:rPr>
            </w:pPr>
            <w:r w:rsidRPr="00295641">
              <w:rPr>
                <w:rFonts w:cs="Gotham-Book"/>
                <w:b/>
                <w:color w:val="000000" w:themeColor="text1"/>
              </w:rPr>
              <w:t>Secretaría/Ministerio</w:t>
            </w:r>
          </w:p>
          <w:p w:rsidR="000349C8" w:rsidRPr="00295641" w:rsidRDefault="000349C8" w:rsidP="000410D3">
            <w:pPr>
              <w:rPr>
                <w:b/>
                <w:color w:val="000000" w:themeColor="text1"/>
              </w:rPr>
            </w:pPr>
            <w:r w:rsidRPr="00295641">
              <w:rPr>
                <w:rFonts w:cs="Gotham-Book"/>
                <w:b/>
                <w:color w:val="000000" w:themeColor="text1"/>
              </w:rPr>
              <w:t>Responsable</w:t>
            </w:r>
          </w:p>
        </w:tc>
        <w:tc>
          <w:tcPr>
            <w:tcW w:w="4820" w:type="dxa"/>
            <w:gridSpan w:val="3"/>
          </w:tcPr>
          <w:p w:rsidR="000349C8" w:rsidRPr="00295641" w:rsidRDefault="000349C8" w:rsidP="000410D3">
            <w:pPr>
              <w:jc w:val="both"/>
              <w:rPr>
                <w:color w:val="000000" w:themeColor="text1"/>
              </w:rPr>
            </w:pPr>
            <w:r w:rsidRPr="00B757AD">
              <w:rPr>
                <w:color w:val="000000" w:themeColor="text1"/>
              </w:rPr>
              <w:t>Presidencia del Consejo de Ministros</w:t>
            </w:r>
            <w:r>
              <w:rPr>
                <w:color w:val="000000" w:themeColor="text1"/>
              </w:rPr>
              <w:t>,</w:t>
            </w:r>
            <w:r w:rsidRPr="00B757AD">
              <w:rPr>
                <w:color w:val="000000" w:themeColor="text1"/>
              </w:rPr>
              <w:t xml:space="preserve"> a través de la Secretaría de Gestión Pública -SGP- y la Oficina Nacional de Gobierno Electrónico –ONGEI.</w:t>
            </w:r>
          </w:p>
        </w:tc>
      </w:tr>
      <w:tr w:rsidR="000349C8" w:rsidRPr="00295641" w:rsidTr="000410D3">
        <w:tc>
          <w:tcPr>
            <w:tcW w:w="4219" w:type="dxa"/>
            <w:gridSpan w:val="3"/>
            <w:shd w:val="clear" w:color="auto" w:fill="C6D9F1" w:themeFill="text2" w:themeFillTint="33"/>
            <w:vAlign w:val="center"/>
          </w:tcPr>
          <w:p w:rsidR="000349C8" w:rsidRPr="00295641" w:rsidRDefault="000349C8" w:rsidP="000410D3">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0349C8" w:rsidRPr="00295641" w:rsidRDefault="000349C8" w:rsidP="000410D3">
            <w:pPr>
              <w:jc w:val="both"/>
              <w:rPr>
                <w:color w:val="000000" w:themeColor="text1"/>
              </w:rPr>
            </w:pPr>
            <w:r>
              <w:rPr>
                <w:color w:val="000000" w:themeColor="text1"/>
              </w:rPr>
              <w:t>Mercedes Araoz</w:t>
            </w:r>
          </w:p>
        </w:tc>
      </w:tr>
      <w:tr w:rsidR="000349C8" w:rsidRPr="00295641" w:rsidTr="000410D3">
        <w:tc>
          <w:tcPr>
            <w:tcW w:w="4219" w:type="dxa"/>
            <w:gridSpan w:val="3"/>
            <w:shd w:val="clear" w:color="auto" w:fill="C6D9F1" w:themeFill="text2" w:themeFillTint="33"/>
            <w:vAlign w:val="center"/>
          </w:tcPr>
          <w:p w:rsidR="000349C8" w:rsidRPr="00295641" w:rsidRDefault="000349C8" w:rsidP="000410D3">
            <w:pPr>
              <w:rPr>
                <w:b/>
                <w:color w:val="000000" w:themeColor="text1"/>
              </w:rPr>
            </w:pPr>
            <w:r w:rsidRPr="00295641">
              <w:rPr>
                <w:rFonts w:cs="Gotham-Book"/>
                <w:b/>
                <w:color w:val="000000" w:themeColor="text1"/>
              </w:rPr>
              <w:t>Puesto</w:t>
            </w:r>
          </w:p>
        </w:tc>
        <w:tc>
          <w:tcPr>
            <w:tcW w:w="4820" w:type="dxa"/>
            <w:gridSpan w:val="3"/>
          </w:tcPr>
          <w:p w:rsidR="000349C8" w:rsidRPr="00295641" w:rsidRDefault="000349C8" w:rsidP="000410D3">
            <w:pPr>
              <w:jc w:val="both"/>
              <w:rPr>
                <w:color w:val="000000" w:themeColor="text1"/>
              </w:rPr>
            </w:pPr>
            <w:r>
              <w:rPr>
                <w:color w:val="000000" w:themeColor="text1"/>
              </w:rPr>
              <w:t>Presidenta del Consejo de Ministros</w:t>
            </w:r>
          </w:p>
        </w:tc>
      </w:tr>
      <w:tr w:rsidR="000349C8" w:rsidRPr="00295641" w:rsidTr="000410D3">
        <w:tc>
          <w:tcPr>
            <w:tcW w:w="4219" w:type="dxa"/>
            <w:gridSpan w:val="3"/>
            <w:shd w:val="clear" w:color="auto" w:fill="C6D9F1" w:themeFill="text2" w:themeFillTint="33"/>
            <w:vAlign w:val="center"/>
          </w:tcPr>
          <w:p w:rsidR="000349C8" w:rsidRPr="00295641" w:rsidRDefault="000349C8" w:rsidP="000410D3">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0349C8" w:rsidRPr="00295641" w:rsidRDefault="004165D0" w:rsidP="000410D3">
            <w:pPr>
              <w:jc w:val="both"/>
              <w:rPr>
                <w:rFonts w:cs="Arial"/>
                <w:color w:val="0000FF"/>
                <w:u w:val="single"/>
              </w:rPr>
            </w:pPr>
            <w:hyperlink r:id="rId49" w:history="1">
              <w:r w:rsidR="000349C8" w:rsidRPr="00D13AF7">
                <w:rPr>
                  <w:rStyle w:val="Hipervnculo"/>
                  <w:rFonts w:cs="Arial"/>
                </w:rPr>
                <w:t>maraoz@pcm.gob.pe</w:t>
              </w:r>
            </w:hyperlink>
          </w:p>
        </w:tc>
      </w:tr>
      <w:tr w:rsidR="000349C8" w:rsidRPr="00295641" w:rsidTr="000410D3">
        <w:tc>
          <w:tcPr>
            <w:tcW w:w="4219" w:type="dxa"/>
            <w:gridSpan w:val="3"/>
            <w:shd w:val="clear" w:color="auto" w:fill="C6D9F1" w:themeFill="text2" w:themeFillTint="33"/>
            <w:vAlign w:val="center"/>
          </w:tcPr>
          <w:p w:rsidR="000349C8" w:rsidRPr="00295641" w:rsidRDefault="000349C8" w:rsidP="000410D3">
            <w:pPr>
              <w:rPr>
                <w:b/>
                <w:color w:val="000000" w:themeColor="text1"/>
              </w:rPr>
            </w:pPr>
            <w:r w:rsidRPr="00295641">
              <w:rPr>
                <w:rFonts w:cs="Gotham-Book"/>
                <w:b/>
                <w:color w:val="000000" w:themeColor="text1"/>
              </w:rPr>
              <w:t>Teléfono</w:t>
            </w:r>
          </w:p>
        </w:tc>
        <w:tc>
          <w:tcPr>
            <w:tcW w:w="4820" w:type="dxa"/>
            <w:gridSpan w:val="3"/>
          </w:tcPr>
          <w:p w:rsidR="000349C8" w:rsidRPr="00295641" w:rsidRDefault="000349C8" w:rsidP="000410D3">
            <w:pPr>
              <w:jc w:val="both"/>
              <w:rPr>
                <w:color w:val="000000" w:themeColor="text1"/>
              </w:rPr>
            </w:pPr>
            <w:r>
              <w:rPr>
                <w:color w:val="000000" w:themeColor="text1"/>
              </w:rPr>
              <w:t>51-1-2197000</w:t>
            </w:r>
          </w:p>
        </w:tc>
      </w:tr>
      <w:tr w:rsidR="000349C8" w:rsidRPr="00295641" w:rsidTr="000410D3">
        <w:tc>
          <w:tcPr>
            <w:tcW w:w="2109" w:type="dxa"/>
            <w:vMerge w:val="restart"/>
            <w:shd w:val="clear" w:color="auto" w:fill="C6D9F1" w:themeFill="text2" w:themeFillTint="33"/>
            <w:vAlign w:val="center"/>
          </w:tcPr>
          <w:p w:rsidR="000349C8" w:rsidRPr="00295641" w:rsidRDefault="000349C8" w:rsidP="000410D3">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0349C8" w:rsidRPr="00295641" w:rsidRDefault="000349C8" w:rsidP="000410D3">
            <w:pPr>
              <w:rPr>
                <w:rFonts w:cs="Gotham-Book"/>
                <w:b/>
                <w:color w:val="000000" w:themeColor="text1"/>
              </w:rPr>
            </w:pPr>
            <w:r>
              <w:rPr>
                <w:rFonts w:cs="Gotham-Book"/>
                <w:b/>
                <w:color w:val="000000" w:themeColor="text1"/>
              </w:rPr>
              <w:t>Gobierno</w:t>
            </w:r>
          </w:p>
        </w:tc>
        <w:tc>
          <w:tcPr>
            <w:tcW w:w="4820" w:type="dxa"/>
            <w:gridSpan w:val="3"/>
          </w:tcPr>
          <w:p w:rsidR="000349C8" w:rsidRPr="00295641" w:rsidRDefault="000349C8" w:rsidP="000410D3">
            <w:pPr>
              <w:jc w:val="both"/>
              <w:rPr>
                <w:color w:val="000000" w:themeColor="text1"/>
              </w:rPr>
            </w:pPr>
            <w:r>
              <w:rPr>
                <w:color w:val="000000" w:themeColor="text1"/>
              </w:rPr>
              <w:t>No aplica</w:t>
            </w:r>
          </w:p>
        </w:tc>
      </w:tr>
      <w:tr w:rsidR="000349C8" w:rsidRPr="00295641" w:rsidTr="000410D3">
        <w:tc>
          <w:tcPr>
            <w:tcW w:w="2109" w:type="dxa"/>
            <w:vMerge/>
            <w:shd w:val="clear" w:color="auto" w:fill="C6D9F1" w:themeFill="text2" w:themeFillTint="33"/>
            <w:vAlign w:val="center"/>
          </w:tcPr>
          <w:p w:rsidR="000349C8" w:rsidRPr="00295641" w:rsidRDefault="000349C8" w:rsidP="000410D3">
            <w:pPr>
              <w:rPr>
                <w:rFonts w:cs="Gotham-Book"/>
                <w:b/>
                <w:color w:val="000000" w:themeColor="text1"/>
              </w:rPr>
            </w:pPr>
          </w:p>
        </w:tc>
        <w:tc>
          <w:tcPr>
            <w:tcW w:w="2110" w:type="dxa"/>
            <w:gridSpan w:val="2"/>
            <w:shd w:val="clear" w:color="auto" w:fill="C6D9F1" w:themeFill="text2" w:themeFillTint="33"/>
            <w:vAlign w:val="center"/>
          </w:tcPr>
          <w:p w:rsidR="000349C8" w:rsidRPr="00295641" w:rsidRDefault="000349C8" w:rsidP="000410D3">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0349C8" w:rsidRPr="00295641" w:rsidRDefault="000349C8" w:rsidP="000410D3">
            <w:pPr>
              <w:jc w:val="both"/>
              <w:rPr>
                <w:color w:val="000000" w:themeColor="text1"/>
              </w:rPr>
            </w:pPr>
          </w:p>
        </w:tc>
      </w:tr>
      <w:tr w:rsidR="000349C8" w:rsidRPr="00274A1A" w:rsidTr="000410D3">
        <w:tc>
          <w:tcPr>
            <w:tcW w:w="4219" w:type="dxa"/>
            <w:gridSpan w:val="3"/>
            <w:shd w:val="clear" w:color="auto" w:fill="C6D9F1" w:themeFill="text2" w:themeFillTint="33"/>
            <w:vAlign w:val="center"/>
          </w:tcPr>
          <w:p w:rsidR="000349C8" w:rsidRPr="00295641" w:rsidRDefault="000349C8" w:rsidP="000410D3">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0349C8" w:rsidRDefault="000349C8" w:rsidP="000410D3">
            <w:pPr>
              <w:autoSpaceDE w:val="0"/>
              <w:autoSpaceDN w:val="0"/>
              <w:adjustRightInd w:val="0"/>
              <w:jc w:val="both"/>
              <w:rPr>
                <w:color w:val="000000" w:themeColor="text1"/>
                <w:lang w:val="es-PE"/>
              </w:rPr>
            </w:pPr>
            <w:r>
              <w:rPr>
                <w:color w:val="000000" w:themeColor="text1"/>
                <w:lang w:val="es-PE"/>
              </w:rPr>
              <w:t>La incorporación del Estado Peruano a la “Alianza para el Gobierno Abierto” requiere no solo de la implementación del Plan de Acción, sino que, además, representa un desafío para garantizar que los funcionarios y servidores públicos posean las capacidades y competencias necesarias para cumplir los compromisos adquiridos, en el marco del uso de las tecnologías de información.</w:t>
            </w:r>
          </w:p>
          <w:p w:rsidR="000349C8" w:rsidRPr="00274A1A" w:rsidRDefault="000349C8" w:rsidP="000410D3">
            <w:pPr>
              <w:autoSpaceDE w:val="0"/>
              <w:autoSpaceDN w:val="0"/>
              <w:adjustRightInd w:val="0"/>
              <w:jc w:val="both"/>
              <w:rPr>
                <w:color w:val="000000" w:themeColor="text1"/>
                <w:lang w:val="es-PE"/>
              </w:rPr>
            </w:pPr>
            <w:r>
              <w:rPr>
                <w:color w:val="000000" w:themeColor="text1"/>
                <w:lang w:val="es-PE"/>
              </w:rPr>
              <w:t>Si bien el Estado, actualmente, viene implementando iniciativas en la prestación de servicios públicos en línea, es necesario que dichos funciones y servidores desarrollen las habilidades  y competencias que aseguren la calidad y el incremento de los servicios, a través de las plataformas digitales, generando un mayor acercamiento entre la administración pública y el ciudadano.</w:t>
            </w:r>
          </w:p>
        </w:tc>
      </w:tr>
      <w:tr w:rsidR="000349C8" w:rsidRPr="005E5671" w:rsidTr="000410D3">
        <w:tc>
          <w:tcPr>
            <w:tcW w:w="4219" w:type="dxa"/>
            <w:gridSpan w:val="3"/>
            <w:shd w:val="clear" w:color="auto" w:fill="C6D9F1" w:themeFill="text2" w:themeFillTint="33"/>
            <w:vAlign w:val="center"/>
          </w:tcPr>
          <w:p w:rsidR="000349C8" w:rsidRPr="00295641" w:rsidRDefault="000349C8" w:rsidP="000410D3">
            <w:pPr>
              <w:rPr>
                <w:b/>
                <w:color w:val="000000" w:themeColor="text1"/>
              </w:rPr>
            </w:pPr>
            <w:r w:rsidRPr="00295641">
              <w:rPr>
                <w:rFonts w:cs="Gotham-Book"/>
                <w:b/>
                <w:color w:val="000000" w:themeColor="text1"/>
              </w:rPr>
              <w:t>Objetivo principal</w:t>
            </w:r>
          </w:p>
        </w:tc>
        <w:tc>
          <w:tcPr>
            <w:tcW w:w="4820" w:type="dxa"/>
            <w:gridSpan w:val="3"/>
          </w:tcPr>
          <w:p w:rsidR="000349C8" w:rsidRPr="005E5671" w:rsidRDefault="000349C8" w:rsidP="000410D3">
            <w:pPr>
              <w:jc w:val="both"/>
              <w:rPr>
                <w:bCs/>
              </w:rPr>
            </w:pPr>
            <w:r>
              <w:rPr>
                <w:bCs/>
              </w:rPr>
              <w:t xml:space="preserve">Promover el desarrollo y mejora de los servicios en línea, disponibles en el Portal de Servicios al Ciudadano y Empresa y en los portales de las entidades públicas, así como el uso de dichos servicios por parte de los ciudadanos y ciudadanas.   </w:t>
            </w:r>
          </w:p>
        </w:tc>
      </w:tr>
      <w:tr w:rsidR="000349C8" w:rsidRPr="000E1EC0" w:rsidTr="000410D3">
        <w:tc>
          <w:tcPr>
            <w:tcW w:w="4219" w:type="dxa"/>
            <w:gridSpan w:val="3"/>
            <w:shd w:val="clear" w:color="auto" w:fill="C6D9F1" w:themeFill="text2" w:themeFillTint="33"/>
            <w:vAlign w:val="center"/>
          </w:tcPr>
          <w:p w:rsidR="000349C8" w:rsidRPr="00295641" w:rsidRDefault="000349C8" w:rsidP="000410D3">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0349C8" w:rsidRPr="00295641" w:rsidRDefault="000349C8" w:rsidP="000410D3">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0349C8" w:rsidRPr="000E1EC0" w:rsidRDefault="000349C8" w:rsidP="000410D3">
            <w:pPr>
              <w:jc w:val="both"/>
              <w:rPr>
                <w:rFonts w:ascii="Calibri" w:hAnsi="Calibri"/>
                <w:color w:val="000000"/>
              </w:rPr>
            </w:pPr>
            <w:r>
              <w:rPr>
                <w:rFonts w:ascii="Calibri" w:hAnsi="Calibri"/>
                <w:color w:val="000000"/>
              </w:rPr>
              <w:t>Mejorar los conocimientos y desarrollar habilidades de los funcionarios y servidores públicos para que desarrollen y brinden servicios públicos en línea, así como de los ciudadanos y ciudadanas para que hagan uso de dichos servicios, ampliando progresivamente la cobertura de la capacitación.</w:t>
            </w:r>
          </w:p>
        </w:tc>
      </w:tr>
      <w:tr w:rsidR="000349C8" w:rsidRPr="00D55406" w:rsidTr="000410D3">
        <w:tc>
          <w:tcPr>
            <w:tcW w:w="4219" w:type="dxa"/>
            <w:gridSpan w:val="3"/>
            <w:shd w:val="clear" w:color="auto" w:fill="C6D9F1" w:themeFill="text2" w:themeFillTint="33"/>
            <w:vAlign w:val="center"/>
          </w:tcPr>
          <w:p w:rsidR="000349C8" w:rsidRPr="00295641" w:rsidRDefault="000349C8" w:rsidP="000410D3">
            <w:pPr>
              <w:autoSpaceDE w:val="0"/>
              <w:autoSpaceDN w:val="0"/>
              <w:adjustRightInd w:val="0"/>
              <w:rPr>
                <w:rFonts w:cs="Gotham-Book"/>
                <w:b/>
                <w:color w:val="000000" w:themeColor="text1"/>
              </w:rPr>
            </w:pPr>
            <w:r w:rsidRPr="00295641">
              <w:rPr>
                <w:rFonts w:cs="Gotham-Book"/>
                <w:b/>
                <w:color w:val="000000" w:themeColor="text1"/>
              </w:rPr>
              <w:t>Relevancia</w:t>
            </w:r>
          </w:p>
          <w:p w:rsidR="000349C8" w:rsidRPr="00295641" w:rsidRDefault="000349C8" w:rsidP="000410D3">
            <w:pPr>
              <w:autoSpaceDE w:val="0"/>
              <w:autoSpaceDN w:val="0"/>
              <w:adjustRightInd w:val="0"/>
              <w:rPr>
                <w:b/>
                <w:color w:val="000000" w:themeColor="text1"/>
              </w:rPr>
            </w:pPr>
          </w:p>
        </w:tc>
        <w:tc>
          <w:tcPr>
            <w:tcW w:w="4820" w:type="dxa"/>
            <w:gridSpan w:val="3"/>
          </w:tcPr>
          <w:p w:rsidR="000349C8" w:rsidRPr="00D55406" w:rsidRDefault="000349C8" w:rsidP="000410D3">
            <w:pPr>
              <w:jc w:val="both"/>
              <w:rPr>
                <w:color w:val="FF0000"/>
                <w:szCs w:val="20"/>
                <w:lang w:val="es-PE"/>
              </w:rPr>
            </w:pPr>
            <w:r w:rsidRPr="001F057B">
              <w:rPr>
                <w:szCs w:val="20"/>
                <w:lang w:val="es-PE"/>
              </w:rPr>
              <w:t xml:space="preserve">El mayor recurso con el que cuenta la administración pública para cumplir con sus objetivos, es el recurso humano, por ello, la importancia de mantener de una manera sostenible el fortalecimiento de conocimiento y habilidades al personal para que pueda brindar mejores servicios al ciudadano, con ello se contribuye a fortalecer los valores que promueve la OGP. </w:t>
            </w:r>
          </w:p>
        </w:tc>
      </w:tr>
      <w:tr w:rsidR="000349C8" w:rsidRPr="00D55406" w:rsidTr="000410D3">
        <w:tc>
          <w:tcPr>
            <w:tcW w:w="4219" w:type="dxa"/>
            <w:gridSpan w:val="3"/>
            <w:shd w:val="clear" w:color="auto" w:fill="C6D9F1" w:themeFill="text2" w:themeFillTint="33"/>
            <w:vAlign w:val="center"/>
          </w:tcPr>
          <w:p w:rsidR="000349C8" w:rsidRPr="00295641" w:rsidRDefault="000349C8" w:rsidP="000410D3">
            <w:pPr>
              <w:autoSpaceDE w:val="0"/>
              <w:autoSpaceDN w:val="0"/>
              <w:adjustRightInd w:val="0"/>
              <w:rPr>
                <w:rFonts w:cs="Gotham-Book"/>
                <w:b/>
                <w:color w:val="000000" w:themeColor="text1"/>
              </w:rPr>
            </w:pPr>
            <w:r w:rsidRPr="00295641">
              <w:rPr>
                <w:rFonts w:cs="Gotham-Book"/>
                <w:b/>
                <w:color w:val="000000" w:themeColor="text1"/>
              </w:rPr>
              <w:t>Ambición</w:t>
            </w:r>
          </w:p>
          <w:p w:rsidR="000349C8" w:rsidRPr="00295641" w:rsidRDefault="000349C8" w:rsidP="000410D3">
            <w:pPr>
              <w:autoSpaceDE w:val="0"/>
              <w:autoSpaceDN w:val="0"/>
              <w:adjustRightInd w:val="0"/>
              <w:rPr>
                <w:rFonts w:cs="Gotham-BookItalic"/>
                <w:b/>
                <w:iCs/>
                <w:color w:val="000000" w:themeColor="text1"/>
              </w:rPr>
            </w:pPr>
          </w:p>
        </w:tc>
        <w:tc>
          <w:tcPr>
            <w:tcW w:w="4820" w:type="dxa"/>
            <w:gridSpan w:val="3"/>
          </w:tcPr>
          <w:p w:rsidR="000349C8" w:rsidRPr="00D55406" w:rsidRDefault="000349C8" w:rsidP="000410D3">
            <w:pPr>
              <w:jc w:val="both"/>
              <w:rPr>
                <w:color w:val="FF0000"/>
                <w:szCs w:val="20"/>
                <w:lang w:val="es-PE"/>
              </w:rPr>
            </w:pPr>
            <w:r w:rsidRPr="001F057B">
              <w:rPr>
                <w:szCs w:val="20"/>
                <w:lang w:val="es-PE"/>
              </w:rPr>
              <w:t>El compromiso concluido procura contar con personal que ponga en práctica los conocimientos para prestar mejores servicios, así como brindar conocimiento a la ciudadanía fortaleciendo la apertura a los servicios en línea.</w:t>
            </w:r>
          </w:p>
        </w:tc>
      </w:tr>
      <w:tr w:rsidR="000349C8" w:rsidRPr="00295641" w:rsidTr="000410D3">
        <w:tc>
          <w:tcPr>
            <w:tcW w:w="2518" w:type="dxa"/>
            <w:gridSpan w:val="2"/>
            <w:vMerge w:val="restart"/>
            <w:shd w:val="clear" w:color="auto" w:fill="C6D9F1" w:themeFill="text2" w:themeFillTint="33"/>
            <w:vAlign w:val="center"/>
          </w:tcPr>
          <w:p w:rsidR="000349C8" w:rsidRPr="00295641" w:rsidRDefault="000349C8" w:rsidP="000410D3">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0349C8" w:rsidRPr="00295641" w:rsidRDefault="000349C8" w:rsidP="000410D3">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0349C8" w:rsidRPr="00295641" w:rsidRDefault="000349C8" w:rsidP="000410D3">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0349C8" w:rsidRPr="00295641" w:rsidRDefault="000349C8" w:rsidP="000410D3">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0349C8" w:rsidRPr="00295641" w:rsidRDefault="000349C8" w:rsidP="000410D3">
            <w:pPr>
              <w:jc w:val="center"/>
              <w:rPr>
                <w:b/>
                <w:color w:val="000000" w:themeColor="text1"/>
              </w:rPr>
            </w:pPr>
            <w:r w:rsidRPr="00295641">
              <w:rPr>
                <w:rFonts w:cs="Gotham-Book"/>
                <w:b/>
                <w:color w:val="000000" w:themeColor="text1"/>
              </w:rPr>
              <w:t>Completo</w:t>
            </w:r>
          </w:p>
        </w:tc>
      </w:tr>
      <w:tr w:rsidR="000349C8" w:rsidRPr="00295641" w:rsidTr="000410D3">
        <w:tc>
          <w:tcPr>
            <w:tcW w:w="2518" w:type="dxa"/>
            <w:gridSpan w:val="2"/>
            <w:vMerge/>
            <w:shd w:val="clear" w:color="auto" w:fill="C6D9F1" w:themeFill="text2" w:themeFillTint="33"/>
            <w:vAlign w:val="center"/>
          </w:tcPr>
          <w:p w:rsidR="000349C8" w:rsidRPr="00295641" w:rsidRDefault="000349C8" w:rsidP="000410D3">
            <w:pPr>
              <w:rPr>
                <w:b/>
                <w:color w:val="000000" w:themeColor="text1"/>
              </w:rPr>
            </w:pPr>
          </w:p>
        </w:tc>
        <w:tc>
          <w:tcPr>
            <w:tcW w:w="1701" w:type="dxa"/>
          </w:tcPr>
          <w:p w:rsidR="000349C8" w:rsidRPr="00295641" w:rsidRDefault="000349C8" w:rsidP="000410D3">
            <w:pPr>
              <w:jc w:val="center"/>
              <w:rPr>
                <w:b/>
                <w:color w:val="000000" w:themeColor="text1"/>
              </w:rPr>
            </w:pPr>
          </w:p>
        </w:tc>
        <w:tc>
          <w:tcPr>
            <w:tcW w:w="1729" w:type="dxa"/>
          </w:tcPr>
          <w:p w:rsidR="000349C8" w:rsidRPr="00295641" w:rsidRDefault="000349C8" w:rsidP="000410D3">
            <w:pPr>
              <w:jc w:val="center"/>
              <w:rPr>
                <w:b/>
                <w:color w:val="000000" w:themeColor="text1"/>
              </w:rPr>
            </w:pPr>
          </w:p>
        </w:tc>
        <w:tc>
          <w:tcPr>
            <w:tcW w:w="1644" w:type="dxa"/>
          </w:tcPr>
          <w:p w:rsidR="000349C8" w:rsidRPr="00295641" w:rsidRDefault="000349C8" w:rsidP="000410D3">
            <w:pPr>
              <w:jc w:val="center"/>
              <w:rPr>
                <w:b/>
                <w:color w:val="000000" w:themeColor="text1"/>
              </w:rPr>
            </w:pPr>
          </w:p>
        </w:tc>
        <w:tc>
          <w:tcPr>
            <w:tcW w:w="1447" w:type="dxa"/>
            <w:shd w:val="clear" w:color="auto" w:fill="FFFFFF" w:themeFill="background1"/>
          </w:tcPr>
          <w:p w:rsidR="000349C8" w:rsidRPr="00295641" w:rsidRDefault="000349C8" w:rsidP="000410D3">
            <w:pPr>
              <w:jc w:val="center"/>
              <w:rPr>
                <w:b/>
                <w:color w:val="000000" w:themeColor="text1"/>
              </w:rPr>
            </w:pPr>
            <w:r>
              <w:rPr>
                <w:b/>
                <w:color w:val="000000" w:themeColor="text1"/>
              </w:rPr>
              <w:t>X</w:t>
            </w:r>
          </w:p>
        </w:tc>
      </w:tr>
      <w:tr w:rsidR="000349C8" w:rsidRPr="00295641" w:rsidTr="000410D3">
        <w:tc>
          <w:tcPr>
            <w:tcW w:w="2518" w:type="dxa"/>
            <w:gridSpan w:val="2"/>
            <w:shd w:val="clear" w:color="auto" w:fill="C6D9F1" w:themeFill="text2" w:themeFillTint="33"/>
            <w:vAlign w:val="center"/>
          </w:tcPr>
          <w:p w:rsidR="000349C8" w:rsidRPr="00295641" w:rsidRDefault="000349C8" w:rsidP="000410D3">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0349C8" w:rsidRPr="00295641" w:rsidRDefault="000349C8" w:rsidP="000410D3">
            <w:pPr>
              <w:autoSpaceDE w:val="0"/>
              <w:autoSpaceDN w:val="0"/>
              <w:adjustRightInd w:val="0"/>
              <w:rPr>
                <w:rFonts w:cs="Gotham-BookItalic"/>
                <w:b/>
                <w:iCs/>
                <w:color w:val="000000" w:themeColor="text1"/>
              </w:rPr>
            </w:pPr>
          </w:p>
        </w:tc>
        <w:tc>
          <w:tcPr>
            <w:tcW w:w="6521" w:type="dxa"/>
            <w:gridSpan w:val="4"/>
          </w:tcPr>
          <w:p w:rsidR="000349C8" w:rsidRPr="00B757AD" w:rsidRDefault="000349C8" w:rsidP="000410D3">
            <w:pPr>
              <w:pStyle w:val="Prrafodelista"/>
              <w:ind w:left="63"/>
              <w:jc w:val="both"/>
              <w:rPr>
                <w:rFonts w:ascii="Calibri" w:hAnsi="Calibri"/>
                <w:b/>
                <w:bCs/>
                <w:color w:val="000000"/>
              </w:rPr>
            </w:pPr>
            <w:r w:rsidRPr="00B757AD">
              <w:rPr>
                <w:rFonts w:ascii="Calibri" w:hAnsi="Calibri"/>
                <w:bCs/>
                <w:color w:val="000000"/>
              </w:rPr>
              <w:t>Se considera las siguientes actividades</w:t>
            </w:r>
            <w:r>
              <w:rPr>
                <w:rFonts w:ascii="Calibri" w:hAnsi="Calibri"/>
                <w:bCs/>
                <w:color w:val="000000"/>
              </w:rPr>
              <w:t>:</w:t>
            </w:r>
          </w:p>
          <w:p w:rsidR="000349C8" w:rsidRPr="00B50DAD" w:rsidRDefault="000349C8" w:rsidP="000349C8">
            <w:pPr>
              <w:pStyle w:val="Prrafodelista"/>
              <w:numPr>
                <w:ilvl w:val="0"/>
                <w:numId w:val="43"/>
              </w:numPr>
              <w:jc w:val="both"/>
              <w:rPr>
                <w:rFonts w:ascii="Calibri" w:hAnsi="Calibri"/>
                <w:b/>
                <w:bCs/>
                <w:i/>
                <w:color w:val="000000"/>
              </w:rPr>
            </w:pPr>
            <w:r w:rsidRPr="00B50DAD">
              <w:rPr>
                <w:rFonts w:ascii="Calibri" w:hAnsi="Calibri"/>
                <w:b/>
                <w:i/>
                <w:color w:val="000000"/>
              </w:rPr>
              <w:t xml:space="preserve">Elaboración de un curso de “Ciudadanía Digital y Servicios en Línea”, que incluya información sobre servicios web y servicios móviles.  </w:t>
            </w:r>
          </w:p>
          <w:p w:rsidR="000349C8" w:rsidRPr="00B50DAD" w:rsidRDefault="000349C8" w:rsidP="000349C8">
            <w:pPr>
              <w:pStyle w:val="Prrafodelista"/>
              <w:numPr>
                <w:ilvl w:val="0"/>
                <w:numId w:val="43"/>
              </w:numPr>
              <w:jc w:val="both"/>
              <w:rPr>
                <w:rFonts w:ascii="Calibri" w:hAnsi="Calibri"/>
                <w:b/>
                <w:bCs/>
                <w:i/>
                <w:color w:val="000000"/>
              </w:rPr>
            </w:pPr>
            <w:r w:rsidRPr="00B50DAD">
              <w:rPr>
                <w:rFonts w:ascii="Calibri" w:hAnsi="Calibri"/>
                <w:b/>
                <w:i/>
                <w:color w:val="000000"/>
              </w:rPr>
              <w:t>Seminarios y talleres de capacitación en “Mejora de la información y servicios en línea de las páginas web de las Entidades Públicas” a los miembros del Sistema Nacional de informática.</w:t>
            </w:r>
          </w:p>
          <w:p w:rsidR="000349C8" w:rsidRPr="00B50DAD" w:rsidRDefault="000349C8" w:rsidP="000349C8">
            <w:pPr>
              <w:pStyle w:val="Prrafodelista"/>
              <w:numPr>
                <w:ilvl w:val="0"/>
                <w:numId w:val="43"/>
              </w:numPr>
              <w:jc w:val="both"/>
              <w:rPr>
                <w:rFonts w:ascii="Calibri" w:hAnsi="Calibri"/>
                <w:b/>
                <w:bCs/>
                <w:i/>
                <w:color w:val="000000"/>
              </w:rPr>
            </w:pPr>
            <w:r w:rsidRPr="00B50DAD">
              <w:rPr>
                <w:rFonts w:ascii="Calibri" w:hAnsi="Calibri"/>
                <w:b/>
                <w:i/>
                <w:color w:val="000000"/>
              </w:rPr>
              <w:t>Seminario y talleres de capacitación sobre “Ciudadanía Digital y Servicios de Línea” dirigidos a ciudadanos y ciudadanas, empresas y servidores públicos a nivel nacional.</w:t>
            </w:r>
          </w:p>
          <w:p w:rsidR="000349C8" w:rsidRPr="00B50DAD" w:rsidRDefault="000349C8" w:rsidP="000349C8">
            <w:pPr>
              <w:pStyle w:val="Prrafodelista"/>
              <w:numPr>
                <w:ilvl w:val="0"/>
                <w:numId w:val="43"/>
              </w:numPr>
              <w:jc w:val="both"/>
              <w:rPr>
                <w:rFonts w:ascii="Calibri" w:hAnsi="Calibri"/>
                <w:b/>
                <w:i/>
                <w:color w:val="000000"/>
              </w:rPr>
            </w:pPr>
            <w:r w:rsidRPr="00B50DAD">
              <w:rPr>
                <w:rFonts w:ascii="Calibri" w:hAnsi="Calibri"/>
                <w:b/>
                <w:i/>
                <w:color w:val="000000"/>
              </w:rPr>
              <w:t xml:space="preserve">Capacitaciones en “Ciudadanía Digital y Servicios de Línea” a través de la plataforma de aprendizaje virtual Yachaywasi Digital.      </w:t>
            </w:r>
          </w:p>
          <w:p w:rsidR="000349C8" w:rsidRDefault="000349C8" w:rsidP="000410D3">
            <w:pPr>
              <w:jc w:val="both"/>
              <w:rPr>
                <w:color w:val="000000" w:themeColor="text1"/>
              </w:rPr>
            </w:pPr>
            <w:r>
              <w:rPr>
                <w:color w:val="000000" w:themeColor="text1"/>
              </w:rPr>
              <w:t>Se concluyó el compromiso con todas las actividades.</w:t>
            </w:r>
          </w:p>
          <w:p w:rsidR="000349C8" w:rsidRDefault="000349C8" w:rsidP="000410D3">
            <w:pPr>
              <w:jc w:val="both"/>
              <w:rPr>
                <w:color w:val="000000" w:themeColor="text1"/>
              </w:rPr>
            </w:pPr>
            <w:r>
              <w:rPr>
                <w:color w:val="000000" w:themeColor="text1"/>
              </w:rPr>
              <w:t xml:space="preserve">La información </w:t>
            </w:r>
            <w:r w:rsidR="000948BE">
              <w:rPr>
                <w:color w:val="000000" w:themeColor="text1"/>
              </w:rPr>
              <w:t xml:space="preserve">sobre los eventos </w:t>
            </w:r>
            <w:r>
              <w:rPr>
                <w:color w:val="000000" w:themeColor="text1"/>
              </w:rPr>
              <w:t>se encuentra disponible en el siguiente enlace:</w:t>
            </w:r>
          </w:p>
          <w:p w:rsidR="000349C8" w:rsidRDefault="004165D0" w:rsidP="000410D3">
            <w:pPr>
              <w:jc w:val="both"/>
              <w:rPr>
                <w:color w:val="000000" w:themeColor="text1"/>
              </w:rPr>
            </w:pPr>
            <w:hyperlink r:id="rId50" w:history="1">
              <w:r w:rsidR="000349C8" w:rsidRPr="00085904">
                <w:rPr>
                  <w:rStyle w:val="Hipervnculo"/>
                </w:rPr>
                <w:t>http://www.ongei.gob.pe/eventos/ongei_eventos.asp?pk_id_entidad=1878</w:t>
              </w:r>
            </w:hyperlink>
          </w:p>
          <w:p w:rsidR="000349C8" w:rsidRPr="00295641" w:rsidRDefault="000349C8" w:rsidP="000410D3">
            <w:pPr>
              <w:jc w:val="both"/>
              <w:rPr>
                <w:color w:val="000000" w:themeColor="text1"/>
              </w:rPr>
            </w:pPr>
          </w:p>
        </w:tc>
      </w:tr>
      <w:tr w:rsidR="000349C8" w:rsidRPr="00295641" w:rsidTr="000410D3">
        <w:tc>
          <w:tcPr>
            <w:tcW w:w="9039" w:type="dxa"/>
            <w:gridSpan w:val="6"/>
          </w:tcPr>
          <w:p w:rsidR="000349C8" w:rsidRPr="00295641" w:rsidRDefault="000349C8" w:rsidP="000410D3">
            <w:pPr>
              <w:jc w:val="both"/>
              <w:rPr>
                <w:rFonts w:cs="Gotham-Book"/>
                <w:b/>
                <w:color w:val="000000" w:themeColor="text1"/>
              </w:rPr>
            </w:pPr>
          </w:p>
          <w:p w:rsidR="000349C8" w:rsidRPr="00295641" w:rsidRDefault="000349C8" w:rsidP="000410D3">
            <w:pPr>
              <w:jc w:val="both"/>
              <w:rPr>
                <w:color w:val="000000" w:themeColor="text1"/>
              </w:rPr>
            </w:pPr>
            <w:r w:rsidRPr="00B757AD">
              <w:rPr>
                <w:rFonts w:cs="Gotham-Book"/>
                <w:b/>
              </w:rPr>
              <w:t>Información adicional</w:t>
            </w:r>
          </w:p>
        </w:tc>
      </w:tr>
      <w:tr w:rsidR="000349C8" w:rsidRPr="00295641" w:rsidTr="000410D3">
        <w:tc>
          <w:tcPr>
            <w:tcW w:w="9039" w:type="dxa"/>
            <w:gridSpan w:val="6"/>
          </w:tcPr>
          <w:p w:rsidR="000349C8" w:rsidRPr="00295641" w:rsidRDefault="000948BE" w:rsidP="000410D3">
            <w:pPr>
              <w:jc w:val="both"/>
              <w:rPr>
                <w:rFonts w:cs="Gotham-Book"/>
                <w:b/>
                <w:color w:val="000000" w:themeColor="text1"/>
              </w:rPr>
            </w:pPr>
            <w:r>
              <w:rPr>
                <w:color w:val="000000" w:themeColor="text1"/>
              </w:rPr>
              <w:t>El portal de servicios al ciudadano cuenta con 625 servicios en línea. Se cuenta a la fecha con 85 aplicaciones relacionadas a las instituciones públicas</w:t>
            </w:r>
            <w:r w:rsidR="00A223CA">
              <w:rPr>
                <w:rFonts w:cs="Gotham-Book"/>
                <w:b/>
                <w:color w:val="000000" w:themeColor="text1"/>
              </w:rPr>
              <w:t xml:space="preserve">. </w:t>
            </w:r>
          </w:p>
        </w:tc>
      </w:tr>
    </w:tbl>
    <w:p w:rsidR="00F40088" w:rsidRDefault="00F40088"/>
    <w:p w:rsidR="00700BF4" w:rsidRDefault="00700BF4"/>
    <w:p w:rsidR="00700BF4" w:rsidRDefault="00700BF4"/>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700BF4" w:rsidRPr="00295641" w:rsidTr="0048508A">
        <w:tc>
          <w:tcPr>
            <w:tcW w:w="9039" w:type="dxa"/>
            <w:gridSpan w:val="6"/>
            <w:shd w:val="clear" w:color="auto" w:fill="548DD4" w:themeFill="text2" w:themeFillTint="99"/>
          </w:tcPr>
          <w:p w:rsidR="00700BF4" w:rsidRPr="00295641" w:rsidRDefault="00700BF4" w:rsidP="0048508A">
            <w:pPr>
              <w:ind w:left="360"/>
              <w:jc w:val="center"/>
              <w:rPr>
                <w:b/>
              </w:rPr>
            </w:pPr>
            <w:r w:rsidRPr="00A81D25">
              <w:rPr>
                <w:b/>
              </w:rPr>
              <w:t>Componente: Mejora de los Servicios Públicos</w:t>
            </w:r>
          </w:p>
        </w:tc>
      </w:tr>
      <w:tr w:rsidR="00700BF4" w:rsidRPr="00C2192C" w:rsidTr="0048508A">
        <w:tc>
          <w:tcPr>
            <w:tcW w:w="9039" w:type="dxa"/>
            <w:gridSpan w:val="6"/>
            <w:shd w:val="clear" w:color="auto" w:fill="548DD4" w:themeFill="text2" w:themeFillTint="99"/>
          </w:tcPr>
          <w:p w:rsidR="00700BF4" w:rsidRPr="00C2192C" w:rsidRDefault="00700BF4" w:rsidP="0048508A">
            <w:pPr>
              <w:ind w:left="360"/>
              <w:jc w:val="center"/>
              <w:rPr>
                <w:rFonts w:ascii="Calibri" w:hAnsi="Calibri"/>
                <w:b/>
                <w:color w:val="000000"/>
              </w:rPr>
            </w:pPr>
            <w:r w:rsidRPr="001F057B">
              <w:rPr>
                <w:rFonts w:ascii="Calibri" w:hAnsi="Calibri"/>
                <w:b/>
                <w:color w:val="000000"/>
                <w:u w:val="single"/>
              </w:rPr>
              <w:t>Compromiso 17</w:t>
            </w:r>
            <w:r w:rsidRPr="00C2192C">
              <w:rPr>
                <w:rFonts w:ascii="Calibri" w:hAnsi="Calibri"/>
                <w:b/>
                <w:color w:val="000000"/>
              </w:rPr>
              <w:t>. Promover una adecuada gestión de las Redes Sociales en las entidades de la Administración Pública como herramientas para comunicar las acciones de dichas entidades</w:t>
            </w:r>
          </w:p>
        </w:tc>
      </w:tr>
      <w:tr w:rsidR="00700BF4" w:rsidRPr="00295641" w:rsidTr="0048508A">
        <w:tc>
          <w:tcPr>
            <w:tcW w:w="4219" w:type="dxa"/>
            <w:gridSpan w:val="3"/>
            <w:shd w:val="clear" w:color="auto" w:fill="C6D9F1" w:themeFill="text2" w:themeFillTint="33"/>
            <w:vAlign w:val="center"/>
          </w:tcPr>
          <w:p w:rsidR="00700BF4" w:rsidRPr="00295641" w:rsidRDefault="00700BF4" w:rsidP="0048508A">
            <w:pPr>
              <w:autoSpaceDE w:val="0"/>
              <w:autoSpaceDN w:val="0"/>
              <w:adjustRightInd w:val="0"/>
              <w:rPr>
                <w:rFonts w:cs="Gotham-Book"/>
                <w:b/>
                <w:color w:val="000000" w:themeColor="text1"/>
              </w:rPr>
            </w:pPr>
            <w:r w:rsidRPr="00295641">
              <w:rPr>
                <w:rFonts w:cs="Gotham-Book"/>
                <w:b/>
                <w:color w:val="000000" w:themeColor="text1"/>
              </w:rPr>
              <w:t>Secretaría/Ministerio</w:t>
            </w:r>
          </w:p>
          <w:p w:rsidR="00700BF4" w:rsidRPr="00295641" w:rsidRDefault="00700BF4" w:rsidP="0048508A">
            <w:pPr>
              <w:rPr>
                <w:b/>
                <w:color w:val="000000" w:themeColor="text1"/>
              </w:rPr>
            </w:pPr>
            <w:r w:rsidRPr="00295641">
              <w:rPr>
                <w:rFonts w:cs="Gotham-Book"/>
                <w:b/>
                <w:color w:val="000000" w:themeColor="text1"/>
              </w:rPr>
              <w:t>Responsable</w:t>
            </w:r>
          </w:p>
        </w:tc>
        <w:tc>
          <w:tcPr>
            <w:tcW w:w="4820" w:type="dxa"/>
            <w:gridSpan w:val="3"/>
          </w:tcPr>
          <w:p w:rsidR="00700BF4" w:rsidRPr="00295641" w:rsidRDefault="00700BF4" w:rsidP="0048508A">
            <w:pPr>
              <w:jc w:val="both"/>
              <w:rPr>
                <w:color w:val="000000" w:themeColor="text1"/>
              </w:rPr>
            </w:pPr>
            <w:r w:rsidRPr="001F057B">
              <w:rPr>
                <w:color w:val="000000" w:themeColor="text1"/>
              </w:rPr>
              <w:t>Presidencia del Consejo de Ministros</w:t>
            </w:r>
            <w:r>
              <w:rPr>
                <w:color w:val="000000" w:themeColor="text1"/>
              </w:rPr>
              <w:t>,</w:t>
            </w:r>
            <w:r w:rsidRPr="001F057B">
              <w:rPr>
                <w:color w:val="000000" w:themeColor="text1"/>
              </w:rPr>
              <w:t xml:space="preserve"> a través de la Secretaría de Gestión Pública -SGP- y la Oficina Nacional de Gobierno Electrónico –ONGEI.</w:t>
            </w:r>
          </w:p>
        </w:tc>
      </w:tr>
      <w:tr w:rsidR="00700BF4" w:rsidRPr="00295641" w:rsidTr="0048508A">
        <w:tc>
          <w:tcPr>
            <w:tcW w:w="4219" w:type="dxa"/>
            <w:gridSpan w:val="3"/>
            <w:shd w:val="clear" w:color="auto" w:fill="C6D9F1" w:themeFill="text2" w:themeFillTint="33"/>
            <w:vAlign w:val="center"/>
          </w:tcPr>
          <w:p w:rsidR="00700BF4" w:rsidRPr="00295641" w:rsidRDefault="00700BF4" w:rsidP="0048508A">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700BF4" w:rsidRPr="00295641" w:rsidRDefault="00700BF4" w:rsidP="0048508A">
            <w:pPr>
              <w:jc w:val="both"/>
              <w:rPr>
                <w:color w:val="000000" w:themeColor="text1"/>
              </w:rPr>
            </w:pPr>
            <w:r>
              <w:rPr>
                <w:color w:val="000000" w:themeColor="text1"/>
              </w:rPr>
              <w:t>Mercedes Araoz</w:t>
            </w:r>
          </w:p>
        </w:tc>
      </w:tr>
      <w:tr w:rsidR="00700BF4" w:rsidRPr="00295641" w:rsidTr="0048508A">
        <w:tc>
          <w:tcPr>
            <w:tcW w:w="4219" w:type="dxa"/>
            <w:gridSpan w:val="3"/>
            <w:shd w:val="clear" w:color="auto" w:fill="C6D9F1" w:themeFill="text2" w:themeFillTint="33"/>
            <w:vAlign w:val="center"/>
          </w:tcPr>
          <w:p w:rsidR="00700BF4" w:rsidRPr="00295641" w:rsidRDefault="00700BF4" w:rsidP="0048508A">
            <w:pPr>
              <w:rPr>
                <w:b/>
                <w:color w:val="000000" w:themeColor="text1"/>
              </w:rPr>
            </w:pPr>
            <w:r w:rsidRPr="00295641">
              <w:rPr>
                <w:rFonts w:cs="Gotham-Book"/>
                <w:b/>
                <w:color w:val="000000" w:themeColor="text1"/>
              </w:rPr>
              <w:t>Puesto</w:t>
            </w:r>
          </w:p>
        </w:tc>
        <w:tc>
          <w:tcPr>
            <w:tcW w:w="4820" w:type="dxa"/>
            <w:gridSpan w:val="3"/>
          </w:tcPr>
          <w:p w:rsidR="00700BF4" w:rsidRPr="00295641" w:rsidRDefault="00700BF4" w:rsidP="0048508A">
            <w:pPr>
              <w:jc w:val="both"/>
              <w:rPr>
                <w:color w:val="000000" w:themeColor="text1"/>
              </w:rPr>
            </w:pPr>
            <w:r>
              <w:rPr>
                <w:color w:val="000000" w:themeColor="text1"/>
              </w:rPr>
              <w:t>Presidenta del Consejo de Ministros</w:t>
            </w:r>
          </w:p>
        </w:tc>
      </w:tr>
      <w:tr w:rsidR="00700BF4" w:rsidRPr="00295641" w:rsidTr="0048508A">
        <w:tc>
          <w:tcPr>
            <w:tcW w:w="4219" w:type="dxa"/>
            <w:gridSpan w:val="3"/>
            <w:shd w:val="clear" w:color="auto" w:fill="C6D9F1" w:themeFill="text2" w:themeFillTint="33"/>
            <w:vAlign w:val="center"/>
          </w:tcPr>
          <w:p w:rsidR="00700BF4" w:rsidRPr="00295641" w:rsidRDefault="00700BF4" w:rsidP="0048508A">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700BF4" w:rsidRPr="00295641" w:rsidRDefault="00700BF4" w:rsidP="0048508A">
            <w:pPr>
              <w:jc w:val="both"/>
              <w:rPr>
                <w:rFonts w:cs="Arial"/>
                <w:color w:val="0000FF"/>
                <w:u w:val="single"/>
              </w:rPr>
            </w:pPr>
          </w:p>
        </w:tc>
      </w:tr>
      <w:tr w:rsidR="00700BF4" w:rsidRPr="00295641" w:rsidTr="0048508A">
        <w:tc>
          <w:tcPr>
            <w:tcW w:w="4219" w:type="dxa"/>
            <w:gridSpan w:val="3"/>
            <w:shd w:val="clear" w:color="auto" w:fill="C6D9F1" w:themeFill="text2" w:themeFillTint="33"/>
            <w:vAlign w:val="center"/>
          </w:tcPr>
          <w:p w:rsidR="00700BF4" w:rsidRPr="00295641" w:rsidRDefault="00700BF4" w:rsidP="0048508A">
            <w:pPr>
              <w:rPr>
                <w:b/>
                <w:color w:val="000000" w:themeColor="text1"/>
              </w:rPr>
            </w:pPr>
            <w:r w:rsidRPr="00295641">
              <w:rPr>
                <w:rFonts w:cs="Gotham-Book"/>
                <w:b/>
                <w:color w:val="000000" w:themeColor="text1"/>
              </w:rPr>
              <w:t>Teléfono</w:t>
            </w:r>
          </w:p>
        </w:tc>
        <w:tc>
          <w:tcPr>
            <w:tcW w:w="4820" w:type="dxa"/>
            <w:gridSpan w:val="3"/>
          </w:tcPr>
          <w:p w:rsidR="00700BF4" w:rsidRPr="00295641" w:rsidRDefault="00700BF4" w:rsidP="0048508A">
            <w:pPr>
              <w:jc w:val="both"/>
              <w:rPr>
                <w:color w:val="000000" w:themeColor="text1"/>
              </w:rPr>
            </w:pPr>
            <w:r>
              <w:rPr>
                <w:color w:val="000000" w:themeColor="text1"/>
              </w:rPr>
              <w:t>51-1-2197000</w:t>
            </w:r>
          </w:p>
        </w:tc>
      </w:tr>
      <w:tr w:rsidR="00700BF4" w:rsidRPr="00295641" w:rsidTr="0048508A">
        <w:tc>
          <w:tcPr>
            <w:tcW w:w="2109" w:type="dxa"/>
            <w:vMerge w:val="restart"/>
            <w:shd w:val="clear" w:color="auto" w:fill="C6D9F1" w:themeFill="text2" w:themeFillTint="33"/>
            <w:vAlign w:val="center"/>
          </w:tcPr>
          <w:p w:rsidR="00700BF4" w:rsidRPr="00295641" w:rsidRDefault="00700BF4" w:rsidP="0048508A">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700BF4" w:rsidRPr="00295641" w:rsidRDefault="00700BF4" w:rsidP="0048508A">
            <w:pPr>
              <w:rPr>
                <w:rFonts w:cs="Gotham-Book"/>
                <w:b/>
                <w:color w:val="000000" w:themeColor="text1"/>
              </w:rPr>
            </w:pPr>
            <w:r>
              <w:rPr>
                <w:rFonts w:cs="Gotham-Book"/>
                <w:b/>
                <w:color w:val="000000" w:themeColor="text1"/>
              </w:rPr>
              <w:t>Gobierno</w:t>
            </w:r>
          </w:p>
        </w:tc>
        <w:tc>
          <w:tcPr>
            <w:tcW w:w="4820" w:type="dxa"/>
            <w:gridSpan w:val="3"/>
          </w:tcPr>
          <w:p w:rsidR="00700BF4" w:rsidRPr="00295641" w:rsidRDefault="00700BF4" w:rsidP="0048508A">
            <w:pPr>
              <w:jc w:val="both"/>
              <w:rPr>
                <w:color w:val="000000" w:themeColor="text1"/>
              </w:rPr>
            </w:pPr>
            <w:r>
              <w:rPr>
                <w:color w:val="000000" w:themeColor="text1"/>
              </w:rPr>
              <w:t>No aplica</w:t>
            </w:r>
          </w:p>
        </w:tc>
      </w:tr>
      <w:tr w:rsidR="00700BF4" w:rsidRPr="00295641" w:rsidTr="0048508A">
        <w:tc>
          <w:tcPr>
            <w:tcW w:w="2109" w:type="dxa"/>
            <w:vMerge/>
            <w:shd w:val="clear" w:color="auto" w:fill="C6D9F1" w:themeFill="text2" w:themeFillTint="33"/>
            <w:vAlign w:val="center"/>
          </w:tcPr>
          <w:p w:rsidR="00700BF4" w:rsidRPr="00295641" w:rsidRDefault="00700BF4" w:rsidP="0048508A">
            <w:pPr>
              <w:rPr>
                <w:rFonts w:cs="Gotham-Book"/>
                <w:b/>
                <w:color w:val="000000" w:themeColor="text1"/>
              </w:rPr>
            </w:pPr>
          </w:p>
        </w:tc>
        <w:tc>
          <w:tcPr>
            <w:tcW w:w="2110" w:type="dxa"/>
            <w:gridSpan w:val="2"/>
            <w:shd w:val="clear" w:color="auto" w:fill="C6D9F1" w:themeFill="text2" w:themeFillTint="33"/>
            <w:vAlign w:val="center"/>
          </w:tcPr>
          <w:p w:rsidR="00700BF4" w:rsidRPr="00295641" w:rsidRDefault="00700BF4" w:rsidP="0048508A">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700BF4" w:rsidRPr="00295641" w:rsidRDefault="00700BF4" w:rsidP="0048508A">
            <w:pPr>
              <w:jc w:val="both"/>
              <w:rPr>
                <w:color w:val="000000" w:themeColor="text1"/>
              </w:rPr>
            </w:pPr>
          </w:p>
        </w:tc>
      </w:tr>
      <w:tr w:rsidR="00700BF4" w:rsidRPr="00274A1A" w:rsidTr="0048508A">
        <w:tc>
          <w:tcPr>
            <w:tcW w:w="4219" w:type="dxa"/>
            <w:gridSpan w:val="3"/>
            <w:shd w:val="clear" w:color="auto" w:fill="C6D9F1" w:themeFill="text2" w:themeFillTint="33"/>
            <w:vAlign w:val="center"/>
          </w:tcPr>
          <w:p w:rsidR="00700BF4" w:rsidRPr="00295641" w:rsidRDefault="00700BF4" w:rsidP="0048508A">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700BF4" w:rsidRDefault="00700BF4" w:rsidP="0048508A">
            <w:pPr>
              <w:autoSpaceDE w:val="0"/>
              <w:autoSpaceDN w:val="0"/>
              <w:adjustRightInd w:val="0"/>
              <w:jc w:val="both"/>
              <w:rPr>
                <w:color w:val="000000" w:themeColor="text1"/>
                <w:lang w:val="es-PE"/>
              </w:rPr>
            </w:pPr>
            <w:r>
              <w:rPr>
                <w:color w:val="000000" w:themeColor="text1"/>
                <w:lang w:val="es-PE"/>
              </w:rPr>
              <w:t>Las redes sociales permiten acercar la administración pública a la ciudadanía, difundiendo los actos de las entidades y generando mayor transparencia en el cumplimiento de sus funciones.</w:t>
            </w:r>
          </w:p>
          <w:p w:rsidR="00700BF4" w:rsidRDefault="00700BF4" w:rsidP="0048508A">
            <w:pPr>
              <w:autoSpaceDE w:val="0"/>
              <w:autoSpaceDN w:val="0"/>
              <w:adjustRightInd w:val="0"/>
              <w:jc w:val="both"/>
              <w:rPr>
                <w:color w:val="000000" w:themeColor="text1"/>
                <w:lang w:val="es-PE"/>
              </w:rPr>
            </w:pPr>
            <w:r>
              <w:rPr>
                <w:color w:val="000000" w:themeColor="text1"/>
                <w:lang w:val="es-PE"/>
              </w:rPr>
              <w:t xml:space="preserve">El Estado Peruano, a través de la </w:t>
            </w:r>
            <w:r w:rsidRPr="00C01D66">
              <w:rPr>
                <w:color w:val="000000" w:themeColor="text1"/>
                <w:lang w:val="es-PE"/>
              </w:rPr>
              <w:t xml:space="preserve">Oficina Nacional de Gobierno Electrónico e Informática </w:t>
            </w:r>
            <w:r>
              <w:rPr>
                <w:color w:val="000000" w:themeColor="text1"/>
                <w:lang w:val="es-PE"/>
              </w:rPr>
              <w:t>–</w:t>
            </w:r>
            <w:r w:rsidRPr="00C01D66">
              <w:rPr>
                <w:color w:val="000000" w:themeColor="text1"/>
                <w:lang w:val="es-PE"/>
              </w:rPr>
              <w:t xml:space="preserve"> ONGEI</w:t>
            </w:r>
            <w:r>
              <w:rPr>
                <w:color w:val="000000" w:themeColor="text1"/>
                <w:lang w:val="es-PE"/>
              </w:rPr>
              <w:t xml:space="preserve">, ha venido impulsando acciones para la gestión de las redes sociales, a través de la implementación del </w:t>
            </w:r>
            <w:r w:rsidRPr="00C01D66">
              <w:rPr>
                <w:color w:val="000000" w:themeColor="text1"/>
                <w:lang w:val="es-PE"/>
              </w:rPr>
              <w:t>Directorio Nacional de Redes Sociales (</w:t>
            </w:r>
            <w:hyperlink r:id="rId51" w:history="1">
              <w:r w:rsidRPr="00871777">
                <w:rPr>
                  <w:rStyle w:val="Hipervnculo"/>
                  <w:lang w:val="es-PE"/>
                </w:rPr>
                <w:t>www.peru.gob.pe/redessociales</w:t>
              </w:r>
            </w:hyperlink>
            <w:r w:rsidRPr="00C01D66">
              <w:rPr>
                <w:color w:val="000000" w:themeColor="text1"/>
                <w:lang w:val="es-PE"/>
              </w:rPr>
              <w:t>)</w:t>
            </w:r>
            <w:r>
              <w:rPr>
                <w:color w:val="000000" w:themeColor="text1"/>
                <w:lang w:val="es-PE"/>
              </w:rPr>
              <w:t>, haciendo una distinción entre entidades de los tres poderes del Estado y por nivel de gobierno.</w:t>
            </w:r>
          </w:p>
          <w:p w:rsidR="00700BF4" w:rsidRPr="00274A1A" w:rsidRDefault="00700BF4" w:rsidP="0048508A">
            <w:pPr>
              <w:autoSpaceDE w:val="0"/>
              <w:autoSpaceDN w:val="0"/>
              <w:adjustRightInd w:val="0"/>
              <w:jc w:val="both"/>
              <w:rPr>
                <w:color w:val="000000" w:themeColor="text1"/>
                <w:lang w:val="es-PE"/>
              </w:rPr>
            </w:pPr>
            <w:r>
              <w:rPr>
                <w:color w:val="000000" w:themeColor="text1"/>
                <w:lang w:val="es-PE"/>
              </w:rPr>
              <w:t>Si bien representa un avance, es necesario implementar acciones que permitan gestionar de forma adecuada dichos canales, a fin de que, no solo se comunique y difunda las acciones de las entidades públicas, sino que se propicie un mayor acercamiento entre el Estado y el ciudadano.</w:t>
            </w:r>
          </w:p>
        </w:tc>
      </w:tr>
      <w:tr w:rsidR="00700BF4" w:rsidRPr="005E5671" w:rsidTr="0048508A">
        <w:tc>
          <w:tcPr>
            <w:tcW w:w="4219" w:type="dxa"/>
            <w:gridSpan w:val="3"/>
            <w:shd w:val="clear" w:color="auto" w:fill="C6D9F1" w:themeFill="text2" w:themeFillTint="33"/>
            <w:vAlign w:val="center"/>
          </w:tcPr>
          <w:p w:rsidR="00700BF4" w:rsidRPr="00295641" w:rsidRDefault="00700BF4" w:rsidP="0048508A">
            <w:pPr>
              <w:rPr>
                <w:b/>
                <w:color w:val="000000" w:themeColor="text1"/>
              </w:rPr>
            </w:pPr>
            <w:r w:rsidRPr="00295641">
              <w:rPr>
                <w:rFonts w:cs="Gotham-Book"/>
                <w:b/>
                <w:color w:val="000000" w:themeColor="text1"/>
              </w:rPr>
              <w:t>Objetivo principal</w:t>
            </w:r>
          </w:p>
        </w:tc>
        <w:tc>
          <w:tcPr>
            <w:tcW w:w="4820" w:type="dxa"/>
            <w:gridSpan w:val="3"/>
          </w:tcPr>
          <w:p w:rsidR="00700BF4" w:rsidRPr="005E5671" w:rsidRDefault="00700BF4" w:rsidP="0048508A">
            <w:pPr>
              <w:jc w:val="both"/>
              <w:rPr>
                <w:bCs/>
              </w:rPr>
            </w:pPr>
            <w:r>
              <w:rPr>
                <w:bCs/>
              </w:rPr>
              <w:t>Lograr una mayor participación de los ciudadanos y ciudadanas en la actividad de la Administración Publica, a través del uso de redes sociales, como canales de atención a las demandas ciudadanas y de participación de los ciudadanos y ciudadanas para la mejora de los servicios públicos.</w:t>
            </w:r>
          </w:p>
        </w:tc>
      </w:tr>
      <w:tr w:rsidR="00700BF4" w:rsidRPr="00B24C50" w:rsidTr="0048508A">
        <w:tc>
          <w:tcPr>
            <w:tcW w:w="4219" w:type="dxa"/>
            <w:gridSpan w:val="3"/>
            <w:shd w:val="clear" w:color="auto" w:fill="C6D9F1" w:themeFill="text2" w:themeFillTint="33"/>
            <w:vAlign w:val="center"/>
          </w:tcPr>
          <w:p w:rsidR="00700BF4" w:rsidRPr="00295641" w:rsidRDefault="00700BF4" w:rsidP="0048508A">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700BF4" w:rsidRPr="00295641" w:rsidRDefault="00700BF4" w:rsidP="0048508A">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700BF4" w:rsidRPr="00B24C50" w:rsidRDefault="00700BF4" w:rsidP="0048508A">
            <w:pPr>
              <w:jc w:val="both"/>
              <w:rPr>
                <w:color w:val="FF0000"/>
                <w:szCs w:val="20"/>
              </w:rPr>
            </w:pPr>
            <w:r>
              <w:rPr>
                <w:rFonts w:ascii="Calibri" w:hAnsi="Calibri"/>
                <w:color w:val="000000"/>
              </w:rPr>
              <w:t>Promover una adecuada gestión de las Redes Sociales en las entidades de la Administración Pública, como herramientas para comunicar y difundir las acciones de dichas entidades, mejorar las relaciones con el ciudadano y aumentar la calidad de los servicios públicos ofrecidos.</w:t>
            </w:r>
          </w:p>
        </w:tc>
      </w:tr>
      <w:tr w:rsidR="00700BF4" w:rsidRPr="001774C1" w:rsidTr="0048508A">
        <w:tc>
          <w:tcPr>
            <w:tcW w:w="4219" w:type="dxa"/>
            <w:gridSpan w:val="3"/>
            <w:shd w:val="clear" w:color="auto" w:fill="C6D9F1" w:themeFill="text2" w:themeFillTint="33"/>
            <w:vAlign w:val="center"/>
          </w:tcPr>
          <w:p w:rsidR="00700BF4" w:rsidRPr="00295641" w:rsidRDefault="00700BF4" w:rsidP="0048508A">
            <w:pPr>
              <w:autoSpaceDE w:val="0"/>
              <w:autoSpaceDN w:val="0"/>
              <w:adjustRightInd w:val="0"/>
              <w:rPr>
                <w:rFonts w:cs="Gotham-Book"/>
                <w:b/>
                <w:color w:val="000000" w:themeColor="text1"/>
              </w:rPr>
            </w:pPr>
            <w:r w:rsidRPr="00295641">
              <w:rPr>
                <w:rFonts w:cs="Gotham-Book"/>
                <w:b/>
                <w:color w:val="000000" w:themeColor="text1"/>
              </w:rPr>
              <w:t>Relevancia</w:t>
            </w:r>
          </w:p>
          <w:p w:rsidR="00700BF4" w:rsidRPr="00295641" w:rsidRDefault="00700BF4" w:rsidP="0048508A">
            <w:pPr>
              <w:autoSpaceDE w:val="0"/>
              <w:autoSpaceDN w:val="0"/>
              <w:adjustRightInd w:val="0"/>
              <w:rPr>
                <w:b/>
                <w:color w:val="000000" w:themeColor="text1"/>
              </w:rPr>
            </w:pPr>
          </w:p>
        </w:tc>
        <w:tc>
          <w:tcPr>
            <w:tcW w:w="4820" w:type="dxa"/>
            <w:gridSpan w:val="3"/>
          </w:tcPr>
          <w:p w:rsidR="00700BF4" w:rsidRPr="001774C1" w:rsidRDefault="00700BF4" w:rsidP="0048508A">
            <w:pPr>
              <w:jc w:val="both"/>
              <w:rPr>
                <w:szCs w:val="20"/>
                <w:lang w:val="es-PE"/>
              </w:rPr>
            </w:pPr>
            <w:r w:rsidRPr="001774C1">
              <w:rPr>
                <w:szCs w:val="20"/>
                <w:lang w:val="es-PE"/>
              </w:rPr>
              <w:t xml:space="preserve">La evolución del uso de las tecnologías de la información y comunicación ha </w:t>
            </w:r>
            <w:r>
              <w:rPr>
                <w:szCs w:val="20"/>
                <w:lang w:val="es-PE"/>
              </w:rPr>
              <w:t>promovido</w:t>
            </w:r>
            <w:r w:rsidRPr="001774C1">
              <w:rPr>
                <w:szCs w:val="20"/>
                <w:lang w:val="es-PE"/>
              </w:rPr>
              <w:t xml:space="preserve"> que el uso de las redes sociales contribuya a fortalecer la comunicación con la ciudadanía, a </w:t>
            </w:r>
            <w:r>
              <w:rPr>
                <w:szCs w:val="20"/>
                <w:lang w:val="es-PE"/>
              </w:rPr>
              <w:t xml:space="preserve">difundir </w:t>
            </w:r>
            <w:r w:rsidRPr="001774C1">
              <w:rPr>
                <w:szCs w:val="20"/>
                <w:lang w:val="es-PE"/>
              </w:rPr>
              <w:t>los actos de ges</w:t>
            </w:r>
            <w:r>
              <w:rPr>
                <w:szCs w:val="20"/>
                <w:lang w:val="es-PE"/>
              </w:rPr>
              <w:t>tión, estableciendo canales de atención</w:t>
            </w:r>
            <w:r w:rsidRPr="001774C1">
              <w:rPr>
                <w:szCs w:val="20"/>
                <w:lang w:val="es-PE"/>
              </w:rPr>
              <w:t xml:space="preserve"> de las demandas ciudadanas, lo que contribuye</w:t>
            </w:r>
            <w:r>
              <w:rPr>
                <w:szCs w:val="20"/>
                <w:lang w:val="es-PE"/>
              </w:rPr>
              <w:t>, finalmente,</w:t>
            </w:r>
            <w:r w:rsidRPr="001774C1">
              <w:rPr>
                <w:szCs w:val="20"/>
                <w:lang w:val="es-PE"/>
              </w:rPr>
              <w:t xml:space="preserve"> con la mejora de la prestación de los servicios.</w:t>
            </w:r>
          </w:p>
        </w:tc>
      </w:tr>
      <w:tr w:rsidR="00700BF4" w:rsidRPr="001774C1" w:rsidTr="0048508A">
        <w:tc>
          <w:tcPr>
            <w:tcW w:w="4219" w:type="dxa"/>
            <w:gridSpan w:val="3"/>
            <w:shd w:val="clear" w:color="auto" w:fill="C6D9F1" w:themeFill="text2" w:themeFillTint="33"/>
            <w:vAlign w:val="center"/>
          </w:tcPr>
          <w:p w:rsidR="00700BF4" w:rsidRPr="00295641" w:rsidRDefault="00700BF4" w:rsidP="0048508A">
            <w:pPr>
              <w:autoSpaceDE w:val="0"/>
              <w:autoSpaceDN w:val="0"/>
              <w:adjustRightInd w:val="0"/>
              <w:rPr>
                <w:rFonts w:cs="Gotham-Book"/>
                <w:b/>
                <w:color w:val="000000" w:themeColor="text1"/>
              </w:rPr>
            </w:pPr>
            <w:r w:rsidRPr="00295641">
              <w:rPr>
                <w:rFonts w:cs="Gotham-Book"/>
                <w:b/>
                <w:color w:val="000000" w:themeColor="text1"/>
              </w:rPr>
              <w:t>Ambición</w:t>
            </w:r>
          </w:p>
          <w:p w:rsidR="00700BF4" w:rsidRPr="00295641" w:rsidRDefault="00700BF4" w:rsidP="0048508A">
            <w:pPr>
              <w:autoSpaceDE w:val="0"/>
              <w:autoSpaceDN w:val="0"/>
              <w:adjustRightInd w:val="0"/>
              <w:rPr>
                <w:rFonts w:cs="Gotham-BookItalic"/>
                <w:b/>
                <w:iCs/>
                <w:color w:val="000000" w:themeColor="text1"/>
              </w:rPr>
            </w:pPr>
          </w:p>
        </w:tc>
        <w:tc>
          <w:tcPr>
            <w:tcW w:w="4820" w:type="dxa"/>
            <w:gridSpan w:val="3"/>
          </w:tcPr>
          <w:p w:rsidR="00700BF4" w:rsidRPr="001774C1" w:rsidRDefault="00700BF4" w:rsidP="0048508A">
            <w:pPr>
              <w:jc w:val="both"/>
              <w:rPr>
                <w:szCs w:val="20"/>
                <w:lang w:val="es-PE"/>
              </w:rPr>
            </w:pPr>
            <w:r w:rsidRPr="001774C1">
              <w:rPr>
                <w:szCs w:val="20"/>
                <w:lang w:val="es-PE"/>
              </w:rPr>
              <w:t xml:space="preserve">La implementación del compromiso fortalece la comunicación con la ciudadanía para </w:t>
            </w:r>
            <w:r>
              <w:rPr>
                <w:szCs w:val="20"/>
                <w:lang w:val="es-PE"/>
              </w:rPr>
              <w:t>comunicar las acciones de las entidades</w:t>
            </w:r>
            <w:r w:rsidRPr="001774C1">
              <w:rPr>
                <w:szCs w:val="20"/>
                <w:lang w:val="es-PE"/>
              </w:rPr>
              <w:t>, fomentando mayor apertura del Estado</w:t>
            </w:r>
            <w:r>
              <w:rPr>
                <w:szCs w:val="20"/>
                <w:lang w:val="es-PE"/>
              </w:rPr>
              <w:t xml:space="preserve"> en la prestación de los servicios públicos</w:t>
            </w:r>
            <w:r w:rsidRPr="001774C1">
              <w:rPr>
                <w:szCs w:val="20"/>
                <w:lang w:val="es-PE"/>
              </w:rPr>
              <w:t>.</w:t>
            </w:r>
          </w:p>
        </w:tc>
      </w:tr>
      <w:tr w:rsidR="00700BF4" w:rsidRPr="00295641" w:rsidTr="0048508A">
        <w:tc>
          <w:tcPr>
            <w:tcW w:w="2518" w:type="dxa"/>
            <w:gridSpan w:val="2"/>
            <w:vMerge w:val="restart"/>
            <w:shd w:val="clear" w:color="auto" w:fill="C6D9F1" w:themeFill="text2" w:themeFillTint="33"/>
            <w:vAlign w:val="center"/>
          </w:tcPr>
          <w:p w:rsidR="00700BF4" w:rsidRPr="00295641" w:rsidRDefault="00700BF4" w:rsidP="0048508A">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700BF4" w:rsidRPr="00295641" w:rsidRDefault="00700BF4" w:rsidP="0048508A">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700BF4" w:rsidRPr="00295641" w:rsidRDefault="00700BF4" w:rsidP="0048508A">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700BF4" w:rsidRPr="00295641" w:rsidRDefault="00700BF4" w:rsidP="0048508A">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700BF4" w:rsidRPr="00295641" w:rsidRDefault="00700BF4" w:rsidP="0048508A">
            <w:pPr>
              <w:jc w:val="center"/>
              <w:rPr>
                <w:b/>
                <w:color w:val="000000" w:themeColor="text1"/>
              </w:rPr>
            </w:pPr>
            <w:r w:rsidRPr="00295641">
              <w:rPr>
                <w:rFonts w:cs="Gotham-Book"/>
                <w:b/>
                <w:color w:val="000000" w:themeColor="text1"/>
              </w:rPr>
              <w:t>Completo</w:t>
            </w:r>
          </w:p>
        </w:tc>
      </w:tr>
      <w:tr w:rsidR="00700BF4" w:rsidRPr="00295641" w:rsidTr="0048508A">
        <w:tc>
          <w:tcPr>
            <w:tcW w:w="2518" w:type="dxa"/>
            <w:gridSpan w:val="2"/>
            <w:vMerge/>
            <w:shd w:val="clear" w:color="auto" w:fill="C6D9F1" w:themeFill="text2" w:themeFillTint="33"/>
            <w:vAlign w:val="center"/>
          </w:tcPr>
          <w:p w:rsidR="00700BF4" w:rsidRPr="00295641" w:rsidRDefault="00700BF4" w:rsidP="0048508A">
            <w:pPr>
              <w:rPr>
                <w:b/>
                <w:color w:val="000000" w:themeColor="text1"/>
              </w:rPr>
            </w:pPr>
          </w:p>
        </w:tc>
        <w:tc>
          <w:tcPr>
            <w:tcW w:w="1701" w:type="dxa"/>
          </w:tcPr>
          <w:p w:rsidR="00700BF4" w:rsidRPr="00295641" w:rsidRDefault="00700BF4" w:rsidP="0048508A">
            <w:pPr>
              <w:jc w:val="center"/>
              <w:rPr>
                <w:b/>
                <w:color w:val="000000" w:themeColor="text1"/>
              </w:rPr>
            </w:pPr>
          </w:p>
        </w:tc>
        <w:tc>
          <w:tcPr>
            <w:tcW w:w="1729" w:type="dxa"/>
          </w:tcPr>
          <w:p w:rsidR="00700BF4" w:rsidRPr="00295641" w:rsidRDefault="00700BF4" w:rsidP="0048508A">
            <w:pPr>
              <w:jc w:val="center"/>
              <w:rPr>
                <w:b/>
                <w:color w:val="000000" w:themeColor="text1"/>
              </w:rPr>
            </w:pPr>
          </w:p>
        </w:tc>
        <w:tc>
          <w:tcPr>
            <w:tcW w:w="1644" w:type="dxa"/>
          </w:tcPr>
          <w:p w:rsidR="00700BF4" w:rsidRPr="00295641" w:rsidRDefault="00700BF4" w:rsidP="0048508A">
            <w:pPr>
              <w:jc w:val="center"/>
              <w:rPr>
                <w:b/>
                <w:color w:val="000000" w:themeColor="text1"/>
              </w:rPr>
            </w:pPr>
            <w:r>
              <w:rPr>
                <w:b/>
                <w:color w:val="000000" w:themeColor="text1"/>
              </w:rPr>
              <w:t>X</w:t>
            </w:r>
          </w:p>
        </w:tc>
        <w:tc>
          <w:tcPr>
            <w:tcW w:w="1447" w:type="dxa"/>
            <w:shd w:val="clear" w:color="auto" w:fill="FFFFFF" w:themeFill="background1"/>
          </w:tcPr>
          <w:p w:rsidR="00700BF4" w:rsidRPr="00295641" w:rsidRDefault="00700BF4" w:rsidP="0048508A">
            <w:pPr>
              <w:jc w:val="center"/>
              <w:rPr>
                <w:b/>
                <w:color w:val="000000" w:themeColor="text1"/>
              </w:rPr>
            </w:pPr>
          </w:p>
        </w:tc>
      </w:tr>
      <w:tr w:rsidR="00700BF4" w:rsidRPr="00295641" w:rsidTr="0048508A">
        <w:tc>
          <w:tcPr>
            <w:tcW w:w="2518" w:type="dxa"/>
            <w:gridSpan w:val="2"/>
            <w:shd w:val="clear" w:color="auto" w:fill="C6D9F1" w:themeFill="text2" w:themeFillTint="33"/>
            <w:vAlign w:val="center"/>
          </w:tcPr>
          <w:p w:rsidR="00700BF4" w:rsidRPr="00295641" w:rsidRDefault="00700BF4" w:rsidP="0048508A">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700BF4" w:rsidRPr="00295641" w:rsidRDefault="00700BF4" w:rsidP="0048508A">
            <w:pPr>
              <w:autoSpaceDE w:val="0"/>
              <w:autoSpaceDN w:val="0"/>
              <w:adjustRightInd w:val="0"/>
              <w:rPr>
                <w:rFonts w:cs="Gotham-BookItalic"/>
                <w:b/>
                <w:iCs/>
                <w:color w:val="000000" w:themeColor="text1"/>
              </w:rPr>
            </w:pPr>
          </w:p>
        </w:tc>
        <w:tc>
          <w:tcPr>
            <w:tcW w:w="6521" w:type="dxa"/>
            <w:gridSpan w:val="4"/>
          </w:tcPr>
          <w:p w:rsidR="00700BF4" w:rsidRPr="001F057B" w:rsidRDefault="00700BF4" w:rsidP="0048508A">
            <w:pPr>
              <w:pStyle w:val="Prrafodelista"/>
              <w:ind w:left="-79"/>
              <w:jc w:val="both"/>
              <w:rPr>
                <w:rFonts w:ascii="Calibri" w:hAnsi="Calibri"/>
                <w:bCs/>
                <w:color w:val="000000"/>
              </w:rPr>
            </w:pPr>
            <w:r w:rsidRPr="001F057B">
              <w:rPr>
                <w:rFonts w:ascii="Calibri" w:hAnsi="Calibri"/>
                <w:bCs/>
                <w:color w:val="000000"/>
              </w:rPr>
              <w:t>Se considera las siguientes actividades:</w:t>
            </w:r>
          </w:p>
          <w:p w:rsidR="00700BF4" w:rsidRDefault="00700BF4" w:rsidP="00700BF4">
            <w:pPr>
              <w:pStyle w:val="Prrafodelista"/>
              <w:numPr>
                <w:ilvl w:val="0"/>
                <w:numId w:val="44"/>
              </w:numPr>
              <w:jc w:val="both"/>
              <w:rPr>
                <w:rFonts w:ascii="Calibri" w:hAnsi="Calibri"/>
                <w:b/>
                <w:bCs/>
                <w:i/>
                <w:color w:val="000000"/>
              </w:rPr>
            </w:pPr>
            <w:r w:rsidRPr="001F057B">
              <w:rPr>
                <w:rFonts w:ascii="Calibri" w:hAnsi="Calibri"/>
                <w:b/>
                <w:bCs/>
                <w:i/>
                <w:color w:val="000000"/>
              </w:rPr>
              <w:t>Elaboración de Directorio de Redes Sociales de las entidades públicas en el Portal del Estado Peruano.</w:t>
            </w:r>
          </w:p>
          <w:p w:rsidR="00700BF4" w:rsidRDefault="00700BF4" w:rsidP="0048508A">
            <w:pPr>
              <w:ind w:left="771"/>
              <w:jc w:val="both"/>
              <w:rPr>
                <w:color w:val="000000" w:themeColor="text1"/>
              </w:rPr>
            </w:pPr>
            <w:r>
              <w:rPr>
                <w:rFonts w:ascii="Calibri" w:hAnsi="Calibri"/>
                <w:bCs/>
                <w:color w:val="000000"/>
              </w:rPr>
              <w:t xml:space="preserve">Se concluyó la actividad, se puede visualizar en el siguiente enlace: </w:t>
            </w:r>
            <w:hyperlink r:id="rId52" w:history="1">
              <w:r w:rsidRPr="00085904">
                <w:rPr>
                  <w:rStyle w:val="Hipervnculo"/>
                </w:rPr>
                <w:t>http://www.peru.gob.pe/redessociales/</w:t>
              </w:r>
            </w:hyperlink>
          </w:p>
          <w:p w:rsidR="00700BF4" w:rsidRDefault="00700BF4" w:rsidP="00700BF4">
            <w:pPr>
              <w:pStyle w:val="Prrafodelista"/>
              <w:numPr>
                <w:ilvl w:val="0"/>
                <w:numId w:val="44"/>
              </w:numPr>
              <w:jc w:val="both"/>
              <w:rPr>
                <w:rFonts w:ascii="Calibri" w:hAnsi="Calibri"/>
                <w:b/>
                <w:bCs/>
                <w:i/>
                <w:color w:val="000000"/>
              </w:rPr>
            </w:pPr>
            <w:r w:rsidRPr="001F057B">
              <w:rPr>
                <w:rFonts w:ascii="Calibri" w:hAnsi="Calibri"/>
                <w:b/>
                <w:bCs/>
                <w:i/>
                <w:color w:val="000000"/>
              </w:rPr>
              <w:t>Talleres de capacitación a los comunicadores digitales de las redes sociales del Poder Ejecutivo, Ministerios, Organismos Constitucionales Autónomos y Municipalidades Distritales de Lima Metropolitana, gobiernos regionales, locales.</w:t>
            </w:r>
          </w:p>
          <w:p w:rsidR="00700BF4" w:rsidRDefault="00700BF4" w:rsidP="0048508A">
            <w:pPr>
              <w:ind w:left="771"/>
              <w:jc w:val="both"/>
              <w:rPr>
                <w:color w:val="000000" w:themeColor="text1"/>
              </w:rPr>
            </w:pPr>
            <w:r>
              <w:rPr>
                <w:color w:val="000000" w:themeColor="text1"/>
              </w:rPr>
              <w:t>Se concluyó la actividad, la información se encuentra disponible en el siguiente enlace:</w:t>
            </w:r>
          </w:p>
          <w:p w:rsidR="00700BF4" w:rsidRDefault="004165D0" w:rsidP="0048508A">
            <w:pPr>
              <w:ind w:left="771"/>
              <w:jc w:val="both"/>
              <w:rPr>
                <w:color w:val="000000" w:themeColor="text1"/>
              </w:rPr>
            </w:pPr>
            <w:hyperlink r:id="rId53" w:history="1">
              <w:r w:rsidR="00700BF4" w:rsidRPr="00085904">
                <w:rPr>
                  <w:rStyle w:val="Hipervnculo"/>
                </w:rPr>
                <w:t>http://www.ongei.gob.pe/eventos/ongei_eventos.asp?pk_id_entidad=1878</w:t>
              </w:r>
            </w:hyperlink>
          </w:p>
          <w:p w:rsidR="00700BF4" w:rsidRPr="00A04F62" w:rsidRDefault="00700BF4" w:rsidP="00700BF4">
            <w:pPr>
              <w:pStyle w:val="Prrafodelista"/>
              <w:numPr>
                <w:ilvl w:val="0"/>
                <w:numId w:val="44"/>
              </w:numPr>
              <w:jc w:val="both"/>
              <w:rPr>
                <w:b/>
                <w:i/>
                <w:color w:val="000000" w:themeColor="text1"/>
              </w:rPr>
            </w:pPr>
            <w:r w:rsidRPr="00A04F62">
              <w:rPr>
                <w:rFonts w:ascii="Calibri" w:hAnsi="Calibri"/>
                <w:b/>
                <w:bCs/>
                <w:i/>
                <w:color w:val="000000"/>
              </w:rPr>
              <w:t xml:space="preserve">Elaboración de los lineamientos de uso de redes sociales en el Estado e </w:t>
            </w:r>
            <w:r>
              <w:rPr>
                <w:rFonts w:ascii="Calibri" w:hAnsi="Calibri"/>
                <w:b/>
                <w:bCs/>
                <w:i/>
                <w:color w:val="000000"/>
              </w:rPr>
              <w:t>i</w:t>
            </w:r>
            <w:r w:rsidRPr="00A04F62">
              <w:rPr>
                <w:rFonts w:ascii="Calibri" w:hAnsi="Calibri"/>
                <w:b/>
                <w:bCs/>
                <w:i/>
                <w:color w:val="000000"/>
              </w:rPr>
              <w:t>mplementación del uso de redes sociales en el Estado</w:t>
            </w:r>
          </w:p>
          <w:p w:rsidR="00700BF4" w:rsidRPr="001774C1" w:rsidRDefault="00700BF4" w:rsidP="0048508A">
            <w:pPr>
              <w:pStyle w:val="Prrafodelista"/>
              <w:jc w:val="both"/>
              <w:rPr>
                <w:color w:val="000000" w:themeColor="text1"/>
              </w:rPr>
            </w:pPr>
            <w:r w:rsidRPr="00A04F62">
              <w:rPr>
                <w:rFonts w:ascii="Calibri" w:hAnsi="Calibri"/>
                <w:bCs/>
                <w:color w:val="000000"/>
              </w:rPr>
              <w:t>Se encuentra en etapa de desarrollo, se puede visualizar en el siguiente enlace</w:t>
            </w:r>
            <w:r>
              <w:rPr>
                <w:rFonts w:ascii="Calibri" w:hAnsi="Calibri"/>
                <w:bCs/>
                <w:color w:val="000000"/>
              </w:rPr>
              <w:t xml:space="preserve">: </w:t>
            </w:r>
            <w:hyperlink r:id="rId54" w:history="1">
              <w:r w:rsidRPr="001A65E2">
                <w:rPr>
                  <w:rStyle w:val="Hipervnculo"/>
                  <w:rFonts w:ascii="Calibri" w:hAnsi="Calibri"/>
                  <w:bCs/>
                </w:rPr>
                <w:t>http://www.peru.gob.pe/redessociales/</w:t>
              </w:r>
            </w:hyperlink>
          </w:p>
          <w:p w:rsidR="00700BF4" w:rsidRPr="00295641" w:rsidRDefault="00700BF4" w:rsidP="0048508A">
            <w:pPr>
              <w:jc w:val="both"/>
              <w:rPr>
                <w:color w:val="000000" w:themeColor="text1"/>
              </w:rPr>
            </w:pPr>
            <w:r>
              <w:rPr>
                <w:color w:val="000000" w:themeColor="text1"/>
              </w:rPr>
              <w:t>Fuente:  Memorando N° 568-2016-PCM/ONGEI, del 15.09.16</w:t>
            </w:r>
          </w:p>
        </w:tc>
      </w:tr>
      <w:tr w:rsidR="00700BF4" w:rsidRPr="00295641" w:rsidTr="0048508A">
        <w:tc>
          <w:tcPr>
            <w:tcW w:w="9039" w:type="dxa"/>
            <w:gridSpan w:val="6"/>
          </w:tcPr>
          <w:p w:rsidR="00700BF4" w:rsidRPr="00295641" w:rsidRDefault="00700BF4" w:rsidP="0048508A">
            <w:pPr>
              <w:jc w:val="both"/>
              <w:rPr>
                <w:rFonts w:cs="Gotham-Book"/>
                <w:b/>
                <w:color w:val="000000" w:themeColor="text1"/>
              </w:rPr>
            </w:pPr>
          </w:p>
          <w:p w:rsidR="00700BF4" w:rsidRPr="00295641" w:rsidRDefault="00700BF4" w:rsidP="0048508A">
            <w:pPr>
              <w:jc w:val="both"/>
              <w:rPr>
                <w:color w:val="000000" w:themeColor="text1"/>
              </w:rPr>
            </w:pPr>
            <w:r w:rsidRPr="001774C1">
              <w:rPr>
                <w:rFonts w:cs="Gotham-Book"/>
                <w:b/>
              </w:rPr>
              <w:t>Información adicional</w:t>
            </w:r>
          </w:p>
        </w:tc>
      </w:tr>
      <w:tr w:rsidR="00700BF4" w:rsidRPr="00295641" w:rsidTr="0048508A">
        <w:tc>
          <w:tcPr>
            <w:tcW w:w="9039" w:type="dxa"/>
            <w:gridSpan w:val="6"/>
          </w:tcPr>
          <w:p w:rsidR="00700BF4" w:rsidRPr="00295641" w:rsidRDefault="00700BF4" w:rsidP="00A47DD5">
            <w:pPr>
              <w:jc w:val="both"/>
              <w:rPr>
                <w:rFonts w:cs="Gotham-Book"/>
                <w:b/>
                <w:color w:val="000000" w:themeColor="text1"/>
              </w:rPr>
            </w:pPr>
            <w:r w:rsidRPr="00DF31DB">
              <w:rPr>
                <w:rFonts w:cs="Gotham-Book"/>
                <w:color w:val="000000" w:themeColor="text1"/>
              </w:rPr>
              <w:t xml:space="preserve">Los aspectos técnicos y normativos, de acuerdo al ROF </w:t>
            </w:r>
            <w:r w:rsidR="00A47DD5" w:rsidRPr="00DF31DB">
              <w:rPr>
                <w:rFonts w:cs="Gotham-Book"/>
                <w:color w:val="000000" w:themeColor="text1"/>
              </w:rPr>
              <w:t xml:space="preserve">de la Presidencia del Consejo de Ministros </w:t>
            </w:r>
            <w:r w:rsidR="00A47DD5">
              <w:rPr>
                <w:rFonts w:cs="Gotham-Book"/>
                <w:color w:val="000000" w:themeColor="text1"/>
              </w:rPr>
              <w:t xml:space="preserve">aprobado mediante Decreto Supremo N° 022-2017-PCM, </w:t>
            </w:r>
            <w:r w:rsidRPr="00DF31DB">
              <w:rPr>
                <w:rFonts w:cs="Gotham-Book"/>
                <w:color w:val="000000" w:themeColor="text1"/>
              </w:rPr>
              <w:t>son de competencia de la Secretaría de Gobierno Digital.</w:t>
            </w:r>
          </w:p>
        </w:tc>
      </w:tr>
    </w:tbl>
    <w:p w:rsidR="00700BF4" w:rsidRDefault="00700BF4"/>
    <w:p w:rsidR="00272BDF" w:rsidRPr="002E3104" w:rsidRDefault="002E3104" w:rsidP="002E3104">
      <w:pPr>
        <w:spacing w:after="0" w:line="240" w:lineRule="auto"/>
        <w:jc w:val="both"/>
        <w:rPr>
          <w:szCs w:val="20"/>
          <w:lang w:val="es-PE"/>
        </w:rPr>
      </w:pPr>
      <w:r w:rsidRPr="002E3104">
        <w:rPr>
          <w:szCs w:val="20"/>
          <w:lang w:val="es-PE"/>
        </w:rPr>
        <w:t>Del total de 4 compromisos asumidos por el Perú en materia de mejoramiento de los servicios públicos</w:t>
      </w:r>
      <w:r>
        <w:rPr>
          <w:szCs w:val="20"/>
          <w:lang w:val="es-PE"/>
        </w:rPr>
        <w:t xml:space="preserve"> a través de marcos normativos, instrumentos </w:t>
      </w:r>
      <w:r w:rsidRPr="002E3104">
        <w:rPr>
          <w:szCs w:val="20"/>
          <w:lang w:val="es-PE"/>
        </w:rPr>
        <w:t xml:space="preserve">y desarrollo de capacidades </w:t>
      </w:r>
      <w:r>
        <w:rPr>
          <w:szCs w:val="20"/>
          <w:lang w:val="es-PE"/>
        </w:rPr>
        <w:t xml:space="preserve">para implementar una estrategia de apertura y reutilización de la información pública (datos abiertos) así como mediante las TIC, </w:t>
      </w:r>
      <w:r w:rsidRPr="002E3104">
        <w:rPr>
          <w:szCs w:val="20"/>
          <w:lang w:val="es-PE"/>
        </w:rPr>
        <w:t>se han cumplido 3 y uno tiene un avance sustancial.</w:t>
      </w:r>
    </w:p>
    <w:p w:rsidR="002E3104" w:rsidRDefault="002E3104"/>
    <w:p w:rsidR="00067696" w:rsidRDefault="00067696"/>
    <w:p w:rsidR="00700BF4" w:rsidRDefault="00700BF4"/>
    <w:p w:rsidR="00700BF4" w:rsidRDefault="00700BF4"/>
    <w:p w:rsidR="00700BF4" w:rsidRDefault="00700BF4"/>
    <w:p w:rsidR="00067696" w:rsidRDefault="00067696"/>
    <w:p w:rsidR="00067696" w:rsidRDefault="00067696"/>
    <w:p w:rsidR="00D55406" w:rsidRPr="00272BDF" w:rsidRDefault="00D55406" w:rsidP="003A3ABE">
      <w:pPr>
        <w:numPr>
          <w:ilvl w:val="0"/>
          <w:numId w:val="5"/>
        </w:numPr>
        <w:autoSpaceDE w:val="0"/>
        <w:autoSpaceDN w:val="0"/>
        <w:adjustRightInd w:val="0"/>
        <w:spacing w:after="0" w:line="240" w:lineRule="auto"/>
        <w:ind w:left="284"/>
        <w:rPr>
          <w:rFonts w:cs="Gotham Bold"/>
          <w:i/>
          <w:sz w:val="28"/>
          <w:szCs w:val="28"/>
          <w:lang w:val="es-PE"/>
        </w:rPr>
      </w:pPr>
      <w:r w:rsidRPr="00272BDF">
        <w:rPr>
          <w:b/>
          <w:bCs/>
          <w:i/>
          <w:sz w:val="28"/>
          <w:szCs w:val="28"/>
          <w:lang w:val="es-PE"/>
        </w:rPr>
        <w:t>Conclusiones</w:t>
      </w:r>
      <w:r w:rsidR="00301D7C">
        <w:rPr>
          <w:b/>
          <w:bCs/>
          <w:i/>
          <w:sz w:val="28"/>
          <w:szCs w:val="28"/>
          <w:lang w:val="es-PE"/>
        </w:rPr>
        <w:t xml:space="preserve"> </w:t>
      </w:r>
      <w:r w:rsidR="00DF31DB">
        <w:rPr>
          <w:b/>
          <w:bCs/>
          <w:i/>
          <w:sz w:val="28"/>
          <w:szCs w:val="28"/>
          <w:lang w:val="es-PE"/>
        </w:rPr>
        <w:t xml:space="preserve"> y recomendaciones</w:t>
      </w:r>
    </w:p>
    <w:p w:rsidR="00B106D3" w:rsidRDefault="00B106D3" w:rsidP="00D55406">
      <w:pPr>
        <w:spacing w:after="0" w:line="240" w:lineRule="auto"/>
        <w:jc w:val="both"/>
        <w:rPr>
          <w:b/>
          <w:i/>
          <w:szCs w:val="20"/>
          <w:lang w:val="es-PE"/>
        </w:rPr>
      </w:pPr>
    </w:p>
    <w:p w:rsidR="00961C5B" w:rsidRPr="00302B1A" w:rsidRDefault="00961C5B" w:rsidP="00302B1A">
      <w:pPr>
        <w:spacing w:after="0" w:line="240" w:lineRule="auto"/>
        <w:jc w:val="both"/>
        <w:rPr>
          <w:szCs w:val="20"/>
          <w:lang w:val="es-PE"/>
        </w:rPr>
      </w:pPr>
      <w:r w:rsidRPr="00302B1A">
        <w:rPr>
          <w:szCs w:val="20"/>
          <w:lang w:val="es-PE"/>
        </w:rPr>
        <w:t>La implementación del Gobierno Abierto en el Perú</w:t>
      </w:r>
      <w:r w:rsidR="00F25102" w:rsidRPr="00302B1A">
        <w:rPr>
          <w:szCs w:val="20"/>
          <w:lang w:val="es-PE"/>
        </w:rPr>
        <w:t>,</w:t>
      </w:r>
      <w:r w:rsidRPr="00302B1A">
        <w:rPr>
          <w:szCs w:val="20"/>
          <w:lang w:val="es-PE"/>
        </w:rPr>
        <w:t xml:space="preserve"> así como en los países que forman parte de la Alianza, ha constituido un proceso de aprendizaje desde la formulación de los planes de acción como </w:t>
      </w:r>
      <w:r w:rsidR="00F25102" w:rsidRPr="00302B1A">
        <w:rPr>
          <w:szCs w:val="20"/>
          <w:lang w:val="es-PE"/>
        </w:rPr>
        <w:t>en</w:t>
      </w:r>
      <w:r w:rsidRPr="00302B1A">
        <w:rPr>
          <w:szCs w:val="20"/>
          <w:lang w:val="es-PE"/>
        </w:rPr>
        <w:t xml:space="preserve"> su </w:t>
      </w:r>
      <w:r w:rsidR="00F25102" w:rsidRPr="00302B1A">
        <w:rPr>
          <w:szCs w:val="20"/>
          <w:lang w:val="es-PE"/>
        </w:rPr>
        <w:t xml:space="preserve">posterior </w:t>
      </w:r>
      <w:r w:rsidRPr="00302B1A">
        <w:rPr>
          <w:szCs w:val="20"/>
          <w:lang w:val="es-PE"/>
        </w:rPr>
        <w:t>implementación y evaluación.</w:t>
      </w:r>
    </w:p>
    <w:p w:rsidR="00301D7C" w:rsidRPr="001F5DE1" w:rsidRDefault="00301D7C" w:rsidP="00D55406">
      <w:pPr>
        <w:spacing w:after="0" w:line="240" w:lineRule="auto"/>
        <w:jc w:val="both"/>
        <w:rPr>
          <w:szCs w:val="20"/>
          <w:lang w:val="es-PE"/>
        </w:rPr>
      </w:pPr>
    </w:p>
    <w:p w:rsidR="003A295F" w:rsidRPr="00302B1A" w:rsidRDefault="00961C5B" w:rsidP="00302B1A">
      <w:pPr>
        <w:pStyle w:val="Prrafodelista"/>
        <w:numPr>
          <w:ilvl w:val="0"/>
          <w:numId w:val="42"/>
        </w:numPr>
        <w:spacing w:after="0" w:line="240" w:lineRule="auto"/>
        <w:jc w:val="both"/>
        <w:rPr>
          <w:szCs w:val="20"/>
          <w:lang w:val="es-PE"/>
        </w:rPr>
      </w:pPr>
      <w:r w:rsidRPr="00302B1A">
        <w:rPr>
          <w:szCs w:val="20"/>
          <w:lang w:val="es-PE"/>
        </w:rPr>
        <w:t xml:space="preserve">En </w:t>
      </w:r>
      <w:r w:rsidR="00302B1A">
        <w:rPr>
          <w:szCs w:val="20"/>
          <w:lang w:val="es-PE"/>
        </w:rPr>
        <w:t xml:space="preserve">el primer </w:t>
      </w:r>
      <w:r w:rsidR="003A295F" w:rsidRPr="00302B1A">
        <w:rPr>
          <w:szCs w:val="20"/>
          <w:lang w:val="es-PE"/>
        </w:rPr>
        <w:t xml:space="preserve">plan </w:t>
      </w:r>
      <w:r w:rsidR="00302B1A">
        <w:rPr>
          <w:szCs w:val="20"/>
          <w:lang w:val="es-PE"/>
        </w:rPr>
        <w:t xml:space="preserve">se identificaron </w:t>
      </w:r>
      <w:r w:rsidR="00F25102" w:rsidRPr="00302B1A">
        <w:rPr>
          <w:szCs w:val="20"/>
          <w:lang w:val="es-PE"/>
        </w:rPr>
        <w:t>compromisos</w:t>
      </w:r>
      <w:r w:rsidRPr="00302B1A">
        <w:rPr>
          <w:szCs w:val="20"/>
          <w:lang w:val="es-PE"/>
        </w:rPr>
        <w:t xml:space="preserve"> </w:t>
      </w:r>
      <w:r w:rsidR="00755E9E" w:rsidRPr="00302B1A">
        <w:rPr>
          <w:szCs w:val="20"/>
          <w:lang w:val="es-PE"/>
        </w:rPr>
        <w:t>que orienta</w:t>
      </w:r>
      <w:r w:rsidR="003A295F" w:rsidRPr="00302B1A">
        <w:rPr>
          <w:szCs w:val="20"/>
          <w:lang w:val="es-PE"/>
        </w:rPr>
        <w:t>ron</w:t>
      </w:r>
      <w:r w:rsidR="00755E9E" w:rsidRPr="00302B1A">
        <w:rPr>
          <w:szCs w:val="20"/>
          <w:lang w:val="es-PE"/>
        </w:rPr>
        <w:t xml:space="preserve"> los esfuerzos a mejorar marcos normativos y </w:t>
      </w:r>
      <w:r w:rsidR="003A295F" w:rsidRPr="00302B1A">
        <w:rPr>
          <w:szCs w:val="20"/>
          <w:lang w:val="es-PE"/>
        </w:rPr>
        <w:t xml:space="preserve">en el segundo se incorporaron compromisos respecto a la </w:t>
      </w:r>
      <w:r w:rsidR="00755E9E" w:rsidRPr="00302B1A">
        <w:rPr>
          <w:szCs w:val="20"/>
          <w:lang w:val="es-PE"/>
        </w:rPr>
        <w:t>mejora de la prestación de servicios públicos</w:t>
      </w:r>
      <w:r w:rsidR="00F25102" w:rsidRPr="00302B1A">
        <w:rPr>
          <w:szCs w:val="20"/>
          <w:lang w:val="es-PE"/>
        </w:rPr>
        <w:t>,</w:t>
      </w:r>
      <w:r w:rsidR="00755E9E" w:rsidRPr="00302B1A">
        <w:rPr>
          <w:szCs w:val="20"/>
          <w:lang w:val="es-PE"/>
        </w:rPr>
        <w:t xml:space="preserve"> </w:t>
      </w:r>
      <w:r w:rsidR="00931001" w:rsidRPr="00302B1A">
        <w:rPr>
          <w:szCs w:val="20"/>
          <w:lang w:val="es-PE"/>
        </w:rPr>
        <w:t xml:space="preserve">mediante </w:t>
      </w:r>
      <w:r w:rsidR="00755E9E" w:rsidRPr="00302B1A">
        <w:rPr>
          <w:szCs w:val="20"/>
          <w:lang w:val="es-PE"/>
        </w:rPr>
        <w:t xml:space="preserve">el uso de </w:t>
      </w:r>
      <w:r w:rsidR="00F25102" w:rsidRPr="00302B1A">
        <w:rPr>
          <w:szCs w:val="20"/>
          <w:lang w:val="es-PE"/>
        </w:rPr>
        <w:t xml:space="preserve">tecnologías de información. </w:t>
      </w:r>
      <w:r w:rsidR="00755E9E" w:rsidRPr="00302B1A">
        <w:rPr>
          <w:szCs w:val="20"/>
          <w:lang w:val="es-PE"/>
        </w:rPr>
        <w:t>Considerando la realidad nacional y la experiencia de la impleme</w:t>
      </w:r>
      <w:r w:rsidR="00F25102" w:rsidRPr="00302B1A">
        <w:rPr>
          <w:szCs w:val="20"/>
          <w:lang w:val="es-PE"/>
        </w:rPr>
        <w:t xml:space="preserve">ntación de los </w:t>
      </w:r>
      <w:r w:rsidR="00931001" w:rsidRPr="00302B1A">
        <w:rPr>
          <w:szCs w:val="20"/>
          <w:lang w:val="es-PE"/>
        </w:rPr>
        <w:t xml:space="preserve">dos </w:t>
      </w:r>
      <w:r w:rsidR="00F25102" w:rsidRPr="00302B1A">
        <w:rPr>
          <w:szCs w:val="20"/>
          <w:lang w:val="es-PE"/>
        </w:rPr>
        <w:t xml:space="preserve">planes de acción, </w:t>
      </w:r>
      <w:r w:rsidR="00931001" w:rsidRPr="00302B1A">
        <w:rPr>
          <w:szCs w:val="20"/>
          <w:lang w:val="es-PE"/>
        </w:rPr>
        <w:t xml:space="preserve">se </w:t>
      </w:r>
      <w:r w:rsidR="005F0B13">
        <w:rPr>
          <w:szCs w:val="20"/>
          <w:lang w:val="es-PE"/>
        </w:rPr>
        <w:t xml:space="preserve">ha </w:t>
      </w:r>
      <w:r w:rsidR="00F25102" w:rsidRPr="00302B1A">
        <w:rPr>
          <w:szCs w:val="20"/>
          <w:lang w:val="es-PE"/>
        </w:rPr>
        <w:t>genera</w:t>
      </w:r>
      <w:r w:rsidR="005F0B13">
        <w:rPr>
          <w:szCs w:val="20"/>
          <w:lang w:val="es-PE"/>
        </w:rPr>
        <w:t>do</w:t>
      </w:r>
      <w:r w:rsidR="00F25102" w:rsidRPr="00302B1A">
        <w:rPr>
          <w:szCs w:val="20"/>
          <w:lang w:val="es-PE"/>
        </w:rPr>
        <w:t xml:space="preserve"> una reflexión en torno a </w:t>
      </w:r>
      <w:r w:rsidR="00931001" w:rsidRPr="00302B1A">
        <w:rPr>
          <w:szCs w:val="20"/>
          <w:lang w:val="es-PE"/>
        </w:rPr>
        <w:t xml:space="preserve">que </w:t>
      </w:r>
      <w:r w:rsidR="00F25102" w:rsidRPr="00302B1A">
        <w:rPr>
          <w:szCs w:val="20"/>
          <w:lang w:val="es-PE"/>
        </w:rPr>
        <w:t>la formulación de</w:t>
      </w:r>
      <w:r w:rsidR="00755E9E" w:rsidRPr="00302B1A">
        <w:rPr>
          <w:szCs w:val="20"/>
          <w:lang w:val="es-PE"/>
        </w:rPr>
        <w:t xml:space="preserve"> los compromisos de</w:t>
      </w:r>
      <w:r w:rsidR="001B1D34">
        <w:rPr>
          <w:szCs w:val="20"/>
          <w:lang w:val="es-PE"/>
        </w:rPr>
        <w:t xml:space="preserve">l </w:t>
      </w:r>
      <w:r w:rsidR="00755E9E" w:rsidRPr="00302B1A">
        <w:rPr>
          <w:szCs w:val="20"/>
          <w:lang w:val="es-PE"/>
        </w:rPr>
        <w:t>siguiente plan de acción</w:t>
      </w:r>
      <w:r w:rsidR="00931001" w:rsidRPr="00302B1A">
        <w:rPr>
          <w:szCs w:val="20"/>
          <w:lang w:val="es-PE"/>
        </w:rPr>
        <w:t xml:space="preserve"> debe </w:t>
      </w:r>
      <w:r w:rsidR="00755E9E" w:rsidRPr="00302B1A">
        <w:rPr>
          <w:szCs w:val="20"/>
          <w:lang w:val="es-PE"/>
        </w:rPr>
        <w:t xml:space="preserve">atender los problemas que enfrenta el país, </w:t>
      </w:r>
      <w:r w:rsidR="003A295F" w:rsidRPr="00302B1A">
        <w:rPr>
          <w:szCs w:val="20"/>
          <w:lang w:val="es-PE"/>
        </w:rPr>
        <w:t>es decir, colocando el foco en los impactos sociales</w:t>
      </w:r>
      <w:r w:rsidR="00F05F8C">
        <w:rPr>
          <w:szCs w:val="20"/>
          <w:lang w:val="es-PE"/>
        </w:rPr>
        <w:t xml:space="preserve"> reduciendo brechas</w:t>
      </w:r>
      <w:r w:rsidR="003A295F" w:rsidRPr="00302B1A">
        <w:rPr>
          <w:szCs w:val="20"/>
          <w:lang w:val="es-PE"/>
        </w:rPr>
        <w:t xml:space="preserve"> y el mejoramiento de la calidad de vida.</w:t>
      </w:r>
    </w:p>
    <w:p w:rsidR="003A295F" w:rsidRDefault="003A295F" w:rsidP="00D55406">
      <w:pPr>
        <w:spacing w:after="0" w:line="240" w:lineRule="auto"/>
        <w:jc w:val="both"/>
        <w:rPr>
          <w:szCs w:val="20"/>
          <w:lang w:val="es-PE"/>
        </w:rPr>
      </w:pPr>
    </w:p>
    <w:p w:rsidR="003A295F" w:rsidRDefault="003A295F" w:rsidP="00302B1A">
      <w:pPr>
        <w:pStyle w:val="Prrafodelista"/>
        <w:spacing w:after="0" w:line="240" w:lineRule="auto"/>
        <w:jc w:val="both"/>
        <w:rPr>
          <w:szCs w:val="20"/>
          <w:lang w:val="es-PE"/>
        </w:rPr>
      </w:pPr>
      <w:r>
        <w:rPr>
          <w:szCs w:val="20"/>
          <w:lang w:val="es-PE"/>
        </w:rPr>
        <w:t xml:space="preserve">En esta perspectiva, los principios </w:t>
      </w:r>
      <w:r w:rsidR="00931001">
        <w:rPr>
          <w:szCs w:val="20"/>
          <w:lang w:val="es-PE"/>
        </w:rPr>
        <w:t xml:space="preserve">o valores </w:t>
      </w:r>
      <w:r>
        <w:rPr>
          <w:szCs w:val="20"/>
          <w:lang w:val="es-PE"/>
        </w:rPr>
        <w:t xml:space="preserve">de la AGA se constituyen en el referente para </w:t>
      </w:r>
      <w:r w:rsidR="00302B1A">
        <w:rPr>
          <w:szCs w:val="20"/>
          <w:lang w:val="es-PE"/>
        </w:rPr>
        <w:t xml:space="preserve">precisar </w:t>
      </w:r>
      <w:r>
        <w:rPr>
          <w:szCs w:val="20"/>
          <w:lang w:val="es-PE"/>
        </w:rPr>
        <w:t>los compromisos en las prob</w:t>
      </w:r>
      <w:r w:rsidR="00931001">
        <w:rPr>
          <w:szCs w:val="20"/>
          <w:lang w:val="es-PE"/>
        </w:rPr>
        <w:t>lemáticas prioritarias del país, como ejes transversales que permitan lograr resultados en</w:t>
      </w:r>
      <w:r w:rsidR="00067696">
        <w:rPr>
          <w:szCs w:val="20"/>
          <w:lang w:val="es-PE"/>
        </w:rPr>
        <w:t xml:space="preserve"> la solución de </w:t>
      </w:r>
      <w:r w:rsidR="00931001">
        <w:rPr>
          <w:szCs w:val="20"/>
          <w:lang w:val="es-PE"/>
        </w:rPr>
        <w:t>dichas problemáticas</w:t>
      </w:r>
      <w:r w:rsidR="00302B1A">
        <w:rPr>
          <w:szCs w:val="20"/>
          <w:lang w:val="es-PE"/>
        </w:rPr>
        <w:t>.</w:t>
      </w:r>
    </w:p>
    <w:p w:rsidR="003A295F" w:rsidRDefault="003A295F" w:rsidP="00D55406">
      <w:pPr>
        <w:spacing w:after="0" w:line="240" w:lineRule="auto"/>
        <w:jc w:val="both"/>
        <w:rPr>
          <w:szCs w:val="20"/>
          <w:lang w:val="es-PE"/>
        </w:rPr>
      </w:pPr>
    </w:p>
    <w:p w:rsidR="00302B1A" w:rsidRDefault="00931001" w:rsidP="00302B1A">
      <w:pPr>
        <w:pStyle w:val="Prrafodelista"/>
        <w:numPr>
          <w:ilvl w:val="0"/>
          <w:numId w:val="42"/>
        </w:numPr>
        <w:spacing w:after="0" w:line="240" w:lineRule="auto"/>
        <w:jc w:val="both"/>
        <w:rPr>
          <w:szCs w:val="20"/>
          <w:lang w:val="es-PE"/>
        </w:rPr>
      </w:pPr>
      <w:r w:rsidRPr="005F0B13">
        <w:rPr>
          <w:szCs w:val="20"/>
          <w:lang w:val="es-PE"/>
        </w:rPr>
        <w:t>E</w:t>
      </w:r>
      <w:r w:rsidR="003A295F" w:rsidRPr="005F0B13">
        <w:rPr>
          <w:szCs w:val="20"/>
          <w:lang w:val="es-PE"/>
        </w:rPr>
        <w:t xml:space="preserve">s necesario </w:t>
      </w:r>
      <w:r w:rsidR="005F0B13" w:rsidRPr="005F0B13">
        <w:rPr>
          <w:szCs w:val="20"/>
          <w:lang w:val="es-PE"/>
        </w:rPr>
        <w:t xml:space="preserve">continuar los esfuerzos para </w:t>
      </w:r>
      <w:r w:rsidR="00302B1A" w:rsidRPr="005F0B13">
        <w:rPr>
          <w:szCs w:val="20"/>
          <w:lang w:val="es-PE"/>
        </w:rPr>
        <w:t>ampliar la convocatoria a</w:t>
      </w:r>
      <w:r w:rsidR="003A295F" w:rsidRPr="005F0B13">
        <w:rPr>
          <w:szCs w:val="20"/>
          <w:lang w:val="es-PE"/>
        </w:rPr>
        <w:t xml:space="preserve"> </w:t>
      </w:r>
      <w:r w:rsidR="00F25102" w:rsidRPr="005F0B13">
        <w:rPr>
          <w:szCs w:val="20"/>
          <w:lang w:val="es-PE"/>
        </w:rPr>
        <w:t xml:space="preserve">los </w:t>
      </w:r>
      <w:r w:rsidR="00302B1A" w:rsidRPr="005F0B13">
        <w:rPr>
          <w:szCs w:val="20"/>
          <w:lang w:val="es-PE"/>
        </w:rPr>
        <w:t xml:space="preserve">diversos </w:t>
      </w:r>
      <w:r w:rsidR="00755E9E" w:rsidRPr="005F0B13">
        <w:rPr>
          <w:szCs w:val="20"/>
          <w:lang w:val="es-PE"/>
        </w:rPr>
        <w:t xml:space="preserve">actores </w:t>
      </w:r>
      <w:r w:rsidR="00302B1A" w:rsidRPr="005F0B13">
        <w:rPr>
          <w:szCs w:val="20"/>
          <w:lang w:val="es-PE"/>
        </w:rPr>
        <w:t>de sociedad civil, como la academia</w:t>
      </w:r>
      <w:r w:rsidR="00F05F8C">
        <w:rPr>
          <w:szCs w:val="20"/>
          <w:lang w:val="es-PE"/>
        </w:rPr>
        <w:t>, gremios empresariales</w:t>
      </w:r>
      <w:r w:rsidR="00302B1A" w:rsidRPr="005F0B13">
        <w:rPr>
          <w:szCs w:val="20"/>
          <w:lang w:val="es-PE"/>
        </w:rPr>
        <w:t xml:space="preserve"> y organizaciones no gubernamentales vinculadas a las problemáticas </w:t>
      </w:r>
      <w:r w:rsidR="005F0B13" w:rsidRPr="005F0B13">
        <w:rPr>
          <w:szCs w:val="20"/>
          <w:lang w:val="es-PE"/>
        </w:rPr>
        <w:t>de desarrollo del país</w:t>
      </w:r>
      <w:r w:rsidR="00F938EF" w:rsidRPr="005F0B13">
        <w:rPr>
          <w:szCs w:val="20"/>
          <w:lang w:val="es-PE"/>
        </w:rPr>
        <w:t>.</w:t>
      </w:r>
      <w:r w:rsidR="005F0B13" w:rsidRPr="005F0B13">
        <w:rPr>
          <w:szCs w:val="20"/>
          <w:lang w:val="es-PE"/>
        </w:rPr>
        <w:t xml:space="preserve"> Ello con la finalidad de </w:t>
      </w:r>
      <w:r w:rsidR="00302B1A" w:rsidRPr="005F0B13">
        <w:rPr>
          <w:szCs w:val="20"/>
          <w:lang w:val="es-PE"/>
        </w:rPr>
        <w:t xml:space="preserve">contar con un mecanismo </w:t>
      </w:r>
      <w:r w:rsidR="001B1D34">
        <w:rPr>
          <w:szCs w:val="20"/>
          <w:lang w:val="es-PE"/>
        </w:rPr>
        <w:t xml:space="preserve">que acompañe el </w:t>
      </w:r>
      <w:r w:rsidR="005F0B13" w:rsidRPr="005F0B13">
        <w:rPr>
          <w:szCs w:val="20"/>
          <w:lang w:val="es-PE"/>
        </w:rPr>
        <w:t>seguimiento del siguiente Plan de Gobierno A</w:t>
      </w:r>
      <w:r w:rsidR="005F0B13">
        <w:rPr>
          <w:szCs w:val="20"/>
          <w:lang w:val="es-PE"/>
        </w:rPr>
        <w:t>bierto</w:t>
      </w:r>
      <w:r w:rsidR="001B1D34">
        <w:rPr>
          <w:szCs w:val="20"/>
          <w:lang w:val="es-PE"/>
        </w:rPr>
        <w:t xml:space="preserve">. </w:t>
      </w:r>
    </w:p>
    <w:p w:rsidR="00872017" w:rsidRDefault="00872017" w:rsidP="00872017">
      <w:pPr>
        <w:pStyle w:val="Prrafodelista"/>
        <w:spacing w:after="0" w:line="240" w:lineRule="auto"/>
        <w:jc w:val="both"/>
        <w:rPr>
          <w:szCs w:val="20"/>
          <w:lang w:val="es-PE"/>
        </w:rPr>
      </w:pPr>
    </w:p>
    <w:p w:rsidR="00F938EF" w:rsidRDefault="00872017" w:rsidP="00302B1A">
      <w:pPr>
        <w:pStyle w:val="Prrafodelista"/>
        <w:numPr>
          <w:ilvl w:val="0"/>
          <w:numId w:val="42"/>
        </w:numPr>
        <w:spacing w:after="0" w:line="240" w:lineRule="auto"/>
        <w:jc w:val="both"/>
        <w:rPr>
          <w:szCs w:val="20"/>
          <w:lang w:val="es-PE"/>
        </w:rPr>
      </w:pPr>
      <w:r w:rsidRPr="001B1D34">
        <w:rPr>
          <w:szCs w:val="20"/>
          <w:lang w:val="es-PE"/>
        </w:rPr>
        <w:t>Se ha alcanzado un alto nivel de cumplimiento</w:t>
      </w:r>
      <w:r w:rsidR="001B1D34" w:rsidRPr="001B1D34">
        <w:rPr>
          <w:szCs w:val="20"/>
          <w:lang w:val="es-PE"/>
        </w:rPr>
        <w:t xml:space="preserve"> de</w:t>
      </w:r>
      <w:r w:rsidR="001B1D34">
        <w:rPr>
          <w:szCs w:val="20"/>
          <w:lang w:val="es-PE"/>
        </w:rPr>
        <w:t xml:space="preserve"> los compromisos de</w:t>
      </w:r>
      <w:r w:rsidR="001B1D34" w:rsidRPr="001B1D34">
        <w:rPr>
          <w:szCs w:val="20"/>
          <w:lang w:val="es-PE"/>
        </w:rPr>
        <w:t>l PAGA 2015-2016</w:t>
      </w:r>
      <w:r w:rsidR="001B1D34">
        <w:rPr>
          <w:szCs w:val="20"/>
          <w:lang w:val="es-PE"/>
        </w:rPr>
        <w:t xml:space="preserve"> (65%)</w:t>
      </w:r>
      <w:r w:rsidR="001B1D34" w:rsidRPr="001B1D34">
        <w:rPr>
          <w:szCs w:val="20"/>
          <w:lang w:val="es-PE"/>
        </w:rPr>
        <w:t xml:space="preserve">, tomando en </w:t>
      </w:r>
      <w:r w:rsidRPr="001B1D34">
        <w:rPr>
          <w:szCs w:val="20"/>
          <w:lang w:val="es-PE"/>
        </w:rPr>
        <w:t xml:space="preserve">consideración que </w:t>
      </w:r>
      <w:r w:rsidR="001B1D34" w:rsidRPr="001B1D34">
        <w:rPr>
          <w:szCs w:val="20"/>
          <w:lang w:val="es-PE"/>
        </w:rPr>
        <w:t>el Plan se ha llevado a cabo en un contexto de cambio de gobierno</w:t>
      </w:r>
      <w:r w:rsidR="001B1D34">
        <w:rPr>
          <w:szCs w:val="20"/>
          <w:lang w:val="es-PE"/>
        </w:rPr>
        <w:t xml:space="preserve"> y modificaciones en el ROF de la PCM que tenía a su cargo 7 compromisos.</w:t>
      </w:r>
    </w:p>
    <w:p w:rsidR="001B1D34" w:rsidRPr="001B1D34" w:rsidRDefault="001B1D34" w:rsidP="001B1D34">
      <w:pPr>
        <w:spacing w:after="0" w:line="240" w:lineRule="auto"/>
        <w:jc w:val="both"/>
        <w:rPr>
          <w:szCs w:val="20"/>
          <w:lang w:val="es-PE"/>
        </w:rPr>
      </w:pPr>
    </w:p>
    <w:p w:rsidR="00931001" w:rsidRDefault="00931001" w:rsidP="00D55406">
      <w:pPr>
        <w:spacing w:after="0" w:line="240" w:lineRule="auto"/>
        <w:jc w:val="both"/>
        <w:rPr>
          <w:color w:val="FF0000"/>
          <w:szCs w:val="20"/>
          <w:lang w:val="es-PE"/>
        </w:rPr>
      </w:pPr>
    </w:p>
    <w:tbl>
      <w:tblPr>
        <w:tblStyle w:val="Tablaconcuadrcula"/>
        <w:tblW w:w="0" w:type="auto"/>
        <w:jc w:val="center"/>
        <w:tblLayout w:type="fixed"/>
        <w:tblLook w:val="04A0" w:firstRow="1" w:lastRow="0" w:firstColumn="1" w:lastColumn="0" w:noHBand="0" w:noVBand="1"/>
      </w:tblPr>
      <w:tblGrid>
        <w:gridCol w:w="2376"/>
        <w:gridCol w:w="1276"/>
        <w:gridCol w:w="1134"/>
        <w:gridCol w:w="1276"/>
        <w:gridCol w:w="1134"/>
        <w:gridCol w:w="1134"/>
      </w:tblGrid>
      <w:tr w:rsidR="001B1D34" w:rsidRPr="003B3449" w:rsidTr="006665DE">
        <w:trPr>
          <w:jc w:val="center"/>
        </w:trPr>
        <w:tc>
          <w:tcPr>
            <w:tcW w:w="2376" w:type="dxa"/>
          </w:tcPr>
          <w:p w:rsidR="001B1D34" w:rsidRPr="003B3449" w:rsidRDefault="001B1D34" w:rsidP="006665DE">
            <w:pPr>
              <w:rPr>
                <w:b/>
              </w:rPr>
            </w:pPr>
            <w:r w:rsidRPr="003B3449">
              <w:rPr>
                <w:b/>
              </w:rPr>
              <w:t>Compromisos</w:t>
            </w:r>
          </w:p>
        </w:tc>
        <w:tc>
          <w:tcPr>
            <w:tcW w:w="1276" w:type="dxa"/>
          </w:tcPr>
          <w:p w:rsidR="001B1D34" w:rsidRPr="003B3449" w:rsidRDefault="001B1D34" w:rsidP="006665DE">
            <w:pPr>
              <w:rPr>
                <w:b/>
              </w:rPr>
            </w:pPr>
            <w:r w:rsidRPr="003B3449">
              <w:rPr>
                <w:b/>
              </w:rPr>
              <w:t>No iniciado</w:t>
            </w:r>
          </w:p>
        </w:tc>
        <w:tc>
          <w:tcPr>
            <w:tcW w:w="1134" w:type="dxa"/>
          </w:tcPr>
          <w:p w:rsidR="001B1D34" w:rsidRPr="003B3449" w:rsidRDefault="001B1D34" w:rsidP="006665DE">
            <w:pPr>
              <w:rPr>
                <w:b/>
              </w:rPr>
            </w:pPr>
            <w:r w:rsidRPr="003B3449">
              <w:rPr>
                <w:b/>
              </w:rPr>
              <w:t>Limitado</w:t>
            </w:r>
          </w:p>
        </w:tc>
        <w:tc>
          <w:tcPr>
            <w:tcW w:w="1276" w:type="dxa"/>
          </w:tcPr>
          <w:p w:rsidR="001B1D34" w:rsidRPr="003B3449" w:rsidRDefault="001B1D34" w:rsidP="006665DE">
            <w:pPr>
              <w:rPr>
                <w:b/>
              </w:rPr>
            </w:pPr>
            <w:r w:rsidRPr="003B3449">
              <w:rPr>
                <w:b/>
              </w:rPr>
              <w:t>Sustancial</w:t>
            </w:r>
          </w:p>
        </w:tc>
        <w:tc>
          <w:tcPr>
            <w:tcW w:w="1134" w:type="dxa"/>
          </w:tcPr>
          <w:p w:rsidR="001B1D34" w:rsidRPr="003B3449" w:rsidRDefault="001B1D34" w:rsidP="006665DE">
            <w:pPr>
              <w:rPr>
                <w:b/>
              </w:rPr>
            </w:pPr>
            <w:r w:rsidRPr="003B3449">
              <w:rPr>
                <w:b/>
              </w:rPr>
              <w:t>Completo</w:t>
            </w:r>
          </w:p>
        </w:tc>
        <w:tc>
          <w:tcPr>
            <w:tcW w:w="1134" w:type="dxa"/>
          </w:tcPr>
          <w:p w:rsidR="001B1D34" w:rsidRPr="003B3449" w:rsidRDefault="001B1D34" w:rsidP="006665DE">
            <w:pPr>
              <w:rPr>
                <w:b/>
              </w:rPr>
            </w:pPr>
            <w:r w:rsidRPr="003B3449">
              <w:rPr>
                <w:b/>
              </w:rPr>
              <w:t>Total</w:t>
            </w:r>
          </w:p>
        </w:tc>
      </w:tr>
      <w:tr w:rsidR="001B1D34" w:rsidTr="006665DE">
        <w:trPr>
          <w:jc w:val="center"/>
        </w:trPr>
        <w:tc>
          <w:tcPr>
            <w:tcW w:w="2376" w:type="dxa"/>
          </w:tcPr>
          <w:p w:rsidR="001B1D34" w:rsidRDefault="001B1D34" w:rsidP="006665DE">
            <w:pPr>
              <w:jc w:val="both"/>
            </w:pPr>
            <w:r>
              <w:t>Transparencia  y acceso a información pública</w:t>
            </w:r>
          </w:p>
        </w:tc>
        <w:tc>
          <w:tcPr>
            <w:tcW w:w="1276" w:type="dxa"/>
          </w:tcPr>
          <w:p w:rsidR="001B1D34" w:rsidRDefault="001B1D34" w:rsidP="006665DE">
            <w:pPr>
              <w:jc w:val="both"/>
            </w:pPr>
            <w:r>
              <w:t>1</w:t>
            </w:r>
          </w:p>
        </w:tc>
        <w:tc>
          <w:tcPr>
            <w:tcW w:w="1134" w:type="dxa"/>
          </w:tcPr>
          <w:p w:rsidR="001B1D34" w:rsidRDefault="001B1D34" w:rsidP="006665DE">
            <w:pPr>
              <w:jc w:val="both"/>
            </w:pPr>
          </w:p>
        </w:tc>
        <w:tc>
          <w:tcPr>
            <w:tcW w:w="1276" w:type="dxa"/>
          </w:tcPr>
          <w:p w:rsidR="001B1D34" w:rsidRDefault="001B1D34" w:rsidP="006665DE">
            <w:pPr>
              <w:jc w:val="both"/>
            </w:pPr>
            <w:r>
              <w:t>1</w:t>
            </w:r>
          </w:p>
        </w:tc>
        <w:tc>
          <w:tcPr>
            <w:tcW w:w="1134" w:type="dxa"/>
          </w:tcPr>
          <w:p w:rsidR="001B1D34" w:rsidRDefault="001B1D34" w:rsidP="006665DE">
            <w:pPr>
              <w:jc w:val="both"/>
            </w:pPr>
            <w:r>
              <w:t>4</w:t>
            </w:r>
          </w:p>
        </w:tc>
        <w:tc>
          <w:tcPr>
            <w:tcW w:w="1134" w:type="dxa"/>
          </w:tcPr>
          <w:p w:rsidR="001B1D34" w:rsidRDefault="001B1D34" w:rsidP="006665DE">
            <w:pPr>
              <w:jc w:val="both"/>
            </w:pPr>
            <w:r>
              <w:t>6</w:t>
            </w:r>
          </w:p>
        </w:tc>
      </w:tr>
      <w:tr w:rsidR="001B1D34" w:rsidTr="006665DE">
        <w:trPr>
          <w:jc w:val="center"/>
        </w:trPr>
        <w:tc>
          <w:tcPr>
            <w:tcW w:w="2376" w:type="dxa"/>
          </w:tcPr>
          <w:p w:rsidR="001B1D34" w:rsidRDefault="001B1D34" w:rsidP="006665DE">
            <w:pPr>
              <w:jc w:val="both"/>
            </w:pPr>
            <w:r>
              <w:t>Participación ciudadana</w:t>
            </w:r>
          </w:p>
        </w:tc>
        <w:tc>
          <w:tcPr>
            <w:tcW w:w="1276" w:type="dxa"/>
          </w:tcPr>
          <w:p w:rsidR="001B1D34" w:rsidRDefault="001B1D34" w:rsidP="006665DE">
            <w:pPr>
              <w:jc w:val="both"/>
            </w:pPr>
            <w:r>
              <w:t>1</w:t>
            </w:r>
          </w:p>
        </w:tc>
        <w:tc>
          <w:tcPr>
            <w:tcW w:w="1134" w:type="dxa"/>
          </w:tcPr>
          <w:p w:rsidR="001B1D34" w:rsidRDefault="001B1D34" w:rsidP="006665DE">
            <w:pPr>
              <w:jc w:val="both"/>
            </w:pPr>
            <w:r>
              <w:t>1</w:t>
            </w:r>
          </w:p>
        </w:tc>
        <w:tc>
          <w:tcPr>
            <w:tcW w:w="1276" w:type="dxa"/>
          </w:tcPr>
          <w:p w:rsidR="001B1D34" w:rsidRDefault="001B1D34" w:rsidP="006665DE">
            <w:pPr>
              <w:jc w:val="both"/>
            </w:pPr>
          </w:p>
        </w:tc>
        <w:tc>
          <w:tcPr>
            <w:tcW w:w="1134" w:type="dxa"/>
          </w:tcPr>
          <w:p w:rsidR="001B1D34" w:rsidRDefault="001B1D34" w:rsidP="006665DE">
            <w:pPr>
              <w:jc w:val="both"/>
            </w:pPr>
            <w:r>
              <w:t>2</w:t>
            </w:r>
          </w:p>
        </w:tc>
        <w:tc>
          <w:tcPr>
            <w:tcW w:w="1134" w:type="dxa"/>
          </w:tcPr>
          <w:p w:rsidR="001B1D34" w:rsidRDefault="001B1D34" w:rsidP="006665DE">
            <w:pPr>
              <w:jc w:val="both"/>
            </w:pPr>
            <w:r>
              <w:t>4</w:t>
            </w:r>
          </w:p>
        </w:tc>
      </w:tr>
      <w:tr w:rsidR="001B1D34" w:rsidTr="006665DE">
        <w:trPr>
          <w:jc w:val="center"/>
        </w:trPr>
        <w:tc>
          <w:tcPr>
            <w:tcW w:w="2376" w:type="dxa"/>
          </w:tcPr>
          <w:p w:rsidR="001B1D34" w:rsidRDefault="001B1D34" w:rsidP="006665DE">
            <w:pPr>
              <w:jc w:val="both"/>
            </w:pPr>
            <w:r>
              <w:t>Rendición de cuentas</w:t>
            </w:r>
          </w:p>
        </w:tc>
        <w:tc>
          <w:tcPr>
            <w:tcW w:w="1276" w:type="dxa"/>
          </w:tcPr>
          <w:p w:rsidR="001B1D34" w:rsidRDefault="001B1D34" w:rsidP="006665DE">
            <w:pPr>
              <w:jc w:val="both"/>
            </w:pPr>
            <w:r>
              <w:t>1</w:t>
            </w:r>
          </w:p>
        </w:tc>
        <w:tc>
          <w:tcPr>
            <w:tcW w:w="1134" w:type="dxa"/>
          </w:tcPr>
          <w:p w:rsidR="001B1D34" w:rsidRDefault="001B1D34" w:rsidP="006665DE">
            <w:pPr>
              <w:jc w:val="both"/>
            </w:pPr>
          </w:p>
        </w:tc>
        <w:tc>
          <w:tcPr>
            <w:tcW w:w="1276" w:type="dxa"/>
          </w:tcPr>
          <w:p w:rsidR="001B1D34" w:rsidRDefault="001B1D34" w:rsidP="006665DE">
            <w:pPr>
              <w:jc w:val="both"/>
            </w:pPr>
          </w:p>
        </w:tc>
        <w:tc>
          <w:tcPr>
            <w:tcW w:w="1134" w:type="dxa"/>
          </w:tcPr>
          <w:p w:rsidR="001B1D34" w:rsidRDefault="001B1D34" w:rsidP="006665DE">
            <w:pPr>
              <w:jc w:val="both"/>
            </w:pPr>
            <w:r>
              <w:t>2</w:t>
            </w:r>
          </w:p>
        </w:tc>
        <w:tc>
          <w:tcPr>
            <w:tcW w:w="1134" w:type="dxa"/>
          </w:tcPr>
          <w:p w:rsidR="001B1D34" w:rsidRDefault="001B1D34" w:rsidP="006665DE">
            <w:pPr>
              <w:jc w:val="both"/>
            </w:pPr>
            <w:r>
              <w:t>3</w:t>
            </w:r>
          </w:p>
        </w:tc>
      </w:tr>
      <w:tr w:rsidR="001B1D34" w:rsidTr="006665DE">
        <w:trPr>
          <w:jc w:val="center"/>
        </w:trPr>
        <w:tc>
          <w:tcPr>
            <w:tcW w:w="2376" w:type="dxa"/>
          </w:tcPr>
          <w:p w:rsidR="001B1D34" w:rsidRDefault="001B1D34" w:rsidP="006665DE">
            <w:pPr>
              <w:jc w:val="both"/>
            </w:pPr>
            <w:r>
              <w:t>Acceso a servicios</w:t>
            </w:r>
          </w:p>
        </w:tc>
        <w:tc>
          <w:tcPr>
            <w:tcW w:w="1276" w:type="dxa"/>
          </w:tcPr>
          <w:p w:rsidR="001B1D34" w:rsidRDefault="001B1D34" w:rsidP="006665DE">
            <w:pPr>
              <w:jc w:val="both"/>
            </w:pPr>
          </w:p>
        </w:tc>
        <w:tc>
          <w:tcPr>
            <w:tcW w:w="1134" w:type="dxa"/>
          </w:tcPr>
          <w:p w:rsidR="001B1D34" w:rsidRDefault="001B1D34" w:rsidP="006665DE">
            <w:pPr>
              <w:jc w:val="both"/>
            </w:pPr>
          </w:p>
        </w:tc>
        <w:tc>
          <w:tcPr>
            <w:tcW w:w="1276" w:type="dxa"/>
          </w:tcPr>
          <w:p w:rsidR="001B1D34" w:rsidRDefault="001B1D34" w:rsidP="006665DE">
            <w:pPr>
              <w:jc w:val="both"/>
            </w:pPr>
            <w:r>
              <w:t>1</w:t>
            </w:r>
          </w:p>
        </w:tc>
        <w:tc>
          <w:tcPr>
            <w:tcW w:w="1134" w:type="dxa"/>
          </w:tcPr>
          <w:p w:rsidR="001B1D34" w:rsidRDefault="001B1D34" w:rsidP="006665DE">
            <w:pPr>
              <w:jc w:val="both"/>
            </w:pPr>
            <w:r>
              <w:t>3</w:t>
            </w:r>
          </w:p>
        </w:tc>
        <w:tc>
          <w:tcPr>
            <w:tcW w:w="1134" w:type="dxa"/>
          </w:tcPr>
          <w:p w:rsidR="001B1D34" w:rsidRDefault="001B1D34" w:rsidP="006665DE">
            <w:pPr>
              <w:jc w:val="both"/>
            </w:pPr>
            <w:r>
              <w:t>4</w:t>
            </w:r>
          </w:p>
        </w:tc>
      </w:tr>
      <w:tr w:rsidR="001B1D34" w:rsidRPr="003B3449" w:rsidTr="006665DE">
        <w:trPr>
          <w:jc w:val="center"/>
        </w:trPr>
        <w:tc>
          <w:tcPr>
            <w:tcW w:w="2376" w:type="dxa"/>
          </w:tcPr>
          <w:p w:rsidR="001B1D34" w:rsidRPr="003B3449" w:rsidRDefault="001B1D34" w:rsidP="006665DE">
            <w:pPr>
              <w:rPr>
                <w:b/>
              </w:rPr>
            </w:pPr>
            <w:r w:rsidRPr="003B3449">
              <w:rPr>
                <w:b/>
              </w:rPr>
              <w:t>Total</w:t>
            </w:r>
          </w:p>
        </w:tc>
        <w:tc>
          <w:tcPr>
            <w:tcW w:w="1276" w:type="dxa"/>
          </w:tcPr>
          <w:p w:rsidR="001B1D34" w:rsidRPr="003B3449" w:rsidRDefault="001B1D34" w:rsidP="006665DE">
            <w:pPr>
              <w:rPr>
                <w:b/>
              </w:rPr>
            </w:pPr>
            <w:r>
              <w:rPr>
                <w:b/>
              </w:rPr>
              <w:t>3</w:t>
            </w:r>
          </w:p>
        </w:tc>
        <w:tc>
          <w:tcPr>
            <w:tcW w:w="1134" w:type="dxa"/>
          </w:tcPr>
          <w:p w:rsidR="001B1D34" w:rsidRPr="003B3449" w:rsidRDefault="001B1D34" w:rsidP="006665DE">
            <w:pPr>
              <w:rPr>
                <w:b/>
              </w:rPr>
            </w:pPr>
            <w:r>
              <w:rPr>
                <w:b/>
              </w:rPr>
              <w:t>1</w:t>
            </w:r>
          </w:p>
        </w:tc>
        <w:tc>
          <w:tcPr>
            <w:tcW w:w="1276" w:type="dxa"/>
          </w:tcPr>
          <w:p w:rsidR="001B1D34" w:rsidRPr="003B3449" w:rsidRDefault="001B1D34" w:rsidP="006665DE">
            <w:pPr>
              <w:rPr>
                <w:b/>
              </w:rPr>
            </w:pPr>
            <w:r>
              <w:rPr>
                <w:b/>
              </w:rPr>
              <w:t>2</w:t>
            </w:r>
          </w:p>
        </w:tc>
        <w:tc>
          <w:tcPr>
            <w:tcW w:w="1134" w:type="dxa"/>
          </w:tcPr>
          <w:p w:rsidR="001B1D34" w:rsidRPr="003B3449" w:rsidRDefault="001B1D34" w:rsidP="006665DE">
            <w:pPr>
              <w:rPr>
                <w:b/>
              </w:rPr>
            </w:pPr>
            <w:r>
              <w:rPr>
                <w:b/>
              </w:rPr>
              <w:t>11</w:t>
            </w:r>
          </w:p>
        </w:tc>
        <w:tc>
          <w:tcPr>
            <w:tcW w:w="1134" w:type="dxa"/>
          </w:tcPr>
          <w:p w:rsidR="001B1D34" w:rsidRPr="003B3449" w:rsidRDefault="001B1D34" w:rsidP="006665DE">
            <w:pPr>
              <w:rPr>
                <w:b/>
              </w:rPr>
            </w:pPr>
            <w:r>
              <w:rPr>
                <w:b/>
              </w:rPr>
              <w:t>17</w:t>
            </w:r>
          </w:p>
        </w:tc>
      </w:tr>
      <w:tr w:rsidR="001B1D34" w:rsidRPr="003B3449" w:rsidTr="006665DE">
        <w:trPr>
          <w:jc w:val="center"/>
        </w:trPr>
        <w:tc>
          <w:tcPr>
            <w:tcW w:w="2376" w:type="dxa"/>
          </w:tcPr>
          <w:p w:rsidR="001B1D34" w:rsidRPr="003B3449" w:rsidRDefault="001B1D34" w:rsidP="006665DE">
            <w:pPr>
              <w:rPr>
                <w:b/>
              </w:rPr>
            </w:pPr>
            <w:r>
              <w:rPr>
                <w:b/>
              </w:rPr>
              <w:t xml:space="preserve">   %</w:t>
            </w:r>
          </w:p>
        </w:tc>
        <w:tc>
          <w:tcPr>
            <w:tcW w:w="1276" w:type="dxa"/>
          </w:tcPr>
          <w:p w:rsidR="001B1D34" w:rsidRDefault="001B1D34" w:rsidP="006665DE">
            <w:pPr>
              <w:rPr>
                <w:b/>
              </w:rPr>
            </w:pPr>
            <w:r>
              <w:rPr>
                <w:b/>
              </w:rPr>
              <w:t>17,6</w:t>
            </w:r>
          </w:p>
        </w:tc>
        <w:tc>
          <w:tcPr>
            <w:tcW w:w="1134" w:type="dxa"/>
          </w:tcPr>
          <w:p w:rsidR="001B1D34" w:rsidRDefault="001B1D34" w:rsidP="006665DE">
            <w:pPr>
              <w:rPr>
                <w:b/>
              </w:rPr>
            </w:pPr>
            <w:r>
              <w:rPr>
                <w:b/>
              </w:rPr>
              <w:t>5.8</w:t>
            </w:r>
          </w:p>
        </w:tc>
        <w:tc>
          <w:tcPr>
            <w:tcW w:w="1276" w:type="dxa"/>
          </w:tcPr>
          <w:p w:rsidR="001B1D34" w:rsidRDefault="001B1D34" w:rsidP="006665DE">
            <w:pPr>
              <w:rPr>
                <w:b/>
              </w:rPr>
            </w:pPr>
            <w:r>
              <w:rPr>
                <w:b/>
              </w:rPr>
              <w:t>11,7</w:t>
            </w:r>
          </w:p>
        </w:tc>
        <w:tc>
          <w:tcPr>
            <w:tcW w:w="1134" w:type="dxa"/>
          </w:tcPr>
          <w:p w:rsidR="001B1D34" w:rsidRDefault="001B1D34" w:rsidP="006665DE">
            <w:pPr>
              <w:rPr>
                <w:b/>
              </w:rPr>
            </w:pPr>
            <w:r>
              <w:rPr>
                <w:b/>
              </w:rPr>
              <w:t>64,7</w:t>
            </w:r>
          </w:p>
        </w:tc>
        <w:tc>
          <w:tcPr>
            <w:tcW w:w="1134" w:type="dxa"/>
          </w:tcPr>
          <w:p w:rsidR="001B1D34" w:rsidRDefault="001B1D34" w:rsidP="006665DE">
            <w:pPr>
              <w:rPr>
                <w:b/>
              </w:rPr>
            </w:pPr>
            <w:r>
              <w:rPr>
                <w:b/>
              </w:rPr>
              <w:t>100</w:t>
            </w:r>
          </w:p>
        </w:tc>
      </w:tr>
    </w:tbl>
    <w:p w:rsidR="001B1D34" w:rsidRDefault="001B1D34" w:rsidP="00D55406">
      <w:pPr>
        <w:spacing w:after="0" w:line="240" w:lineRule="auto"/>
        <w:jc w:val="both"/>
        <w:rPr>
          <w:color w:val="FF0000"/>
          <w:szCs w:val="20"/>
          <w:lang w:val="es-PE"/>
        </w:rPr>
      </w:pPr>
    </w:p>
    <w:p w:rsidR="001B1D34" w:rsidRDefault="001B1D34" w:rsidP="00D55406">
      <w:pPr>
        <w:spacing w:after="0" w:line="240" w:lineRule="auto"/>
        <w:jc w:val="both"/>
        <w:rPr>
          <w:color w:val="FF0000"/>
          <w:szCs w:val="20"/>
          <w:lang w:val="es-PE"/>
        </w:rPr>
      </w:pPr>
    </w:p>
    <w:p w:rsidR="001B1D34" w:rsidRDefault="00DF31DB" w:rsidP="0050275C">
      <w:pPr>
        <w:pStyle w:val="Prrafodelista"/>
        <w:numPr>
          <w:ilvl w:val="0"/>
          <w:numId w:val="42"/>
        </w:numPr>
        <w:spacing w:after="0" w:line="240" w:lineRule="auto"/>
        <w:jc w:val="both"/>
        <w:rPr>
          <w:szCs w:val="20"/>
          <w:lang w:val="es-PE"/>
        </w:rPr>
      </w:pPr>
      <w:r w:rsidRPr="00700BF4">
        <w:rPr>
          <w:szCs w:val="20"/>
          <w:lang w:val="es-PE"/>
        </w:rPr>
        <w:t>Se recomienda que el mecanismo de seguimiento</w:t>
      </w:r>
      <w:r w:rsidR="00CF468E" w:rsidRPr="00700BF4">
        <w:rPr>
          <w:szCs w:val="20"/>
          <w:lang w:val="es-PE"/>
        </w:rPr>
        <w:t xml:space="preserve"> del próximo PAGA, cuente con una matriz de indicadores que permita efectuar los ajustes oportunos para que se cumplan las actividades previstas o, de ser el caso, comunicar los motivos del no inicio</w:t>
      </w:r>
      <w:r w:rsidR="00C86AE3" w:rsidRPr="00700BF4">
        <w:rPr>
          <w:szCs w:val="20"/>
          <w:lang w:val="es-PE"/>
        </w:rPr>
        <w:t xml:space="preserve"> de las mismas o si su avance es limitado en función de los plazos previstos</w:t>
      </w:r>
      <w:r w:rsidR="006846DD">
        <w:rPr>
          <w:szCs w:val="20"/>
          <w:lang w:val="es-PE"/>
        </w:rPr>
        <w:t>.</w:t>
      </w:r>
      <w:r w:rsidR="00CF468E" w:rsidRPr="00700BF4">
        <w:rPr>
          <w:szCs w:val="20"/>
          <w:lang w:val="es-PE"/>
        </w:rPr>
        <w:t xml:space="preserve"> </w:t>
      </w:r>
      <w:r w:rsidR="0050275C">
        <w:rPr>
          <w:szCs w:val="20"/>
          <w:lang w:val="es-PE"/>
        </w:rPr>
        <w:t xml:space="preserve"> Recomendación que recoge el aporte planteado en la consulta pública a través del foro virtual durante el período establecido por la Alianza a través del siguiente enlace: </w:t>
      </w:r>
      <w:hyperlink r:id="rId55" w:history="1">
        <w:r w:rsidR="0050275C" w:rsidRPr="00180CF7">
          <w:rPr>
            <w:rStyle w:val="Hipervnculo"/>
            <w:szCs w:val="20"/>
            <w:lang w:val="es-PE"/>
          </w:rPr>
          <w:t>https://www.gestionpublica.gob.pe/foro/viewtopic.php?f=22&amp;t=23</w:t>
        </w:r>
      </w:hyperlink>
    </w:p>
    <w:p w:rsidR="0050275C" w:rsidRDefault="0050275C" w:rsidP="0050275C">
      <w:pPr>
        <w:pStyle w:val="Prrafodelista"/>
        <w:spacing w:after="0" w:line="240" w:lineRule="auto"/>
        <w:jc w:val="both"/>
        <w:rPr>
          <w:szCs w:val="20"/>
          <w:lang w:val="es-PE"/>
        </w:rPr>
      </w:pPr>
    </w:p>
    <w:p w:rsidR="00BC0CD7" w:rsidRDefault="00BC0CD7" w:rsidP="00BC0CD7">
      <w:pPr>
        <w:spacing w:after="0" w:line="240" w:lineRule="auto"/>
        <w:jc w:val="both"/>
        <w:rPr>
          <w:szCs w:val="20"/>
          <w:lang w:val="es-PE"/>
        </w:rPr>
      </w:pPr>
    </w:p>
    <w:p w:rsidR="00BC0CD7" w:rsidRDefault="00BC0CD7" w:rsidP="00BC0CD7">
      <w:pPr>
        <w:spacing w:after="0" w:line="240" w:lineRule="auto"/>
        <w:jc w:val="both"/>
        <w:rPr>
          <w:szCs w:val="20"/>
          <w:lang w:val="es-PE"/>
        </w:rPr>
      </w:pPr>
    </w:p>
    <w:p w:rsidR="00BC0CD7" w:rsidRDefault="00BC0CD7" w:rsidP="00BC0CD7">
      <w:pPr>
        <w:spacing w:after="0" w:line="240" w:lineRule="auto"/>
        <w:jc w:val="both"/>
        <w:rPr>
          <w:szCs w:val="20"/>
          <w:lang w:val="es-PE"/>
        </w:rPr>
      </w:pPr>
    </w:p>
    <w:p w:rsidR="00BC0CD7" w:rsidRPr="00BC0CD7" w:rsidRDefault="00BC0CD7" w:rsidP="00BC0CD7">
      <w:pPr>
        <w:spacing w:after="0" w:line="240" w:lineRule="auto"/>
        <w:jc w:val="both"/>
        <w:rPr>
          <w:szCs w:val="20"/>
          <w:lang w:val="es-PE"/>
        </w:rPr>
      </w:pPr>
    </w:p>
    <w:p w:rsidR="00C86AE3" w:rsidRPr="000C6829" w:rsidRDefault="00C86AE3" w:rsidP="00C86AE3">
      <w:pPr>
        <w:spacing w:after="0" w:line="240" w:lineRule="auto"/>
        <w:jc w:val="both"/>
        <w:rPr>
          <w:color w:val="FF0000"/>
          <w:szCs w:val="20"/>
          <w:lang w:val="es-PE"/>
        </w:rPr>
      </w:pPr>
    </w:p>
    <w:p w:rsidR="00A14B06" w:rsidRDefault="00E83EAE" w:rsidP="005F0B13">
      <w:pPr>
        <w:jc w:val="both"/>
      </w:pPr>
      <w:r>
        <w:t xml:space="preserve">A continuación se presenta el siguiente cuadro </w:t>
      </w:r>
      <w:r w:rsidR="00EC299E">
        <w:t xml:space="preserve">comparativo </w:t>
      </w:r>
      <w:r>
        <w:t>resumen</w:t>
      </w:r>
      <w:r w:rsidR="005F0B13">
        <w:t xml:space="preserve"> de</w:t>
      </w:r>
      <w:r w:rsidR="001B1D34">
        <w:t>l avance en</w:t>
      </w:r>
      <w:r w:rsidR="005F0B13">
        <w:t xml:space="preserve"> </w:t>
      </w:r>
      <w:r w:rsidR="00A14B06">
        <w:t>la implementación del Plan de Acción</w:t>
      </w:r>
      <w:r w:rsidR="005F0B13">
        <w:t xml:space="preserve"> 2015-2016</w:t>
      </w:r>
      <w:r w:rsidR="00A14B06">
        <w:t>:</w:t>
      </w:r>
    </w:p>
    <w:p w:rsidR="00E86678" w:rsidRDefault="00E86678" w:rsidP="005F0B13">
      <w:pPr>
        <w:jc w:val="both"/>
      </w:pPr>
    </w:p>
    <w:tbl>
      <w:tblPr>
        <w:tblStyle w:val="Tablaconcuadrcula"/>
        <w:tblW w:w="9054" w:type="dxa"/>
        <w:tblLook w:val="04A0" w:firstRow="1" w:lastRow="0" w:firstColumn="1" w:lastColumn="0" w:noHBand="0" w:noVBand="1"/>
      </w:tblPr>
      <w:tblGrid>
        <w:gridCol w:w="471"/>
        <w:gridCol w:w="5166"/>
        <w:gridCol w:w="1701"/>
        <w:gridCol w:w="1716"/>
      </w:tblGrid>
      <w:tr w:rsidR="005F0B13" w:rsidRPr="002F0DF9" w:rsidTr="00E86678">
        <w:trPr>
          <w:trHeight w:val="156"/>
        </w:trPr>
        <w:tc>
          <w:tcPr>
            <w:tcW w:w="471" w:type="dxa"/>
            <w:shd w:val="clear" w:color="auto" w:fill="B8CCE4" w:themeFill="accent1" w:themeFillTint="66"/>
          </w:tcPr>
          <w:p w:rsidR="005F0B13" w:rsidRPr="002F0DF9" w:rsidRDefault="005F0B13" w:rsidP="00FB45DB">
            <w:pPr>
              <w:rPr>
                <w:b/>
                <w:sz w:val="20"/>
                <w:szCs w:val="20"/>
              </w:rPr>
            </w:pPr>
            <w:r w:rsidRPr="002F0DF9">
              <w:rPr>
                <w:b/>
                <w:sz w:val="20"/>
                <w:szCs w:val="20"/>
              </w:rPr>
              <w:t>N°</w:t>
            </w:r>
          </w:p>
        </w:tc>
        <w:tc>
          <w:tcPr>
            <w:tcW w:w="5166" w:type="dxa"/>
            <w:shd w:val="clear" w:color="auto" w:fill="B8CCE4" w:themeFill="accent1" w:themeFillTint="66"/>
          </w:tcPr>
          <w:p w:rsidR="005F0B13" w:rsidRPr="002F0DF9" w:rsidRDefault="005F0B13" w:rsidP="00FB45DB">
            <w:pPr>
              <w:rPr>
                <w:b/>
                <w:sz w:val="20"/>
                <w:szCs w:val="20"/>
              </w:rPr>
            </w:pPr>
            <w:r w:rsidRPr="002F0DF9">
              <w:rPr>
                <w:b/>
                <w:sz w:val="20"/>
                <w:szCs w:val="20"/>
              </w:rPr>
              <w:t>Compromiso</w:t>
            </w:r>
          </w:p>
        </w:tc>
        <w:tc>
          <w:tcPr>
            <w:tcW w:w="1701" w:type="dxa"/>
            <w:shd w:val="clear" w:color="auto" w:fill="B8CCE4" w:themeFill="accent1" w:themeFillTint="66"/>
          </w:tcPr>
          <w:p w:rsidR="005F0B13" w:rsidRDefault="005F0B13" w:rsidP="005F0B13">
            <w:pPr>
              <w:jc w:val="center"/>
              <w:rPr>
                <w:b/>
                <w:sz w:val="20"/>
                <w:szCs w:val="20"/>
              </w:rPr>
            </w:pPr>
            <w:r>
              <w:rPr>
                <w:b/>
                <w:sz w:val="20"/>
                <w:szCs w:val="20"/>
              </w:rPr>
              <w:t>Evaluación Intermedia</w:t>
            </w:r>
          </w:p>
          <w:p w:rsidR="00E86678" w:rsidRPr="002F0DF9" w:rsidRDefault="00E86678" w:rsidP="005F0B13">
            <w:pPr>
              <w:jc w:val="center"/>
              <w:rPr>
                <w:b/>
                <w:sz w:val="20"/>
                <w:szCs w:val="20"/>
              </w:rPr>
            </w:pPr>
            <w:r>
              <w:rPr>
                <w:b/>
                <w:sz w:val="20"/>
                <w:szCs w:val="20"/>
              </w:rPr>
              <w:t>Setiembre 2016</w:t>
            </w:r>
          </w:p>
        </w:tc>
        <w:tc>
          <w:tcPr>
            <w:tcW w:w="1716" w:type="dxa"/>
            <w:shd w:val="clear" w:color="auto" w:fill="B8CCE4" w:themeFill="accent1" w:themeFillTint="66"/>
          </w:tcPr>
          <w:p w:rsidR="005F0B13" w:rsidRDefault="005F0B13" w:rsidP="00F25102">
            <w:pPr>
              <w:jc w:val="center"/>
              <w:rPr>
                <w:b/>
                <w:sz w:val="20"/>
                <w:szCs w:val="20"/>
              </w:rPr>
            </w:pPr>
            <w:r>
              <w:rPr>
                <w:b/>
                <w:sz w:val="20"/>
                <w:szCs w:val="20"/>
              </w:rPr>
              <w:t>Evaluación Final</w:t>
            </w:r>
          </w:p>
          <w:p w:rsidR="00E86678" w:rsidRDefault="00E86678" w:rsidP="00F25102">
            <w:pPr>
              <w:jc w:val="center"/>
              <w:rPr>
                <w:b/>
                <w:sz w:val="20"/>
                <w:szCs w:val="20"/>
              </w:rPr>
            </w:pPr>
          </w:p>
          <w:p w:rsidR="00E86678" w:rsidRPr="002F0DF9" w:rsidRDefault="00E86678" w:rsidP="00F25102">
            <w:pPr>
              <w:jc w:val="center"/>
              <w:rPr>
                <w:b/>
                <w:sz w:val="20"/>
                <w:szCs w:val="20"/>
              </w:rPr>
            </w:pPr>
            <w:r>
              <w:rPr>
                <w:b/>
                <w:sz w:val="20"/>
                <w:szCs w:val="20"/>
              </w:rPr>
              <w:t>Setiembre 2017</w:t>
            </w:r>
          </w:p>
        </w:tc>
      </w:tr>
      <w:tr w:rsidR="005F0B13" w:rsidRPr="002F0DF9" w:rsidTr="00E86678">
        <w:trPr>
          <w:trHeight w:val="319"/>
        </w:trPr>
        <w:tc>
          <w:tcPr>
            <w:tcW w:w="471" w:type="dxa"/>
          </w:tcPr>
          <w:p w:rsidR="005F0B13" w:rsidRPr="002F0DF9" w:rsidRDefault="005F0B13" w:rsidP="00FB45DB">
            <w:pPr>
              <w:rPr>
                <w:sz w:val="20"/>
                <w:szCs w:val="20"/>
              </w:rPr>
            </w:pPr>
            <w:r w:rsidRPr="002F0DF9">
              <w:rPr>
                <w:sz w:val="20"/>
                <w:szCs w:val="20"/>
              </w:rPr>
              <w:t>1.</w:t>
            </w:r>
          </w:p>
        </w:tc>
        <w:tc>
          <w:tcPr>
            <w:tcW w:w="5166" w:type="dxa"/>
          </w:tcPr>
          <w:p w:rsidR="005F0B13" w:rsidRPr="002F0DF9" w:rsidRDefault="005F0B13" w:rsidP="00FB45DB">
            <w:pPr>
              <w:rPr>
                <w:sz w:val="20"/>
                <w:szCs w:val="20"/>
              </w:rPr>
            </w:pPr>
            <w:r w:rsidRPr="002F0DF9">
              <w:rPr>
                <w:sz w:val="20"/>
                <w:szCs w:val="20"/>
              </w:rPr>
              <w:t>Modificación de la Ley de Transparencia y Acceso a la Información Pública</w:t>
            </w:r>
          </w:p>
        </w:tc>
        <w:tc>
          <w:tcPr>
            <w:tcW w:w="1701" w:type="dxa"/>
          </w:tcPr>
          <w:p w:rsidR="005F0B13" w:rsidRPr="002F0DF9" w:rsidRDefault="005F0B13" w:rsidP="00F25102">
            <w:pPr>
              <w:jc w:val="center"/>
              <w:rPr>
                <w:sz w:val="20"/>
                <w:szCs w:val="20"/>
              </w:rPr>
            </w:pPr>
            <w:r w:rsidRPr="002F0DF9">
              <w:rPr>
                <w:sz w:val="20"/>
                <w:szCs w:val="20"/>
              </w:rPr>
              <w:t>No iniciado</w:t>
            </w:r>
          </w:p>
        </w:tc>
        <w:tc>
          <w:tcPr>
            <w:tcW w:w="1716" w:type="dxa"/>
          </w:tcPr>
          <w:p w:rsidR="005F0B13" w:rsidRPr="002F0DF9" w:rsidRDefault="005F0B13" w:rsidP="00F25102">
            <w:pPr>
              <w:jc w:val="center"/>
              <w:rPr>
                <w:sz w:val="20"/>
                <w:szCs w:val="20"/>
              </w:rPr>
            </w:pPr>
            <w:r>
              <w:rPr>
                <w:sz w:val="20"/>
                <w:szCs w:val="20"/>
              </w:rPr>
              <w:t>No iniciado</w:t>
            </w:r>
          </w:p>
        </w:tc>
      </w:tr>
      <w:tr w:rsidR="005F0B13" w:rsidRPr="002F0DF9" w:rsidTr="00E86678">
        <w:trPr>
          <w:trHeight w:val="156"/>
        </w:trPr>
        <w:tc>
          <w:tcPr>
            <w:tcW w:w="471" w:type="dxa"/>
          </w:tcPr>
          <w:p w:rsidR="005F0B13" w:rsidRPr="002F0DF9" w:rsidRDefault="005F0B13" w:rsidP="00FB45DB">
            <w:pPr>
              <w:rPr>
                <w:sz w:val="20"/>
                <w:szCs w:val="20"/>
              </w:rPr>
            </w:pPr>
            <w:r w:rsidRPr="002F0DF9">
              <w:rPr>
                <w:sz w:val="20"/>
                <w:szCs w:val="20"/>
              </w:rPr>
              <w:t>2.</w:t>
            </w:r>
          </w:p>
        </w:tc>
        <w:tc>
          <w:tcPr>
            <w:tcW w:w="5166" w:type="dxa"/>
          </w:tcPr>
          <w:p w:rsidR="005F0B13" w:rsidRPr="002F0DF9" w:rsidRDefault="005F0B13" w:rsidP="00FB45DB">
            <w:pPr>
              <w:rPr>
                <w:sz w:val="20"/>
                <w:szCs w:val="20"/>
              </w:rPr>
            </w:pPr>
            <w:r w:rsidRPr="002F0DF9">
              <w:rPr>
                <w:sz w:val="20"/>
                <w:szCs w:val="20"/>
              </w:rPr>
              <w:t>Mejora del Portal de Transparencia Estándar</w:t>
            </w:r>
          </w:p>
        </w:tc>
        <w:tc>
          <w:tcPr>
            <w:tcW w:w="1701" w:type="dxa"/>
          </w:tcPr>
          <w:p w:rsidR="005F0B13" w:rsidRPr="002F0DF9" w:rsidRDefault="005F0B13" w:rsidP="00F25102">
            <w:pPr>
              <w:jc w:val="center"/>
              <w:rPr>
                <w:sz w:val="20"/>
                <w:szCs w:val="20"/>
              </w:rPr>
            </w:pPr>
            <w:r w:rsidRPr="002F0DF9">
              <w:rPr>
                <w:sz w:val="20"/>
                <w:szCs w:val="20"/>
              </w:rPr>
              <w:t>Sustancial</w:t>
            </w:r>
          </w:p>
        </w:tc>
        <w:tc>
          <w:tcPr>
            <w:tcW w:w="1716" w:type="dxa"/>
          </w:tcPr>
          <w:p w:rsidR="005F0B13" w:rsidRPr="002F0DF9" w:rsidRDefault="005F0B13" w:rsidP="00F25102">
            <w:pPr>
              <w:jc w:val="center"/>
              <w:rPr>
                <w:sz w:val="20"/>
                <w:szCs w:val="20"/>
              </w:rPr>
            </w:pPr>
            <w:r>
              <w:rPr>
                <w:sz w:val="20"/>
                <w:szCs w:val="20"/>
              </w:rPr>
              <w:t>Completo</w:t>
            </w:r>
          </w:p>
        </w:tc>
      </w:tr>
      <w:tr w:rsidR="005F0B13" w:rsidRPr="002F0DF9" w:rsidTr="00E86678">
        <w:trPr>
          <w:trHeight w:val="313"/>
        </w:trPr>
        <w:tc>
          <w:tcPr>
            <w:tcW w:w="471" w:type="dxa"/>
          </w:tcPr>
          <w:p w:rsidR="005F0B13" w:rsidRPr="002F0DF9" w:rsidRDefault="005F0B13" w:rsidP="00FB45DB">
            <w:pPr>
              <w:rPr>
                <w:sz w:val="20"/>
                <w:szCs w:val="20"/>
              </w:rPr>
            </w:pPr>
            <w:r w:rsidRPr="002F0DF9">
              <w:rPr>
                <w:sz w:val="20"/>
                <w:szCs w:val="20"/>
              </w:rPr>
              <w:t>3.</w:t>
            </w:r>
          </w:p>
        </w:tc>
        <w:tc>
          <w:tcPr>
            <w:tcW w:w="5166" w:type="dxa"/>
          </w:tcPr>
          <w:p w:rsidR="005F0B13" w:rsidRPr="002F0DF9" w:rsidRDefault="005F0B13" w:rsidP="00FB45DB">
            <w:pPr>
              <w:rPr>
                <w:sz w:val="20"/>
                <w:szCs w:val="20"/>
              </w:rPr>
            </w:pPr>
            <w:r w:rsidRPr="002F0DF9">
              <w:rPr>
                <w:sz w:val="20"/>
                <w:szCs w:val="20"/>
              </w:rPr>
              <w:t>Mejorar conocimientos a funcionarios y servidores públicos en transparencia y acceso a la información pública</w:t>
            </w:r>
          </w:p>
        </w:tc>
        <w:tc>
          <w:tcPr>
            <w:tcW w:w="1701" w:type="dxa"/>
          </w:tcPr>
          <w:p w:rsidR="005F0B13" w:rsidRPr="002F0DF9" w:rsidRDefault="005F0B13" w:rsidP="00F25102">
            <w:pPr>
              <w:jc w:val="center"/>
              <w:rPr>
                <w:sz w:val="20"/>
                <w:szCs w:val="20"/>
              </w:rPr>
            </w:pPr>
            <w:r w:rsidRPr="002F0DF9">
              <w:rPr>
                <w:sz w:val="20"/>
                <w:szCs w:val="20"/>
              </w:rPr>
              <w:t>Sustancial</w:t>
            </w:r>
          </w:p>
        </w:tc>
        <w:tc>
          <w:tcPr>
            <w:tcW w:w="1716" w:type="dxa"/>
          </w:tcPr>
          <w:p w:rsidR="005F0B13" w:rsidRPr="002F0DF9" w:rsidRDefault="005F0B13" w:rsidP="00F25102">
            <w:pPr>
              <w:jc w:val="center"/>
              <w:rPr>
                <w:sz w:val="20"/>
                <w:szCs w:val="20"/>
              </w:rPr>
            </w:pPr>
            <w:r>
              <w:rPr>
                <w:sz w:val="20"/>
                <w:szCs w:val="20"/>
              </w:rPr>
              <w:t>Completo</w:t>
            </w:r>
          </w:p>
        </w:tc>
      </w:tr>
      <w:tr w:rsidR="005F0B13" w:rsidRPr="002F0DF9" w:rsidTr="00E86678">
        <w:trPr>
          <w:trHeight w:val="319"/>
        </w:trPr>
        <w:tc>
          <w:tcPr>
            <w:tcW w:w="471" w:type="dxa"/>
          </w:tcPr>
          <w:p w:rsidR="005F0B13" w:rsidRPr="002F0DF9" w:rsidRDefault="005F0B13" w:rsidP="00FB45DB">
            <w:pPr>
              <w:rPr>
                <w:sz w:val="20"/>
                <w:szCs w:val="20"/>
              </w:rPr>
            </w:pPr>
            <w:r w:rsidRPr="002F0DF9">
              <w:rPr>
                <w:sz w:val="20"/>
                <w:szCs w:val="20"/>
              </w:rPr>
              <w:t>4.</w:t>
            </w:r>
          </w:p>
        </w:tc>
        <w:tc>
          <w:tcPr>
            <w:tcW w:w="5166" w:type="dxa"/>
          </w:tcPr>
          <w:p w:rsidR="005F0B13" w:rsidRPr="002F0DF9" w:rsidRDefault="005F0B13" w:rsidP="00FB45DB">
            <w:pPr>
              <w:rPr>
                <w:sz w:val="20"/>
                <w:szCs w:val="20"/>
              </w:rPr>
            </w:pPr>
            <w:r w:rsidRPr="002F0DF9">
              <w:rPr>
                <w:sz w:val="20"/>
                <w:szCs w:val="20"/>
              </w:rPr>
              <w:t>Fomentar una mayor información sobre usuarios y la cobertura de los programas sociales</w:t>
            </w:r>
          </w:p>
        </w:tc>
        <w:tc>
          <w:tcPr>
            <w:tcW w:w="1701" w:type="dxa"/>
          </w:tcPr>
          <w:p w:rsidR="005F0B13" w:rsidRPr="002F0DF9" w:rsidRDefault="005F0B13" w:rsidP="00F25102">
            <w:pPr>
              <w:jc w:val="center"/>
              <w:rPr>
                <w:sz w:val="20"/>
                <w:szCs w:val="20"/>
              </w:rPr>
            </w:pPr>
            <w:r w:rsidRPr="002F0DF9">
              <w:rPr>
                <w:sz w:val="20"/>
                <w:szCs w:val="20"/>
              </w:rPr>
              <w:t>Sustancial</w:t>
            </w:r>
          </w:p>
        </w:tc>
        <w:tc>
          <w:tcPr>
            <w:tcW w:w="1716" w:type="dxa"/>
          </w:tcPr>
          <w:p w:rsidR="005F0B13" w:rsidRPr="002F0DF9" w:rsidRDefault="005F0B13" w:rsidP="00F25102">
            <w:pPr>
              <w:jc w:val="center"/>
              <w:rPr>
                <w:sz w:val="20"/>
                <w:szCs w:val="20"/>
              </w:rPr>
            </w:pPr>
            <w:r>
              <w:rPr>
                <w:sz w:val="20"/>
                <w:szCs w:val="20"/>
              </w:rPr>
              <w:t>Sustancial</w:t>
            </w:r>
          </w:p>
        </w:tc>
      </w:tr>
      <w:tr w:rsidR="005F0B13" w:rsidRPr="002F0DF9" w:rsidTr="00E86678">
        <w:trPr>
          <w:trHeight w:val="313"/>
        </w:trPr>
        <w:tc>
          <w:tcPr>
            <w:tcW w:w="471" w:type="dxa"/>
          </w:tcPr>
          <w:p w:rsidR="005F0B13" w:rsidRPr="002F0DF9" w:rsidRDefault="005F0B13" w:rsidP="00FB45DB">
            <w:pPr>
              <w:rPr>
                <w:sz w:val="20"/>
                <w:szCs w:val="20"/>
              </w:rPr>
            </w:pPr>
            <w:r w:rsidRPr="002F0DF9">
              <w:rPr>
                <w:sz w:val="20"/>
                <w:szCs w:val="20"/>
              </w:rPr>
              <w:t>5.</w:t>
            </w:r>
          </w:p>
        </w:tc>
        <w:tc>
          <w:tcPr>
            <w:tcW w:w="5166" w:type="dxa"/>
          </w:tcPr>
          <w:p w:rsidR="005F0B13" w:rsidRPr="002F0DF9" w:rsidRDefault="005F0B13" w:rsidP="00FB45DB">
            <w:pPr>
              <w:rPr>
                <w:sz w:val="20"/>
                <w:szCs w:val="20"/>
              </w:rPr>
            </w:pPr>
            <w:r w:rsidRPr="002F0DF9">
              <w:rPr>
                <w:sz w:val="20"/>
                <w:szCs w:val="20"/>
              </w:rPr>
              <w:t>Mejorar el SEACE- Sistema Electrónico de Adquisiciones del Estado</w:t>
            </w:r>
          </w:p>
        </w:tc>
        <w:tc>
          <w:tcPr>
            <w:tcW w:w="1701" w:type="dxa"/>
          </w:tcPr>
          <w:p w:rsidR="005F0B13" w:rsidRPr="002F0DF9" w:rsidRDefault="005F0B13" w:rsidP="00F25102">
            <w:pPr>
              <w:jc w:val="center"/>
              <w:rPr>
                <w:sz w:val="20"/>
                <w:szCs w:val="20"/>
              </w:rPr>
            </w:pPr>
            <w:r w:rsidRPr="002F0DF9">
              <w:rPr>
                <w:sz w:val="20"/>
                <w:szCs w:val="20"/>
              </w:rPr>
              <w:t>Limitado</w:t>
            </w:r>
          </w:p>
        </w:tc>
        <w:tc>
          <w:tcPr>
            <w:tcW w:w="1716" w:type="dxa"/>
          </w:tcPr>
          <w:p w:rsidR="005F0B13" w:rsidRPr="002F0DF9" w:rsidRDefault="005F0B13" w:rsidP="00F25102">
            <w:pPr>
              <w:jc w:val="center"/>
              <w:rPr>
                <w:sz w:val="20"/>
                <w:szCs w:val="20"/>
              </w:rPr>
            </w:pPr>
            <w:r>
              <w:rPr>
                <w:sz w:val="20"/>
                <w:szCs w:val="20"/>
              </w:rPr>
              <w:t>Completo</w:t>
            </w:r>
          </w:p>
        </w:tc>
      </w:tr>
      <w:tr w:rsidR="005F0B13" w:rsidRPr="002F0DF9" w:rsidTr="00E86678">
        <w:trPr>
          <w:trHeight w:val="319"/>
        </w:trPr>
        <w:tc>
          <w:tcPr>
            <w:tcW w:w="471" w:type="dxa"/>
          </w:tcPr>
          <w:p w:rsidR="005F0B13" w:rsidRPr="002F0DF9" w:rsidRDefault="005F0B13" w:rsidP="00FB45DB">
            <w:pPr>
              <w:rPr>
                <w:sz w:val="20"/>
                <w:szCs w:val="20"/>
              </w:rPr>
            </w:pPr>
            <w:r w:rsidRPr="002F0DF9">
              <w:rPr>
                <w:sz w:val="20"/>
                <w:szCs w:val="20"/>
              </w:rPr>
              <w:t>6.</w:t>
            </w:r>
          </w:p>
        </w:tc>
        <w:tc>
          <w:tcPr>
            <w:tcW w:w="5166" w:type="dxa"/>
          </w:tcPr>
          <w:p w:rsidR="005F0B13" w:rsidRPr="002F0DF9" w:rsidRDefault="005F0B13" w:rsidP="00FB45DB">
            <w:pPr>
              <w:rPr>
                <w:sz w:val="20"/>
                <w:szCs w:val="20"/>
              </w:rPr>
            </w:pPr>
            <w:r w:rsidRPr="002F0DF9">
              <w:rPr>
                <w:sz w:val="20"/>
                <w:szCs w:val="20"/>
              </w:rPr>
              <w:t>Implementar Comisiones para la Transparencia de la Industrias Extractivas</w:t>
            </w:r>
          </w:p>
        </w:tc>
        <w:tc>
          <w:tcPr>
            <w:tcW w:w="1701" w:type="dxa"/>
          </w:tcPr>
          <w:p w:rsidR="005F0B13" w:rsidRPr="002F0DF9" w:rsidRDefault="005F0B13" w:rsidP="00F25102">
            <w:pPr>
              <w:jc w:val="center"/>
              <w:rPr>
                <w:sz w:val="20"/>
                <w:szCs w:val="20"/>
              </w:rPr>
            </w:pPr>
            <w:r w:rsidRPr="002F0DF9">
              <w:rPr>
                <w:sz w:val="20"/>
                <w:szCs w:val="20"/>
              </w:rPr>
              <w:t>Completo</w:t>
            </w:r>
          </w:p>
        </w:tc>
        <w:tc>
          <w:tcPr>
            <w:tcW w:w="1716" w:type="dxa"/>
          </w:tcPr>
          <w:p w:rsidR="005F0B13" w:rsidRPr="002F0DF9" w:rsidRDefault="005F0B13" w:rsidP="00F25102">
            <w:pPr>
              <w:jc w:val="center"/>
              <w:rPr>
                <w:sz w:val="20"/>
                <w:szCs w:val="20"/>
              </w:rPr>
            </w:pPr>
            <w:r>
              <w:rPr>
                <w:sz w:val="20"/>
                <w:szCs w:val="20"/>
              </w:rPr>
              <w:t>Completo</w:t>
            </w:r>
          </w:p>
        </w:tc>
      </w:tr>
      <w:tr w:rsidR="005F0B13" w:rsidRPr="002F0DF9" w:rsidTr="00E86678">
        <w:trPr>
          <w:trHeight w:val="156"/>
        </w:trPr>
        <w:tc>
          <w:tcPr>
            <w:tcW w:w="471" w:type="dxa"/>
          </w:tcPr>
          <w:p w:rsidR="005F0B13" w:rsidRPr="002F0DF9" w:rsidRDefault="005F0B13" w:rsidP="00FB45DB">
            <w:pPr>
              <w:rPr>
                <w:sz w:val="20"/>
                <w:szCs w:val="20"/>
              </w:rPr>
            </w:pPr>
            <w:r w:rsidRPr="002F0DF9">
              <w:rPr>
                <w:sz w:val="20"/>
                <w:szCs w:val="20"/>
              </w:rPr>
              <w:t>7.</w:t>
            </w:r>
          </w:p>
        </w:tc>
        <w:tc>
          <w:tcPr>
            <w:tcW w:w="5166" w:type="dxa"/>
          </w:tcPr>
          <w:p w:rsidR="005F0B13" w:rsidRPr="002F0DF9" w:rsidRDefault="005F0B13" w:rsidP="00FB45DB">
            <w:pPr>
              <w:rPr>
                <w:sz w:val="20"/>
                <w:szCs w:val="20"/>
              </w:rPr>
            </w:pPr>
            <w:r w:rsidRPr="002F0DF9">
              <w:rPr>
                <w:sz w:val="20"/>
                <w:szCs w:val="20"/>
              </w:rPr>
              <w:t>Fortalecer la gestión de la participación ciudadana</w:t>
            </w:r>
          </w:p>
        </w:tc>
        <w:tc>
          <w:tcPr>
            <w:tcW w:w="1701" w:type="dxa"/>
          </w:tcPr>
          <w:p w:rsidR="005F0B13" w:rsidRPr="002F0DF9" w:rsidRDefault="005F0B13" w:rsidP="00F25102">
            <w:pPr>
              <w:jc w:val="center"/>
              <w:rPr>
                <w:sz w:val="20"/>
                <w:szCs w:val="20"/>
              </w:rPr>
            </w:pPr>
            <w:r w:rsidRPr="002F0DF9">
              <w:rPr>
                <w:sz w:val="20"/>
                <w:szCs w:val="20"/>
              </w:rPr>
              <w:t>No iniciado</w:t>
            </w:r>
          </w:p>
        </w:tc>
        <w:tc>
          <w:tcPr>
            <w:tcW w:w="1716" w:type="dxa"/>
          </w:tcPr>
          <w:p w:rsidR="005F0B13" w:rsidRPr="002F0DF9" w:rsidRDefault="005F0B13" w:rsidP="00F25102">
            <w:pPr>
              <w:jc w:val="center"/>
              <w:rPr>
                <w:sz w:val="20"/>
                <w:szCs w:val="20"/>
              </w:rPr>
            </w:pPr>
            <w:r>
              <w:rPr>
                <w:sz w:val="20"/>
                <w:szCs w:val="20"/>
              </w:rPr>
              <w:t>No iniciado</w:t>
            </w:r>
          </w:p>
        </w:tc>
      </w:tr>
      <w:tr w:rsidR="005F0B13" w:rsidRPr="002F0DF9" w:rsidTr="00E86678">
        <w:trPr>
          <w:trHeight w:val="476"/>
        </w:trPr>
        <w:tc>
          <w:tcPr>
            <w:tcW w:w="471" w:type="dxa"/>
          </w:tcPr>
          <w:p w:rsidR="005F0B13" w:rsidRPr="002F0DF9" w:rsidRDefault="005F0B13" w:rsidP="00FB45DB">
            <w:pPr>
              <w:rPr>
                <w:sz w:val="20"/>
                <w:szCs w:val="20"/>
              </w:rPr>
            </w:pPr>
            <w:r w:rsidRPr="002F0DF9">
              <w:rPr>
                <w:sz w:val="20"/>
                <w:szCs w:val="20"/>
              </w:rPr>
              <w:t>8.</w:t>
            </w:r>
          </w:p>
        </w:tc>
        <w:tc>
          <w:tcPr>
            <w:tcW w:w="5166" w:type="dxa"/>
          </w:tcPr>
          <w:p w:rsidR="005F0B13" w:rsidRPr="002F0DF9" w:rsidRDefault="005F0B13" w:rsidP="00FB45DB">
            <w:pPr>
              <w:rPr>
                <w:sz w:val="20"/>
                <w:szCs w:val="20"/>
              </w:rPr>
            </w:pPr>
            <w:r w:rsidRPr="002F0DF9">
              <w:rPr>
                <w:sz w:val="20"/>
                <w:szCs w:val="20"/>
              </w:rPr>
              <w:t>Mejorar los conocimientos y habilidades de los funcionarios y servidores públicos y de los pueblos indígenas para la implementación de la Ley de Consulta Previa</w:t>
            </w:r>
          </w:p>
        </w:tc>
        <w:tc>
          <w:tcPr>
            <w:tcW w:w="1701" w:type="dxa"/>
          </w:tcPr>
          <w:p w:rsidR="005F0B13" w:rsidRPr="002F0DF9" w:rsidRDefault="005F0B13" w:rsidP="00F25102">
            <w:pPr>
              <w:jc w:val="center"/>
              <w:rPr>
                <w:sz w:val="20"/>
                <w:szCs w:val="20"/>
              </w:rPr>
            </w:pPr>
            <w:r w:rsidRPr="002F0DF9">
              <w:rPr>
                <w:sz w:val="20"/>
                <w:szCs w:val="20"/>
              </w:rPr>
              <w:t>Completo</w:t>
            </w:r>
          </w:p>
          <w:p w:rsidR="005F0B13" w:rsidRPr="002F0DF9" w:rsidRDefault="005F0B13" w:rsidP="00F25102">
            <w:pPr>
              <w:jc w:val="center"/>
              <w:rPr>
                <w:sz w:val="20"/>
                <w:szCs w:val="20"/>
              </w:rPr>
            </w:pPr>
          </w:p>
          <w:p w:rsidR="005F0B13" w:rsidRPr="002F0DF9" w:rsidRDefault="005F0B13" w:rsidP="00F25102">
            <w:pPr>
              <w:jc w:val="center"/>
              <w:rPr>
                <w:sz w:val="20"/>
                <w:szCs w:val="20"/>
              </w:rPr>
            </w:pPr>
          </w:p>
        </w:tc>
        <w:tc>
          <w:tcPr>
            <w:tcW w:w="1716" w:type="dxa"/>
          </w:tcPr>
          <w:p w:rsidR="005F0B13" w:rsidRDefault="005F0B13" w:rsidP="00F25102">
            <w:pPr>
              <w:jc w:val="center"/>
              <w:rPr>
                <w:sz w:val="20"/>
                <w:szCs w:val="20"/>
              </w:rPr>
            </w:pPr>
            <w:r>
              <w:rPr>
                <w:sz w:val="20"/>
                <w:szCs w:val="20"/>
              </w:rPr>
              <w:t>Completo</w:t>
            </w:r>
          </w:p>
          <w:p w:rsidR="005F0B13" w:rsidRPr="002F0DF9" w:rsidRDefault="005F0B13" w:rsidP="00F25102">
            <w:pPr>
              <w:jc w:val="center"/>
              <w:rPr>
                <w:sz w:val="20"/>
                <w:szCs w:val="20"/>
              </w:rPr>
            </w:pPr>
          </w:p>
        </w:tc>
      </w:tr>
      <w:tr w:rsidR="005F0B13" w:rsidRPr="002F0DF9" w:rsidTr="00E86678">
        <w:trPr>
          <w:trHeight w:val="476"/>
        </w:trPr>
        <w:tc>
          <w:tcPr>
            <w:tcW w:w="471" w:type="dxa"/>
          </w:tcPr>
          <w:p w:rsidR="005F0B13" w:rsidRPr="002F0DF9" w:rsidRDefault="005F0B13" w:rsidP="00FB45DB">
            <w:pPr>
              <w:rPr>
                <w:sz w:val="20"/>
                <w:szCs w:val="20"/>
              </w:rPr>
            </w:pPr>
            <w:r w:rsidRPr="002F0DF9">
              <w:rPr>
                <w:sz w:val="20"/>
                <w:szCs w:val="20"/>
              </w:rPr>
              <w:t>9.</w:t>
            </w:r>
          </w:p>
        </w:tc>
        <w:tc>
          <w:tcPr>
            <w:tcW w:w="5166" w:type="dxa"/>
          </w:tcPr>
          <w:p w:rsidR="005F0B13" w:rsidRPr="002F0DF9" w:rsidRDefault="005F0B13" w:rsidP="00FB45DB">
            <w:pPr>
              <w:rPr>
                <w:sz w:val="20"/>
                <w:szCs w:val="20"/>
              </w:rPr>
            </w:pPr>
            <w:r w:rsidRPr="002F0DF9">
              <w:rPr>
                <w:sz w:val="20"/>
                <w:szCs w:val="20"/>
              </w:rPr>
              <w:t xml:space="preserve">Institucionalizar la participación ciudadana mediante mecanismos de vigilancia social a los procesos </w:t>
            </w:r>
            <w:r w:rsidRPr="002F0DF9">
              <w:rPr>
                <w:sz w:val="20"/>
                <w:szCs w:val="20"/>
                <w:lang w:val="es-PE"/>
              </w:rPr>
              <w:t>del Programa Nacional de Alimentación Escolar PNAE- “Qali Warma”</w:t>
            </w:r>
          </w:p>
        </w:tc>
        <w:tc>
          <w:tcPr>
            <w:tcW w:w="1701" w:type="dxa"/>
          </w:tcPr>
          <w:p w:rsidR="005F0B13" w:rsidRPr="002F0DF9" w:rsidRDefault="005F0B13" w:rsidP="00F25102">
            <w:pPr>
              <w:jc w:val="center"/>
              <w:rPr>
                <w:sz w:val="20"/>
                <w:szCs w:val="20"/>
              </w:rPr>
            </w:pPr>
            <w:r w:rsidRPr="002F0DF9">
              <w:rPr>
                <w:sz w:val="20"/>
                <w:szCs w:val="20"/>
              </w:rPr>
              <w:t>Sustancial</w:t>
            </w:r>
          </w:p>
        </w:tc>
        <w:tc>
          <w:tcPr>
            <w:tcW w:w="1716" w:type="dxa"/>
          </w:tcPr>
          <w:p w:rsidR="005F0B13" w:rsidRPr="002F0DF9" w:rsidRDefault="00DD4C70" w:rsidP="00F25102">
            <w:pPr>
              <w:jc w:val="center"/>
              <w:rPr>
                <w:sz w:val="20"/>
                <w:szCs w:val="20"/>
              </w:rPr>
            </w:pPr>
            <w:r>
              <w:rPr>
                <w:sz w:val="20"/>
                <w:szCs w:val="20"/>
              </w:rPr>
              <w:t>Completo</w:t>
            </w:r>
          </w:p>
        </w:tc>
      </w:tr>
      <w:tr w:rsidR="005F0B13" w:rsidRPr="002F0DF9" w:rsidTr="00E86678">
        <w:trPr>
          <w:trHeight w:val="313"/>
        </w:trPr>
        <w:tc>
          <w:tcPr>
            <w:tcW w:w="471" w:type="dxa"/>
          </w:tcPr>
          <w:p w:rsidR="005F0B13" w:rsidRPr="002F0DF9" w:rsidRDefault="005F0B13" w:rsidP="00FB45DB">
            <w:pPr>
              <w:rPr>
                <w:sz w:val="20"/>
                <w:szCs w:val="20"/>
              </w:rPr>
            </w:pPr>
            <w:r w:rsidRPr="002F0DF9">
              <w:rPr>
                <w:sz w:val="20"/>
                <w:szCs w:val="20"/>
              </w:rPr>
              <w:t>10.</w:t>
            </w:r>
          </w:p>
        </w:tc>
        <w:tc>
          <w:tcPr>
            <w:tcW w:w="5166" w:type="dxa"/>
          </w:tcPr>
          <w:p w:rsidR="005F0B13" w:rsidRPr="002F0DF9" w:rsidRDefault="005F0B13" w:rsidP="00FB45DB">
            <w:pPr>
              <w:rPr>
                <w:sz w:val="20"/>
                <w:szCs w:val="20"/>
              </w:rPr>
            </w:pPr>
            <w:r w:rsidRPr="002F0DF9">
              <w:rPr>
                <w:sz w:val="20"/>
                <w:szCs w:val="20"/>
              </w:rPr>
              <w:t>Fomentar la participación ciudadana en los Acuerdos Plenarios de la Corte Suprema de la República</w:t>
            </w:r>
          </w:p>
        </w:tc>
        <w:tc>
          <w:tcPr>
            <w:tcW w:w="1701" w:type="dxa"/>
          </w:tcPr>
          <w:p w:rsidR="005F0B13" w:rsidRPr="002F0DF9" w:rsidRDefault="005F0B13" w:rsidP="00F25102">
            <w:pPr>
              <w:jc w:val="center"/>
              <w:rPr>
                <w:sz w:val="20"/>
                <w:szCs w:val="20"/>
              </w:rPr>
            </w:pPr>
            <w:r w:rsidRPr="002F0DF9">
              <w:rPr>
                <w:sz w:val="20"/>
                <w:szCs w:val="20"/>
              </w:rPr>
              <w:t>No iniciado</w:t>
            </w:r>
          </w:p>
        </w:tc>
        <w:tc>
          <w:tcPr>
            <w:tcW w:w="1716" w:type="dxa"/>
          </w:tcPr>
          <w:p w:rsidR="005F0B13" w:rsidRPr="002F0DF9" w:rsidRDefault="00DD4C70" w:rsidP="00F25102">
            <w:pPr>
              <w:jc w:val="center"/>
              <w:rPr>
                <w:sz w:val="20"/>
                <w:szCs w:val="20"/>
              </w:rPr>
            </w:pPr>
            <w:r>
              <w:rPr>
                <w:sz w:val="20"/>
                <w:szCs w:val="20"/>
              </w:rPr>
              <w:t>Limitado</w:t>
            </w:r>
          </w:p>
        </w:tc>
      </w:tr>
      <w:tr w:rsidR="005F0B13" w:rsidRPr="002F0DF9" w:rsidTr="00E86678">
        <w:trPr>
          <w:trHeight w:val="319"/>
        </w:trPr>
        <w:tc>
          <w:tcPr>
            <w:tcW w:w="471" w:type="dxa"/>
          </w:tcPr>
          <w:p w:rsidR="005F0B13" w:rsidRPr="002F0DF9" w:rsidRDefault="005F0B13" w:rsidP="00FB45DB">
            <w:pPr>
              <w:rPr>
                <w:sz w:val="20"/>
                <w:szCs w:val="20"/>
              </w:rPr>
            </w:pPr>
            <w:r w:rsidRPr="002F0DF9">
              <w:rPr>
                <w:sz w:val="20"/>
                <w:szCs w:val="20"/>
              </w:rPr>
              <w:t>11.</w:t>
            </w:r>
          </w:p>
        </w:tc>
        <w:tc>
          <w:tcPr>
            <w:tcW w:w="5166" w:type="dxa"/>
          </w:tcPr>
          <w:p w:rsidR="005F0B13" w:rsidRPr="002F0DF9" w:rsidRDefault="005F0B13" w:rsidP="00FB45DB">
            <w:pPr>
              <w:rPr>
                <w:sz w:val="20"/>
                <w:szCs w:val="20"/>
              </w:rPr>
            </w:pPr>
            <w:r w:rsidRPr="002F0DF9">
              <w:rPr>
                <w:rFonts w:ascii="Calibri" w:hAnsi="Calibri"/>
                <w:color w:val="000000"/>
                <w:sz w:val="20"/>
                <w:szCs w:val="20"/>
              </w:rPr>
              <w:t>Información comprensible de Informes de Rendición de cuentas de los Titulares de las Entidades Públicas</w:t>
            </w:r>
          </w:p>
        </w:tc>
        <w:tc>
          <w:tcPr>
            <w:tcW w:w="1701" w:type="dxa"/>
          </w:tcPr>
          <w:p w:rsidR="005F0B13" w:rsidRPr="002F0DF9" w:rsidRDefault="005F0B13" w:rsidP="00F25102">
            <w:pPr>
              <w:jc w:val="center"/>
              <w:rPr>
                <w:sz w:val="20"/>
                <w:szCs w:val="20"/>
              </w:rPr>
            </w:pPr>
            <w:r w:rsidRPr="002F0DF9">
              <w:rPr>
                <w:sz w:val="20"/>
                <w:szCs w:val="20"/>
              </w:rPr>
              <w:t>Sustancial</w:t>
            </w:r>
          </w:p>
        </w:tc>
        <w:tc>
          <w:tcPr>
            <w:tcW w:w="1716" w:type="dxa"/>
          </w:tcPr>
          <w:p w:rsidR="005F0B13" w:rsidRPr="002F0DF9" w:rsidRDefault="00DD4C70" w:rsidP="00F25102">
            <w:pPr>
              <w:jc w:val="center"/>
              <w:rPr>
                <w:sz w:val="20"/>
                <w:szCs w:val="20"/>
              </w:rPr>
            </w:pPr>
            <w:r>
              <w:rPr>
                <w:sz w:val="20"/>
                <w:szCs w:val="20"/>
              </w:rPr>
              <w:t>Completo</w:t>
            </w:r>
          </w:p>
        </w:tc>
      </w:tr>
      <w:tr w:rsidR="005F0B13" w:rsidRPr="002F0DF9" w:rsidTr="00E86678">
        <w:trPr>
          <w:trHeight w:val="156"/>
        </w:trPr>
        <w:tc>
          <w:tcPr>
            <w:tcW w:w="471" w:type="dxa"/>
          </w:tcPr>
          <w:p w:rsidR="005F0B13" w:rsidRPr="002F0DF9" w:rsidRDefault="005F0B13" w:rsidP="00FB45DB">
            <w:pPr>
              <w:rPr>
                <w:sz w:val="20"/>
                <w:szCs w:val="20"/>
              </w:rPr>
            </w:pPr>
            <w:r w:rsidRPr="002F0DF9">
              <w:rPr>
                <w:sz w:val="20"/>
                <w:szCs w:val="20"/>
              </w:rPr>
              <w:t>12.</w:t>
            </w:r>
          </w:p>
        </w:tc>
        <w:tc>
          <w:tcPr>
            <w:tcW w:w="5166" w:type="dxa"/>
          </w:tcPr>
          <w:p w:rsidR="005F0B13" w:rsidRPr="002F0DF9" w:rsidRDefault="005F0B13" w:rsidP="00FB45DB">
            <w:pPr>
              <w:rPr>
                <w:rFonts w:ascii="Calibri" w:hAnsi="Calibri"/>
                <w:color w:val="000000"/>
                <w:sz w:val="20"/>
                <w:szCs w:val="20"/>
              </w:rPr>
            </w:pPr>
            <w:r w:rsidRPr="002F0DF9">
              <w:rPr>
                <w:sz w:val="20"/>
                <w:szCs w:val="20"/>
              </w:rPr>
              <w:t>Mejorar la calidad de las audiencias de rendición de cuentas</w:t>
            </w:r>
          </w:p>
        </w:tc>
        <w:tc>
          <w:tcPr>
            <w:tcW w:w="1701" w:type="dxa"/>
          </w:tcPr>
          <w:p w:rsidR="005F0B13" w:rsidRPr="002F0DF9" w:rsidRDefault="005F0B13" w:rsidP="00F25102">
            <w:pPr>
              <w:jc w:val="center"/>
              <w:rPr>
                <w:sz w:val="20"/>
                <w:szCs w:val="20"/>
              </w:rPr>
            </w:pPr>
            <w:r w:rsidRPr="002F0DF9">
              <w:rPr>
                <w:sz w:val="20"/>
                <w:szCs w:val="20"/>
              </w:rPr>
              <w:t>No iniciado</w:t>
            </w:r>
          </w:p>
        </w:tc>
        <w:tc>
          <w:tcPr>
            <w:tcW w:w="1716" w:type="dxa"/>
          </w:tcPr>
          <w:p w:rsidR="005F0B13" w:rsidRPr="002F0DF9" w:rsidRDefault="00DD4C70" w:rsidP="00F25102">
            <w:pPr>
              <w:jc w:val="center"/>
              <w:rPr>
                <w:sz w:val="20"/>
                <w:szCs w:val="20"/>
              </w:rPr>
            </w:pPr>
            <w:r>
              <w:rPr>
                <w:sz w:val="20"/>
                <w:szCs w:val="20"/>
              </w:rPr>
              <w:t>No iniciado</w:t>
            </w:r>
          </w:p>
        </w:tc>
      </w:tr>
      <w:tr w:rsidR="005F0B13" w:rsidRPr="002F0DF9" w:rsidTr="00E86678">
        <w:trPr>
          <w:trHeight w:val="476"/>
        </w:trPr>
        <w:tc>
          <w:tcPr>
            <w:tcW w:w="471" w:type="dxa"/>
          </w:tcPr>
          <w:p w:rsidR="005F0B13" w:rsidRPr="002F0DF9" w:rsidRDefault="005F0B13" w:rsidP="00FB45DB">
            <w:pPr>
              <w:rPr>
                <w:sz w:val="20"/>
                <w:szCs w:val="20"/>
              </w:rPr>
            </w:pPr>
            <w:r w:rsidRPr="002F0DF9">
              <w:rPr>
                <w:sz w:val="20"/>
                <w:szCs w:val="20"/>
              </w:rPr>
              <w:t>13.</w:t>
            </w:r>
          </w:p>
        </w:tc>
        <w:tc>
          <w:tcPr>
            <w:tcW w:w="5166" w:type="dxa"/>
          </w:tcPr>
          <w:p w:rsidR="005F0B13" w:rsidRPr="002F0DF9" w:rsidRDefault="005F0B13" w:rsidP="00FB45DB">
            <w:pPr>
              <w:rPr>
                <w:sz w:val="20"/>
                <w:szCs w:val="20"/>
              </w:rPr>
            </w:pPr>
            <w:r w:rsidRPr="002F0DF9">
              <w:rPr>
                <w:sz w:val="20"/>
                <w:szCs w:val="20"/>
              </w:rPr>
              <w:t>Implementar mecanismos para rendir cuentas sobre el gasto público en políticas, programas y proyectos dirigidos a la niñez.</w:t>
            </w:r>
          </w:p>
        </w:tc>
        <w:tc>
          <w:tcPr>
            <w:tcW w:w="1701" w:type="dxa"/>
          </w:tcPr>
          <w:p w:rsidR="005F0B13" w:rsidRPr="002F0DF9" w:rsidRDefault="005F0B13" w:rsidP="00F25102">
            <w:pPr>
              <w:jc w:val="center"/>
              <w:rPr>
                <w:sz w:val="20"/>
                <w:szCs w:val="20"/>
              </w:rPr>
            </w:pPr>
            <w:r w:rsidRPr="002F0DF9">
              <w:rPr>
                <w:sz w:val="20"/>
                <w:szCs w:val="20"/>
              </w:rPr>
              <w:t>Completo</w:t>
            </w:r>
          </w:p>
        </w:tc>
        <w:tc>
          <w:tcPr>
            <w:tcW w:w="1716" w:type="dxa"/>
          </w:tcPr>
          <w:p w:rsidR="005F0B13" w:rsidRPr="002F0DF9" w:rsidRDefault="00DD4C70" w:rsidP="00F25102">
            <w:pPr>
              <w:jc w:val="center"/>
              <w:rPr>
                <w:sz w:val="20"/>
                <w:szCs w:val="20"/>
              </w:rPr>
            </w:pPr>
            <w:r>
              <w:rPr>
                <w:sz w:val="20"/>
                <w:szCs w:val="20"/>
              </w:rPr>
              <w:t>Completo</w:t>
            </w:r>
          </w:p>
        </w:tc>
      </w:tr>
      <w:tr w:rsidR="005F0B13" w:rsidRPr="002F0DF9" w:rsidTr="00E86678">
        <w:trPr>
          <w:trHeight w:val="313"/>
        </w:trPr>
        <w:tc>
          <w:tcPr>
            <w:tcW w:w="471" w:type="dxa"/>
          </w:tcPr>
          <w:p w:rsidR="005F0B13" w:rsidRPr="002F0DF9" w:rsidRDefault="005F0B13" w:rsidP="00FB45DB">
            <w:pPr>
              <w:rPr>
                <w:sz w:val="20"/>
                <w:szCs w:val="20"/>
              </w:rPr>
            </w:pPr>
            <w:r w:rsidRPr="002F0DF9">
              <w:rPr>
                <w:sz w:val="20"/>
                <w:szCs w:val="20"/>
              </w:rPr>
              <w:t>14.</w:t>
            </w:r>
          </w:p>
        </w:tc>
        <w:tc>
          <w:tcPr>
            <w:tcW w:w="5166" w:type="dxa"/>
          </w:tcPr>
          <w:p w:rsidR="005F0B13" w:rsidRPr="002F0DF9" w:rsidRDefault="005F0B13" w:rsidP="00FB45DB">
            <w:pPr>
              <w:rPr>
                <w:sz w:val="20"/>
                <w:szCs w:val="20"/>
              </w:rPr>
            </w:pPr>
            <w:r w:rsidRPr="002F0DF9">
              <w:rPr>
                <w:rFonts w:ascii="Calibri" w:hAnsi="Calibri"/>
                <w:color w:val="000000"/>
                <w:sz w:val="20"/>
                <w:szCs w:val="20"/>
              </w:rPr>
              <w:t>Promover la publicación de datos abiertos de manera clara utilizando estándares abiertos e interoperables</w:t>
            </w:r>
          </w:p>
        </w:tc>
        <w:tc>
          <w:tcPr>
            <w:tcW w:w="1701" w:type="dxa"/>
          </w:tcPr>
          <w:p w:rsidR="005F0B13" w:rsidRPr="002F0DF9" w:rsidRDefault="005F0B13" w:rsidP="00F25102">
            <w:pPr>
              <w:jc w:val="center"/>
              <w:rPr>
                <w:sz w:val="20"/>
                <w:szCs w:val="20"/>
              </w:rPr>
            </w:pPr>
            <w:r w:rsidRPr="002F0DF9">
              <w:rPr>
                <w:sz w:val="20"/>
                <w:szCs w:val="20"/>
              </w:rPr>
              <w:t>Sustancial</w:t>
            </w:r>
          </w:p>
        </w:tc>
        <w:tc>
          <w:tcPr>
            <w:tcW w:w="1716" w:type="dxa"/>
          </w:tcPr>
          <w:p w:rsidR="005F0B13" w:rsidRPr="002F0DF9" w:rsidRDefault="00DD4C70" w:rsidP="00F25102">
            <w:pPr>
              <w:jc w:val="center"/>
              <w:rPr>
                <w:sz w:val="20"/>
                <w:szCs w:val="20"/>
              </w:rPr>
            </w:pPr>
            <w:r>
              <w:rPr>
                <w:sz w:val="20"/>
                <w:szCs w:val="20"/>
              </w:rPr>
              <w:t>Completo</w:t>
            </w:r>
          </w:p>
        </w:tc>
      </w:tr>
      <w:tr w:rsidR="005F0B13" w:rsidRPr="002F0DF9" w:rsidTr="00E86678">
        <w:trPr>
          <w:trHeight w:val="156"/>
        </w:trPr>
        <w:tc>
          <w:tcPr>
            <w:tcW w:w="471" w:type="dxa"/>
          </w:tcPr>
          <w:p w:rsidR="005F0B13" w:rsidRPr="002F0DF9" w:rsidRDefault="005F0B13" w:rsidP="00FB45DB">
            <w:pPr>
              <w:rPr>
                <w:sz w:val="20"/>
                <w:szCs w:val="20"/>
              </w:rPr>
            </w:pPr>
            <w:r w:rsidRPr="002F0DF9">
              <w:rPr>
                <w:sz w:val="20"/>
                <w:szCs w:val="20"/>
              </w:rPr>
              <w:t>15.</w:t>
            </w:r>
          </w:p>
        </w:tc>
        <w:tc>
          <w:tcPr>
            <w:tcW w:w="5166" w:type="dxa"/>
          </w:tcPr>
          <w:p w:rsidR="005F0B13" w:rsidRPr="002F0DF9" w:rsidRDefault="005F0B13" w:rsidP="00FB45DB">
            <w:pPr>
              <w:rPr>
                <w:rFonts w:ascii="Calibri" w:hAnsi="Calibri"/>
                <w:color w:val="000000"/>
                <w:sz w:val="20"/>
                <w:szCs w:val="20"/>
              </w:rPr>
            </w:pPr>
            <w:r w:rsidRPr="002F0DF9">
              <w:rPr>
                <w:rFonts w:ascii="Calibri" w:hAnsi="Calibri"/>
                <w:color w:val="000000"/>
                <w:sz w:val="20"/>
                <w:szCs w:val="20"/>
              </w:rPr>
              <w:t>Incrementar el número de servicios en línea</w:t>
            </w:r>
          </w:p>
        </w:tc>
        <w:tc>
          <w:tcPr>
            <w:tcW w:w="1701" w:type="dxa"/>
          </w:tcPr>
          <w:p w:rsidR="005F0B13" w:rsidRPr="002F0DF9" w:rsidRDefault="005F0B13" w:rsidP="00F25102">
            <w:pPr>
              <w:jc w:val="center"/>
              <w:rPr>
                <w:sz w:val="20"/>
                <w:szCs w:val="20"/>
              </w:rPr>
            </w:pPr>
            <w:r w:rsidRPr="002F0DF9">
              <w:rPr>
                <w:sz w:val="20"/>
                <w:szCs w:val="20"/>
              </w:rPr>
              <w:t>Completo</w:t>
            </w:r>
          </w:p>
        </w:tc>
        <w:tc>
          <w:tcPr>
            <w:tcW w:w="1716" w:type="dxa"/>
          </w:tcPr>
          <w:p w:rsidR="005F0B13" w:rsidRPr="002F0DF9" w:rsidRDefault="00DD4C70" w:rsidP="00F25102">
            <w:pPr>
              <w:jc w:val="center"/>
              <w:rPr>
                <w:sz w:val="20"/>
                <w:szCs w:val="20"/>
              </w:rPr>
            </w:pPr>
            <w:r>
              <w:rPr>
                <w:sz w:val="20"/>
                <w:szCs w:val="20"/>
              </w:rPr>
              <w:t>Completo</w:t>
            </w:r>
          </w:p>
        </w:tc>
      </w:tr>
      <w:tr w:rsidR="005F0B13" w:rsidRPr="002F0DF9" w:rsidTr="00E86678">
        <w:trPr>
          <w:trHeight w:val="476"/>
        </w:trPr>
        <w:tc>
          <w:tcPr>
            <w:tcW w:w="471" w:type="dxa"/>
          </w:tcPr>
          <w:p w:rsidR="005F0B13" w:rsidRPr="002F0DF9" w:rsidRDefault="005F0B13" w:rsidP="00FB45DB">
            <w:pPr>
              <w:rPr>
                <w:sz w:val="20"/>
                <w:szCs w:val="20"/>
              </w:rPr>
            </w:pPr>
            <w:r w:rsidRPr="002F0DF9">
              <w:rPr>
                <w:sz w:val="20"/>
                <w:szCs w:val="20"/>
              </w:rPr>
              <w:t>16.</w:t>
            </w:r>
          </w:p>
        </w:tc>
        <w:tc>
          <w:tcPr>
            <w:tcW w:w="5166" w:type="dxa"/>
          </w:tcPr>
          <w:p w:rsidR="005F0B13" w:rsidRPr="002F0DF9" w:rsidRDefault="005F0B13" w:rsidP="00FB45DB">
            <w:pPr>
              <w:rPr>
                <w:rFonts w:ascii="Calibri" w:hAnsi="Calibri"/>
                <w:color w:val="000000"/>
                <w:sz w:val="20"/>
                <w:szCs w:val="20"/>
              </w:rPr>
            </w:pPr>
            <w:r w:rsidRPr="002F0DF9">
              <w:rPr>
                <w:rFonts w:ascii="Calibri" w:hAnsi="Calibri"/>
                <w:color w:val="000000"/>
                <w:sz w:val="20"/>
                <w:szCs w:val="20"/>
              </w:rPr>
              <w:t>Mejorar los conocimientos de los funcionarios y servidores públicos para que desarrollen y brinden servicios públicos en línea</w:t>
            </w:r>
          </w:p>
        </w:tc>
        <w:tc>
          <w:tcPr>
            <w:tcW w:w="1701" w:type="dxa"/>
          </w:tcPr>
          <w:p w:rsidR="005F0B13" w:rsidRPr="002F0DF9" w:rsidRDefault="005F0B13" w:rsidP="00F25102">
            <w:pPr>
              <w:jc w:val="center"/>
              <w:rPr>
                <w:sz w:val="20"/>
                <w:szCs w:val="20"/>
              </w:rPr>
            </w:pPr>
            <w:r w:rsidRPr="002F0DF9">
              <w:rPr>
                <w:sz w:val="20"/>
                <w:szCs w:val="20"/>
              </w:rPr>
              <w:t>Completo</w:t>
            </w:r>
          </w:p>
        </w:tc>
        <w:tc>
          <w:tcPr>
            <w:tcW w:w="1716" w:type="dxa"/>
          </w:tcPr>
          <w:p w:rsidR="005F0B13" w:rsidRPr="002F0DF9" w:rsidRDefault="00DD4C70" w:rsidP="00F25102">
            <w:pPr>
              <w:jc w:val="center"/>
              <w:rPr>
                <w:sz w:val="20"/>
                <w:szCs w:val="20"/>
              </w:rPr>
            </w:pPr>
            <w:r>
              <w:rPr>
                <w:sz w:val="20"/>
                <w:szCs w:val="20"/>
              </w:rPr>
              <w:t>Completo</w:t>
            </w:r>
          </w:p>
        </w:tc>
      </w:tr>
      <w:tr w:rsidR="005F0B13" w:rsidRPr="002F0DF9" w:rsidTr="00E86678">
        <w:trPr>
          <w:trHeight w:val="476"/>
        </w:trPr>
        <w:tc>
          <w:tcPr>
            <w:tcW w:w="471" w:type="dxa"/>
          </w:tcPr>
          <w:p w:rsidR="005F0B13" w:rsidRPr="002F0DF9" w:rsidRDefault="005F0B13" w:rsidP="00FB45DB">
            <w:pPr>
              <w:rPr>
                <w:sz w:val="20"/>
                <w:szCs w:val="20"/>
              </w:rPr>
            </w:pPr>
            <w:r w:rsidRPr="002F0DF9">
              <w:rPr>
                <w:sz w:val="20"/>
                <w:szCs w:val="20"/>
              </w:rPr>
              <w:t>17.</w:t>
            </w:r>
          </w:p>
        </w:tc>
        <w:tc>
          <w:tcPr>
            <w:tcW w:w="5166" w:type="dxa"/>
          </w:tcPr>
          <w:p w:rsidR="005F0B13" w:rsidRPr="002F0DF9" w:rsidRDefault="005F0B13" w:rsidP="00FB45DB">
            <w:pPr>
              <w:rPr>
                <w:rFonts w:ascii="Calibri" w:hAnsi="Calibri"/>
                <w:color w:val="000000"/>
                <w:sz w:val="20"/>
                <w:szCs w:val="20"/>
              </w:rPr>
            </w:pPr>
            <w:r w:rsidRPr="002F0DF9">
              <w:rPr>
                <w:rFonts w:ascii="Calibri" w:hAnsi="Calibri"/>
                <w:color w:val="000000"/>
                <w:sz w:val="20"/>
                <w:szCs w:val="20"/>
              </w:rPr>
              <w:t>Promover una adecuada gestión de las Redes Sociales en las entidades de la Administración Pública como herramientas para comunicar las acciones de dichas entidades</w:t>
            </w:r>
          </w:p>
        </w:tc>
        <w:tc>
          <w:tcPr>
            <w:tcW w:w="1701" w:type="dxa"/>
          </w:tcPr>
          <w:p w:rsidR="005F0B13" w:rsidRPr="002F0DF9" w:rsidRDefault="005F0B13" w:rsidP="00F25102">
            <w:pPr>
              <w:jc w:val="center"/>
              <w:rPr>
                <w:sz w:val="20"/>
                <w:szCs w:val="20"/>
              </w:rPr>
            </w:pPr>
            <w:r w:rsidRPr="002F0DF9">
              <w:rPr>
                <w:sz w:val="20"/>
                <w:szCs w:val="20"/>
              </w:rPr>
              <w:t>Sustancial</w:t>
            </w:r>
          </w:p>
        </w:tc>
        <w:tc>
          <w:tcPr>
            <w:tcW w:w="1716" w:type="dxa"/>
          </w:tcPr>
          <w:p w:rsidR="005F0B13" w:rsidRPr="002F0DF9" w:rsidRDefault="00DD4C70" w:rsidP="00F25102">
            <w:pPr>
              <w:jc w:val="center"/>
              <w:rPr>
                <w:sz w:val="20"/>
                <w:szCs w:val="20"/>
              </w:rPr>
            </w:pPr>
            <w:r>
              <w:rPr>
                <w:sz w:val="20"/>
                <w:szCs w:val="20"/>
              </w:rPr>
              <w:t>Sustancial</w:t>
            </w:r>
          </w:p>
        </w:tc>
      </w:tr>
    </w:tbl>
    <w:p w:rsidR="00A14B06" w:rsidRDefault="00A14B06" w:rsidP="00EF33B6">
      <w:pPr>
        <w:jc w:val="both"/>
      </w:pPr>
    </w:p>
    <w:p w:rsidR="00DD12E4" w:rsidRDefault="00DD12E4" w:rsidP="00EF33B6">
      <w:pPr>
        <w:jc w:val="both"/>
      </w:pPr>
    </w:p>
    <w:p w:rsidR="00301D7C" w:rsidRDefault="00301D7C" w:rsidP="00EF33B6">
      <w:pPr>
        <w:jc w:val="both"/>
      </w:pPr>
    </w:p>
    <w:p w:rsidR="00A14B06" w:rsidRDefault="00272BDF" w:rsidP="00EF33B6">
      <w:pPr>
        <w:jc w:val="both"/>
      </w:pPr>
      <w:r>
        <w:t xml:space="preserve">  </w:t>
      </w:r>
    </w:p>
    <w:sectPr w:rsidR="00A14B06" w:rsidSect="000C6829">
      <w:footerReference w:type="default" r:id="rId56"/>
      <w:footerReference w:type="first" r:id="rId57"/>
      <w:pgSz w:w="11907" w:h="16839" w:code="9"/>
      <w:pgMar w:top="1519" w:right="1701"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D0" w:rsidRDefault="004165D0" w:rsidP="00BC42E0">
      <w:pPr>
        <w:spacing w:after="0" w:line="240" w:lineRule="auto"/>
      </w:pPr>
      <w:r>
        <w:separator/>
      </w:r>
    </w:p>
  </w:endnote>
  <w:endnote w:type="continuationSeparator" w:id="0">
    <w:p w:rsidR="004165D0" w:rsidRDefault="004165D0" w:rsidP="00BC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 Bold">
    <w:altName w:val="Gotham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m">
    <w:altName w:val="Gotham"/>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Gotham-Book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8A" w:rsidRDefault="0048508A" w:rsidP="00974852">
    <w:pPr>
      <w:pStyle w:val="Piedepgina"/>
    </w:pPr>
    <w:r>
      <w:t xml:space="preserve"> </w:t>
    </w:r>
    <w:r>
      <w:tab/>
    </w:r>
    <w:sdt>
      <w:sdtPr>
        <w:id w:val="518437307"/>
        <w:docPartObj>
          <w:docPartGallery w:val="Page Numbers (Bottom of Page)"/>
          <w:docPartUnique/>
        </w:docPartObj>
      </w:sdtPr>
      <w:sdtEndPr/>
      <w:sdtContent>
        <w:r>
          <w:fldChar w:fldCharType="begin"/>
        </w:r>
        <w:r>
          <w:instrText>PAGE   \* MERGEFORMAT</w:instrText>
        </w:r>
        <w:r>
          <w:fldChar w:fldCharType="separate"/>
        </w:r>
        <w:r w:rsidR="008F7639" w:rsidRPr="008F7639">
          <w:rPr>
            <w:noProof/>
            <w:lang w:val="es-ES"/>
          </w:rPr>
          <w:t>41</w:t>
        </w:r>
        <w:r>
          <w:fldChar w:fldCharType="end"/>
        </w:r>
      </w:sdtContent>
    </w:sdt>
  </w:p>
  <w:p w:rsidR="0048508A" w:rsidRDefault="004850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8A" w:rsidRDefault="0048508A" w:rsidP="00A24D19">
    <w:pPr>
      <w:pStyle w:val="Piedepgina"/>
    </w:pPr>
  </w:p>
  <w:p w:rsidR="0048508A" w:rsidRDefault="004850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D0" w:rsidRDefault="004165D0" w:rsidP="00BC42E0">
      <w:pPr>
        <w:spacing w:after="0" w:line="240" w:lineRule="auto"/>
      </w:pPr>
      <w:r>
        <w:separator/>
      </w:r>
    </w:p>
  </w:footnote>
  <w:footnote w:type="continuationSeparator" w:id="0">
    <w:p w:rsidR="004165D0" w:rsidRDefault="004165D0" w:rsidP="00BC42E0">
      <w:pPr>
        <w:spacing w:after="0" w:line="240" w:lineRule="auto"/>
      </w:pPr>
      <w:r>
        <w:continuationSeparator/>
      </w:r>
    </w:p>
  </w:footnote>
  <w:footnote w:id="1">
    <w:p w:rsidR="0048508A" w:rsidRDefault="0048508A">
      <w:pPr>
        <w:pStyle w:val="Textonotapie"/>
        <w:rPr>
          <w:sz w:val="18"/>
          <w:szCs w:val="18"/>
        </w:rPr>
      </w:pPr>
      <w:r w:rsidRPr="006857C8">
        <w:rPr>
          <w:rStyle w:val="Refdenotaalpie"/>
          <w:sz w:val="18"/>
          <w:szCs w:val="18"/>
        </w:rPr>
        <w:footnoteRef/>
      </w:r>
      <w:r w:rsidRPr="006857C8">
        <w:rPr>
          <w:sz w:val="18"/>
          <w:szCs w:val="18"/>
        </w:rPr>
        <w:t xml:space="preserve"> </w:t>
      </w:r>
      <w:hyperlink r:id="rId1" w:history="1">
        <w:r w:rsidRPr="001A65E2">
          <w:rPr>
            <w:rStyle w:val="Hipervnculo"/>
            <w:sz w:val="18"/>
            <w:szCs w:val="18"/>
          </w:rPr>
          <w:t>http://www.pcm.gob.pe/gobierno_abierto_peru/</w:t>
        </w:r>
      </w:hyperlink>
      <w:r>
        <w:rPr>
          <w:sz w:val="18"/>
          <w:szCs w:val="18"/>
        </w:rPr>
        <w:t xml:space="preserve"> ; </w:t>
      </w:r>
    </w:p>
    <w:p w:rsidR="0048508A" w:rsidRDefault="004165D0">
      <w:pPr>
        <w:pStyle w:val="Textonotapie"/>
        <w:rPr>
          <w:sz w:val="18"/>
          <w:szCs w:val="18"/>
        </w:rPr>
      </w:pPr>
      <w:hyperlink r:id="rId2" w:history="1">
        <w:r w:rsidR="0048508A" w:rsidRPr="001A65E2">
          <w:rPr>
            <w:rStyle w:val="Hipervnculo"/>
            <w:sz w:val="18"/>
            <w:szCs w:val="18"/>
          </w:rPr>
          <w:t>http://www.pcm.gob.pe/wp-content/uploads/2014/01/PLAN_AGA.pdf</w:t>
        </w:r>
      </w:hyperlink>
    </w:p>
    <w:p w:rsidR="0048508A" w:rsidRPr="006857C8" w:rsidRDefault="0048508A">
      <w:pPr>
        <w:pStyle w:val="Textonotapie"/>
        <w:rPr>
          <w:sz w:val="18"/>
          <w:szCs w:val="18"/>
        </w:rPr>
      </w:pPr>
    </w:p>
  </w:footnote>
  <w:footnote w:id="2">
    <w:p w:rsidR="0048508A" w:rsidRPr="00886165" w:rsidRDefault="0048508A" w:rsidP="00265D44">
      <w:pPr>
        <w:pStyle w:val="Piedepgina"/>
        <w:rPr>
          <w:sz w:val="14"/>
          <w:szCs w:val="14"/>
        </w:rPr>
      </w:pPr>
      <w:r>
        <w:rPr>
          <w:rStyle w:val="Refdenotaalpie"/>
        </w:rPr>
        <w:footnoteRef/>
      </w:r>
      <w:r>
        <w:t xml:space="preserve"> </w:t>
      </w:r>
      <w:r w:rsidRPr="00886165">
        <w:rPr>
          <w:sz w:val="14"/>
          <w:szCs w:val="14"/>
        </w:rPr>
        <w:t>Algunos sustentos de Fortalecimiento de Conocimientos y Capacidades:</w:t>
      </w:r>
    </w:p>
    <w:p w:rsidR="0048508A" w:rsidRPr="00886165" w:rsidRDefault="0048508A" w:rsidP="00265D44">
      <w:pPr>
        <w:pStyle w:val="Piedepgina"/>
        <w:rPr>
          <w:sz w:val="14"/>
          <w:szCs w:val="14"/>
        </w:rPr>
      </w:pPr>
      <w:r w:rsidRPr="00886165">
        <w:rPr>
          <w:sz w:val="14"/>
          <w:szCs w:val="14"/>
        </w:rPr>
        <w:t>- Taller de Capacitación en el derecho a la consulta previa de los pueblos indígenas u originarios con funcionarios y funcionarias de la Superintendencia Nacionales de Bienes Estatales</w:t>
      </w:r>
    </w:p>
    <w:p w:rsidR="0048508A" w:rsidRPr="00886165" w:rsidRDefault="004165D0" w:rsidP="00265D44">
      <w:pPr>
        <w:pStyle w:val="Piedepgina"/>
        <w:rPr>
          <w:sz w:val="14"/>
          <w:szCs w:val="14"/>
        </w:rPr>
      </w:pPr>
      <w:hyperlink r:id="rId3" w:history="1">
        <w:r w:rsidR="0048508A" w:rsidRPr="00886165">
          <w:rPr>
            <w:rStyle w:val="Hipervnculo"/>
            <w:sz w:val="14"/>
            <w:szCs w:val="14"/>
          </w:rPr>
          <w:t>http://consultaprevia.cultura.gob.pe/capacitaciones/3101/</w:t>
        </w:r>
      </w:hyperlink>
    </w:p>
    <w:p w:rsidR="0048508A" w:rsidRPr="00886165" w:rsidRDefault="0048508A" w:rsidP="00265D44">
      <w:pPr>
        <w:pStyle w:val="Piedepgina"/>
        <w:rPr>
          <w:sz w:val="14"/>
          <w:szCs w:val="14"/>
        </w:rPr>
      </w:pPr>
      <w:r w:rsidRPr="00886165">
        <w:rPr>
          <w:sz w:val="14"/>
          <w:szCs w:val="14"/>
        </w:rPr>
        <w:t xml:space="preserve">- Taller de  Capacitación para líderes y lideresas indígenas en derecho a la consulta previa – CNA </w:t>
      </w:r>
      <w:hyperlink r:id="rId4" w:history="1">
        <w:r w:rsidRPr="00886165">
          <w:rPr>
            <w:rStyle w:val="Hipervnculo"/>
            <w:sz w:val="14"/>
            <w:szCs w:val="14"/>
          </w:rPr>
          <w:t>http://consultaprevia.cultura.gob.pe/categoria/talleres-con-lideres/?nombre=&amp;fecha=2016-04</w:t>
        </w:r>
      </w:hyperlink>
    </w:p>
    <w:p w:rsidR="0048508A" w:rsidRPr="00886165" w:rsidRDefault="0048508A" w:rsidP="00265D44">
      <w:pPr>
        <w:pStyle w:val="Piedepgina"/>
        <w:rPr>
          <w:sz w:val="14"/>
          <w:szCs w:val="14"/>
        </w:rPr>
      </w:pPr>
      <w:r w:rsidRPr="00886165">
        <w:rPr>
          <w:sz w:val="14"/>
          <w:szCs w:val="14"/>
        </w:rPr>
        <w:t xml:space="preserve">- </w:t>
      </w:r>
      <w:hyperlink r:id="rId5" w:history="1">
        <w:r w:rsidRPr="00886165">
          <w:rPr>
            <w:sz w:val="14"/>
            <w:szCs w:val="14"/>
          </w:rPr>
          <w:t>Taller de capacitación sobre el derecho a la consulta previa de los pueblos indígenas u originarios con líderes y lideresas indígenas de las Bases de la Federación de Pueblos Indígenas de Bajo y Alto Corrientes – FEPIBAC</w:t>
        </w:r>
      </w:hyperlink>
    </w:p>
    <w:p w:rsidR="0048508A" w:rsidRPr="00886165" w:rsidRDefault="004165D0" w:rsidP="00265D44">
      <w:pPr>
        <w:pStyle w:val="Piedepgina"/>
        <w:rPr>
          <w:sz w:val="14"/>
          <w:szCs w:val="14"/>
          <w:lang w:val="es-PE"/>
        </w:rPr>
      </w:pPr>
      <w:hyperlink r:id="rId6" w:history="1">
        <w:r w:rsidR="0048508A" w:rsidRPr="00886165">
          <w:rPr>
            <w:rStyle w:val="Hipervnculo"/>
            <w:sz w:val="14"/>
            <w:szCs w:val="14"/>
          </w:rPr>
          <w:t>http://consultaprevia.cultura.gob.pe/capacitaciones/taller-de-capacitacion-sobre-el-derecho-a-la-consulta-previa-de-los-pueblos-indigenas-u-originarios-con-lideres-y-lideresas-indigenas-de-las-bases-de-la-federacion-de-pueblos-indigenas-de-bajo-y-alto/</w:t>
        </w:r>
      </w:hyperlink>
    </w:p>
    <w:p w:rsidR="0048508A" w:rsidRPr="00712523" w:rsidRDefault="0048508A" w:rsidP="00265D44">
      <w:pPr>
        <w:pStyle w:val="Textonotapie"/>
        <w:rPr>
          <w:lang w:val="es-P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73B"/>
    <w:multiLevelType w:val="hybridMultilevel"/>
    <w:tmpl w:val="7BFCDB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C013DC"/>
    <w:multiLevelType w:val="hybridMultilevel"/>
    <w:tmpl w:val="D0E2EF8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05E71547"/>
    <w:multiLevelType w:val="hybridMultilevel"/>
    <w:tmpl w:val="F71EEF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76154F"/>
    <w:multiLevelType w:val="hybridMultilevel"/>
    <w:tmpl w:val="DA50C0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0DC6F2E"/>
    <w:multiLevelType w:val="hybridMultilevel"/>
    <w:tmpl w:val="1018A6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13E2878"/>
    <w:multiLevelType w:val="hybridMultilevel"/>
    <w:tmpl w:val="E6B691E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1505A75"/>
    <w:multiLevelType w:val="multilevel"/>
    <w:tmpl w:val="757EBF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A22587"/>
    <w:multiLevelType w:val="hybridMultilevel"/>
    <w:tmpl w:val="D326EB5E"/>
    <w:lvl w:ilvl="0" w:tplc="4B0446FE">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6C40F4E"/>
    <w:multiLevelType w:val="hybridMultilevel"/>
    <w:tmpl w:val="AAD8C7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8D43A68"/>
    <w:multiLevelType w:val="hybridMultilevel"/>
    <w:tmpl w:val="E1AC28D2"/>
    <w:lvl w:ilvl="0" w:tplc="F7D67A0E">
      <w:numFmt w:val="bullet"/>
      <w:lvlText w:val="-"/>
      <w:lvlJc w:val="left"/>
      <w:pPr>
        <w:ind w:left="564" w:hanging="360"/>
      </w:pPr>
      <w:rPr>
        <w:rFonts w:ascii="Calibri" w:eastAsiaTheme="minorHAnsi" w:hAnsi="Calibri" w:cstheme="minorBidi" w:hint="default"/>
      </w:rPr>
    </w:lvl>
    <w:lvl w:ilvl="1" w:tplc="280A0003" w:tentative="1">
      <w:start w:val="1"/>
      <w:numFmt w:val="bullet"/>
      <w:lvlText w:val="o"/>
      <w:lvlJc w:val="left"/>
      <w:pPr>
        <w:ind w:left="1284" w:hanging="360"/>
      </w:pPr>
      <w:rPr>
        <w:rFonts w:ascii="Courier New" w:hAnsi="Courier New" w:cs="Courier New" w:hint="default"/>
      </w:rPr>
    </w:lvl>
    <w:lvl w:ilvl="2" w:tplc="280A0005" w:tentative="1">
      <w:start w:val="1"/>
      <w:numFmt w:val="bullet"/>
      <w:lvlText w:val=""/>
      <w:lvlJc w:val="left"/>
      <w:pPr>
        <w:ind w:left="2004" w:hanging="360"/>
      </w:pPr>
      <w:rPr>
        <w:rFonts w:ascii="Wingdings" w:hAnsi="Wingdings" w:hint="default"/>
      </w:rPr>
    </w:lvl>
    <w:lvl w:ilvl="3" w:tplc="280A0001" w:tentative="1">
      <w:start w:val="1"/>
      <w:numFmt w:val="bullet"/>
      <w:lvlText w:val=""/>
      <w:lvlJc w:val="left"/>
      <w:pPr>
        <w:ind w:left="2724" w:hanging="360"/>
      </w:pPr>
      <w:rPr>
        <w:rFonts w:ascii="Symbol" w:hAnsi="Symbol" w:hint="default"/>
      </w:rPr>
    </w:lvl>
    <w:lvl w:ilvl="4" w:tplc="280A0003" w:tentative="1">
      <w:start w:val="1"/>
      <w:numFmt w:val="bullet"/>
      <w:lvlText w:val="o"/>
      <w:lvlJc w:val="left"/>
      <w:pPr>
        <w:ind w:left="3444" w:hanging="360"/>
      </w:pPr>
      <w:rPr>
        <w:rFonts w:ascii="Courier New" w:hAnsi="Courier New" w:cs="Courier New" w:hint="default"/>
      </w:rPr>
    </w:lvl>
    <w:lvl w:ilvl="5" w:tplc="280A0005" w:tentative="1">
      <w:start w:val="1"/>
      <w:numFmt w:val="bullet"/>
      <w:lvlText w:val=""/>
      <w:lvlJc w:val="left"/>
      <w:pPr>
        <w:ind w:left="4164" w:hanging="360"/>
      </w:pPr>
      <w:rPr>
        <w:rFonts w:ascii="Wingdings" w:hAnsi="Wingdings" w:hint="default"/>
      </w:rPr>
    </w:lvl>
    <w:lvl w:ilvl="6" w:tplc="280A0001" w:tentative="1">
      <w:start w:val="1"/>
      <w:numFmt w:val="bullet"/>
      <w:lvlText w:val=""/>
      <w:lvlJc w:val="left"/>
      <w:pPr>
        <w:ind w:left="4884" w:hanging="360"/>
      </w:pPr>
      <w:rPr>
        <w:rFonts w:ascii="Symbol" w:hAnsi="Symbol" w:hint="default"/>
      </w:rPr>
    </w:lvl>
    <w:lvl w:ilvl="7" w:tplc="280A0003" w:tentative="1">
      <w:start w:val="1"/>
      <w:numFmt w:val="bullet"/>
      <w:lvlText w:val="o"/>
      <w:lvlJc w:val="left"/>
      <w:pPr>
        <w:ind w:left="5604" w:hanging="360"/>
      </w:pPr>
      <w:rPr>
        <w:rFonts w:ascii="Courier New" w:hAnsi="Courier New" w:cs="Courier New" w:hint="default"/>
      </w:rPr>
    </w:lvl>
    <w:lvl w:ilvl="8" w:tplc="280A0005" w:tentative="1">
      <w:start w:val="1"/>
      <w:numFmt w:val="bullet"/>
      <w:lvlText w:val=""/>
      <w:lvlJc w:val="left"/>
      <w:pPr>
        <w:ind w:left="6324" w:hanging="360"/>
      </w:pPr>
      <w:rPr>
        <w:rFonts w:ascii="Wingdings" w:hAnsi="Wingdings" w:hint="default"/>
      </w:rPr>
    </w:lvl>
  </w:abstractNum>
  <w:abstractNum w:abstractNumId="10">
    <w:nsid w:val="19F80019"/>
    <w:multiLevelType w:val="hybridMultilevel"/>
    <w:tmpl w:val="0C58E8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C134EA2"/>
    <w:multiLevelType w:val="hybridMultilevel"/>
    <w:tmpl w:val="051EB2A8"/>
    <w:lvl w:ilvl="0" w:tplc="7F08BCD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D4049AF"/>
    <w:multiLevelType w:val="hybridMultilevel"/>
    <w:tmpl w:val="A3DCA64C"/>
    <w:lvl w:ilvl="0" w:tplc="DBBE91F4">
      <w:numFmt w:val="bullet"/>
      <w:lvlText w:val="-"/>
      <w:lvlJc w:val="left"/>
      <w:pPr>
        <w:ind w:left="1211" w:hanging="360"/>
      </w:pPr>
      <w:rPr>
        <w:rFonts w:ascii="Calibri" w:eastAsia="Calibri" w:hAnsi="Calibri" w:cs="Calibri"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3">
    <w:nsid w:val="1F2A573B"/>
    <w:multiLevelType w:val="hybridMultilevel"/>
    <w:tmpl w:val="9B8AA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05510F9"/>
    <w:multiLevelType w:val="hybridMultilevel"/>
    <w:tmpl w:val="B0E6E6E4"/>
    <w:lvl w:ilvl="0" w:tplc="280A0015">
      <w:start w:val="1"/>
      <w:numFmt w:val="upperLetter"/>
      <w:lvlText w:val="%1."/>
      <w:lvlJc w:val="left"/>
      <w:pPr>
        <w:ind w:left="36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2652D3E"/>
    <w:multiLevelType w:val="multilevel"/>
    <w:tmpl w:val="981842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557B2A"/>
    <w:multiLevelType w:val="hybridMultilevel"/>
    <w:tmpl w:val="FBCC8CB6"/>
    <w:lvl w:ilvl="0" w:tplc="10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C613C91"/>
    <w:multiLevelType w:val="hybridMultilevel"/>
    <w:tmpl w:val="051EB2A8"/>
    <w:lvl w:ilvl="0" w:tplc="7F08BCD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C9C0F80"/>
    <w:multiLevelType w:val="multilevel"/>
    <w:tmpl w:val="DD20A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FF627E"/>
    <w:multiLevelType w:val="hybridMultilevel"/>
    <w:tmpl w:val="9D80DC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0321D1C"/>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A96EB0"/>
    <w:multiLevelType w:val="hybridMultilevel"/>
    <w:tmpl w:val="67C0A2DE"/>
    <w:lvl w:ilvl="0" w:tplc="B81C8F6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8890C49"/>
    <w:multiLevelType w:val="multilevel"/>
    <w:tmpl w:val="892021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CC0E2E"/>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D0637A"/>
    <w:multiLevelType w:val="hybridMultilevel"/>
    <w:tmpl w:val="1CFE9210"/>
    <w:lvl w:ilvl="0" w:tplc="1E46AE1C">
      <w:start w:val="1"/>
      <w:numFmt w:val="decimal"/>
      <w:lvlText w:val="%1."/>
      <w:lvlJc w:val="left"/>
      <w:pPr>
        <w:ind w:left="720" w:hanging="360"/>
      </w:pPr>
      <w:rPr>
        <w:rFonts w:hint="default"/>
        <w:u w:val="singl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nsid w:val="3F961C2A"/>
    <w:multiLevelType w:val="hybridMultilevel"/>
    <w:tmpl w:val="E3C21D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C85D6E"/>
    <w:multiLevelType w:val="hybridMultilevel"/>
    <w:tmpl w:val="34F613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EFB386C"/>
    <w:multiLevelType w:val="hybridMultilevel"/>
    <w:tmpl w:val="EA02064E"/>
    <w:lvl w:ilvl="0" w:tplc="A85ED166">
      <w:start w:val="7"/>
      <w:numFmt w:val="bullet"/>
      <w:lvlText w:val="-"/>
      <w:lvlJc w:val="left"/>
      <w:pPr>
        <w:ind w:left="785" w:hanging="360"/>
      </w:pPr>
      <w:rPr>
        <w:rFonts w:ascii="Calibri" w:eastAsiaTheme="minorHAnsi" w:hAnsi="Calibri" w:cstheme="minorBidi"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28">
    <w:nsid w:val="518814DD"/>
    <w:multiLevelType w:val="multilevel"/>
    <w:tmpl w:val="981842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7676AA"/>
    <w:multiLevelType w:val="hybridMultilevel"/>
    <w:tmpl w:val="67C0A2DE"/>
    <w:lvl w:ilvl="0" w:tplc="B81C8F6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51C5538"/>
    <w:multiLevelType w:val="hybridMultilevel"/>
    <w:tmpl w:val="2DBE1F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58F1ABD"/>
    <w:multiLevelType w:val="hybridMultilevel"/>
    <w:tmpl w:val="D3064DDC"/>
    <w:lvl w:ilvl="0" w:tplc="C16CFCDC">
      <w:numFmt w:val="bullet"/>
      <w:lvlText w:val="•"/>
      <w:lvlJc w:val="left"/>
      <w:pPr>
        <w:ind w:left="360" w:hanging="360"/>
      </w:pPr>
      <w:rPr>
        <w:rFonts w:ascii="Calibri" w:eastAsiaTheme="minorHAnsi" w:hAnsi="Calibri" w:cs="Arial" w:hint="default"/>
      </w:rPr>
    </w:lvl>
    <w:lvl w:ilvl="1" w:tplc="5712AFE8">
      <w:numFmt w:val="bullet"/>
      <w:lvlText w:val=""/>
      <w:lvlJc w:val="left"/>
      <w:pPr>
        <w:ind w:left="1440" w:hanging="360"/>
      </w:pPr>
      <w:rPr>
        <w:rFonts w:ascii="Symbol" w:eastAsiaTheme="minorHAnsi" w:hAnsi="Symbol"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64A2676"/>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CF7CDE"/>
    <w:multiLevelType w:val="hybridMultilevel"/>
    <w:tmpl w:val="5240E3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EDC6C91"/>
    <w:multiLevelType w:val="hybridMultilevel"/>
    <w:tmpl w:val="B94AF6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5B932AE"/>
    <w:multiLevelType w:val="hybridMultilevel"/>
    <w:tmpl w:val="E7DA5A26"/>
    <w:lvl w:ilvl="0" w:tplc="E16CA74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B9212EE"/>
    <w:multiLevelType w:val="hybridMultilevel"/>
    <w:tmpl w:val="D1787504"/>
    <w:lvl w:ilvl="0" w:tplc="280A0001">
      <w:start w:val="1"/>
      <w:numFmt w:val="bullet"/>
      <w:lvlText w:val=""/>
      <w:lvlJc w:val="left"/>
      <w:pPr>
        <w:ind w:left="1066" w:hanging="360"/>
      </w:pPr>
      <w:rPr>
        <w:rFonts w:ascii="Symbol" w:hAnsi="Symbol" w:hint="default"/>
      </w:rPr>
    </w:lvl>
    <w:lvl w:ilvl="1" w:tplc="280A0003" w:tentative="1">
      <w:start w:val="1"/>
      <w:numFmt w:val="bullet"/>
      <w:lvlText w:val="o"/>
      <w:lvlJc w:val="left"/>
      <w:pPr>
        <w:ind w:left="1786" w:hanging="360"/>
      </w:pPr>
      <w:rPr>
        <w:rFonts w:ascii="Courier New" w:hAnsi="Courier New" w:cs="Courier New" w:hint="default"/>
      </w:rPr>
    </w:lvl>
    <w:lvl w:ilvl="2" w:tplc="280A0005" w:tentative="1">
      <w:start w:val="1"/>
      <w:numFmt w:val="bullet"/>
      <w:lvlText w:val=""/>
      <w:lvlJc w:val="left"/>
      <w:pPr>
        <w:ind w:left="2506" w:hanging="360"/>
      </w:pPr>
      <w:rPr>
        <w:rFonts w:ascii="Wingdings" w:hAnsi="Wingdings" w:hint="default"/>
      </w:rPr>
    </w:lvl>
    <w:lvl w:ilvl="3" w:tplc="280A0001" w:tentative="1">
      <w:start w:val="1"/>
      <w:numFmt w:val="bullet"/>
      <w:lvlText w:val=""/>
      <w:lvlJc w:val="left"/>
      <w:pPr>
        <w:ind w:left="3226" w:hanging="360"/>
      </w:pPr>
      <w:rPr>
        <w:rFonts w:ascii="Symbol" w:hAnsi="Symbol" w:hint="default"/>
      </w:rPr>
    </w:lvl>
    <w:lvl w:ilvl="4" w:tplc="280A0003" w:tentative="1">
      <w:start w:val="1"/>
      <w:numFmt w:val="bullet"/>
      <w:lvlText w:val="o"/>
      <w:lvlJc w:val="left"/>
      <w:pPr>
        <w:ind w:left="3946" w:hanging="360"/>
      </w:pPr>
      <w:rPr>
        <w:rFonts w:ascii="Courier New" w:hAnsi="Courier New" w:cs="Courier New" w:hint="default"/>
      </w:rPr>
    </w:lvl>
    <w:lvl w:ilvl="5" w:tplc="280A0005" w:tentative="1">
      <w:start w:val="1"/>
      <w:numFmt w:val="bullet"/>
      <w:lvlText w:val=""/>
      <w:lvlJc w:val="left"/>
      <w:pPr>
        <w:ind w:left="4666" w:hanging="360"/>
      </w:pPr>
      <w:rPr>
        <w:rFonts w:ascii="Wingdings" w:hAnsi="Wingdings" w:hint="default"/>
      </w:rPr>
    </w:lvl>
    <w:lvl w:ilvl="6" w:tplc="280A0001" w:tentative="1">
      <w:start w:val="1"/>
      <w:numFmt w:val="bullet"/>
      <w:lvlText w:val=""/>
      <w:lvlJc w:val="left"/>
      <w:pPr>
        <w:ind w:left="5386" w:hanging="360"/>
      </w:pPr>
      <w:rPr>
        <w:rFonts w:ascii="Symbol" w:hAnsi="Symbol" w:hint="default"/>
      </w:rPr>
    </w:lvl>
    <w:lvl w:ilvl="7" w:tplc="280A0003" w:tentative="1">
      <w:start w:val="1"/>
      <w:numFmt w:val="bullet"/>
      <w:lvlText w:val="o"/>
      <w:lvlJc w:val="left"/>
      <w:pPr>
        <w:ind w:left="6106" w:hanging="360"/>
      </w:pPr>
      <w:rPr>
        <w:rFonts w:ascii="Courier New" w:hAnsi="Courier New" w:cs="Courier New" w:hint="default"/>
      </w:rPr>
    </w:lvl>
    <w:lvl w:ilvl="8" w:tplc="280A0005" w:tentative="1">
      <w:start w:val="1"/>
      <w:numFmt w:val="bullet"/>
      <w:lvlText w:val=""/>
      <w:lvlJc w:val="left"/>
      <w:pPr>
        <w:ind w:left="6826" w:hanging="360"/>
      </w:pPr>
      <w:rPr>
        <w:rFonts w:ascii="Wingdings" w:hAnsi="Wingdings" w:hint="default"/>
      </w:rPr>
    </w:lvl>
  </w:abstractNum>
  <w:abstractNum w:abstractNumId="37">
    <w:nsid w:val="6C110A99"/>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032E9C"/>
    <w:multiLevelType w:val="hybridMultilevel"/>
    <w:tmpl w:val="8996D8B0"/>
    <w:lvl w:ilvl="0" w:tplc="C16CFCDC">
      <w:numFmt w:val="bullet"/>
      <w:lvlText w:val="•"/>
      <w:lvlJc w:val="left"/>
      <w:pPr>
        <w:ind w:left="720" w:hanging="360"/>
      </w:pPr>
      <w:rPr>
        <w:rFonts w:ascii="Calibri" w:eastAsiaTheme="minorHAnsi" w:hAnsi="Calibri" w:cs="Arial" w:hint="default"/>
      </w:rPr>
    </w:lvl>
    <w:lvl w:ilvl="1" w:tplc="280A0003">
      <w:start w:val="1"/>
      <w:numFmt w:val="bullet"/>
      <w:lvlText w:val="o"/>
      <w:lvlJc w:val="left"/>
      <w:pPr>
        <w:ind w:left="1440" w:hanging="360"/>
      </w:pPr>
      <w:rPr>
        <w:rFonts w:ascii="Courier New" w:hAnsi="Courier New" w:cs="Courier New" w:hint="default"/>
      </w:rPr>
    </w:lvl>
    <w:lvl w:ilvl="2" w:tplc="8DD49ACC">
      <w:start w:val="51"/>
      <w:numFmt w:val="bullet"/>
      <w:lvlText w:val="-"/>
      <w:lvlJc w:val="left"/>
      <w:pPr>
        <w:ind w:left="2160" w:hanging="360"/>
      </w:pPr>
      <w:rPr>
        <w:rFonts w:ascii="Calibri" w:eastAsiaTheme="minorHAnsi" w:hAnsi="Calibri"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3CC20F0"/>
    <w:multiLevelType w:val="hybridMultilevel"/>
    <w:tmpl w:val="1B362E12"/>
    <w:lvl w:ilvl="0" w:tplc="CE2E41D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4621D26"/>
    <w:multiLevelType w:val="hybridMultilevel"/>
    <w:tmpl w:val="322E5C2C"/>
    <w:lvl w:ilvl="0" w:tplc="6D523E0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62C4B90"/>
    <w:multiLevelType w:val="hybridMultilevel"/>
    <w:tmpl w:val="D5A223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7C6E6B"/>
    <w:multiLevelType w:val="hybridMultilevel"/>
    <w:tmpl w:val="C37A900E"/>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num>
  <w:num w:numId="2">
    <w:abstractNumId w:val="31"/>
  </w:num>
  <w:num w:numId="3">
    <w:abstractNumId w:val="38"/>
  </w:num>
  <w:num w:numId="4">
    <w:abstractNumId w:val="14"/>
  </w:num>
  <w:num w:numId="5">
    <w:abstractNumId w:val="40"/>
  </w:num>
  <w:num w:numId="6">
    <w:abstractNumId w:val="41"/>
  </w:num>
  <w:num w:numId="7">
    <w:abstractNumId w:val="34"/>
  </w:num>
  <w:num w:numId="8">
    <w:abstractNumId w:val="19"/>
  </w:num>
  <w:num w:numId="9">
    <w:abstractNumId w:val="2"/>
  </w:num>
  <w:num w:numId="10">
    <w:abstractNumId w:val="25"/>
  </w:num>
  <w:num w:numId="11">
    <w:abstractNumId w:val="1"/>
  </w:num>
  <w:num w:numId="12">
    <w:abstractNumId w:val="12"/>
  </w:num>
  <w:num w:numId="13">
    <w:abstractNumId w:val="26"/>
  </w:num>
  <w:num w:numId="14">
    <w:abstractNumId w:val="7"/>
  </w:num>
  <w:num w:numId="15">
    <w:abstractNumId w:val="23"/>
  </w:num>
  <w:num w:numId="16">
    <w:abstractNumId w:val="20"/>
  </w:num>
  <w:num w:numId="17">
    <w:abstractNumId w:val="18"/>
  </w:num>
  <w:num w:numId="18">
    <w:abstractNumId w:val="15"/>
  </w:num>
  <w:num w:numId="19">
    <w:abstractNumId w:val="28"/>
  </w:num>
  <w:num w:numId="20">
    <w:abstractNumId w:val="37"/>
  </w:num>
  <w:num w:numId="21">
    <w:abstractNumId w:val="6"/>
  </w:num>
  <w:num w:numId="22">
    <w:abstractNumId w:val="32"/>
  </w:num>
  <w:num w:numId="23">
    <w:abstractNumId w:val="22"/>
  </w:num>
  <w:num w:numId="24">
    <w:abstractNumId w:val="35"/>
  </w:num>
  <w:num w:numId="25">
    <w:abstractNumId w:val="0"/>
  </w:num>
  <w:num w:numId="26">
    <w:abstractNumId w:val="42"/>
  </w:num>
  <w:num w:numId="27">
    <w:abstractNumId w:val="5"/>
  </w:num>
  <w:num w:numId="28">
    <w:abstractNumId w:val="16"/>
  </w:num>
  <w:num w:numId="29">
    <w:abstractNumId w:val="27"/>
  </w:num>
  <w:num w:numId="30">
    <w:abstractNumId w:val="10"/>
  </w:num>
  <w:num w:numId="31">
    <w:abstractNumId w:val="33"/>
  </w:num>
  <w:num w:numId="32">
    <w:abstractNumId w:val="8"/>
  </w:num>
  <w:num w:numId="33">
    <w:abstractNumId w:val="21"/>
  </w:num>
  <w:num w:numId="34">
    <w:abstractNumId w:val="11"/>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3"/>
  </w:num>
  <w:num w:numId="38">
    <w:abstractNumId w:val="9"/>
  </w:num>
  <w:num w:numId="39">
    <w:abstractNumId w:val="36"/>
  </w:num>
  <w:num w:numId="40">
    <w:abstractNumId w:val="39"/>
  </w:num>
  <w:num w:numId="41">
    <w:abstractNumId w:val="3"/>
  </w:num>
  <w:num w:numId="42">
    <w:abstractNumId w:val="30"/>
  </w:num>
  <w:num w:numId="43">
    <w:abstractNumId w:val="29"/>
  </w:num>
  <w:num w:numId="4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69"/>
    <w:rsid w:val="00000388"/>
    <w:rsid w:val="0000303B"/>
    <w:rsid w:val="00003D89"/>
    <w:rsid w:val="00010DC3"/>
    <w:rsid w:val="00011808"/>
    <w:rsid w:val="00013877"/>
    <w:rsid w:val="00013EC0"/>
    <w:rsid w:val="00014A31"/>
    <w:rsid w:val="000161D9"/>
    <w:rsid w:val="00016B8B"/>
    <w:rsid w:val="000207D7"/>
    <w:rsid w:val="000230B4"/>
    <w:rsid w:val="00030ED0"/>
    <w:rsid w:val="000326E9"/>
    <w:rsid w:val="00033088"/>
    <w:rsid w:val="000349C8"/>
    <w:rsid w:val="0003553B"/>
    <w:rsid w:val="00036344"/>
    <w:rsid w:val="00037205"/>
    <w:rsid w:val="00040D2C"/>
    <w:rsid w:val="000410D3"/>
    <w:rsid w:val="00043689"/>
    <w:rsid w:val="00046F3C"/>
    <w:rsid w:val="00047587"/>
    <w:rsid w:val="0005747A"/>
    <w:rsid w:val="00061951"/>
    <w:rsid w:val="00062BE5"/>
    <w:rsid w:val="0006320A"/>
    <w:rsid w:val="00067696"/>
    <w:rsid w:val="00067EC2"/>
    <w:rsid w:val="00072269"/>
    <w:rsid w:val="000759A0"/>
    <w:rsid w:val="0007754E"/>
    <w:rsid w:val="00080654"/>
    <w:rsid w:val="00084A02"/>
    <w:rsid w:val="00091BDE"/>
    <w:rsid w:val="000921DE"/>
    <w:rsid w:val="000948BE"/>
    <w:rsid w:val="000A074A"/>
    <w:rsid w:val="000A765B"/>
    <w:rsid w:val="000B16C4"/>
    <w:rsid w:val="000B4CD3"/>
    <w:rsid w:val="000B5217"/>
    <w:rsid w:val="000C263E"/>
    <w:rsid w:val="000C3E09"/>
    <w:rsid w:val="000C599A"/>
    <w:rsid w:val="000C6709"/>
    <w:rsid w:val="000C6829"/>
    <w:rsid w:val="000C6B21"/>
    <w:rsid w:val="000D0DF8"/>
    <w:rsid w:val="000D1530"/>
    <w:rsid w:val="000D293F"/>
    <w:rsid w:val="000D4A9D"/>
    <w:rsid w:val="000E0488"/>
    <w:rsid w:val="000E0F12"/>
    <w:rsid w:val="000E1EC0"/>
    <w:rsid w:val="000E32F0"/>
    <w:rsid w:val="000E394A"/>
    <w:rsid w:val="000E5CE1"/>
    <w:rsid w:val="000F0D46"/>
    <w:rsid w:val="000F6817"/>
    <w:rsid w:val="000F6BE9"/>
    <w:rsid w:val="000F7B44"/>
    <w:rsid w:val="00102519"/>
    <w:rsid w:val="0010384A"/>
    <w:rsid w:val="00105837"/>
    <w:rsid w:val="00123210"/>
    <w:rsid w:val="00131DC0"/>
    <w:rsid w:val="00133B92"/>
    <w:rsid w:val="00137011"/>
    <w:rsid w:val="00137FD3"/>
    <w:rsid w:val="00141D64"/>
    <w:rsid w:val="0014607C"/>
    <w:rsid w:val="00150479"/>
    <w:rsid w:val="00155B1D"/>
    <w:rsid w:val="00157F6F"/>
    <w:rsid w:val="00162F34"/>
    <w:rsid w:val="001715DF"/>
    <w:rsid w:val="00173178"/>
    <w:rsid w:val="001754FE"/>
    <w:rsid w:val="001774C1"/>
    <w:rsid w:val="00183EC4"/>
    <w:rsid w:val="00185A10"/>
    <w:rsid w:val="00187A5D"/>
    <w:rsid w:val="00194361"/>
    <w:rsid w:val="001A0533"/>
    <w:rsid w:val="001A1549"/>
    <w:rsid w:val="001A5786"/>
    <w:rsid w:val="001A6924"/>
    <w:rsid w:val="001B08C0"/>
    <w:rsid w:val="001B1D34"/>
    <w:rsid w:val="001B6855"/>
    <w:rsid w:val="001C1CC3"/>
    <w:rsid w:val="001C55F9"/>
    <w:rsid w:val="001C574F"/>
    <w:rsid w:val="001D2416"/>
    <w:rsid w:val="001D5B6D"/>
    <w:rsid w:val="001E3564"/>
    <w:rsid w:val="001E67E3"/>
    <w:rsid w:val="001F04BA"/>
    <w:rsid w:val="001F057B"/>
    <w:rsid w:val="001F1972"/>
    <w:rsid w:val="001F2A73"/>
    <w:rsid w:val="001F4040"/>
    <w:rsid w:val="001F5DE1"/>
    <w:rsid w:val="00202666"/>
    <w:rsid w:val="002052A3"/>
    <w:rsid w:val="002115D0"/>
    <w:rsid w:val="00216D8D"/>
    <w:rsid w:val="0022247B"/>
    <w:rsid w:val="00226F50"/>
    <w:rsid w:val="00230A74"/>
    <w:rsid w:val="00246D8B"/>
    <w:rsid w:val="0024723C"/>
    <w:rsid w:val="00252DAE"/>
    <w:rsid w:val="002536E7"/>
    <w:rsid w:val="00265D44"/>
    <w:rsid w:val="00270FA7"/>
    <w:rsid w:val="00272BDF"/>
    <w:rsid w:val="002758E7"/>
    <w:rsid w:val="00276384"/>
    <w:rsid w:val="002802A5"/>
    <w:rsid w:val="00283C4F"/>
    <w:rsid w:val="00286327"/>
    <w:rsid w:val="002908C4"/>
    <w:rsid w:val="00291388"/>
    <w:rsid w:val="00292778"/>
    <w:rsid w:val="00292AB2"/>
    <w:rsid w:val="0029488C"/>
    <w:rsid w:val="00295641"/>
    <w:rsid w:val="00297BB5"/>
    <w:rsid w:val="002A0A31"/>
    <w:rsid w:val="002A2EC8"/>
    <w:rsid w:val="002A46AD"/>
    <w:rsid w:val="002A6D33"/>
    <w:rsid w:val="002B3491"/>
    <w:rsid w:val="002B5D82"/>
    <w:rsid w:val="002C2EAC"/>
    <w:rsid w:val="002D077F"/>
    <w:rsid w:val="002D1068"/>
    <w:rsid w:val="002D2BFC"/>
    <w:rsid w:val="002D57AB"/>
    <w:rsid w:val="002D5D75"/>
    <w:rsid w:val="002E0267"/>
    <w:rsid w:val="002E20B6"/>
    <w:rsid w:val="002E3104"/>
    <w:rsid w:val="002E436B"/>
    <w:rsid w:val="002E679C"/>
    <w:rsid w:val="002E6930"/>
    <w:rsid w:val="002F1E3A"/>
    <w:rsid w:val="002F3E0D"/>
    <w:rsid w:val="002F7763"/>
    <w:rsid w:val="00301D7C"/>
    <w:rsid w:val="00302B1A"/>
    <w:rsid w:val="00303F9E"/>
    <w:rsid w:val="0030420B"/>
    <w:rsid w:val="003068B4"/>
    <w:rsid w:val="00322D70"/>
    <w:rsid w:val="00326E53"/>
    <w:rsid w:val="00332B2C"/>
    <w:rsid w:val="00333322"/>
    <w:rsid w:val="00334F32"/>
    <w:rsid w:val="00336105"/>
    <w:rsid w:val="00342527"/>
    <w:rsid w:val="003514F2"/>
    <w:rsid w:val="00356DC8"/>
    <w:rsid w:val="0036515C"/>
    <w:rsid w:val="00366D3C"/>
    <w:rsid w:val="003910B5"/>
    <w:rsid w:val="003965C5"/>
    <w:rsid w:val="00397837"/>
    <w:rsid w:val="003A20A7"/>
    <w:rsid w:val="003A295F"/>
    <w:rsid w:val="003A2D55"/>
    <w:rsid w:val="003A3521"/>
    <w:rsid w:val="003A3ABE"/>
    <w:rsid w:val="003A67F1"/>
    <w:rsid w:val="003A702E"/>
    <w:rsid w:val="003B1927"/>
    <w:rsid w:val="003B2DEA"/>
    <w:rsid w:val="003B3449"/>
    <w:rsid w:val="003B5489"/>
    <w:rsid w:val="003B56D1"/>
    <w:rsid w:val="003B6D32"/>
    <w:rsid w:val="003C3262"/>
    <w:rsid w:val="003D2BC9"/>
    <w:rsid w:val="003D372A"/>
    <w:rsid w:val="003D453C"/>
    <w:rsid w:val="003E0700"/>
    <w:rsid w:val="003E084F"/>
    <w:rsid w:val="003E0C45"/>
    <w:rsid w:val="003E19C4"/>
    <w:rsid w:val="003E230A"/>
    <w:rsid w:val="003E3570"/>
    <w:rsid w:val="003E519B"/>
    <w:rsid w:val="003F04D3"/>
    <w:rsid w:val="003F1BBB"/>
    <w:rsid w:val="003F2BBE"/>
    <w:rsid w:val="003F3745"/>
    <w:rsid w:val="003F6EFB"/>
    <w:rsid w:val="00403384"/>
    <w:rsid w:val="004112EE"/>
    <w:rsid w:val="0041190D"/>
    <w:rsid w:val="0041466B"/>
    <w:rsid w:val="004165D0"/>
    <w:rsid w:val="00416DF6"/>
    <w:rsid w:val="00417D25"/>
    <w:rsid w:val="00420F02"/>
    <w:rsid w:val="00422E29"/>
    <w:rsid w:val="00424577"/>
    <w:rsid w:val="00432DBA"/>
    <w:rsid w:val="00434983"/>
    <w:rsid w:val="00437AF4"/>
    <w:rsid w:val="004451E2"/>
    <w:rsid w:val="0045073C"/>
    <w:rsid w:val="00453003"/>
    <w:rsid w:val="00464347"/>
    <w:rsid w:val="00465D73"/>
    <w:rsid w:val="0047312D"/>
    <w:rsid w:val="00474434"/>
    <w:rsid w:val="00477C37"/>
    <w:rsid w:val="004832CD"/>
    <w:rsid w:val="00484745"/>
    <w:rsid w:val="0048508A"/>
    <w:rsid w:val="00487195"/>
    <w:rsid w:val="004929BF"/>
    <w:rsid w:val="004930C9"/>
    <w:rsid w:val="004930E2"/>
    <w:rsid w:val="00494E52"/>
    <w:rsid w:val="004A6FB0"/>
    <w:rsid w:val="004B5C6B"/>
    <w:rsid w:val="004C1255"/>
    <w:rsid w:val="004C59BF"/>
    <w:rsid w:val="004C6192"/>
    <w:rsid w:val="004D1EFB"/>
    <w:rsid w:val="004D2932"/>
    <w:rsid w:val="004D6D70"/>
    <w:rsid w:val="004E710A"/>
    <w:rsid w:val="004F01B9"/>
    <w:rsid w:val="004F084B"/>
    <w:rsid w:val="004F4B63"/>
    <w:rsid w:val="004F4F72"/>
    <w:rsid w:val="004F7802"/>
    <w:rsid w:val="004F7FFA"/>
    <w:rsid w:val="0050275C"/>
    <w:rsid w:val="0050313B"/>
    <w:rsid w:val="005031BE"/>
    <w:rsid w:val="00503F58"/>
    <w:rsid w:val="0051620F"/>
    <w:rsid w:val="005325F5"/>
    <w:rsid w:val="005344FD"/>
    <w:rsid w:val="005345C5"/>
    <w:rsid w:val="0054597C"/>
    <w:rsid w:val="00547837"/>
    <w:rsid w:val="00554757"/>
    <w:rsid w:val="00555444"/>
    <w:rsid w:val="0055554C"/>
    <w:rsid w:val="00555583"/>
    <w:rsid w:val="00556F28"/>
    <w:rsid w:val="0056200A"/>
    <w:rsid w:val="005624D3"/>
    <w:rsid w:val="0057062F"/>
    <w:rsid w:val="005831F0"/>
    <w:rsid w:val="0059542A"/>
    <w:rsid w:val="00597937"/>
    <w:rsid w:val="00597DEF"/>
    <w:rsid w:val="005A2F4D"/>
    <w:rsid w:val="005A348E"/>
    <w:rsid w:val="005A56D4"/>
    <w:rsid w:val="005A6487"/>
    <w:rsid w:val="005A7DCF"/>
    <w:rsid w:val="005B48BE"/>
    <w:rsid w:val="005B5FE3"/>
    <w:rsid w:val="005B619D"/>
    <w:rsid w:val="005C2FE9"/>
    <w:rsid w:val="005C3765"/>
    <w:rsid w:val="005C55C1"/>
    <w:rsid w:val="005C613D"/>
    <w:rsid w:val="005D0114"/>
    <w:rsid w:val="005E32C3"/>
    <w:rsid w:val="005E6E1A"/>
    <w:rsid w:val="005F0B13"/>
    <w:rsid w:val="00604687"/>
    <w:rsid w:val="00604C38"/>
    <w:rsid w:val="00605508"/>
    <w:rsid w:val="00606260"/>
    <w:rsid w:val="0061224E"/>
    <w:rsid w:val="00612734"/>
    <w:rsid w:val="00614F58"/>
    <w:rsid w:val="00617CDE"/>
    <w:rsid w:val="00621383"/>
    <w:rsid w:val="0062249D"/>
    <w:rsid w:val="00625544"/>
    <w:rsid w:val="00627CC2"/>
    <w:rsid w:val="006312F9"/>
    <w:rsid w:val="006316FC"/>
    <w:rsid w:val="00635ACD"/>
    <w:rsid w:val="00645347"/>
    <w:rsid w:val="00645431"/>
    <w:rsid w:val="006465DE"/>
    <w:rsid w:val="006466AE"/>
    <w:rsid w:val="00656421"/>
    <w:rsid w:val="006612ED"/>
    <w:rsid w:val="006665DE"/>
    <w:rsid w:val="00670343"/>
    <w:rsid w:val="006705B7"/>
    <w:rsid w:val="00672F76"/>
    <w:rsid w:val="006824B0"/>
    <w:rsid w:val="006846DD"/>
    <w:rsid w:val="006857C8"/>
    <w:rsid w:val="00686C23"/>
    <w:rsid w:val="00690EE6"/>
    <w:rsid w:val="006A119E"/>
    <w:rsid w:val="006A3912"/>
    <w:rsid w:val="006A4DC6"/>
    <w:rsid w:val="006A5CBF"/>
    <w:rsid w:val="006A5EAA"/>
    <w:rsid w:val="006A6F3E"/>
    <w:rsid w:val="006B7435"/>
    <w:rsid w:val="006B7922"/>
    <w:rsid w:val="006C5AC6"/>
    <w:rsid w:val="006C7870"/>
    <w:rsid w:val="006D20EF"/>
    <w:rsid w:val="006D3389"/>
    <w:rsid w:val="006D7F16"/>
    <w:rsid w:val="006E12A9"/>
    <w:rsid w:val="006E1C75"/>
    <w:rsid w:val="006E383D"/>
    <w:rsid w:val="006E5344"/>
    <w:rsid w:val="006E73D8"/>
    <w:rsid w:val="006F10D2"/>
    <w:rsid w:val="00700BF4"/>
    <w:rsid w:val="0070206B"/>
    <w:rsid w:val="0070372D"/>
    <w:rsid w:val="00704AD8"/>
    <w:rsid w:val="00707D64"/>
    <w:rsid w:val="007253CA"/>
    <w:rsid w:val="00727C09"/>
    <w:rsid w:val="007301E3"/>
    <w:rsid w:val="00737BCB"/>
    <w:rsid w:val="00740134"/>
    <w:rsid w:val="00740726"/>
    <w:rsid w:val="007408F3"/>
    <w:rsid w:val="0074549C"/>
    <w:rsid w:val="00746982"/>
    <w:rsid w:val="00750C3A"/>
    <w:rsid w:val="00750D8C"/>
    <w:rsid w:val="00753DF3"/>
    <w:rsid w:val="00755E9E"/>
    <w:rsid w:val="00767F8F"/>
    <w:rsid w:val="00771D37"/>
    <w:rsid w:val="00785DA5"/>
    <w:rsid w:val="00790122"/>
    <w:rsid w:val="00791090"/>
    <w:rsid w:val="00795B4F"/>
    <w:rsid w:val="00796392"/>
    <w:rsid w:val="0079680E"/>
    <w:rsid w:val="007A27A4"/>
    <w:rsid w:val="007A5847"/>
    <w:rsid w:val="007B2878"/>
    <w:rsid w:val="007B2AA3"/>
    <w:rsid w:val="007B599E"/>
    <w:rsid w:val="007B6A82"/>
    <w:rsid w:val="007B72FF"/>
    <w:rsid w:val="007C1FFC"/>
    <w:rsid w:val="007C4C54"/>
    <w:rsid w:val="007C6E9B"/>
    <w:rsid w:val="007D3A3A"/>
    <w:rsid w:val="007D5081"/>
    <w:rsid w:val="007E51B6"/>
    <w:rsid w:val="007E696A"/>
    <w:rsid w:val="007F1890"/>
    <w:rsid w:val="007F2DE7"/>
    <w:rsid w:val="007F41C6"/>
    <w:rsid w:val="008022CE"/>
    <w:rsid w:val="0080368D"/>
    <w:rsid w:val="0081131D"/>
    <w:rsid w:val="00813B02"/>
    <w:rsid w:val="008316A6"/>
    <w:rsid w:val="00836A6F"/>
    <w:rsid w:val="00836B37"/>
    <w:rsid w:val="008402F9"/>
    <w:rsid w:val="00846A0F"/>
    <w:rsid w:val="00854A42"/>
    <w:rsid w:val="008616E3"/>
    <w:rsid w:val="00863769"/>
    <w:rsid w:val="008637D9"/>
    <w:rsid w:val="00866EFD"/>
    <w:rsid w:val="00872017"/>
    <w:rsid w:val="00872D59"/>
    <w:rsid w:val="00877B2F"/>
    <w:rsid w:val="00887082"/>
    <w:rsid w:val="00891F42"/>
    <w:rsid w:val="00892267"/>
    <w:rsid w:val="00895AA1"/>
    <w:rsid w:val="0089632D"/>
    <w:rsid w:val="008B16E3"/>
    <w:rsid w:val="008B1BE2"/>
    <w:rsid w:val="008B6C96"/>
    <w:rsid w:val="008B7C56"/>
    <w:rsid w:val="008C32D9"/>
    <w:rsid w:val="008C492F"/>
    <w:rsid w:val="008C7310"/>
    <w:rsid w:val="008D1830"/>
    <w:rsid w:val="008D27A7"/>
    <w:rsid w:val="008D28E2"/>
    <w:rsid w:val="008D4D0E"/>
    <w:rsid w:val="008D6E1D"/>
    <w:rsid w:val="008D79F2"/>
    <w:rsid w:val="008E646B"/>
    <w:rsid w:val="008F0795"/>
    <w:rsid w:val="008F1376"/>
    <w:rsid w:val="008F1EC4"/>
    <w:rsid w:val="008F7639"/>
    <w:rsid w:val="00905145"/>
    <w:rsid w:val="0091291D"/>
    <w:rsid w:val="00914CAA"/>
    <w:rsid w:val="009156BE"/>
    <w:rsid w:val="009174F1"/>
    <w:rsid w:val="00917C1E"/>
    <w:rsid w:val="0092101E"/>
    <w:rsid w:val="00921756"/>
    <w:rsid w:val="00922112"/>
    <w:rsid w:val="009247D5"/>
    <w:rsid w:val="00925413"/>
    <w:rsid w:val="00925A15"/>
    <w:rsid w:val="00930A8F"/>
    <w:rsid w:val="00931001"/>
    <w:rsid w:val="00931B30"/>
    <w:rsid w:val="00934932"/>
    <w:rsid w:val="00937E5F"/>
    <w:rsid w:val="00942DA5"/>
    <w:rsid w:val="0094403F"/>
    <w:rsid w:val="009465AB"/>
    <w:rsid w:val="00946AC7"/>
    <w:rsid w:val="00946CB1"/>
    <w:rsid w:val="009562AF"/>
    <w:rsid w:val="00957AB1"/>
    <w:rsid w:val="00961C5B"/>
    <w:rsid w:val="009620B4"/>
    <w:rsid w:val="00965A6F"/>
    <w:rsid w:val="009704F5"/>
    <w:rsid w:val="009705A7"/>
    <w:rsid w:val="009708AC"/>
    <w:rsid w:val="00974852"/>
    <w:rsid w:val="009764C1"/>
    <w:rsid w:val="009823C9"/>
    <w:rsid w:val="00984797"/>
    <w:rsid w:val="00985BA3"/>
    <w:rsid w:val="00993549"/>
    <w:rsid w:val="009949D8"/>
    <w:rsid w:val="009973E7"/>
    <w:rsid w:val="009A46A0"/>
    <w:rsid w:val="009A6EA8"/>
    <w:rsid w:val="009A7AEB"/>
    <w:rsid w:val="009B09B1"/>
    <w:rsid w:val="009B0ED0"/>
    <w:rsid w:val="009B1E45"/>
    <w:rsid w:val="009B30F8"/>
    <w:rsid w:val="009B4668"/>
    <w:rsid w:val="009C650B"/>
    <w:rsid w:val="009C73B8"/>
    <w:rsid w:val="009C7D2E"/>
    <w:rsid w:val="009D45C3"/>
    <w:rsid w:val="009F6616"/>
    <w:rsid w:val="009F6F3A"/>
    <w:rsid w:val="00A01145"/>
    <w:rsid w:val="00A04361"/>
    <w:rsid w:val="00A04F62"/>
    <w:rsid w:val="00A105D9"/>
    <w:rsid w:val="00A14B06"/>
    <w:rsid w:val="00A223CA"/>
    <w:rsid w:val="00A227EF"/>
    <w:rsid w:val="00A22DD4"/>
    <w:rsid w:val="00A24D19"/>
    <w:rsid w:val="00A27E2C"/>
    <w:rsid w:val="00A34967"/>
    <w:rsid w:val="00A353C5"/>
    <w:rsid w:val="00A433A8"/>
    <w:rsid w:val="00A44858"/>
    <w:rsid w:val="00A46A89"/>
    <w:rsid w:val="00A47DD5"/>
    <w:rsid w:val="00A51885"/>
    <w:rsid w:val="00A56D20"/>
    <w:rsid w:val="00A57770"/>
    <w:rsid w:val="00A6024D"/>
    <w:rsid w:val="00A62313"/>
    <w:rsid w:val="00A659E7"/>
    <w:rsid w:val="00A6717C"/>
    <w:rsid w:val="00A71214"/>
    <w:rsid w:val="00A7226D"/>
    <w:rsid w:val="00A730A4"/>
    <w:rsid w:val="00A7398B"/>
    <w:rsid w:val="00A73B3E"/>
    <w:rsid w:val="00A77FF3"/>
    <w:rsid w:val="00A80FBE"/>
    <w:rsid w:val="00A819C8"/>
    <w:rsid w:val="00A82B88"/>
    <w:rsid w:val="00A87193"/>
    <w:rsid w:val="00A90888"/>
    <w:rsid w:val="00A92ED0"/>
    <w:rsid w:val="00AB01CB"/>
    <w:rsid w:val="00AB1482"/>
    <w:rsid w:val="00AB6865"/>
    <w:rsid w:val="00AD03C5"/>
    <w:rsid w:val="00AD1B80"/>
    <w:rsid w:val="00AD61B0"/>
    <w:rsid w:val="00AD750F"/>
    <w:rsid w:val="00AD77DD"/>
    <w:rsid w:val="00AD7A1F"/>
    <w:rsid w:val="00AE05FA"/>
    <w:rsid w:val="00AE075E"/>
    <w:rsid w:val="00AE2C1B"/>
    <w:rsid w:val="00AF0C03"/>
    <w:rsid w:val="00B020D5"/>
    <w:rsid w:val="00B1053C"/>
    <w:rsid w:val="00B106D3"/>
    <w:rsid w:val="00B142D6"/>
    <w:rsid w:val="00B23295"/>
    <w:rsid w:val="00B23AE2"/>
    <w:rsid w:val="00B25229"/>
    <w:rsid w:val="00B26A08"/>
    <w:rsid w:val="00B26CD5"/>
    <w:rsid w:val="00B26F9C"/>
    <w:rsid w:val="00B50DAD"/>
    <w:rsid w:val="00B54651"/>
    <w:rsid w:val="00B56704"/>
    <w:rsid w:val="00B56E74"/>
    <w:rsid w:val="00B61F0C"/>
    <w:rsid w:val="00B620B0"/>
    <w:rsid w:val="00B621D7"/>
    <w:rsid w:val="00B64C0E"/>
    <w:rsid w:val="00B67CF8"/>
    <w:rsid w:val="00B70722"/>
    <w:rsid w:val="00B743BD"/>
    <w:rsid w:val="00B757AD"/>
    <w:rsid w:val="00B76B11"/>
    <w:rsid w:val="00B77EE6"/>
    <w:rsid w:val="00B8145B"/>
    <w:rsid w:val="00B87CE3"/>
    <w:rsid w:val="00B9283F"/>
    <w:rsid w:val="00B92A7C"/>
    <w:rsid w:val="00B94DA4"/>
    <w:rsid w:val="00B950A6"/>
    <w:rsid w:val="00BA0D46"/>
    <w:rsid w:val="00BA10FA"/>
    <w:rsid w:val="00BA4B11"/>
    <w:rsid w:val="00BB53A4"/>
    <w:rsid w:val="00BB53EA"/>
    <w:rsid w:val="00BC076E"/>
    <w:rsid w:val="00BC0CD7"/>
    <w:rsid w:val="00BC1A00"/>
    <w:rsid w:val="00BC42E0"/>
    <w:rsid w:val="00BD0A65"/>
    <w:rsid w:val="00BD3FA0"/>
    <w:rsid w:val="00BD56A7"/>
    <w:rsid w:val="00BD5764"/>
    <w:rsid w:val="00BF16CD"/>
    <w:rsid w:val="00BF42B5"/>
    <w:rsid w:val="00BF5406"/>
    <w:rsid w:val="00BF6F66"/>
    <w:rsid w:val="00BF76DF"/>
    <w:rsid w:val="00C01D66"/>
    <w:rsid w:val="00C059E6"/>
    <w:rsid w:val="00C0701E"/>
    <w:rsid w:val="00C11B9A"/>
    <w:rsid w:val="00C12DAB"/>
    <w:rsid w:val="00C1649A"/>
    <w:rsid w:val="00C20BCC"/>
    <w:rsid w:val="00C20F88"/>
    <w:rsid w:val="00C23910"/>
    <w:rsid w:val="00C268A9"/>
    <w:rsid w:val="00C331FC"/>
    <w:rsid w:val="00C34680"/>
    <w:rsid w:val="00C37E0F"/>
    <w:rsid w:val="00C512EA"/>
    <w:rsid w:val="00C5223F"/>
    <w:rsid w:val="00C526C9"/>
    <w:rsid w:val="00C660A0"/>
    <w:rsid w:val="00C67622"/>
    <w:rsid w:val="00C72C76"/>
    <w:rsid w:val="00C754AA"/>
    <w:rsid w:val="00C76543"/>
    <w:rsid w:val="00C8410F"/>
    <w:rsid w:val="00C86AE3"/>
    <w:rsid w:val="00C91317"/>
    <w:rsid w:val="00C94735"/>
    <w:rsid w:val="00C949BF"/>
    <w:rsid w:val="00C959CD"/>
    <w:rsid w:val="00C95BE9"/>
    <w:rsid w:val="00C965BF"/>
    <w:rsid w:val="00C97D72"/>
    <w:rsid w:val="00CA0DBF"/>
    <w:rsid w:val="00CB6664"/>
    <w:rsid w:val="00CC2065"/>
    <w:rsid w:val="00CC22B8"/>
    <w:rsid w:val="00CC3FFA"/>
    <w:rsid w:val="00CC7C54"/>
    <w:rsid w:val="00CD1969"/>
    <w:rsid w:val="00CE27FC"/>
    <w:rsid w:val="00CE2D9B"/>
    <w:rsid w:val="00CE643B"/>
    <w:rsid w:val="00CE74E2"/>
    <w:rsid w:val="00CF468E"/>
    <w:rsid w:val="00D0378F"/>
    <w:rsid w:val="00D115B9"/>
    <w:rsid w:val="00D12754"/>
    <w:rsid w:val="00D14C49"/>
    <w:rsid w:val="00D206DC"/>
    <w:rsid w:val="00D20C0D"/>
    <w:rsid w:val="00D21EEF"/>
    <w:rsid w:val="00D23395"/>
    <w:rsid w:val="00D316EF"/>
    <w:rsid w:val="00D32A23"/>
    <w:rsid w:val="00D35598"/>
    <w:rsid w:val="00D362B8"/>
    <w:rsid w:val="00D4022A"/>
    <w:rsid w:val="00D46851"/>
    <w:rsid w:val="00D50932"/>
    <w:rsid w:val="00D5233D"/>
    <w:rsid w:val="00D5461F"/>
    <w:rsid w:val="00D55406"/>
    <w:rsid w:val="00D55E24"/>
    <w:rsid w:val="00D55FE7"/>
    <w:rsid w:val="00D5714A"/>
    <w:rsid w:val="00D5726E"/>
    <w:rsid w:val="00D639E1"/>
    <w:rsid w:val="00D719CF"/>
    <w:rsid w:val="00D74322"/>
    <w:rsid w:val="00D74C76"/>
    <w:rsid w:val="00D76BF5"/>
    <w:rsid w:val="00D82494"/>
    <w:rsid w:val="00D90726"/>
    <w:rsid w:val="00DA2D07"/>
    <w:rsid w:val="00DA4243"/>
    <w:rsid w:val="00DA646D"/>
    <w:rsid w:val="00DB0754"/>
    <w:rsid w:val="00DB16EF"/>
    <w:rsid w:val="00DB32F8"/>
    <w:rsid w:val="00DC2EFE"/>
    <w:rsid w:val="00DC3F3B"/>
    <w:rsid w:val="00DD0875"/>
    <w:rsid w:val="00DD12E4"/>
    <w:rsid w:val="00DD22FF"/>
    <w:rsid w:val="00DD4C70"/>
    <w:rsid w:val="00DD54A0"/>
    <w:rsid w:val="00DD54CA"/>
    <w:rsid w:val="00DD5576"/>
    <w:rsid w:val="00DE5160"/>
    <w:rsid w:val="00DF077D"/>
    <w:rsid w:val="00DF31DB"/>
    <w:rsid w:val="00DF496D"/>
    <w:rsid w:val="00DF54FD"/>
    <w:rsid w:val="00DF5991"/>
    <w:rsid w:val="00E0319E"/>
    <w:rsid w:val="00E035D9"/>
    <w:rsid w:val="00E05792"/>
    <w:rsid w:val="00E06D1A"/>
    <w:rsid w:val="00E107BA"/>
    <w:rsid w:val="00E11724"/>
    <w:rsid w:val="00E1443E"/>
    <w:rsid w:val="00E202F8"/>
    <w:rsid w:val="00E24E47"/>
    <w:rsid w:val="00E3074B"/>
    <w:rsid w:val="00E3174A"/>
    <w:rsid w:val="00E35A26"/>
    <w:rsid w:val="00E40DA0"/>
    <w:rsid w:val="00E43EE9"/>
    <w:rsid w:val="00E47B58"/>
    <w:rsid w:val="00E521FA"/>
    <w:rsid w:val="00E57D79"/>
    <w:rsid w:val="00E60C30"/>
    <w:rsid w:val="00E64984"/>
    <w:rsid w:val="00E8027B"/>
    <w:rsid w:val="00E815BE"/>
    <w:rsid w:val="00E83EAE"/>
    <w:rsid w:val="00E84EB3"/>
    <w:rsid w:val="00E86678"/>
    <w:rsid w:val="00E919ED"/>
    <w:rsid w:val="00E92126"/>
    <w:rsid w:val="00E9422B"/>
    <w:rsid w:val="00E96152"/>
    <w:rsid w:val="00EA115B"/>
    <w:rsid w:val="00EA3DFB"/>
    <w:rsid w:val="00EA6623"/>
    <w:rsid w:val="00EA73DF"/>
    <w:rsid w:val="00EB3380"/>
    <w:rsid w:val="00EB3F67"/>
    <w:rsid w:val="00EB66E2"/>
    <w:rsid w:val="00EB7D49"/>
    <w:rsid w:val="00EC093D"/>
    <w:rsid w:val="00EC1DA7"/>
    <w:rsid w:val="00EC299E"/>
    <w:rsid w:val="00ED2BC8"/>
    <w:rsid w:val="00ED36F3"/>
    <w:rsid w:val="00ED5561"/>
    <w:rsid w:val="00EE1694"/>
    <w:rsid w:val="00EE271F"/>
    <w:rsid w:val="00EE2B5D"/>
    <w:rsid w:val="00EE3DCE"/>
    <w:rsid w:val="00EE593E"/>
    <w:rsid w:val="00EE621C"/>
    <w:rsid w:val="00EE7888"/>
    <w:rsid w:val="00EF33B6"/>
    <w:rsid w:val="00EF4C68"/>
    <w:rsid w:val="00EF6C8A"/>
    <w:rsid w:val="00F0257B"/>
    <w:rsid w:val="00F03BB9"/>
    <w:rsid w:val="00F04869"/>
    <w:rsid w:val="00F05F8C"/>
    <w:rsid w:val="00F06FFF"/>
    <w:rsid w:val="00F10EA2"/>
    <w:rsid w:val="00F165D1"/>
    <w:rsid w:val="00F17075"/>
    <w:rsid w:val="00F201DB"/>
    <w:rsid w:val="00F22552"/>
    <w:rsid w:val="00F24551"/>
    <w:rsid w:val="00F25102"/>
    <w:rsid w:val="00F25989"/>
    <w:rsid w:val="00F27589"/>
    <w:rsid w:val="00F31780"/>
    <w:rsid w:val="00F320B0"/>
    <w:rsid w:val="00F32643"/>
    <w:rsid w:val="00F33302"/>
    <w:rsid w:val="00F35A90"/>
    <w:rsid w:val="00F3702A"/>
    <w:rsid w:val="00F40088"/>
    <w:rsid w:val="00F43A41"/>
    <w:rsid w:val="00F46AC6"/>
    <w:rsid w:val="00F5091C"/>
    <w:rsid w:val="00F52ED3"/>
    <w:rsid w:val="00F53BB2"/>
    <w:rsid w:val="00F56713"/>
    <w:rsid w:val="00F5712A"/>
    <w:rsid w:val="00F60A46"/>
    <w:rsid w:val="00F71D3E"/>
    <w:rsid w:val="00F7205A"/>
    <w:rsid w:val="00F8353E"/>
    <w:rsid w:val="00F85784"/>
    <w:rsid w:val="00F938EF"/>
    <w:rsid w:val="00FA0AF3"/>
    <w:rsid w:val="00FA6BB3"/>
    <w:rsid w:val="00FB3441"/>
    <w:rsid w:val="00FB45DB"/>
    <w:rsid w:val="00FB5841"/>
    <w:rsid w:val="00FB5DDD"/>
    <w:rsid w:val="00FC3A70"/>
    <w:rsid w:val="00FC3E8A"/>
    <w:rsid w:val="00FC4007"/>
    <w:rsid w:val="00FD0155"/>
    <w:rsid w:val="00FD1C08"/>
    <w:rsid w:val="00FD5711"/>
    <w:rsid w:val="00FE2E5A"/>
    <w:rsid w:val="00FE56E4"/>
    <w:rsid w:val="00FF5E25"/>
    <w:rsid w:val="00FF60A6"/>
    <w:rsid w:val="00FF644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C05F3"/>
  <w15:docId w15:val="{71F4BC78-4EFB-415E-9F9D-14CD1F37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34"/>
  </w:style>
  <w:style w:type="paragraph" w:styleId="Ttulo1">
    <w:name w:val="heading 1"/>
    <w:basedOn w:val="Normal"/>
    <w:next w:val="Normal"/>
    <w:link w:val="Ttulo1Car"/>
    <w:uiPriority w:val="9"/>
    <w:qFormat/>
    <w:rsid w:val="00606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61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56D20"/>
    <w:pPr>
      <w:keepNext/>
      <w:autoSpaceDE w:val="0"/>
      <w:autoSpaceDN w:val="0"/>
      <w:adjustRightInd w:val="0"/>
      <w:spacing w:after="0" w:line="240" w:lineRule="auto"/>
      <w:outlineLvl w:val="2"/>
    </w:pPr>
    <w:rPr>
      <w:rFonts w:ascii="Gotham Bold" w:hAnsi="Gotham Bold" w:cs="Gotham Bold"/>
      <w:b/>
      <w:color w:val="000000"/>
      <w:sz w:val="20"/>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20B0"/>
    <w:pPr>
      <w:ind w:left="720"/>
      <w:contextualSpacing/>
    </w:pPr>
  </w:style>
  <w:style w:type="character" w:customStyle="1" w:styleId="Ttulo1Car">
    <w:name w:val="Título 1 Car"/>
    <w:basedOn w:val="Fuentedeprrafopredeter"/>
    <w:link w:val="Ttulo1"/>
    <w:uiPriority w:val="9"/>
    <w:rsid w:val="00606260"/>
    <w:rPr>
      <w:rFonts w:asciiTheme="majorHAnsi" w:eastAsiaTheme="majorEastAsia" w:hAnsiTheme="majorHAnsi" w:cstheme="majorBidi"/>
      <w:b/>
      <w:bCs/>
      <w:color w:val="365F91" w:themeColor="accent1" w:themeShade="BF"/>
      <w:sz w:val="28"/>
      <w:szCs w:val="28"/>
    </w:rPr>
  </w:style>
  <w:style w:type="paragraph" w:styleId="Citadestacada">
    <w:name w:val="Intense Quote"/>
    <w:basedOn w:val="Normal"/>
    <w:next w:val="Normal"/>
    <w:link w:val="CitadestacadaCar"/>
    <w:uiPriority w:val="30"/>
    <w:qFormat/>
    <w:rsid w:val="0060626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06260"/>
    <w:rPr>
      <w:b/>
      <w:bCs/>
      <w:i/>
      <w:iCs/>
      <w:color w:val="4F81BD" w:themeColor="accent1"/>
    </w:rPr>
  </w:style>
  <w:style w:type="character" w:styleId="Hipervnculo">
    <w:name w:val="Hyperlink"/>
    <w:basedOn w:val="Fuentedeprrafopredeter"/>
    <w:uiPriority w:val="99"/>
    <w:unhideWhenUsed/>
    <w:rsid w:val="00A7398B"/>
    <w:rPr>
      <w:color w:val="0000FF" w:themeColor="hyperlink"/>
      <w:u w:val="single"/>
    </w:rPr>
  </w:style>
  <w:style w:type="paragraph" w:styleId="NormalWeb">
    <w:name w:val="Normal (Web)"/>
    <w:basedOn w:val="Normal"/>
    <w:uiPriority w:val="99"/>
    <w:unhideWhenUsed/>
    <w:rsid w:val="00A7398B"/>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Sinespaciado">
    <w:name w:val="No Spacing"/>
    <w:link w:val="SinespaciadoCar"/>
    <w:uiPriority w:val="1"/>
    <w:qFormat/>
    <w:rsid w:val="00F27589"/>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27589"/>
    <w:rPr>
      <w:rFonts w:eastAsiaTheme="minorEastAsia"/>
      <w:lang w:eastAsia="es-GT"/>
    </w:rPr>
  </w:style>
  <w:style w:type="paragraph" w:styleId="Textodeglobo">
    <w:name w:val="Balloon Text"/>
    <w:basedOn w:val="Normal"/>
    <w:link w:val="TextodegloboCar"/>
    <w:uiPriority w:val="99"/>
    <w:semiHidden/>
    <w:unhideWhenUsed/>
    <w:rsid w:val="00F27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89"/>
    <w:rPr>
      <w:rFonts w:ascii="Tahoma" w:hAnsi="Tahoma" w:cs="Tahoma"/>
      <w:sz w:val="16"/>
      <w:szCs w:val="16"/>
    </w:rPr>
  </w:style>
  <w:style w:type="table" w:styleId="Tablaconcuadrcula">
    <w:name w:val="Table Grid"/>
    <w:basedOn w:val="Tablanormal"/>
    <w:uiPriority w:val="39"/>
    <w:rsid w:val="00C20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1">
    <w:name w:val="Light Grid Accent 1"/>
    <w:basedOn w:val="Tablanormal"/>
    <w:uiPriority w:val="62"/>
    <w:rsid w:val="00C20B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2-nfasis1">
    <w:name w:val="Medium Grid 2 Accent 1"/>
    <w:basedOn w:val="Tablanormal"/>
    <w:uiPriority w:val="68"/>
    <w:rsid w:val="00EB7D4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9"/>
    <w:rsid w:val="00E9422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Encabezado">
    <w:name w:val="header"/>
    <w:basedOn w:val="Normal"/>
    <w:link w:val="EncabezadoCar"/>
    <w:uiPriority w:val="99"/>
    <w:unhideWhenUsed/>
    <w:rsid w:val="00BC42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2E0"/>
  </w:style>
  <w:style w:type="paragraph" w:styleId="Piedepgina">
    <w:name w:val="footer"/>
    <w:basedOn w:val="Normal"/>
    <w:link w:val="PiedepginaCar"/>
    <w:uiPriority w:val="99"/>
    <w:unhideWhenUsed/>
    <w:rsid w:val="00BC42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2E0"/>
  </w:style>
  <w:style w:type="character" w:styleId="Refdecomentario">
    <w:name w:val="annotation reference"/>
    <w:semiHidden/>
    <w:unhideWhenUsed/>
    <w:rsid w:val="00D362B8"/>
    <w:rPr>
      <w:sz w:val="16"/>
      <w:szCs w:val="16"/>
    </w:rPr>
  </w:style>
  <w:style w:type="character" w:styleId="Hipervnculovisitado">
    <w:name w:val="FollowedHyperlink"/>
    <w:basedOn w:val="Fuentedeprrafopredeter"/>
    <w:uiPriority w:val="99"/>
    <w:semiHidden/>
    <w:unhideWhenUsed/>
    <w:rsid w:val="00D362B8"/>
    <w:rPr>
      <w:color w:val="800080" w:themeColor="followedHyperlink"/>
      <w:u w:val="single"/>
    </w:rPr>
  </w:style>
  <w:style w:type="paragraph" w:customStyle="1" w:styleId="Standard">
    <w:name w:val="Standard"/>
    <w:rsid w:val="00D362B8"/>
    <w:pPr>
      <w:suppressAutoHyphens/>
      <w:autoSpaceDN w:val="0"/>
      <w:textAlignment w:val="baseline"/>
    </w:pPr>
    <w:rPr>
      <w:rFonts w:ascii="Calibri" w:eastAsia="Arial Unicode MS" w:hAnsi="Calibri" w:cs="Calibri"/>
      <w:kern w:val="3"/>
    </w:rPr>
  </w:style>
  <w:style w:type="paragraph" w:customStyle="1" w:styleId="Default">
    <w:name w:val="Default"/>
    <w:rsid w:val="00D362B8"/>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B61F0C"/>
    <w:rPr>
      <w:rFonts w:asciiTheme="majorHAnsi" w:eastAsiaTheme="majorEastAsia" w:hAnsiTheme="majorHAnsi" w:cstheme="majorBidi"/>
      <w:b/>
      <w:bCs/>
      <w:color w:val="4F81BD" w:themeColor="accent1"/>
      <w:sz w:val="26"/>
      <w:szCs w:val="26"/>
    </w:rPr>
  </w:style>
  <w:style w:type="paragraph" w:styleId="ndice1">
    <w:name w:val="index 1"/>
    <w:basedOn w:val="Normal"/>
    <w:next w:val="Normal"/>
    <w:autoRedefine/>
    <w:uiPriority w:val="99"/>
    <w:unhideWhenUsed/>
    <w:rsid w:val="001E3564"/>
    <w:pPr>
      <w:spacing w:after="0"/>
      <w:ind w:left="220" w:hanging="220"/>
    </w:pPr>
    <w:rPr>
      <w:sz w:val="24"/>
      <w:szCs w:val="18"/>
    </w:rPr>
  </w:style>
  <w:style w:type="paragraph" w:styleId="ndice2">
    <w:name w:val="index 2"/>
    <w:basedOn w:val="Normal"/>
    <w:next w:val="Normal"/>
    <w:autoRedefine/>
    <w:uiPriority w:val="99"/>
    <w:unhideWhenUsed/>
    <w:rsid w:val="001E3564"/>
    <w:pPr>
      <w:spacing w:after="0"/>
      <w:ind w:left="440" w:hanging="220"/>
    </w:pPr>
    <w:rPr>
      <w:sz w:val="18"/>
      <w:szCs w:val="18"/>
    </w:rPr>
  </w:style>
  <w:style w:type="paragraph" w:styleId="ndice3">
    <w:name w:val="index 3"/>
    <w:basedOn w:val="Normal"/>
    <w:next w:val="Normal"/>
    <w:autoRedefine/>
    <w:uiPriority w:val="99"/>
    <w:unhideWhenUsed/>
    <w:rsid w:val="001E3564"/>
    <w:pPr>
      <w:spacing w:after="0"/>
      <w:ind w:left="660" w:hanging="220"/>
    </w:pPr>
    <w:rPr>
      <w:sz w:val="18"/>
      <w:szCs w:val="18"/>
    </w:rPr>
  </w:style>
  <w:style w:type="paragraph" w:styleId="ndice4">
    <w:name w:val="index 4"/>
    <w:basedOn w:val="Normal"/>
    <w:next w:val="Normal"/>
    <w:autoRedefine/>
    <w:uiPriority w:val="99"/>
    <w:unhideWhenUsed/>
    <w:rsid w:val="001E3564"/>
    <w:pPr>
      <w:spacing w:after="0"/>
      <w:ind w:left="880" w:hanging="220"/>
    </w:pPr>
    <w:rPr>
      <w:sz w:val="18"/>
      <w:szCs w:val="18"/>
    </w:rPr>
  </w:style>
  <w:style w:type="paragraph" w:styleId="ndice5">
    <w:name w:val="index 5"/>
    <w:basedOn w:val="Normal"/>
    <w:next w:val="Normal"/>
    <w:autoRedefine/>
    <w:uiPriority w:val="99"/>
    <w:unhideWhenUsed/>
    <w:rsid w:val="001E3564"/>
    <w:pPr>
      <w:spacing w:after="0"/>
      <w:ind w:left="1100" w:hanging="220"/>
    </w:pPr>
    <w:rPr>
      <w:sz w:val="18"/>
      <w:szCs w:val="18"/>
    </w:rPr>
  </w:style>
  <w:style w:type="paragraph" w:styleId="ndice6">
    <w:name w:val="index 6"/>
    <w:basedOn w:val="Normal"/>
    <w:next w:val="Normal"/>
    <w:autoRedefine/>
    <w:uiPriority w:val="99"/>
    <w:unhideWhenUsed/>
    <w:rsid w:val="001E3564"/>
    <w:pPr>
      <w:spacing w:after="0"/>
      <w:ind w:left="1320" w:hanging="220"/>
    </w:pPr>
    <w:rPr>
      <w:sz w:val="18"/>
      <w:szCs w:val="18"/>
    </w:rPr>
  </w:style>
  <w:style w:type="paragraph" w:styleId="ndice7">
    <w:name w:val="index 7"/>
    <w:basedOn w:val="Normal"/>
    <w:next w:val="Normal"/>
    <w:autoRedefine/>
    <w:uiPriority w:val="99"/>
    <w:unhideWhenUsed/>
    <w:rsid w:val="001E3564"/>
    <w:pPr>
      <w:spacing w:after="0"/>
      <w:ind w:left="1540" w:hanging="220"/>
    </w:pPr>
    <w:rPr>
      <w:sz w:val="18"/>
      <w:szCs w:val="18"/>
    </w:rPr>
  </w:style>
  <w:style w:type="paragraph" w:styleId="ndice8">
    <w:name w:val="index 8"/>
    <w:basedOn w:val="Normal"/>
    <w:next w:val="Normal"/>
    <w:autoRedefine/>
    <w:uiPriority w:val="99"/>
    <w:unhideWhenUsed/>
    <w:rsid w:val="001E3564"/>
    <w:pPr>
      <w:spacing w:after="0"/>
      <w:ind w:left="1760" w:hanging="220"/>
    </w:pPr>
    <w:rPr>
      <w:sz w:val="18"/>
      <w:szCs w:val="18"/>
    </w:rPr>
  </w:style>
  <w:style w:type="paragraph" w:styleId="ndice9">
    <w:name w:val="index 9"/>
    <w:basedOn w:val="Normal"/>
    <w:next w:val="Normal"/>
    <w:autoRedefine/>
    <w:uiPriority w:val="99"/>
    <w:unhideWhenUsed/>
    <w:rsid w:val="001E3564"/>
    <w:pPr>
      <w:spacing w:after="0"/>
      <w:ind w:left="1980" w:hanging="220"/>
    </w:pPr>
    <w:rPr>
      <w:sz w:val="18"/>
      <w:szCs w:val="18"/>
    </w:rPr>
  </w:style>
  <w:style w:type="paragraph" w:styleId="Ttulodendice">
    <w:name w:val="index heading"/>
    <w:basedOn w:val="Normal"/>
    <w:next w:val="ndice1"/>
    <w:uiPriority w:val="99"/>
    <w:unhideWhenUsed/>
    <w:rsid w:val="001E3564"/>
    <w:pPr>
      <w:spacing w:before="240" w:after="120"/>
      <w:ind w:left="140"/>
    </w:pPr>
    <w:rPr>
      <w:rFonts w:asciiTheme="majorHAnsi" w:hAnsiTheme="majorHAnsi"/>
      <w:b/>
      <w:bCs/>
      <w:sz w:val="28"/>
      <w:szCs w:val="28"/>
    </w:rPr>
  </w:style>
  <w:style w:type="paragraph" w:styleId="TtulodeTDC">
    <w:name w:val="TOC Heading"/>
    <w:basedOn w:val="Ttulo1"/>
    <w:next w:val="Normal"/>
    <w:uiPriority w:val="39"/>
    <w:unhideWhenUsed/>
    <w:qFormat/>
    <w:rsid w:val="00946AC7"/>
    <w:pPr>
      <w:outlineLvl w:val="9"/>
    </w:pPr>
    <w:rPr>
      <w:lang w:eastAsia="es-GT"/>
    </w:rPr>
  </w:style>
  <w:style w:type="paragraph" w:styleId="TDC1">
    <w:name w:val="toc 1"/>
    <w:basedOn w:val="Ttulo1"/>
    <w:next w:val="Default"/>
    <w:link w:val="TDC1Car"/>
    <w:autoRedefine/>
    <w:uiPriority w:val="39"/>
    <w:unhideWhenUsed/>
    <w:qFormat/>
    <w:rsid w:val="00BF76DF"/>
    <w:pPr>
      <w:tabs>
        <w:tab w:val="left" w:pos="284"/>
        <w:tab w:val="left" w:pos="660"/>
        <w:tab w:val="right" w:pos="8828"/>
      </w:tabs>
      <w:spacing w:after="100"/>
      <w:jc w:val="both"/>
    </w:pPr>
  </w:style>
  <w:style w:type="paragraph" w:styleId="TDC2">
    <w:name w:val="toc 2"/>
    <w:basedOn w:val="Normal"/>
    <w:next w:val="Normal"/>
    <w:autoRedefine/>
    <w:uiPriority w:val="39"/>
    <w:unhideWhenUsed/>
    <w:qFormat/>
    <w:rsid w:val="004F4F72"/>
    <w:pPr>
      <w:tabs>
        <w:tab w:val="left" w:pos="660"/>
        <w:tab w:val="right" w:leader="dot" w:pos="8828"/>
      </w:tabs>
      <w:spacing w:after="100"/>
      <w:ind w:left="220"/>
    </w:pPr>
    <w:rPr>
      <w:rFonts w:ascii="Calibri" w:hAnsi="Calibri"/>
      <w:b/>
      <w:noProof/>
      <w:color w:val="365F91" w:themeColor="accent1" w:themeShade="BF"/>
      <w:sz w:val="26"/>
      <w:szCs w:val="26"/>
    </w:rPr>
  </w:style>
  <w:style w:type="character" w:customStyle="1" w:styleId="TDC1Car">
    <w:name w:val="TDC 1 Car"/>
    <w:basedOn w:val="Ttulo1Car"/>
    <w:link w:val="TDC1"/>
    <w:uiPriority w:val="39"/>
    <w:rsid w:val="00BF76DF"/>
    <w:rPr>
      <w:rFonts w:asciiTheme="majorHAnsi" w:eastAsiaTheme="majorEastAsia" w:hAnsiTheme="majorHAnsi" w:cstheme="majorBidi"/>
      <w:b/>
      <w:bCs/>
      <w:color w:val="365F91" w:themeColor="accent1" w:themeShade="BF"/>
      <w:sz w:val="28"/>
      <w:szCs w:val="28"/>
    </w:rPr>
  </w:style>
  <w:style w:type="paragraph" w:styleId="TDC3">
    <w:name w:val="toc 3"/>
    <w:basedOn w:val="Normal"/>
    <w:next w:val="Normal"/>
    <w:autoRedefine/>
    <w:uiPriority w:val="39"/>
    <w:semiHidden/>
    <w:unhideWhenUsed/>
    <w:qFormat/>
    <w:rsid w:val="00C67622"/>
    <w:pPr>
      <w:spacing w:after="100"/>
      <w:ind w:left="440"/>
    </w:pPr>
    <w:rPr>
      <w:rFonts w:eastAsiaTheme="minorEastAsia"/>
      <w:lang w:eastAsia="es-GT"/>
    </w:rPr>
  </w:style>
  <w:style w:type="character" w:customStyle="1" w:styleId="apple-converted-space">
    <w:name w:val="apple-converted-space"/>
    <w:basedOn w:val="Fuentedeprrafopredeter"/>
    <w:rsid w:val="0092101E"/>
  </w:style>
  <w:style w:type="paragraph" w:styleId="Textonotaalfinal">
    <w:name w:val="endnote text"/>
    <w:basedOn w:val="Normal"/>
    <w:link w:val="TextonotaalfinalCar"/>
    <w:uiPriority w:val="99"/>
    <w:semiHidden/>
    <w:unhideWhenUsed/>
    <w:rsid w:val="00BC1A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1A00"/>
    <w:rPr>
      <w:sz w:val="20"/>
      <w:szCs w:val="20"/>
    </w:rPr>
  </w:style>
  <w:style w:type="character" w:styleId="Refdenotaalfinal">
    <w:name w:val="endnote reference"/>
    <w:basedOn w:val="Fuentedeprrafopredeter"/>
    <w:uiPriority w:val="99"/>
    <w:semiHidden/>
    <w:unhideWhenUsed/>
    <w:rsid w:val="00BC1A00"/>
    <w:rPr>
      <w:vertAlign w:val="superscript"/>
    </w:rPr>
  </w:style>
  <w:style w:type="paragraph" w:styleId="Sangradetextonormal">
    <w:name w:val="Body Text Indent"/>
    <w:basedOn w:val="Normal"/>
    <w:link w:val="SangradetextonormalCar"/>
    <w:uiPriority w:val="99"/>
    <w:unhideWhenUsed/>
    <w:rsid w:val="00295641"/>
    <w:pPr>
      <w:spacing w:after="100" w:afterAutospacing="1" w:line="240" w:lineRule="auto"/>
      <w:ind w:firstLine="360"/>
      <w:jc w:val="both"/>
    </w:pPr>
  </w:style>
  <w:style w:type="character" w:customStyle="1" w:styleId="SangradetextonormalCar">
    <w:name w:val="Sangría de texto normal Car"/>
    <w:basedOn w:val="Fuentedeprrafopredeter"/>
    <w:link w:val="Sangradetextonormal"/>
    <w:uiPriority w:val="99"/>
    <w:rsid w:val="00295641"/>
  </w:style>
  <w:style w:type="character" w:customStyle="1" w:styleId="A6">
    <w:name w:val="A6"/>
    <w:uiPriority w:val="99"/>
    <w:rsid w:val="008D79F2"/>
    <w:rPr>
      <w:rFonts w:cs="Gotham"/>
      <w:i/>
      <w:iCs/>
      <w:color w:val="000000"/>
      <w:sz w:val="20"/>
      <w:szCs w:val="20"/>
    </w:rPr>
  </w:style>
  <w:style w:type="paragraph" w:styleId="Textoindependiente">
    <w:name w:val="Body Text"/>
    <w:basedOn w:val="Normal"/>
    <w:link w:val="TextoindependienteCar"/>
    <w:uiPriority w:val="99"/>
    <w:unhideWhenUsed/>
    <w:rsid w:val="008D79F2"/>
    <w:pPr>
      <w:spacing w:after="100" w:afterAutospacing="1" w:line="240" w:lineRule="auto"/>
      <w:jc w:val="both"/>
    </w:pPr>
    <w:rPr>
      <w:rFonts w:ascii="Gotham" w:hAnsi="Gotham"/>
      <w:i/>
      <w:iCs/>
      <w:color w:val="FF0000"/>
      <w:sz w:val="20"/>
      <w:szCs w:val="20"/>
      <w:lang w:val="es-PE"/>
    </w:rPr>
  </w:style>
  <w:style w:type="character" w:customStyle="1" w:styleId="TextoindependienteCar">
    <w:name w:val="Texto independiente Car"/>
    <w:basedOn w:val="Fuentedeprrafopredeter"/>
    <w:link w:val="Textoindependiente"/>
    <w:uiPriority w:val="99"/>
    <w:rsid w:val="008D79F2"/>
    <w:rPr>
      <w:rFonts w:ascii="Gotham" w:hAnsi="Gotham"/>
      <w:i/>
      <w:iCs/>
      <w:color w:val="FF0000"/>
      <w:sz w:val="20"/>
      <w:szCs w:val="20"/>
      <w:lang w:val="es-PE"/>
    </w:rPr>
  </w:style>
  <w:style w:type="paragraph" w:styleId="Textoindependiente2">
    <w:name w:val="Body Text 2"/>
    <w:basedOn w:val="Normal"/>
    <w:link w:val="Textoindependiente2Car"/>
    <w:uiPriority w:val="99"/>
    <w:unhideWhenUsed/>
    <w:rsid w:val="008D79F2"/>
    <w:pPr>
      <w:spacing w:after="100" w:afterAutospacing="1" w:line="240" w:lineRule="auto"/>
      <w:jc w:val="both"/>
    </w:pPr>
    <w:rPr>
      <w:color w:val="FF0000"/>
    </w:rPr>
  </w:style>
  <w:style w:type="character" w:customStyle="1" w:styleId="Textoindependiente2Car">
    <w:name w:val="Texto independiente 2 Car"/>
    <w:basedOn w:val="Fuentedeprrafopredeter"/>
    <w:link w:val="Textoindependiente2"/>
    <w:uiPriority w:val="99"/>
    <w:rsid w:val="008D79F2"/>
    <w:rPr>
      <w:color w:val="FF0000"/>
    </w:rPr>
  </w:style>
  <w:style w:type="character" w:customStyle="1" w:styleId="Ttulo3Car">
    <w:name w:val="Título 3 Car"/>
    <w:basedOn w:val="Fuentedeprrafopredeter"/>
    <w:link w:val="Ttulo3"/>
    <w:uiPriority w:val="9"/>
    <w:rsid w:val="00A56D20"/>
    <w:rPr>
      <w:rFonts w:ascii="Gotham Bold" w:hAnsi="Gotham Bold" w:cs="Gotham Bold"/>
      <w:b/>
      <w:color w:val="000000"/>
      <w:sz w:val="20"/>
      <w:szCs w:val="24"/>
      <w:lang w:val="es-PE"/>
    </w:rPr>
  </w:style>
  <w:style w:type="paragraph" w:customStyle="1" w:styleId="Pa6">
    <w:name w:val="Pa6"/>
    <w:basedOn w:val="Default"/>
    <w:next w:val="Default"/>
    <w:uiPriority w:val="99"/>
    <w:rsid w:val="00D55406"/>
    <w:pPr>
      <w:spacing w:line="201" w:lineRule="atLeast"/>
    </w:pPr>
    <w:rPr>
      <w:rFonts w:ascii="Gotham Bold" w:hAnsi="Gotham Bold" w:cstheme="minorBidi"/>
      <w:color w:val="auto"/>
      <w:lang w:val="es-PE"/>
    </w:rPr>
  </w:style>
  <w:style w:type="paragraph" w:customStyle="1" w:styleId="Pa1">
    <w:name w:val="Pa1"/>
    <w:basedOn w:val="Default"/>
    <w:next w:val="Default"/>
    <w:uiPriority w:val="99"/>
    <w:rsid w:val="00D55406"/>
    <w:pPr>
      <w:spacing w:line="241" w:lineRule="atLeast"/>
    </w:pPr>
    <w:rPr>
      <w:rFonts w:ascii="Gotham Bold" w:hAnsi="Gotham Bold" w:cstheme="minorBidi"/>
      <w:color w:val="auto"/>
      <w:lang w:val="es-PE"/>
    </w:rPr>
  </w:style>
  <w:style w:type="table" w:customStyle="1" w:styleId="Tablaconcuadrcula1">
    <w:name w:val="Tabla con cuadrícula1"/>
    <w:basedOn w:val="Tablanormal"/>
    <w:next w:val="Tablaconcuadrcula"/>
    <w:uiPriority w:val="59"/>
    <w:rsid w:val="009A6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265D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5D44"/>
    <w:rPr>
      <w:sz w:val="20"/>
      <w:szCs w:val="20"/>
    </w:rPr>
  </w:style>
  <w:style w:type="character" w:styleId="Refdenotaalpie">
    <w:name w:val="footnote reference"/>
    <w:basedOn w:val="Fuentedeprrafopredeter"/>
    <w:uiPriority w:val="99"/>
    <w:semiHidden/>
    <w:unhideWhenUsed/>
    <w:rsid w:val="00265D44"/>
    <w:rPr>
      <w:vertAlign w:val="superscript"/>
    </w:rPr>
  </w:style>
  <w:style w:type="paragraph" w:customStyle="1" w:styleId="Normal1">
    <w:name w:val="Normal1"/>
    <w:rsid w:val="001F04BA"/>
    <w:rPr>
      <w:rFonts w:ascii="Cambria" w:eastAsia="Cambria" w:hAnsi="Cambria" w:cs="Cambria"/>
      <w:color w:val="000000"/>
      <w:lang w:val="es-ES_tradnl" w:eastAsia="es-ES"/>
    </w:rPr>
  </w:style>
  <w:style w:type="paragraph" w:styleId="Textocomentario">
    <w:name w:val="annotation text"/>
    <w:basedOn w:val="Normal"/>
    <w:link w:val="TextocomentarioCar"/>
    <w:uiPriority w:val="99"/>
    <w:semiHidden/>
    <w:unhideWhenUsed/>
    <w:rsid w:val="007401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134"/>
    <w:rPr>
      <w:sz w:val="20"/>
      <w:szCs w:val="20"/>
    </w:rPr>
  </w:style>
  <w:style w:type="paragraph" w:styleId="Asuntodelcomentario">
    <w:name w:val="annotation subject"/>
    <w:basedOn w:val="Textocomentario"/>
    <w:next w:val="Textocomentario"/>
    <w:link w:val="AsuntodelcomentarioCar"/>
    <w:uiPriority w:val="99"/>
    <w:semiHidden/>
    <w:unhideWhenUsed/>
    <w:rsid w:val="00740134"/>
    <w:rPr>
      <w:b/>
      <w:bCs/>
    </w:rPr>
  </w:style>
  <w:style w:type="character" w:customStyle="1" w:styleId="AsuntodelcomentarioCar">
    <w:name w:val="Asunto del comentario Car"/>
    <w:basedOn w:val="TextocomentarioCar"/>
    <w:link w:val="Asuntodelcomentario"/>
    <w:uiPriority w:val="99"/>
    <w:semiHidden/>
    <w:rsid w:val="007401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41961">
      <w:bodyDiv w:val="1"/>
      <w:marLeft w:val="0"/>
      <w:marRight w:val="0"/>
      <w:marTop w:val="0"/>
      <w:marBottom w:val="0"/>
      <w:divBdr>
        <w:top w:val="none" w:sz="0" w:space="0" w:color="auto"/>
        <w:left w:val="none" w:sz="0" w:space="0" w:color="auto"/>
        <w:bottom w:val="none" w:sz="0" w:space="0" w:color="auto"/>
        <w:right w:val="none" w:sz="0" w:space="0" w:color="auto"/>
      </w:divBdr>
    </w:div>
    <w:div w:id="554389077">
      <w:bodyDiv w:val="1"/>
      <w:marLeft w:val="0"/>
      <w:marRight w:val="0"/>
      <w:marTop w:val="0"/>
      <w:marBottom w:val="0"/>
      <w:divBdr>
        <w:top w:val="none" w:sz="0" w:space="0" w:color="auto"/>
        <w:left w:val="none" w:sz="0" w:space="0" w:color="auto"/>
        <w:bottom w:val="none" w:sz="0" w:space="0" w:color="auto"/>
        <w:right w:val="none" w:sz="0" w:space="0" w:color="auto"/>
      </w:divBdr>
      <w:divsChild>
        <w:div w:id="307974547">
          <w:marLeft w:val="547"/>
          <w:marRight w:val="0"/>
          <w:marTop w:val="115"/>
          <w:marBottom w:val="0"/>
          <w:divBdr>
            <w:top w:val="none" w:sz="0" w:space="0" w:color="auto"/>
            <w:left w:val="none" w:sz="0" w:space="0" w:color="auto"/>
            <w:bottom w:val="none" w:sz="0" w:space="0" w:color="auto"/>
            <w:right w:val="none" w:sz="0" w:space="0" w:color="auto"/>
          </w:divBdr>
        </w:div>
        <w:div w:id="643003104">
          <w:marLeft w:val="547"/>
          <w:marRight w:val="0"/>
          <w:marTop w:val="115"/>
          <w:marBottom w:val="0"/>
          <w:divBdr>
            <w:top w:val="none" w:sz="0" w:space="0" w:color="auto"/>
            <w:left w:val="none" w:sz="0" w:space="0" w:color="auto"/>
            <w:bottom w:val="none" w:sz="0" w:space="0" w:color="auto"/>
            <w:right w:val="none" w:sz="0" w:space="0" w:color="auto"/>
          </w:divBdr>
        </w:div>
        <w:div w:id="1097947785">
          <w:marLeft w:val="547"/>
          <w:marRight w:val="0"/>
          <w:marTop w:val="115"/>
          <w:marBottom w:val="0"/>
          <w:divBdr>
            <w:top w:val="none" w:sz="0" w:space="0" w:color="auto"/>
            <w:left w:val="none" w:sz="0" w:space="0" w:color="auto"/>
            <w:bottom w:val="none" w:sz="0" w:space="0" w:color="auto"/>
            <w:right w:val="none" w:sz="0" w:space="0" w:color="auto"/>
          </w:divBdr>
        </w:div>
        <w:div w:id="1179080575">
          <w:marLeft w:val="547"/>
          <w:marRight w:val="0"/>
          <w:marTop w:val="115"/>
          <w:marBottom w:val="0"/>
          <w:divBdr>
            <w:top w:val="none" w:sz="0" w:space="0" w:color="auto"/>
            <w:left w:val="none" w:sz="0" w:space="0" w:color="auto"/>
            <w:bottom w:val="none" w:sz="0" w:space="0" w:color="auto"/>
            <w:right w:val="none" w:sz="0" w:space="0" w:color="auto"/>
          </w:divBdr>
        </w:div>
        <w:div w:id="1899854330">
          <w:marLeft w:val="547"/>
          <w:marRight w:val="0"/>
          <w:marTop w:val="115"/>
          <w:marBottom w:val="0"/>
          <w:divBdr>
            <w:top w:val="none" w:sz="0" w:space="0" w:color="auto"/>
            <w:left w:val="none" w:sz="0" w:space="0" w:color="auto"/>
            <w:bottom w:val="none" w:sz="0" w:space="0" w:color="auto"/>
            <w:right w:val="none" w:sz="0" w:space="0" w:color="auto"/>
          </w:divBdr>
        </w:div>
      </w:divsChild>
    </w:div>
    <w:div w:id="762382615">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836579062">
      <w:bodyDiv w:val="1"/>
      <w:marLeft w:val="0"/>
      <w:marRight w:val="0"/>
      <w:marTop w:val="0"/>
      <w:marBottom w:val="0"/>
      <w:divBdr>
        <w:top w:val="none" w:sz="0" w:space="0" w:color="auto"/>
        <w:left w:val="none" w:sz="0" w:space="0" w:color="auto"/>
        <w:bottom w:val="none" w:sz="0" w:space="0" w:color="auto"/>
        <w:right w:val="none" w:sz="0" w:space="0" w:color="auto"/>
      </w:divBdr>
    </w:div>
    <w:div w:id="853497398">
      <w:bodyDiv w:val="1"/>
      <w:marLeft w:val="0"/>
      <w:marRight w:val="0"/>
      <w:marTop w:val="0"/>
      <w:marBottom w:val="0"/>
      <w:divBdr>
        <w:top w:val="none" w:sz="0" w:space="0" w:color="auto"/>
        <w:left w:val="none" w:sz="0" w:space="0" w:color="auto"/>
        <w:bottom w:val="none" w:sz="0" w:space="0" w:color="auto"/>
        <w:right w:val="none" w:sz="0" w:space="0" w:color="auto"/>
      </w:divBdr>
    </w:div>
    <w:div w:id="950009937">
      <w:bodyDiv w:val="1"/>
      <w:marLeft w:val="0"/>
      <w:marRight w:val="0"/>
      <w:marTop w:val="0"/>
      <w:marBottom w:val="0"/>
      <w:divBdr>
        <w:top w:val="none" w:sz="0" w:space="0" w:color="auto"/>
        <w:left w:val="none" w:sz="0" w:space="0" w:color="auto"/>
        <w:bottom w:val="none" w:sz="0" w:space="0" w:color="auto"/>
        <w:right w:val="none" w:sz="0" w:space="0" w:color="auto"/>
      </w:divBdr>
    </w:div>
    <w:div w:id="1071122081">
      <w:bodyDiv w:val="1"/>
      <w:marLeft w:val="0"/>
      <w:marRight w:val="0"/>
      <w:marTop w:val="0"/>
      <w:marBottom w:val="0"/>
      <w:divBdr>
        <w:top w:val="none" w:sz="0" w:space="0" w:color="auto"/>
        <w:left w:val="none" w:sz="0" w:space="0" w:color="auto"/>
        <w:bottom w:val="none" w:sz="0" w:space="0" w:color="auto"/>
        <w:right w:val="none" w:sz="0" w:space="0" w:color="auto"/>
      </w:divBdr>
    </w:div>
    <w:div w:id="1277369534">
      <w:bodyDiv w:val="1"/>
      <w:marLeft w:val="0"/>
      <w:marRight w:val="0"/>
      <w:marTop w:val="0"/>
      <w:marBottom w:val="0"/>
      <w:divBdr>
        <w:top w:val="none" w:sz="0" w:space="0" w:color="auto"/>
        <w:left w:val="none" w:sz="0" w:space="0" w:color="auto"/>
        <w:bottom w:val="none" w:sz="0" w:space="0" w:color="auto"/>
        <w:right w:val="none" w:sz="0" w:space="0" w:color="auto"/>
      </w:divBdr>
    </w:div>
    <w:div w:id="1595897623">
      <w:bodyDiv w:val="1"/>
      <w:marLeft w:val="0"/>
      <w:marRight w:val="0"/>
      <w:marTop w:val="0"/>
      <w:marBottom w:val="0"/>
      <w:divBdr>
        <w:top w:val="none" w:sz="0" w:space="0" w:color="auto"/>
        <w:left w:val="none" w:sz="0" w:space="0" w:color="auto"/>
        <w:bottom w:val="none" w:sz="0" w:space="0" w:color="auto"/>
        <w:right w:val="none" w:sz="0" w:space="0" w:color="auto"/>
      </w:divBdr>
    </w:div>
    <w:div w:id="1820032377">
      <w:bodyDiv w:val="1"/>
      <w:marLeft w:val="0"/>
      <w:marRight w:val="0"/>
      <w:marTop w:val="0"/>
      <w:marBottom w:val="0"/>
      <w:divBdr>
        <w:top w:val="none" w:sz="0" w:space="0" w:color="auto"/>
        <w:left w:val="none" w:sz="0" w:space="0" w:color="auto"/>
        <w:bottom w:val="none" w:sz="0" w:space="0" w:color="auto"/>
        <w:right w:val="none" w:sz="0" w:space="0" w:color="auto"/>
      </w:divBdr>
    </w:div>
    <w:div w:id="1984117490">
      <w:bodyDiv w:val="1"/>
      <w:marLeft w:val="0"/>
      <w:marRight w:val="0"/>
      <w:marTop w:val="0"/>
      <w:marBottom w:val="0"/>
      <w:divBdr>
        <w:top w:val="none" w:sz="0" w:space="0" w:color="auto"/>
        <w:left w:val="none" w:sz="0" w:space="0" w:color="auto"/>
        <w:bottom w:val="none" w:sz="0" w:space="0" w:color="auto"/>
        <w:right w:val="none" w:sz="0" w:space="0" w:color="auto"/>
      </w:divBdr>
    </w:div>
    <w:div w:id="2032409250">
      <w:bodyDiv w:val="1"/>
      <w:marLeft w:val="0"/>
      <w:marRight w:val="0"/>
      <w:marTop w:val="0"/>
      <w:marBottom w:val="0"/>
      <w:divBdr>
        <w:top w:val="none" w:sz="0" w:space="0" w:color="auto"/>
        <w:left w:val="none" w:sz="0" w:space="0" w:color="auto"/>
        <w:bottom w:val="none" w:sz="0" w:space="0" w:color="auto"/>
        <w:right w:val="none" w:sz="0" w:space="0" w:color="auto"/>
      </w:divBdr>
    </w:div>
    <w:div w:id="21398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pcm.gob.pe/biblioteca/?searchll=Normas" TargetMode="External"/><Relationship Id="rId18" Type="http://schemas.openxmlformats.org/officeDocument/2006/relationships/hyperlink" Target="http://sdv.midis.gob.pe/Infomidis" TargetMode="External"/><Relationship Id="rId26" Type="http://schemas.openxmlformats.org/officeDocument/2006/relationships/hyperlink" Target="http://www.rendiciondecuentas.gob.pe/" TargetMode="External"/><Relationship Id="rId39" Type="http://schemas.openxmlformats.org/officeDocument/2006/relationships/hyperlink" Target="http://datosabiertos.msi.gob.pe/home/" TargetMode="External"/><Relationship Id="rId21" Type="http://schemas.openxmlformats.org/officeDocument/2006/relationships/hyperlink" Target="http://regionmoquegua.gob.pe/web13/transparencia/eiti.html" TargetMode="External"/><Relationship Id="rId34" Type="http://schemas.openxmlformats.org/officeDocument/2006/relationships/hyperlink" Target="http://www.datosabiertos.gob.pe" TargetMode="External"/><Relationship Id="rId42" Type="http://schemas.openxmlformats.org/officeDocument/2006/relationships/hyperlink" Target="http://www.datosabiertos.gob.pe/organizaciones" TargetMode="External"/><Relationship Id="rId47" Type="http://schemas.openxmlformats.org/officeDocument/2006/relationships/hyperlink" Target="https://www.ongei.gob.pe/eventos/ongei_eventos.asp?pk_id_entidad=1878/eventos/ongei_eventos.asp?pk_id_entidad=1878" TargetMode="External"/><Relationship Id="rId50" Type="http://schemas.openxmlformats.org/officeDocument/2006/relationships/hyperlink" Target="http://www.ongei.gob.pe/eventos/ongei_eventos.asp?pk_id_entidad=1878" TargetMode="External"/><Relationship Id="rId55" Type="http://schemas.openxmlformats.org/officeDocument/2006/relationships/hyperlink" Target="https://www.gestionpublica.gob.pe/foro/viewtopic.php?f=22&amp;t=2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espachoministerial1@midis.gob.pe" TargetMode="External"/><Relationship Id="rId29" Type="http://schemas.openxmlformats.org/officeDocument/2006/relationships/hyperlink" Target="http://www.unicef.org/peru/spanish/GastoPublico-en-ninos-ninas-adolescentes-en-Peru-1erSemestre2015.pdf" TargetMode="External"/><Relationship Id="rId11" Type="http://schemas.openxmlformats.org/officeDocument/2006/relationships/image" Target="cid:image002.jpg@01D21359.D6CC0E40" TargetMode="External"/><Relationship Id="rId24" Type="http://schemas.openxmlformats.org/officeDocument/2006/relationships/hyperlink" Target="http://www.rendiciondecuentas.gob.pe/files/DIRECTIVA_N015-2016-CGGPROD.pdf" TargetMode="External"/><Relationship Id="rId32" Type="http://schemas.openxmlformats.org/officeDocument/2006/relationships/hyperlink" Target="http://www.datosabiertos.gob.pe/" TargetMode="External"/><Relationship Id="rId37" Type="http://schemas.openxmlformats.org/officeDocument/2006/relationships/hyperlink" Target="http://datosabiertos.munlima.gob.pe/" TargetMode="External"/><Relationship Id="rId40" Type="http://schemas.openxmlformats.org/officeDocument/2006/relationships/hyperlink" Target="http://www.mdsmp.gob.pe/datos/index.php" TargetMode="External"/><Relationship Id="rId45" Type="http://schemas.openxmlformats.org/officeDocument/2006/relationships/hyperlink" Target="http://www.regionlalibertad.gob.pe/noticias/regionales/5989-exitosa-hackathon-en-la-libertad-marca-el-rumbo-de-la-innovacion-digital-en-el-norte-del-pais" TargetMode="External"/><Relationship Id="rId53" Type="http://schemas.openxmlformats.org/officeDocument/2006/relationships/hyperlink" Target="http://www.ongei.gob.pe/eventos/ongei_eventos.asp?pk_id_entidad=1878"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secretaria_general@osce.gob.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p.pcm.gob.pe/biblioteca/?searchll=%22gobierno%20abierto%22" TargetMode="External"/><Relationship Id="rId22" Type="http://schemas.openxmlformats.org/officeDocument/2006/relationships/hyperlink" Target="http://busquedas.elperuano.com.pe/normaslegales/crean-la-comision-regional-multisectorial-permanente-para-l-ordenanza-no-356-arequipa-1466858-3/" TargetMode="External"/><Relationship Id="rId27" Type="http://schemas.openxmlformats.org/officeDocument/2006/relationships/hyperlink" Target="http://www.unicef.org/peruspanish/gasto-publico-ninos-ninas-adolescentes-2014.pdf" TargetMode="External"/><Relationship Id="rId30" Type="http://schemas.openxmlformats.org/officeDocument/2006/relationships/hyperlink" Target="http://www.mimp.gob.pe/webs/mimp/pnaia/pdf/ppto/gasto-publico-en-ninos-ninas-adolescentesNov2015.pdf" TargetMode="External"/><Relationship Id="rId35" Type="http://schemas.openxmlformats.org/officeDocument/2006/relationships/hyperlink" Target="http://datos.concytec.gob.pe/" TargetMode="External"/><Relationship Id="rId43" Type="http://schemas.openxmlformats.org/officeDocument/2006/relationships/hyperlink" Target="https://play.google.com/store/apps/details?id=com.ongei.mperu&amp;hl=es" TargetMode="External"/><Relationship Id="rId48" Type="http://schemas.openxmlformats.org/officeDocument/2006/relationships/hyperlink" Target="http://www.serviciosalciudadano.gob.pe"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www.peru.gob.pe/redessociales"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v.midis.gob.pe/Infomidis/" TargetMode="External"/><Relationship Id="rId25" Type="http://schemas.openxmlformats.org/officeDocument/2006/relationships/hyperlink" Target="https://apps1.contraloria.gob.pe/RRCC/ConsultaIRC/Index" TargetMode="External"/><Relationship Id="rId33" Type="http://schemas.openxmlformats.org/officeDocument/2006/relationships/hyperlink" Target="http://www.datosabiertos.gob.pe/sobre-el-portal-nacional-de-datos-abiertos" TargetMode="External"/><Relationship Id="rId38" Type="http://schemas.openxmlformats.org/officeDocument/2006/relationships/hyperlink" Target="http://datosabiertos.miraflores.gob.pe/home" TargetMode="External"/><Relationship Id="rId46" Type="http://schemas.openxmlformats.org/officeDocument/2006/relationships/hyperlink" Target="https://www.ministeriodesalud.go.cr/index.php/sobre-ministerio/campanas-en-salud?id=558" TargetMode="External"/><Relationship Id="rId59" Type="http://schemas.openxmlformats.org/officeDocument/2006/relationships/theme" Target="theme/theme1.xml"/><Relationship Id="rId20" Type="http://schemas.openxmlformats.org/officeDocument/2006/relationships/hyperlink" Target="http://eitipiura.regionpiura.gob.pe/" TargetMode="External"/><Relationship Id="rId41" Type="http://schemas.openxmlformats.org/officeDocument/2006/relationships/hyperlink" Target="http://www.regionlalibertad.gob.pe/datosabiertos/" TargetMode="External"/><Relationship Id="rId54" Type="http://schemas.openxmlformats.org/officeDocument/2006/relationships/hyperlink" Target="http://www.peru.gob.pe/redessocial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rvir.gob.pe/servir-premia-a-ganadores-de-buenas-practicas-en-gestion-de-la-capacitacion/" TargetMode="External"/><Relationship Id="rId23" Type="http://schemas.openxmlformats.org/officeDocument/2006/relationships/hyperlink" Target="mailto:drodriguezt@pj.gob.pe" TargetMode="External"/><Relationship Id="rId28" Type="http://schemas.openxmlformats.org/officeDocument/2006/relationships/hyperlink" Target="http://www.mef.gob.pe/index.php?option=com_content&amp;view=article&amp;id=3849&amp;Itemid=101531&amp;lang=es" TargetMode="External"/><Relationship Id="rId36" Type="http://schemas.openxmlformats.org/officeDocument/2006/relationships/hyperlink" Target="http://datos.agrorural.gob.pe/" TargetMode="External"/><Relationship Id="rId49" Type="http://schemas.openxmlformats.org/officeDocument/2006/relationships/hyperlink" Target="mailto:maraoz@pcm.gob.pe" TargetMode="External"/><Relationship Id="rId57" Type="http://schemas.openxmlformats.org/officeDocument/2006/relationships/footer" Target="footer2.xml"/><Relationship Id="rId10" Type="http://schemas.openxmlformats.org/officeDocument/2006/relationships/image" Target="media/image3.jpeg"/><Relationship Id="rId31" Type="http://schemas.openxmlformats.org/officeDocument/2006/relationships/hyperlink" Target="http://sgp.pcm.gob.pe/wp-content/uploads/2017/02/DS-016-2017-PCM.pdf" TargetMode="External"/><Relationship Id="rId44" Type="http://schemas.openxmlformats.org/officeDocument/2006/relationships/hyperlink" Target="http://movil.softwarepublico.gob.pe/web/index.html" TargetMode="External"/><Relationship Id="rId52" Type="http://schemas.openxmlformats.org/officeDocument/2006/relationships/hyperlink" Target="http://www.peru.gob.pe/redessocia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nsultaprevia.cultura.gob.pe/capacitaciones/3101/" TargetMode="External"/><Relationship Id="rId2" Type="http://schemas.openxmlformats.org/officeDocument/2006/relationships/hyperlink" Target="http://www.pcm.gob.pe/wp-content/uploads/2014/01/PLAN_AGA.pdf" TargetMode="External"/><Relationship Id="rId1" Type="http://schemas.openxmlformats.org/officeDocument/2006/relationships/hyperlink" Target="http://www.pcm.gob.pe/gobierno_abierto_peru/" TargetMode="External"/><Relationship Id="rId6" Type="http://schemas.openxmlformats.org/officeDocument/2006/relationships/hyperlink" Target="http://consultaprevia.cultura.gob.pe/capacitaciones/taller-de-capacitacion-sobre-el-derecho-a-la-consulta-previa-de-los-pueblos-indigenas-u-originarios-con-lideres-y-lideresas-indigenas-de-las-bases-de-la-federacion-de-pueblos-indigenas-de-bajo-y-alto/" TargetMode="External"/><Relationship Id="rId5" Type="http://schemas.openxmlformats.org/officeDocument/2006/relationships/hyperlink" Target="http://consultaprevia.cultura.gob.pe/capacitaciones/taller-de-capacitacion-sobre-el-derecho-a-la-consulta-previa-de-los-pueblos-indigenas-u-originarios-con-lideres-y-lideresas-indigenas-de-las-bases-de-la-federacion-de-pueblos-indigenas-de-bajo-y-alto/" TargetMode="External"/><Relationship Id="rId4" Type="http://schemas.openxmlformats.org/officeDocument/2006/relationships/hyperlink" Target="http://consultaprevia.cultura.gob.pe/categoria/talleres-con-lideres/?nombre=&amp;fecha=2016-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0D5F-4FF0-44F7-8A68-29C395BE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14433</Words>
  <Characters>79385</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GUATEMALA</vt:lpstr>
    </vt:vector>
  </TitlesOfParts>
  <Company>Microsoft</Company>
  <LinksUpToDate>false</LinksUpToDate>
  <CharactersWithSpaces>93631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GUATEMALA</dc:title>
  <dc:subject>INFORME DE AUTOEVALUACIÓN DE MEDIO TÉRMINO DEL SEGUNDO PLAN DE ACCIÓN NACIONAL DE GOBIERNO ABIERTO GUATEMALA            2014- 2016</dc:subject>
  <dc:creator>Diego Donis</dc:creator>
  <cp:lastModifiedBy>Patricia Guillen Nolasco</cp:lastModifiedBy>
  <cp:revision>3</cp:revision>
  <cp:lastPrinted>2015-09-29T17:30:00Z</cp:lastPrinted>
  <dcterms:created xsi:type="dcterms:W3CDTF">2017-11-08T15:17:00Z</dcterms:created>
  <dcterms:modified xsi:type="dcterms:W3CDTF">2017-11-08T15:40:00Z</dcterms:modified>
</cp:coreProperties>
</file>