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ACAEB" w14:textId="77777777" w:rsidR="00B62025" w:rsidRPr="005C5C45" w:rsidRDefault="00C71AE4" w:rsidP="00C02574">
      <w:pPr>
        <w:pStyle w:val="Title"/>
      </w:pPr>
      <w:bookmarkStart w:id="0" w:name="_Toc266020998"/>
      <w:r w:rsidRPr="005C5C45">
        <w:t>Independent Reporting Mechanism</w:t>
      </w:r>
      <w:r w:rsidR="00EB01BA" w:rsidRPr="005C5C45">
        <w:t xml:space="preserve"> (IRM):</w:t>
      </w:r>
      <w:r w:rsidRPr="005C5C45">
        <w:t xml:space="preserve"> </w:t>
      </w:r>
      <w:r w:rsidR="003811C4" w:rsidRPr="005C5C45">
        <w:t>N</w:t>
      </w:r>
      <w:r w:rsidR="00421DD9" w:rsidRPr="005C5C45">
        <w:t xml:space="preserve">ew </w:t>
      </w:r>
      <w:r w:rsidR="003811C4" w:rsidRPr="005C5C45">
        <w:t>Z</w:t>
      </w:r>
      <w:r w:rsidR="00421DD9" w:rsidRPr="005C5C45">
        <w:t>ealand</w:t>
      </w:r>
      <w:r w:rsidR="00EB01BA" w:rsidRPr="005C5C45">
        <w:t xml:space="preserve"> </w:t>
      </w:r>
      <w:r w:rsidR="00264E70" w:rsidRPr="005C5C45">
        <w:t xml:space="preserve">Progress Report </w:t>
      </w:r>
      <w:r w:rsidR="004F270A" w:rsidRPr="005C5C45">
        <w:t>2016-201</w:t>
      </w:r>
      <w:r w:rsidR="00B50220" w:rsidRPr="005C5C45">
        <w:t>8</w:t>
      </w:r>
      <w:r w:rsidRPr="005C5C45">
        <w:t xml:space="preserve"> </w:t>
      </w:r>
    </w:p>
    <w:p w14:paraId="49079826" w14:textId="77777777" w:rsidR="00B62025" w:rsidRPr="005C5C45" w:rsidRDefault="005A2A72" w:rsidP="00B62025">
      <w:proofErr w:type="spellStart"/>
      <w:r w:rsidRPr="005C5C45">
        <w:t>Keitha</w:t>
      </w:r>
      <w:proofErr w:type="spellEnd"/>
      <w:r w:rsidRPr="005C5C45">
        <w:t xml:space="preserve"> Booth,</w:t>
      </w:r>
      <w:r w:rsidR="00FD29D6" w:rsidRPr="005C5C45">
        <w:t xml:space="preserve"> </w:t>
      </w:r>
      <w:r w:rsidR="00897E67" w:rsidRPr="005C5C45">
        <w:t xml:space="preserve">Independent </w:t>
      </w:r>
      <w:r w:rsidR="00FD29D6" w:rsidRPr="005C5C45">
        <w:t>Researcher</w:t>
      </w:r>
    </w:p>
    <w:sdt>
      <w:sdtPr>
        <w:rPr>
          <w:rFonts w:ascii="Gill Sans" w:eastAsiaTheme="minorEastAsia" w:hAnsi="Gill Sans" w:cs="Gill Sans"/>
          <w:b w:val="0"/>
          <w:bCs w:val="0"/>
          <w:color w:val="222222"/>
          <w:sz w:val="22"/>
          <w:szCs w:val="20"/>
        </w:rPr>
        <w:id w:val="696058047"/>
        <w:docPartObj>
          <w:docPartGallery w:val="Table of Contents"/>
          <w:docPartUnique/>
        </w:docPartObj>
      </w:sdtPr>
      <w:sdtEndPr>
        <w:rPr>
          <w:noProof/>
        </w:rPr>
      </w:sdtEndPr>
      <w:sdtContent>
        <w:p w14:paraId="4364D088" w14:textId="77777777" w:rsidR="006C7E40" w:rsidRPr="005C5C45" w:rsidRDefault="006C7E40">
          <w:pPr>
            <w:pStyle w:val="TOCHeading"/>
          </w:pPr>
          <w:r w:rsidRPr="005C5C45">
            <w:t>Table of Contents</w:t>
          </w:r>
        </w:p>
        <w:p w14:paraId="4772C3B6" w14:textId="77777777" w:rsidR="00361281" w:rsidRDefault="00233683">
          <w:pPr>
            <w:pStyle w:val="TOC1"/>
            <w:tabs>
              <w:tab w:val="right" w:pos="8290"/>
            </w:tabs>
            <w:rPr>
              <w:rFonts w:asciiTheme="minorHAnsi" w:hAnsiTheme="minorHAnsi" w:cstheme="minorBidi"/>
              <w:b w:val="0"/>
              <w:noProof/>
              <w:color w:val="auto"/>
              <w:sz w:val="24"/>
              <w:szCs w:val="24"/>
              <w:lang w:val="en-US" w:eastAsia="ja-JP"/>
            </w:rPr>
          </w:pPr>
          <w:r w:rsidRPr="005C5C45">
            <w:rPr>
              <w:b w:val="0"/>
            </w:rPr>
            <w:fldChar w:fldCharType="begin"/>
          </w:r>
          <w:r w:rsidR="006C7E40" w:rsidRPr="005C5C45">
            <w:rPr>
              <w:b w:val="0"/>
            </w:rPr>
            <w:instrText xml:space="preserve"> TOC \o "1-2" </w:instrText>
          </w:r>
          <w:r w:rsidRPr="005C5C45">
            <w:rPr>
              <w:b w:val="0"/>
            </w:rPr>
            <w:fldChar w:fldCharType="separate"/>
          </w:r>
          <w:r w:rsidR="00361281">
            <w:rPr>
              <w:noProof/>
            </w:rPr>
            <w:t>Executive Summary</w:t>
          </w:r>
          <w:r w:rsidR="00361281" w:rsidRPr="00FD2458">
            <w:rPr>
              <w:i/>
              <w:iCs/>
              <w:noProof/>
            </w:rPr>
            <w:t xml:space="preserve">: </w:t>
          </w:r>
          <w:r w:rsidR="00361281" w:rsidRPr="00FD2458">
            <w:rPr>
              <w:iCs/>
              <w:noProof/>
            </w:rPr>
            <w:t>New Zealand</w:t>
          </w:r>
          <w:r w:rsidR="00361281">
            <w:rPr>
              <w:noProof/>
            </w:rPr>
            <w:tab/>
          </w:r>
          <w:r w:rsidR="00361281">
            <w:rPr>
              <w:noProof/>
            </w:rPr>
            <w:fldChar w:fldCharType="begin"/>
          </w:r>
          <w:r w:rsidR="00361281">
            <w:rPr>
              <w:noProof/>
            </w:rPr>
            <w:instrText xml:space="preserve"> PAGEREF _Toc377998804 \h </w:instrText>
          </w:r>
          <w:r w:rsidR="00361281">
            <w:rPr>
              <w:noProof/>
            </w:rPr>
          </w:r>
          <w:r w:rsidR="00361281">
            <w:rPr>
              <w:noProof/>
            </w:rPr>
            <w:fldChar w:fldCharType="separate"/>
          </w:r>
          <w:r w:rsidR="00361281">
            <w:rPr>
              <w:noProof/>
            </w:rPr>
            <w:t>2</w:t>
          </w:r>
          <w:r w:rsidR="00361281">
            <w:rPr>
              <w:noProof/>
            </w:rPr>
            <w:fldChar w:fldCharType="end"/>
          </w:r>
        </w:p>
        <w:p w14:paraId="18CAE5CD" w14:textId="77777777" w:rsidR="00361281" w:rsidRDefault="00361281">
          <w:pPr>
            <w:pStyle w:val="TOC1"/>
            <w:tabs>
              <w:tab w:val="right" w:pos="8290"/>
            </w:tabs>
            <w:rPr>
              <w:rFonts w:asciiTheme="minorHAnsi" w:hAnsiTheme="minorHAnsi" w:cstheme="minorBidi"/>
              <w:b w:val="0"/>
              <w:noProof/>
              <w:color w:val="auto"/>
              <w:sz w:val="24"/>
              <w:szCs w:val="24"/>
              <w:lang w:val="en-US" w:eastAsia="ja-JP"/>
            </w:rPr>
          </w:pPr>
          <w:r>
            <w:rPr>
              <w:noProof/>
            </w:rPr>
            <w:t>I. Introduction</w:t>
          </w:r>
          <w:r>
            <w:rPr>
              <w:noProof/>
            </w:rPr>
            <w:tab/>
          </w:r>
          <w:r>
            <w:rPr>
              <w:noProof/>
            </w:rPr>
            <w:fldChar w:fldCharType="begin"/>
          </w:r>
          <w:r>
            <w:rPr>
              <w:noProof/>
            </w:rPr>
            <w:instrText xml:space="preserve"> PAGEREF _Toc377998805 \h </w:instrText>
          </w:r>
          <w:r>
            <w:rPr>
              <w:noProof/>
            </w:rPr>
          </w:r>
          <w:r>
            <w:rPr>
              <w:noProof/>
            </w:rPr>
            <w:fldChar w:fldCharType="separate"/>
          </w:r>
          <w:r>
            <w:rPr>
              <w:noProof/>
            </w:rPr>
            <w:t>8</w:t>
          </w:r>
          <w:r>
            <w:rPr>
              <w:noProof/>
            </w:rPr>
            <w:fldChar w:fldCharType="end"/>
          </w:r>
        </w:p>
        <w:p w14:paraId="3ADEA44B" w14:textId="77777777" w:rsidR="00361281" w:rsidRDefault="00361281">
          <w:pPr>
            <w:pStyle w:val="TOC1"/>
            <w:tabs>
              <w:tab w:val="right" w:pos="8290"/>
            </w:tabs>
            <w:rPr>
              <w:rFonts w:asciiTheme="minorHAnsi" w:hAnsiTheme="minorHAnsi" w:cstheme="minorBidi"/>
              <w:b w:val="0"/>
              <w:noProof/>
              <w:color w:val="auto"/>
              <w:sz w:val="24"/>
              <w:szCs w:val="24"/>
              <w:lang w:val="en-US" w:eastAsia="ja-JP"/>
            </w:rPr>
          </w:pPr>
          <w:r>
            <w:rPr>
              <w:noProof/>
            </w:rPr>
            <w:t>II. Context</w:t>
          </w:r>
          <w:r>
            <w:rPr>
              <w:noProof/>
            </w:rPr>
            <w:tab/>
          </w:r>
          <w:r>
            <w:rPr>
              <w:noProof/>
            </w:rPr>
            <w:fldChar w:fldCharType="begin"/>
          </w:r>
          <w:r>
            <w:rPr>
              <w:noProof/>
            </w:rPr>
            <w:instrText xml:space="preserve"> PAGEREF _Toc377998806 \h </w:instrText>
          </w:r>
          <w:r>
            <w:rPr>
              <w:noProof/>
            </w:rPr>
          </w:r>
          <w:r>
            <w:rPr>
              <w:noProof/>
            </w:rPr>
            <w:fldChar w:fldCharType="separate"/>
          </w:r>
          <w:r>
            <w:rPr>
              <w:noProof/>
            </w:rPr>
            <w:t>9</w:t>
          </w:r>
          <w:r>
            <w:rPr>
              <w:noProof/>
            </w:rPr>
            <w:fldChar w:fldCharType="end"/>
          </w:r>
        </w:p>
        <w:p w14:paraId="0A519B47" w14:textId="77777777" w:rsidR="00361281" w:rsidRDefault="00361281">
          <w:pPr>
            <w:pStyle w:val="TOC1"/>
            <w:tabs>
              <w:tab w:val="right" w:pos="8290"/>
            </w:tabs>
            <w:rPr>
              <w:rFonts w:asciiTheme="minorHAnsi" w:hAnsiTheme="minorHAnsi" w:cstheme="minorBidi"/>
              <w:b w:val="0"/>
              <w:noProof/>
              <w:color w:val="auto"/>
              <w:sz w:val="24"/>
              <w:szCs w:val="24"/>
              <w:lang w:val="en-US" w:eastAsia="ja-JP"/>
            </w:rPr>
          </w:pPr>
          <w:r>
            <w:rPr>
              <w:noProof/>
            </w:rPr>
            <w:t>III. Leadership and Multi-Stakeholder Process</w:t>
          </w:r>
          <w:r>
            <w:rPr>
              <w:noProof/>
            </w:rPr>
            <w:tab/>
          </w:r>
          <w:r>
            <w:rPr>
              <w:noProof/>
            </w:rPr>
            <w:fldChar w:fldCharType="begin"/>
          </w:r>
          <w:r>
            <w:rPr>
              <w:noProof/>
            </w:rPr>
            <w:instrText xml:space="preserve"> PAGEREF _Toc377998807 \h </w:instrText>
          </w:r>
          <w:r>
            <w:rPr>
              <w:noProof/>
            </w:rPr>
          </w:r>
          <w:r>
            <w:rPr>
              <w:noProof/>
            </w:rPr>
            <w:fldChar w:fldCharType="separate"/>
          </w:r>
          <w:r>
            <w:rPr>
              <w:noProof/>
            </w:rPr>
            <w:t>14</w:t>
          </w:r>
          <w:r>
            <w:rPr>
              <w:noProof/>
            </w:rPr>
            <w:fldChar w:fldCharType="end"/>
          </w:r>
        </w:p>
        <w:p w14:paraId="77BEB7F3" w14:textId="77777777" w:rsidR="00361281" w:rsidRDefault="00361281">
          <w:pPr>
            <w:pStyle w:val="TOC1"/>
            <w:tabs>
              <w:tab w:val="right" w:pos="8290"/>
            </w:tabs>
            <w:rPr>
              <w:rFonts w:asciiTheme="minorHAnsi" w:hAnsiTheme="minorHAnsi" w:cstheme="minorBidi"/>
              <w:b w:val="0"/>
              <w:noProof/>
              <w:color w:val="auto"/>
              <w:sz w:val="24"/>
              <w:szCs w:val="24"/>
              <w:lang w:val="en-US" w:eastAsia="ja-JP"/>
            </w:rPr>
          </w:pPr>
          <w:r>
            <w:rPr>
              <w:noProof/>
            </w:rPr>
            <w:t>IV. Commitments</w:t>
          </w:r>
          <w:r>
            <w:rPr>
              <w:noProof/>
            </w:rPr>
            <w:tab/>
          </w:r>
          <w:r>
            <w:rPr>
              <w:noProof/>
            </w:rPr>
            <w:fldChar w:fldCharType="begin"/>
          </w:r>
          <w:r>
            <w:rPr>
              <w:noProof/>
            </w:rPr>
            <w:instrText xml:space="preserve"> PAGEREF _Toc377998808 \h </w:instrText>
          </w:r>
          <w:r>
            <w:rPr>
              <w:noProof/>
            </w:rPr>
          </w:r>
          <w:r>
            <w:rPr>
              <w:noProof/>
            </w:rPr>
            <w:fldChar w:fldCharType="separate"/>
          </w:r>
          <w:r>
            <w:rPr>
              <w:noProof/>
            </w:rPr>
            <w:t>23</w:t>
          </w:r>
          <w:r>
            <w:rPr>
              <w:noProof/>
            </w:rPr>
            <w:fldChar w:fldCharType="end"/>
          </w:r>
        </w:p>
        <w:p w14:paraId="6AA3D837" w14:textId="77777777" w:rsidR="00361281" w:rsidRDefault="00361281">
          <w:pPr>
            <w:pStyle w:val="TOC2"/>
            <w:tabs>
              <w:tab w:val="right" w:pos="8290"/>
            </w:tabs>
            <w:rPr>
              <w:rFonts w:asciiTheme="minorHAnsi" w:hAnsiTheme="minorHAnsi" w:cstheme="minorBidi"/>
              <w:noProof/>
              <w:color w:val="auto"/>
              <w:sz w:val="24"/>
              <w:szCs w:val="24"/>
              <w:lang w:val="en-US" w:eastAsia="ja-JP"/>
            </w:rPr>
          </w:pPr>
          <w:r>
            <w:rPr>
              <w:noProof/>
            </w:rPr>
            <w:t>1. Open Budget</w:t>
          </w:r>
          <w:r>
            <w:rPr>
              <w:noProof/>
            </w:rPr>
            <w:tab/>
          </w:r>
          <w:r>
            <w:rPr>
              <w:noProof/>
            </w:rPr>
            <w:fldChar w:fldCharType="begin"/>
          </w:r>
          <w:r>
            <w:rPr>
              <w:noProof/>
            </w:rPr>
            <w:instrText xml:space="preserve"> PAGEREF _Toc377998809 \h </w:instrText>
          </w:r>
          <w:r>
            <w:rPr>
              <w:noProof/>
            </w:rPr>
          </w:r>
          <w:r>
            <w:rPr>
              <w:noProof/>
            </w:rPr>
            <w:fldChar w:fldCharType="separate"/>
          </w:r>
          <w:r>
            <w:rPr>
              <w:noProof/>
            </w:rPr>
            <w:t>25</w:t>
          </w:r>
          <w:r>
            <w:rPr>
              <w:noProof/>
            </w:rPr>
            <w:fldChar w:fldCharType="end"/>
          </w:r>
        </w:p>
        <w:p w14:paraId="2AAAA866" w14:textId="77777777" w:rsidR="00361281" w:rsidRDefault="00361281">
          <w:pPr>
            <w:pStyle w:val="TOC2"/>
            <w:tabs>
              <w:tab w:val="right" w:pos="8290"/>
            </w:tabs>
            <w:rPr>
              <w:rFonts w:asciiTheme="minorHAnsi" w:hAnsiTheme="minorHAnsi" w:cstheme="minorBidi"/>
              <w:noProof/>
              <w:color w:val="auto"/>
              <w:sz w:val="24"/>
              <w:szCs w:val="24"/>
              <w:lang w:val="en-US" w:eastAsia="ja-JP"/>
            </w:rPr>
          </w:pPr>
          <w:r>
            <w:rPr>
              <w:noProof/>
            </w:rPr>
            <w:t>2. Improving official information</w:t>
          </w:r>
          <w:bookmarkStart w:id="1" w:name="_GoBack"/>
          <w:bookmarkEnd w:id="1"/>
          <w:r>
            <w:rPr>
              <w:noProof/>
            </w:rPr>
            <w:t xml:space="preserve"> practices</w:t>
          </w:r>
          <w:r>
            <w:rPr>
              <w:noProof/>
            </w:rPr>
            <w:tab/>
          </w:r>
          <w:r>
            <w:rPr>
              <w:noProof/>
            </w:rPr>
            <w:fldChar w:fldCharType="begin"/>
          </w:r>
          <w:r>
            <w:rPr>
              <w:noProof/>
            </w:rPr>
            <w:instrText xml:space="preserve"> PAGEREF _Toc377998810 \h </w:instrText>
          </w:r>
          <w:r>
            <w:rPr>
              <w:noProof/>
            </w:rPr>
          </w:r>
          <w:r>
            <w:rPr>
              <w:noProof/>
            </w:rPr>
            <w:fldChar w:fldCharType="separate"/>
          </w:r>
          <w:r>
            <w:rPr>
              <w:noProof/>
            </w:rPr>
            <w:t>29</w:t>
          </w:r>
          <w:r>
            <w:rPr>
              <w:noProof/>
            </w:rPr>
            <w:fldChar w:fldCharType="end"/>
          </w:r>
        </w:p>
        <w:p w14:paraId="700B128A" w14:textId="77777777" w:rsidR="00361281" w:rsidRDefault="00361281">
          <w:pPr>
            <w:pStyle w:val="TOC2"/>
            <w:tabs>
              <w:tab w:val="right" w:pos="8290"/>
            </w:tabs>
            <w:rPr>
              <w:rFonts w:asciiTheme="minorHAnsi" w:hAnsiTheme="minorHAnsi" w:cstheme="minorBidi"/>
              <w:noProof/>
              <w:color w:val="auto"/>
              <w:sz w:val="24"/>
              <w:szCs w:val="24"/>
              <w:lang w:val="en-US" w:eastAsia="ja-JP"/>
            </w:rPr>
          </w:pPr>
          <w:r>
            <w:rPr>
              <w:noProof/>
            </w:rPr>
            <w:t>3. Improving open data access and practices</w:t>
          </w:r>
          <w:r>
            <w:rPr>
              <w:noProof/>
            </w:rPr>
            <w:tab/>
          </w:r>
          <w:r>
            <w:rPr>
              <w:noProof/>
            </w:rPr>
            <w:fldChar w:fldCharType="begin"/>
          </w:r>
          <w:r>
            <w:rPr>
              <w:noProof/>
            </w:rPr>
            <w:instrText xml:space="preserve"> PAGEREF _Toc377998811 \h </w:instrText>
          </w:r>
          <w:r>
            <w:rPr>
              <w:noProof/>
            </w:rPr>
          </w:r>
          <w:r>
            <w:rPr>
              <w:noProof/>
            </w:rPr>
            <w:fldChar w:fldCharType="separate"/>
          </w:r>
          <w:r>
            <w:rPr>
              <w:noProof/>
            </w:rPr>
            <w:t>34</w:t>
          </w:r>
          <w:r>
            <w:rPr>
              <w:noProof/>
            </w:rPr>
            <w:fldChar w:fldCharType="end"/>
          </w:r>
        </w:p>
        <w:p w14:paraId="73D32EE4" w14:textId="77777777" w:rsidR="00361281" w:rsidRDefault="00361281">
          <w:pPr>
            <w:pStyle w:val="TOC2"/>
            <w:tabs>
              <w:tab w:val="right" w:pos="8290"/>
            </w:tabs>
            <w:rPr>
              <w:rFonts w:asciiTheme="minorHAnsi" w:hAnsiTheme="minorHAnsi" w:cstheme="minorBidi"/>
              <w:noProof/>
              <w:color w:val="auto"/>
              <w:sz w:val="24"/>
              <w:szCs w:val="24"/>
              <w:lang w:val="en-US" w:eastAsia="ja-JP"/>
            </w:rPr>
          </w:pPr>
          <w:r>
            <w:rPr>
              <w:noProof/>
            </w:rPr>
            <w:t>4. Tracking progress and outcomes of open government data release</w:t>
          </w:r>
          <w:r>
            <w:rPr>
              <w:noProof/>
            </w:rPr>
            <w:tab/>
          </w:r>
          <w:r>
            <w:rPr>
              <w:noProof/>
            </w:rPr>
            <w:fldChar w:fldCharType="begin"/>
          </w:r>
          <w:r>
            <w:rPr>
              <w:noProof/>
            </w:rPr>
            <w:instrText xml:space="preserve"> PAGEREF _Toc377998812 \h </w:instrText>
          </w:r>
          <w:r>
            <w:rPr>
              <w:noProof/>
            </w:rPr>
          </w:r>
          <w:r>
            <w:rPr>
              <w:noProof/>
            </w:rPr>
            <w:fldChar w:fldCharType="separate"/>
          </w:r>
          <w:r>
            <w:rPr>
              <w:noProof/>
            </w:rPr>
            <w:t>38</w:t>
          </w:r>
          <w:r>
            <w:rPr>
              <w:noProof/>
            </w:rPr>
            <w:fldChar w:fldCharType="end"/>
          </w:r>
        </w:p>
        <w:p w14:paraId="07BADD4A" w14:textId="77777777" w:rsidR="00361281" w:rsidRDefault="00361281">
          <w:pPr>
            <w:pStyle w:val="TOC2"/>
            <w:tabs>
              <w:tab w:val="right" w:pos="8290"/>
            </w:tabs>
            <w:rPr>
              <w:rFonts w:asciiTheme="minorHAnsi" w:hAnsiTheme="minorHAnsi" w:cstheme="minorBidi"/>
              <w:noProof/>
              <w:color w:val="auto"/>
              <w:sz w:val="24"/>
              <w:szCs w:val="24"/>
              <w:lang w:val="en-US" w:eastAsia="ja-JP"/>
            </w:rPr>
          </w:pPr>
          <w:r>
            <w:rPr>
              <w:noProof/>
            </w:rPr>
            <w:t>5. Ongoing engagement for OGP</w:t>
          </w:r>
          <w:r>
            <w:rPr>
              <w:noProof/>
            </w:rPr>
            <w:tab/>
          </w:r>
          <w:r>
            <w:rPr>
              <w:noProof/>
            </w:rPr>
            <w:fldChar w:fldCharType="begin"/>
          </w:r>
          <w:r>
            <w:rPr>
              <w:noProof/>
            </w:rPr>
            <w:instrText xml:space="preserve"> PAGEREF _Toc377998813 \h </w:instrText>
          </w:r>
          <w:r>
            <w:rPr>
              <w:noProof/>
            </w:rPr>
          </w:r>
          <w:r>
            <w:rPr>
              <w:noProof/>
            </w:rPr>
            <w:fldChar w:fldCharType="separate"/>
          </w:r>
          <w:r>
            <w:rPr>
              <w:noProof/>
            </w:rPr>
            <w:t>41</w:t>
          </w:r>
          <w:r>
            <w:rPr>
              <w:noProof/>
            </w:rPr>
            <w:fldChar w:fldCharType="end"/>
          </w:r>
        </w:p>
        <w:p w14:paraId="26C8081F" w14:textId="77777777" w:rsidR="00361281" w:rsidRDefault="00361281">
          <w:pPr>
            <w:pStyle w:val="TOC2"/>
            <w:tabs>
              <w:tab w:val="right" w:pos="8290"/>
            </w:tabs>
            <w:rPr>
              <w:rFonts w:asciiTheme="minorHAnsi" w:hAnsiTheme="minorHAnsi" w:cstheme="minorBidi"/>
              <w:noProof/>
              <w:color w:val="auto"/>
              <w:sz w:val="24"/>
              <w:szCs w:val="24"/>
              <w:lang w:val="en-US" w:eastAsia="ja-JP"/>
            </w:rPr>
          </w:pPr>
          <w:r w:rsidRPr="00361281">
            <w:rPr>
              <w:rFonts w:ascii="Zapf Dingbats" w:eastAsia="MS Mincho" w:hAnsi="Zapf Dingbats" w:cs="MS Mincho"/>
              <w:smallCaps/>
              <w:noProof/>
            </w:rPr>
            <w:t>✪</w:t>
          </w:r>
          <w:r>
            <w:rPr>
              <w:noProof/>
            </w:rPr>
            <w:t>6. Improving access to legislation</w:t>
          </w:r>
          <w:r>
            <w:rPr>
              <w:noProof/>
            </w:rPr>
            <w:tab/>
          </w:r>
          <w:r>
            <w:rPr>
              <w:noProof/>
            </w:rPr>
            <w:fldChar w:fldCharType="begin"/>
          </w:r>
          <w:r>
            <w:rPr>
              <w:noProof/>
            </w:rPr>
            <w:instrText xml:space="preserve"> PAGEREF _Toc377998814 \h </w:instrText>
          </w:r>
          <w:r>
            <w:rPr>
              <w:noProof/>
            </w:rPr>
          </w:r>
          <w:r>
            <w:rPr>
              <w:noProof/>
            </w:rPr>
            <w:fldChar w:fldCharType="separate"/>
          </w:r>
          <w:r>
            <w:rPr>
              <w:noProof/>
            </w:rPr>
            <w:t>46</w:t>
          </w:r>
          <w:r>
            <w:rPr>
              <w:noProof/>
            </w:rPr>
            <w:fldChar w:fldCharType="end"/>
          </w:r>
        </w:p>
        <w:p w14:paraId="62EC557E" w14:textId="77777777" w:rsidR="00361281" w:rsidRDefault="00361281">
          <w:pPr>
            <w:pStyle w:val="TOC2"/>
            <w:tabs>
              <w:tab w:val="right" w:pos="8290"/>
            </w:tabs>
            <w:rPr>
              <w:rFonts w:asciiTheme="minorHAnsi" w:hAnsiTheme="minorHAnsi" w:cstheme="minorBidi"/>
              <w:noProof/>
              <w:color w:val="auto"/>
              <w:sz w:val="24"/>
              <w:szCs w:val="24"/>
              <w:lang w:val="en-US" w:eastAsia="ja-JP"/>
            </w:rPr>
          </w:pPr>
          <w:r>
            <w:rPr>
              <w:noProof/>
            </w:rPr>
            <w:t>7. Improving policy practices</w:t>
          </w:r>
          <w:r>
            <w:rPr>
              <w:noProof/>
            </w:rPr>
            <w:tab/>
          </w:r>
          <w:r>
            <w:rPr>
              <w:noProof/>
            </w:rPr>
            <w:fldChar w:fldCharType="begin"/>
          </w:r>
          <w:r>
            <w:rPr>
              <w:noProof/>
            </w:rPr>
            <w:instrText xml:space="preserve"> PAGEREF _Toc377998815 \h </w:instrText>
          </w:r>
          <w:r>
            <w:rPr>
              <w:noProof/>
            </w:rPr>
          </w:r>
          <w:r>
            <w:rPr>
              <w:noProof/>
            </w:rPr>
            <w:fldChar w:fldCharType="separate"/>
          </w:r>
          <w:r>
            <w:rPr>
              <w:noProof/>
            </w:rPr>
            <w:t>49</w:t>
          </w:r>
          <w:r>
            <w:rPr>
              <w:noProof/>
            </w:rPr>
            <w:fldChar w:fldCharType="end"/>
          </w:r>
        </w:p>
        <w:p w14:paraId="1F98A083" w14:textId="77777777" w:rsidR="00361281" w:rsidRDefault="00361281">
          <w:pPr>
            <w:pStyle w:val="TOC1"/>
            <w:tabs>
              <w:tab w:val="right" w:pos="8290"/>
            </w:tabs>
            <w:rPr>
              <w:rFonts w:asciiTheme="minorHAnsi" w:hAnsiTheme="minorHAnsi" w:cstheme="minorBidi"/>
              <w:b w:val="0"/>
              <w:noProof/>
              <w:color w:val="auto"/>
              <w:sz w:val="24"/>
              <w:szCs w:val="24"/>
              <w:lang w:val="en-US" w:eastAsia="ja-JP"/>
            </w:rPr>
          </w:pPr>
          <w:r>
            <w:rPr>
              <w:noProof/>
            </w:rPr>
            <w:t>V. General Recommendations</w:t>
          </w:r>
          <w:r>
            <w:rPr>
              <w:noProof/>
            </w:rPr>
            <w:tab/>
          </w:r>
          <w:r>
            <w:rPr>
              <w:noProof/>
            </w:rPr>
            <w:fldChar w:fldCharType="begin"/>
          </w:r>
          <w:r>
            <w:rPr>
              <w:noProof/>
            </w:rPr>
            <w:instrText xml:space="preserve"> PAGEREF _Toc377998816 \h </w:instrText>
          </w:r>
          <w:r>
            <w:rPr>
              <w:noProof/>
            </w:rPr>
          </w:r>
          <w:r>
            <w:rPr>
              <w:noProof/>
            </w:rPr>
            <w:fldChar w:fldCharType="separate"/>
          </w:r>
          <w:r>
            <w:rPr>
              <w:noProof/>
            </w:rPr>
            <w:t>52</w:t>
          </w:r>
          <w:r>
            <w:rPr>
              <w:noProof/>
            </w:rPr>
            <w:fldChar w:fldCharType="end"/>
          </w:r>
        </w:p>
        <w:p w14:paraId="3D527DFC" w14:textId="77777777" w:rsidR="00361281" w:rsidRDefault="00361281">
          <w:pPr>
            <w:pStyle w:val="TOC1"/>
            <w:tabs>
              <w:tab w:val="right" w:pos="8290"/>
            </w:tabs>
            <w:rPr>
              <w:rFonts w:asciiTheme="minorHAnsi" w:hAnsiTheme="minorHAnsi" w:cstheme="minorBidi"/>
              <w:b w:val="0"/>
              <w:noProof/>
              <w:color w:val="auto"/>
              <w:sz w:val="24"/>
              <w:szCs w:val="24"/>
              <w:lang w:val="en-US" w:eastAsia="ja-JP"/>
            </w:rPr>
          </w:pPr>
          <w:r>
            <w:rPr>
              <w:noProof/>
            </w:rPr>
            <w:t>VI. Methodology and Sources</w:t>
          </w:r>
          <w:r>
            <w:rPr>
              <w:noProof/>
            </w:rPr>
            <w:tab/>
          </w:r>
          <w:r>
            <w:rPr>
              <w:noProof/>
            </w:rPr>
            <w:fldChar w:fldCharType="begin"/>
          </w:r>
          <w:r>
            <w:rPr>
              <w:noProof/>
            </w:rPr>
            <w:instrText xml:space="preserve"> PAGEREF _Toc377998817 \h </w:instrText>
          </w:r>
          <w:r>
            <w:rPr>
              <w:noProof/>
            </w:rPr>
          </w:r>
          <w:r>
            <w:rPr>
              <w:noProof/>
            </w:rPr>
            <w:fldChar w:fldCharType="separate"/>
          </w:r>
          <w:r>
            <w:rPr>
              <w:noProof/>
            </w:rPr>
            <w:t>56</w:t>
          </w:r>
          <w:r>
            <w:rPr>
              <w:noProof/>
            </w:rPr>
            <w:fldChar w:fldCharType="end"/>
          </w:r>
        </w:p>
        <w:p w14:paraId="20B7EF76" w14:textId="77777777" w:rsidR="00361281" w:rsidRDefault="00361281">
          <w:pPr>
            <w:pStyle w:val="TOC1"/>
            <w:tabs>
              <w:tab w:val="right" w:pos="8290"/>
            </w:tabs>
            <w:rPr>
              <w:rFonts w:asciiTheme="minorHAnsi" w:hAnsiTheme="minorHAnsi" w:cstheme="minorBidi"/>
              <w:b w:val="0"/>
              <w:noProof/>
              <w:color w:val="auto"/>
              <w:sz w:val="24"/>
              <w:szCs w:val="24"/>
              <w:lang w:val="en-US" w:eastAsia="ja-JP"/>
            </w:rPr>
          </w:pPr>
          <w:r>
            <w:rPr>
              <w:noProof/>
            </w:rPr>
            <w:t>VII. Eligibility Requirements Annex</w:t>
          </w:r>
          <w:r>
            <w:rPr>
              <w:noProof/>
            </w:rPr>
            <w:tab/>
          </w:r>
          <w:r>
            <w:rPr>
              <w:noProof/>
            </w:rPr>
            <w:fldChar w:fldCharType="begin"/>
          </w:r>
          <w:r>
            <w:rPr>
              <w:noProof/>
            </w:rPr>
            <w:instrText xml:space="preserve"> PAGEREF _Toc377998818 \h </w:instrText>
          </w:r>
          <w:r>
            <w:rPr>
              <w:noProof/>
            </w:rPr>
          </w:r>
          <w:r>
            <w:rPr>
              <w:noProof/>
            </w:rPr>
            <w:fldChar w:fldCharType="separate"/>
          </w:r>
          <w:r>
            <w:rPr>
              <w:noProof/>
            </w:rPr>
            <w:t>58</w:t>
          </w:r>
          <w:r>
            <w:rPr>
              <w:noProof/>
            </w:rPr>
            <w:fldChar w:fldCharType="end"/>
          </w:r>
        </w:p>
        <w:p w14:paraId="788E3048" w14:textId="3B1DA923" w:rsidR="00B62025" w:rsidRPr="005C5C45" w:rsidRDefault="00233683" w:rsidP="00A40136">
          <w:pPr>
            <w:sectPr w:rsidR="00B62025" w:rsidRPr="005C5C45" w:rsidSect="00FD29D6">
              <w:headerReference w:type="default" r:id="rId9"/>
              <w:footerReference w:type="even" r:id="rId10"/>
              <w:footerReference w:type="default" r:id="rId11"/>
              <w:footerReference w:type="first" r:id="rId12"/>
              <w:endnotePr>
                <w:numFmt w:val="decimal"/>
                <w:numRestart w:val="eachSect"/>
              </w:endnotePr>
              <w:pgSz w:w="11900" w:h="16840" w:code="9"/>
              <w:pgMar w:top="1440" w:right="1800" w:bottom="1440" w:left="1800" w:header="720" w:footer="720" w:gutter="0"/>
              <w:pgNumType w:chapStyle="1"/>
              <w:cols w:space="720"/>
              <w:docGrid w:linePitch="299"/>
            </w:sectPr>
          </w:pPr>
          <w:r w:rsidRPr="005C5C45">
            <w:rPr>
              <w:b/>
              <w:szCs w:val="22"/>
            </w:rPr>
            <w:fldChar w:fldCharType="end"/>
          </w:r>
        </w:p>
      </w:sdtContent>
    </w:sdt>
    <w:tbl>
      <w:tblPr>
        <w:tblStyle w:val="TableGrid"/>
        <w:tblpPr w:leftFromText="180" w:rightFromText="180" w:horzAnchor="margin" w:tblpY="-435"/>
        <w:tblW w:w="8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1"/>
        <w:gridCol w:w="6669"/>
      </w:tblGrid>
      <w:tr w:rsidR="005474A8" w:rsidRPr="005C5C45" w14:paraId="2BCDD591" w14:textId="77777777" w:rsidTr="007E0966">
        <w:trPr>
          <w:trHeight w:val="1323"/>
        </w:trPr>
        <w:tc>
          <w:tcPr>
            <w:tcW w:w="1751" w:type="dxa"/>
          </w:tcPr>
          <w:p w14:paraId="01DF3F88" w14:textId="77777777" w:rsidR="005474A8" w:rsidRPr="005C5C45" w:rsidRDefault="005474A8" w:rsidP="00C02574">
            <w:pPr>
              <w:pStyle w:val="Normalrglronly"/>
            </w:pPr>
            <w:bookmarkStart w:id="2" w:name="_Toc488151783"/>
            <w:bookmarkStart w:id="3" w:name="_Toc308944643"/>
            <w:bookmarkStart w:id="4" w:name="_Toc309303941"/>
            <w:r w:rsidRPr="005C5C45">
              <w:rPr>
                <w:noProof/>
                <w:lang w:val="en-US"/>
              </w:rPr>
              <w:lastRenderedPageBreak/>
              <w:drawing>
                <wp:anchor distT="0" distB="0" distL="114300" distR="114300" simplePos="0" relativeHeight="251658240" behindDoc="0" locked="0" layoutInCell="1" allowOverlap="1" wp14:anchorId="73783134" wp14:editId="6BE3177B">
                  <wp:simplePos x="0" y="0"/>
                  <wp:positionH relativeFrom="column">
                    <wp:posOffset>-68580</wp:posOffset>
                  </wp:positionH>
                  <wp:positionV relativeFrom="paragraph">
                    <wp:posOffset>276225</wp:posOffset>
                  </wp:positionV>
                  <wp:extent cx="914400" cy="914400"/>
                  <wp:effectExtent l="0" t="0" r="0" b="0"/>
                  <wp:wrapTight wrapText="bothSides">
                    <wp:wrapPolygon edited="0">
                      <wp:start x="0" y="0"/>
                      <wp:lineTo x="0" y="21000"/>
                      <wp:lineTo x="21000" y="21000"/>
                      <wp:lineTo x="21000" y="0"/>
                      <wp:lineTo x="0" y="0"/>
                    </wp:wrapPolygon>
                  </wp:wrapTight>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bookmarkEnd w:id="2"/>
          </w:p>
        </w:tc>
        <w:bookmarkStart w:id="5" w:name="_Toc313541668"/>
        <w:tc>
          <w:tcPr>
            <w:tcW w:w="6669" w:type="dxa"/>
            <w:vAlign w:val="bottom"/>
          </w:tcPr>
          <w:p w14:paraId="6C95042B" w14:textId="0CC3B9D8" w:rsidR="005474A8" w:rsidRPr="005C5C45" w:rsidRDefault="00D764B1" w:rsidP="00642659">
            <w:pPr>
              <w:pStyle w:val="Normalrglronly"/>
            </w:pPr>
            <w:r w:rsidRPr="005C5C45">
              <w:rPr>
                <w:noProof/>
                <w:lang w:val="en-US"/>
              </w:rPr>
              <mc:AlternateContent>
                <mc:Choice Requires="wps">
                  <w:drawing>
                    <wp:anchor distT="4294967291" distB="4294967291" distL="114300" distR="114300" simplePos="0" relativeHeight="251158528" behindDoc="0" locked="0" layoutInCell="1" allowOverlap="1" wp14:anchorId="7AEFD230" wp14:editId="3AD29B7F">
                      <wp:simplePos x="0" y="0"/>
                      <wp:positionH relativeFrom="column">
                        <wp:posOffset>-48895</wp:posOffset>
                      </wp:positionH>
                      <wp:positionV relativeFrom="paragraph">
                        <wp:posOffset>-167641</wp:posOffset>
                      </wp:positionV>
                      <wp:extent cx="3086100" cy="0"/>
                      <wp:effectExtent l="57150" t="57150" r="57150" b="95250"/>
                      <wp:wrapNone/>
                      <wp:docPr id="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25400">
                                <a:solidFill>
                                  <a:srgbClr val="4F81BD"/>
                                </a:solidFill>
                                <a:round/>
                                <a:headEnd/>
                                <a:tailEnd/>
                              </a:ln>
                              <a:effectLst>
                                <a:outerShdw blurRad="63500" dist="20000" dir="5400000" rotWithShape="0">
                                  <a:srgbClr val="000000">
                                    <a:alpha val="37999"/>
                                  </a:srgbClr>
                                </a:outerShdw>
                              </a:effectLs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64C1D3" id="Straight Connector 8" o:spid="_x0000_s1026" style="position:absolute;z-index:251158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5pt,-13.2pt" to="239.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" strokecolor="#4f81bd" strokeweight="2pt">
                      <v:shadow on="t" color="black" opacity="24903f" origin=",.5" offset="0,.55556mm"/>
                    </v:line>
                  </w:pict>
                </mc:Fallback>
              </mc:AlternateContent>
            </w:r>
            <w:r w:rsidRPr="005C5C45">
              <w:rPr>
                <w:noProof/>
                <w:lang w:val="en-US"/>
              </w:rPr>
              <mc:AlternateContent>
                <mc:Choice Requires="wps">
                  <w:drawing>
                    <wp:anchor distT="4294967291" distB="4294967291" distL="114300" distR="114300" simplePos="0" relativeHeight="251155456" behindDoc="0" locked="0" layoutInCell="1" allowOverlap="1" wp14:anchorId="2F59DF77" wp14:editId="25DEB6CB">
                      <wp:simplePos x="0" y="0"/>
                      <wp:positionH relativeFrom="column">
                        <wp:posOffset>-46990</wp:posOffset>
                      </wp:positionH>
                      <wp:positionV relativeFrom="paragraph">
                        <wp:posOffset>-346076</wp:posOffset>
                      </wp:positionV>
                      <wp:extent cx="3086100" cy="0"/>
                      <wp:effectExtent l="57150" t="57150" r="57150" b="95250"/>
                      <wp:wrapNone/>
                      <wp:docPr id="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25400">
                                <a:solidFill>
                                  <a:srgbClr val="4F81BD"/>
                                </a:solidFill>
                                <a:round/>
                                <a:headEnd/>
                                <a:tailEnd/>
                              </a:ln>
                              <a:effectLst>
                                <a:outerShdw blurRad="63500" dist="20000" dir="5400000" rotWithShape="0">
                                  <a:srgbClr val="000000">
                                    <a:alpha val="37999"/>
                                  </a:srgbClr>
                                </a:outerShdw>
                              </a:effectLs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EDAAD2" id="Straight Connector 8" o:spid="_x0000_s1026" style="position:absolute;z-index:251155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pt,-27.25pt" to="239.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" strokecolor="#4f81bd" strokeweight="2pt">
                      <v:shadow on="t" color="black" opacity="24903f" origin=",.5" offset="0,.55556mm"/>
                    </v:line>
                  </w:pict>
                </mc:Fallback>
              </mc:AlternateContent>
            </w:r>
            <w:bookmarkEnd w:id="5"/>
            <w:r w:rsidR="005474A8" w:rsidRPr="005C5C45">
              <w:t xml:space="preserve"> </w:t>
            </w:r>
          </w:p>
        </w:tc>
      </w:tr>
    </w:tbl>
    <w:p w14:paraId="1286F478" w14:textId="1CD42E6D" w:rsidR="00EE2436" w:rsidRPr="005C5C45" w:rsidRDefault="00EE2436" w:rsidP="007E0966">
      <w:pPr>
        <w:pStyle w:val="Heading1"/>
        <w:spacing w:before="240"/>
        <w:rPr>
          <w:rStyle w:val="Heading4Char"/>
          <w:b/>
          <w:i w:val="0"/>
        </w:rPr>
      </w:pPr>
      <w:bookmarkStart w:id="6" w:name="_Toc377998804"/>
      <w:bookmarkEnd w:id="3"/>
      <w:bookmarkEnd w:id="4"/>
      <w:r w:rsidRPr="005C5C45">
        <w:t>Executive Summary</w:t>
      </w:r>
      <w:r w:rsidRPr="005C5C45">
        <w:rPr>
          <w:rStyle w:val="Heading4Char"/>
          <w:b/>
          <w:sz w:val="32"/>
        </w:rPr>
        <w:t xml:space="preserve">: </w:t>
      </w:r>
      <w:r w:rsidRPr="005C5C45">
        <w:rPr>
          <w:rStyle w:val="Heading4Char"/>
          <w:b/>
          <w:i w:val="0"/>
          <w:sz w:val="32"/>
        </w:rPr>
        <w:t>New Zealand</w:t>
      </w:r>
      <w:bookmarkEnd w:id="6"/>
    </w:p>
    <w:p w14:paraId="5E5D5C6F" w14:textId="3601BF45" w:rsidR="00EE2436" w:rsidRPr="005C5C45" w:rsidRDefault="00E079AE" w:rsidP="00EE2436">
      <w:pPr>
        <w:pStyle w:val="Heading3"/>
      </w:pPr>
      <w:r w:rsidRPr="005C5C45">
        <w:rPr>
          <w:rFonts w:ascii="Calibri" w:eastAsia="Droid Sans Fallback" w:hAnsi="Calibri" w:cs="FreeSans"/>
          <w:b w:val="0"/>
          <w:iCs/>
          <w:noProof/>
          <w:color w:val="4F81BD"/>
          <w:spacing w:val="15"/>
          <w:sz w:val="24"/>
          <w:lang w:val="en-US"/>
        </w:rPr>
        <mc:AlternateContent>
          <mc:Choice Requires="wps">
            <w:drawing>
              <wp:anchor distT="0" distB="0" distL="114300" distR="114300" simplePos="0" relativeHeight="251660288" behindDoc="0" locked="0" layoutInCell="1" allowOverlap="1" wp14:anchorId="6C174610" wp14:editId="399D478B">
                <wp:simplePos x="0" y="0"/>
                <wp:positionH relativeFrom="margin">
                  <wp:posOffset>-95250</wp:posOffset>
                </wp:positionH>
                <wp:positionV relativeFrom="paragraph">
                  <wp:posOffset>306070</wp:posOffset>
                </wp:positionV>
                <wp:extent cx="5838825" cy="1152525"/>
                <wp:effectExtent l="0" t="0" r="0" b="952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8825" cy="1152525"/>
                        </a:xfrm>
                        <a:prstGeom prst="rect">
                          <a:avLst/>
                        </a:prstGeom>
                        <a:noFill/>
                        <a:ln>
                          <a:noFill/>
                        </a:ln>
                        <a:extLst/>
                      </wps:spPr>
                      <wps:txbx>
                        <w:txbxContent>
                          <w:p w14:paraId="5C9807D7" w14:textId="10B72F3A" w:rsidR="001A2E4A" w:rsidRPr="003872CE" w:rsidRDefault="001A2E4A" w:rsidP="00EE2436">
                            <w:pPr>
                              <w:pStyle w:val="Pullquote"/>
                              <w:rPr>
                                <w:sz w:val="22"/>
                                <w:szCs w:val="22"/>
                              </w:rPr>
                            </w:pPr>
                            <w:r w:rsidRPr="003872CE">
                              <w:rPr>
                                <w:sz w:val="22"/>
                                <w:szCs w:val="22"/>
                              </w:rPr>
                              <w:t xml:space="preserve">New Zealand’s second national action plan addressed issues ranging from access to information, budget transparency, and civic participation. While the government took major steps toward improving access to legislation, at the midpoint of implementation of the plan nearly half of the listed commitments saw limited completion in the first year. Going forward, it is important that the NZ government include meaningful reform in areas such as </w:t>
                            </w:r>
                            <w:proofErr w:type="spellStart"/>
                            <w:r w:rsidRPr="003872CE">
                              <w:rPr>
                                <w:sz w:val="22"/>
                                <w:szCs w:val="22"/>
                              </w:rPr>
                              <w:t>whistleblower</w:t>
                            </w:r>
                            <w:proofErr w:type="spellEnd"/>
                            <w:r w:rsidRPr="003872CE">
                              <w:rPr>
                                <w:sz w:val="22"/>
                                <w:szCs w:val="22"/>
                              </w:rPr>
                              <w:t xml:space="preserve"> protection, the Official Information Act</w:t>
                            </w:r>
                            <w:r>
                              <w:rPr>
                                <w:sz w:val="22"/>
                                <w:szCs w:val="22"/>
                              </w:rPr>
                              <w:t>,</w:t>
                            </w:r>
                            <w:r w:rsidRPr="003872CE">
                              <w:rPr>
                                <w:sz w:val="22"/>
                                <w:szCs w:val="22"/>
                              </w:rPr>
                              <w:t xml:space="preserve"> and citizen education. </w:t>
                            </w:r>
                          </w:p>
                          <w:p w14:paraId="594830E7" w14:textId="77777777" w:rsidR="001A2E4A" w:rsidRPr="007E0966" w:rsidRDefault="001A2E4A" w:rsidP="007E09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174610" id="_x0000_t202" coordsize="21600,21600" o:spt="202" path="m,l,21600r21600,l21600,xe">
                <v:stroke joinstyle="miter"/>
                <v:path gradientshapeok="t" o:connecttype="rect"/>
              </v:shapetype>
              <v:shape id="Text Box 9" o:spid="_x0000_s1026" type="#_x0000_t202" style="position:absolute;margin-left:-7.5pt;margin-top:24.1pt;width:459.75pt;height:9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" filled="f" stroked="f">
                <v:textbox>
                  <w:txbxContent>
                    <w:p w14:paraId="5C9807D7" w14:textId="10B72F3A" w:rsidR="00674BD5" w:rsidRPr="003872CE" w:rsidRDefault="00674BD5" w:rsidP="00EE2436">
                      <w:pPr>
                        <w:pStyle w:val="Pullquote"/>
                        <w:rPr>
                          <w:sz w:val="22"/>
                          <w:szCs w:val="22"/>
                        </w:rPr>
                      </w:pPr>
                      <w:r w:rsidRPr="003872CE">
                        <w:rPr>
                          <w:sz w:val="22"/>
                          <w:szCs w:val="22"/>
                        </w:rPr>
                        <w:t>New Zealand’s second national action plan addressed issues ranging from access to information, budget transparency, and civic participation. While the government took major steps toward improving access to legislation, at the midpoint of implementation of the plan nearly half of the listed commitments saw limited completion in the first year. Going forward, it is important that the NZ government include meaningful reform in areas such as whistleblower protection, the Official Information Act</w:t>
                      </w:r>
                      <w:r>
                        <w:rPr>
                          <w:sz w:val="22"/>
                          <w:szCs w:val="22"/>
                        </w:rPr>
                        <w:t>,</w:t>
                      </w:r>
                      <w:r w:rsidRPr="003872CE">
                        <w:rPr>
                          <w:sz w:val="22"/>
                          <w:szCs w:val="22"/>
                        </w:rPr>
                        <w:t xml:space="preserve"> and citizen education. </w:t>
                      </w:r>
                    </w:p>
                    <w:p w14:paraId="594830E7" w14:textId="77777777" w:rsidR="00674BD5" w:rsidRPr="007E0966" w:rsidRDefault="00674BD5" w:rsidP="007E0966"/>
                  </w:txbxContent>
                </v:textbox>
                <w10:wrap anchorx="margin"/>
              </v:shape>
            </w:pict>
          </mc:Fallback>
        </mc:AlternateContent>
      </w:r>
      <w:r w:rsidR="00EE2436" w:rsidRPr="005C5C45">
        <w:t>Independent Reporting Mechanism (IRM) Progress Report 2016-201</w:t>
      </w:r>
      <w:r w:rsidR="00B50220" w:rsidRPr="005C5C45">
        <w:t>8</w:t>
      </w:r>
    </w:p>
    <w:p w14:paraId="3EAFFB0C" w14:textId="50B11F11" w:rsidR="00EE2436" w:rsidRPr="005C5C45" w:rsidRDefault="00EE2436" w:rsidP="00EE2436">
      <w:pPr>
        <w:keepNext/>
        <w:suppressAutoHyphens/>
        <w:spacing w:before="240"/>
        <w:rPr>
          <w:rFonts w:ascii="Calibri" w:eastAsia="Droid Sans Fallback" w:hAnsi="Calibri" w:cs="FreeSans"/>
          <w:b/>
          <w:iCs/>
          <w:color w:val="4F81BD"/>
          <w:spacing w:val="15"/>
          <w:sz w:val="20"/>
          <w:szCs w:val="32"/>
        </w:rPr>
      </w:pPr>
    </w:p>
    <w:p w14:paraId="003EC458" w14:textId="77777777" w:rsidR="00EE2436" w:rsidRPr="005C5C45" w:rsidRDefault="00EE2436" w:rsidP="00EE2436">
      <w:pPr>
        <w:keepNext/>
        <w:suppressAutoHyphens/>
        <w:rPr>
          <w:rFonts w:ascii="Calibri" w:eastAsia="Droid Sans Fallback" w:hAnsi="Calibri" w:cs="FreeSans"/>
          <w:b/>
          <w:iCs/>
          <w:color w:val="4F81BD"/>
          <w:spacing w:val="15"/>
          <w:sz w:val="20"/>
          <w:szCs w:val="32"/>
        </w:rPr>
      </w:pPr>
    </w:p>
    <w:p w14:paraId="02FF144D" w14:textId="77777777" w:rsidR="00EE2436" w:rsidRPr="005C5C45" w:rsidRDefault="00EE2436" w:rsidP="00EE2436">
      <w:pPr>
        <w:keepNext/>
        <w:suppressAutoHyphens/>
        <w:rPr>
          <w:rFonts w:ascii="Calibri" w:eastAsia="Droid Sans Fallback" w:hAnsi="Calibri" w:cs="FreeSans"/>
          <w:b/>
          <w:iCs/>
          <w:color w:val="4F81BD"/>
          <w:spacing w:val="15"/>
          <w:sz w:val="20"/>
          <w:szCs w:val="32"/>
        </w:rPr>
      </w:pPr>
    </w:p>
    <w:p w14:paraId="0EBA8786" w14:textId="77777777" w:rsidR="00EE2436" w:rsidRPr="005C5C45" w:rsidRDefault="00EE2436" w:rsidP="00EE2436">
      <w:pPr>
        <w:pStyle w:val="Normalrglronly"/>
        <w:tabs>
          <w:tab w:val="right" w:pos="2880"/>
        </w:tabs>
      </w:pPr>
      <w:r w:rsidRPr="005C5C45">
        <w:tab/>
      </w:r>
    </w:p>
    <w:p w14:paraId="24EDCE5A" w14:textId="77777777" w:rsidR="00EE2436" w:rsidRPr="005C5C45" w:rsidRDefault="00EE2436" w:rsidP="00EE2436">
      <w:pPr>
        <w:pStyle w:val="Normalrglronly"/>
        <w:tabs>
          <w:tab w:val="right" w:pos="2880"/>
        </w:tabs>
      </w:pPr>
    </w:p>
    <w:p w14:paraId="52120C80" w14:textId="62F0CC00" w:rsidR="00EE2436" w:rsidRPr="005C5C45" w:rsidRDefault="007E0966" w:rsidP="00EE2436">
      <w:pPr>
        <w:pStyle w:val="Normalrglronly"/>
        <w:tabs>
          <w:tab w:val="right" w:pos="2880"/>
        </w:tabs>
      </w:pPr>
      <w:r w:rsidRPr="005C5C45">
        <w:rPr>
          <w:rFonts w:eastAsia="MS Gothic"/>
          <w:b/>
          <w:bCs w:val="0"/>
          <w:noProof/>
          <w:color w:val="4F81BD"/>
          <w:highlight w:val="yellow"/>
          <w:lang w:val="en-US"/>
        </w:rPr>
        <mc:AlternateContent>
          <mc:Choice Requires="wps">
            <w:drawing>
              <wp:anchor distT="0" distB="0" distL="114300" distR="114300" simplePos="0" relativeHeight="251661312" behindDoc="0" locked="0" layoutInCell="1" allowOverlap="1" wp14:anchorId="7B4282B9" wp14:editId="7A25B42F">
                <wp:simplePos x="0" y="0"/>
                <wp:positionH relativeFrom="column">
                  <wp:posOffset>3133725</wp:posOffset>
                </wp:positionH>
                <wp:positionV relativeFrom="paragraph">
                  <wp:posOffset>29210</wp:posOffset>
                </wp:positionV>
                <wp:extent cx="2274570" cy="4490720"/>
                <wp:effectExtent l="0" t="0" r="11430" b="5080"/>
                <wp:wrapSquare wrapText="bothSides"/>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4570" cy="4490720"/>
                        </a:xfrm>
                        <a:prstGeom prst="rect">
                          <a:avLst/>
                        </a:prstGeom>
                        <a:solidFill>
                          <a:srgbClr val="17365D"/>
                        </a:solidFill>
                        <a:ln>
                          <a:noFill/>
                        </a:ln>
                        <a:extLst/>
                      </wps:spPr>
                      <wps:txbx>
                        <w:txbxContent>
                          <w:p w14:paraId="55AA158F" w14:textId="77777777" w:rsidR="001A2E4A" w:rsidRPr="00FB0E61" w:rsidRDefault="001A2E4A" w:rsidP="00EE2436">
                            <w:pPr>
                              <w:pStyle w:val="Ataglancetitle"/>
                            </w:pPr>
                            <w:r w:rsidRPr="008235D5">
                              <w:t xml:space="preserve">At a </w:t>
                            </w:r>
                            <w:r w:rsidRPr="000906B1">
                              <w:t>Glance</w:t>
                            </w:r>
                            <w:r>
                              <w:t>:</w:t>
                            </w:r>
                          </w:p>
                          <w:p w14:paraId="7909E8B6" w14:textId="77777777" w:rsidR="001A2E4A" w:rsidRPr="00FB0E61" w:rsidRDefault="001A2E4A" w:rsidP="00EE2436">
                            <w:pPr>
                              <w:tabs>
                                <w:tab w:val="left" w:pos="0"/>
                                <w:tab w:val="right" w:pos="2880"/>
                                <w:tab w:val="right" w:pos="3240"/>
                              </w:tabs>
                              <w:rPr>
                                <w:color w:val="FFFFFF"/>
                              </w:rPr>
                            </w:pPr>
                            <w:r>
                              <w:rPr>
                                <w:color w:val="FFFFFF"/>
                              </w:rPr>
                              <w:t xml:space="preserve">Member since: </w:t>
                            </w:r>
                            <w:r>
                              <w:rPr>
                                <w:color w:val="FFFFFF"/>
                              </w:rPr>
                              <w:tab/>
                            </w:r>
                            <w:r w:rsidRPr="00FB0E61">
                              <w:rPr>
                                <w:color w:val="FFFFFF"/>
                              </w:rPr>
                              <w:t>201</w:t>
                            </w:r>
                            <w:r>
                              <w:rPr>
                                <w:color w:val="FFFFFF"/>
                              </w:rPr>
                              <w:t>4</w:t>
                            </w:r>
                          </w:p>
                          <w:p w14:paraId="0C317F30" w14:textId="04519420" w:rsidR="001A2E4A" w:rsidRDefault="001A2E4A" w:rsidP="003872CE">
                            <w:pPr>
                              <w:tabs>
                                <w:tab w:val="right" w:pos="0"/>
                                <w:tab w:val="right" w:pos="3240"/>
                              </w:tabs>
                              <w:rPr>
                                <w:color w:val="FFFFFF"/>
                              </w:rPr>
                            </w:pPr>
                            <w:r>
                              <w:rPr>
                                <w:color w:val="FFFFFF"/>
                              </w:rPr>
                              <w:t>Number of commitments</w:t>
                            </w:r>
                            <w:proofErr w:type="gramStart"/>
                            <w:r>
                              <w:rPr>
                                <w:color w:val="FFFFFF"/>
                              </w:rPr>
                              <w:t>:</w:t>
                            </w:r>
                            <w:r w:rsidRPr="00566F1E">
                              <w:rPr>
                                <w:color w:val="FFFFFF"/>
                              </w:rPr>
                              <w:t xml:space="preserve"> </w:t>
                            </w:r>
                            <w:r>
                              <w:rPr>
                                <w:color w:val="FFFFFF"/>
                              </w:rPr>
                              <w:t xml:space="preserve">      7</w:t>
                            </w:r>
                            <w:proofErr w:type="gramEnd"/>
                          </w:p>
                          <w:p w14:paraId="61E90BA8" w14:textId="77777777" w:rsidR="001A2E4A" w:rsidRDefault="001A2E4A" w:rsidP="00EE2436">
                            <w:pPr>
                              <w:pStyle w:val="Ataglancetitle"/>
                            </w:pPr>
                          </w:p>
                          <w:p w14:paraId="44712737" w14:textId="77777777" w:rsidR="001A2E4A" w:rsidRPr="001630F3" w:rsidRDefault="001A2E4A" w:rsidP="00EE2436">
                            <w:pPr>
                              <w:pStyle w:val="Ataglancetitle"/>
                            </w:pPr>
                            <w:r w:rsidRPr="001630F3">
                              <w:t xml:space="preserve">Level of </w:t>
                            </w:r>
                            <w:r w:rsidRPr="000906B1">
                              <w:t>Completion</w:t>
                            </w:r>
                            <w:r w:rsidRPr="001630F3">
                              <w:t>:</w:t>
                            </w:r>
                          </w:p>
                          <w:p w14:paraId="43FA3422" w14:textId="77777777" w:rsidR="001A2E4A" w:rsidRPr="00834947" w:rsidRDefault="001A2E4A" w:rsidP="00EE2436">
                            <w:pPr>
                              <w:tabs>
                                <w:tab w:val="left" w:pos="0"/>
                                <w:tab w:val="right" w:pos="2880"/>
                                <w:tab w:val="right" w:pos="3240"/>
                              </w:tabs>
                              <w:rPr>
                                <w:color w:val="FFFFFF"/>
                              </w:rPr>
                            </w:pPr>
                            <w:r w:rsidRPr="00FB0E61">
                              <w:rPr>
                                <w:color w:val="FFFFFF"/>
                              </w:rPr>
                              <w:t>Completed:</w:t>
                            </w:r>
                            <w:r>
                              <w:rPr>
                                <w:color w:val="FFFFFF"/>
                              </w:rPr>
                              <w:tab/>
                            </w:r>
                            <w:r>
                              <w:rPr>
                                <w:color w:val="FFFFFF" w:themeColor="background1"/>
                              </w:rPr>
                              <w:t>0 of 7</w:t>
                            </w:r>
                          </w:p>
                          <w:p w14:paraId="70AEDD4E" w14:textId="77777777" w:rsidR="001A2E4A" w:rsidRPr="00834947" w:rsidRDefault="001A2E4A" w:rsidP="00EE2436">
                            <w:pPr>
                              <w:tabs>
                                <w:tab w:val="left" w:pos="0"/>
                                <w:tab w:val="right" w:pos="2880"/>
                                <w:tab w:val="right" w:pos="3240"/>
                              </w:tabs>
                              <w:rPr>
                                <w:color w:val="FFFFFF"/>
                              </w:rPr>
                            </w:pPr>
                            <w:r w:rsidRPr="00834947">
                              <w:rPr>
                                <w:color w:val="FFFFFF"/>
                              </w:rPr>
                              <w:t>Substantial:</w:t>
                            </w:r>
                            <w:r w:rsidRPr="00834947">
                              <w:rPr>
                                <w:color w:val="FFFFFF"/>
                              </w:rPr>
                              <w:tab/>
                            </w:r>
                            <w:r>
                              <w:rPr>
                                <w:color w:val="FFFFFF"/>
                              </w:rPr>
                              <w:t>4 of 7</w:t>
                            </w:r>
                          </w:p>
                          <w:p w14:paraId="7F6CFB2F" w14:textId="77777777" w:rsidR="001A2E4A" w:rsidRPr="00834947" w:rsidRDefault="001A2E4A" w:rsidP="00EE2436">
                            <w:pPr>
                              <w:tabs>
                                <w:tab w:val="left" w:pos="0"/>
                                <w:tab w:val="right" w:pos="2880"/>
                                <w:tab w:val="right" w:pos="3240"/>
                              </w:tabs>
                              <w:rPr>
                                <w:color w:val="FFFFFF"/>
                              </w:rPr>
                            </w:pPr>
                            <w:r w:rsidRPr="00834947">
                              <w:rPr>
                                <w:color w:val="FFFFFF"/>
                              </w:rPr>
                              <w:t xml:space="preserve">Limited: </w:t>
                            </w:r>
                            <w:r w:rsidRPr="00834947">
                              <w:rPr>
                                <w:color w:val="FFFFFF"/>
                              </w:rPr>
                              <w:tab/>
                            </w:r>
                            <w:r>
                              <w:rPr>
                                <w:color w:val="FFFFFF"/>
                              </w:rPr>
                              <w:t>3 of 7</w:t>
                            </w:r>
                          </w:p>
                          <w:p w14:paraId="12ED320A" w14:textId="77777777" w:rsidR="001A2E4A" w:rsidRDefault="001A2E4A" w:rsidP="00EE2436">
                            <w:pPr>
                              <w:tabs>
                                <w:tab w:val="left" w:pos="0"/>
                                <w:tab w:val="right" w:pos="2880"/>
                                <w:tab w:val="right" w:pos="3240"/>
                              </w:tabs>
                              <w:rPr>
                                <w:color w:val="FFFFFF"/>
                              </w:rPr>
                            </w:pPr>
                            <w:r w:rsidRPr="00834947">
                              <w:rPr>
                                <w:color w:val="FFFFFF"/>
                              </w:rPr>
                              <w:t>Not started:</w:t>
                            </w:r>
                            <w:r w:rsidRPr="00834947">
                              <w:rPr>
                                <w:color w:val="FFFFFF"/>
                              </w:rPr>
                              <w:tab/>
                            </w:r>
                            <w:r>
                              <w:rPr>
                                <w:color w:val="FFFFFF"/>
                              </w:rPr>
                              <w:t xml:space="preserve">0 of 7 </w:t>
                            </w:r>
                          </w:p>
                          <w:p w14:paraId="30A555C4" w14:textId="77777777" w:rsidR="001A2E4A" w:rsidRDefault="001A2E4A" w:rsidP="00EE2436">
                            <w:pPr>
                              <w:pStyle w:val="Ataglancetitle"/>
                            </w:pPr>
                          </w:p>
                          <w:p w14:paraId="51D81984" w14:textId="77777777" w:rsidR="001A2E4A" w:rsidRPr="001630F3" w:rsidRDefault="001A2E4A" w:rsidP="00EE2436">
                            <w:pPr>
                              <w:pStyle w:val="Ataglancetitle"/>
                            </w:pPr>
                            <w:r w:rsidRPr="00BF60FC">
                              <w:t>Commitment Emphasis</w:t>
                            </w:r>
                            <w:r w:rsidRPr="001630F3">
                              <w:t>:</w:t>
                            </w:r>
                          </w:p>
                          <w:p w14:paraId="6A57CA92" w14:textId="77777777" w:rsidR="001A2E4A" w:rsidRPr="00DD367E" w:rsidRDefault="001A2E4A" w:rsidP="00EE2436">
                            <w:pPr>
                              <w:tabs>
                                <w:tab w:val="right" w:pos="2880"/>
                              </w:tabs>
                              <w:rPr>
                                <w:color w:val="FFFFFF" w:themeColor="background1"/>
                              </w:rPr>
                            </w:pPr>
                            <w:r w:rsidRPr="001630F3">
                              <w:rPr>
                                <w:color w:val="FFFFFF" w:themeColor="background1"/>
                              </w:rPr>
                              <w:t xml:space="preserve">Access to </w:t>
                            </w:r>
                            <w:r>
                              <w:rPr>
                                <w:color w:val="FFFFFF" w:themeColor="background1"/>
                              </w:rPr>
                              <w:br/>
                            </w:r>
                            <w:r w:rsidRPr="001630F3">
                              <w:rPr>
                                <w:color w:val="FFFFFF" w:themeColor="background1"/>
                              </w:rPr>
                              <w:t>information:</w:t>
                            </w:r>
                            <w:r w:rsidRPr="001630F3">
                              <w:rPr>
                                <w:color w:val="FFFFFF" w:themeColor="background1"/>
                              </w:rPr>
                              <w:tab/>
                            </w:r>
                            <w:r>
                              <w:rPr>
                                <w:color w:val="FFFFFF" w:themeColor="background1"/>
                              </w:rPr>
                              <w:t>5 of 7</w:t>
                            </w:r>
                          </w:p>
                          <w:p w14:paraId="45033947" w14:textId="77777777" w:rsidR="001A2E4A" w:rsidRPr="00DD367E" w:rsidRDefault="001A2E4A" w:rsidP="00EE2436">
                            <w:pPr>
                              <w:tabs>
                                <w:tab w:val="right" w:pos="2880"/>
                              </w:tabs>
                              <w:rPr>
                                <w:color w:val="FFFFFF" w:themeColor="background1"/>
                              </w:rPr>
                            </w:pPr>
                            <w:r w:rsidRPr="00DD367E">
                              <w:rPr>
                                <w:color w:val="FFFFFF" w:themeColor="background1"/>
                              </w:rPr>
                              <w:t>Civic participation:</w:t>
                            </w:r>
                            <w:r w:rsidRPr="00DD367E">
                              <w:rPr>
                                <w:color w:val="FFFFFF" w:themeColor="background1"/>
                              </w:rPr>
                              <w:tab/>
                            </w:r>
                            <w:r>
                              <w:rPr>
                                <w:color w:val="FFFFFF" w:themeColor="background1"/>
                              </w:rPr>
                              <w:t>5 of 7</w:t>
                            </w:r>
                            <w:r w:rsidRPr="00DD367E">
                              <w:rPr>
                                <w:color w:val="FFFFFF" w:themeColor="background1"/>
                              </w:rPr>
                              <w:t xml:space="preserve"> </w:t>
                            </w:r>
                          </w:p>
                          <w:p w14:paraId="27B92466" w14:textId="77777777" w:rsidR="001A2E4A" w:rsidRPr="00DD367E" w:rsidRDefault="001A2E4A" w:rsidP="00EE2436">
                            <w:pPr>
                              <w:tabs>
                                <w:tab w:val="right" w:pos="2880"/>
                              </w:tabs>
                              <w:rPr>
                                <w:color w:val="FFFFFF" w:themeColor="background1"/>
                              </w:rPr>
                            </w:pPr>
                            <w:r w:rsidRPr="00DD367E">
                              <w:rPr>
                                <w:color w:val="FFFFFF" w:themeColor="background1"/>
                              </w:rPr>
                              <w:t>Public accountability:</w:t>
                            </w:r>
                            <w:r w:rsidRPr="00DD367E">
                              <w:rPr>
                                <w:color w:val="FFFFFF" w:themeColor="background1"/>
                              </w:rPr>
                              <w:tab/>
                            </w:r>
                            <w:r>
                              <w:rPr>
                                <w:color w:val="FFFFFF" w:themeColor="background1"/>
                              </w:rPr>
                              <w:t>1 of 7</w:t>
                            </w:r>
                          </w:p>
                          <w:p w14:paraId="04B61B19" w14:textId="77777777" w:rsidR="001A2E4A" w:rsidRPr="00DD367E" w:rsidRDefault="001A2E4A" w:rsidP="00EE2436">
                            <w:pPr>
                              <w:tabs>
                                <w:tab w:val="left" w:pos="0"/>
                                <w:tab w:val="right" w:pos="3240"/>
                              </w:tabs>
                              <w:rPr>
                                <w:color w:val="FFFFFF" w:themeColor="background1"/>
                              </w:rPr>
                            </w:pPr>
                            <w:r w:rsidRPr="00DD367E">
                              <w:rPr>
                                <w:color w:val="FFFFFF" w:themeColor="background1"/>
                              </w:rPr>
                              <w:t xml:space="preserve">Tech &amp; innovation </w:t>
                            </w:r>
                          </w:p>
                          <w:p w14:paraId="593A50D8" w14:textId="77777777" w:rsidR="001A2E4A" w:rsidRDefault="001A2E4A" w:rsidP="00EE2436">
                            <w:pPr>
                              <w:tabs>
                                <w:tab w:val="right" w:pos="2880"/>
                              </w:tabs>
                              <w:rPr>
                                <w:color w:val="FFFFFF" w:themeColor="background1"/>
                              </w:rPr>
                            </w:pPr>
                            <w:proofErr w:type="gramStart"/>
                            <w:r w:rsidRPr="00DD367E">
                              <w:rPr>
                                <w:color w:val="FFFFFF" w:themeColor="background1"/>
                              </w:rPr>
                              <w:t>for</w:t>
                            </w:r>
                            <w:proofErr w:type="gramEnd"/>
                            <w:r w:rsidRPr="00DD367E">
                              <w:rPr>
                                <w:color w:val="FFFFFF" w:themeColor="background1"/>
                              </w:rPr>
                              <w:t xml:space="preserve"> transparency &amp; </w:t>
                            </w:r>
                            <w:r w:rsidRPr="00DD367E">
                              <w:rPr>
                                <w:color w:val="FFFFFF" w:themeColor="background1"/>
                              </w:rPr>
                              <w:br/>
                              <w:t>accountability:</w:t>
                            </w:r>
                            <w:r w:rsidRPr="00DD367E">
                              <w:rPr>
                                <w:color w:val="FFFFFF" w:themeColor="background1"/>
                              </w:rPr>
                              <w:tab/>
                            </w:r>
                            <w:r>
                              <w:rPr>
                                <w:color w:val="FFFFFF" w:themeColor="background1"/>
                              </w:rPr>
                              <w:t>3 of 7</w:t>
                            </w:r>
                          </w:p>
                          <w:p w14:paraId="2D3C423D" w14:textId="77777777" w:rsidR="001A2E4A" w:rsidRPr="001630F3" w:rsidRDefault="001A2E4A" w:rsidP="00EE2436">
                            <w:pPr>
                              <w:tabs>
                                <w:tab w:val="right" w:pos="2880"/>
                              </w:tabs>
                              <w:rPr>
                                <w:color w:val="FFFFFF" w:themeColor="background1"/>
                              </w:rPr>
                            </w:pPr>
                          </w:p>
                          <w:p w14:paraId="7BC5FAD8" w14:textId="77777777" w:rsidR="001A2E4A" w:rsidRPr="0068593E" w:rsidRDefault="001A2E4A" w:rsidP="00EE2436">
                            <w:pPr>
                              <w:pStyle w:val="Ataglancetitle"/>
                            </w:pPr>
                            <w:r>
                              <w:t>Commitments that are</w:t>
                            </w:r>
                          </w:p>
                          <w:p w14:paraId="753524C1" w14:textId="77777777" w:rsidR="001A2E4A" w:rsidRPr="001630F3" w:rsidRDefault="001A2E4A" w:rsidP="00EE2436">
                            <w:pPr>
                              <w:rPr>
                                <w:color w:val="FFFFFF" w:themeColor="background1"/>
                              </w:rPr>
                            </w:pPr>
                            <w:r w:rsidRPr="001630F3">
                              <w:rPr>
                                <w:color w:val="FFFFFF" w:themeColor="background1"/>
                              </w:rPr>
                              <w:t xml:space="preserve">Clearly relevant to an </w:t>
                            </w:r>
                          </w:p>
                          <w:p w14:paraId="12CFFCB9" w14:textId="77777777" w:rsidR="001A2E4A" w:rsidRPr="001630F3" w:rsidRDefault="001A2E4A" w:rsidP="00EE2436">
                            <w:pPr>
                              <w:tabs>
                                <w:tab w:val="right" w:pos="2880"/>
                              </w:tabs>
                              <w:rPr>
                                <w:b/>
                                <w:color w:val="FFFFFF" w:themeColor="background1"/>
                              </w:rPr>
                            </w:pPr>
                            <w:r>
                              <w:rPr>
                                <w:color w:val="FFFFFF" w:themeColor="background1"/>
                              </w:rPr>
                              <w:t>OGP value:</w:t>
                            </w:r>
                            <w:r>
                              <w:rPr>
                                <w:color w:val="FFFFFF" w:themeColor="background1"/>
                              </w:rPr>
                              <w:tab/>
                              <w:t>7 of 7</w:t>
                            </w:r>
                            <w:r w:rsidRPr="001630F3">
                              <w:rPr>
                                <w:color w:val="FFFFFF" w:themeColor="background1"/>
                              </w:rPr>
                              <w:t xml:space="preserve"> </w:t>
                            </w:r>
                          </w:p>
                          <w:p w14:paraId="501EFB61" w14:textId="77777777" w:rsidR="001A2E4A" w:rsidRPr="00FB0E61" w:rsidRDefault="001A2E4A" w:rsidP="00EE2436">
                            <w:pPr>
                              <w:tabs>
                                <w:tab w:val="right" w:pos="2880"/>
                              </w:tabs>
                              <w:rPr>
                                <w:color w:val="FFFFFF"/>
                              </w:rPr>
                            </w:pPr>
                            <w:r w:rsidRPr="00C072ED">
                              <w:rPr>
                                <w:color w:val="FFFFFF"/>
                              </w:rPr>
                              <w:t xml:space="preserve">Of transformative </w:t>
                            </w:r>
                            <w:r>
                              <w:rPr>
                                <w:color w:val="FFFFFF"/>
                              </w:rPr>
                              <w:br/>
                            </w:r>
                            <w:r w:rsidRPr="00C072ED">
                              <w:rPr>
                                <w:color w:val="FFFFFF"/>
                              </w:rPr>
                              <w:t>potential impact:</w:t>
                            </w:r>
                            <w:r>
                              <w:rPr>
                                <w:color w:val="FFFFFF"/>
                              </w:rPr>
                              <w:tab/>
                              <w:t xml:space="preserve">1 of 7 </w:t>
                            </w:r>
                          </w:p>
                          <w:p w14:paraId="4F9E9E97" w14:textId="77777777" w:rsidR="001A2E4A" w:rsidRPr="00554F98" w:rsidRDefault="001A2E4A" w:rsidP="00EE2436">
                            <w:pPr>
                              <w:tabs>
                                <w:tab w:val="right" w:pos="2880"/>
                              </w:tabs>
                              <w:rPr>
                                <w:color w:val="FFFFFF"/>
                              </w:rPr>
                            </w:pPr>
                            <w:r w:rsidRPr="00FB0E61">
                              <w:rPr>
                                <w:color w:val="FFFFFF"/>
                              </w:rPr>
                              <w:t>Substantially or completely impleme</w:t>
                            </w:r>
                            <w:r>
                              <w:rPr>
                                <w:color w:val="FFFFFF"/>
                              </w:rPr>
                              <w:t>nted:</w:t>
                            </w:r>
                            <w:r>
                              <w:rPr>
                                <w:color w:val="FFFFFF"/>
                              </w:rPr>
                              <w:tab/>
                              <w:t>4 of 7</w:t>
                            </w:r>
                            <w:r w:rsidRPr="00554F98">
                              <w:rPr>
                                <w:color w:val="FFFFFF"/>
                              </w:rPr>
                              <w:t xml:space="preserve"> </w:t>
                            </w:r>
                          </w:p>
                          <w:p w14:paraId="1336E558" w14:textId="77777777" w:rsidR="001A2E4A" w:rsidRDefault="001A2E4A" w:rsidP="00EE2436">
                            <w:pPr>
                              <w:tabs>
                                <w:tab w:val="right" w:pos="2880"/>
                              </w:tabs>
                              <w:rPr>
                                <w:color w:val="FFFFFF"/>
                              </w:rPr>
                            </w:pPr>
                            <w:r w:rsidRPr="00554F98">
                              <w:rPr>
                                <w:color w:val="FFFFFF"/>
                              </w:rPr>
                              <w:t>All three (</w:t>
                            </w:r>
                            <w:r w:rsidRPr="00554F98">
                              <w:rPr>
                                <w:rFonts w:ascii="Zapf Dingbats" w:hAnsi="Zapf Dingbats"/>
                                <w:color w:val="FFFFFF" w:themeColor="background1"/>
                              </w:rPr>
                              <w:sym w:font="Wingdings" w:char="F0B5"/>
                            </w:r>
                            <w:r w:rsidRPr="00554F98">
                              <w:rPr>
                                <w:color w:val="FFFFFF"/>
                              </w:rPr>
                              <w:t>):</w:t>
                            </w:r>
                            <w:r w:rsidRPr="00554F98">
                              <w:rPr>
                                <w:color w:val="FFFFFF"/>
                              </w:rPr>
                              <w:tab/>
                            </w:r>
                            <w:r>
                              <w:rPr>
                                <w:color w:val="FFFFFF"/>
                              </w:rPr>
                              <w:t xml:space="preserve">1 of 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7" type="#_x0000_t202" style="position:absolute;margin-left:246.75pt;margin-top:2.3pt;width:179.1pt;height:3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" fillcolor="#17365d" stroked="f">
                <v:path arrowok="t"/>
                <v:textbox>
                  <w:txbxContent>
                    <w:p w14:paraId="55AA158F" w14:textId="77777777" w:rsidR="001A2E4A" w:rsidRPr="00FB0E61" w:rsidRDefault="001A2E4A" w:rsidP="00EE2436">
                      <w:pPr>
                        <w:pStyle w:val="Ataglancetitle"/>
                      </w:pPr>
                      <w:r w:rsidRPr="008235D5">
                        <w:t xml:space="preserve">At a </w:t>
                      </w:r>
                      <w:r w:rsidRPr="000906B1">
                        <w:t>Glance</w:t>
                      </w:r>
                      <w:r>
                        <w:t>:</w:t>
                      </w:r>
                    </w:p>
                    <w:p w14:paraId="7909E8B6" w14:textId="77777777" w:rsidR="001A2E4A" w:rsidRPr="00FB0E61" w:rsidRDefault="001A2E4A" w:rsidP="00EE2436">
                      <w:pPr>
                        <w:tabs>
                          <w:tab w:val="left" w:pos="0"/>
                          <w:tab w:val="right" w:pos="2880"/>
                          <w:tab w:val="right" w:pos="3240"/>
                        </w:tabs>
                        <w:rPr>
                          <w:color w:val="FFFFFF"/>
                        </w:rPr>
                      </w:pPr>
                      <w:r>
                        <w:rPr>
                          <w:color w:val="FFFFFF"/>
                        </w:rPr>
                        <w:t xml:space="preserve">Member since: </w:t>
                      </w:r>
                      <w:r>
                        <w:rPr>
                          <w:color w:val="FFFFFF"/>
                        </w:rPr>
                        <w:tab/>
                      </w:r>
                      <w:r w:rsidRPr="00FB0E61">
                        <w:rPr>
                          <w:color w:val="FFFFFF"/>
                        </w:rPr>
                        <w:t>201</w:t>
                      </w:r>
                      <w:r>
                        <w:rPr>
                          <w:color w:val="FFFFFF"/>
                        </w:rPr>
                        <w:t>4</w:t>
                      </w:r>
                    </w:p>
                    <w:p w14:paraId="0C317F30" w14:textId="04519420" w:rsidR="001A2E4A" w:rsidRDefault="001A2E4A" w:rsidP="003872CE">
                      <w:pPr>
                        <w:tabs>
                          <w:tab w:val="right" w:pos="0"/>
                          <w:tab w:val="right" w:pos="3240"/>
                        </w:tabs>
                        <w:rPr>
                          <w:color w:val="FFFFFF"/>
                        </w:rPr>
                      </w:pPr>
                      <w:r>
                        <w:rPr>
                          <w:color w:val="FFFFFF"/>
                        </w:rPr>
                        <w:t>Number of commitments</w:t>
                      </w:r>
                      <w:proofErr w:type="gramStart"/>
                      <w:r>
                        <w:rPr>
                          <w:color w:val="FFFFFF"/>
                        </w:rPr>
                        <w:t>:</w:t>
                      </w:r>
                      <w:r w:rsidRPr="00566F1E">
                        <w:rPr>
                          <w:color w:val="FFFFFF"/>
                        </w:rPr>
                        <w:t xml:space="preserve"> </w:t>
                      </w:r>
                      <w:r>
                        <w:rPr>
                          <w:color w:val="FFFFFF"/>
                        </w:rPr>
                        <w:t xml:space="preserve">      7</w:t>
                      </w:r>
                      <w:proofErr w:type="gramEnd"/>
                    </w:p>
                    <w:p w14:paraId="61E90BA8" w14:textId="77777777" w:rsidR="001A2E4A" w:rsidRDefault="001A2E4A" w:rsidP="00EE2436">
                      <w:pPr>
                        <w:pStyle w:val="Ataglancetitle"/>
                      </w:pPr>
                    </w:p>
                    <w:p w14:paraId="44712737" w14:textId="77777777" w:rsidR="001A2E4A" w:rsidRPr="001630F3" w:rsidRDefault="001A2E4A" w:rsidP="00EE2436">
                      <w:pPr>
                        <w:pStyle w:val="Ataglancetitle"/>
                      </w:pPr>
                      <w:r w:rsidRPr="001630F3">
                        <w:t xml:space="preserve">Level of </w:t>
                      </w:r>
                      <w:r w:rsidRPr="000906B1">
                        <w:t>Completion</w:t>
                      </w:r>
                      <w:r w:rsidRPr="001630F3">
                        <w:t>:</w:t>
                      </w:r>
                    </w:p>
                    <w:p w14:paraId="43FA3422" w14:textId="77777777" w:rsidR="001A2E4A" w:rsidRPr="00834947" w:rsidRDefault="001A2E4A" w:rsidP="00EE2436">
                      <w:pPr>
                        <w:tabs>
                          <w:tab w:val="left" w:pos="0"/>
                          <w:tab w:val="right" w:pos="2880"/>
                          <w:tab w:val="right" w:pos="3240"/>
                        </w:tabs>
                        <w:rPr>
                          <w:color w:val="FFFFFF"/>
                        </w:rPr>
                      </w:pPr>
                      <w:r w:rsidRPr="00FB0E61">
                        <w:rPr>
                          <w:color w:val="FFFFFF"/>
                        </w:rPr>
                        <w:t>Completed:</w:t>
                      </w:r>
                      <w:r>
                        <w:rPr>
                          <w:color w:val="FFFFFF"/>
                        </w:rPr>
                        <w:tab/>
                      </w:r>
                      <w:r>
                        <w:rPr>
                          <w:color w:val="FFFFFF" w:themeColor="background1"/>
                        </w:rPr>
                        <w:t>0 of 7</w:t>
                      </w:r>
                    </w:p>
                    <w:p w14:paraId="70AEDD4E" w14:textId="77777777" w:rsidR="001A2E4A" w:rsidRPr="00834947" w:rsidRDefault="001A2E4A" w:rsidP="00EE2436">
                      <w:pPr>
                        <w:tabs>
                          <w:tab w:val="left" w:pos="0"/>
                          <w:tab w:val="right" w:pos="2880"/>
                          <w:tab w:val="right" w:pos="3240"/>
                        </w:tabs>
                        <w:rPr>
                          <w:color w:val="FFFFFF"/>
                        </w:rPr>
                      </w:pPr>
                      <w:r w:rsidRPr="00834947">
                        <w:rPr>
                          <w:color w:val="FFFFFF"/>
                        </w:rPr>
                        <w:t>Substantial:</w:t>
                      </w:r>
                      <w:r w:rsidRPr="00834947">
                        <w:rPr>
                          <w:color w:val="FFFFFF"/>
                        </w:rPr>
                        <w:tab/>
                      </w:r>
                      <w:r>
                        <w:rPr>
                          <w:color w:val="FFFFFF"/>
                        </w:rPr>
                        <w:t>4 of 7</w:t>
                      </w:r>
                    </w:p>
                    <w:p w14:paraId="7F6CFB2F" w14:textId="77777777" w:rsidR="001A2E4A" w:rsidRPr="00834947" w:rsidRDefault="001A2E4A" w:rsidP="00EE2436">
                      <w:pPr>
                        <w:tabs>
                          <w:tab w:val="left" w:pos="0"/>
                          <w:tab w:val="right" w:pos="2880"/>
                          <w:tab w:val="right" w:pos="3240"/>
                        </w:tabs>
                        <w:rPr>
                          <w:color w:val="FFFFFF"/>
                        </w:rPr>
                      </w:pPr>
                      <w:r w:rsidRPr="00834947">
                        <w:rPr>
                          <w:color w:val="FFFFFF"/>
                        </w:rPr>
                        <w:t xml:space="preserve">Limited: </w:t>
                      </w:r>
                      <w:r w:rsidRPr="00834947">
                        <w:rPr>
                          <w:color w:val="FFFFFF"/>
                        </w:rPr>
                        <w:tab/>
                      </w:r>
                      <w:r>
                        <w:rPr>
                          <w:color w:val="FFFFFF"/>
                        </w:rPr>
                        <w:t>3 of 7</w:t>
                      </w:r>
                    </w:p>
                    <w:p w14:paraId="12ED320A" w14:textId="77777777" w:rsidR="001A2E4A" w:rsidRDefault="001A2E4A" w:rsidP="00EE2436">
                      <w:pPr>
                        <w:tabs>
                          <w:tab w:val="left" w:pos="0"/>
                          <w:tab w:val="right" w:pos="2880"/>
                          <w:tab w:val="right" w:pos="3240"/>
                        </w:tabs>
                        <w:rPr>
                          <w:color w:val="FFFFFF"/>
                        </w:rPr>
                      </w:pPr>
                      <w:r w:rsidRPr="00834947">
                        <w:rPr>
                          <w:color w:val="FFFFFF"/>
                        </w:rPr>
                        <w:t>Not started:</w:t>
                      </w:r>
                      <w:r w:rsidRPr="00834947">
                        <w:rPr>
                          <w:color w:val="FFFFFF"/>
                        </w:rPr>
                        <w:tab/>
                      </w:r>
                      <w:r>
                        <w:rPr>
                          <w:color w:val="FFFFFF"/>
                        </w:rPr>
                        <w:t xml:space="preserve">0 of 7 </w:t>
                      </w:r>
                    </w:p>
                    <w:p w14:paraId="30A555C4" w14:textId="77777777" w:rsidR="001A2E4A" w:rsidRDefault="001A2E4A" w:rsidP="00EE2436">
                      <w:pPr>
                        <w:pStyle w:val="Ataglancetitle"/>
                      </w:pPr>
                    </w:p>
                    <w:p w14:paraId="51D81984" w14:textId="77777777" w:rsidR="001A2E4A" w:rsidRPr="001630F3" w:rsidRDefault="001A2E4A" w:rsidP="00EE2436">
                      <w:pPr>
                        <w:pStyle w:val="Ataglancetitle"/>
                      </w:pPr>
                      <w:r w:rsidRPr="00BF60FC">
                        <w:t>Commitment Emphasis</w:t>
                      </w:r>
                      <w:r w:rsidRPr="001630F3">
                        <w:t>:</w:t>
                      </w:r>
                    </w:p>
                    <w:p w14:paraId="6A57CA92" w14:textId="77777777" w:rsidR="001A2E4A" w:rsidRPr="00DD367E" w:rsidRDefault="001A2E4A" w:rsidP="00EE2436">
                      <w:pPr>
                        <w:tabs>
                          <w:tab w:val="right" w:pos="2880"/>
                        </w:tabs>
                        <w:rPr>
                          <w:color w:val="FFFFFF" w:themeColor="background1"/>
                        </w:rPr>
                      </w:pPr>
                      <w:r w:rsidRPr="001630F3">
                        <w:rPr>
                          <w:color w:val="FFFFFF" w:themeColor="background1"/>
                        </w:rPr>
                        <w:t xml:space="preserve">Access to </w:t>
                      </w:r>
                      <w:r>
                        <w:rPr>
                          <w:color w:val="FFFFFF" w:themeColor="background1"/>
                        </w:rPr>
                        <w:br/>
                      </w:r>
                      <w:r w:rsidRPr="001630F3">
                        <w:rPr>
                          <w:color w:val="FFFFFF" w:themeColor="background1"/>
                        </w:rPr>
                        <w:t>information:</w:t>
                      </w:r>
                      <w:r w:rsidRPr="001630F3">
                        <w:rPr>
                          <w:color w:val="FFFFFF" w:themeColor="background1"/>
                        </w:rPr>
                        <w:tab/>
                      </w:r>
                      <w:r>
                        <w:rPr>
                          <w:color w:val="FFFFFF" w:themeColor="background1"/>
                        </w:rPr>
                        <w:t>5 of 7</w:t>
                      </w:r>
                    </w:p>
                    <w:p w14:paraId="45033947" w14:textId="77777777" w:rsidR="001A2E4A" w:rsidRPr="00DD367E" w:rsidRDefault="001A2E4A" w:rsidP="00EE2436">
                      <w:pPr>
                        <w:tabs>
                          <w:tab w:val="right" w:pos="2880"/>
                        </w:tabs>
                        <w:rPr>
                          <w:color w:val="FFFFFF" w:themeColor="background1"/>
                        </w:rPr>
                      </w:pPr>
                      <w:r w:rsidRPr="00DD367E">
                        <w:rPr>
                          <w:color w:val="FFFFFF" w:themeColor="background1"/>
                        </w:rPr>
                        <w:t>Civic participation:</w:t>
                      </w:r>
                      <w:r w:rsidRPr="00DD367E">
                        <w:rPr>
                          <w:color w:val="FFFFFF" w:themeColor="background1"/>
                        </w:rPr>
                        <w:tab/>
                      </w:r>
                      <w:r>
                        <w:rPr>
                          <w:color w:val="FFFFFF" w:themeColor="background1"/>
                        </w:rPr>
                        <w:t>5 of 7</w:t>
                      </w:r>
                      <w:r w:rsidRPr="00DD367E">
                        <w:rPr>
                          <w:color w:val="FFFFFF" w:themeColor="background1"/>
                        </w:rPr>
                        <w:t xml:space="preserve"> </w:t>
                      </w:r>
                    </w:p>
                    <w:p w14:paraId="27B92466" w14:textId="77777777" w:rsidR="001A2E4A" w:rsidRPr="00DD367E" w:rsidRDefault="001A2E4A" w:rsidP="00EE2436">
                      <w:pPr>
                        <w:tabs>
                          <w:tab w:val="right" w:pos="2880"/>
                        </w:tabs>
                        <w:rPr>
                          <w:color w:val="FFFFFF" w:themeColor="background1"/>
                        </w:rPr>
                      </w:pPr>
                      <w:r w:rsidRPr="00DD367E">
                        <w:rPr>
                          <w:color w:val="FFFFFF" w:themeColor="background1"/>
                        </w:rPr>
                        <w:t>Public accountability:</w:t>
                      </w:r>
                      <w:r w:rsidRPr="00DD367E">
                        <w:rPr>
                          <w:color w:val="FFFFFF" w:themeColor="background1"/>
                        </w:rPr>
                        <w:tab/>
                      </w:r>
                      <w:r>
                        <w:rPr>
                          <w:color w:val="FFFFFF" w:themeColor="background1"/>
                        </w:rPr>
                        <w:t>1 of 7</w:t>
                      </w:r>
                    </w:p>
                    <w:p w14:paraId="04B61B19" w14:textId="77777777" w:rsidR="001A2E4A" w:rsidRPr="00DD367E" w:rsidRDefault="001A2E4A" w:rsidP="00EE2436">
                      <w:pPr>
                        <w:tabs>
                          <w:tab w:val="left" w:pos="0"/>
                          <w:tab w:val="right" w:pos="3240"/>
                        </w:tabs>
                        <w:rPr>
                          <w:color w:val="FFFFFF" w:themeColor="background1"/>
                        </w:rPr>
                      </w:pPr>
                      <w:r w:rsidRPr="00DD367E">
                        <w:rPr>
                          <w:color w:val="FFFFFF" w:themeColor="background1"/>
                        </w:rPr>
                        <w:t xml:space="preserve">Tech &amp; innovation </w:t>
                      </w:r>
                    </w:p>
                    <w:p w14:paraId="593A50D8" w14:textId="77777777" w:rsidR="001A2E4A" w:rsidRDefault="001A2E4A" w:rsidP="00EE2436">
                      <w:pPr>
                        <w:tabs>
                          <w:tab w:val="right" w:pos="2880"/>
                        </w:tabs>
                        <w:rPr>
                          <w:color w:val="FFFFFF" w:themeColor="background1"/>
                        </w:rPr>
                      </w:pPr>
                      <w:proofErr w:type="gramStart"/>
                      <w:r w:rsidRPr="00DD367E">
                        <w:rPr>
                          <w:color w:val="FFFFFF" w:themeColor="background1"/>
                        </w:rPr>
                        <w:t>for</w:t>
                      </w:r>
                      <w:proofErr w:type="gramEnd"/>
                      <w:r w:rsidRPr="00DD367E">
                        <w:rPr>
                          <w:color w:val="FFFFFF" w:themeColor="background1"/>
                        </w:rPr>
                        <w:t xml:space="preserve"> transparency &amp; </w:t>
                      </w:r>
                      <w:r w:rsidRPr="00DD367E">
                        <w:rPr>
                          <w:color w:val="FFFFFF" w:themeColor="background1"/>
                        </w:rPr>
                        <w:br/>
                        <w:t>accountability:</w:t>
                      </w:r>
                      <w:r w:rsidRPr="00DD367E">
                        <w:rPr>
                          <w:color w:val="FFFFFF" w:themeColor="background1"/>
                        </w:rPr>
                        <w:tab/>
                      </w:r>
                      <w:r>
                        <w:rPr>
                          <w:color w:val="FFFFFF" w:themeColor="background1"/>
                        </w:rPr>
                        <w:t>3 of 7</w:t>
                      </w:r>
                    </w:p>
                    <w:p w14:paraId="2D3C423D" w14:textId="77777777" w:rsidR="001A2E4A" w:rsidRPr="001630F3" w:rsidRDefault="001A2E4A" w:rsidP="00EE2436">
                      <w:pPr>
                        <w:tabs>
                          <w:tab w:val="right" w:pos="2880"/>
                        </w:tabs>
                        <w:rPr>
                          <w:color w:val="FFFFFF" w:themeColor="background1"/>
                        </w:rPr>
                      </w:pPr>
                    </w:p>
                    <w:p w14:paraId="7BC5FAD8" w14:textId="77777777" w:rsidR="001A2E4A" w:rsidRPr="0068593E" w:rsidRDefault="001A2E4A" w:rsidP="00EE2436">
                      <w:pPr>
                        <w:pStyle w:val="Ataglancetitle"/>
                      </w:pPr>
                      <w:r>
                        <w:t>Commitments that are</w:t>
                      </w:r>
                    </w:p>
                    <w:p w14:paraId="753524C1" w14:textId="77777777" w:rsidR="001A2E4A" w:rsidRPr="001630F3" w:rsidRDefault="001A2E4A" w:rsidP="00EE2436">
                      <w:pPr>
                        <w:rPr>
                          <w:color w:val="FFFFFF" w:themeColor="background1"/>
                        </w:rPr>
                      </w:pPr>
                      <w:r w:rsidRPr="001630F3">
                        <w:rPr>
                          <w:color w:val="FFFFFF" w:themeColor="background1"/>
                        </w:rPr>
                        <w:t xml:space="preserve">Clearly relevant to an </w:t>
                      </w:r>
                    </w:p>
                    <w:p w14:paraId="12CFFCB9" w14:textId="77777777" w:rsidR="001A2E4A" w:rsidRPr="001630F3" w:rsidRDefault="001A2E4A" w:rsidP="00EE2436">
                      <w:pPr>
                        <w:tabs>
                          <w:tab w:val="right" w:pos="2880"/>
                        </w:tabs>
                        <w:rPr>
                          <w:b/>
                          <w:color w:val="FFFFFF" w:themeColor="background1"/>
                        </w:rPr>
                      </w:pPr>
                      <w:r>
                        <w:rPr>
                          <w:color w:val="FFFFFF" w:themeColor="background1"/>
                        </w:rPr>
                        <w:t>OGP value:</w:t>
                      </w:r>
                      <w:r>
                        <w:rPr>
                          <w:color w:val="FFFFFF" w:themeColor="background1"/>
                        </w:rPr>
                        <w:tab/>
                        <w:t>7 of 7</w:t>
                      </w:r>
                      <w:r w:rsidRPr="001630F3">
                        <w:rPr>
                          <w:color w:val="FFFFFF" w:themeColor="background1"/>
                        </w:rPr>
                        <w:t xml:space="preserve"> </w:t>
                      </w:r>
                    </w:p>
                    <w:p w14:paraId="501EFB61" w14:textId="77777777" w:rsidR="001A2E4A" w:rsidRPr="00FB0E61" w:rsidRDefault="001A2E4A" w:rsidP="00EE2436">
                      <w:pPr>
                        <w:tabs>
                          <w:tab w:val="right" w:pos="2880"/>
                        </w:tabs>
                        <w:rPr>
                          <w:color w:val="FFFFFF"/>
                        </w:rPr>
                      </w:pPr>
                      <w:r w:rsidRPr="00C072ED">
                        <w:rPr>
                          <w:color w:val="FFFFFF"/>
                        </w:rPr>
                        <w:t xml:space="preserve">Of transformative </w:t>
                      </w:r>
                      <w:r>
                        <w:rPr>
                          <w:color w:val="FFFFFF"/>
                        </w:rPr>
                        <w:br/>
                      </w:r>
                      <w:r w:rsidRPr="00C072ED">
                        <w:rPr>
                          <w:color w:val="FFFFFF"/>
                        </w:rPr>
                        <w:t>potential impact:</w:t>
                      </w:r>
                      <w:r>
                        <w:rPr>
                          <w:color w:val="FFFFFF"/>
                        </w:rPr>
                        <w:tab/>
                        <w:t xml:space="preserve">1 of 7 </w:t>
                      </w:r>
                    </w:p>
                    <w:p w14:paraId="4F9E9E97" w14:textId="77777777" w:rsidR="001A2E4A" w:rsidRPr="00554F98" w:rsidRDefault="001A2E4A" w:rsidP="00EE2436">
                      <w:pPr>
                        <w:tabs>
                          <w:tab w:val="right" w:pos="2880"/>
                        </w:tabs>
                        <w:rPr>
                          <w:color w:val="FFFFFF"/>
                        </w:rPr>
                      </w:pPr>
                      <w:r w:rsidRPr="00FB0E61">
                        <w:rPr>
                          <w:color w:val="FFFFFF"/>
                        </w:rPr>
                        <w:t>Substantially or completely impleme</w:t>
                      </w:r>
                      <w:r>
                        <w:rPr>
                          <w:color w:val="FFFFFF"/>
                        </w:rPr>
                        <w:t>nted:</w:t>
                      </w:r>
                      <w:r>
                        <w:rPr>
                          <w:color w:val="FFFFFF"/>
                        </w:rPr>
                        <w:tab/>
                        <w:t>4 of 7</w:t>
                      </w:r>
                      <w:r w:rsidRPr="00554F98">
                        <w:rPr>
                          <w:color w:val="FFFFFF"/>
                        </w:rPr>
                        <w:t xml:space="preserve"> </w:t>
                      </w:r>
                    </w:p>
                    <w:p w14:paraId="1336E558" w14:textId="77777777" w:rsidR="001A2E4A" w:rsidRDefault="001A2E4A" w:rsidP="00EE2436">
                      <w:pPr>
                        <w:tabs>
                          <w:tab w:val="right" w:pos="2880"/>
                        </w:tabs>
                        <w:rPr>
                          <w:color w:val="FFFFFF"/>
                        </w:rPr>
                      </w:pPr>
                      <w:r w:rsidRPr="00554F98">
                        <w:rPr>
                          <w:color w:val="FFFFFF"/>
                        </w:rPr>
                        <w:t>All three (</w:t>
                      </w:r>
                      <w:r w:rsidRPr="00554F98">
                        <w:rPr>
                          <w:rFonts w:ascii="Zapf Dingbats" w:hAnsi="Zapf Dingbats"/>
                          <w:color w:val="FFFFFF" w:themeColor="background1"/>
                        </w:rPr>
                        <w:sym w:font="Wingdings" w:char="F0B5"/>
                      </w:r>
                      <w:r w:rsidRPr="00554F98">
                        <w:rPr>
                          <w:color w:val="FFFFFF"/>
                        </w:rPr>
                        <w:t>):</w:t>
                      </w:r>
                      <w:r w:rsidRPr="00554F98">
                        <w:rPr>
                          <w:color w:val="FFFFFF"/>
                        </w:rPr>
                        <w:tab/>
                      </w:r>
                      <w:r>
                        <w:rPr>
                          <w:color w:val="FFFFFF"/>
                        </w:rPr>
                        <w:t xml:space="preserve">1 of 7 </w:t>
                      </w:r>
                    </w:p>
                  </w:txbxContent>
                </v:textbox>
                <w10:wrap type="square"/>
              </v:shape>
            </w:pict>
          </mc:Fallback>
        </mc:AlternateContent>
      </w:r>
      <w:r w:rsidRPr="005C5C45">
        <w:br/>
      </w:r>
      <w:r w:rsidR="00EE2436" w:rsidRPr="005C5C45">
        <w:t xml:space="preserve">The Open Government Partnership (OGP) is a voluntary international initiative that aims to secure commitments from governments to their citizenry to promote transparency, empower citizens, fight corruption, and harness new technologies to strengthen governance. New Zealand (NZ) began participating in OGP in 2014. The Independent Reporting Mechanism (IRM) carries out an annual review of the activities of each country that participates in OGP. </w:t>
      </w:r>
    </w:p>
    <w:p w14:paraId="19767CBB" w14:textId="39EF325B" w:rsidR="00EE2436" w:rsidRPr="005C5C45" w:rsidRDefault="00EE2436" w:rsidP="00EE2436">
      <w:pPr>
        <w:pStyle w:val="Normalrglronly"/>
        <w:tabs>
          <w:tab w:val="right" w:pos="2880"/>
        </w:tabs>
        <w:rPr>
          <w:color w:val="000000" w:themeColor="text1"/>
        </w:rPr>
      </w:pPr>
      <w:r w:rsidRPr="005C5C45">
        <w:rPr>
          <w:color w:val="000000" w:themeColor="text1"/>
        </w:rPr>
        <w:t>The State Services Commission (SSC) is the lead executive agency responsible for NZ’s commitments and is well</w:t>
      </w:r>
      <w:r w:rsidR="009E7159">
        <w:rPr>
          <w:color w:val="000000" w:themeColor="text1"/>
        </w:rPr>
        <w:t xml:space="preserve"> </w:t>
      </w:r>
      <w:r w:rsidRPr="005C5C45">
        <w:rPr>
          <w:color w:val="000000" w:themeColor="text1"/>
        </w:rPr>
        <w:t xml:space="preserve">placed to coordinate lead OGP efforts as a central agency. The action plan has received Cabinet approval, which serves as a binding, executive-led direction for public servants. </w:t>
      </w:r>
    </w:p>
    <w:p w14:paraId="719BD537" w14:textId="77777777" w:rsidR="00EE2436" w:rsidRPr="005C5C45" w:rsidRDefault="00EE2436" w:rsidP="00EE2436">
      <w:pPr>
        <w:pStyle w:val="Heading3"/>
      </w:pPr>
      <w:r w:rsidRPr="005C5C45">
        <w:t>OGP Process</w:t>
      </w:r>
    </w:p>
    <w:p w14:paraId="024FA388" w14:textId="77777777" w:rsidR="00EE2436" w:rsidRPr="005C5C45" w:rsidRDefault="00EE2436" w:rsidP="00EE2436">
      <w:pPr>
        <w:pStyle w:val="Normalrglronly"/>
      </w:pPr>
      <w:r w:rsidRPr="005C5C45">
        <w:t>Countries participating in the OGP follow a process for consultation during development of their OGP action plan and during implementation.</w:t>
      </w:r>
    </w:p>
    <w:p w14:paraId="0F236356" w14:textId="77777777" w:rsidR="007E0966" w:rsidRPr="005C5C45" w:rsidRDefault="00EE2436" w:rsidP="00EE2436">
      <w:pPr>
        <w:pStyle w:val="Normalrglronly"/>
        <w:rPr>
          <w:color w:val="000000" w:themeColor="text1"/>
        </w:rPr>
      </w:pPr>
      <w:r w:rsidRPr="005C5C45">
        <w:rPr>
          <w:color w:val="000000" w:themeColor="text1"/>
        </w:rPr>
        <w:t xml:space="preserve">The SSC commissioned a new six-member Expert Advisory Panel (EAP) to advise the action plan process. The SSC also brought in an external company, the Engage2 team, to gather input on the design of the OGP engagement process from a variety of stakeholders. </w:t>
      </w:r>
    </w:p>
    <w:p w14:paraId="44415852" w14:textId="1014A734" w:rsidR="00EE2436" w:rsidRPr="005C5C45" w:rsidRDefault="00EE2436" w:rsidP="00EE2436">
      <w:pPr>
        <w:pStyle w:val="Normalrglronly"/>
        <w:rPr>
          <w:color w:val="000000" w:themeColor="text1"/>
        </w:rPr>
      </w:pPr>
      <w:r w:rsidRPr="005C5C45">
        <w:rPr>
          <w:color w:val="000000" w:themeColor="text1"/>
        </w:rPr>
        <w:t xml:space="preserve">After providing advance notice, Engage2 also collected input on possible commitments through the use of an online engagement platform and the govt.nz website. In addition to this month-long consultation period, events were held in three cities with stakeholders from the local government and the public and private sectors. The collected public submissions were arranged into eight themes, which acted as the basis for draft templates at a co-creation workshop attended by the EAP, government officials, and civil society. Six of the eight themes were incorporated into the action plan. </w:t>
      </w:r>
    </w:p>
    <w:p w14:paraId="19E6194F" w14:textId="1816EB4F" w:rsidR="00EE2436" w:rsidRPr="005C5C45" w:rsidRDefault="00EE2436" w:rsidP="00EE2436">
      <w:pPr>
        <w:pStyle w:val="Normalrglronly"/>
        <w:rPr>
          <w:color w:val="51A534" w:themeColor="accent2"/>
        </w:rPr>
      </w:pPr>
      <w:r w:rsidRPr="005C5C45">
        <w:rPr>
          <w:color w:val="000000" w:themeColor="text1"/>
        </w:rPr>
        <w:t xml:space="preserve">Despite Engage2’s activities, which were well supported by the SSC, civil society participation was low, and knowledge of the engagement was unknown outside the usual </w:t>
      </w:r>
      <w:r w:rsidRPr="005C5C45">
        <w:rPr>
          <w:color w:val="000000" w:themeColor="text1"/>
        </w:rPr>
        <w:lastRenderedPageBreak/>
        <w:t xml:space="preserve">channels. Additionally, stakeholders felt the consultation timeline limited their impact and many were concerned that the final commitments were Wellington-based.  </w:t>
      </w:r>
    </w:p>
    <w:p w14:paraId="2B65BC2C" w14:textId="11FCE11A" w:rsidR="00EE2436" w:rsidRPr="005C5C45" w:rsidRDefault="00EE2436" w:rsidP="00EE2436">
      <w:pPr>
        <w:pStyle w:val="Normalrglronly"/>
        <w:rPr>
          <w:color w:val="000000" w:themeColor="text1"/>
        </w:rPr>
      </w:pPr>
      <w:r w:rsidRPr="005C5C45">
        <w:rPr>
          <w:color w:val="000000" w:themeColor="text1"/>
        </w:rPr>
        <w:t>Among its other responsibilities, EAP was also commissioned for the purposes of enabling regular multi</w:t>
      </w:r>
      <w:r w:rsidR="00A278C3">
        <w:rPr>
          <w:color w:val="000000" w:themeColor="text1"/>
        </w:rPr>
        <w:t>-</w:t>
      </w:r>
      <w:r w:rsidRPr="005C5C45">
        <w:rPr>
          <w:color w:val="000000" w:themeColor="text1"/>
        </w:rPr>
        <w:t>stak</w:t>
      </w:r>
      <w:r w:rsidR="00240717">
        <w:rPr>
          <w:color w:val="000000" w:themeColor="text1"/>
        </w:rPr>
        <w:t>e</w:t>
      </w:r>
      <w:r w:rsidRPr="005C5C45">
        <w:rPr>
          <w:color w:val="000000" w:themeColor="text1"/>
        </w:rPr>
        <w:t xml:space="preserve">holder consultation on OGP implementation. While the EAP contains a mix of civil society representation, membership is limited and there is no evidence that it is adequately reaching out to civil society for greater co-creation. Increasing the level of public input during implementation is a key recommendation for the next action plan. </w:t>
      </w:r>
    </w:p>
    <w:p w14:paraId="78F0C0F8" w14:textId="1B50C3CB" w:rsidR="00EE2436" w:rsidRPr="005C5C45" w:rsidRDefault="00EE2436" w:rsidP="00B50220">
      <w:pPr>
        <w:pStyle w:val="Normalrglronly"/>
        <w:rPr>
          <w:color w:val="51A534" w:themeColor="accent2"/>
        </w:rPr>
      </w:pPr>
      <w:r w:rsidRPr="005C5C45">
        <w:rPr>
          <w:color w:val="000000" w:themeColor="text1"/>
        </w:rPr>
        <w:t>The NZ government published a draft self-assessment report on 19 July 2017, which remained open for public comment until 1 August 2017. The draft was advertised on govt.nz and invited feedback on the website, as well as through email and post. The finali</w:t>
      </w:r>
      <w:r w:rsidR="00A278C3">
        <w:rPr>
          <w:color w:val="000000" w:themeColor="text1"/>
        </w:rPr>
        <w:t>s</w:t>
      </w:r>
      <w:r w:rsidRPr="005C5C45">
        <w:rPr>
          <w:color w:val="000000" w:themeColor="text1"/>
        </w:rPr>
        <w:t>ed self-assessment report was published online on 2 October 2017.</w:t>
      </w:r>
      <w:r w:rsidRPr="005C5C45">
        <w:br w:type="page"/>
      </w:r>
    </w:p>
    <w:p w14:paraId="4727D3E4" w14:textId="77777777" w:rsidR="00122D60" w:rsidRPr="005C5C45" w:rsidRDefault="00122D60" w:rsidP="0052068E">
      <w:pPr>
        <w:pStyle w:val="Heading3"/>
      </w:pPr>
      <w:r w:rsidRPr="005C5C45">
        <w:lastRenderedPageBreak/>
        <w:t>Commitment Implementation</w:t>
      </w:r>
    </w:p>
    <w:p w14:paraId="5DF8BDF3" w14:textId="16F1C3DA" w:rsidR="00122D60" w:rsidRPr="005C5C45" w:rsidRDefault="00122D60" w:rsidP="00B50220">
      <w:pPr>
        <w:pStyle w:val="Normalrglronly"/>
      </w:pPr>
      <w:r w:rsidRPr="005C5C45">
        <w:t xml:space="preserve">As part of OGP participation, countries make commitments in a two-year action plan. The </w:t>
      </w:r>
      <w:r w:rsidR="00EE2436" w:rsidRPr="005C5C45">
        <w:t>New Zealand</w:t>
      </w:r>
      <w:r w:rsidR="004B3920" w:rsidRPr="005C5C45">
        <w:t xml:space="preserve"> </w:t>
      </w:r>
      <w:r w:rsidRPr="005C5C45">
        <w:t xml:space="preserve">action plan contains </w:t>
      </w:r>
      <w:r w:rsidR="00EE2436" w:rsidRPr="005C5C45">
        <w:t>seven</w:t>
      </w:r>
      <w:r w:rsidR="00361909" w:rsidRPr="005C5C45">
        <w:t xml:space="preserve"> </w:t>
      </w:r>
      <w:r w:rsidRPr="005C5C45">
        <w:t xml:space="preserve">commitments. </w:t>
      </w:r>
      <w:r w:rsidR="00EC0E15" w:rsidRPr="005C5C45">
        <w:t xml:space="preserve">Table 1 </w:t>
      </w:r>
      <w:r w:rsidRPr="005C5C45">
        <w:t>summari</w:t>
      </w:r>
      <w:r w:rsidR="00A56FC6">
        <w:t>s</w:t>
      </w:r>
      <w:r w:rsidRPr="005C5C45">
        <w:t>e</w:t>
      </w:r>
      <w:r w:rsidR="00EC0E15" w:rsidRPr="005C5C45">
        <w:t>s each commitment’s</w:t>
      </w:r>
      <w:r w:rsidRPr="005C5C45">
        <w:t xml:space="preserve"> level of completion</w:t>
      </w:r>
      <w:r w:rsidR="00EC0E15" w:rsidRPr="005C5C45">
        <w:t xml:space="preserve"> and </w:t>
      </w:r>
      <w:r w:rsidRPr="005C5C45">
        <w:t>potential impact</w:t>
      </w:r>
      <w:r w:rsidR="004B3920" w:rsidRPr="005C5C45">
        <w:t>. Table 2</w:t>
      </w:r>
      <w:r w:rsidRPr="005C5C45">
        <w:t xml:space="preserve"> </w:t>
      </w:r>
      <w:r w:rsidR="00EC0E15" w:rsidRPr="005C5C45">
        <w:t>provides a snapshot of progress for each commitment and recommends next steps. In some cases, s</w:t>
      </w:r>
      <w:r w:rsidRPr="005C5C45">
        <w:t xml:space="preserve">imilar commitments </w:t>
      </w:r>
      <w:r w:rsidR="00EC0E15" w:rsidRPr="005C5C45">
        <w:t>are</w:t>
      </w:r>
      <w:r w:rsidRPr="005C5C45">
        <w:t xml:space="preserve"> grouped and reordered to make reading easier.</w:t>
      </w:r>
    </w:p>
    <w:p w14:paraId="2A9BF13D" w14:textId="3F763E13" w:rsidR="00122D60" w:rsidRPr="005C5C45" w:rsidRDefault="00122D60" w:rsidP="00B50220">
      <w:pPr>
        <w:pStyle w:val="Normalrglronly"/>
      </w:pPr>
      <w:r w:rsidRPr="005C5C45">
        <w:t>Note that the IRM updated the criteria</w:t>
      </w:r>
      <w:r w:rsidR="00EC0E15" w:rsidRPr="005C5C45">
        <w:t xml:space="preserve"> for starred commitments</w:t>
      </w:r>
      <w:r w:rsidRPr="005C5C45">
        <w:t xml:space="preserve"> in early 2015 in order to raise the </w:t>
      </w:r>
      <w:r w:rsidR="007E5C24" w:rsidRPr="005C5C45">
        <w:t>standard</w:t>
      </w:r>
      <w:r w:rsidRPr="005C5C45">
        <w:t xml:space="preserve"> for model OGP commitments. </w:t>
      </w:r>
      <w:r w:rsidR="00B45971" w:rsidRPr="005C5C45">
        <w:t>Under th</w:t>
      </w:r>
      <w:r w:rsidR="009018FD" w:rsidRPr="005C5C45">
        <w:t>ese</w:t>
      </w:r>
      <w:r w:rsidR="00B45971" w:rsidRPr="005C5C45">
        <w:t xml:space="preserve"> </w:t>
      </w:r>
      <w:r w:rsidRPr="005C5C45">
        <w:t>criteria</w:t>
      </w:r>
      <w:r w:rsidR="00B45971" w:rsidRPr="005C5C45">
        <w:t>, commitments must be highly specific, relevant to OGP values, of transformative potential impact, and substantially completed or complete.</w:t>
      </w:r>
      <w:r w:rsidRPr="005C5C45">
        <w:t xml:space="preserve"> </w:t>
      </w:r>
      <w:r w:rsidR="003A5AEE" w:rsidRPr="005C5C45">
        <w:t>New Zealand</w:t>
      </w:r>
      <w:r w:rsidRPr="005C5C45">
        <w:t xml:space="preserve"> received </w:t>
      </w:r>
      <w:r w:rsidR="003A5AEE" w:rsidRPr="005C5C45">
        <w:t>one starred commitment</w:t>
      </w:r>
      <w:r w:rsidRPr="005C5C45">
        <w:t xml:space="preserve"> (</w:t>
      </w:r>
      <w:r w:rsidR="00A56FC6">
        <w:t>Commitment</w:t>
      </w:r>
      <w:r w:rsidR="003A5AEE" w:rsidRPr="005C5C45">
        <w:t xml:space="preserve"> 6</w:t>
      </w:r>
      <w:r w:rsidRPr="005C5C45">
        <w:t xml:space="preserve">). </w:t>
      </w:r>
    </w:p>
    <w:p w14:paraId="3B828275" w14:textId="0417F4E5" w:rsidR="00122D60" w:rsidRPr="005C5C45" w:rsidRDefault="00F4309D" w:rsidP="00122D60">
      <w:pPr>
        <w:pStyle w:val="Tableheader"/>
      </w:pPr>
      <w:r w:rsidRPr="005C5C45">
        <w:t xml:space="preserve">   </w:t>
      </w:r>
      <w:r w:rsidR="00122D60" w:rsidRPr="005C5C45">
        <w:t>Table 1: Assessment of Progress by Commitment</w:t>
      </w:r>
    </w:p>
    <w:tbl>
      <w:tblPr>
        <w:tblpPr w:leftFromText="180" w:rightFromText="180" w:vertAnchor="text" w:tblpXSpec="center" w:tblpY="1"/>
        <w:tblOverlap w:val="neve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7"/>
        <w:gridCol w:w="382"/>
        <w:gridCol w:w="383"/>
        <w:gridCol w:w="382"/>
        <w:gridCol w:w="383"/>
        <w:gridCol w:w="340"/>
        <w:gridCol w:w="425"/>
        <w:gridCol w:w="382"/>
        <w:gridCol w:w="386"/>
      </w:tblGrid>
      <w:tr w:rsidR="007E5C24" w:rsidRPr="005C5C45" w14:paraId="2834E1A2" w14:textId="77777777" w:rsidTr="00B50220">
        <w:trPr>
          <w:trHeight w:val="440"/>
          <w:jc w:val="center"/>
        </w:trPr>
        <w:tc>
          <w:tcPr>
            <w:tcW w:w="4947" w:type="dxa"/>
            <w:tcBorders>
              <w:top w:val="single" w:sz="4" w:space="0" w:color="auto"/>
              <w:left w:val="single" w:sz="4" w:space="0" w:color="auto"/>
              <w:bottom w:val="single" w:sz="4" w:space="0" w:color="auto"/>
              <w:right w:val="single" w:sz="4" w:space="0" w:color="auto"/>
            </w:tcBorders>
          </w:tcPr>
          <w:p w14:paraId="18D39F6B" w14:textId="77777777" w:rsidR="007E5C24" w:rsidRPr="005C5C45" w:rsidRDefault="007E5C24" w:rsidP="00B50220">
            <w:pPr>
              <w:pStyle w:val="Heading5"/>
            </w:pPr>
            <w:r w:rsidRPr="005C5C45">
              <w:t>COMMITMENT SHORT NAME</w:t>
            </w:r>
          </w:p>
        </w:tc>
        <w:tc>
          <w:tcPr>
            <w:tcW w:w="1530" w:type="dxa"/>
            <w:gridSpan w:val="4"/>
            <w:tcBorders>
              <w:top w:val="single" w:sz="4" w:space="0" w:color="auto"/>
              <w:left w:val="single" w:sz="4" w:space="0" w:color="auto"/>
              <w:bottom w:val="single" w:sz="4" w:space="0" w:color="auto"/>
              <w:right w:val="single" w:sz="4" w:space="0" w:color="auto"/>
            </w:tcBorders>
          </w:tcPr>
          <w:p w14:paraId="09978858" w14:textId="77777777" w:rsidR="007E5C24" w:rsidRPr="005C5C45" w:rsidRDefault="007E5C24" w:rsidP="00B50220">
            <w:pPr>
              <w:pStyle w:val="Heading5"/>
            </w:pPr>
            <w:r w:rsidRPr="005C5C45">
              <w:t>POTENTIAL IMPACT</w:t>
            </w:r>
          </w:p>
        </w:tc>
        <w:tc>
          <w:tcPr>
            <w:tcW w:w="1533" w:type="dxa"/>
            <w:gridSpan w:val="4"/>
            <w:tcBorders>
              <w:top w:val="single" w:sz="4" w:space="0" w:color="auto"/>
              <w:left w:val="single" w:sz="4" w:space="0" w:color="auto"/>
              <w:bottom w:val="single" w:sz="4" w:space="0" w:color="auto"/>
              <w:right w:val="single" w:sz="4" w:space="0" w:color="auto"/>
            </w:tcBorders>
          </w:tcPr>
          <w:p w14:paraId="15563B7D" w14:textId="77777777" w:rsidR="007E5C24" w:rsidRPr="005C5C45" w:rsidRDefault="007E5C24" w:rsidP="00B50220">
            <w:pPr>
              <w:pStyle w:val="Heading5"/>
            </w:pPr>
            <w:r w:rsidRPr="005C5C45">
              <w:t>LEVEL OF COMPLETION</w:t>
            </w:r>
          </w:p>
        </w:tc>
      </w:tr>
      <w:tr w:rsidR="007E5C24" w:rsidRPr="005C5C45" w14:paraId="57682551" w14:textId="77777777" w:rsidTr="00B50220">
        <w:trPr>
          <w:cantSplit/>
          <w:trHeight w:val="1872"/>
          <w:jc w:val="center"/>
        </w:trPr>
        <w:tc>
          <w:tcPr>
            <w:tcW w:w="4947" w:type="dxa"/>
            <w:tcBorders>
              <w:top w:val="single" w:sz="4" w:space="0" w:color="auto"/>
              <w:left w:val="single" w:sz="4" w:space="0" w:color="auto"/>
              <w:bottom w:val="single" w:sz="12" w:space="0" w:color="auto"/>
              <w:right w:val="single" w:sz="4" w:space="0" w:color="auto"/>
            </w:tcBorders>
          </w:tcPr>
          <w:p w14:paraId="0FC0D8AC" w14:textId="77777777" w:rsidR="007E5C24" w:rsidRPr="005C5C45" w:rsidRDefault="007E5C24" w:rsidP="00B50220">
            <w:pPr>
              <w:tabs>
                <w:tab w:val="clear" w:pos="2880"/>
              </w:tabs>
              <w:spacing w:after="160" w:line="259" w:lineRule="auto"/>
              <w:rPr>
                <w:smallCaps/>
              </w:rPr>
            </w:pPr>
            <w:r w:rsidRPr="005C5C45">
              <w:rPr>
                <w:smallCaps/>
                <w:sz w:val="20"/>
              </w:rPr>
              <w:t>✪ Commitment is measurable, clearly relevant to OGP values as written, has transformative potential impact, and is substantially or completely implemented.</w:t>
            </w:r>
          </w:p>
        </w:tc>
        <w:tc>
          <w:tcPr>
            <w:tcW w:w="382" w:type="dxa"/>
            <w:tcBorders>
              <w:top w:val="single" w:sz="4" w:space="0" w:color="auto"/>
              <w:left w:val="single" w:sz="4" w:space="0" w:color="auto"/>
              <w:bottom w:val="single" w:sz="12" w:space="0" w:color="auto"/>
              <w:right w:val="single" w:sz="4" w:space="0" w:color="auto"/>
            </w:tcBorders>
            <w:shd w:val="clear" w:color="auto" w:fill="2D527A" w:themeFill="text2" w:themeFillShade="BF"/>
            <w:textDirection w:val="btLr"/>
          </w:tcPr>
          <w:p w14:paraId="744509A2" w14:textId="77777777" w:rsidR="007E5C24" w:rsidRPr="005C5C45" w:rsidRDefault="007E5C24" w:rsidP="00B50220">
            <w:pPr>
              <w:pStyle w:val="Rowcolumntitles"/>
              <w:ind w:left="144"/>
              <w:rPr>
                <w:color w:val="FFFFFF"/>
                <w:sz w:val="18"/>
                <w:szCs w:val="19"/>
              </w:rPr>
            </w:pPr>
            <w:r w:rsidRPr="005C5C45">
              <w:rPr>
                <w:color w:val="FFFFFF"/>
                <w:sz w:val="18"/>
                <w:szCs w:val="19"/>
              </w:rPr>
              <w:t>NONE</w:t>
            </w:r>
          </w:p>
        </w:tc>
        <w:tc>
          <w:tcPr>
            <w:tcW w:w="383" w:type="dxa"/>
            <w:tcBorders>
              <w:top w:val="single" w:sz="4" w:space="0" w:color="auto"/>
              <w:left w:val="single" w:sz="4" w:space="0" w:color="auto"/>
              <w:bottom w:val="single" w:sz="12" w:space="0" w:color="auto"/>
              <w:right w:val="single" w:sz="4" w:space="0" w:color="auto"/>
            </w:tcBorders>
            <w:shd w:val="clear" w:color="auto" w:fill="2D527A" w:themeFill="text2" w:themeFillShade="BF"/>
            <w:textDirection w:val="btLr"/>
          </w:tcPr>
          <w:p w14:paraId="178F932D" w14:textId="77777777" w:rsidR="007E5C24" w:rsidRPr="005C5C45" w:rsidRDefault="007E5C24" w:rsidP="00B50220">
            <w:pPr>
              <w:pStyle w:val="Rowcolumntitles"/>
              <w:ind w:left="144"/>
              <w:rPr>
                <w:color w:val="FFFFFF"/>
                <w:sz w:val="18"/>
                <w:szCs w:val="19"/>
              </w:rPr>
            </w:pPr>
            <w:r w:rsidRPr="005C5C45">
              <w:rPr>
                <w:color w:val="FFFFFF"/>
                <w:sz w:val="18"/>
                <w:szCs w:val="19"/>
              </w:rPr>
              <w:t>MINOR</w:t>
            </w:r>
          </w:p>
        </w:tc>
        <w:tc>
          <w:tcPr>
            <w:tcW w:w="382" w:type="dxa"/>
            <w:tcBorders>
              <w:top w:val="single" w:sz="4" w:space="0" w:color="auto"/>
              <w:left w:val="single" w:sz="4" w:space="0" w:color="auto"/>
              <w:bottom w:val="single" w:sz="12" w:space="0" w:color="auto"/>
              <w:right w:val="single" w:sz="4" w:space="0" w:color="auto"/>
            </w:tcBorders>
            <w:shd w:val="clear" w:color="auto" w:fill="2D527A" w:themeFill="text2" w:themeFillShade="BF"/>
            <w:textDirection w:val="btLr"/>
          </w:tcPr>
          <w:p w14:paraId="7A0DDA9E" w14:textId="77777777" w:rsidR="007E5C24" w:rsidRPr="005C5C45" w:rsidRDefault="007E5C24" w:rsidP="00B50220">
            <w:pPr>
              <w:pStyle w:val="Rowcolumntitles"/>
              <w:ind w:left="144"/>
              <w:rPr>
                <w:color w:val="FFFFFF"/>
                <w:sz w:val="18"/>
                <w:szCs w:val="19"/>
              </w:rPr>
            </w:pPr>
            <w:r w:rsidRPr="005C5C45">
              <w:rPr>
                <w:color w:val="FFFFFF"/>
                <w:sz w:val="18"/>
                <w:szCs w:val="19"/>
              </w:rPr>
              <w:t>MODERATE</w:t>
            </w:r>
          </w:p>
        </w:tc>
        <w:tc>
          <w:tcPr>
            <w:tcW w:w="383" w:type="dxa"/>
            <w:tcBorders>
              <w:top w:val="single" w:sz="4" w:space="0" w:color="auto"/>
              <w:left w:val="single" w:sz="4" w:space="0" w:color="auto"/>
              <w:bottom w:val="single" w:sz="12" w:space="0" w:color="auto"/>
              <w:right w:val="single" w:sz="4" w:space="0" w:color="auto"/>
            </w:tcBorders>
            <w:shd w:val="clear" w:color="auto" w:fill="2D527A" w:themeFill="text2" w:themeFillShade="BF"/>
            <w:textDirection w:val="btLr"/>
          </w:tcPr>
          <w:p w14:paraId="0088E539" w14:textId="77777777" w:rsidR="007E5C24" w:rsidRPr="005C5C45" w:rsidRDefault="007E5C24" w:rsidP="00B50220">
            <w:pPr>
              <w:pStyle w:val="Rowcolumntitles"/>
              <w:ind w:left="144"/>
              <w:rPr>
                <w:color w:val="FFFFFF"/>
                <w:sz w:val="18"/>
                <w:szCs w:val="19"/>
              </w:rPr>
            </w:pPr>
            <w:r w:rsidRPr="005C5C45">
              <w:rPr>
                <w:color w:val="FFFFFF"/>
                <w:sz w:val="18"/>
                <w:szCs w:val="19"/>
              </w:rPr>
              <w:t>TRANSFORMATIVE</w:t>
            </w:r>
          </w:p>
        </w:tc>
        <w:tc>
          <w:tcPr>
            <w:tcW w:w="340" w:type="dxa"/>
            <w:tcBorders>
              <w:top w:val="single" w:sz="4" w:space="0" w:color="auto"/>
              <w:left w:val="single" w:sz="4" w:space="0" w:color="auto"/>
              <w:bottom w:val="single" w:sz="12" w:space="0" w:color="auto"/>
              <w:right w:val="single" w:sz="4" w:space="0" w:color="auto"/>
            </w:tcBorders>
            <w:shd w:val="clear" w:color="auto" w:fill="28521A" w:themeFill="accent2" w:themeFillShade="80"/>
            <w:textDirection w:val="btLr"/>
          </w:tcPr>
          <w:p w14:paraId="1ECE7F12" w14:textId="77777777" w:rsidR="007E5C24" w:rsidRPr="005C5C45" w:rsidRDefault="007E5C24" w:rsidP="00B50220">
            <w:pPr>
              <w:pStyle w:val="Rowcolumntitles"/>
              <w:ind w:left="144"/>
              <w:rPr>
                <w:color w:val="FFFFFF"/>
                <w:sz w:val="18"/>
                <w:szCs w:val="19"/>
              </w:rPr>
            </w:pPr>
            <w:r w:rsidRPr="005C5C45">
              <w:rPr>
                <w:color w:val="FFFFFF"/>
                <w:sz w:val="18"/>
                <w:szCs w:val="19"/>
              </w:rPr>
              <w:t>NOT STARTED</w:t>
            </w:r>
          </w:p>
        </w:tc>
        <w:tc>
          <w:tcPr>
            <w:tcW w:w="425" w:type="dxa"/>
            <w:tcBorders>
              <w:top w:val="single" w:sz="4" w:space="0" w:color="auto"/>
              <w:left w:val="single" w:sz="4" w:space="0" w:color="auto"/>
              <w:bottom w:val="single" w:sz="12" w:space="0" w:color="auto"/>
              <w:right w:val="single" w:sz="4" w:space="0" w:color="auto"/>
            </w:tcBorders>
            <w:shd w:val="clear" w:color="auto" w:fill="28521A" w:themeFill="accent2" w:themeFillShade="80"/>
            <w:textDirection w:val="btLr"/>
          </w:tcPr>
          <w:p w14:paraId="72ED9454" w14:textId="77777777" w:rsidR="007E5C24" w:rsidRPr="005C5C45" w:rsidRDefault="007E5C24" w:rsidP="00B50220">
            <w:pPr>
              <w:pStyle w:val="Rowcolumntitles"/>
              <w:ind w:left="144"/>
              <w:rPr>
                <w:color w:val="FFFFFF"/>
                <w:sz w:val="18"/>
                <w:szCs w:val="19"/>
              </w:rPr>
            </w:pPr>
            <w:r w:rsidRPr="005C5C45">
              <w:rPr>
                <w:color w:val="FFFFFF"/>
                <w:sz w:val="18"/>
                <w:szCs w:val="19"/>
              </w:rPr>
              <w:t>LIMITED</w:t>
            </w:r>
          </w:p>
        </w:tc>
        <w:tc>
          <w:tcPr>
            <w:tcW w:w="382" w:type="dxa"/>
            <w:tcBorders>
              <w:top w:val="single" w:sz="4" w:space="0" w:color="auto"/>
              <w:left w:val="single" w:sz="4" w:space="0" w:color="auto"/>
              <w:bottom w:val="single" w:sz="12" w:space="0" w:color="auto"/>
              <w:right w:val="single" w:sz="4" w:space="0" w:color="auto"/>
            </w:tcBorders>
            <w:shd w:val="clear" w:color="auto" w:fill="28521A" w:themeFill="accent2" w:themeFillShade="80"/>
            <w:textDirection w:val="btLr"/>
          </w:tcPr>
          <w:p w14:paraId="1F60481A" w14:textId="77777777" w:rsidR="007E5C24" w:rsidRPr="005C5C45" w:rsidRDefault="007E5C24" w:rsidP="00B50220">
            <w:pPr>
              <w:pStyle w:val="Rowcolumntitles"/>
              <w:ind w:left="144"/>
              <w:rPr>
                <w:color w:val="FFFFFF"/>
                <w:sz w:val="18"/>
                <w:szCs w:val="19"/>
              </w:rPr>
            </w:pPr>
            <w:r w:rsidRPr="005C5C45">
              <w:rPr>
                <w:color w:val="FFFFFF"/>
                <w:sz w:val="18"/>
                <w:szCs w:val="19"/>
              </w:rPr>
              <w:t>SUBSTANTIAL</w:t>
            </w:r>
          </w:p>
        </w:tc>
        <w:tc>
          <w:tcPr>
            <w:tcW w:w="386" w:type="dxa"/>
            <w:tcBorders>
              <w:top w:val="single" w:sz="4" w:space="0" w:color="auto"/>
              <w:left w:val="single" w:sz="4" w:space="0" w:color="auto"/>
              <w:bottom w:val="single" w:sz="12" w:space="0" w:color="auto"/>
              <w:right w:val="single" w:sz="4" w:space="0" w:color="auto"/>
            </w:tcBorders>
            <w:shd w:val="clear" w:color="auto" w:fill="28521A" w:themeFill="accent2" w:themeFillShade="80"/>
            <w:textDirection w:val="btLr"/>
          </w:tcPr>
          <w:p w14:paraId="4BBAC6C4" w14:textId="77777777" w:rsidR="007E5C24" w:rsidRPr="005C5C45" w:rsidRDefault="007E5C24" w:rsidP="00B50220">
            <w:pPr>
              <w:pStyle w:val="Rowcolumntitles"/>
              <w:ind w:left="144"/>
              <w:rPr>
                <w:color w:val="FFFFFF"/>
                <w:sz w:val="18"/>
                <w:szCs w:val="19"/>
              </w:rPr>
            </w:pPr>
            <w:r w:rsidRPr="005C5C45">
              <w:rPr>
                <w:color w:val="FFFFFF"/>
                <w:sz w:val="18"/>
                <w:szCs w:val="19"/>
              </w:rPr>
              <w:t>COMPLETE</w:t>
            </w:r>
          </w:p>
        </w:tc>
      </w:tr>
      <w:tr w:rsidR="007E5C24" w:rsidRPr="005C5C45" w14:paraId="1955C049" w14:textId="77777777" w:rsidTr="00B50220">
        <w:trPr>
          <w:trHeight w:val="231"/>
          <w:jc w:val="center"/>
        </w:trPr>
        <w:tc>
          <w:tcPr>
            <w:tcW w:w="4947" w:type="dxa"/>
            <w:tcBorders>
              <w:top w:val="single" w:sz="2" w:space="0" w:color="auto"/>
              <w:left w:val="single" w:sz="4" w:space="0" w:color="auto"/>
              <w:bottom w:val="single" w:sz="4" w:space="0" w:color="auto"/>
              <w:right w:val="single" w:sz="4" w:space="0" w:color="auto"/>
            </w:tcBorders>
          </w:tcPr>
          <w:p w14:paraId="516C85A4" w14:textId="77777777" w:rsidR="007E5C24" w:rsidRPr="005C5C45" w:rsidRDefault="007E5C24" w:rsidP="00B50220">
            <w:pPr>
              <w:pStyle w:val="Rowcolumntitles"/>
              <w:rPr>
                <w:b/>
              </w:rPr>
            </w:pPr>
            <w:r w:rsidRPr="005C5C45">
              <w:rPr>
                <w:b/>
              </w:rPr>
              <w:t>1.</w:t>
            </w:r>
            <w:r w:rsidR="00EF43C7" w:rsidRPr="005C5C45">
              <w:rPr>
                <w:b/>
              </w:rPr>
              <w:t xml:space="preserve"> Open Budget</w:t>
            </w:r>
            <w:r w:rsidRPr="005C5C45">
              <w:rPr>
                <w:b/>
              </w:rPr>
              <w:t xml:space="preserve"> </w:t>
            </w:r>
          </w:p>
        </w:tc>
        <w:tc>
          <w:tcPr>
            <w:tcW w:w="382" w:type="dxa"/>
            <w:tcBorders>
              <w:top w:val="single" w:sz="2" w:space="0" w:color="auto"/>
              <w:left w:val="single" w:sz="4" w:space="0" w:color="auto"/>
              <w:bottom w:val="single" w:sz="4" w:space="0" w:color="auto"/>
              <w:right w:val="single" w:sz="4" w:space="0" w:color="auto"/>
            </w:tcBorders>
            <w:shd w:val="clear" w:color="auto" w:fill="2D527A" w:themeFill="text2" w:themeFillShade="BF"/>
          </w:tcPr>
          <w:p w14:paraId="4B4FD006" w14:textId="77777777" w:rsidR="007E5C24" w:rsidRPr="005C5C45" w:rsidRDefault="007E5C24" w:rsidP="00B50220">
            <w:pPr>
              <w:pStyle w:val="Rowcolumntitles"/>
              <w:rPr>
                <w:rFonts w:cs="Didot"/>
                <w:sz w:val="20"/>
              </w:rPr>
            </w:pPr>
          </w:p>
        </w:tc>
        <w:tc>
          <w:tcPr>
            <w:tcW w:w="383" w:type="dxa"/>
            <w:tcBorders>
              <w:top w:val="single" w:sz="2" w:space="0" w:color="auto"/>
              <w:left w:val="single" w:sz="4" w:space="0" w:color="auto"/>
              <w:bottom w:val="single" w:sz="4" w:space="0" w:color="auto"/>
              <w:right w:val="single" w:sz="4" w:space="0" w:color="auto"/>
            </w:tcBorders>
            <w:shd w:val="clear" w:color="auto" w:fill="2D527A" w:themeFill="text2" w:themeFillShade="BF"/>
          </w:tcPr>
          <w:p w14:paraId="4FEC6227" w14:textId="77777777" w:rsidR="007E5C24" w:rsidRPr="005C5C45" w:rsidRDefault="007E5C24" w:rsidP="00B50220">
            <w:pPr>
              <w:pStyle w:val="Rowcolumntitles"/>
              <w:rPr>
                <w:rFonts w:cs="Didot"/>
                <w:sz w:val="20"/>
                <w:highlight w:val="yellow"/>
              </w:rPr>
            </w:pPr>
          </w:p>
        </w:tc>
        <w:tc>
          <w:tcPr>
            <w:tcW w:w="382" w:type="dxa"/>
            <w:tcBorders>
              <w:top w:val="single" w:sz="2" w:space="0" w:color="auto"/>
              <w:left w:val="single" w:sz="4" w:space="0" w:color="auto"/>
              <w:bottom w:val="single" w:sz="4" w:space="0" w:color="auto"/>
              <w:right w:val="single" w:sz="4" w:space="0" w:color="auto"/>
            </w:tcBorders>
            <w:shd w:val="clear" w:color="auto" w:fill="2D527A" w:themeFill="text2" w:themeFillShade="BF"/>
          </w:tcPr>
          <w:p w14:paraId="3A7E4231" w14:textId="77777777" w:rsidR="007E5C24" w:rsidRPr="005C5C45" w:rsidRDefault="007E5C24" w:rsidP="00B50220">
            <w:pPr>
              <w:pStyle w:val="Rowcolumntitles"/>
              <w:rPr>
                <w:rFonts w:cs="Didot"/>
                <w:sz w:val="20"/>
                <w:highlight w:val="yellow"/>
              </w:rPr>
            </w:pPr>
          </w:p>
        </w:tc>
        <w:tc>
          <w:tcPr>
            <w:tcW w:w="383" w:type="dxa"/>
            <w:tcBorders>
              <w:top w:val="single" w:sz="2" w:space="0" w:color="auto"/>
              <w:left w:val="single" w:sz="4" w:space="0" w:color="auto"/>
              <w:bottom w:val="single" w:sz="4" w:space="0" w:color="auto"/>
              <w:right w:val="single" w:sz="4" w:space="0" w:color="auto"/>
            </w:tcBorders>
            <w:shd w:val="clear" w:color="auto" w:fill="auto"/>
          </w:tcPr>
          <w:p w14:paraId="18BE2B58" w14:textId="77777777" w:rsidR="007E5C24" w:rsidRPr="005C5C45" w:rsidRDefault="007E5C24" w:rsidP="00B50220">
            <w:pPr>
              <w:pStyle w:val="Rowcolumntitles"/>
              <w:rPr>
                <w:rFonts w:cs="Didot"/>
                <w:sz w:val="20"/>
                <w:highlight w:val="yellow"/>
              </w:rPr>
            </w:pPr>
          </w:p>
        </w:tc>
        <w:tc>
          <w:tcPr>
            <w:tcW w:w="340" w:type="dxa"/>
            <w:tcBorders>
              <w:top w:val="single" w:sz="2" w:space="0" w:color="auto"/>
              <w:left w:val="single" w:sz="4" w:space="0" w:color="auto"/>
              <w:bottom w:val="single" w:sz="4" w:space="0" w:color="auto"/>
              <w:right w:val="single" w:sz="4" w:space="0" w:color="auto"/>
            </w:tcBorders>
            <w:shd w:val="clear" w:color="auto" w:fill="28521A" w:themeFill="accent2" w:themeFillShade="80"/>
          </w:tcPr>
          <w:p w14:paraId="529184C4" w14:textId="77777777" w:rsidR="007E5C24" w:rsidRPr="005C5C45" w:rsidRDefault="007E5C24" w:rsidP="00B50220">
            <w:pPr>
              <w:pStyle w:val="Rowcolumntitles"/>
              <w:rPr>
                <w:rFonts w:cs="Didot"/>
                <w:sz w:val="20"/>
                <w:highlight w:val="yellow"/>
              </w:rPr>
            </w:pPr>
          </w:p>
        </w:tc>
        <w:tc>
          <w:tcPr>
            <w:tcW w:w="425" w:type="dxa"/>
            <w:tcBorders>
              <w:top w:val="single" w:sz="2" w:space="0" w:color="auto"/>
              <w:left w:val="single" w:sz="4" w:space="0" w:color="auto"/>
              <w:bottom w:val="single" w:sz="4" w:space="0" w:color="auto"/>
              <w:right w:val="single" w:sz="4" w:space="0" w:color="auto"/>
            </w:tcBorders>
            <w:shd w:val="clear" w:color="auto" w:fill="28521A" w:themeFill="accent2" w:themeFillShade="80"/>
          </w:tcPr>
          <w:p w14:paraId="339F3D14" w14:textId="77777777" w:rsidR="007E5C24" w:rsidRPr="005C5C45" w:rsidRDefault="007E5C24" w:rsidP="00B50220">
            <w:pPr>
              <w:pStyle w:val="Rowcolumntitles"/>
              <w:rPr>
                <w:rFonts w:cs="Didot"/>
                <w:sz w:val="20"/>
                <w:highlight w:val="yellow"/>
              </w:rPr>
            </w:pPr>
          </w:p>
        </w:tc>
        <w:tc>
          <w:tcPr>
            <w:tcW w:w="382" w:type="dxa"/>
            <w:tcBorders>
              <w:top w:val="single" w:sz="2" w:space="0" w:color="auto"/>
              <w:left w:val="single" w:sz="4" w:space="0" w:color="auto"/>
              <w:bottom w:val="single" w:sz="4" w:space="0" w:color="auto"/>
              <w:right w:val="single" w:sz="4" w:space="0" w:color="auto"/>
            </w:tcBorders>
            <w:shd w:val="clear" w:color="auto" w:fill="28521A" w:themeFill="accent2" w:themeFillShade="80"/>
          </w:tcPr>
          <w:p w14:paraId="7EF6F4FD" w14:textId="77777777" w:rsidR="007E5C24" w:rsidRPr="005C5C45" w:rsidRDefault="007E5C24" w:rsidP="00B50220">
            <w:pPr>
              <w:pStyle w:val="Rowcolumntitles"/>
              <w:rPr>
                <w:rFonts w:cs="Didot"/>
                <w:sz w:val="20"/>
                <w:highlight w:val="yellow"/>
              </w:rPr>
            </w:pPr>
          </w:p>
        </w:tc>
        <w:tc>
          <w:tcPr>
            <w:tcW w:w="386" w:type="dxa"/>
            <w:tcBorders>
              <w:top w:val="single" w:sz="2" w:space="0" w:color="auto"/>
              <w:left w:val="single" w:sz="4" w:space="0" w:color="auto"/>
              <w:bottom w:val="single" w:sz="4" w:space="0" w:color="auto"/>
              <w:right w:val="single" w:sz="4" w:space="0" w:color="auto"/>
            </w:tcBorders>
            <w:shd w:val="clear" w:color="auto" w:fill="auto"/>
          </w:tcPr>
          <w:p w14:paraId="63218E1C" w14:textId="77777777" w:rsidR="007E5C24" w:rsidRPr="005C5C45" w:rsidRDefault="007E5C24" w:rsidP="00B50220">
            <w:pPr>
              <w:pStyle w:val="Rowcolumntitles"/>
              <w:rPr>
                <w:rFonts w:cs="Didot"/>
                <w:sz w:val="20"/>
                <w:highlight w:val="yellow"/>
              </w:rPr>
            </w:pPr>
          </w:p>
        </w:tc>
      </w:tr>
      <w:tr w:rsidR="007E5C24" w:rsidRPr="005C5C45" w14:paraId="3D5C0D8C" w14:textId="77777777" w:rsidTr="00B50220">
        <w:trPr>
          <w:trHeight w:val="151"/>
          <w:jc w:val="center"/>
        </w:trPr>
        <w:tc>
          <w:tcPr>
            <w:tcW w:w="4947" w:type="dxa"/>
            <w:tcBorders>
              <w:top w:val="single" w:sz="4" w:space="0" w:color="auto"/>
              <w:left w:val="single" w:sz="4" w:space="0" w:color="auto"/>
              <w:bottom w:val="single" w:sz="4" w:space="0" w:color="auto"/>
              <w:right w:val="single" w:sz="4" w:space="0" w:color="auto"/>
            </w:tcBorders>
          </w:tcPr>
          <w:p w14:paraId="09BE6A85" w14:textId="77777777" w:rsidR="007E5C24" w:rsidRPr="005C5C45" w:rsidRDefault="00EF43C7" w:rsidP="00B50220">
            <w:pPr>
              <w:pStyle w:val="Rowcolumntitles"/>
              <w:rPr>
                <w:b/>
              </w:rPr>
            </w:pPr>
            <w:r w:rsidRPr="005C5C45">
              <w:rPr>
                <w:b/>
              </w:rPr>
              <w:t>2. Improving official information practices</w:t>
            </w:r>
          </w:p>
        </w:tc>
        <w:tc>
          <w:tcPr>
            <w:tcW w:w="382" w:type="dxa"/>
            <w:tcBorders>
              <w:top w:val="single" w:sz="4" w:space="0" w:color="auto"/>
              <w:left w:val="single" w:sz="4" w:space="0" w:color="auto"/>
              <w:bottom w:val="single" w:sz="4" w:space="0" w:color="auto"/>
              <w:right w:val="single" w:sz="4" w:space="0" w:color="auto"/>
            </w:tcBorders>
            <w:shd w:val="clear" w:color="auto" w:fill="2D527A" w:themeFill="text2" w:themeFillShade="BF"/>
          </w:tcPr>
          <w:p w14:paraId="6909140E" w14:textId="77777777" w:rsidR="007E5C24" w:rsidRPr="005C5C45" w:rsidRDefault="007E5C24" w:rsidP="00B50220">
            <w:pPr>
              <w:pStyle w:val="Rowcolumntitles"/>
              <w:rPr>
                <w:rFonts w:cs="Didot"/>
                <w:sz w:val="20"/>
              </w:rPr>
            </w:pPr>
          </w:p>
        </w:tc>
        <w:tc>
          <w:tcPr>
            <w:tcW w:w="383" w:type="dxa"/>
            <w:tcBorders>
              <w:top w:val="single" w:sz="4" w:space="0" w:color="auto"/>
              <w:left w:val="single" w:sz="4" w:space="0" w:color="auto"/>
              <w:bottom w:val="single" w:sz="4" w:space="0" w:color="auto"/>
              <w:right w:val="single" w:sz="4" w:space="0" w:color="auto"/>
            </w:tcBorders>
            <w:shd w:val="clear" w:color="auto" w:fill="2D527A" w:themeFill="text2" w:themeFillShade="BF"/>
          </w:tcPr>
          <w:p w14:paraId="1C534F94" w14:textId="77777777" w:rsidR="007E5C24" w:rsidRPr="005C5C45" w:rsidRDefault="007E5C24" w:rsidP="00B50220">
            <w:pPr>
              <w:pStyle w:val="Rowcolumntitles"/>
              <w:rPr>
                <w:rFonts w:cs="Didot"/>
                <w:sz w:val="20"/>
                <w:highlight w:val="yellow"/>
              </w:rPr>
            </w:pPr>
          </w:p>
        </w:tc>
        <w:tc>
          <w:tcPr>
            <w:tcW w:w="382" w:type="dxa"/>
            <w:tcBorders>
              <w:top w:val="single" w:sz="4" w:space="0" w:color="auto"/>
              <w:left w:val="single" w:sz="4" w:space="0" w:color="auto"/>
              <w:bottom w:val="single" w:sz="4" w:space="0" w:color="auto"/>
              <w:right w:val="single" w:sz="4" w:space="0" w:color="auto"/>
            </w:tcBorders>
            <w:shd w:val="clear" w:color="auto" w:fill="2D527A" w:themeFill="text2" w:themeFillShade="BF"/>
          </w:tcPr>
          <w:p w14:paraId="4320A939" w14:textId="77777777" w:rsidR="007E5C24" w:rsidRPr="005C5C45" w:rsidRDefault="007E5C24" w:rsidP="00B50220">
            <w:pPr>
              <w:pStyle w:val="Rowcolumntitles"/>
              <w:rPr>
                <w:rFonts w:cs="Didot"/>
                <w:sz w:val="20"/>
                <w:highlight w:val="yellow"/>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5708BBFC" w14:textId="77777777" w:rsidR="007E5C24" w:rsidRPr="005C5C45" w:rsidRDefault="007E5C24" w:rsidP="00B50220">
            <w:pPr>
              <w:pStyle w:val="Rowcolumntitles"/>
              <w:rPr>
                <w:rFonts w:cs="Didot"/>
                <w:sz w:val="20"/>
                <w:highlight w:val="yellow"/>
              </w:rPr>
            </w:pPr>
          </w:p>
        </w:tc>
        <w:tc>
          <w:tcPr>
            <w:tcW w:w="340" w:type="dxa"/>
            <w:tcBorders>
              <w:top w:val="single" w:sz="4" w:space="0" w:color="auto"/>
              <w:left w:val="single" w:sz="4" w:space="0" w:color="auto"/>
              <w:bottom w:val="single" w:sz="4" w:space="0" w:color="auto"/>
              <w:right w:val="single" w:sz="4" w:space="0" w:color="auto"/>
            </w:tcBorders>
            <w:shd w:val="clear" w:color="auto" w:fill="28521A" w:themeFill="accent2" w:themeFillShade="80"/>
          </w:tcPr>
          <w:p w14:paraId="052088F1" w14:textId="77777777" w:rsidR="007E5C24" w:rsidRPr="005C5C45" w:rsidRDefault="007E5C24" w:rsidP="00B50220">
            <w:pPr>
              <w:pStyle w:val="Rowcolumntitles"/>
              <w:rPr>
                <w:rFonts w:cs="Didot"/>
                <w:sz w:val="20"/>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28521A" w:themeFill="accent2" w:themeFillShade="80"/>
          </w:tcPr>
          <w:p w14:paraId="4C324996" w14:textId="77777777" w:rsidR="007E5C24" w:rsidRPr="005C5C45" w:rsidRDefault="007E5C24" w:rsidP="00B50220">
            <w:pPr>
              <w:pStyle w:val="Rowcolumntitles"/>
              <w:rPr>
                <w:rFonts w:cs="Didot"/>
                <w:sz w:val="20"/>
                <w:highlight w:val="yellow"/>
              </w:rPr>
            </w:pPr>
          </w:p>
        </w:tc>
        <w:tc>
          <w:tcPr>
            <w:tcW w:w="382" w:type="dxa"/>
            <w:tcBorders>
              <w:top w:val="single" w:sz="4" w:space="0" w:color="auto"/>
              <w:left w:val="single" w:sz="4" w:space="0" w:color="auto"/>
              <w:bottom w:val="single" w:sz="4" w:space="0" w:color="auto"/>
              <w:right w:val="single" w:sz="4" w:space="0" w:color="auto"/>
            </w:tcBorders>
            <w:shd w:val="clear" w:color="auto" w:fill="28521A" w:themeFill="accent2" w:themeFillShade="80"/>
          </w:tcPr>
          <w:p w14:paraId="403DD6A2" w14:textId="77777777" w:rsidR="007E5C24" w:rsidRPr="005C5C45" w:rsidRDefault="007E5C24" w:rsidP="00B50220">
            <w:pPr>
              <w:pStyle w:val="Rowcolumntitles"/>
              <w:rPr>
                <w:rFonts w:cs="Didot"/>
                <w:sz w:val="20"/>
                <w:highlight w:val="yellow"/>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tcPr>
          <w:p w14:paraId="1F5FE835" w14:textId="77777777" w:rsidR="007E5C24" w:rsidRPr="005C5C45" w:rsidRDefault="007E5C24" w:rsidP="00B50220">
            <w:pPr>
              <w:pStyle w:val="Rowcolumntitles"/>
              <w:rPr>
                <w:rFonts w:cs="Didot"/>
                <w:sz w:val="20"/>
                <w:highlight w:val="yellow"/>
              </w:rPr>
            </w:pPr>
          </w:p>
        </w:tc>
      </w:tr>
      <w:tr w:rsidR="007E5C24" w:rsidRPr="005C5C45" w14:paraId="0884C732" w14:textId="77777777" w:rsidTr="00B50220">
        <w:trPr>
          <w:trHeight w:val="413"/>
          <w:jc w:val="center"/>
        </w:trPr>
        <w:tc>
          <w:tcPr>
            <w:tcW w:w="4947" w:type="dxa"/>
            <w:tcBorders>
              <w:top w:val="single" w:sz="4" w:space="0" w:color="auto"/>
              <w:left w:val="single" w:sz="4" w:space="0" w:color="auto"/>
              <w:bottom w:val="single" w:sz="4" w:space="0" w:color="auto"/>
              <w:right w:val="single" w:sz="4" w:space="0" w:color="auto"/>
            </w:tcBorders>
          </w:tcPr>
          <w:p w14:paraId="0F809AF7" w14:textId="77777777" w:rsidR="007E5C24" w:rsidRPr="005C5C45" w:rsidRDefault="00EF43C7" w:rsidP="00B50220">
            <w:pPr>
              <w:pStyle w:val="Rowcolumntitles"/>
              <w:rPr>
                <w:b/>
              </w:rPr>
            </w:pPr>
            <w:r w:rsidRPr="005C5C45">
              <w:rPr>
                <w:b/>
              </w:rPr>
              <w:t>3. Improving open data access and practices</w:t>
            </w:r>
          </w:p>
        </w:tc>
        <w:tc>
          <w:tcPr>
            <w:tcW w:w="382" w:type="dxa"/>
            <w:tcBorders>
              <w:top w:val="single" w:sz="4" w:space="0" w:color="auto"/>
              <w:left w:val="single" w:sz="4" w:space="0" w:color="auto"/>
              <w:bottom w:val="single" w:sz="4" w:space="0" w:color="auto"/>
              <w:right w:val="single" w:sz="4" w:space="0" w:color="auto"/>
            </w:tcBorders>
            <w:shd w:val="clear" w:color="auto" w:fill="2D527A" w:themeFill="text2" w:themeFillShade="BF"/>
          </w:tcPr>
          <w:p w14:paraId="53C5A6CF" w14:textId="77777777" w:rsidR="007E5C24" w:rsidRPr="005C5C45" w:rsidRDefault="007E5C24" w:rsidP="00B50220">
            <w:pPr>
              <w:pStyle w:val="Rowcolumntitles"/>
              <w:rPr>
                <w:rFonts w:cs="Didot"/>
                <w:sz w:val="20"/>
              </w:rPr>
            </w:pPr>
          </w:p>
        </w:tc>
        <w:tc>
          <w:tcPr>
            <w:tcW w:w="383" w:type="dxa"/>
            <w:tcBorders>
              <w:top w:val="single" w:sz="4" w:space="0" w:color="auto"/>
              <w:left w:val="single" w:sz="4" w:space="0" w:color="auto"/>
              <w:bottom w:val="single" w:sz="4" w:space="0" w:color="auto"/>
              <w:right w:val="single" w:sz="4" w:space="0" w:color="auto"/>
            </w:tcBorders>
            <w:shd w:val="clear" w:color="auto" w:fill="2D527A" w:themeFill="text2" w:themeFillShade="BF"/>
          </w:tcPr>
          <w:p w14:paraId="609D2C10" w14:textId="77777777" w:rsidR="007E5C24" w:rsidRPr="005C5C45" w:rsidRDefault="007E5C24" w:rsidP="00B50220">
            <w:pPr>
              <w:pStyle w:val="Rowcolumntitles"/>
              <w:rPr>
                <w:rFonts w:cs="Didot"/>
                <w:sz w:val="20"/>
                <w:highlight w:val="yellow"/>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08B04BFD" w14:textId="77777777" w:rsidR="007E5C24" w:rsidRPr="005C5C45" w:rsidRDefault="007E5C24" w:rsidP="00B50220">
            <w:pPr>
              <w:pStyle w:val="Rowcolumntitles"/>
              <w:rPr>
                <w:rFonts w:cs="Didot"/>
                <w:sz w:val="20"/>
                <w:highlight w:val="yellow"/>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6E5FEB25" w14:textId="77777777" w:rsidR="007E5C24" w:rsidRPr="005C5C45" w:rsidRDefault="007E5C24" w:rsidP="00B50220">
            <w:pPr>
              <w:pStyle w:val="Rowcolumntitles"/>
              <w:rPr>
                <w:rFonts w:cs="Didot"/>
                <w:sz w:val="20"/>
                <w:highlight w:val="yellow"/>
              </w:rPr>
            </w:pPr>
          </w:p>
        </w:tc>
        <w:tc>
          <w:tcPr>
            <w:tcW w:w="340" w:type="dxa"/>
            <w:tcBorders>
              <w:top w:val="single" w:sz="4" w:space="0" w:color="auto"/>
              <w:left w:val="single" w:sz="4" w:space="0" w:color="auto"/>
              <w:bottom w:val="single" w:sz="4" w:space="0" w:color="auto"/>
              <w:right w:val="single" w:sz="4" w:space="0" w:color="auto"/>
            </w:tcBorders>
            <w:shd w:val="clear" w:color="auto" w:fill="28521A" w:themeFill="accent2" w:themeFillShade="80"/>
          </w:tcPr>
          <w:p w14:paraId="70CCDA28" w14:textId="77777777" w:rsidR="007E5C24" w:rsidRPr="005C5C45" w:rsidRDefault="007E5C24" w:rsidP="00B50220">
            <w:pPr>
              <w:pStyle w:val="Rowcolumntitles"/>
              <w:rPr>
                <w:rFonts w:cs="Didot"/>
                <w:sz w:val="20"/>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28521A" w:themeFill="accent2" w:themeFillShade="80"/>
          </w:tcPr>
          <w:p w14:paraId="7DDA2A23" w14:textId="77777777" w:rsidR="007E5C24" w:rsidRPr="005C5C45" w:rsidRDefault="007E5C24" w:rsidP="00B50220">
            <w:pPr>
              <w:pStyle w:val="Rowcolumntitles"/>
              <w:rPr>
                <w:rFonts w:cs="Didot"/>
                <w:sz w:val="20"/>
                <w:highlight w:val="yellow"/>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358F796D" w14:textId="77777777" w:rsidR="007E5C24" w:rsidRPr="005C5C45" w:rsidRDefault="007E5C24" w:rsidP="00B50220">
            <w:pPr>
              <w:pStyle w:val="Rowcolumntitles"/>
              <w:rPr>
                <w:rFonts w:cs="Didot"/>
                <w:sz w:val="20"/>
                <w:highlight w:val="yellow"/>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tcPr>
          <w:p w14:paraId="5C32160D" w14:textId="77777777" w:rsidR="007E5C24" w:rsidRPr="005C5C45" w:rsidRDefault="007E5C24" w:rsidP="00B50220">
            <w:pPr>
              <w:pStyle w:val="Rowcolumntitles"/>
              <w:rPr>
                <w:rFonts w:cs="Didot"/>
                <w:sz w:val="20"/>
                <w:highlight w:val="yellow"/>
              </w:rPr>
            </w:pPr>
          </w:p>
        </w:tc>
      </w:tr>
      <w:tr w:rsidR="007E5C24" w:rsidRPr="005C5C45" w14:paraId="3F7B41FE" w14:textId="77777777" w:rsidTr="00B50220">
        <w:trPr>
          <w:trHeight w:val="206"/>
          <w:jc w:val="center"/>
        </w:trPr>
        <w:tc>
          <w:tcPr>
            <w:tcW w:w="4947" w:type="dxa"/>
            <w:tcBorders>
              <w:top w:val="single" w:sz="4" w:space="0" w:color="auto"/>
              <w:left w:val="single" w:sz="4" w:space="0" w:color="auto"/>
              <w:bottom w:val="single" w:sz="4" w:space="0" w:color="auto"/>
              <w:right w:val="single" w:sz="4" w:space="0" w:color="auto"/>
            </w:tcBorders>
          </w:tcPr>
          <w:p w14:paraId="68DA6DCD" w14:textId="77777777" w:rsidR="007E5C24" w:rsidRPr="005C5C45" w:rsidRDefault="00EF43C7" w:rsidP="00B50220">
            <w:pPr>
              <w:pStyle w:val="Rowcolumntitles"/>
              <w:rPr>
                <w:b/>
              </w:rPr>
            </w:pPr>
            <w:r w:rsidRPr="005C5C45">
              <w:rPr>
                <w:b/>
              </w:rPr>
              <w:t>4. Tracking progress and outcomes of open government data release</w:t>
            </w:r>
          </w:p>
        </w:tc>
        <w:tc>
          <w:tcPr>
            <w:tcW w:w="382" w:type="dxa"/>
            <w:tcBorders>
              <w:top w:val="single" w:sz="4" w:space="0" w:color="auto"/>
              <w:left w:val="single" w:sz="4" w:space="0" w:color="auto"/>
              <w:bottom w:val="single" w:sz="4" w:space="0" w:color="auto"/>
              <w:right w:val="single" w:sz="4" w:space="0" w:color="auto"/>
            </w:tcBorders>
            <w:shd w:val="clear" w:color="auto" w:fill="2D527A" w:themeFill="text2" w:themeFillShade="BF"/>
          </w:tcPr>
          <w:p w14:paraId="1EB34ADC" w14:textId="77777777" w:rsidR="007E5C24" w:rsidRPr="005C5C45" w:rsidRDefault="007E5C24" w:rsidP="00B50220">
            <w:pPr>
              <w:pStyle w:val="Rowcolumntitles"/>
              <w:rPr>
                <w:rFonts w:cs="Didot"/>
                <w:sz w:val="20"/>
              </w:rPr>
            </w:pPr>
          </w:p>
        </w:tc>
        <w:tc>
          <w:tcPr>
            <w:tcW w:w="383" w:type="dxa"/>
            <w:tcBorders>
              <w:top w:val="single" w:sz="4" w:space="0" w:color="auto"/>
              <w:left w:val="single" w:sz="4" w:space="0" w:color="auto"/>
              <w:bottom w:val="single" w:sz="4" w:space="0" w:color="auto"/>
              <w:right w:val="single" w:sz="4" w:space="0" w:color="auto"/>
            </w:tcBorders>
            <w:shd w:val="clear" w:color="auto" w:fill="2D527A" w:themeFill="text2" w:themeFillShade="BF"/>
          </w:tcPr>
          <w:p w14:paraId="5F4B9749" w14:textId="77777777" w:rsidR="007E5C24" w:rsidRPr="005C5C45" w:rsidRDefault="007E5C24" w:rsidP="00B50220">
            <w:pPr>
              <w:pStyle w:val="Rowcolumntitles"/>
              <w:rPr>
                <w:rFonts w:cs="Didot"/>
                <w:sz w:val="20"/>
                <w:highlight w:val="yellow"/>
              </w:rPr>
            </w:pPr>
          </w:p>
        </w:tc>
        <w:tc>
          <w:tcPr>
            <w:tcW w:w="382" w:type="dxa"/>
            <w:tcBorders>
              <w:top w:val="single" w:sz="4" w:space="0" w:color="auto"/>
              <w:left w:val="single" w:sz="4" w:space="0" w:color="auto"/>
              <w:bottom w:val="single" w:sz="4" w:space="0" w:color="auto"/>
              <w:right w:val="single" w:sz="4" w:space="0" w:color="auto"/>
            </w:tcBorders>
            <w:shd w:val="clear" w:color="auto" w:fill="2D527A" w:themeFill="text2" w:themeFillShade="BF"/>
          </w:tcPr>
          <w:p w14:paraId="71F7C2A7" w14:textId="77777777" w:rsidR="007E5C24" w:rsidRPr="005C5C45" w:rsidRDefault="007E5C24" w:rsidP="00B50220">
            <w:pPr>
              <w:pStyle w:val="Rowcolumntitles"/>
              <w:rPr>
                <w:rFonts w:cs="Didot"/>
                <w:sz w:val="20"/>
                <w:highlight w:val="yellow"/>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48F37987" w14:textId="77777777" w:rsidR="007E5C24" w:rsidRPr="005C5C45" w:rsidRDefault="007E5C24" w:rsidP="00B50220">
            <w:pPr>
              <w:pStyle w:val="Rowcolumntitles"/>
              <w:rPr>
                <w:rFonts w:cs="Didot"/>
                <w:sz w:val="20"/>
                <w:highlight w:val="yellow"/>
              </w:rPr>
            </w:pPr>
          </w:p>
        </w:tc>
        <w:tc>
          <w:tcPr>
            <w:tcW w:w="340" w:type="dxa"/>
            <w:tcBorders>
              <w:top w:val="single" w:sz="4" w:space="0" w:color="auto"/>
              <w:left w:val="single" w:sz="4" w:space="0" w:color="auto"/>
              <w:bottom w:val="single" w:sz="4" w:space="0" w:color="auto"/>
              <w:right w:val="single" w:sz="4" w:space="0" w:color="auto"/>
            </w:tcBorders>
            <w:shd w:val="clear" w:color="auto" w:fill="28521A" w:themeFill="accent2" w:themeFillShade="80"/>
          </w:tcPr>
          <w:p w14:paraId="3F8A096F" w14:textId="77777777" w:rsidR="007E5C24" w:rsidRPr="005C5C45" w:rsidRDefault="007E5C24" w:rsidP="00B50220">
            <w:pPr>
              <w:pStyle w:val="Rowcolumntitles"/>
              <w:rPr>
                <w:rFonts w:cs="Didot"/>
                <w:sz w:val="20"/>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28521A" w:themeFill="accent2" w:themeFillShade="80"/>
          </w:tcPr>
          <w:p w14:paraId="2D98B58D" w14:textId="77777777" w:rsidR="007E5C24" w:rsidRPr="005C5C45" w:rsidRDefault="007E5C24" w:rsidP="00B50220">
            <w:pPr>
              <w:pStyle w:val="Rowcolumntitles"/>
              <w:rPr>
                <w:rFonts w:cs="Didot"/>
                <w:sz w:val="20"/>
                <w:highlight w:val="yellow"/>
              </w:rPr>
            </w:pPr>
          </w:p>
        </w:tc>
        <w:tc>
          <w:tcPr>
            <w:tcW w:w="382" w:type="dxa"/>
            <w:tcBorders>
              <w:top w:val="single" w:sz="4" w:space="0" w:color="auto"/>
              <w:left w:val="single" w:sz="4" w:space="0" w:color="auto"/>
              <w:bottom w:val="nil"/>
              <w:right w:val="single" w:sz="4" w:space="0" w:color="auto"/>
            </w:tcBorders>
            <w:shd w:val="clear" w:color="auto" w:fill="auto"/>
          </w:tcPr>
          <w:p w14:paraId="5679ADF9" w14:textId="77777777" w:rsidR="007E5C24" w:rsidRPr="005C5C45" w:rsidRDefault="007E5C24" w:rsidP="00B50220">
            <w:pPr>
              <w:pStyle w:val="Rowcolumntitles"/>
              <w:rPr>
                <w:rFonts w:cs="Didot"/>
                <w:sz w:val="20"/>
                <w:highlight w:val="yellow"/>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tcPr>
          <w:p w14:paraId="15141BCD" w14:textId="77777777" w:rsidR="007E5C24" w:rsidRPr="005C5C45" w:rsidRDefault="007E5C24" w:rsidP="00B50220">
            <w:pPr>
              <w:pStyle w:val="Rowcolumntitles"/>
              <w:rPr>
                <w:rFonts w:cs="Didot"/>
                <w:sz w:val="20"/>
                <w:highlight w:val="yellow"/>
              </w:rPr>
            </w:pPr>
          </w:p>
        </w:tc>
      </w:tr>
      <w:tr w:rsidR="00EF43C7" w:rsidRPr="005C5C45" w14:paraId="329BE70C" w14:textId="77777777" w:rsidTr="00B50220">
        <w:trPr>
          <w:trHeight w:val="206"/>
          <w:jc w:val="center"/>
        </w:trPr>
        <w:tc>
          <w:tcPr>
            <w:tcW w:w="4947" w:type="dxa"/>
            <w:tcBorders>
              <w:top w:val="single" w:sz="4" w:space="0" w:color="auto"/>
              <w:left w:val="single" w:sz="4" w:space="0" w:color="auto"/>
              <w:bottom w:val="single" w:sz="4" w:space="0" w:color="auto"/>
              <w:right w:val="single" w:sz="4" w:space="0" w:color="auto"/>
            </w:tcBorders>
          </w:tcPr>
          <w:p w14:paraId="769F81CA" w14:textId="77777777" w:rsidR="00EF43C7" w:rsidRPr="005C5C45" w:rsidRDefault="00EF43C7" w:rsidP="00B50220">
            <w:pPr>
              <w:pStyle w:val="Rowcolumntitles"/>
              <w:rPr>
                <w:b/>
              </w:rPr>
            </w:pPr>
            <w:r w:rsidRPr="005C5C45">
              <w:rPr>
                <w:b/>
              </w:rPr>
              <w:t xml:space="preserve">5. </w:t>
            </w:r>
            <w:proofErr w:type="spellStart"/>
            <w:r w:rsidRPr="005C5C45">
              <w:rPr>
                <w:b/>
              </w:rPr>
              <w:t>Ongoing</w:t>
            </w:r>
            <w:proofErr w:type="spellEnd"/>
            <w:r w:rsidRPr="005C5C45">
              <w:rPr>
                <w:b/>
              </w:rPr>
              <w:t xml:space="preserve"> engagement for OGP</w:t>
            </w:r>
          </w:p>
        </w:tc>
        <w:tc>
          <w:tcPr>
            <w:tcW w:w="382" w:type="dxa"/>
            <w:tcBorders>
              <w:top w:val="single" w:sz="4" w:space="0" w:color="auto"/>
              <w:left w:val="single" w:sz="4" w:space="0" w:color="auto"/>
              <w:bottom w:val="single" w:sz="4" w:space="0" w:color="auto"/>
              <w:right w:val="single" w:sz="4" w:space="0" w:color="auto"/>
            </w:tcBorders>
            <w:shd w:val="clear" w:color="auto" w:fill="2D527A" w:themeFill="text2" w:themeFillShade="BF"/>
          </w:tcPr>
          <w:p w14:paraId="60431E63" w14:textId="77777777" w:rsidR="00EF43C7" w:rsidRPr="005C5C45" w:rsidRDefault="00EF43C7" w:rsidP="00B50220">
            <w:pPr>
              <w:pStyle w:val="Rowcolumntitles"/>
              <w:rPr>
                <w:rFonts w:cs="Didot"/>
                <w:sz w:val="20"/>
              </w:rPr>
            </w:pPr>
          </w:p>
        </w:tc>
        <w:tc>
          <w:tcPr>
            <w:tcW w:w="383" w:type="dxa"/>
            <w:tcBorders>
              <w:top w:val="single" w:sz="4" w:space="0" w:color="auto"/>
              <w:left w:val="single" w:sz="4" w:space="0" w:color="auto"/>
              <w:bottom w:val="single" w:sz="4" w:space="0" w:color="auto"/>
              <w:right w:val="single" w:sz="4" w:space="0" w:color="auto"/>
            </w:tcBorders>
            <w:shd w:val="clear" w:color="auto" w:fill="2D527A" w:themeFill="text2" w:themeFillShade="BF"/>
          </w:tcPr>
          <w:p w14:paraId="09F1AD7C" w14:textId="77777777" w:rsidR="00EF43C7" w:rsidRPr="005C5C45" w:rsidRDefault="00EF43C7" w:rsidP="00B50220">
            <w:pPr>
              <w:pStyle w:val="Rowcolumntitles"/>
              <w:rPr>
                <w:rFonts w:cs="Didot"/>
                <w:sz w:val="20"/>
                <w:highlight w:val="yellow"/>
              </w:rPr>
            </w:pPr>
          </w:p>
        </w:tc>
        <w:tc>
          <w:tcPr>
            <w:tcW w:w="382" w:type="dxa"/>
            <w:tcBorders>
              <w:top w:val="single" w:sz="4" w:space="0" w:color="auto"/>
              <w:left w:val="single" w:sz="4" w:space="0" w:color="auto"/>
              <w:bottom w:val="single" w:sz="4" w:space="0" w:color="auto"/>
              <w:right w:val="single" w:sz="4" w:space="0" w:color="auto"/>
            </w:tcBorders>
            <w:shd w:val="clear" w:color="auto" w:fill="2D527A" w:themeFill="text2" w:themeFillShade="BF"/>
          </w:tcPr>
          <w:p w14:paraId="179928A5" w14:textId="77777777" w:rsidR="00EF43C7" w:rsidRPr="005C5C45" w:rsidRDefault="00EF43C7" w:rsidP="00B50220">
            <w:pPr>
              <w:pStyle w:val="Rowcolumntitles"/>
              <w:rPr>
                <w:rFonts w:cs="Didot"/>
                <w:sz w:val="20"/>
                <w:highlight w:val="yellow"/>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69B8F710" w14:textId="77777777" w:rsidR="00EF43C7" w:rsidRPr="005C5C45" w:rsidRDefault="00EF43C7" w:rsidP="00B50220">
            <w:pPr>
              <w:pStyle w:val="Rowcolumntitles"/>
              <w:rPr>
                <w:rFonts w:cs="Didot"/>
                <w:sz w:val="20"/>
                <w:highlight w:val="yellow"/>
              </w:rPr>
            </w:pPr>
          </w:p>
        </w:tc>
        <w:tc>
          <w:tcPr>
            <w:tcW w:w="340" w:type="dxa"/>
            <w:tcBorders>
              <w:top w:val="single" w:sz="4" w:space="0" w:color="auto"/>
              <w:left w:val="single" w:sz="4" w:space="0" w:color="auto"/>
              <w:bottom w:val="single" w:sz="4" w:space="0" w:color="auto"/>
              <w:right w:val="single" w:sz="4" w:space="0" w:color="auto"/>
            </w:tcBorders>
            <w:shd w:val="clear" w:color="auto" w:fill="28521A" w:themeFill="accent2" w:themeFillShade="80"/>
          </w:tcPr>
          <w:p w14:paraId="77EB18B2" w14:textId="77777777" w:rsidR="00EF43C7" w:rsidRPr="005C5C45" w:rsidRDefault="00EF43C7" w:rsidP="00B50220">
            <w:pPr>
              <w:pStyle w:val="Rowcolumntitles"/>
              <w:rPr>
                <w:rFonts w:cs="Didot"/>
                <w:sz w:val="20"/>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28521A" w:themeFill="accent2" w:themeFillShade="80"/>
          </w:tcPr>
          <w:p w14:paraId="111F567C" w14:textId="77777777" w:rsidR="00EF43C7" w:rsidRPr="005C5C45" w:rsidRDefault="00EF43C7" w:rsidP="00B50220">
            <w:pPr>
              <w:pStyle w:val="Rowcolumntitles"/>
              <w:rPr>
                <w:rFonts w:cs="Didot"/>
                <w:sz w:val="20"/>
                <w:highlight w:val="yellow"/>
              </w:rPr>
            </w:pPr>
          </w:p>
        </w:tc>
        <w:tc>
          <w:tcPr>
            <w:tcW w:w="382" w:type="dxa"/>
            <w:tcBorders>
              <w:top w:val="single" w:sz="4" w:space="0" w:color="auto"/>
              <w:left w:val="single" w:sz="4" w:space="0" w:color="auto"/>
              <w:bottom w:val="nil"/>
              <w:right w:val="single" w:sz="4" w:space="0" w:color="auto"/>
            </w:tcBorders>
            <w:shd w:val="clear" w:color="auto" w:fill="auto"/>
          </w:tcPr>
          <w:p w14:paraId="7A458339" w14:textId="77777777" w:rsidR="00EF43C7" w:rsidRPr="005C5C45" w:rsidRDefault="00EF43C7" w:rsidP="00B50220">
            <w:pPr>
              <w:pStyle w:val="Rowcolumntitles"/>
              <w:rPr>
                <w:rFonts w:cs="Didot"/>
                <w:sz w:val="20"/>
                <w:highlight w:val="yellow"/>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tcPr>
          <w:p w14:paraId="57C81A0A" w14:textId="77777777" w:rsidR="00EF43C7" w:rsidRPr="005C5C45" w:rsidRDefault="00EF43C7" w:rsidP="00B50220">
            <w:pPr>
              <w:pStyle w:val="Rowcolumntitles"/>
              <w:rPr>
                <w:rFonts w:cs="Didot"/>
                <w:sz w:val="20"/>
                <w:highlight w:val="yellow"/>
              </w:rPr>
            </w:pPr>
          </w:p>
        </w:tc>
      </w:tr>
      <w:tr w:rsidR="00EF43C7" w:rsidRPr="005C5C45" w14:paraId="29558CBA" w14:textId="77777777" w:rsidTr="00B50220">
        <w:trPr>
          <w:trHeight w:val="206"/>
          <w:jc w:val="center"/>
        </w:trPr>
        <w:tc>
          <w:tcPr>
            <w:tcW w:w="4947" w:type="dxa"/>
            <w:tcBorders>
              <w:top w:val="single" w:sz="4" w:space="0" w:color="auto"/>
              <w:left w:val="single" w:sz="4" w:space="0" w:color="auto"/>
              <w:bottom w:val="single" w:sz="4" w:space="0" w:color="auto"/>
              <w:right w:val="single" w:sz="4" w:space="0" w:color="auto"/>
            </w:tcBorders>
          </w:tcPr>
          <w:p w14:paraId="21FB830A" w14:textId="137E6EAE" w:rsidR="00EF43C7" w:rsidRPr="005C5C45" w:rsidRDefault="00EF43C7" w:rsidP="00B50220">
            <w:pPr>
              <w:pStyle w:val="Rowcolumntitles"/>
              <w:rPr>
                <w:b/>
              </w:rPr>
            </w:pPr>
            <w:r w:rsidRPr="00AF27B9">
              <w:rPr>
                <w:rFonts w:ascii="Zapf Dingbats" w:eastAsia="MS Mincho" w:hAnsi="Zapf Dingbats" w:cs="MS Mincho"/>
                <w:smallCaps/>
                <w:sz w:val="20"/>
              </w:rPr>
              <w:t>✪</w:t>
            </w:r>
            <w:r w:rsidR="00AF27B9">
              <w:rPr>
                <w:b/>
              </w:rPr>
              <w:t xml:space="preserve"> </w:t>
            </w:r>
            <w:r w:rsidRPr="005C5C45">
              <w:rPr>
                <w:b/>
              </w:rPr>
              <w:t>6. Improving access to legislation</w:t>
            </w:r>
          </w:p>
        </w:tc>
        <w:tc>
          <w:tcPr>
            <w:tcW w:w="382" w:type="dxa"/>
            <w:tcBorders>
              <w:top w:val="single" w:sz="4" w:space="0" w:color="auto"/>
              <w:left w:val="single" w:sz="4" w:space="0" w:color="auto"/>
              <w:bottom w:val="single" w:sz="4" w:space="0" w:color="auto"/>
              <w:right w:val="single" w:sz="4" w:space="0" w:color="auto"/>
            </w:tcBorders>
            <w:shd w:val="clear" w:color="auto" w:fill="2D527A" w:themeFill="text2" w:themeFillShade="BF"/>
          </w:tcPr>
          <w:p w14:paraId="48DEDBA4" w14:textId="77777777" w:rsidR="00EF43C7" w:rsidRPr="005C5C45" w:rsidRDefault="00EF43C7" w:rsidP="00B50220">
            <w:pPr>
              <w:pStyle w:val="Rowcolumntitles"/>
              <w:rPr>
                <w:rFonts w:cs="Didot"/>
                <w:sz w:val="20"/>
              </w:rPr>
            </w:pPr>
          </w:p>
        </w:tc>
        <w:tc>
          <w:tcPr>
            <w:tcW w:w="383" w:type="dxa"/>
            <w:tcBorders>
              <w:top w:val="single" w:sz="4" w:space="0" w:color="auto"/>
              <w:left w:val="single" w:sz="4" w:space="0" w:color="auto"/>
              <w:bottom w:val="single" w:sz="4" w:space="0" w:color="auto"/>
              <w:right w:val="single" w:sz="4" w:space="0" w:color="auto"/>
            </w:tcBorders>
            <w:shd w:val="clear" w:color="auto" w:fill="2D527A" w:themeFill="text2" w:themeFillShade="BF"/>
          </w:tcPr>
          <w:p w14:paraId="289D0795" w14:textId="77777777" w:rsidR="00EF43C7" w:rsidRPr="005C5C45" w:rsidRDefault="00EF43C7" w:rsidP="00B50220">
            <w:pPr>
              <w:pStyle w:val="Rowcolumntitles"/>
              <w:rPr>
                <w:rFonts w:cs="Didot"/>
                <w:sz w:val="20"/>
                <w:highlight w:val="yellow"/>
              </w:rPr>
            </w:pPr>
          </w:p>
        </w:tc>
        <w:tc>
          <w:tcPr>
            <w:tcW w:w="382" w:type="dxa"/>
            <w:tcBorders>
              <w:top w:val="single" w:sz="4" w:space="0" w:color="auto"/>
              <w:left w:val="single" w:sz="4" w:space="0" w:color="auto"/>
              <w:bottom w:val="single" w:sz="4" w:space="0" w:color="auto"/>
              <w:right w:val="single" w:sz="4" w:space="0" w:color="auto"/>
            </w:tcBorders>
            <w:shd w:val="clear" w:color="auto" w:fill="2D527A" w:themeFill="text2" w:themeFillShade="BF"/>
          </w:tcPr>
          <w:p w14:paraId="2B38B346" w14:textId="77777777" w:rsidR="00EF43C7" w:rsidRPr="005C5C45" w:rsidRDefault="00EF43C7" w:rsidP="00B50220">
            <w:pPr>
              <w:pStyle w:val="Rowcolumntitles"/>
              <w:rPr>
                <w:rFonts w:cs="Didot"/>
                <w:sz w:val="20"/>
                <w:highlight w:val="yellow"/>
              </w:rPr>
            </w:pPr>
          </w:p>
        </w:tc>
        <w:tc>
          <w:tcPr>
            <w:tcW w:w="383" w:type="dxa"/>
            <w:tcBorders>
              <w:top w:val="single" w:sz="4" w:space="0" w:color="auto"/>
              <w:left w:val="single" w:sz="4" w:space="0" w:color="auto"/>
              <w:bottom w:val="single" w:sz="4" w:space="0" w:color="auto"/>
              <w:right w:val="single" w:sz="4" w:space="0" w:color="auto"/>
            </w:tcBorders>
            <w:shd w:val="clear" w:color="auto" w:fill="2D527A" w:themeFill="text2" w:themeFillShade="BF"/>
          </w:tcPr>
          <w:p w14:paraId="39425D98" w14:textId="77777777" w:rsidR="00EF43C7" w:rsidRPr="005C5C45" w:rsidRDefault="00EF43C7" w:rsidP="00B50220">
            <w:pPr>
              <w:pStyle w:val="Rowcolumntitles"/>
              <w:rPr>
                <w:rFonts w:cs="Didot"/>
                <w:sz w:val="20"/>
                <w:highlight w:val="yellow"/>
              </w:rPr>
            </w:pPr>
          </w:p>
        </w:tc>
        <w:tc>
          <w:tcPr>
            <w:tcW w:w="340" w:type="dxa"/>
            <w:tcBorders>
              <w:top w:val="single" w:sz="4" w:space="0" w:color="auto"/>
              <w:left w:val="single" w:sz="4" w:space="0" w:color="auto"/>
              <w:bottom w:val="single" w:sz="4" w:space="0" w:color="auto"/>
              <w:right w:val="single" w:sz="4" w:space="0" w:color="auto"/>
            </w:tcBorders>
            <w:shd w:val="clear" w:color="auto" w:fill="28521A" w:themeFill="accent2" w:themeFillShade="80"/>
          </w:tcPr>
          <w:p w14:paraId="420D6FE7" w14:textId="77777777" w:rsidR="00EF43C7" w:rsidRPr="005C5C45" w:rsidRDefault="00EF43C7" w:rsidP="00B50220">
            <w:pPr>
              <w:pStyle w:val="Rowcolumntitles"/>
              <w:rPr>
                <w:rFonts w:cs="Didot"/>
                <w:sz w:val="20"/>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28521A" w:themeFill="accent2" w:themeFillShade="80"/>
          </w:tcPr>
          <w:p w14:paraId="188AC909" w14:textId="77777777" w:rsidR="00EF43C7" w:rsidRPr="005C5C45" w:rsidRDefault="00EF43C7" w:rsidP="00B50220">
            <w:pPr>
              <w:pStyle w:val="Rowcolumntitles"/>
              <w:rPr>
                <w:rFonts w:cs="Didot"/>
                <w:sz w:val="20"/>
                <w:highlight w:val="yellow"/>
              </w:rPr>
            </w:pPr>
          </w:p>
        </w:tc>
        <w:tc>
          <w:tcPr>
            <w:tcW w:w="382" w:type="dxa"/>
            <w:tcBorders>
              <w:top w:val="single" w:sz="4" w:space="0" w:color="auto"/>
              <w:left w:val="single" w:sz="4" w:space="0" w:color="auto"/>
              <w:bottom w:val="nil"/>
              <w:right w:val="single" w:sz="4" w:space="0" w:color="auto"/>
            </w:tcBorders>
            <w:shd w:val="clear" w:color="auto" w:fill="28521A" w:themeFill="accent2" w:themeFillShade="80"/>
          </w:tcPr>
          <w:p w14:paraId="1F4F2920" w14:textId="77777777" w:rsidR="00EF43C7" w:rsidRPr="005C5C45" w:rsidRDefault="00EF43C7" w:rsidP="00B50220">
            <w:pPr>
              <w:pStyle w:val="Rowcolumntitles"/>
              <w:rPr>
                <w:rFonts w:cs="Didot"/>
                <w:sz w:val="20"/>
                <w:highlight w:val="yellow"/>
              </w:rPr>
            </w:pPr>
          </w:p>
        </w:tc>
        <w:tc>
          <w:tcPr>
            <w:tcW w:w="386" w:type="dxa"/>
            <w:tcBorders>
              <w:top w:val="single" w:sz="4" w:space="0" w:color="auto"/>
              <w:left w:val="single" w:sz="4" w:space="0" w:color="auto"/>
              <w:bottom w:val="single" w:sz="4" w:space="0" w:color="auto"/>
              <w:right w:val="single" w:sz="4" w:space="0" w:color="auto"/>
            </w:tcBorders>
            <w:shd w:val="clear" w:color="auto" w:fill="FFFFFF" w:themeFill="background1"/>
          </w:tcPr>
          <w:p w14:paraId="3AE975B6" w14:textId="77777777" w:rsidR="00EF43C7" w:rsidRPr="005C5C45" w:rsidRDefault="00EF43C7" w:rsidP="00B50220">
            <w:pPr>
              <w:pStyle w:val="Rowcolumntitles"/>
              <w:rPr>
                <w:rFonts w:cs="Didot"/>
                <w:sz w:val="20"/>
                <w:highlight w:val="yellow"/>
              </w:rPr>
            </w:pPr>
          </w:p>
        </w:tc>
      </w:tr>
      <w:tr w:rsidR="00EF43C7" w:rsidRPr="005C5C45" w14:paraId="74DAFEAA" w14:textId="77777777" w:rsidTr="00B50220">
        <w:trPr>
          <w:trHeight w:val="206"/>
          <w:jc w:val="center"/>
        </w:trPr>
        <w:tc>
          <w:tcPr>
            <w:tcW w:w="4947" w:type="dxa"/>
            <w:tcBorders>
              <w:top w:val="single" w:sz="4" w:space="0" w:color="auto"/>
              <w:left w:val="single" w:sz="4" w:space="0" w:color="auto"/>
              <w:bottom w:val="single" w:sz="18" w:space="0" w:color="000000"/>
              <w:right w:val="single" w:sz="4" w:space="0" w:color="auto"/>
            </w:tcBorders>
          </w:tcPr>
          <w:p w14:paraId="52048B98" w14:textId="77777777" w:rsidR="00EF43C7" w:rsidRPr="005C5C45" w:rsidRDefault="00EF43C7" w:rsidP="00B50220">
            <w:pPr>
              <w:pStyle w:val="Rowcolumntitles"/>
              <w:rPr>
                <w:rFonts w:ascii="MS Mincho" w:eastAsia="MS Mincho" w:hAnsi="MS Mincho" w:cs="MS Mincho"/>
                <w:smallCaps/>
                <w:sz w:val="20"/>
              </w:rPr>
            </w:pPr>
            <w:r w:rsidRPr="005C5C45">
              <w:rPr>
                <w:b/>
              </w:rPr>
              <w:t>7. Improving policy practices</w:t>
            </w:r>
          </w:p>
        </w:tc>
        <w:tc>
          <w:tcPr>
            <w:tcW w:w="382" w:type="dxa"/>
            <w:tcBorders>
              <w:top w:val="single" w:sz="4" w:space="0" w:color="auto"/>
              <w:left w:val="single" w:sz="4" w:space="0" w:color="auto"/>
              <w:bottom w:val="single" w:sz="18" w:space="0" w:color="000000"/>
              <w:right w:val="single" w:sz="4" w:space="0" w:color="auto"/>
            </w:tcBorders>
            <w:shd w:val="clear" w:color="auto" w:fill="2D527A" w:themeFill="text2" w:themeFillShade="BF"/>
          </w:tcPr>
          <w:p w14:paraId="136C1FC3" w14:textId="77777777" w:rsidR="00EF43C7" w:rsidRPr="005C5C45" w:rsidRDefault="00EF43C7" w:rsidP="00B50220">
            <w:pPr>
              <w:pStyle w:val="Rowcolumntitles"/>
              <w:rPr>
                <w:rFonts w:cs="Didot"/>
                <w:sz w:val="20"/>
              </w:rPr>
            </w:pPr>
          </w:p>
        </w:tc>
        <w:tc>
          <w:tcPr>
            <w:tcW w:w="383" w:type="dxa"/>
            <w:tcBorders>
              <w:top w:val="single" w:sz="4" w:space="0" w:color="auto"/>
              <w:left w:val="single" w:sz="4" w:space="0" w:color="auto"/>
              <w:bottom w:val="single" w:sz="18" w:space="0" w:color="000000"/>
              <w:right w:val="single" w:sz="4" w:space="0" w:color="auto"/>
            </w:tcBorders>
            <w:shd w:val="clear" w:color="auto" w:fill="2D527A" w:themeFill="text2" w:themeFillShade="BF"/>
          </w:tcPr>
          <w:p w14:paraId="360B31A4" w14:textId="77777777" w:rsidR="00EF43C7" w:rsidRPr="005C5C45" w:rsidRDefault="00EF43C7" w:rsidP="00B50220">
            <w:pPr>
              <w:pStyle w:val="Rowcolumntitles"/>
              <w:rPr>
                <w:rFonts w:cs="Didot"/>
                <w:sz w:val="20"/>
                <w:highlight w:val="yellow"/>
              </w:rPr>
            </w:pPr>
          </w:p>
        </w:tc>
        <w:tc>
          <w:tcPr>
            <w:tcW w:w="382" w:type="dxa"/>
            <w:tcBorders>
              <w:top w:val="single" w:sz="4" w:space="0" w:color="auto"/>
              <w:left w:val="single" w:sz="4" w:space="0" w:color="auto"/>
              <w:bottom w:val="single" w:sz="18" w:space="0" w:color="000000"/>
              <w:right w:val="single" w:sz="4" w:space="0" w:color="auto"/>
            </w:tcBorders>
            <w:shd w:val="clear" w:color="auto" w:fill="auto"/>
          </w:tcPr>
          <w:p w14:paraId="667C2416" w14:textId="77777777" w:rsidR="00EF43C7" w:rsidRPr="005C5C45" w:rsidRDefault="00EF43C7" w:rsidP="00B50220">
            <w:pPr>
              <w:pStyle w:val="Rowcolumntitles"/>
              <w:rPr>
                <w:rFonts w:cs="Didot"/>
                <w:sz w:val="20"/>
                <w:highlight w:val="yellow"/>
              </w:rPr>
            </w:pPr>
          </w:p>
        </w:tc>
        <w:tc>
          <w:tcPr>
            <w:tcW w:w="383" w:type="dxa"/>
            <w:tcBorders>
              <w:top w:val="single" w:sz="4" w:space="0" w:color="auto"/>
              <w:left w:val="single" w:sz="4" w:space="0" w:color="auto"/>
              <w:bottom w:val="single" w:sz="18" w:space="0" w:color="000000"/>
              <w:right w:val="single" w:sz="4" w:space="0" w:color="auto"/>
            </w:tcBorders>
            <w:shd w:val="clear" w:color="auto" w:fill="auto"/>
          </w:tcPr>
          <w:p w14:paraId="43815315" w14:textId="77777777" w:rsidR="00EF43C7" w:rsidRPr="005C5C45" w:rsidRDefault="00EF43C7" w:rsidP="00B50220">
            <w:pPr>
              <w:pStyle w:val="Rowcolumntitles"/>
              <w:rPr>
                <w:rFonts w:cs="Didot"/>
                <w:sz w:val="20"/>
                <w:highlight w:val="yellow"/>
              </w:rPr>
            </w:pPr>
          </w:p>
        </w:tc>
        <w:tc>
          <w:tcPr>
            <w:tcW w:w="340" w:type="dxa"/>
            <w:tcBorders>
              <w:top w:val="single" w:sz="4" w:space="0" w:color="auto"/>
              <w:left w:val="single" w:sz="4" w:space="0" w:color="auto"/>
              <w:bottom w:val="single" w:sz="18" w:space="0" w:color="000000"/>
              <w:right w:val="single" w:sz="4" w:space="0" w:color="auto"/>
            </w:tcBorders>
            <w:shd w:val="clear" w:color="auto" w:fill="28521A" w:themeFill="accent2" w:themeFillShade="80"/>
          </w:tcPr>
          <w:p w14:paraId="535D2678" w14:textId="77777777" w:rsidR="00EF43C7" w:rsidRPr="005C5C45" w:rsidRDefault="00EF43C7" w:rsidP="00B50220">
            <w:pPr>
              <w:pStyle w:val="Rowcolumntitles"/>
              <w:rPr>
                <w:rFonts w:cs="Didot"/>
                <w:sz w:val="20"/>
                <w:highlight w:val="yellow"/>
              </w:rPr>
            </w:pPr>
          </w:p>
        </w:tc>
        <w:tc>
          <w:tcPr>
            <w:tcW w:w="425" w:type="dxa"/>
            <w:tcBorders>
              <w:top w:val="single" w:sz="4" w:space="0" w:color="auto"/>
              <w:left w:val="single" w:sz="4" w:space="0" w:color="auto"/>
              <w:bottom w:val="single" w:sz="18" w:space="0" w:color="000000"/>
              <w:right w:val="single" w:sz="4" w:space="0" w:color="auto"/>
            </w:tcBorders>
            <w:shd w:val="clear" w:color="auto" w:fill="28521A" w:themeFill="accent2" w:themeFillShade="80"/>
          </w:tcPr>
          <w:p w14:paraId="37999B44" w14:textId="77777777" w:rsidR="00EF43C7" w:rsidRPr="005C5C45" w:rsidRDefault="00EF43C7" w:rsidP="00B50220">
            <w:pPr>
              <w:pStyle w:val="Rowcolumntitles"/>
              <w:rPr>
                <w:rFonts w:cs="Didot"/>
                <w:sz w:val="20"/>
                <w:highlight w:val="yellow"/>
              </w:rPr>
            </w:pPr>
          </w:p>
        </w:tc>
        <w:tc>
          <w:tcPr>
            <w:tcW w:w="382" w:type="dxa"/>
            <w:tcBorders>
              <w:top w:val="single" w:sz="4" w:space="0" w:color="auto"/>
              <w:left w:val="single" w:sz="4" w:space="0" w:color="auto"/>
              <w:bottom w:val="single" w:sz="18" w:space="0" w:color="000000"/>
              <w:right w:val="single" w:sz="4" w:space="0" w:color="auto"/>
            </w:tcBorders>
            <w:shd w:val="clear" w:color="auto" w:fill="28521A" w:themeFill="accent2" w:themeFillShade="80"/>
          </w:tcPr>
          <w:p w14:paraId="1AE65918" w14:textId="77777777" w:rsidR="00EF43C7" w:rsidRPr="005C5C45" w:rsidRDefault="00EF43C7" w:rsidP="00B50220">
            <w:pPr>
              <w:pStyle w:val="Rowcolumntitles"/>
              <w:rPr>
                <w:rFonts w:cs="Didot"/>
                <w:sz w:val="20"/>
                <w:highlight w:val="yellow"/>
              </w:rPr>
            </w:pPr>
          </w:p>
        </w:tc>
        <w:tc>
          <w:tcPr>
            <w:tcW w:w="386" w:type="dxa"/>
            <w:tcBorders>
              <w:top w:val="single" w:sz="4" w:space="0" w:color="auto"/>
              <w:left w:val="single" w:sz="4" w:space="0" w:color="auto"/>
              <w:bottom w:val="single" w:sz="18" w:space="0" w:color="000000"/>
              <w:right w:val="single" w:sz="4" w:space="0" w:color="auto"/>
            </w:tcBorders>
            <w:shd w:val="clear" w:color="auto" w:fill="FFFFFF" w:themeFill="background1"/>
          </w:tcPr>
          <w:p w14:paraId="11F4BBF2" w14:textId="77777777" w:rsidR="00EF43C7" w:rsidRPr="005C5C45" w:rsidRDefault="00EF43C7" w:rsidP="00B50220">
            <w:pPr>
              <w:pStyle w:val="Rowcolumntitles"/>
              <w:rPr>
                <w:rFonts w:cs="Didot"/>
                <w:sz w:val="20"/>
                <w:highlight w:val="yellow"/>
              </w:rPr>
            </w:pPr>
          </w:p>
        </w:tc>
      </w:tr>
    </w:tbl>
    <w:p w14:paraId="1068B21A" w14:textId="77777777" w:rsidR="00122D60" w:rsidRPr="005C5C45" w:rsidRDefault="00122D60" w:rsidP="00490A74">
      <w:pPr>
        <w:keepNext/>
        <w:keepLines/>
        <w:rPr>
          <w:rFonts w:ascii="Calibri" w:eastAsia="MS Gothic" w:hAnsi="Calibri"/>
          <w:b/>
          <w:bCs/>
          <w:color w:val="4F81BD"/>
        </w:rPr>
        <w:sectPr w:rsidR="00122D60" w:rsidRPr="005C5C45" w:rsidSect="007E0966">
          <w:footerReference w:type="even" r:id="rId14"/>
          <w:footerReference w:type="default" r:id="rId15"/>
          <w:footerReference w:type="first" r:id="rId16"/>
          <w:endnotePr>
            <w:numFmt w:val="decimal"/>
            <w:numRestart w:val="eachSect"/>
          </w:endnotePr>
          <w:pgSz w:w="11900" w:h="16840" w:code="9"/>
          <w:pgMar w:top="1276" w:right="1800" w:bottom="1440" w:left="1800" w:header="720" w:footer="720" w:gutter="0"/>
          <w:pgNumType w:chapStyle="1"/>
          <w:cols w:space="720"/>
          <w:titlePg/>
          <w:docGrid w:linePitch="299"/>
        </w:sectPr>
      </w:pPr>
    </w:p>
    <w:p w14:paraId="1B854A1E" w14:textId="375E2041" w:rsidR="005531BD" w:rsidRPr="005C5C45" w:rsidRDefault="005531BD" w:rsidP="00100F11">
      <w:pPr>
        <w:pStyle w:val="Tableheader"/>
        <w:ind w:left="-630"/>
      </w:pPr>
      <w:r w:rsidRPr="005C5C45">
        <w:lastRenderedPageBreak/>
        <w:t>Table 2: Summary of Progress by Commitment</w:t>
      </w:r>
    </w:p>
    <w:tbl>
      <w:tblPr>
        <w:tblpPr w:leftFromText="187" w:rightFromText="187" w:vertAnchor="text" w:horzAnchor="margin" w:tblpXSpec="center" w:tblpY="1"/>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732"/>
      </w:tblGrid>
      <w:tr w:rsidR="005531BD" w:rsidRPr="005C5C45" w14:paraId="7131FDAC" w14:textId="77777777" w:rsidTr="00B50220">
        <w:trPr>
          <w:trHeight w:val="260"/>
          <w:tblHeader/>
          <w:jc w:val="center"/>
        </w:trPr>
        <w:tc>
          <w:tcPr>
            <w:tcW w:w="3078" w:type="dxa"/>
            <w:shd w:val="clear" w:color="auto" w:fill="auto"/>
          </w:tcPr>
          <w:p w14:paraId="63791CFD" w14:textId="77777777" w:rsidR="005531BD" w:rsidRPr="005C5C45" w:rsidRDefault="005531BD" w:rsidP="00B50220">
            <w:pPr>
              <w:pStyle w:val="Tabletitleinside"/>
            </w:pPr>
            <w:r w:rsidRPr="005C5C45">
              <w:t>NAME OF COMMITMENT</w:t>
            </w:r>
          </w:p>
        </w:tc>
        <w:tc>
          <w:tcPr>
            <w:tcW w:w="6732" w:type="dxa"/>
            <w:shd w:val="clear" w:color="auto" w:fill="auto"/>
          </w:tcPr>
          <w:p w14:paraId="385A09AD" w14:textId="77777777" w:rsidR="005531BD" w:rsidRPr="005C5C45" w:rsidRDefault="005531BD" w:rsidP="00B50220">
            <w:pPr>
              <w:pStyle w:val="Tabletitleinside"/>
            </w:pPr>
            <w:r w:rsidRPr="005C5C45">
              <w:t>RESULTS</w:t>
            </w:r>
          </w:p>
        </w:tc>
      </w:tr>
      <w:tr w:rsidR="005531BD" w:rsidRPr="005C5C45" w14:paraId="541DA6EB" w14:textId="77777777" w:rsidTr="00B50220">
        <w:trPr>
          <w:trHeight w:val="2684"/>
          <w:jc w:val="center"/>
        </w:trPr>
        <w:tc>
          <w:tcPr>
            <w:tcW w:w="3078" w:type="dxa"/>
            <w:shd w:val="clear" w:color="auto" w:fill="auto"/>
          </w:tcPr>
          <w:p w14:paraId="25DDA8CC" w14:textId="77777777" w:rsidR="005531BD" w:rsidRPr="005C5C45" w:rsidRDefault="005531BD" w:rsidP="00B50220">
            <w:pPr>
              <w:pStyle w:val="Rowcolumntitles"/>
              <w:rPr>
                <w:b/>
              </w:rPr>
            </w:pPr>
            <w:r w:rsidRPr="005C5C45">
              <w:rPr>
                <w:b/>
              </w:rPr>
              <w:t xml:space="preserve">1. Open Budget  </w:t>
            </w:r>
          </w:p>
          <w:p w14:paraId="43A15095" w14:textId="77777777" w:rsidR="005531BD" w:rsidRPr="005C5C45" w:rsidRDefault="005531BD" w:rsidP="00B50220">
            <w:pPr>
              <w:pStyle w:val="ListParagraph"/>
            </w:pPr>
            <w:r w:rsidRPr="005C5C45">
              <w:t xml:space="preserve">OGP Value Relevance: Clear </w:t>
            </w:r>
          </w:p>
          <w:p w14:paraId="1E9D3FFE" w14:textId="77777777" w:rsidR="005531BD" w:rsidRPr="005C5C45" w:rsidRDefault="005531BD" w:rsidP="00B50220">
            <w:pPr>
              <w:pStyle w:val="ListParagraph"/>
            </w:pPr>
            <w:r w:rsidRPr="005C5C45">
              <w:t>Potential Impact: Moderate</w:t>
            </w:r>
          </w:p>
          <w:p w14:paraId="11ACC147" w14:textId="77777777" w:rsidR="005531BD" w:rsidRPr="005C5C45" w:rsidRDefault="005531BD" w:rsidP="00B50220">
            <w:pPr>
              <w:pStyle w:val="ListParagraph"/>
            </w:pPr>
            <w:r w:rsidRPr="005C5C45">
              <w:t>Completion: Substantial</w:t>
            </w:r>
          </w:p>
        </w:tc>
        <w:tc>
          <w:tcPr>
            <w:tcW w:w="6732" w:type="dxa"/>
            <w:tcBorders>
              <w:bottom w:val="single" w:sz="4" w:space="0" w:color="auto"/>
            </w:tcBorders>
            <w:shd w:val="clear" w:color="auto" w:fill="auto"/>
          </w:tcPr>
          <w:p w14:paraId="2B7F77A4" w14:textId="172D5863" w:rsidR="005531BD" w:rsidRPr="005C5C45" w:rsidRDefault="00725F53" w:rsidP="00B50220">
            <w:pPr>
              <w:pStyle w:val="Rowcolumntitles"/>
              <w:rPr>
                <w:noProof/>
              </w:rPr>
            </w:pPr>
            <w:r w:rsidRPr="005C5C45">
              <w:rPr>
                <w:noProof/>
              </w:rPr>
              <w:t>While</w:t>
            </w:r>
            <w:r w:rsidR="005531BD" w:rsidRPr="005C5C45">
              <w:rPr>
                <w:noProof/>
              </w:rPr>
              <w:t xml:space="preserve"> </w:t>
            </w:r>
            <w:r w:rsidR="00421DD9" w:rsidRPr="005C5C45">
              <w:rPr>
                <w:noProof/>
              </w:rPr>
              <w:t>New Zealand</w:t>
            </w:r>
            <w:r w:rsidRPr="005C5C45">
              <w:rPr>
                <w:noProof/>
              </w:rPr>
              <w:t xml:space="preserve"> has</w:t>
            </w:r>
            <w:r w:rsidR="00495F6C" w:rsidRPr="005C5C45">
              <w:rPr>
                <w:noProof/>
              </w:rPr>
              <w:t xml:space="preserve"> </w:t>
            </w:r>
            <w:r w:rsidR="005531BD" w:rsidRPr="005C5C45">
              <w:rPr>
                <w:noProof/>
              </w:rPr>
              <w:t xml:space="preserve">high scores in Open Budget Survey’s (OBS) categories </w:t>
            </w:r>
            <w:r w:rsidR="00767FB6" w:rsidRPr="005C5C45">
              <w:rPr>
                <w:noProof/>
              </w:rPr>
              <w:t>like</w:t>
            </w:r>
            <w:r w:rsidRPr="005C5C45">
              <w:rPr>
                <w:noProof/>
              </w:rPr>
              <w:t xml:space="preserve"> </w:t>
            </w:r>
            <w:r w:rsidR="005531BD" w:rsidRPr="005C5C45">
              <w:rPr>
                <w:noProof/>
              </w:rPr>
              <w:t xml:space="preserve">transparency, its score for citizen participation is much lower. This commitment sought to make the budget more accessible, </w:t>
            </w:r>
            <w:r w:rsidR="0061131F">
              <w:rPr>
                <w:noProof/>
              </w:rPr>
              <w:t>thus promoting</w:t>
            </w:r>
            <w:r w:rsidR="00185293">
              <w:rPr>
                <w:noProof/>
              </w:rPr>
              <w:t xml:space="preserve"> </w:t>
            </w:r>
            <w:r w:rsidR="005531BD" w:rsidRPr="005C5C45">
              <w:rPr>
                <w:noProof/>
              </w:rPr>
              <w:t xml:space="preserve">public discussion and participation. At the time of this report, the government has carried out research with 35 stakeholders and published its findings. Additionally, three Budget At-a-Glance documents were published and other budget documents were </w:t>
            </w:r>
            <w:r w:rsidR="0061131F">
              <w:rPr>
                <w:noProof/>
              </w:rPr>
              <w:t>published</w:t>
            </w:r>
            <w:r w:rsidR="005531BD" w:rsidRPr="005C5C45">
              <w:rPr>
                <w:noProof/>
              </w:rPr>
              <w:t xml:space="preserve"> on the budget.govt.nz website. Work on the final commitment activity is still at an exploratory stage. While the interviewed stakeholders have not used the Budget At-a-Glance documents, budget users applaud the completed work. Moving forward, the IRM researcher recommends continuing to improve access to budget information and following OBS’s recommendation to increase civic participation in the budget process.</w:t>
            </w:r>
          </w:p>
        </w:tc>
      </w:tr>
      <w:tr w:rsidR="005531BD" w:rsidRPr="005C5C45" w14:paraId="2187679C" w14:textId="77777777" w:rsidTr="00B50220">
        <w:trPr>
          <w:trHeight w:val="395"/>
          <w:jc w:val="center"/>
        </w:trPr>
        <w:tc>
          <w:tcPr>
            <w:tcW w:w="3078" w:type="dxa"/>
            <w:shd w:val="clear" w:color="auto" w:fill="auto"/>
          </w:tcPr>
          <w:p w14:paraId="10996522" w14:textId="77777777" w:rsidR="005531BD" w:rsidRPr="005C5C45" w:rsidRDefault="005531BD" w:rsidP="00B50220">
            <w:pPr>
              <w:rPr>
                <w:b/>
              </w:rPr>
            </w:pPr>
            <w:r w:rsidRPr="005C5C45">
              <w:rPr>
                <w:b/>
              </w:rPr>
              <w:t>2. Improving official information practices</w:t>
            </w:r>
          </w:p>
          <w:p w14:paraId="67C98212" w14:textId="77777777" w:rsidR="005531BD" w:rsidRPr="005C5C45" w:rsidRDefault="005531BD" w:rsidP="00B50220">
            <w:pPr>
              <w:pStyle w:val="ListParagraph"/>
            </w:pPr>
            <w:r w:rsidRPr="005C5C45">
              <w:t xml:space="preserve">OGP Value Relevance: Clear </w:t>
            </w:r>
          </w:p>
          <w:p w14:paraId="388FD9A3" w14:textId="77777777" w:rsidR="005531BD" w:rsidRPr="005C5C45" w:rsidRDefault="005531BD" w:rsidP="00B50220">
            <w:pPr>
              <w:pStyle w:val="ListParagraph"/>
            </w:pPr>
            <w:r w:rsidRPr="005C5C45">
              <w:t>Potential Impact: Moderate</w:t>
            </w:r>
          </w:p>
          <w:p w14:paraId="019D07AD" w14:textId="77777777" w:rsidR="005531BD" w:rsidRPr="005C5C45" w:rsidRDefault="005531BD" w:rsidP="00B50220">
            <w:pPr>
              <w:pStyle w:val="ListParagraph"/>
              <w:rPr>
                <w:b/>
              </w:rPr>
            </w:pPr>
            <w:r w:rsidRPr="005C5C45">
              <w:t>Completion: Substantial</w:t>
            </w:r>
          </w:p>
        </w:tc>
        <w:tc>
          <w:tcPr>
            <w:tcW w:w="6732" w:type="dxa"/>
            <w:tcBorders>
              <w:bottom w:val="single" w:sz="4" w:space="0" w:color="auto"/>
            </w:tcBorders>
            <w:shd w:val="clear" w:color="auto" w:fill="auto"/>
          </w:tcPr>
          <w:p w14:paraId="003C39F0" w14:textId="788F4954" w:rsidR="005531BD" w:rsidRPr="005C5C45" w:rsidRDefault="005531BD" w:rsidP="006C54C9">
            <w:pPr>
              <w:pStyle w:val="Rowcolumntitles"/>
              <w:rPr>
                <w:noProof/>
              </w:rPr>
            </w:pPr>
            <w:r w:rsidRPr="005C5C45">
              <w:rPr>
                <w:noProof/>
              </w:rPr>
              <w:t xml:space="preserve">In response to the administrative </w:t>
            </w:r>
            <w:r w:rsidR="00306FCB" w:rsidRPr="005C5C45">
              <w:rPr>
                <w:noProof/>
              </w:rPr>
              <w:t>burden</w:t>
            </w:r>
            <w:r w:rsidR="0061131F">
              <w:rPr>
                <w:noProof/>
              </w:rPr>
              <w:t>, abuses and delays in o</w:t>
            </w:r>
            <w:r w:rsidRPr="005C5C45">
              <w:rPr>
                <w:noProof/>
              </w:rPr>
              <w:t xml:space="preserve">fficial information requests, this commitment aims to make government information more accessible </w:t>
            </w:r>
            <w:r w:rsidR="0061131F">
              <w:rPr>
                <w:noProof/>
              </w:rPr>
              <w:t>via standardising agency practices regarding responses.</w:t>
            </w:r>
            <w:r w:rsidRPr="005C5C45">
              <w:rPr>
                <w:noProof/>
              </w:rPr>
              <w:t xml:space="preserve"> Of the listed commitment activit</w:t>
            </w:r>
            <w:r w:rsidR="00F10796" w:rsidRPr="005C5C45">
              <w:rPr>
                <w:noProof/>
              </w:rPr>
              <w:t>i</w:t>
            </w:r>
            <w:r w:rsidRPr="005C5C45">
              <w:rPr>
                <w:noProof/>
              </w:rPr>
              <w:t xml:space="preserve">es, the government has supplied agencies with </w:t>
            </w:r>
            <w:r w:rsidR="0061131F">
              <w:rPr>
                <w:noProof/>
              </w:rPr>
              <w:t>Official Information Act (OIA)</w:t>
            </w:r>
            <w:r w:rsidR="0061131F" w:rsidRPr="005C5C45">
              <w:rPr>
                <w:noProof/>
              </w:rPr>
              <w:t xml:space="preserve"> </w:t>
            </w:r>
            <w:r w:rsidR="0061131F">
              <w:rPr>
                <w:noProof/>
              </w:rPr>
              <w:t>guidance</w:t>
            </w:r>
            <w:r w:rsidR="0061131F" w:rsidRPr="005C5C45">
              <w:rPr>
                <w:noProof/>
              </w:rPr>
              <w:t xml:space="preserve"> </w:t>
            </w:r>
            <w:r w:rsidRPr="005C5C45">
              <w:rPr>
                <w:noProof/>
              </w:rPr>
              <w:t>and made responses to information requests easily accessible, published OIA statistics, and developed policy for the proactive release of information. Stakeholders generally viewed this work as a commendable first step toward developing OIA compliance across government. Moving forward, the IRM researcher recommends four key actions: develop clear policy on releas</w:t>
            </w:r>
            <w:r w:rsidR="001B78E2" w:rsidRPr="005C5C45">
              <w:rPr>
                <w:noProof/>
              </w:rPr>
              <w:t>ing</w:t>
            </w:r>
            <w:r w:rsidRPr="005C5C45">
              <w:rPr>
                <w:noProof/>
              </w:rPr>
              <w:t xml:space="preserve"> Cabinet papers for the new administration, monitor </w:t>
            </w:r>
            <w:r w:rsidR="006C54C9" w:rsidRPr="005C5C45">
              <w:rPr>
                <w:noProof/>
              </w:rPr>
              <w:t>agenc</w:t>
            </w:r>
            <w:r w:rsidR="006C54C9">
              <w:rPr>
                <w:noProof/>
              </w:rPr>
              <w:t>ies’</w:t>
            </w:r>
            <w:r w:rsidR="006C54C9" w:rsidRPr="005C5C45">
              <w:rPr>
                <w:noProof/>
              </w:rPr>
              <w:t xml:space="preserve"> </w:t>
            </w:r>
            <w:r w:rsidRPr="005C5C45">
              <w:rPr>
                <w:noProof/>
              </w:rPr>
              <w:t>adoption of these measures, seek public feedback, and address broader OIA issues.</w:t>
            </w:r>
          </w:p>
        </w:tc>
      </w:tr>
      <w:tr w:rsidR="005531BD" w:rsidRPr="005C5C45" w14:paraId="7594B5AC" w14:textId="77777777" w:rsidTr="00B50220">
        <w:trPr>
          <w:trHeight w:val="367"/>
          <w:jc w:val="center"/>
        </w:trPr>
        <w:tc>
          <w:tcPr>
            <w:tcW w:w="3078" w:type="dxa"/>
            <w:shd w:val="clear" w:color="auto" w:fill="auto"/>
          </w:tcPr>
          <w:p w14:paraId="629E8C38" w14:textId="77777777" w:rsidR="005531BD" w:rsidRPr="005C5C45" w:rsidRDefault="005531BD" w:rsidP="00B50220">
            <w:pPr>
              <w:rPr>
                <w:b/>
              </w:rPr>
            </w:pPr>
            <w:r w:rsidRPr="005C5C45">
              <w:rPr>
                <w:b/>
              </w:rPr>
              <w:t>3. Improving open data access and practices</w:t>
            </w:r>
          </w:p>
          <w:p w14:paraId="77762BCA" w14:textId="77777777" w:rsidR="005531BD" w:rsidRPr="005C5C45" w:rsidRDefault="005531BD" w:rsidP="00B50220">
            <w:pPr>
              <w:pStyle w:val="ListParagraph"/>
            </w:pPr>
            <w:r w:rsidRPr="005C5C45">
              <w:t xml:space="preserve">OGP Value Relevance: Clear </w:t>
            </w:r>
          </w:p>
          <w:p w14:paraId="0B7AD05C" w14:textId="77777777" w:rsidR="005531BD" w:rsidRPr="005C5C45" w:rsidRDefault="005531BD" w:rsidP="00B50220">
            <w:pPr>
              <w:pStyle w:val="ListParagraph"/>
            </w:pPr>
            <w:r w:rsidRPr="005C5C45">
              <w:t>Potential Impact: Minor</w:t>
            </w:r>
          </w:p>
          <w:p w14:paraId="01980329" w14:textId="77777777" w:rsidR="005531BD" w:rsidRPr="005C5C45" w:rsidRDefault="005531BD" w:rsidP="00B50220">
            <w:pPr>
              <w:pStyle w:val="ListParagraph"/>
              <w:rPr>
                <w:b/>
              </w:rPr>
            </w:pPr>
            <w:r w:rsidRPr="005C5C45">
              <w:t>Completion: Limited</w:t>
            </w:r>
          </w:p>
        </w:tc>
        <w:tc>
          <w:tcPr>
            <w:tcW w:w="6732" w:type="dxa"/>
            <w:shd w:val="clear" w:color="auto" w:fill="auto"/>
          </w:tcPr>
          <w:p w14:paraId="3FBDF60A" w14:textId="4B55F17C" w:rsidR="005531BD" w:rsidRPr="005C5C45" w:rsidDel="006D4D31" w:rsidRDefault="005531BD" w:rsidP="00E30449">
            <w:pPr>
              <w:pStyle w:val="Rowcolumntitles"/>
            </w:pPr>
            <w:r w:rsidRPr="005C5C45">
              <w:t xml:space="preserve">In </w:t>
            </w:r>
            <w:r w:rsidR="00421DD9" w:rsidRPr="005C5C45">
              <w:t>New Zealand</w:t>
            </w:r>
            <w:r w:rsidRPr="005C5C45">
              <w:t xml:space="preserve">, agencies are required to release high-level public data in accordance with policies </w:t>
            </w:r>
            <w:r w:rsidR="0061131F">
              <w:t>like</w:t>
            </w:r>
            <w:r w:rsidRPr="005C5C45">
              <w:t xml:space="preserve"> the NZ Data and Information Management Principles. However, these policies lack principles covering governance and citizen engagement </w:t>
            </w:r>
            <w:r w:rsidR="00A00563" w:rsidRPr="005C5C45">
              <w:t xml:space="preserve">as </w:t>
            </w:r>
            <w:r w:rsidRPr="005C5C45">
              <w:t xml:space="preserve">required by the Open Data Charter (ODC). This commitment aims to review </w:t>
            </w:r>
            <w:r w:rsidR="00421DD9" w:rsidRPr="005C5C45">
              <w:t>New Zealand</w:t>
            </w:r>
            <w:r w:rsidRPr="005C5C45">
              <w:t>’s open data principles and potentially adopt the ODC, using public feedback. The potential impact of this commitment is minor. While adopting ODC would potentially expand existing policies and improve information, the update also has the potential to confuse agencies and reduce the amount of data and information disclosed (because ODC applies only to data and not all government-held information). The government held workshops and sought additional public feedback through social media, govt.nz, Engage2 platforms, etc. A</w:t>
            </w:r>
            <w:r w:rsidR="00725F53" w:rsidRPr="005C5C45">
              <w:t xml:space="preserve">s </w:t>
            </w:r>
            <w:r w:rsidR="00495F6C" w:rsidRPr="005C5C45">
              <w:t>of</w:t>
            </w:r>
            <w:r w:rsidR="00725F53" w:rsidRPr="005C5C45">
              <w:t xml:space="preserve"> 30 June 2017, </w:t>
            </w:r>
            <w:r w:rsidR="00D40448" w:rsidRPr="005C5C45">
              <w:t xml:space="preserve">the </w:t>
            </w:r>
            <w:r w:rsidR="003175D1" w:rsidRPr="005C5C45">
              <w:t>Cabinet’s</w:t>
            </w:r>
            <w:r w:rsidRPr="005C5C45">
              <w:t xml:space="preserve"> formal decision on the adoption of ODC has not been completed. Due to </w:t>
            </w:r>
            <w:proofErr w:type="gramStart"/>
            <w:r w:rsidRPr="005C5C45">
              <w:t>a transference</w:t>
            </w:r>
            <w:proofErr w:type="gramEnd"/>
            <w:r w:rsidRPr="005C5C45">
              <w:t xml:space="preserve"> of responsibility for this commitment, the IRM researcher recommends the government clarify the functional leadership responsibility for developing </w:t>
            </w:r>
            <w:r w:rsidR="00BA30EB" w:rsidRPr="005C5C45">
              <w:t xml:space="preserve">government </w:t>
            </w:r>
            <w:r w:rsidR="00F10796" w:rsidRPr="005C5C45">
              <w:t xml:space="preserve">information and </w:t>
            </w:r>
            <w:r w:rsidRPr="005C5C45">
              <w:t xml:space="preserve">data policy. </w:t>
            </w:r>
          </w:p>
        </w:tc>
      </w:tr>
      <w:tr w:rsidR="005531BD" w:rsidRPr="005C5C45" w14:paraId="7C151368" w14:textId="77777777" w:rsidTr="00B50220">
        <w:trPr>
          <w:trHeight w:val="367"/>
          <w:jc w:val="center"/>
        </w:trPr>
        <w:tc>
          <w:tcPr>
            <w:tcW w:w="3078" w:type="dxa"/>
            <w:shd w:val="clear" w:color="auto" w:fill="auto"/>
          </w:tcPr>
          <w:p w14:paraId="650A7D32" w14:textId="77777777" w:rsidR="005531BD" w:rsidRPr="005C5C45" w:rsidRDefault="005531BD" w:rsidP="00B50220">
            <w:pPr>
              <w:rPr>
                <w:b/>
              </w:rPr>
            </w:pPr>
            <w:r w:rsidRPr="005C5C45">
              <w:rPr>
                <w:b/>
              </w:rPr>
              <w:t>4. Tracking progress and outcomes of open government data release</w:t>
            </w:r>
          </w:p>
          <w:p w14:paraId="5E71CECA" w14:textId="77777777" w:rsidR="005531BD" w:rsidRPr="005C5C45" w:rsidRDefault="005531BD" w:rsidP="00B50220">
            <w:pPr>
              <w:pStyle w:val="ListParagraph"/>
            </w:pPr>
            <w:r w:rsidRPr="005C5C45">
              <w:t xml:space="preserve">OGP Value Relevance: Clear </w:t>
            </w:r>
          </w:p>
          <w:p w14:paraId="4F16FD3D" w14:textId="77777777" w:rsidR="005531BD" w:rsidRPr="005C5C45" w:rsidRDefault="005531BD" w:rsidP="00B50220">
            <w:pPr>
              <w:pStyle w:val="ListParagraph"/>
            </w:pPr>
            <w:r w:rsidRPr="005C5C45">
              <w:t>Potential Impact: Moderate</w:t>
            </w:r>
          </w:p>
          <w:p w14:paraId="3FFDEF8B" w14:textId="77777777" w:rsidR="005531BD" w:rsidRPr="005C5C45" w:rsidRDefault="005531BD" w:rsidP="00B50220">
            <w:pPr>
              <w:pStyle w:val="ListParagraph"/>
              <w:rPr>
                <w:b/>
              </w:rPr>
            </w:pPr>
            <w:r w:rsidRPr="005C5C45">
              <w:t>Completion: Limited</w:t>
            </w:r>
          </w:p>
        </w:tc>
        <w:tc>
          <w:tcPr>
            <w:tcW w:w="6732" w:type="dxa"/>
            <w:shd w:val="clear" w:color="auto" w:fill="auto"/>
          </w:tcPr>
          <w:p w14:paraId="0BDB6DEF" w14:textId="1262E1CA" w:rsidR="005531BD" w:rsidRPr="005C5C45" w:rsidDel="006D4D31" w:rsidRDefault="005531BD" w:rsidP="00FE5E0B">
            <w:pPr>
              <w:pStyle w:val="Rowcolumntitles"/>
            </w:pPr>
            <w:r w:rsidRPr="005C5C45">
              <w:t xml:space="preserve">In order to shift </w:t>
            </w:r>
            <w:r w:rsidR="008A5079">
              <w:t xml:space="preserve">the </w:t>
            </w:r>
            <w:r w:rsidR="00421DD9" w:rsidRPr="005C5C45">
              <w:t>New Zealand</w:t>
            </w:r>
            <w:r w:rsidR="00E30449" w:rsidRPr="005C5C45">
              <w:t xml:space="preserve"> gover</w:t>
            </w:r>
            <w:r w:rsidR="006134E1" w:rsidRPr="005C5C45">
              <w:t>n</w:t>
            </w:r>
            <w:r w:rsidR="00E30449" w:rsidRPr="005C5C45">
              <w:t>ment</w:t>
            </w:r>
            <w:r w:rsidRPr="005C5C45">
              <w:t xml:space="preserve">’s data release culture to </w:t>
            </w:r>
            <w:proofErr w:type="gramStart"/>
            <w:r w:rsidRPr="005C5C45">
              <w:t xml:space="preserve">an </w:t>
            </w:r>
            <w:r w:rsidR="00FE5E0B">
              <w:t>‘</w:t>
            </w:r>
            <w:r w:rsidRPr="005C5C45">
              <w:t>open</w:t>
            </w:r>
            <w:proofErr w:type="gramEnd"/>
            <w:r w:rsidRPr="005C5C45">
              <w:t xml:space="preserve"> by default</w:t>
            </w:r>
            <w:r w:rsidR="00FE5E0B">
              <w:t>’</w:t>
            </w:r>
            <w:r w:rsidRPr="005C5C45">
              <w:t xml:space="preserve"> approach, this commitment aims to develop an open government data action plan and monitor agencies’ subsequent progress in opening up data stores. A</w:t>
            </w:r>
            <w:r w:rsidR="00E30449" w:rsidRPr="005C5C45">
              <w:t xml:space="preserve">t the time </w:t>
            </w:r>
            <w:r w:rsidRPr="005C5C45">
              <w:t xml:space="preserve">of this report, the government </w:t>
            </w:r>
            <w:r w:rsidR="002F67AC" w:rsidRPr="005C5C45">
              <w:t>had</w:t>
            </w:r>
            <w:r w:rsidRPr="005C5C45">
              <w:t xml:space="preserve"> </w:t>
            </w:r>
            <w:r w:rsidR="00125963">
              <w:t xml:space="preserve">conducted </w:t>
            </w:r>
            <w:r w:rsidRPr="005C5C45">
              <w:t xml:space="preserve">a four-month consultation period </w:t>
            </w:r>
            <w:r w:rsidR="00816530" w:rsidRPr="005C5C45">
              <w:t>in 2016 on the content of an open government data</w:t>
            </w:r>
            <w:r w:rsidRPr="005C5C45">
              <w:t xml:space="preserve"> action plan. After the commitment became the responsibility of </w:t>
            </w:r>
            <w:r w:rsidR="00310C23" w:rsidRPr="005C5C45">
              <w:t xml:space="preserve">Stats </w:t>
            </w:r>
            <w:r w:rsidR="00421DD9" w:rsidRPr="005C5C45">
              <w:t>NZ</w:t>
            </w:r>
            <w:r w:rsidRPr="005C5C45">
              <w:t xml:space="preserve">, a short period of consultation on the action plan draft was provided with feedback invited on multiple </w:t>
            </w:r>
            <w:r w:rsidRPr="005C5C45">
              <w:lastRenderedPageBreak/>
              <w:t xml:space="preserve">channels. However, there is little to no progress concerning the public dashboard. </w:t>
            </w:r>
            <w:r w:rsidR="006134E1" w:rsidRPr="005C5C45">
              <w:t>T</w:t>
            </w:r>
            <w:r w:rsidRPr="005C5C45">
              <w:t xml:space="preserve">he IRM researcher </w:t>
            </w:r>
            <w:r w:rsidR="006134E1" w:rsidRPr="005C5C45">
              <w:t xml:space="preserve">notes that there is currently one programme of work delivering </w:t>
            </w:r>
            <w:r w:rsidR="00FE5E0B">
              <w:t>C</w:t>
            </w:r>
            <w:r w:rsidR="006134E1" w:rsidRPr="005C5C45">
              <w:t xml:space="preserve">ommitments </w:t>
            </w:r>
            <w:r w:rsidR="00FE5E0B">
              <w:t>3</w:t>
            </w:r>
            <w:r w:rsidR="00FE5E0B" w:rsidRPr="005C5C45">
              <w:t xml:space="preserve"> </w:t>
            </w:r>
            <w:r w:rsidR="006134E1" w:rsidRPr="005C5C45">
              <w:t xml:space="preserve">and </w:t>
            </w:r>
            <w:r w:rsidR="00FE5E0B">
              <w:t>4</w:t>
            </w:r>
            <w:r w:rsidR="00FE5E0B" w:rsidRPr="005C5C45">
              <w:t xml:space="preserve"> </w:t>
            </w:r>
            <w:r w:rsidR="006134E1" w:rsidRPr="005C5C45">
              <w:t>as part of the broader Open Government Data work programme</w:t>
            </w:r>
            <w:r w:rsidR="00B60D71" w:rsidRPr="005C5C45">
              <w:t>.</w:t>
            </w:r>
            <w:r w:rsidR="006134E1" w:rsidRPr="005C5C45" w:rsidDel="006D4D31">
              <w:t xml:space="preserve"> </w:t>
            </w:r>
          </w:p>
        </w:tc>
      </w:tr>
      <w:tr w:rsidR="005531BD" w:rsidRPr="005C5C45" w14:paraId="1D410F1E" w14:textId="77777777" w:rsidTr="00B50220">
        <w:trPr>
          <w:trHeight w:val="367"/>
          <w:jc w:val="center"/>
        </w:trPr>
        <w:tc>
          <w:tcPr>
            <w:tcW w:w="3078" w:type="dxa"/>
            <w:shd w:val="clear" w:color="auto" w:fill="auto"/>
          </w:tcPr>
          <w:p w14:paraId="4F9675B7" w14:textId="77777777" w:rsidR="005531BD" w:rsidRPr="005C5C45" w:rsidRDefault="005531BD" w:rsidP="006134E1">
            <w:pPr>
              <w:rPr>
                <w:b/>
              </w:rPr>
            </w:pPr>
            <w:r w:rsidRPr="005C5C45">
              <w:rPr>
                <w:b/>
              </w:rPr>
              <w:lastRenderedPageBreak/>
              <w:t xml:space="preserve">5. </w:t>
            </w:r>
            <w:proofErr w:type="spellStart"/>
            <w:r w:rsidRPr="005C5C45">
              <w:rPr>
                <w:b/>
              </w:rPr>
              <w:t>Ongoing</w:t>
            </w:r>
            <w:proofErr w:type="spellEnd"/>
            <w:r w:rsidRPr="005C5C45">
              <w:rPr>
                <w:b/>
              </w:rPr>
              <w:t xml:space="preserve"> engagement for OGP</w:t>
            </w:r>
          </w:p>
          <w:p w14:paraId="5A2ECDE9" w14:textId="77777777" w:rsidR="005531BD" w:rsidRPr="005C5C45" w:rsidRDefault="005531BD" w:rsidP="006134E1">
            <w:pPr>
              <w:pStyle w:val="ListParagraph"/>
            </w:pPr>
            <w:r w:rsidRPr="005C5C45">
              <w:t xml:space="preserve">OGP Value Relevance: Clear </w:t>
            </w:r>
          </w:p>
          <w:p w14:paraId="509E5B14" w14:textId="77777777" w:rsidR="005531BD" w:rsidRPr="005C5C45" w:rsidRDefault="005531BD" w:rsidP="006134E1">
            <w:pPr>
              <w:pStyle w:val="ListParagraph"/>
            </w:pPr>
            <w:r w:rsidRPr="005C5C45">
              <w:t>Potential Impact: Moderate</w:t>
            </w:r>
          </w:p>
          <w:p w14:paraId="6618FCA2" w14:textId="77777777" w:rsidR="005531BD" w:rsidRPr="005C5C45" w:rsidRDefault="005531BD" w:rsidP="006134E1">
            <w:pPr>
              <w:pStyle w:val="ListParagraph"/>
              <w:rPr>
                <w:b/>
              </w:rPr>
            </w:pPr>
            <w:r w:rsidRPr="005C5C45">
              <w:t>Completion: Limited</w:t>
            </w:r>
          </w:p>
        </w:tc>
        <w:tc>
          <w:tcPr>
            <w:tcW w:w="6732" w:type="dxa"/>
            <w:shd w:val="clear" w:color="auto" w:fill="auto"/>
          </w:tcPr>
          <w:p w14:paraId="67A0C20B" w14:textId="21C9B344" w:rsidR="005531BD" w:rsidRPr="005C5C45" w:rsidDel="006D4D31" w:rsidRDefault="005531BD" w:rsidP="006C1E9B">
            <w:pPr>
              <w:pStyle w:val="Rowcolumntitles"/>
            </w:pPr>
            <w:r w:rsidRPr="005C5C45">
              <w:t>When developing the current OGP action plan, N</w:t>
            </w:r>
            <w:r w:rsidR="00421DD9" w:rsidRPr="005C5C45">
              <w:t xml:space="preserve">ew </w:t>
            </w:r>
            <w:r w:rsidRPr="005C5C45">
              <w:t>Z</w:t>
            </w:r>
            <w:r w:rsidR="00421DD9" w:rsidRPr="005C5C45">
              <w:t>ealand</w:t>
            </w:r>
            <w:r w:rsidRPr="005C5C45">
              <w:t xml:space="preserve"> used two online</w:t>
            </w:r>
            <w:r w:rsidR="006134E1" w:rsidRPr="005C5C45">
              <w:t xml:space="preserve"> </w:t>
            </w:r>
            <w:r w:rsidRPr="005C5C45">
              <w:t xml:space="preserve">platforms: </w:t>
            </w:r>
            <w:r w:rsidR="00162250" w:rsidRPr="005C5C45">
              <w:t>G</w:t>
            </w:r>
            <w:r w:rsidRPr="005C5C45">
              <w:t xml:space="preserve">ovt.nz and the tool used by Engage2. This commitment aims to </w:t>
            </w:r>
            <w:r w:rsidR="00125963">
              <w:t>increase</w:t>
            </w:r>
            <w:r w:rsidR="00125963" w:rsidRPr="005C5C45">
              <w:t xml:space="preserve"> </w:t>
            </w:r>
            <w:r w:rsidR="00125963">
              <w:t xml:space="preserve">public engagement during the development </w:t>
            </w:r>
            <w:r w:rsidRPr="005C5C45">
              <w:t xml:space="preserve">the next action plan. At the </w:t>
            </w:r>
            <w:r w:rsidR="00415AB0" w:rsidRPr="005C5C45">
              <w:t>time of this report, the SSC ha</w:t>
            </w:r>
            <w:r w:rsidR="005C5C45">
              <w:t>d</w:t>
            </w:r>
            <w:r w:rsidR="00415AB0" w:rsidRPr="005C5C45">
              <w:t xml:space="preserve"> begun work with the Department of Internal Affairs, decided how to best report progress </w:t>
            </w:r>
            <w:r w:rsidR="005C5C45" w:rsidRPr="005C5C45">
              <w:t xml:space="preserve">on </w:t>
            </w:r>
            <w:r w:rsidR="00415AB0" w:rsidRPr="005C5C45">
              <w:t>OGP commitment</w:t>
            </w:r>
            <w:r w:rsidR="005C5C45">
              <w:t>s</w:t>
            </w:r>
            <w:r w:rsidR="00415AB0" w:rsidRPr="005C5C45">
              <w:t>, and begun to develop the approach for the next action plan</w:t>
            </w:r>
            <w:r w:rsidRPr="005C5C45">
              <w:t xml:space="preserve">. Some interviewed stakeholders are </w:t>
            </w:r>
            <w:r w:rsidR="005C5C45" w:rsidRPr="005C5C45">
              <w:t>sceptical</w:t>
            </w:r>
            <w:r w:rsidRPr="005C5C45">
              <w:t xml:space="preserve"> of the government’s commitment to co-create in the next action plan. Others found the </w:t>
            </w:r>
            <w:r w:rsidR="006C1E9B">
              <w:t>Open Government Partnership New Zealand (</w:t>
            </w:r>
            <w:r w:rsidRPr="005C5C45">
              <w:t>OGPNZ</w:t>
            </w:r>
            <w:r w:rsidR="006C1E9B">
              <w:t>)</w:t>
            </w:r>
            <w:r w:rsidRPr="005C5C45">
              <w:t xml:space="preserve"> website difficult to navigate and sought a stronger social infrastructure to allow for open communication and OGP action plan tracking. Moving forwards, the IRM researcher recommends the government successfully </w:t>
            </w:r>
            <w:r w:rsidR="00495F6C" w:rsidRPr="005C5C45">
              <w:t>create</w:t>
            </w:r>
            <w:r w:rsidR="00BA30EB" w:rsidRPr="005C5C45">
              <w:t xml:space="preserve"> </w:t>
            </w:r>
            <w:r w:rsidRPr="005C5C45">
              <w:t>an enduring platform to develop an effective OGP action plan, but do this as a regular OGP operational activity rather than including it as a separate commitment.</w:t>
            </w:r>
          </w:p>
        </w:tc>
      </w:tr>
      <w:tr w:rsidR="005531BD" w:rsidRPr="005C5C45" w14:paraId="315C7A03" w14:textId="77777777" w:rsidTr="00B50220">
        <w:trPr>
          <w:trHeight w:val="367"/>
          <w:jc w:val="center"/>
        </w:trPr>
        <w:tc>
          <w:tcPr>
            <w:tcW w:w="3078" w:type="dxa"/>
            <w:shd w:val="clear" w:color="auto" w:fill="auto"/>
          </w:tcPr>
          <w:p w14:paraId="63EDB3AF" w14:textId="77777777" w:rsidR="005531BD" w:rsidRPr="005C5C45" w:rsidRDefault="00B50220" w:rsidP="00B50220">
            <w:pPr>
              <w:rPr>
                <w:b/>
              </w:rPr>
            </w:pPr>
            <w:r w:rsidRPr="005C5C45">
              <w:rPr>
                <w:rFonts w:ascii="MS Mincho" w:eastAsia="MS Mincho" w:hAnsi="MS Mincho" w:cs="MS Mincho"/>
                <w:smallCaps/>
                <w:sz w:val="20"/>
              </w:rPr>
              <w:t>✪</w:t>
            </w:r>
            <w:r w:rsidR="005531BD" w:rsidRPr="005C5C45">
              <w:rPr>
                <w:b/>
              </w:rPr>
              <w:t>6. Improving access to legislation</w:t>
            </w:r>
          </w:p>
          <w:p w14:paraId="31132CD9" w14:textId="77777777" w:rsidR="005531BD" w:rsidRPr="005C5C45" w:rsidRDefault="005531BD" w:rsidP="00B50220">
            <w:pPr>
              <w:pStyle w:val="ListParagraph"/>
            </w:pPr>
            <w:r w:rsidRPr="005C5C45">
              <w:t xml:space="preserve">OGP Value Relevance: Clear </w:t>
            </w:r>
          </w:p>
          <w:p w14:paraId="47AC465E" w14:textId="77777777" w:rsidR="005531BD" w:rsidRPr="005C5C45" w:rsidRDefault="005531BD" w:rsidP="00B50220">
            <w:pPr>
              <w:pStyle w:val="ListParagraph"/>
            </w:pPr>
            <w:r w:rsidRPr="005C5C45">
              <w:t>Potential Impact: Transformative</w:t>
            </w:r>
          </w:p>
          <w:p w14:paraId="37144D34" w14:textId="77777777" w:rsidR="005531BD" w:rsidRPr="005C5C45" w:rsidRDefault="005531BD" w:rsidP="00B50220">
            <w:pPr>
              <w:pStyle w:val="ListParagraph"/>
              <w:rPr>
                <w:b/>
              </w:rPr>
            </w:pPr>
            <w:r w:rsidRPr="005C5C45">
              <w:t>Completion: Substantial</w:t>
            </w:r>
          </w:p>
        </w:tc>
        <w:tc>
          <w:tcPr>
            <w:tcW w:w="6732" w:type="dxa"/>
            <w:shd w:val="clear" w:color="auto" w:fill="auto"/>
          </w:tcPr>
          <w:p w14:paraId="20E2A18E" w14:textId="38DD3ACB" w:rsidR="005531BD" w:rsidRPr="005C5C45" w:rsidDel="006D4D31" w:rsidRDefault="005531BD" w:rsidP="00611791">
            <w:pPr>
              <w:pStyle w:val="Rowcolumntitles"/>
            </w:pPr>
            <w:r w:rsidRPr="005C5C45">
              <w:t>While legislation.govt.nz provides free online access to</w:t>
            </w:r>
            <w:r w:rsidR="00A927E8">
              <w:t xml:space="preserve"> parliamentary</w:t>
            </w:r>
            <w:r w:rsidRPr="005C5C45">
              <w:t xml:space="preserve"> acts and legislative instruments drafted by the Parliamentary Counsel Office (PCO), there is no single place people can access the entirety of N</w:t>
            </w:r>
            <w:r w:rsidR="00421DD9" w:rsidRPr="005C5C45">
              <w:t xml:space="preserve">ew </w:t>
            </w:r>
            <w:r w:rsidRPr="005C5C45">
              <w:t>Z</w:t>
            </w:r>
            <w:r w:rsidR="00421DD9" w:rsidRPr="005C5C45">
              <w:t>ealand</w:t>
            </w:r>
            <w:r w:rsidRPr="005C5C45">
              <w:t>’s legislation. This commitment aims to improve access by publishing all subordinate instruments on legislation.govt.nz, thereby moderni</w:t>
            </w:r>
            <w:r w:rsidR="00611791">
              <w:t>s</w:t>
            </w:r>
            <w:r w:rsidRPr="005C5C45">
              <w:t xml:space="preserve">ing agency practice, improving </w:t>
            </w:r>
            <w:r w:rsidR="00A927E8">
              <w:t xml:space="preserve">public </w:t>
            </w:r>
            <w:r w:rsidRPr="005C5C45">
              <w:t xml:space="preserve">access, and significantly changing the process of publishing official notices. The PCO has researched the provisions of 1831 out of 2095 acts and discussed </w:t>
            </w:r>
            <w:r w:rsidR="00611791">
              <w:t xml:space="preserve">those </w:t>
            </w:r>
            <w:r w:rsidR="00C401DA">
              <w:t>findings</w:t>
            </w:r>
            <w:r w:rsidRPr="005C5C45">
              <w:t xml:space="preserve"> with 23 of 33 administering agencies. The Legislation Bill was introduced into Parliament on 20 June 2017. One agency testing the proposed </w:t>
            </w:r>
            <w:r w:rsidR="00BA30EB" w:rsidRPr="005C5C45">
              <w:t xml:space="preserve">drafting </w:t>
            </w:r>
            <w:r w:rsidRPr="005C5C45">
              <w:t>template has noted that it is very user-friendly. Moving forward, the IRM researcher recommends this commitment be added to future action plans until it is fully completed, and recommends its scope be expanded to cover local authorities that produce legislation.</w:t>
            </w:r>
          </w:p>
        </w:tc>
      </w:tr>
      <w:tr w:rsidR="005531BD" w:rsidRPr="005C5C45" w14:paraId="1C60199C" w14:textId="77777777" w:rsidTr="00B50220">
        <w:trPr>
          <w:trHeight w:val="367"/>
          <w:jc w:val="center"/>
        </w:trPr>
        <w:tc>
          <w:tcPr>
            <w:tcW w:w="3078" w:type="dxa"/>
            <w:shd w:val="clear" w:color="auto" w:fill="auto"/>
          </w:tcPr>
          <w:p w14:paraId="43C18C1F" w14:textId="77777777" w:rsidR="005531BD" w:rsidRPr="005C5C45" w:rsidRDefault="005531BD" w:rsidP="00B50220">
            <w:pPr>
              <w:rPr>
                <w:b/>
              </w:rPr>
            </w:pPr>
            <w:r w:rsidRPr="005C5C45">
              <w:rPr>
                <w:b/>
              </w:rPr>
              <w:t>7. Improving policy practices</w:t>
            </w:r>
          </w:p>
          <w:p w14:paraId="73296297" w14:textId="77777777" w:rsidR="005531BD" w:rsidRPr="005C5C45" w:rsidRDefault="005531BD" w:rsidP="00B50220">
            <w:pPr>
              <w:pStyle w:val="ListParagraph"/>
            </w:pPr>
            <w:r w:rsidRPr="005C5C45">
              <w:t xml:space="preserve">OGP Value Relevance: Clear </w:t>
            </w:r>
          </w:p>
          <w:p w14:paraId="15B83930" w14:textId="77777777" w:rsidR="005531BD" w:rsidRPr="005C5C45" w:rsidRDefault="005531BD" w:rsidP="00B50220">
            <w:pPr>
              <w:pStyle w:val="ListParagraph"/>
            </w:pPr>
            <w:r w:rsidRPr="005C5C45">
              <w:t>Potential Impact: Minor</w:t>
            </w:r>
          </w:p>
          <w:p w14:paraId="5776A381" w14:textId="77777777" w:rsidR="005531BD" w:rsidRPr="005C5C45" w:rsidRDefault="005531BD" w:rsidP="00B50220">
            <w:pPr>
              <w:pStyle w:val="ListParagraph"/>
              <w:rPr>
                <w:b/>
              </w:rPr>
            </w:pPr>
            <w:r w:rsidRPr="005C5C45">
              <w:t>Completion: Substantial</w:t>
            </w:r>
          </w:p>
        </w:tc>
        <w:tc>
          <w:tcPr>
            <w:tcW w:w="6732" w:type="dxa"/>
            <w:shd w:val="clear" w:color="auto" w:fill="auto"/>
          </w:tcPr>
          <w:p w14:paraId="7D6B671F" w14:textId="4D1BBA79" w:rsidR="005531BD" w:rsidRPr="005C5C45" w:rsidDel="006D4D31" w:rsidRDefault="005531BD" w:rsidP="00B50220">
            <w:pPr>
              <w:pStyle w:val="Rowcolumntitles"/>
            </w:pPr>
            <w:r w:rsidRPr="005C5C45">
              <w:t>The Policy Project was established to improve the quality of policy advice across government, and focuses on building a system that supports and enables good government decision</w:t>
            </w:r>
            <w:r w:rsidR="00C401DA">
              <w:t>-</w:t>
            </w:r>
            <w:r w:rsidRPr="005C5C45">
              <w:t xml:space="preserve">making. As part of this project, this commitment aims to improve consultation practices by creating accessible guidance material for policymakers. Adding new approaches to </w:t>
            </w:r>
            <w:r w:rsidR="00AB399A">
              <w:t xml:space="preserve">public </w:t>
            </w:r>
            <w:r w:rsidR="00240717" w:rsidRPr="005C5C45">
              <w:t>engag</w:t>
            </w:r>
            <w:r w:rsidR="00240717">
              <w:t>ement</w:t>
            </w:r>
            <w:r w:rsidRPr="005C5C45">
              <w:t xml:space="preserve"> is a major step in creating user-led policy. However, the guidance material will not be developed collaboratively and stakeholders have noted the commitment’s internal focus. By the time of this report, the online policy toolkit has been designed with government officials</w:t>
            </w:r>
            <w:r w:rsidR="002F67AC" w:rsidRPr="005C5C45">
              <w:t>’</w:t>
            </w:r>
            <w:r w:rsidRPr="005C5C45">
              <w:t xml:space="preserve"> input. Moving forward, the IRM </w:t>
            </w:r>
            <w:proofErr w:type="gramStart"/>
            <w:r w:rsidRPr="005C5C45">
              <w:t>researcher recommends the government test the policy toolkit with stakeholders and collaboratively develop</w:t>
            </w:r>
            <w:proofErr w:type="gramEnd"/>
            <w:r w:rsidRPr="005C5C45">
              <w:t xml:space="preserve"> a framework for public participation. </w:t>
            </w:r>
          </w:p>
        </w:tc>
      </w:tr>
    </w:tbl>
    <w:p w14:paraId="32C3ABD7" w14:textId="77777777" w:rsidR="005531BD" w:rsidRPr="005C5C45" w:rsidRDefault="005531BD" w:rsidP="005531BD">
      <w:pPr>
        <w:pStyle w:val="Heading3"/>
        <w:sectPr w:rsidR="005531BD" w:rsidRPr="005C5C45" w:rsidSect="00FD29D6">
          <w:footerReference w:type="default" r:id="rId17"/>
          <w:footerReference w:type="first" r:id="rId18"/>
          <w:endnotePr>
            <w:numFmt w:val="decimal"/>
            <w:numRestart w:val="eachSect"/>
          </w:endnotePr>
          <w:pgSz w:w="11900" w:h="16840" w:code="9"/>
          <w:pgMar w:top="1440" w:right="1800" w:bottom="1440" w:left="1800" w:header="720" w:footer="720" w:gutter="0"/>
          <w:pgNumType w:chapStyle="1"/>
          <w:cols w:space="720"/>
          <w:titlePg/>
          <w:docGrid w:linePitch="299"/>
        </w:sectPr>
      </w:pPr>
    </w:p>
    <w:p w14:paraId="17A4288E" w14:textId="77777777" w:rsidR="005531BD" w:rsidRPr="005C5C45" w:rsidRDefault="005531BD" w:rsidP="005531BD">
      <w:pPr>
        <w:pStyle w:val="Heading3"/>
      </w:pPr>
      <w:r w:rsidRPr="005C5C45">
        <w:lastRenderedPageBreak/>
        <w:t>Recommendations</w:t>
      </w:r>
    </w:p>
    <w:p w14:paraId="0FB49413" w14:textId="74BCF3DE" w:rsidR="00BA30EB" w:rsidRPr="005C5C45" w:rsidRDefault="005531BD" w:rsidP="00B50220">
      <w:pPr>
        <w:pStyle w:val="Normalrglronly"/>
      </w:pPr>
      <w:r w:rsidRPr="005C5C45">
        <w:t>Developing the third national action plan immediately after the September 2017 general election provides a singular opportunity to pursue open government issues identified by external stakeholders. Under the new administration, it is critical that the government actively collaborate with the public in develop</w:t>
      </w:r>
      <w:r w:rsidR="00A508F3">
        <w:t xml:space="preserve">ing </w:t>
      </w:r>
      <w:r w:rsidRPr="005C5C45">
        <w:t xml:space="preserve">the next action plan, broaden participation in the OGP process, and include ambitious commitments on access to information, </w:t>
      </w:r>
      <w:proofErr w:type="spellStart"/>
      <w:r w:rsidRPr="005C5C45">
        <w:t>whistleblower</w:t>
      </w:r>
      <w:proofErr w:type="spellEnd"/>
      <w:r w:rsidRPr="005C5C45">
        <w:t xml:space="preserve"> protection, company beneficial ownersh</w:t>
      </w:r>
      <w:r w:rsidR="00B50220" w:rsidRPr="005C5C45">
        <w:t>ip, and other priority issues.</w:t>
      </w:r>
    </w:p>
    <w:p w14:paraId="1DA15121" w14:textId="77777777" w:rsidR="005531BD" w:rsidRPr="005C5C45" w:rsidRDefault="005531BD" w:rsidP="00B50220">
      <w:pPr>
        <w:pStyle w:val="Normalrglronly"/>
      </w:pPr>
      <w:r w:rsidRPr="005C5C45">
        <w:t xml:space="preserve">Beginning in 2014, all OGP IRM reports include five key recommendations about the next OGP action planning cycle. Governments participating in OGP will be required to respond to these key recommendations in their annual self-assessments. These recommendations follow the SMART logic; they are Specific, Measurable, Answerable, Relevant, and </w:t>
      </w:r>
      <w:proofErr w:type="spellStart"/>
      <w:r w:rsidRPr="005C5C45">
        <w:t>Timebound</w:t>
      </w:r>
      <w:proofErr w:type="spellEnd"/>
      <w:r w:rsidRPr="005C5C45">
        <w:t>. Given these findings, the IRM researcher presents the following key recommendations:</w:t>
      </w:r>
    </w:p>
    <w:p w14:paraId="50B2299E" w14:textId="77777777" w:rsidR="005531BD" w:rsidRPr="005C5C45" w:rsidRDefault="005531BD" w:rsidP="005531BD">
      <w:pPr>
        <w:pStyle w:val="Tableheader"/>
      </w:pPr>
      <w:r w:rsidRPr="005C5C45">
        <w:t>Table 3: Five Key Recommendations</w:t>
      </w:r>
    </w:p>
    <w:tbl>
      <w:tblPr>
        <w:tblStyle w:val="TableGrid"/>
        <w:tblW w:w="0" w:type="auto"/>
        <w:jc w:val="center"/>
        <w:tblLook w:val="04A0" w:firstRow="1" w:lastRow="0" w:firstColumn="1" w:lastColumn="0" w:noHBand="0" w:noVBand="1"/>
      </w:tblPr>
      <w:tblGrid>
        <w:gridCol w:w="8408"/>
      </w:tblGrid>
      <w:tr w:rsidR="005531BD" w:rsidRPr="005C5C45" w14:paraId="5E0DB785" w14:textId="77777777" w:rsidTr="00B50220">
        <w:trPr>
          <w:jc w:val="center"/>
        </w:trPr>
        <w:tc>
          <w:tcPr>
            <w:tcW w:w="8408" w:type="dxa"/>
          </w:tcPr>
          <w:p w14:paraId="5DF368F0" w14:textId="71D5CD90" w:rsidR="005531BD" w:rsidRPr="005C5C45" w:rsidRDefault="00351B40" w:rsidP="00F10796">
            <w:pPr>
              <w:pStyle w:val="Normalrglronly"/>
            </w:pPr>
            <w:r w:rsidRPr="00351B40">
              <w:t>Expand the Expert Advisory Panel to include greater civil society representation</w:t>
            </w:r>
          </w:p>
        </w:tc>
      </w:tr>
      <w:tr w:rsidR="005531BD" w:rsidRPr="005C5C45" w14:paraId="59A737DE" w14:textId="77777777" w:rsidTr="00B50220">
        <w:trPr>
          <w:jc w:val="center"/>
        </w:trPr>
        <w:tc>
          <w:tcPr>
            <w:tcW w:w="8408" w:type="dxa"/>
          </w:tcPr>
          <w:p w14:paraId="4F465E94" w14:textId="323C01FA" w:rsidR="005531BD" w:rsidRPr="005C5C45" w:rsidRDefault="00351B40" w:rsidP="00F10796">
            <w:pPr>
              <w:pStyle w:val="Normalrglronly"/>
            </w:pPr>
            <w:r w:rsidRPr="00351B40">
              <w:t>Reform official information laws and refocus the Open Data and Information Programme to publish social, environmental, and budget expenditure data</w:t>
            </w:r>
          </w:p>
        </w:tc>
      </w:tr>
      <w:tr w:rsidR="005531BD" w:rsidRPr="005C5C45" w14:paraId="38167598" w14:textId="77777777" w:rsidTr="00B50220">
        <w:trPr>
          <w:jc w:val="center"/>
        </w:trPr>
        <w:tc>
          <w:tcPr>
            <w:tcW w:w="8408" w:type="dxa"/>
          </w:tcPr>
          <w:p w14:paraId="7F173342" w14:textId="77777777" w:rsidR="005531BD" w:rsidRPr="005C5C45" w:rsidRDefault="005531BD" w:rsidP="00F10796">
            <w:pPr>
              <w:pStyle w:val="Normalrglronly"/>
            </w:pPr>
            <w:r w:rsidRPr="005C5C45">
              <w:t>Develop standards for public consultation on policy initiatives</w:t>
            </w:r>
          </w:p>
        </w:tc>
      </w:tr>
      <w:tr w:rsidR="005531BD" w:rsidRPr="005C5C45" w14:paraId="2A22E889" w14:textId="77777777" w:rsidTr="00B50220">
        <w:trPr>
          <w:jc w:val="center"/>
        </w:trPr>
        <w:tc>
          <w:tcPr>
            <w:tcW w:w="8408" w:type="dxa"/>
          </w:tcPr>
          <w:p w14:paraId="50AA238E" w14:textId="7018CA38" w:rsidR="005531BD" w:rsidRPr="005C5C45" w:rsidRDefault="00351B40" w:rsidP="00F10796">
            <w:pPr>
              <w:pStyle w:val="Normalrglronly"/>
            </w:pPr>
            <w:r w:rsidRPr="00351B40">
              <w:t xml:space="preserve">Include anti-corruption commitments in the next action plan, covering </w:t>
            </w:r>
            <w:proofErr w:type="spellStart"/>
            <w:r w:rsidRPr="00351B40">
              <w:t>whistleblower</w:t>
            </w:r>
            <w:proofErr w:type="spellEnd"/>
            <w:r w:rsidRPr="00351B40">
              <w:t xml:space="preserve"> protection and a public register of company beneficial ownership</w:t>
            </w:r>
          </w:p>
        </w:tc>
      </w:tr>
      <w:tr w:rsidR="005531BD" w:rsidRPr="005C5C45" w14:paraId="5C6EE1F2" w14:textId="77777777" w:rsidTr="00B50220">
        <w:trPr>
          <w:jc w:val="center"/>
        </w:trPr>
        <w:tc>
          <w:tcPr>
            <w:tcW w:w="8408" w:type="dxa"/>
          </w:tcPr>
          <w:p w14:paraId="183FA378" w14:textId="0212C9D9" w:rsidR="005531BD" w:rsidRPr="005C5C45" w:rsidRDefault="00351B40" w:rsidP="00F10796">
            <w:pPr>
              <w:pStyle w:val="Normalrglronly"/>
            </w:pPr>
            <w:r w:rsidRPr="00351B40">
              <w:t xml:space="preserve">Introduce citizenship education to increase democratic </w:t>
            </w:r>
            <w:proofErr w:type="gramStart"/>
            <w:r w:rsidRPr="00351B40">
              <w:t xml:space="preserve">participation  </w:t>
            </w:r>
            <w:proofErr w:type="gramEnd"/>
          </w:p>
        </w:tc>
      </w:tr>
    </w:tbl>
    <w:p w14:paraId="24DEF953" w14:textId="77777777" w:rsidR="005531BD" w:rsidRPr="005C5C45" w:rsidRDefault="005531BD" w:rsidP="005531BD"/>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E6D3" w:themeFill="accent1" w:themeFillTint="33"/>
        <w:tblLayout w:type="fixed"/>
        <w:tblLook w:val="04A0" w:firstRow="1" w:lastRow="0" w:firstColumn="1" w:lastColumn="0" w:noHBand="0" w:noVBand="1"/>
      </w:tblPr>
      <w:tblGrid>
        <w:gridCol w:w="9900"/>
      </w:tblGrid>
      <w:tr w:rsidR="005531BD" w:rsidRPr="005C5C45" w14:paraId="0B868ECE" w14:textId="77777777" w:rsidTr="00B50220">
        <w:trPr>
          <w:trHeight w:val="300"/>
          <w:jc w:val="center"/>
        </w:trPr>
        <w:tc>
          <w:tcPr>
            <w:tcW w:w="9900" w:type="dxa"/>
            <w:shd w:val="clear" w:color="auto" w:fill="FAE6D3" w:themeFill="accent1" w:themeFillTint="33"/>
            <w:noWrap/>
            <w:vAlign w:val="bottom"/>
          </w:tcPr>
          <w:p w14:paraId="190FBB06" w14:textId="77777777" w:rsidR="005531BD" w:rsidRPr="005C5C45" w:rsidRDefault="005531BD" w:rsidP="00B50220">
            <w:pPr>
              <w:pStyle w:val="Normalrglronly"/>
            </w:pPr>
            <w:r w:rsidRPr="005C5C45">
              <w:rPr>
                <w:b/>
                <w:bCs w:val="0"/>
              </w:rPr>
              <w:t>Eligibility Requirements:</w:t>
            </w:r>
            <w:r w:rsidRPr="005C5C45">
              <w:t xml:space="preserve"> To participate in OGP, governments must demonstrate commitment to open government by meeting minimum criteria on key dimensions of open government. Third-party indicators are used to determine country progress on each of the dimensions. For more information, see Section VII on eligibility requirements at the end of this report or visit</w:t>
            </w:r>
            <w:r w:rsidRPr="005C5C45">
              <w:rPr>
                <w:szCs w:val="16"/>
              </w:rPr>
              <w:t xml:space="preserve"> </w:t>
            </w:r>
            <w:r w:rsidRPr="005C5C45">
              <w:t>bit.ly/1929F1l</w:t>
            </w:r>
            <w:r w:rsidRPr="005C5C45">
              <w:rPr>
                <w:szCs w:val="16"/>
              </w:rPr>
              <w:t xml:space="preserve">. </w:t>
            </w:r>
          </w:p>
        </w:tc>
      </w:tr>
    </w:tbl>
    <w:bookmarkStart w:id="7" w:name="_Toc485118542"/>
    <w:p w14:paraId="44211C19" w14:textId="77777777" w:rsidR="00B962C0" w:rsidRPr="005C5C45" w:rsidRDefault="00165763" w:rsidP="005531BD">
      <w:pPr>
        <w:pStyle w:val="Tableheader"/>
        <w:sectPr w:rsidR="00B962C0" w:rsidRPr="005C5C45" w:rsidSect="00FD29D6">
          <w:footerReference w:type="default" r:id="rId19"/>
          <w:footerReference w:type="first" r:id="rId20"/>
          <w:endnotePr>
            <w:numFmt w:val="decimal"/>
            <w:numRestart w:val="eachSect"/>
          </w:endnotePr>
          <w:pgSz w:w="11900" w:h="16840" w:code="9"/>
          <w:pgMar w:top="1440" w:right="1800" w:bottom="1440" w:left="1800" w:header="720" w:footer="720" w:gutter="0"/>
          <w:pgNumType w:chapStyle="1"/>
          <w:cols w:space="720"/>
          <w:titlePg/>
          <w:docGrid w:linePitch="299"/>
        </w:sectPr>
      </w:pPr>
      <w:r w:rsidRPr="005C5C45">
        <w:rPr>
          <w:noProof/>
          <w:lang w:val="en-US"/>
        </w:rPr>
        <mc:AlternateContent>
          <mc:Choice Requires="wpg">
            <w:drawing>
              <wp:inline distT="0" distB="0" distL="0" distR="0" wp14:anchorId="62B27EEC" wp14:editId="74BC1579">
                <wp:extent cx="6216650" cy="2430145"/>
                <wp:effectExtent l="76200" t="50800" r="6350" b="135255"/>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2430145"/>
                          <a:chOff x="386" y="11925"/>
                          <a:chExt cx="9207" cy="4475"/>
                        </a:xfrm>
                      </wpg:grpSpPr>
                      <wps:wsp>
                        <wps:cNvPr id="2" name="Rectangle 11"/>
                        <wps:cNvSpPr>
                          <a:spLocks noChangeArrowheads="1"/>
                        </wps:cNvSpPr>
                        <wps:spPr bwMode="auto">
                          <a:xfrm>
                            <a:off x="386" y="11925"/>
                            <a:ext cx="7549" cy="4475"/>
                          </a:xfrm>
                          <a:prstGeom prst="rect">
                            <a:avLst/>
                          </a:prstGeom>
                          <a:gradFill rotWithShape="1">
                            <a:gsLst>
                              <a:gs pos="0">
                                <a:srgbClr val="A7BFDE">
                                  <a:alpha val="14998"/>
                                </a:srgbClr>
                              </a:gs>
                              <a:gs pos="100000">
                                <a:srgbClr val="4F81BD">
                                  <a:alpha val="14998"/>
                                </a:srgbClr>
                              </a:gs>
                            </a:gsLst>
                            <a:lin ang="5400000"/>
                          </a:gradFill>
                          <a:ln w="9525">
                            <a:solidFill>
                              <a:srgbClr val="4579B8"/>
                            </a:solidFill>
                            <a:miter lim="800000"/>
                            <a:headEnd/>
                            <a:tailEnd/>
                          </a:ln>
                          <a:effectLst>
                            <a:outerShdw blurRad="63500" dist="23000" dir="5400000" rotWithShape="0">
                              <a:srgbClr val="000000">
                                <a:alpha val="34998"/>
                              </a:srgbClr>
                            </a:outerShdw>
                          </a:effectLst>
                        </wps:spPr>
                        <wps:txbx>
                          <w:txbxContent>
                            <w:p w14:paraId="43AA07DA" w14:textId="741542C9" w:rsidR="001A2E4A" w:rsidRPr="00495F6C" w:rsidRDefault="001A2E4A" w:rsidP="00495F6C">
                              <w:pPr>
                                <w:ind w:right="285"/>
                                <w:rPr>
                                  <w:sz w:val="20"/>
                                </w:rPr>
                              </w:pPr>
                              <w:proofErr w:type="spellStart"/>
                              <w:r w:rsidRPr="00495F6C">
                                <w:rPr>
                                  <w:sz w:val="20"/>
                                </w:rPr>
                                <w:t>Keitha</w:t>
                              </w:r>
                              <w:proofErr w:type="spellEnd"/>
                              <w:r w:rsidRPr="00495F6C">
                                <w:rPr>
                                  <w:sz w:val="20"/>
                                </w:rPr>
                                <w:t xml:space="preserve"> Booth is an Independent Consultant advising and commenting on open government and information-related matters. She is a graduate of Victoria University of Wellington, NZ, with a bachelor’s degree in the humanities and postgraduate qualifications in librarianship and information systems. She has extensive experience in e-government matters and led NZ’s Open Government Information and Data Programme which promoted innovative and legal re-use of public information to drive growth, and illustrate the government's performance. </w:t>
                              </w:r>
                              <w:proofErr w:type="spellStart"/>
                              <w:r w:rsidRPr="00495F6C">
                                <w:rPr>
                                  <w:sz w:val="20"/>
                                </w:rPr>
                                <w:t>Keitha</w:t>
                              </w:r>
                              <w:proofErr w:type="spellEnd"/>
                              <w:r w:rsidRPr="00495F6C">
                                <w:rPr>
                                  <w:sz w:val="20"/>
                                </w:rPr>
                                <w:t xml:space="preserve"> has over 30 years of research experience and has presented </w:t>
                              </w:r>
                              <w:r>
                                <w:rPr>
                                  <w:sz w:val="20"/>
                                </w:rPr>
                                <w:t xml:space="preserve">internationally </w:t>
                              </w:r>
                              <w:r w:rsidRPr="00495F6C">
                                <w:rPr>
                                  <w:sz w:val="20"/>
                                </w:rPr>
                                <w:t>on e-government, open government, open licensing and open data. She is an Associate of the Open Data Institute (UK) and a Digital New Zealand Advisory Board Member.</w:t>
                              </w:r>
                            </w:p>
                            <w:p w14:paraId="6CFC1BA5" w14:textId="77777777" w:rsidR="001A2E4A" w:rsidRPr="00495F6C" w:rsidRDefault="001A2E4A" w:rsidP="00165763">
                              <w:pPr>
                                <w:ind w:right="285"/>
                                <w:rPr>
                                  <w:sz w:val="20"/>
                                </w:rPr>
                              </w:pPr>
                            </w:p>
                            <w:p w14:paraId="1EBD86E6" w14:textId="77777777" w:rsidR="001A2E4A" w:rsidRPr="00442C2F" w:rsidRDefault="001A2E4A" w:rsidP="00165763">
                              <w:pPr>
                                <w:ind w:right="285"/>
                                <w:rPr>
                                  <w:rFonts w:eastAsia="Times New Roman"/>
                                  <w:color w:val="000000"/>
                                  <w:sz w:val="20"/>
                                </w:rPr>
                              </w:pPr>
                              <w:r w:rsidRPr="00495F6C">
                                <w:rPr>
                                  <w:sz w:val="20"/>
                                </w:rPr>
                                <w:t>The Open Government Partnership (OGP) aims to secure concrete commitments from governments to promote transparency, empower citizens, fight corruption, and harness new technologies to strengthen governance. OGP’s Independent Reporting Mechanism (IRM) assesses development and implementation of national action plans to foster dialogue among stakeholders and improve accountability.</w:t>
                              </w:r>
                            </w:p>
                          </w:txbxContent>
                        </wps:txbx>
                        <wps:bodyPr rot="0" vert="horz" wrap="square" lIns="91440" tIns="45720" rIns="91440" bIns="45720" anchor="ctr" anchorCtr="0" upright="1">
                          <a:noAutofit/>
                        </wps:bodyPr>
                      </wps:wsp>
                      <pic:pic xmlns:pic="http://schemas.openxmlformats.org/drawingml/2006/picture">
                        <pic:nvPicPr>
                          <pic:cNvPr id="3" name="Picture 10"/>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354" y="14455"/>
                            <a:ext cx="1239" cy="17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B27EEC" id="Group 9" o:spid="_x0000_s1028" style="width:489.5pt;height:191.35pt;mso-position-horizontal-relative:char;mso-position-vertical-relative:line" coordorigin="386,11925" coordsize="9207,4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">
                <v:rect id="Rectangle 11" o:spid="_x0000_s1029" style="position:absolute;left:386;top:11925;width:7549;height:4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" fillcolor="#a7bfde" strokecolor="#4579b8">
                  <v:fill opacity="9829f" color2="#4f81bd" o:opacity2="9829f" rotate="t" focus="100%" type="gradient">
                    <o:fill v:ext="view" type="gradientUnscaled"/>
                  </v:fill>
                  <v:shadow on="t" color="black" opacity="22936f" origin=",.5" offset="0,.63889mm"/>
                  <v:textbox>
                    <w:txbxContent>
                      <w:p w14:paraId="43AA07DA" w14:textId="741542C9" w:rsidR="00674BD5" w:rsidRPr="00495F6C" w:rsidRDefault="00674BD5" w:rsidP="00495F6C">
                        <w:pPr>
                          <w:ind w:right="285"/>
                          <w:rPr>
                            <w:sz w:val="20"/>
                          </w:rPr>
                        </w:pPr>
                        <w:r w:rsidRPr="00495F6C">
                          <w:rPr>
                            <w:sz w:val="20"/>
                          </w:rPr>
                          <w:t xml:space="preserve">Keitha Booth is an Independent Consultant advising and commenting on open government and information-related matters. She is a graduate of Victoria University of Wellington, NZ, with a bachelor’s degree in the humanities and postgraduate qualifications in librarianship and information systems. She has extensive experience in e-government matters and led NZ’s Open Government Information and Data Programme which promoted innovative and legal re-use of public information to drive growth, and illustrate the government's performance. Keitha has over 30 years of research experience and has presented </w:t>
                        </w:r>
                        <w:r>
                          <w:rPr>
                            <w:sz w:val="20"/>
                          </w:rPr>
                          <w:t xml:space="preserve">internationally </w:t>
                        </w:r>
                        <w:r w:rsidRPr="00495F6C">
                          <w:rPr>
                            <w:sz w:val="20"/>
                          </w:rPr>
                          <w:t>on e-government, open government, open licensing and open data. She is an Associate of the Open Data Institute (UK) and a Digital New Zealand Advisory Board Member.</w:t>
                        </w:r>
                      </w:p>
                      <w:p w14:paraId="6CFC1BA5" w14:textId="77777777" w:rsidR="00674BD5" w:rsidRPr="00495F6C" w:rsidRDefault="00674BD5" w:rsidP="00165763">
                        <w:pPr>
                          <w:ind w:right="285"/>
                          <w:rPr>
                            <w:sz w:val="20"/>
                          </w:rPr>
                        </w:pPr>
                      </w:p>
                      <w:p w14:paraId="1EBD86E6" w14:textId="77777777" w:rsidR="00674BD5" w:rsidRPr="00442C2F" w:rsidRDefault="00674BD5" w:rsidP="00165763">
                        <w:pPr>
                          <w:ind w:right="285"/>
                          <w:rPr>
                            <w:rFonts w:eastAsia="Times New Roman"/>
                            <w:color w:val="000000"/>
                            <w:sz w:val="20"/>
                          </w:rPr>
                        </w:pPr>
                        <w:r w:rsidRPr="00495F6C">
                          <w:rPr>
                            <w:sz w:val="20"/>
                          </w:rPr>
                          <w:t>The Open Government Partnership (OGP) aims to secure concrete commitments from governments to promote transparency, empower citizens, fight corruption, and harness new technologies to strengthen governance. OGP’s Independent Reporting Mechanism (IRM) assesses development and implementation of national action plans to foster dialogue among stakeholders and improve accountability.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style="position:absolute;left:8354;top:14455;width:1239;height:1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">
                  <v:imagedata r:id="rId22" o:title=""/>
                  <o:lock v:ext="edit" aspectratio="f"/>
                </v:shape>
                <w10:anchorlock/>
              </v:group>
            </w:pict>
          </mc:Fallback>
        </mc:AlternateContent>
      </w:r>
      <w:bookmarkEnd w:id="7"/>
    </w:p>
    <w:p w14:paraId="453FCBD1" w14:textId="77777777" w:rsidR="00C616F0" w:rsidRPr="005C5C45" w:rsidRDefault="00C616F0" w:rsidP="00140FB3">
      <w:pPr>
        <w:pStyle w:val="Heading1"/>
      </w:pPr>
      <w:bookmarkStart w:id="8" w:name="_Toc377998805"/>
      <w:r w:rsidRPr="005C5C45">
        <w:lastRenderedPageBreak/>
        <w:t xml:space="preserve">I. </w:t>
      </w:r>
      <w:bookmarkEnd w:id="0"/>
      <w:r w:rsidR="009318CE" w:rsidRPr="005C5C45">
        <w:t>I</w:t>
      </w:r>
      <w:r w:rsidR="004B53CF" w:rsidRPr="005C5C45">
        <w:t>ntroduction</w:t>
      </w:r>
      <w:bookmarkEnd w:id="8"/>
    </w:p>
    <w:p w14:paraId="3B7AD782" w14:textId="6EB0007E" w:rsidR="0000562E" w:rsidRPr="005C5C45" w:rsidRDefault="00C616F0" w:rsidP="00B50220">
      <w:pPr>
        <w:pStyle w:val="Normalrglronly"/>
      </w:pPr>
      <w:bookmarkStart w:id="9" w:name="h.3znysh7" w:colFirst="0" w:colLast="0"/>
      <w:bookmarkEnd w:id="9"/>
      <w:r w:rsidRPr="005C5C45">
        <w:t>The Open Government Partnership (OGP) is a</w:t>
      </w:r>
      <w:r w:rsidR="00B814C8" w:rsidRPr="005C5C45">
        <w:t>n international</w:t>
      </w:r>
      <w:r w:rsidRPr="005C5C45">
        <w:t xml:space="preserve"> multi</w:t>
      </w:r>
      <w:r w:rsidR="00FF2303">
        <w:t>-</w:t>
      </w:r>
      <w:r w:rsidRPr="005C5C45">
        <w:t xml:space="preserve">stakeholder initiative that aims to secure concrete commitments from governments to their citizenry to promote transparency, empower citizens, fight corruption, and harness </w:t>
      </w:r>
      <w:r w:rsidRPr="005C5C45">
        <w:rPr>
          <w:rFonts w:ascii="GillSans" w:hAnsi="GillSans"/>
        </w:rPr>
        <w:t>new technologies to strengthen governance. OGP provides an international forum for dialogue and sharing among governments</w:t>
      </w:r>
      <w:r w:rsidRPr="005C5C45">
        <w:t>, civil society organizations, and the private sector, all of which contribute to a comm</w:t>
      </w:r>
      <w:r w:rsidR="009608CD" w:rsidRPr="005C5C45">
        <w:t>on pursuit of open government.</w:t>
      </w:r>
    </w:p>
    <w:p w14:paraId="72AA741C" w14:textId="77777777" w:rsidR="00EA2F88" w:rsidRPr="005C5C45" w:rsidRDefault="003811C4" w:rsidP="00B50220">
      <w:pPr>
        <w:pStyle w:val="Normalrglronly"/>
      </w:pPr>
      <w:r w:rsidRPr="005C5C45">
        <w:t>N</w:t>
      </w:r>
      <w:r w:rsidR="00CA1F11" w:rsidRPr="005C5C45">
        <w:t xml:space="preserve">ew </w:t>
      </w:r>
      <w:r w:rsidRPr="005C5C45">
        <w:t>Z</w:t>
      </w:r>
      <w:r w:rsidR="00CA1F11" w:rsidRPr="005C5C45">
        <w:t xml:space="preserve">ealand </w:t>
      </w:r>
      <w:r w:rsidR="00C616F0" w:rsidRPr="005C5C45">
        <w:t>be</w:t>
      </w:r>
      <w:r w:rsidR="00605BF5" w:rsidRPr="005C5C45">
        <w:t>g</w:t>
      </w:r>
      <w:r w:rsidR="00BA130C" w:rsidRPr="005C5C45">
        <w:t>an its formal participation in October 2013</w:t>
      </w:r>
      <w:r w:rsidR="00390ECE" w:rsidRPr="005C5C45">
        <w:t xml:space="preserve"> when </w:t>
      </w:r>
      <w:r w:rsidR="00BA130C" w:rsidRPr="005C5C45">
        <w:t>then Prime Minister John Key declared his country’s intention to participate in the initiative</w:t>
      </w:r>
      <w:r w:rsidR="004159D7" w:rsidRPr="005C5C45">
        <w:t>.</w:t>
      </w:r>
      <w:r w:rsidR="00EA2F88" w:rsidRPr="005C5C45">
        <w:rPr>
          <w:rStyle w:val="EndnoteReference"/>
          <w:bCs w:val="0"/>
        </w:rPr>
        <w:endnoteReference w:id="1"/>
      </w:r>
      <w:r w:rsidR="004159D7" w:rsidRPr="005C5C45">
        <w:t xml:space="preserve"> </w:t>
      </w:r>
      <w:r w:rsidR="00EA2F88" w:rsidRPr="005C5C45">
        <w:t>Its first action plan was published on 31 October 2014</w:t>
      </w:r>
      <w:r w:rsidR="004159D7" w:rsidRPr="005C5C45">
        <w:t>.</w:t>
      </w:r>
      <w:r w:rsidR="00EA2F88" w:rsidRPr="005C5C45">
        <w:rPr>
          <w:rStyle w:val="EndnoteReference"/>
          <w:bCs w:val="0"/>
        </w:rPr>
        <w:endnoteReference w:id="2"/>
      </w:r>
    </w:p>
    <w:p w14:paraId="103546DE" w14:textId="77777777" w:rsidR="00EA2F88" w:rsidRPr="005C5C45" w:rsidRDefault="00EA2F88" w:rsidP="00B50220">
      <w:pPr>
        <w:pStyle w:val="Normalrglronly"/>
      </w:pPr>
      <w:r w:rsidRPr="005C5C45">
        <w:t>In order to participate in OGP, governments must demonstrate</w:t>
      </w:r>
      <w:r w:rsidR="00350A52" w:rsidRPr="005C5C45">
        <w:t xml:space="preserve"> a</w:t>
      </w:r>
      <w:r w:rsidRPr="005C5C45">
        <w:t xml:space="preserve"> commitment to open government by meeting a set of (minimum) performance criteria. Objective, </w:t>
      </w:r>
      <w:proofErr w:type="gramStart"/>
      <w:r w:rsidRPr="005C5C45">
        <w:t>third-party</w:t>
      </w:r>
      <w:proofErr w:type="gramEnd"/>
      <w:r w:rsidRPr="005C5C45">
        <w:t xml:space="preserve"> indicators are used to determine the extent of country progress on each of the criteria: fiscal transparency, public officials’ asset disclosure, citizen engagement, and access to information. See Section VII: Eligibility Requirements for more details.</w:t>
      </w:r>
    </w:p>
    <w:p w14:paraId="66EC6D51" w14:textId="77777777" w:rsidR="00EA2F88" w:rsidRPr="005C5C45" w:rsidRDefault="00EA2F88" w:rsidP="00B50220">
      <w:pPr>
        <w:pStyle w:val="Normalrglronly"/>
      </w:pPr>
      <w:r w:rsidRPr="005C5C45">
        <w:t xml:space="preserve">All OGP-participating governments develop OGP action plans that elaborate concrete commitments with the aim of changing practice beyond the status quo over a two-year period. The commitments may build on existing efforts, identify new steps to complete </w:t>
      </w:r>
      <w:proofErr w:type="spellStart"/>
      <w:r w:rsidRPr="005C5C45">
        <w:t>ongoing</w:t>
      </w:r>
      <w:proofErr w:type="spellEnd"/>
      <w:r w:rsidRPr="005C5C45">
        <w:t xml:space="preserve"> reforms, or initiate </w:t>
      </w:r>
      <w:r w:rsidR="004159D7" w:rsidRPr="005C5C45">
        <w:t>action in an entirely new area.</w:t>
      </w:r>
    </w:p>
    <w:p w14:paraId="172A9EE2" w14:textId="2F0FD152" w:rsidR="00EA2F88" w:rsidRPr="005C5C45" w:rsidRDefault="003811C4" w:rsidP="00B50220">
      <w:pPr>
        <w:pStyle w:val="Normalrglronly"/>
      </w:pPr>
      <w:r w:rsidRPr="005C5C45">
        <w:t>N</w:t>
      </w:r>
      <w:r w:rsidR="00421DD9" w:rsidRPr="005C5C45">
        <w:t xml:space="preserve">ew </w:t>
      </w:r>
      <w:r w:rsidRPr="005C5C45">
        <w:t>Z</w:t>
      </w:r>
      <w:r w:rsidR="00421DD9" w:rsidRPr="005C5C45">
        <w:t>ealand</w:t>
      </w:r>
      <w:r w:rsidR="00EA2F88" w:rsidRPr="005C5C45">
        <w:t xml:space="preserve"> developed its second national action plan from 15 July 2016 to 26 August 2016, having been granted a three-month extension by OGP. The official implementation period for the action plan was 1 October 2016 through to 30 June 2018. This year one report covers the action plan development process and first year of implementation, from October 2016 to June 2017. Beginning in 2015, the IRM started publishing end-of-term reports on the final status of progress at the end of the action plan’s two-year period. Any activities or progress occurring after the first year of implementation after June 2017 will be assessed in the end-of-term report. </w:t>
      </w:r>
      <w:r w:rsidR="00EA2F88" w:rsidRPr="005C5C45" w:rsidDel="00B35499">
        <w:t xml:space="preserve"> </w:t>
      </w:r>
      <w:r w:rsidR="00EA2F88" w:rsidRPr="005C5C45">
        <w:t xml:space="preserve">The </w:t>
      </w:r>
      <w:r w:rsidR="00843B85">
        <w:t>G</w:t>
      </w:r>
      <w:r w:rsidR="00EA2F88" w:rsidRPr="005C5C45">
        <w:t>overnment</w:t>
      </w:r>
      <w:r w:rsidR="00862F4C" w:rsidRPr="005C5C45">
        <w:t xml:space="preserve"> publish</w:t>
      </w:r>
      <w:r w:rsidR="000F5DCA" w:rsidRPr="005C5C45">
        <w:t>ed</w:t>
      </w:r>
      <w:r w:rsidR="00862F4C" w:rsidRPr="005C5C45">
        <w:t xml:space="preserve"> its self-assessment on </w:t>
      </w:r>
      <w:r w:rsidR="000F5DCA" w:rsidRPr="005C5C45">
        <w:t>2 October</w:t>
      </w:r>
      <w:r w:rsidR="00862F4C" w:rsidRPr="005C5C45">
        <w:t xml:space="preserve"> 2017</w:t>
      </w:r>
      <w:r w:rsidR="00CB0059">
        <w:t>.</w:t>
      </w:r>
      <w:r w:rsidR="000F5DCA" w:rsidRPr="005C5C45">
        <w:rPr>
          <w:rStyle w:val="EndnoteReference"/>
        </w:rPr>
        <w:endnoteReference w:id="3"/>
      </w:r>
      <w:r w:rsidR="00862F4C" w:rsidRPr="005C5C45">
        <w:t xml:space="preserve"> </w:t>
      </w:r>
      <w:r w:rsidR="00CB033D" w:rsidRPr="005C5C45">
        <w:t>At the time of writing, t</w:t>
      </w:r>
      <w:r w:rsidR="00EA2F88" w:rsidRPr="005C5C45">
        <w:t>he draft self-assessment sought public comment from 19 July to 1 August 2017.</w:t>
      </w:r>
    </w:p>
    <w:p w14:paraId="591E1180" w14:textId="7B0C5F35" w:rsidR="00EA2F88" w:rsidRPr="005C5C45" w:rsidRDefault="00EA2F88" w:rsidP="00B50220">
      <w:pPr>
        <w:pStyle w:val="Normalrglronly"/>
      </w:pPr>
      <w:r w:rsidRPr="005C5C45">
        <w:t xml:space="preserve">In order to meet OGP requirements, the Independent Reporting Mechanism (IRM) of OGP has partnered with </w:t>
      </w:r>
      <w:proofErr w:type="spellStart"/>
      <w:r w:rsidRPr="005C5C45">
        <w:t>Keitha</w:t>
      </w:r>
      <w:proofErr w:type="spellEnd"/>
      <w:r w:rsidRPr="005C5C45">
        <w:t xml:space="preserve"> Booth, who carried out this evaluation of the development and implementation of </w:t>
      </w:r>
      <w:r w:rsidR="003811C4" w:rsidRPr="005C5C45">
        <w:t>N</w:t>
      </w:r>
      <w:r w:rsidR="00421DD9" w:rsidRPr="005C5C45">
        <w:t xml:space="preserve">ew </w:t>
      </w:r>
      <w:r w:rsidR="003811C4" w:rsidRPr="005C5C45">
        <w:t>Z</w:t>
      </w:r>
      <w:r w:rsidR="00421DD9" w:rsidRPr="005C5C45">
        <w:t>ealand</w:t>
      </w:r>
      <w:r w:rsidRPr="005C5C45">
        <w:t xml:space="preserve">’s second action plan. To gather the voices of multiple stakeholders, the IRM researcher </w:t>
      </w:r>
      <w:r w:rsidR="00D70240" w:rsidRPr="005C5C45">
        <w:t xml:space="preserve">met </w:t>
      </w:r>
      <w:r w:rsidRPr="005C5C45">
        <w:t xml:space="preserve">with Wellington and Auckland-based citizens and groups and sought comment via social media. The researcher reviewed the second action plan and the </w:t>
      </w:r>
      <w:r w:rsidR="00F102B4" w:rsidRPr="005C5C45">
        <w:t>midterm self-assessment</w:t>
      </w:r>
      <w:r w:rsidRPr="005C5C45">
        <w:t xml:space="preserve"> as well as the minutes and progress reports available on ogp.org.nz. The report frequently uses content from those documents. The IRM aims to inform </w:t>
      </w:r>
      <w:proofErr w:type="spellStart"/>
      <w:r w:rsidRPr="005C5C45">
        <w:t>ongoing</w:t>
      </w:r>
      <w:proofErr w:type="spellEnd"/>
      <w:r w:rsidRPr="005C5C45">
        <w:t xml:space="preserve"> dialogue around development and implementation of future commitments. Methods and sources are dealt with in Section VI of this report (Methodology and Sources).</w:t>
      </w:r>
    </w:p>
    <w:p w14:paraId="71924DB0" w14:textId="77777777" w:rsidR="00EA2F88" w:rsidRPr="005C5C45" w:rsidRDefault="00EA2F88" w:rsidP="00523A4A">
      <w:pPr>
        <w:pStyle w:val="Heading3"/>
        <w:sectPr w:rsidR="00EA2F88" w:rsidRPr="005C5C45" w:rsidSect="00FD29D6">
          <w:endnotePr>
            <w:numFmt w:val="decimal"/>
            <w:numRestart w:val="eachSect"/>
          </w:endnotePr>
          <w:pgSz w:w="11900" w:h="16840" w:code="9"/>
          <w:pgMar w:top="1440" w:right="1800" w:bottom="1440" w:left="1800" w:header="720" w:footer="720" w:gutter="0"/>
          <w:pgNumType w:chapStyle="1"/>
          <w:cols w:space="720"/>
          <w:titlePg/>
          <w:docGrid w:linePitch="299"/>
        </w:sectPr>
      </w:pPr>
      <w:bookmarkStart w:id="10" w:name="h.2et92p0" w:colFirst="0" w:colLast="0"/>
      <w:bookmarkEnd w:id="10"/>
    </w:p>
    <w:p w14:paraId="14BB5240" w14:textId="77777777" w:rsidR="00664FDA" w:rsidRPr="005C5C45" w:rsidRDefault="00664FDA" w:rsidP="00664FDA">
      <w:pPr>
        <w:pStyle w:val="Heading1"/>
      </w:pPr>
      <w:bookmarkStart w:id="11" w:name="_Toc266021003"/>
      <w:bookmarkStart w:id="12" w:name="_Toc377998806"/>
      <w:r w:rsidRPr="005C5C45">
        <w:lastRenderedPageBreak/>
        <w:t>II. Context</w:t>
      </w:r>
      <w:bookmarkEnd w:id="12"/>
    </w:p>
    <w:p w14:paraId="714F17B8" w14:textId="1EDFA885" w:rsidR="00664FDA" w:rsidRPr="005C5C45" w:rsidRDefault="00664FDA" w:rsidP="00664FDA">
      <w:pPr>
        <w:tabs>
          <w:tab w:val="clear" w:pos="2880"/>
        </w:tabs>
        <w:spacing w:line="240" w:lineRule="atLeast"/>
        <w:textAlignment w:val="top"/>
        <w:rPr>
          <w:color w:val="4BACC6" w:themeColor="accent5"/>
          <w:sz w:val="24"/>
        </w:rPr>
      </w:pPr>
      <w:r w:rsidRPr="005C5C45">
        <w:rPr>
          <w:color w:val="4BACC6" w:themeColor="accent5"/>
          <w:sz w:val="24"/>
        </w:rPr>
        <w:t xml:space="preserve">The implementation of the second national action plan occurs in an environment </w:t>
      </w:r>
      <w:r w:rsidR="00B9053A" w:rsidRPr="005C5C45">
        <w:rPr>
          <w:color w:val="4BACC6" w:themeColor="accent5"/>
          <w:sz w:val="24"/>
        </w:rPr>
        <w:t xml:space="preserve">of </w:t>
      </w:r>
      <w:r w:rsidRPr="005C5C45">
        <w:rPr>
          <w:color w:val="4BACC6" w:themeColor="accent5"/>
          <w:sz w:val="24"/>
        </w:rPr>
        <w:t xml:space="preserve">high standards of openness and transparency. While </w:t>
      </w:r>
      <w:r w:rsidR="005F4603" w:rsidRPr="005C5C45">
        <w:rPr>
          <w:color w:val="4BACC6" w:themeColor="accent5"/>
          <w:sz w:val="24"/>
        </w:rPr>
        <w:t>current</w:t>
      </w:r>
      <w:r w:rsidRPr="005C5C45">
        <w:rPr>
          <w:color w:val="4BACC6" w:themeColor="accent5"/>
          <w:sz w:val="24"/>
        </w:rPr>
        <w:t xml:space="preserve"> commitments focus</w:t>
      </w:r>
      <w:r w:rsidR="00705BE4">
        <w:rPr>
          <w:color w:val="4BACC6" w:themeColor="accent5"/>
          <w:sz w:val="24"/>
        </w:rPr>
        <w:t xml:space="preserve"> on improving </w:t>
      </w:r>
      <w:r w:rsidRPr="005C5C45">
        <w:rPr>
          <w:color w:val="4BACC6" w:themeColor="accent5"/>
          <w:sz w:val="24"/>
        </w:rPr>
        <w:t xml:space="preserve">access to information, budgeting and civic participation, </w:t>
      </w:r>
      <w:proofErr w:type="gramStart"/>
      <w:r w:rsidRPr="005C5C45">
        <w:rPr>
          <w:color w:val="4BACC6" w:themeColor="accent5"/>
          <w:sz w:val="24"/>
        </w:rPr>
        <w:t>the</w:t>
      </w:r>
      <w:proofErr w:type="gramEnd"/>
      <w:r w:rsidRPr="005C5C45">
        <w:rPr>
          <w:color w:val="4BACC6" w:themeColor="accent5"/>
          <w:sz w:val="24"/>
        </w:rPr>
        <w:t xml:space="preserve"> scope </w:t>
      </w:r>
      <w:r w:rsidR="00693E0F" w:rsidRPr="005C5C45">
        <w:rPr>
          <w:color w:val="4BACC6" w:themeColor="accent5"/>
          <w:sz w:val="24"/>
        </w:rPr>
        <w:t>does not</w:t>
      </w:r>
      <w:r w:rsidRPr="005C5C45">
        <w:rPr>
          <w:color w:val="4BACC6" w:themeColor="accent5"/>
          <w:sz w:val="24"/>
        </w:rPr>
        <w:t xml:space="preserve"> adequately address reforming information laws and </w:t>
      </w:r>
      <w:r w:rsidR="00693E0F" w:rsidRPr="005C5C45">
        <w:rPr>
          <w:color w:val="4BACC6" w:themeColor="accent5"/>
          <w:sz w:val="24"/>
        </w:rPr>
        <w:t>measures</w:t>
      </w:r>
      <w:r w:rsidRPr="005C5C45">
        <w:rPr>
          <w:color w:val="4BACC6" w:themeColor="accent5"/>
          <w:sz w:val="24"/>
        </w:rPr>
        <w:t xml:space="preserve"> strengthening </w:t>
      </w:r>
      <w:proofErr w:type="spellStart"/>
      <w:r w:rsidRPr="005C5C45">
        <w:rPr>
          <w:color w:val="4BACC6" w:themeColor="accent5"/>
          <w:sz w:val="24"/>
        </w:rPr>
        <w:t>whistleblower</w:t>
      </w:r>
      <w:proofErr w:type="spellEnd"/>
      <w:r w:rsidRPr="005C5C45">
        <w:rPr>
          <w:color w:val="4BACC6" w:themeColor="accent5"/>
          <w:sz w:val="24"/>
        </w:rPr>
        <w:t xml:space="preserve"> protections. </w:t>
      </w:r>
    </w:p>
    <w:p w14:paraId="024DF013" w14:textId="77777777" w:rsidR="00664FDA" w:rsidRPr="005C5C45" w:rsidRDefault="00664FDA" w:rsidP="00664FDA">
      <w:pPr>
        <w:pStyle w:val="Heading3"/>
      </w:pPr>
      <w:r w:rsidRPr="005C5C45">
        <w:t>2.1 Background</w:t>
      </w:r>
    </w:p>
    <w:p w14:paraId="02FFB0B1" w14:textId="3546FCE2" w:rsidR="00664FDA" w:rsidRPr="005C5C45" w:rsidRDefault="00664FDA" w:rsidP="00B50220">
      <w:pPr>
        <w:pStyle w:val="Normalrglronly"/>
      </w:pPr>
      <w:r w:rsidRPr="005C5C45">
        <w:t xml:space="preserve">New Zealand participates in the OGP starting from a high baseline of openness. As a representative democracy, it has a tradition of active civic engagement through three-year national and local election cycles, </w:t>
      </w:r>
      <w:r w:rsidR="00D51B3B">
        <w:t>as well as</w:t>
      </w:r>
      <w:r w:rsidRPr="005C5C45">
        <w:t xml:space="preserve"> </w:t>
      </w:r>
      <w:r w:rsidR="00D51B3B">
        <w:t xml:space="preserve">participation by </w:t>
      </w:r>
      <w:r w:rsidRPr="005C5C45">
        <w:t xml:space="preserve">civil society groups and the public in parliamentary </w:t>
      </w:r>
      <w:r w:rsidR="00D51B3B">
        <w:t>and</w:t>
      </w:r>
      <w:r w:rsidR="00D51B3B" w:rsidRPr="005C5C45">
        <w:t xml:space="preserve"> </w:t>
      </w:r>
      <w:r w:rsidRPr="005C5C45">
        <w:t xml:space="preserve">local legislative processes. </w:t>
      </w:r>
    </w:p>
    <w:p w14:paraId="262A3B17" w14:textId="48DC4B14" w:rsidR="00664FDA" w:rsidRPr="005C5C45" w:rsidRDefault="00664FDA" w:rsidP="00B50220">
      <w:pPr>
        <w:pStyle w:val="Normalrglronly"/>
      </w:pPr>
      <w:r w:rsidRPr="005C5C45">
        <w:t>The country consistently ranks highly on various ind</w:t>
      </w:r>
      <w:r w:rsidR="00F05BF8">
        <w:t>ice</w:t>
      </w:r>
      <w:r w:rsidRPr="005C5C45">
        <w:t>s measuring transparency, anti-corruption</w:t>
      </w:r>
      <w:r w:rsidR="00F05BF8">
        <w:t>,</w:t>
      </w:r>
      <w:r w:rsidRPr="005C5C45">
        <w:t xml:space="preserve"> and other good governance ratings. New Zealand ranks first, together with Denmark, as the least corrupt country in Transparency International</w:t>
      </w:r>
      <w:r w:rsidR="00F05BF8">
        <w:t>’s</w:t>
      </w:r>
      <w:r w:rsidRPr="005C5C45">
        <w:t xml:space="preserve"> Corruption Perceptions Index.</w:t>
      </w:r>
      <w:r w:rsidRPr="005C5C45">
        <w:rPr>
          <w:rStyle w:val="EndnoteReference"/>
        </w:rPr>
        <w:endnoteReference w:id="4"/>
      </w:r>
      <w:r w:rsidRPr="005C5C45">
        <w:t xml:space="preserve"> As of 2016, New Zealand </w:t>
      </w:r>
      <w:r w:rsidR="00A073A6">
        <w:t>ranked</w:t>
      </w:r>
      <w:r w:rsidRPr="005C5C45">
        <w:t xml:space="preserve"> nearly </w:t>
      </w:r>
      <w:r w:rsidR="00A073A6">
        <w:t xml:space="preserve">at the </w:t>
      </w:r>
      <w:r w:rsidRPr="005C5C45">
        <w:t>100</w:t>
      </w:r>
      <w:r w:rsidRPr="005C5C45">
        <w:rPr>
          <w:vertAlign w:val="superscript"/>
        </w:rPr>
        <w:t>th</w:t>
      </w:r>
      <w:r w:rsidRPr="005C5C45">
        <w:t xml:space="preserve"> percentile on indicators such as voice and accountability, government effectiveness, regulatory quality, and rule of law, as shown in the World Bank’s Worldwide Governance Indicators.</w:t>
      </w:r>
      <w:r w:rsidRPr="005C5C45">
        <w:rPr>
          <w:rStyle w:val="EndnoteReference"/>
        </w:rPr>
        <w:endnoteReference w:id="5"/>
      </w:r>
      <w:r w:rsidRPr="005C5C45">
        <w:t xml:space="preserve"> The government provides </w:t>
      </w:r>
      <w:r w:rsidR="00BD3643" w:rsidRPr="005C5C45">
        <w:t xml:space="preserve">the </w:t>
      </w:r>
      <w:r w:rsidRPr="005C5C45">
        <w:t>public with extensive budget information and publishes all e</w:t>
      </w:r>
      <w:r w:rsidR="00693E0F" w:rsidRPr="005C5C45">
        <w:t>ight key budget document</w:t>
      </w:r>
      <w:r w:rsidRPr="005C5C45">
        <w:t>s consistent with international standards.</w:t>
      </w:r>
      <w:r w:rsidRPr="005C5C45">
        <w:rPr>
          <w:rStyle w:val="EndnoteReference"/>
        </w:rPr>
        <w:endnoteReference w:id="6"/>
      </w:r>
    </w:p>
    <w:p w14:paraId="3D29A217" w14:textId="7FBA9BDB" w:rsidR="000F296E" w:rsidRPr="005C5C45" w:rsidRDefault="000F296E" w:rsidP="00B50220">
      <w:pPr>
        <w:pStyle w:val="Normalrglronly"/>
      </w:pPr>
      <w:r w:rsidRPr="005C5C45">
        <w:t>New Zealand’s OGP eligibility criteria (budget transparency, access to information, asset declaration, and citizen engagement) remain unchanged</w:t>
      </w:r>
      <w:r w:rsidRPr="005C5C45">
        <w:rPr>
          <w:rStyle w:val="EndnoteReference"/>
          <w:bCs w:val="0"/>
        </w:rPr>
        <w:endnoteReference w:id="7"/>
      </w:r>
      <w:r w:rsidRPr="005C5C45">
        <w:t xml:space="preserve"> with the country retaining 100% score. </w:t>
      </w:r>
    </w:p>
    <w:p w14:paraId="013C1C29" w14:textId="77777777" w:rsidR="00664FDA" w:rsidRPr="005C5C45" w:rsidRDefault="00664FDA" w:rsidP="002452FA">
      <w:pPr>
        <w:pStyle w:val="Normalrglronly"/>
        <w:spacing w:after="0"/>
        <w:rPr>
          <w:b/>
          <w:i/>
          <w:iCs/>
          <w:color w:val="3C6EA4" w:themeColor="text2"/>
        </w:rPr>
      </w:pPr>
      <w:r w:rsidRPr="005C5C45">
        <w:rPr>
          <w:rFonts w:cs="Gill Sans"/>
          <w:b/>
          <w:i/>
          <w:iCs/>
          <w:color w:val="3C6EA4" w:themeColor="text2"/>
          <w:szCs w:val="20"/>
        </w:rPr>
        <w:t xml:space="preserve">Access to Information </w:t>
      </w:r>
    </w:p>
    <w:p w14:paraId="7A10EF2A" w14:textId="5B9DF7AF" w:rsidR="00664FDA" w:rsidRPr="005C5C45" w:rsidRDefault="00664FDA" w:rsidP="000B28AA">
      <w:pPr>
        <w:pStyle w:val="Normalrglronly"/>
      </w:pPr>
      <w:r w:rsidRPr="005C5C45">
        <w:t>New Zealand’s Official Information Act 1982 (OIA) scores 94 out of 150 according to the Global Right to Information (RTI) rating, and is the highest among developed, English-speaking countries.</w:t>
      </w:r>
      <w:r w:rsidRPr="005C5C45">
        <w:rPr>
          <w:rStyle w:val="EndnoteReference"/>
        </w:rPr>
        <w:endnoteReference w:id="8"/>
      </w:r>
      <w:r w:rsidRPr="005C5C45">
        <w:t xml:space="preserve"> However, </w:t>
      </w:r>
      <w:r w:rsidR="00BD3643" w:rsidRPr="005C5C45">
        <w:t>government agencies have</w:t>
      </w:r>
      <w:r w:rsidRPr="005C5C45">
        <w:t xml:space="preserve"> been criticised for </w:t>
      </w:r>
      <w:r w:rsidR="00BD3643" w:rsidRPr="005C5C45">
        <w:t>taking</w:t>
      </w:r>
      <w:r w:rsidRPr="005C5C45">
        <w:t xml:space="preserve"> long</w:t>
      </w:r>
      <w:r w:rsidR="00BD3643" w:rsidRPr="005C5C45">
        <w:t>er</w:t>
      </w:r>
      <w:r w:rsidRPr="005C5C45">
        <w:t xml:space="preserve"> period</w:t>
      </w:r>
      <w:r w:rsidR="00BD3643" w:rsidRPr="005C5C45">
        <w:t>s</w:t>
      </w:r>
      <w:r w:rsidRPr="005C5C45">
        <w:t xml:space="preserve"> of time to respond to information requests</w:t>
      </w:r>
      <w:r w:rsidR="00BD3643" w:rsidRPr="005C5C45">
        <w:t xml:space="preserve"> than allowed by </w:t>
      </w:r>
      <w:r w:rsidR="002B2A11" w:rsidRPr="005C5C45">
        <w:t xml:space="preserve">the </w:t>
      </w:r>
      <w:r w:rsidR="00BD3643" w:rsidRPr="005C5C45">
        <w:t>OIA</w:t>
      </w:r>
      <w:r w:rsidRPr="005C5C45">
        <w:t xml:space="preserve">. Agencies’ and </w:t>
      </w:r>
      <w:r w:rsidR="00AA31FF">
        <w:t>m</w:t>
      </w:r>
      <w:r w:rsidRPr="005C5C45">
        <w:t>inisters’ compliance with OIA continues to be a public concern.</w:t>
      </w:r>
      <w:r w:rsidR="00DC24F6" w:rsidRPr="005C5C45">
        <w:rPr>
          <w:rStyle w:val="EndnoteReference"/>
        </w:rPr>
        <w:endnoteReference w:id="9"/>
      </w:r>
      <w:r w:rsidRPr="005C5C45">
        <w:t xml:space="preserve"> The independent authority, the Office of the Chief Ombudsman,</w:t>
      </w:r>
      <w:r w:rsidRPr="005C5C45">
        <w:rPr>
          <w:rStyle w:val="EndnoteReference"/>
          <w:bCs w:val="0"/>
        </w:rPr>
        <w:endnoteReference w:id="10"/>
      </w:r>
      <w:r w:rsidRPr="005C5C45">
        <w:t xml:space="preserve"> publish</w:t>
      </w:r>
      <w:r w:rsidR="008835CA" w:rsidRPr="005C5C45">
        <w:t>es</w:t>
      </w:r>
      <w:r w:rsidRPr="005C5C45">
        <w:t xml:space="preserve"> </w:t>
      </w:r>
      <w:r w:rsidR="00B621AE">
        <w:t>biannual</w:t>
      </w:r>
      <w:r w:rsidRPr="005C5C45">
        <w:t xml:space="preserve"> data on OIA complaints against </w:t>
      </w:r>
      <w:r w:rsidR="00AA31FF">
        <w:t>m</w:t>
      </w:r>
      <w:r w:rsidRPr="005C5C45">
        <w:t>inisters and agencies. In 2017</w:t>
      </w:r>
      <w:r w:rsidR="008060C9">
        <w:t>,</w:t>
      </w:r>
      <w:r w:rsidRPr="005C5C45">
        <w:t xml:space="preserve"> State Services Commission</w:t>
      </w:r>
      <w:r w:rsidR="00BD3643" w:rsidRPr="005C5C45">
        <w:t>er (the Chief Executive)</w:t>
      </w:r>
      <w:r w:rsidRPr="005C5C45">
        <w:t xml:space="preserve"> publicly chided a department for not releasing information under the provisions of the Act.</w:t>
      </w:r>
      <w:r w:rsidRPr="005C5C45">
        <w:rPr>
          <w:rStyle w:val="EndnoteReference"/>
        </w:rPr>
        <w:endnoteReference w:id="11"/>
      </w:r>
      <w:r w:rsidRPr="005C5C45">
        <w:t xml:space="preserve"> </w:t>
      </w:r>
      <w:r w:rsidR="00693E0F" w:rsidRPr="005C5C45">
        <w:t>The previous IRM report recommended reform</w:t>
      </w:r>
      <w:r w:rsidR="00BD3643" w:rsidRPr="005C5C45">
        <w:t>ing</w:t>
      </w:r>
      <w:r w:rsidR="00693E0F" w:rsidRPr="005C5C45">
        <w:t xml:space="preserve"> the OIA to improve public access to information. Commitment </w:t>
      </w:r>
      <w:r w:rsidRPr="005C5C45">
        <w:t xml:space="preserve">2 </w:t>
      </w:r>
      <w:r w:rsidR="00693E0F" w:rsidRPr="005C5C45">
        <w:t xml:space="preserve">in the current action plan </w:t>
      </w:r>
      <w:r w:rsidRPr="005C5C45">
        <w:t>focuses on improving government agency practices around reques</w:t>
      </w:r>
      <w:r w:rsidR="00693E0F" w:rsidRPr="005C5C45">
        <w:t>t</w:t>
      </w:r>
      <w:r w:rsidR="00BD3643" w:rsidRPr="005C5C45">
        <w:t>s</w:t>
      </w:r>
      <w:r w:rsidR="00693E0F" w:rsidRPr="005C5C45">
        <w:t xml:space="preserve"> for official information, but the action plan falls short of addressing a comprehensive reform of the law. </w:t>
      </w:r>
    </w:p>
    <w:p w14:paraId="76B406C8" w14:textId="382A94AC" w:rsidR="00664FDA" w:rsidRPr="005C5C45" w:rsidRDefault="00DB418C" w:rsidP="00B50220">
      <w:pPr>
        <w:pStyle w:val="Normalrglronly"/>
      </w:pPr>
      <w:r w:rsidRPr="005C5C45">
        <w:t>Public c</w:t>
      </w:r>
      <w:r w:rsidR="00664FDA" w:rsidRPr="005C5C45">
        <w:t xml:space="preserve">oncern that the OIA </w:t>
      </w:r>
      <w:r w:rsidR="002C4B2A" w:rsidRPr="005C5C45">
        <w:t xml:space="preserve">does not apply to </w:t>
      </w:r>
      <w:r w:rsidR="00664FDA" w:rsidRPr="005C5C45">
        <w:t>parliamentary bodies continues. In August 2017</w:t>
      </w:r>
      <w:r w:rsidR="00B50220" w:rsidRPr="005C5C45">
        <w:t>,</w:t>
      </w:r>
      <w:r w:rsidR="00664FDA" w:rsidRPr="005C5C45">
        <w:t xml:space="preserve"> the Officers of Parliament Committee did not release the investigator’s draft report on how the Ministry of Transport's Chief Executive</w:t>
      </w:r>
      <w:r w:rsidR="00BD3643" w:rsidRPr="005C5C45">
        <w:t>, whom they subsequently appointed as N</w:t>
      </w:r>
      <w:r w:rsidR="00421DD9" w:rsidRPr="005C5C45">
        <w:t xml:space="preserve">ew </w:t>
      </w:r>
      <w:r w:rsidR="00BD3643" w:rsidRPr="005C5C45">
        <w:t>Z</w:t>
      </w:r>
      <w:r w:rsidR="00421DD9" w:rsidRPr="005C5C45">
        <w:t>ealand</w:t>
      </w:r>
      <w:r w:rsidR="00BD3643" w:rsidRPr="005C5C45">
        <w:t>’s Auditor General,</w:t>
      </w:r>
      <w:r w:rsidR="00664FDA" w:rsidRPr="005C5C45">
        <w:t xml:space="preserve"> had handled allegations against </w:t>
      </w:r>
      <w:r w:rsidR="00BD3643" w:rsidRPr="005C5C45">
        <w:t>one of his</w:t>
      </w:r>
      <w:r w:rsidR="00664FDA" w:rsidRPr="005C5C45">
        <w:t xml:space="preserve"> senior manager</w:t>
      </w:r>
      <w:r w:rsidR="00BD3643" w:rsidRPr="005C5C45">
        <w:t>s</w:t>
      </w:r>
      <w:r w:rsidR="00664FDA" w:rsidRPr="005C5C45">
        <w:t xml:space="preserve"> who was </w:t>
      </w:r>
      <w:r w:rsidR="00904682">
        <w:t>later</w:t>
      </w:r>
      <w:r w:rsidR="00904682" w:rsidRPr="005C5C45">
        <w:t xml:space="preserve"> </w:t>
      </w:r>
      <w:r w:rsidR="00664FDA" w:rsidRPr="005C5C45">
        <w:t>imprisoned for fraud.</w:t>
      </w:r>
      <w:r w:rsidR="00664FDA" w:rsidRPr="005C5C45">
        <w:rPr>
          <w:rStyle w:val="EndnoteReference"/>
          <w:bCs w:val="0"/>
        </w:rPr>
        <w:endnoteReference w:id="12"/>
      </w:r>
      <w:r w:rsidR="00917F64" w:rsidRPr="005C5C45">
        <w:t xml:space="preserve"> Although the investigation related to his work as a departmental Chief Executive</w:t>
      </w:r>
      <w:r w:rsidR="003B6D1D" w:rsidRPr="005C5C45">
        <w:t xml:space="preserve"> (a </w:t>
      </w:r>
      <w:r w:rsidR="00095E2B" w:rsidRPr="005C5C45">
        <w:t>position</w:t>
      </w:r>
      <w:r w:rsidR="003B6D1D" w:rsidRPr="005C5C45">
        <w:t xml:space="preserve"> appointed by the State Services Commissioner)</w:t>
      </w:r>
      <w:r w:rsidR="00917F64" w:rsidRPr="005C5C45">
        <w:t xml:space="preserve">, the OIA did not </w:t>
      </w:r>
      <w:proofErr w:type="gramStart"/>
      <w:r w:rsidR="00917F64" w:rsidRPr="005C5C45">
        <w:t>apply</w:t>
      </w:r>
      <w:proofErr w:type="gramEnd"/>
      <w:r w:rsidR="00917F64" w:rsidRPr="005C5C45">
        <w:t xml:space="preserve"> as he had </w:t>
      </w:r>
      <w:r w:rsidR="00530DFA" w:rsidRPr="005C5C45">
        <w:t xml:space="preserve">subsequently </w:t>
      </w:r>
      <w:r w:rsidR="00917F64" w:rsidRPr="005C5C45">
        <w:t>become an Officer of Parliament.</w:t>
      </w:r>
      <w:r w:rsidR="00D666E1" w:rsidRPr="005C5C45">
        <w:t xml:space="preserve"> </w:t>
      </w:r>
      <w:r w:rsidR="00530DFA" w:rsidRPr="005C5C45">
        <w:t xml:space="preserve">This issue brought to the fore matters </w:t>
      </w:r>
      <w:r w:rsidRPr="005C5C45">
        <w:t xml:space="preserve">also </w:t>
      </w:r>
      <w:r w:rsidR="00530DFA" w:rsidRPr="005C5C45">
        <w:t xml:space="preserve">raised in NZ Law Commission reviews of the OIA. </w:t>
      </w:r>
      <w:r w:rsidR="00517E3F" w:rsidRPr="005C5C45">
        <w:t xml:space="preserve">The Commission </w:t>
      </w:r>
      <w:r w:rsidR="00530DFA" w:rsidRPr="005C5C45">
        <w:t xml:space="preserve">noted in 2012 that </w:t>
      </w:r>
      <w:r w:rsidR="006658CC">
        <w:t>‘</w:t>
      </w:r>
      <w:r w:rsidR="00530DFA" w:rsidRPr="005C5C45">
        <w:t>there are legitimate and significant public interests that weigh in favour of a principle of availability of information held by Parliament and its administration just as much as in the case of the Executive</w:t>
      </w:r>
      <w:r w:rsidR="006658CC">
        <w:t>’</w:t>
      </w:r>
      <w:r w:rsidR="00530DFA" w:rsidRPr="005C5C45">
        <w:rPr>
          <w:rStyle w:val="EndnoteReference"/>
        </w:rPr>
        <w:endnoteReference w:id="13"/>
      </w:r>
      <w:r w:rsidR="00530DFA" w:rsidRPr="005C5C45">
        <w:t xml:space="preserve"> and made detailed recommendations </w:t>
      </w:r>
      <w:r w:rsidR="004B4F26" w:rsidRPr="005C5C45">
        <w:t>to apply</w:t>
      </w:r>
      <w:r w:rsidR="00530DFA" w:rsidRPr="005C5C45">
        <w:t xml:space="preserve"> the OIA to</w:t>
      </w:r>
      <w:r w:rsidR="004B4F26" w:rsidRPr="005C5C45">
        <w:t xml:space="preserve"> certain parliamentary information.</w:t>
      </w:r>
      <w:r w:rsidR="00517E3F" w:rsidRPr="005C5C45">
        <w:rPr>
          <w:rStyle w:val="EndnoteReference"/>
        </w:rPr>
        <w:endnoteReference w:id="14"/>
      </w:r>
    </w:p>
    <w:p w14:paraId="73751B04" w14:textId="4FC4DF59" w:rsidR="00664FDA" w:rsidRPr="005C5C45" w:rsidRDefault="00664FDA" w:rsidP="00B50220">
      <w:pPr>
        <w:pStyle w:val="Normalrglronly"/>
      </w:pPr>
      <w:r w:rsidRPr="005C5C45">
        <w:t xml:space="preserve">While media freedom thrives, </w:t>
      </w:r>
      <w:r w:rsidR="00693E0F" w:rsidRPr="005C5C45">
        <w:t xml:space="preserve">New Zealand dropped eight places </w:t>
      </w:r>
      <w:r w:rsidRPr="005C5C45">
        <w:t>to 13</w:t>
      </w:r>
      <w:r w:rsidRPr="00A61A59">
        <w:rPr>
          <w:vertAlign w:val="superscript"/>
        </w:rPr>
        <w:t>th</w:t>
      </w:r>
      <w:r w:rsidR="00904682" w:rsidRPr="00904682">
        <w:t xml:space="preserve"> </w:t>
      </w:r>
      <w:r w:rsidR="00904682" w:rsidRPr="005C5C45">
        <w:t>in the 2017 World Press Freedom Index</w:t>
      </w:r>
      <w:r w:rsidRPr="005C5C45">
        <w:t xml:space="preserve">, a change explained </w:t>
      </w:r>
      <w:r w:rsidR="00BD3643" w:rsidRPr="005C5C45">
        <w:t>by</w:t>
      </w:r>
      <w:r w:rsidRPr="005C5C45">
        <w:t xml:space="preserve"> delays and </w:t>
      </w:r>
      <w:r w:rsidR="00BD3643" w:rsidRPr="005C5C45">
        <w:t xml:space="preserve">the </w:t>
      </w:r>
      <w:r w:rsidRPr="005C5C45">
        <w:t xml:space="preserve">fees </w:t>
      </w:r>
      <w:r w:rsidR="00693E0F" w:rsidRPr="005C5C45">
        <w:t xml:space="preserve">journalists </w:t>
      </w:r>
      <w:r w:rsidR="00904682">
        <w:t>must pay</w:t>
      </w:r>
      <w:r w:rsidR="00693E0F" w:rsidRPr="005C5C45">
        <w:t xml:space="preserve"> </w:t>
      </w:r>
      <w:r w:rsidRPr="005C5C45">
        <w:t xml:space="preserve">when </w:t>
      </w:r>
      <w:r w:rsidRPr="005C5C45">
        <w:lastRenderedPageBreak/>
        <w:t>requesting information.</w:t>
      </w:r>
      <w:r w:rsidR="00BD3643" w:rsidRPr="005C5C45">
        <w:rPr>
          <w:rStyle w:val="EndnoteReference"/>
        </w:rPr>
        <w:endnoteReference w:id="15"/>
      </w:r>
      <w:r w:rsidRPr="005C5C45">
        <w:t xml:space="preserve"> </w:t>
      </w:r>
      <w:r w:rsidR="003B6D1D" w:rsidRPr="005C5C45">
        <w:t>T</w:t>
      </w:r>
      <w:r w:rsidR="00BD3643" w:rsidRPr="005C5C45">
        <w:t xml:space="preserve">he Intelligence and Security </w:t>
      </w:r>
      <w:r w:rsidR="003B6D1D" w:rsidRPr="005C5C45">
        <w:t xml:space="preserve">Act, which became law </w:t>
      </w:r>
      <w:r w:rsidR="004C3720" w:rsidRPr="005C5C45">
        <w:t xml:space="preserve">on 28 March 2017, </w:t>
      </w:r>
      <w:r w:rsidR="003B6D1D" w:rsidRPr="005C5C45">
        <w:t>creates a new offence of wrongful communication, retention, or copying of classified information. This applies to individuals specifically cleared to have access to classified information or who have been provided with such information in confidence to comply with the obligations to protect the information. T</w:t>
      </w:r>
      <w:r w:rsidRPr="005C5C45">
        <w:t>he surveillance powers of the intelligence services</w:t>
      </w:r>
      <w:r w:rsidR="00381B99" w:rsidRPr="005C5C45">
        <w:t xml:space="preserve"> are extended, their powers to receive complaints or disclosures from employees strengthened, and independent oversight mechanisms strengthened</w:t>
      </w:r>
      <w:r w:rsidRPr="005C5C45">
        <w:t>.</w:t>
      </w:r>
      <w:r w:rsidR="004C3720" w:rsidRPr="005C5C45">
        <w:rPr>
          <w:rStyle w:val="EndnoteReference"/>
        </w:rPr>
        <w:endnoteReference w:id="16"/>
      </w:r>
    </w:p>
    <w:p w14:paraId="6E9A6C1A" w14:textId="77777777" w:rsidR="00664FDA" w:rsidRPr="005C5C45" w:rsidRDefault="000F296E" w:rsidP="00E5562F">
      <w:pPr>
        <w:pStyle w:val="Normalrglronly"/>
        <w:rPr>
          <w:rFonts w:cs="Gill Sans"/>
          <w:b/>
          <w:i/>
          <w:iCs/>
          <w:color w:val="3C6EA4" w:themeColor="text2"/>
          <w:szCs w:val="20"/>
        </w:rPr>
      </w:pPr>
      <w:r w:rsidRPr="005C5C45">
        <w:rPr>
          <w:rFonts w:cs="Gill Sans"/>
          <w:b/>
          <w:i/>
          <w:iCs/>
          <w:color w:val="3C6EA4" w:themeColor="text2"/>
          <w:szCs w:val="20"/>
        </w:rPr>
        <w:t xml:space="preserve">Decreasing </w:t>
      </w:r>
      <w:r w:rsidR="00BD3643" w:rsidRPr="005C5C45">
        <w:rPr>
          <w:rFonts w:cs="Gill Sans"/>
          <w:b/>
          <w:i/>
          <w:iCs/>
          <w:color w:val="3C6EA4" w:themeColor="text2"/>
          <w:szCs w:val="20"/>
        </w:rPr>
        <w:t>T</w:t>
      </w:r>
      <w:r w:rsidR="00664FDA" w:rsidRPr="005C5C45">
        <w:rPr>
          <w:rFonts w:cs="Gill Sans"/>
          <w:b/>
          <w:i/>
          <w:iCs/>
          <w:color w:val="3C6EA4" w:themeColor="text2"/>
          <w:szCs w:val="20"/>
        </w:rPr>
        <w:t xml:space="preserve">rust </w:t>
      </w:r>
      <w:r w:rsidRPr="005C5C45">
        <w:rPr>
          <w:rFonts w:cs="Gill Sans"/>
          <w:b/>
          <w:i/>
          <w:iCs/>
          <w:color w:val="3C6EA4" w:themeColor="text2"/>
          <w:szCs w:val="20"/>
        </w:rPr>
        <w:t>and</w:t>
      </w:r>
      <w:r w:rsidR="00BD3643" w:rsidRPr="005C5C45">
        <w:rPr>
          <w:rFonts w:cs="Gill Sans"/>
          <w:b/>
          <w:i/>
          <w:iCs/>
          <w:color w:val="3C6EA4" w:themeColor="text2"/>
          <w:szCs w:val="20"/>
        </w:rPr>
        <w:t xml:space="preserve"> L</w:t>
      </w:r>
      <w:r w:rsidRPr="005C5C45">
        <w:rPr>
          <w:rFonts w:cs="Gill Sans"/>
          <w:b/>
          <w:i/>
          <w:iCs/>
          <w:color w:val="3C6EA4" w:themeColor="text2"/>
          <w:szCs w:val="20"/>
        </w:rPr>
        <w:t>ow</w:t>
      </w:r>
      <w:r w:rsidR="00BD3643" w:rsidRPr="005C5C45">
        <w:rPr>
          <w:rFonts w:cs="Gill Sans"/>
          <w:b/>
          <w:i/>
          <w:iCs/>
          <w:color w:val="3C6EA4" w:themeColor="text2"/>
          <w:szCs w:val="20"/>
        </w:rPr>
        <w:t xml:space="preserve"> V</w:t>
      </w:r>
      <w:r w:rsidRPr="005C5C45">
        <w:rPr>
          <w:rFonts w:cs="Gill Sans"/>
          <w:b/>
          <w:i/>
          <w:iCs/>
          <w:color w:val="3C6EA4" w:themeColor="text2"/>
          <w:szCs w:val="20"/>
        </w:rPr>
        <w:t xml:space="preserve">oter </w:t>
      </w:r>
      <w:r w:rsidR="00BD3643" w:rsidRPr="005C5C45">
        <w:rPr>
          <w:rFonts w:cs="Gill Sans"/>
          <w:b/>
          <w:i/>
          <w:iCs/>
          <w:color w:val="3C6EA4" w:themeColor="text2"/>
          <w:szCs w:val="20"/>
        </w:rPr>
        <w:t>T</w:t>
      </w:r>
      <w:r w:rsidRPr="005C5C45">
        <w:rPr>
          <w:rFonts w:cs="Gill Sans"/>
          <w:b/>
          <w:i/>
          <w:iCs/>
          <w:color w:val="3C6EA4" w:themeColor="text2"/>
          <w:szCs w:val="20"/>
        </w:rPr>
        <w:t xml:space="preserve">urnouts </w:t>
      </w:r>
    </w:p>
    <w:p w14:paraId="353200D4" w14:textId="6DFE3107" w:rsidR="00664FDA" w:rsidRPr="005C5C45" w:rsidRDefault="00664FDA" w:rsidP="00E5562F">
      <w:pPr>
        <w:pStyle w:val="Normalrglronly"/>
      </w:pPr>
      <w:r w:rsidRPr="005C5C45">
        <w:t>While traditionally New Zealanders have had a high-level of trust in government, recent studies indicate that public distrust of government has been growing. Survey results published in April 2016 show that government ministers and members of parl</w:t>
      </w:r>
      <w:r w:rsidR="00FC28B4" w:rsidRPr="005C5C45">
        <w:t>i</w:t>
      </w:r>
      <w:r w:rsidRPr="005C5C45">
        <w:t xml:space="preserve">ament had the largest declines in trust, with about 50% of </w:t>
      </w:r>
      <w:r w:rsidR="00BD3643" w:rsidRPr="005C5C45">
        <w:t>respondents</w:t>
      </w:r>
      <w:r w:rsidR="00225821" w:rsidRPr="005C5C45">
        <w:t xml:space="preserve"> reporting</w:t>
      </w:r>
      <w:r w:rsidR="00BD3643" w:rsidRPr="005C5C45">
        <w:t xml:space="preserve"> </w:t>
      </w:r>
      <w:r w:rsidRPr="005C5C45">
        <w:t>decreased levels of trust for both groups.</w:t>
      </w:r>
      <w:r w:rsidRPr="005C5C45">
        <w:rPr>
          <w:rStyle w:val="EndnoteReference"/>
        </w:rPr>
        <w:endnoteReference w:id="17"/>
      </w:r>
      <w:r w:rsidRPr="005C5C45">
        <w:t xml:space="preserve"> </w:t>
      </w:r>
    </w:p>
    <w:p w14:paraId="5A56A7B2" w14:textId="32B35B17" w:rsidR="000F296E" w:rsidRPr="005C5C45" w:rsidRDefault="00BD3643" w:rsidP="00B50220">
      <w:pPr>
        <w:pStyle w:val="Normalrglronly"/>
      </w:pPr>
      <w:r w:rsidRPr="005C5C45">
        <w:t>An associated concern is a decline in v</w:t>
      </w:r>
      <w:r w:rsidR="000F296E" w:rsidRPr="005C5C45">
        <w:t xml:space="preserve">oter participation </w:t>
      </w:r>
      <w:r w:rsidR="0080787B">
        <w:t>in</w:t>
      </w:r>
      <w:r w:rsidRPr="005C5C45">
        <w:t xml:space="preserve"> the general and local elections</w:t>
      </w:r>
      <w:r w:rsidR="000F296E" w:rsidRPr="005C5C45">
        <w:t>.</w:t>
      </w:r>
      <w:r w:rsidR="00B36CE1" w:rsidRPr="005C5C45">
        <w:t xml:space="preserve"> </w:t>
      </w:r>
      <w:r w:rsidR="00816BAB" w:rsidRPr="005C5C45">
        <w:t>Turnout of the votes cast as a proportion</w:t>
      </w:r>
      <w:r w:rsidR="00B36CE1" w:rsidRPr="005C5C45">
        <w:t xml:space="preserve"> (VAP)</w:t>
      </w:r>
      <w:r w:rsidR="00816BAB" w:rsidRPr="005C5C45">
        <w:t xml:space="preserve"> of the total voting age population was 72.1%</w:t>
      </w:r>
      <w:r w:rsidR="00B36CE1" w:rsidRPr="005C5C45">
        <w:t>,</w:t>
      </w:r>
      <w:r w:rsidR="00816BAB" w:rsidRPr="005C5C45">
        <w:t xml:space="preserve"> the second</w:t>
      </w:r>
      <w:r w:rsidR="00A8344A">
        <w:t xml:space="preserve"> </w:t>
      </w:r>
      <w:r w:rsidR="00816BAB" w:rsidRPr="005C5C45">
        <w:t>lowest since the Second World War after the 69.6% turnout of the VAP in 2011. In total, almost a million people did not vote in 2014; 250,683 were not enrolled, while 694,120 were enrolled but did not turn out to vote.</w:t>
      </w:r>
      <w:r w:rsidR="00B36CE1" w:rsidRPr="005C5C45">
        <w:rPr>
          <w:rStyle w:val="EndnoteReference"/>
        </w:rPr>
        <w:endnoteReference w:id="18"/>
      </w:r>
      <w:r w:rsidR="000F296E" w:rsidRPr="005C5C45">
        <w:t xml:space="preserve"> Lowering the voting age to 16 or 17 years to rejuvenate the voting system was raised by the Children’s Commissioner, but any change ahead of the 23 September 2017 general election was rejected by the then Prime Minister, Bill English. Massey University’s </w:t>
      </w:r>
      <w:proofErr w:type="spellStart"/>
      <w:r w:rsidR="000F296E" w:rsidRPr="005C5C45">
        <w:t>Design+Democracy</w:t>
      </w:r>
      <w:proofErr w:type="spellEnd"/>
      <w:r w:rsidR="000F296E" w:rsidRPr="005C5C45">
        <w:t xml:space="preserve"> Project was formed in response to the Electoral Commission’s call in 2013 for academic and research communities to tackle declining voter participation. ‘On the Fence’</w:t>
      </w:r>
      <w:r w:rsidR="00470648">
        <w:t>,</w:t>
      </w:r>
      <w:r w:rsidR="000F296E" w:rsidRPr="005C5C45">
        <w:t xml:space="preserve"> one online tool emerging from this </w:t>
      </w:r>
      <w:r w:rsidR="00470648">
        <w:t>p</w:t>
      </w:r>
      <w:r w:rsidR="000F296E" w:rsidRPr="005C5C45">
        <w:t xml:space="preserve">roject, helped </w:t>
      </w:r>
      <w:r w:rsidR="00470648">
        <w:t>‘</w:t>
      </w:r>
      <w:r w:rsidR="000F296E" w:rsidRPr="005C5C45">
        <w:t>young undecided and first-time voters engage directly with issues</w:t>
      </w:r>
      <w:r w:rsidR="00470648">
        <w:t>’</w:t>
      </w:r>
      <w:r w:rsidR="000F296E" w:rsidRPr="005C5C45">
        <w:t xml:space="preserve"> in 2017.</w:t>
      </w:r>
      <w:r w:rsidR="000F296E" w:rsidRPr="005C5C45">
        <w:rPr>
          <w:rStyle w:val="EndnoteReference"/>
          <w:bCs w:val="0"/>
        </w:rPr>
        <w:endnoteReference w:id="19"/>
      </w:r>
      <w:r w:rsidR="000F296E" w:rsidRPr="005C5C45">
        <w:t xml:space="preserve"> As of 20 September 2017, 220,000 voters under the age of 30 still had not enrolled to vote in the election.</w:t>
      </w:r>
    </w:p>
    <w:p w14:paraId="496C39F8" w14:textId="4909E4BE" w:rsidR="000F296E" w:rsidRPr="005C5C45" w:rsidRDefault="000F296E" w:rsidP="00B50220">
      <w:pPr>
        <w:pStyle w:val="Normalrglronly"/>
      </w:pPr>
      <w:r w:rsidRPr="005C5C45">
        <w:t xml:space="preserve">Action Station, the citizen-led social media group, celebrated three years of action </w:t>
      </w:r>
      <w:r w:rsidR="00470648">
        <w:t>‘</w:t>
      </w:r>
      <w:r w:rsidRPr="005C5C45">
        <w:t>to put people power back at the heart of N</w:t>
      </w:r>
      <w:r w:rsidR="00421DD9" w:rsidRPr="005C5C45">
        <w:t xml:space="preserve">ew </w:t>
      </w:r>
      <w:r w:rsidRPr="005C5C45">
        <w:t>Z</w:t>
      </w:r>
      <w:r w:rsidR="00421DD9" w:rsidRPr="005C5C45">
        <w:t>ealand</w:t>
      </w:r>
      <w:r w:rsidRPr="005C5C45">
        <w:t>’s democracy</w:t>
      </w:r>
      <w:r w:rsidR="00470648">
        <w:t>’.</w:t>
      </w:r>
      <w:r w:rsidRPr="005C5C45">
        <w:t xml:space="preserve"> This includes an </w:t>
      </w:r>
      <w:proofErr w:type="spellStart"/>
      <w:r w:rsidRPr="005C5C45">
        <w:t>ongoing</w:t>
      </w:r>
      <w:proofErr w:type="spellEnd"/>
      <w:r w:rsidRPr="005C5C45">
        <w:t xml:space="preserve"> transparency campaign,</w:t>
      </w:r>
      <w:r w:rsidRPr="005C5C45">
        <w:rPr>
          <w:rStyle w:val="EndnoteReference"/>
          <w:bCs w:val="0"/>
        </w:rPr>
        <w:endnoteReference w:id="20"/>
      </w:r>
      <w:r w:rsidRPr="005C5C45">
        <w:t xml:space="preserve"> and encourag</w:t>
      </w:r>
      <w:r w:rsidR="00B331F9">
        <w:t>ing</w:t>
      </w:r>
      <w:r w:rsidRPr="005C5C45">
        <w:t xml:space="preserve"> youth to vote in general elections.</w:t>
      </w:r>
      <w:r w:rsidRPr="005C5C45">
        <w:rPr>
          <w:rStyle w:val="EndnoteReference"/>
          <w:bCs w:val="0"/>
        </w:rPr>
        <w:endnoteReference w:id="21"/>
      </w:r>
    </w:p>
    <w:p w14:paraId="57F8C4EC" w14:textId="77777777" w:rsidR="00664FDA" w:rsidRPr="005C5C45" w:rsidRDefault="00664FDA" w:rsidP="00E5562F">
      <w:pPr>
        <w:pStyle w:val="Normalrglronly"/>
        <w:rPr>
          <w:rFonts w:cs="Gill Sans"/>
          <w:b/>
          <w:i/>
          <w:iCs/>
          <w:color w:val="3C6EA4" w:themeColor="text2"/>
          <w:szCs w:val="20"/>
        </w:rPr>
      </w:pPr>
      <w:r w:rsidRPr="005C5C45">
        <w:rPr>
          <w:rFonts w:cs="Gill Sans"/>
          <w:b/>
          <w:i/>
          <w:iCs/>
          <w:color w:val="3C6EA4" w:themeColor="text2"/>
          <w:szCs w:val="20"/>
        </w:rPr>
        <w:t xml:space="preserve">Whistleblowing </w:t>
      </w:r>
      <w:r w:rsidR="00BD3643" w:rsidRPr="005C5C45">
        <w:rPr>
          <w:rFonts w:cs="Gill Sans"/>
          <w:b/>
          <w:i/>
          <w:iCs/>
          <w:color w:val="3C6EA4" w:themeColor="text2"/>
          <w:szCs w:val="20"/>
        </w:rPr>
        <w:t>Revelations</w:t>
      </w:r>
    </w:p>
    <w:p w14:paraId="7DA765CD" w14:textId="2A9EC03D" w:rsidR="00664FDA" w:rsidRPr="005C5C45" w:rsidRDefault="000F296E" w:rsidP="00E5562F">
      <w:pPr>
        <w:pStyle w:val="Normalrglronly"/>
      </w:pPr>
      <w:r w:rsidRPr="005C5C45">
        <w:t xml:space="preserve">The IRM’s </w:t>
      </w:r>
      <w:r w:rsidR="00664FDA" w:rsidRPr="005C5C45">
        <w:t xml:space="preserve">OGP Progress Report 2014-2015 noted stakeholders had serious concern about a growing culture of fear preventing many experts from speaking out in ways that the government might find </w:t>
      </w:r>
      <w:r w:rsidR="004E62FE">
        <w:t>objectionable</w:t>
      </w:r>
      <w:r w:rsidR="00664FDA" w:rsidRPr="005C5C45">
        <w:t xml:space="preserve">. Since then, there have been several </w:t>
      </w:r>
      <w:r w:rsidR="00BD3643" w:rsidRPr="005C5C45">
        <w:t xml:space="preserve">public whistleblowing </w:t>
      </w:r>
      <w:r w:rsidR="00664FDA" w:rsidRPr="005C5C45">
        <w:t>investigations</w:t>
      </w:r>
      <w:r w:rsidRPr="005C5C45">
        <w:t xml:space="preserve"> includ</w:t>
      </w:r>
      <w:r w:rsidR="00BD3643" w:rsidRPr="005C5C45">
        <w:t>ing</w:t>
      </w:r>
      <w:r w:rsidR="00A06683">
        <w:t>:</w:t>
      </w:r>
      <w:r w:rsidR="00664FDA" w:rsidRPr="005C5C45">
        <w:t xml:space="preserve"> the possible unauthorised disclosure of information relating to the proposed reorganisation of the Ministry of Foreign Affairs and Trade</w:t>
      </w:r>
      <w:r w:rsidR="00771383" w:rsidRPr="005C5C45">
        <w:t>, which</w:t>
      </w:r>
      <w:r w:rsidR="00664FDA" w:rsidRPr="005C5C45">
        <w:t xml:space="preserve"> was subsequently critici</w:t>
      </w:r>
      <w:r w:rsidR="005D4DF4">
        <w:t>s</w:t>
      </w:r>
      <w:r w:rsidR="00664FDA" w:rsidRPr="005C5C45">
        <w:t>ed by the Ombudsman;</w:t>
      </w:r>
      <w:r w:rsidR="00664FDA" w:rsidRPr="005C5C45">
        <w:rPr>
          <w:rStyle w:val="EndnoteReference"/>
          <w:bCs w:val="0"/>
        </w:rPr>
        <w:endnoteReference w:id="22"/>
      </w:r>
      <w:r w:rsidR="00664FDA" w:rsidRPr="005C5C45">
        <w:t xml:space="preserve"> </w:t>
      </w:r>
      <w:r w:rsidR="00771383" w:rsidRPr="005C5C45">
        <w:t>f</w:t>
      </w:r>
      <w:r w:rsidR="00664FDA" w:rsidRPr="005C5C45">
        <w:t xml:space="preserve">our Ministry of Transport staff who raised </w:t>
      </w:r>
      <w:r w:rsidR="002B2A11" w:rsidRPr="005C5C45">
        <w:t xml:space="preserve">early </w:t>
      </w:r>
      <w:r w:rsidR="00664FDA" w:rsidRPr="005C5C45">
        <w:t xml:space="preserve">concerns about a senior manager </w:t>
      </w:r>
      <w:r w:rsidR="002B2A11" w:rsidRPr="005C5C45">
        <w:t xml:space="preserve">who was </w:t>
      </w:r>
      <w:r w:rsidR="00664FDA" w:rsidRPr="005C5C45">
        <w:t>subsequently imprisoned for fraud;</w:t>
      </w:r>
      <w:r w:rsidR="00664FDA" w:rsidRPr="005C5C45">
        <w:rPr>
          <w:rStyle w:val="EndnoteReference"/>
          <w:bCs w:val="0"/>
        </w:rPr>
        <w:endnoteReference w:id="23"/>
      </w:r>
      <w:r w:rsidR="00664FDA" w:rsidRPr="005C5C45">
        <w:t xml:space="preserve"> and </w:t>
      </w:r>
      <w:r w:rsidR="00771383" w:rsidRPr="005C5C45">
        <w:t xml:space="preserve">into </w:t>
      </w:r>
      <w:r w:rsidR="00664FDA" w:rsidRPr="005C5C45">
        <w:t xml:space="preserve">the Chief Executive of the above Ministry </w:t>
      </w:r>
      <w:r w:rsidR="00771383" w:rsidRPr="005C5C45">
        <w:t>concerning his handling of</w:t>
      </w:r>
      <w:r w:rsidR="00664FDA" w:rsidRPr="005C5C45">
        <w:t xml:space="preserve"> the allegations against th</w:t>
      </w:r>
      <w:r w:rsidR="00EF6DD5">
        <w:t>at</w:t>
      </w:r>
      <w:r w:rsidR="00664FDA" w:rsidRPr="005C5C45">
        <w:t xml:space="preserve"> </w:t>
      </w:r>
      <w:r w:rsidR="00356B75">
        <w:t xml:space="preserve">same </w:t>
      </w:r>
      <w:r w:rsidR="00664FDA" w:rsidRPr="005C5C45">
        <w:t>senior manager</w:t>
      </w:r>
      <w:r w:rsidR="00356B75">
        <w:t>.</w:t>
      </w:r>
      <w:r w:rsidR="00664FDA" w:rsidRPr="005C5C45">
        <w:rPr>
          <w:rStyle w:val="EndnoteReference"/>
          <w:bCs w:val="0"/>
        </w:rPr>
        <w:endnoteReference w:id="24"/>
      </w:r>
    </w:p>
    <w:p w14:paraId="19F96209" w14:textId="0D3AE126" w:rsidR="00664FDA" w:rsidRPr="005C5C45" w:rsidRDefault="00664FDA" w:rsidP="00B50220">
      <w:pPr>
        <w:pStyle w:val="Normalrglronly"/>
      </w:pPr>
      <w:r w:rsidRPr="005C5C45">
        <w:t xml:space="preserve">The Whistling While They Work 2 research project, </w:t>
      </w:r>
      <w:r w:rsidR="00EF6DD5">
        <w:t>which</w:t>
      </w:r>
      <w:r w:rsidR="00EF6DD5" w:rsidRPr="005C5C45">
        <w:t xml:space="preserve"> </w:t>
      </w:r>
      <w:r w:rsidRPr="005C5C45">
        <w:t>looked at public in</w:t>
      </w:r>
      <w:r w:rsidR="00B9053A" w:rsidRPr="005C5C45">
        <w:t>terest whistleblowing</w:t>
      </w:r>
      <w:r w:rsidR="00701D39" w:rsidRPr="005C5C45">
        <w:t>,</w:t>
      </w:r>
      <w:r w:rsidR="00B9053A" w:rsidRPr="005C5C45">
        <w:t xml:space="preserve"> highlighted</w:t>
      </w:r>
      <w:r w:rsidRPr="005C5C45">
        <w:t xml:space="preserve"> w</w:t>
      </w:r>
      <w:r w:rsidR="00693E0F" w:rsidRPr="005C5C45">
        <w:t xml:space="preserve">eaknesses </w:t>
      </w:r>
      <w:r w:rsidR="00B9053A" w:rsidRPr="005C5C45">
        <w:t xml:space="preserve">of </w:t>
      </w:r>
      <w:r w:rsidR="00693E0F" w:rsidRPr="005C5C45">
        <w:t>the New</w:t>
      </w:r>
      <w:r w:rsidRPr="005C5C45">
        <w:t xml:space="preserve"> Zealand Protected Disclosures Act 2000. The study showed wide diversity of results among New Zealand agencies with many scoring well but also many scoring more poorly on categories of incident tracking, support strategy, risk assessment, dedicated support</w:t>
      </w:r>
      <w:r w:rsidR="00520816">
        <w:t>,</w:t>
      </w:r>
      <w:r w:rsidRPr="005C5C45">
        <w:t xml:space="preserve"> and remediation. Professor Brown of Griffith University notes that these tend to suggest </w:t>
      </w:r>
      <w:r w:rsidR="00520816">
        <w:t>‘</w:t>
      </w:r>
      <w:r w:rsidRPr="005C5C45">
        <w:t>agencies are operating without the support and guidance provided under stronger legislative regimes elsewhere</w:t>
      </w:r>
      <w:r w:rsidR="00520816">
        <w:t>’.</w:t>
      </w:r>
      <w:r w:rsidRPr="005C5C45">
        <w:rPr>
          <w:rStyle w:val="EndnoteReference"/>
          <w:bCs w:val="0"/>
        </w:rPr>
        <w:endnoteReference w:id="25"/>
      </w:r>
    </w:p>
    <w:p w14:paraId="0F32B0CA" w14:textId="77777777" w:rsidR="00664FDA" w:rsidRPr="005C5C45" w:rsidRDefault="00664FDA" w:rsidP="00B50220">
      <w:pPr>
        <w:pStyle w:val="Normalrglronly"/>
      </w:pPr>
      <w:r w:rsidRPr="005C5C45">
        <w:t>Some consequential work on the Protected Disclosures Act 2000 (PDA</w:t>
      </w:r>
      <w:proofErr w:type="gramStart"/>
      <w:r w:rsidRPr="005C5C45">
        <w:t>),</w:t>
      </w:r>
      <w:proofErr w:type="gramEnd"/>
      <w:r w:rsidRPr="005C5C45">
        <w:t xml:space="preserve"> has followed. The State Services Commission (SSC) issued standards for agencies on how to improve their PDA policies and processes using the current law, and is developing options to modernise the PDA. Additionally, the Chief Ombudsman plans to seek funding for more staff to advise on the PDA.</w:t>
      </w:r>
      <w:r w:rsidRPr="005C5C45">
        <w:rPr>
          <w:rStyle w:val="EndnoteReference"/>
          <w:bCs w:val="0"/>
        </w:rPr>
        <w:endnoteReference w:id="26"/>
      </w:r>
    </w:p>
    <w:p w14:paraId="26B4EDBB" w14:textId="77777777" w:rsidR="00664FDA" w:rsidRPr="005C5C45" w:rsidRDefault="00664FDA" w:rsidP="00664FDA">
      <w:pPr>
        <w:pStyle w:val="Heading4"/>
        <w:rPr>
          <w:rFonts w:eastAsia="Cambria"/>
        </w:rPr>
      </w:pPr>
      <w:r w:rsidRPr="005C5C45">
        <w:rPr>
          <w:rFonts w:eastAsia="Cambria"/>
        </w:rPr>
        <w:lastRenderedPageBreak/>
        <w:t xml:space="preserve">Transparency of Trusts and </w:t>
      </w:r>
      <w:r w:rsidR="00771383" w:rsidRPr="005C5C45">
        <w:rPr>
          <w:rFonts w:eastAsia="Cambria"/>
        </w:rPr>
        <w:t>B</w:t>
      </w:r>
      <w:r w:rsidRPr="005C5C45">
        <w:rPr>
          <w:rFonts w:eastAsia="Cambria"/>
        </w:rPr>
        <w:t xml:space="preserve">eneficial </w:t>
      </w:r>
      <w:r w:rsidR="00771383" w:rsidRPr="005C5C45">
        <w:rPr>
          <w:rFonts w:eastAsia="Cambria"/>
        </w:rPr>
        <w:t>O</w:t>
      </w:r>
      <w:r w:rsidRPr="005C5C45">
        <w:rPr>
          <w:rFonts w:eastAsia="Cambria"/>
        </w:rPr>
        <w:t xml:space="preserve">wnership </w:t>
      </w:r>
    </w:p>
    <w:p w14:paraId="0610E931" w14:textId="714891F0" w:rsidR="00664FDA" w:rsidRPr="005C5C45" w:rsidRDefault="00771383" w:rsidP="00B50220">
      <w:pPr>
        <w:pStyle w:val="Normalrglronly"/>
      </w:pPr>
      <w:r w:rsidRPr="005C5C45">
        <w:t xml:space="preserve">The </w:t>
      </w:r>
      <w:r w:rsidR="00664FDA" w:rsidRPr="005C5C45">
        <w:t xml:space="preserve">Panama Papers </w:t>
      </w:r>
      <w:r w:rsidR="00937C7B">
        <w:t>(</w:t>
      </w:r>
      <w:r w:rsidR="00664FDA" w:rsidRPr="005C5C45">
        <w:t>2016</w:t>
      </w:r>
      <w:r w:rsidR="00937C7B">
        <w:t>)</w:t>
      </w:r>
      <w:r w:rsidR="00664FDA" w:rsidRPr="005C5C45">
        <w:t xml:space="preserve"> reve</w:t>
      </w:r>
      <w:r w:rsidRPr="005C5C45">
        <w:t xml:space="preserve">aled that </w:t>
      </w:r>
      <w:r w:rsidR="00664FDA" w:rsidRPr="005C5C45">
        <w:t xml:space="preserve">New Zealand foreign trusts were used for </w:t>
      </w:r>
      <w:proofErr w:type="spellStart"/>
      <w:r w:rsidR="00664FDA" w:rsidRPr="005C5C45">
        <w:t>channeling</w:t>
      </w:r>
      <w:proofErr w:type="spellEnd"/>
      <w:r w:rsidR="00803699">
        <w:t xml:space="preserve"> </w:t>
      </w:r>
      <w:r w:rsidR="00664FDA" w:rsidRPr="005C5C45">
        <w:t>illegal funds an</w:t>
      </w:r>
      <w:r w:rsidR="00693E0F" w:rsidRPr="005C5C45">
        <w:t>d tax avoidance. Th</w:t>
      </w:r>
      <w:r w:rsidRPr="005C5C45">
        <w:t>is</w:t>
      </w:r>
      <w:r w:rsidR="00693E0F" w:rsidRPr="005C5C45">
        <w:t xml:space="preserve"> le</w:t>
      </w:r>
      <w:r w:rsidR="00664FDA" w:rsidRPr="005C5C45">
        <w:t>d to vocal public concern about the absence of a formal registration process for foreign trusts. In the wake of th</w:t>
      </w:r>
      <w:r w:rsidR="00BC7A0F">
        <w:t>is</w:t>
      </w:r>
      <w:r w:rsidR="00664FDA" w:rsidRPr="005C5C45">
        <w:t xml:space="preserve"> </w:t>
      </w:r>
      <w:r w:rsidRPr="005C5C45">
        <w:t>revelation</w:t>
      </w:r>
      <w:r w:rsidR="00664FDA" w:rsidRPr="005C5C45">
        <w:t xml:space="preserve">, the </w:t>
      </w:r>
      <w:r w:rsidR="00FB4D58">
        <w:t>G</w:t>
      </w:r>
      <w:r w:rsidR="00664FDA" w:rsidRPr="005C5C45">
        <w:t>overnment tightened disclosure requirements on the N</w:t>
      </w:r>
      <w:r w:rsidR="00421DD9" w:rsidRPr="005C5C45">
        <w:t xml:space="preserve">ew </w:t>
      </w:r>
      <w:r w:rsidR="00664FDA" w:rsidRPr="005C5C45">
        <w:t>Z</w:t>
      </w:r>
      <w:r w:rsidR="00421DD9" w:rsidRPr="005C5C45">
        <w:t>ealand</w:t>
      </w:r>
      <w:r w:rsidR="00664FDA" w:rsidRPr="005C5C45">
        <w:t xml:space="preserve"> resident trustee of foreign trusts.</w:t>
      </w:r>
      <w:r w:rsidR="00664FDA" w:rsidRPr="005C5C45">
        <w:rPr>
          <w:rStyle w:val="EndnoteReference"/>
          <w:bCs w:val="0"/>
        </w:rPr>
        <w:endnoteReference w:id="27"/>
      </w:r>
      <w:r w:rsidR="00664FDA" w:rsidRPr="005C5C45">
        <w:t xml:space="preserve"> Fewer than 3,000 foreign trusts (compared with more than 11,000 in 2016) met the 2017 deadline to provide more information about their structures and activities. </w:t>
      </w:r>
      <w:r w:rsidR="00020857">
        <w:t>However, t</w:t>
      </w:r>
      <w:r w:rsidR="00664FDA" w:rsidRPr="005C5C45">
        <w:t xml:space="preserve">he </w:t>
      </w:r>
      <w:r w:rsidR="00FB4D58">
        <w:t>G</w:t>
      </w:r>
      <w:r w:rsidR="00664FDA" w:rsidRPr="005C5C45">
        <w:t>overnment did not create the searchable public register sought by anti-</w:t>
      </w:r>
      <w:r w:rsidR="00FC28B4" w:rsidRPr="005C5C45">
        <w:t>corruption</w:t>
      </w:r>
      <w:r w:rsidR="00664FDA" w:rsidRPr="005C5C45">
        <w:t xml:space="preserve"> groups</w:t>
      </w:r>
      <w:r w:rsidR="00020857">
        <w:t xml:space="preserve"> like</w:t>
      </w:r>
      <w:r w:rsidR="00664FDA" w:rsidRPr="005C5C45">
        <w:t xml:space="preserve"> Transparency International New Zealand. </w:t>
      </w:r>
      <w:r w:rsidRPr="005C5C45">
        <w:t>Exploring the e</w:t>
      </w:r>
      <w:r w:rsidR="00664FDA" w:rsidRPr="005C5C45">
        <w:t>stablishment of a public central register of company beneficial</w:t>
      </w:r>
      <w:r w:rsidR="00693E0F" w:rsidRPr="005C5C45">
        <w:t xml:space="preserve"> ownership information was one </w:t>
      </w:r>
      <w:r w:rsidR="00664FDA" w:rsidRPr="005C5C45">
        <w:t>o</w:t>
      </w:r>
      <w:r w:rsidR="00693E0F" w:rsidRPr="005C5C45">
        <w:t>f</w:t>
      </w:r>
      <w:r w:rsidR="00664FDA" w:rsidRPr="005C5C45">
        <w:t xml:space="preserve"> New Zealand’s </w:t>
      </w:r>
      <w:r w:rsidR="00FC28B4" w:rsidRPr="005C5C45">
        <w:t>eight</w:t>
      </w:r>
      <w:r w:rsidR="00664FDA" w:rsidRPr="005C5C45">
        <w:t xml:space="preserve"> commitments at the London 2016 Anti-Corruption Summit.</w:t>
      </w:r>
      <w:r w:rsidRPr="005C5C45">
        <w:rPr>
          <w:rStyle w:val="EndnoteReference"/>
          <w:bCs w:val="0"/>
        </w:rPr>
        <w:endnoteReference w:id="28"/>
      </w:r>
      <w:r w:rsidR="00664FDA" w:rsidRPr="005C5C45">
        <w:t xml:space="preserve"> Little progr</w:t>
      </w:r>
      <w:r w:rsidR="00693E0F" w:rsidRPr="005C5C45">
        <w:t>ess has been made in this direction</w:t>
      </w:r>
      <w:r w:rsidR="00F011B2">
        <w:t>.</w:t>
      </w:r>
      <w:r w:rsidR="00664FDA" w:rsidRPr="005C5C45">
        <w:rPr>
          <w:rStyle w:val="EndnoteReference"/>
          <w:bCs w:val="0"/>
        </w:rPr>
        <w:endnoteReference w:id="29"/>
      </w:r>
    </w:p>
    <w:p w14:paraId="51CEB080" w14:textId="3BC055EE" w:rsidR="00664FDA" w:rsidRPr="005C5C45" w:rsidRDefault="000F296E" w:rsidP="00B50220">
      <w:pPr>
        <w:pStyle w:val="Normalrglronly"/>
      </w:pPr>
      <w:r w:rsidRPr="005C5C45">
        <w:t>In parallel to</w:t>
      </w:r>
      <w:r w:rsidR="00664FDA" w:rsidRPr="005C5C45">
        <w:t xml:space="preserve"> </w:t>
      </w:r>
      <w:r w:rsidR="00771383" w:rsidRPr="005C5C45">
        <w:t xml:space="preserve">the </w:t>
      </w:r>
      <w:r w:rsidR="00664FDA" w:rsidRPr="005C5C45">
        <w:t xml:space="preserve">action plan, </w:t>
      </w:r>
      <w:r w:rsidR="00B07D25">
        <w:t xml:space="preserve">the </w:t>
      </w:r>
      <w:r w:rsidR="00FB4D58">
        <w:t>G</w:t>
      </w:r>
      <w:r w:rsidR="00664FDA" w:rsidRPr="005C5C45">
        <w:t xml:space="preserve">overnment has been </w:t>
      </w:r>
      <w:r w:rsidR="00D12131">
        <w:t>promoting</w:t>
      </w:r>
      <w:r w:rsidR="00664FDA" w:rsidRPr="005C5C45">
        <w:t xml:space="preserve"> OGP values. The Digital Government work programme is exploring new ways to improve people’s experience with government,</w:t>
      </w:r>
      <w:r w:rsidR="00664FDA" w:rsidRPr="005C5C45">
        <w:rPr>
          <w:rStyle w:val="EndnoteReference"/>
          <w:bCs w:val="0"/>
        </w:rPr>
        <w:endnoteReference w:id="30"/>
      </w:r>
      <w:r w:rsidR="00664FDA" w:rsidRPr="005C5C45">
        <w:t xml:space="preserve"> and follows the </w:t>
      </w:r>
      <w:r w:rsidR="00664FDA" w:rsidRPr="005C5C45">
        <w:rPr>
          <w:i/>
        </w:rPr>
        <w:t>Government ICT Strategy and Action Plan to 2017,</w:t>
      </w:r>
      <w:r w:rsidRPr="005C5C45">
        <w:rPr>
          <w:i/>
        </w:rPr>
        <w:t xml:space="preserve"> </w:t>
      </w:r>
      <w:r w:rsidR="00664FDA" w:rsidRPr="005C5C45">
        <w:rPr>
          <w:rStyle w:val="EndnoteReference"/>
          <w:bCs w:val="0"/>
        </w:rPr>
        <w:endnoteReference w:id="31"/>
      </w:r>
      <w:r w:rsidR="00664FDA" w:rsidRPr="005C5C45">
        <w:t xml:space="preserve"> which was </w:t>
      </w:r>
      <w:r w:rsidR="00B07D25">
        <w:t>C</w:t>
      </w:r>
      <w:r w:rsidR="00664FDA" w:rsidRPr="005C5C45">
        <w:t>ommitment</w:t>
      </w:r>
      <w:r w:rsidR="00B07D25">
        <w:t xml:space="preserve"> 2</w:t>
      </w:r>
      <w:r w:rsidR="00664FDA" w:rsidRPr="005C5C45">
        <w:t xml:space="preserve"> in the first action plan. </w:t>
      </w:r>
    </w:p>
    <w:p w14:paraId="01560515" w14:textId="177C309B" w:rsidR="00664FDA" w:rsidRPr="005C5C45" w:rsidRDefault="009145CE" w:rsidP="00B50220">
      <w:pPr>
        <w:pStyle w:val="Normalrglronly"/>
      </w:pPr>
      <w:r w:rsidRPr="005C5C45">
        <w:rPr>
          <w:lang w:eastAsia="en-NZ"/>
        </w:rPr>
        <w:t xml:space="preserve">It is important to note that </w:t>
      </w:r>
      <w:proofErr w:type="spellStart"/>
      <w:r w:rsidRPr="005C5C45">
        <w:rPr>
          <w:lang w:eastAsia="en-NZ"/>
        </w:rPr>
        <w:t>Jacinda</w:t>
      </w:r>
      <w:proofErr w:type="spellEnd"/>
      <w:r w:rsidRPr="005C5C45">
        <w:rPr>
          <w:lang w:eastAsia="en-NZ"/>
        </w:rPr>
        <w:t xml:space="preserve"> </w:t>
      </w:r>
      <w:proofErr w:type="spellStart"/>
      <w:r w:rsidRPr="005C5C45">
        <w:rPr>
          <w:lang w:eastAsia="en-NZ"/>
        </w:rPr>
        <w:t>Ardern</w:t>
      </w:r>
      <w:proofErr w:type="spellEnd"/>
      <w:r w:rsidRPr="005C5C45">
        <w:rPr>
          <w:lang w:eastAsia="en-NZ"/>
        </w:rPr>
        <w:t xml:space="preserve"> became Prime Minister of New Zealand, on 26 October 2017, leading a new Coalition government following the general election on 23 September 2017. Ms </w:t>
      </w:r>
      <w:proofErr w:type="spellStart"/>
      <w:r w:rsidRPr="005C5C45">
        <w:rPr>
          <w:lang w:eastAsia="en-NZ"/>
        </w:rPr>
        <w:t>A</w:t>
      </w:r>
      <w:r w:rsidR="00701D39" w:rsidRPr="005C5C45">
        <w:rPr>
          <w:lang w:eastAsia="en-NZ"/>
        </w:rPr>
        <w:t>r</w:t>
      </w:r>
      <w:r w:rsidRPr="005C5C45">
        <w:rPr>
          <w:lang w:eastAsia="en-NZ"/>
        </w:rPr>
        <w:t>dern</w:t>
      </w:r>
      <w:proofErr w:type="spellEnd"/>
      <w:r w:rsidRPr="005C5C45">
        <w:rPr>
          <w:lang w:eastAsia="en-NZ"/>
        </w:rPr>
        <w:t xml:space="preserve"> replaced Bill English who had become N</w:t>
      </w:r>
      <w:r w:rsidR="00421DD9" w:rsidRPr="005C5C45">
        <w:rPr>
          <w:lang w:eastAsia="en-NZ"/>
        </w:rPr>
        <w:t xml:space="preserve">ew </w:t>
      </w:r>
      <w:r w:rsidRPr="005C5C45">
        <w:rPr>
          <w:lang w:eastAsia="en-NZ"/>
        </w:rPr>
        <w:t>Z</w:t>
      </w:r>
      <w:r w:rsidR="00421DD9" w:rsidRPr="005C5C45">
        <w:rPr>
          <w:lang w:eastAsia="en-NZ"/>
        </w:rPr>
        <w:t>ealand</w:t>
      </w:r>
      <w:r w:rsidRPr="005C5C45">
        <w:rPr>
          <w:lang w:eastAsia="en-NZ"/>
        </w:rPr>
        <w:t xml:space="preserve">’s Prime Minister on 12 December 2016 following the resignation of John Key. During his term, Mr English issued a Joint Statement with Malcolm Turnbull, Australia’s Prime Minister, agreeing that </w:t>
      </w:r>
      <w:r w:rsidR="002D117B">
        <w:rPr>
          <w:lang w:eastAsia="en-NZ"/>
        </w:rPr>
        <w:t>‘</w:t>
      </w:r>
      <w:r w:rsidRPr="005C5C45">
        <w:rPr>
          <w:lang w:eastAsia="en-NZ"/>
        </w:rPr>
        <w:t>Australia and New Zealand will collaborate on public data initiatives to better align agendas, share lessons learnt on best practice, and work together on data commitments as part of the Open Government Partnership</w:t>
      </w:r>
      <w:r w:rsidR="002D117B">
        <w:rPr>
          <w:lang w:eastAsia="en-NZ"/>
        </w:rPr>
        <w:t>.’</w:t>
      </w:r>
      <w:r w:rsidRPr="005C5C45">
        <w:rPr>
          <w:rStyle w:val="EndnoteReference"/>
          <w:lang w:eastAsia="en-NZ"/>
        </w:rPr>
        <w:endnoteReference w:id="32"/>
      </w:r>
      <w:r w:rsidRPr="005C5C45">
        <w:rPr>
          <w:lang w:eastAsia="en-NZ"/>
        </w:rPr>
        <w:t xml:space="preserve"> The new administration</w:t>
      </w:r>
      <w:r w:rsidR="00771383" w:rsidRPr="005C5C45">
        <w:rPr>
          <w:lang w:eastAsia="en-NZ"/>
        </w:rPr>
        <w:t>, which promotes a transparent, open democracy that is free from corruption and abuse of power,</w:t>
      </w:r>
      <w:r w:rsidRPr="005C5C45">
        <w:rPr>
          <w:lang w:eastAsia="en-NZ"/>
        </w:rPr>
        <w:t xml:space="preserve"> signals a singular opportunity to pursue open government issues.</w:t>
      </w:r>
      <w:r w:rsidR="00771383" w:rsidRPr="005C5C45">
        <w:rPr>
          <w:rStyle w:val="EndnoteReference"/>
          <w:lang w:eastAsia="en-NZ"/>
        </w:rPr>
        <w:endnoteReference w:id="33"/>
      </w:r>
      <w:r w:rsidRPr="005C5C45">
        <w:rPr>
          <w:lang w:eastAsia="en-NZ"/>
        </w:rPr>
        <w:t xml:space="preserve"> </w:t>
      </w:r>
    </w:p>
    <w:p w14:paraId="5C0D9D4A" w14:textId="77777777" w:rsidR="00664FDA" w:rsidRPr="005C5C45" w:rsidRDefault="00664FDA" w:rsidP="00B9053A">
      <w:pPr>
        <w:pStyle w:val="Heading4"/>
        <w:rPr>
          <w:rFonts w:eastAsia="Cambria"/>
          <w:i w:val="0"/>
        </w:rPr>
      </w:pPr>
      <w:r w:rsidRPr="005C5C45">
        <w:rPr>
          <w:rFonts w:eastAsia="Cambria"/>
          <w:i w:val="0"/>
        </w:rPr>
        <w:t>2.2 Scope of Action Plan in Relation to National Context</w:t>
      </w:r>
    </w:p>
    <w:p w14:paraId="11581599" w14:textId="56915895" w:rsidR="00664FDA" w:rsidRPr="005C5C45" w:rsidRDefault="00B9053A" w:rsidP="00B50220">
      <w:pPr>
        <w:pStyle w:val="Normalrglronly"/>
      </w:pPr>
      <w:r w:rsidRPr="005C5C45">
        <w:t>The</w:t>
      </w:r>
      <w:r w:rsidR="00664FDA" w:rsidRPr="005C5C45">
        <w:t xml:space="preserve"> action plan touches upon important areas such as access to information, budget</w:t>
      </w:r>
      <w:r w:rsidR="00771383" w:rsidRPr="005C5C45">
        <w:t xml:space="preserve"> transparency</w:t>
      </w:r>
      <w:r w:rsidR="0030542E">
        <w:t>,</w:t>
      </w:r>
      <w:r w:rsidRPr="005C5C45">
        <w:t xml:space="preserve"> and civic participation. The </w:t>
      </w:r>
      <w:r w:rsidR="00664FDA" w:rsidRPr="005C5C45">
        <w:t>scope d</w:t>
      </w:r>
      <w:r w:rsidR="00771383" w:rsidRPr="005C5C45">
        <w:t>oes</w:t>
      </w:r>
      <w:r w:rsidR="00664FDA" w:rsidRPr="005C5C45">
        <w:t xml:space="preserve"> not extend to tackling all issues that would benefit from more </w:t>
      </w:r>
      <w:r w:rsidR="00FC28B4" w:rsidRPr="005C5C45">
        <w:t>openness</w:t>
      </w:r>
      <w:r w:rsidR="00664FDA" w:rsidRPr="005C5C45">
        <w:t xml:space="preserve"> and government accountability. These include </w:t>
      </w:r>
      <w:r w:rsidRPr="005C5C45">
        <w:t xml:space="preserve">meaningful reform of the Official Information Act, better </w:t>
      </w:r>
      <w:proofErr w:type="spellStart"/>
      <w:r w:rsidR="00664FDA" w:rsidRPr="005C5C45">
        <w:t>whistleblower</w:t>
      </w:r>
      <w:proofErr w:type="spellEnd"/>
      <w:r w:rsidR="00664FDA" w:rsidRPr="005C5C45">
        <w:t xml:space="preserve"> protection, transparency of beneficial ownership of companies</w:t>
      </w:r>
      <w:r w:rsidR="0030542E">
        <w:t>,</w:t>
      </w:r>
      <w:r w:rsidR="00664FDA" w:rsidRPr="005C5C45">
        <w:t xml:space="preserve"> and </w:t>
      </w:r>
      <w:r w:rsidR="00FC28B4" w:rsidRPr="005C5C45">
        <w:t>strengthening</w:t>
      </w:r>
      <w:r w:rsidR="00664FDA" w:rsidRPr="005C5C45">
        <w:t xml:space="preserve"> </w:t>
      </w:r>
      <w:r w:rsidR="00771383" w:rsidRPr="005C5C45">
        <w:t xml:space="preserve">the </w:t>
      </w:r>
      <w:r w:rsidR="00664FDA" w:rsidRPr="005C5C45">
        <w:t xml:space="preserve">environment for more active civil society engagement. </w:t>
      </w:r>
    </w:p>
    <w:p w14:paraId="7B415B3B" w14:textId="253686C7" w:rsidR="00664FDA" w:rsidRPr="005C5C45" w:rsidRDefault="00664FDA" w:rsidP="00B50220">
      <w:pPr>
        <w:pStyle w:val="Normalrglronly"/>
      </w:pPr>
      <w:r w:rsidRPr="005C5C45">
        <w:t xml:space="preserve">Public and government officials agree that the OGP action plan is meant to stretch current government practices and test new ways for government and civil society to work together. </w:t>
      </w:r>
      <w:r w:rsidR="00322FC2">
        <w:t>The g</w:t>
      </w:r>
      <w:r w:rsidRPr="005C5C45">
        <w:t>overnment states it uses participation in OGP to provide another avenue to develop and strengthen the country’s democracy.</w:t>
      </w:r>
      <w:r w:rsidRPr="005C5C45">
        <w:rPr>
          <w:rStyle w:val="EndnoteReference"/>
        </w:rPr>
        <w:endnoteReference w:id="34"/>
      </w:r>
      <w:r w:rsidRPr="005C5C45">
        <w:t xml:space="preserve"> A future OGP action plan could promote citizenship education and increase youth participation across all ethnicities at local and community levels, with an aim to increase voting levels </w:t>
      </w:r>
      <w:r w:rsidR="000353B3">
        <w:t>in</w:t>
      </w:r>
      <w:r w:rsidR="000353B3" w:rsidRPr="005C5C45">
        <w:t xml:space="preserve"> </w:t>
      </w:r>
      <w:r w:rsidRPr="005C5C45">
        <w:t xml:space="preserve">the </w:t>
      </w:r>
      <w:r w:rsidR="00771383" w:rsidRPr="005C5C45">
        <w:t xml:space="preserve">2019 local government and the </w:t>
      </w:r>
      <w:r w:rsidRPr="005C5C45">
        <w:t>2020 general elections. This work could build on existing initiatives such as the October 2016 Civics, Citizenship and Political Literacy workshop.</w:t>
      </w:r>
      <w:r w:rsidRPr="005C5C45">
        <w:rPr>
          <w:rStyle w:val="EndnoteReference"/>
          <w:bCs w:val="0"/>
        </w:rPr>
        <w:endnoteReference w:id="35"/>
      </w:r>
    </w:p>
    <w:p w14:paraId="1555DFAC" w14:textId="6DE1B7D5" w:rsidR="00664FDA" w:rsidRPr="005C5C45" w:rsidRDefault="00664FDA" w:rsidP="00B50220">
      <w:pPr>
        <w:pStyle w:val="Normalrglronly"/>
      </w:pPr>
      <w:r w:rsidRPr="005C5C45">
        <w:t>N</w:t>
      </w:r>
      <w:r w:rsidR="00421DD9" w:rsidRPr="005C5C45">
        <w:t xml:space="preserve">ew </w:t>
      </w:r>
      <w:r w:rsidRPr="005C5C45">
        <w:t>Z</w:t>
      </w:r>
      <w:r w:rsidR="00421DD9" w:rsidRPr="005C5C45">
        <w:t>ealand</w:t>
      </w:r>
      <w:r w:rsidRPr="005C5C45">
        <w:t>’s size, small population (4.8 million)</w:t>
      </w:r>
      <w:r w:rsidR="00726DAD">
        <w:t>,</w:t>
      </w:r>
      <w:r w:rsidRPr="005C5C45">
        <w:t xml:space="preserve"> and low levels of philanthropy (compared with many other nations), constrain the ability of many civil society groups to work to adequately represent the public. These groups generally compete for funding from the same sources. As the provision of government services is increasingly outsourced to civil society groups, concern has grown that the highly sought-after funding contracts may include ‘gagging clauses’ which reduce recipients’ ability to make public comment.</w:t>
      </w:r>
      <w:r w:rsidRPr="005C5C45">
        <w:rPr>
          <w:rStyle w:val="EndnoteReference"/>
          <w:bCs w:val="0"/>
        </w:rPr>
        <w:endnoteReference w:id="36"/>
      </w:r>
      <w:r w:rsidRPr="005C5C45">
        <w:t xml:space="preserve"> A future OGP action plan should consider this concern openly before the 2019 funding round. For example, over this period, the appropriate clauses in </w:t>
      </w:r>
      <w:r w:rsidR="00726DAD">
        <w:t xml:space="preserve">the </w:t>
      </w:r>
      <w:r w:rsidR="00FB4D58">
        <w:t>G</w:t>
      </w:r>
      <w:r w:rsidRPr="005C5C45">
        <w:t>overnment’s standard procurement and funding contracts could be reviewed and new clauses inserted, where necessary, to address this issue.</w:t>
      </w:r>
    </w:p>
    <w:p w14:paraId="1A727911" w14:textId="77777777" w:rsidR="00664FDA" w:rsidRPr="005C5C45" w:rsidRDefault="00664FDA" w:rsidP="00B50220">
      <w:pPr>
        <w:pStyle w:val="Normalrglronly"/>
      </w:pPr>
      <w:r w:rsidRPr="005C5C45">
        <w:lastRenderedPageBreak/>
        <w:t>Other issues raised during consultation on either the first or the second action plan, and still highlighted as priority issues, are:</w:t>
      </w:r>
    </w:p>
    <w:p w14:paraId="349B41C4" w14:textId="617B324F" w:rsidR="00771383" w:rsidRPr="005C5C45" w:rsidRDefault="00DD7C67" w:rsidP="00B50220">
      <w:pPr>
        <w:pStyle w:val="ListParagraph"/>
        <w:numPr>
          <w:ilvl w:val="0"/>
          <w:numId w:val="27"/>
        </w:numPr>
      </w:pPr>
      <w:r w:rsidRPr="005C5C45">
        <w:rPr>
          <w:rFonts w:eastAsia="Cambria" w:cs="Times New Roman"/>
          <w:bCs/>
        </w:rPr>
        <w:t>To i</w:t>
      </w:r>
      <w:r w:rsidRPr="005C5C45">
        <w:rPr>
          <w:rFonts w:eastAsia="Cambria" w:cs="Times New Roman"/>
          <w:bCs/>
          <w:color w:val="auto"/>
          <w:szCs w:val="22"/>
        </w:rPr>
        <w:t>ncrease financial transparency, publish</w:t>
      </w:r>
      <w:r w:rsidR="00771383" w:rsidRPr="005C5C45">
        <w:rPr>
          <w:rFonts w:eastAsia="Cambria" w:cs="Times New Roman"/>
          <w:bCs/>
          <w:color w:val="auto"/>
          <w:szCs w:val="22"/>
        </w:rPr>
        <w:t xml:space="preserve"> actual budget expenditure data and </w:t>
      </w:r>
      <w:r w:rsidR="00771383" w:rsidRPr="005C5C45">
        <w:rPr>
          <w:rFonts w:eastAsia="Cambria" w:cs="Times New Roman"/>
          <w:bCs/>
        </w:rPr>
        <w:t xml:space="preserve">details of all </w:t>
      </w:r>
      <w:r w:rsidR="00771383" w:rsidRPr="005C5C45">
        <w:rPr>
          <w:rFonts w:eastAsia="Cambria" w:cs="Times New Roman"/>
          <w:bCs/>
          <w:color w:val="auto"/>
          <w:szCs w:val="22"/>
        </w:rPr>
        <w:t>government procurement contracts</w:t>
      </w:r>
      <w:r w:rsidR="00771383" w:rsidRPr="005C5C45">
        <w:rPr>
          <w:rFonts w:eastAsia="Cambria" w:cs="Times New Roman"/>
          <w:bCs/>
        </w:rPr>
        <w:t xml:space="preserve">. While </w:t>
      </w:r>
      <w:r w:rsidR="004E15B8">
        <w:rPr>
          <w:rFonts w:eastAsia="Cambria" w:cs="Times New Roman"/>
          <w:bCs/>
        </w:rPr>
        <w:t xml:space="preserve">the </w:t>
      </w:r>
      <w:r w:rsidR="00D51D43">
        <w:rPr>
          <w:rFonts w:eastAsia="Cambria" w:cs="Times New Roman"/>
          <w:bCs/>
        </w:rPr>
        <w:t>G</w:t>
      </w:r>
      <w:r w:rsidR="00771383" w:rsidRPr="005C5C45">
        <w:rPr>
          <w:rFonts w:eastAsia="Cambria" w:cs="Times New Roman"/>
          <w:bCs/>
        </w:rPr>
        <w:t>overnment releases detailed Budget estimates, the details of actual Budget expenditure are less well known. With a few exceptions, such as contracts for community social services that the government funds,</w:t>
      </w:r>
      <w:r w:rsidR="00771383" w:rsidRPr="005C5C45">
        <w:rPr>
          <w:rStyle w:val="EndnoteReference"/>
          <w:rFonts w:eastAsia="Cambria" w:cs="Times New Roman"/>
          <w:bCs/>
        </w:rPr>
        <w:endnoteReference w:id="37"/>
      </w:r>
      <w:r w:rsidR="00771383" w:rsidRPr="005C5C45">
        <w:rPr>
          <w:rFonts w:eastAsia="Cambria" w:cs="Times New Roman"/>
          <w:bCs/>
        </w:rPr>
        <w:t xml:space="preserve"> government does not release details of its public procurement;</w:t>
      </w:r>
    </w:p>
    <w:p w14:paraId="4336C5B5" w14:textId="532AB17C" w:rsidR="00771383" w:rsidRPr="005C5C45" w:rsidRDefault="00DD7C67" w:rsidP="00771383">
      <w:pPr>
        <w:pStyle w:val="ListParagraph"/>
        <w:numPr>
          <w:ilvl w:val="0"/>
          <w:numId w:val="27"/>
        </w:numPr>
        <w:rPr>
          <w:rFonts w:eastAsia="Cambria" w:cs="Times New Roman"/>
          <w:bCs/>
        </w:rPr>
      </w:pPr>
      <w:r w:rsidRPr="005C5C45">
        <w:rPr>
          <w:rFonts w:eastAsia="Cambria" w:cs="Times New Roman"/>
          <w:bCs/>
        </w:rPr>
        <w:t>Develop</w:t>
      </w:r>
      <w:r w:rsidR="00771383" w:rsidRPr="005C5C45">
        <w:rPr>
          <w:rFonts w:eastAsia="Cambria" w:cs="Times New Roman"/>
          <w:bCs/>
        </w:rPr>
        <w:t xml:space="preserve"> sustainable and </w:t>
      </w:r>
      <w:r w:rsidR="00771383" w:rsidRPr="005C5C45">
        <w:rPr>
          <w:rFonts w:eastAsia="Cambria" w:cs="Times New Roman"/>
          <w:bCs/>
          <w:color w:val="auto"/>
          <w:szCs w:val="22"/>
        </w:rPr>
        <w:t>regular high-level interaction between government officials and civil society representatives</w:t>
      </w:r>
      <w:r w:rsidR="00771383" w:rsidRPr="005C5C45">
        <w:rPr>
          <w:rFonts w:eastAsia="Cambria" w:cs="Times New Roman"/>
          <w:bCs/>
        </w:rPr>
        <w:t xml:space="preserve"> by building on existing models such as the </w:t>
      </w:r>
      <w:proofErr w:type="spellStart"/>
      <w:r w:rsidR="00771383" w:rsidRPr="005C5C45">
        <w:rPr>
          <w:rFonts w:eastAsia="Cambria" w:cs="Times New Roman"/>
          <w:bCs/>
        </w:rPr>
        <w:t>Iwi</w:t>
      </w:r>
      <w:proofErr w:type="spellEnd"/>
      <w:r w:rsidR="00771383" w:rsidRPr="005C5C45">
        <w:rPr>
          <w:rFonts w:eastAsia="Cambria" w:cs="Times New Roman"/>
          <w:bCs/>
        </w:rPr>
        <w:t xml:space="preserve"> Chairs Forum, </w:t>
      </w:r>
      <w:r w:rsidR="00771383" w:rsidRPr="005C5C45">
        <w:rPr>
          <w:rFonts w:eastAsia="Cambria" w:cs="Times New Roman"/>
          <w:bCs/>
          <w:color w:val="auto"/>
          <w:szCs w:val="22"/>
        </w:rPr>
        <w:t xml:space="preserve">a platform for sharing knowledge and information between the </w:t>
      </w:r>
      <w:proofErr w:type="spellStart"/>
      <w:r w:rsidR="00771383" w:rsidRPr="005C5C45">
        <w:rPr>
          <w:rFonts w:eastAsia="Cambria" w:cs="Times New Roman"/>
          <w:bCs/>
          <w:color w:val="auto"/>
          <w:szCs w:val="22"/>
        </w:rPr>
        <w:t>tangata</w:t>
      </w:r>
      <w:proofErr w:type="spellEnd"/>
      <w:r w:rsidR="00771383" w:rsidRPr="005C5C45">
        <w:rPr>
          <w:rFonts w:eastAsia="Cambria" w:cs="Times New Roman"/>
          <w:bCs/>
          <w:color w:val="auto"/>
          <w:szCs w:val="22"/>
        </w:rPr>
        <w:t xml:space="preserve"> </w:t>
      </w:r>
      <w:proofErr w:type="spellStart"/>
      <w:r w:rsidR="00771383" w:rsidRPr="005C5C45">
        <w:rPr>
          <w:rFonts w:eastAsia="Cambria" w:cs="Times New Roman"/>
          <w:bCs/>
          <w:color w:val="auto"/>
          <w:szCs w:val="22"/>
        </w:rPr>
        <w:t>whenua</w:t>
      </w:r>
      <w:proofErr w:type="spellEnd"/>
      <w:r w:rsidR="00771383" w:rsidRPr="005C5C45">
        <w:rPr>
          <w:rFonts w:eastAsia="Cambria" w:cs="Times New Roman"/>
          <w:bCs/>
          <w:color w:val="auto"/>
          <w:szCs w:val="22"/>
        </w:rPr>
        <w:t xml:space="preserve"> of </w:t>
      </w:r>
      <w:proofErr w:type="spellStart"/>
      <w:r w:rsidR="00771383" w:rsidRPr="005C5C45">
        <w:rPr>
          <w:rFonts w:eastAsia="Cambria" w:cs="Times New Roman"/>
          <w:bCs/>
          <w:color w:val="auto"/>
          <w:szCs w:val="22"/>
        </w:rPr>
        <w:t>Aotearoa</w:t>
      </w:r>
      <w:proofErr w:type="spellEnd"/>
      <w:r w:rsidR="00771383" w:rsidRPr="005C5C45">
        <w:rPr>
          <w:rFonts w:eastAsia="Cambria" w:cs="Times New Roman"/>
          <w:bCs/>
        </w:rPr>
        <w:t>.</w:t>
      </w:r>
      <w:r w:rsidR="00771383" w:rsidRPr="005C5C45">
        <w:rPr>
          <w:rStyle w:val="EndnoteReference"/>
          <w:rFonts w:eastAsia="Cambria" w:cs="Times New Roman"/>
          <w:bCs/>
        </w:rPr>
        <w:endnoteReference w:id="38"/>
      </w:r>
      <w:r w:rsidR="00771383" w:rsidRPr="005C5C45">
        <w:rPr>
          <w:rFonts w:eastAsia="Cambria" w:cs="Times New Roman"/>
          <w:bCs/>
        </w:rPr>
        <w:t xml:space="preserve"> </w:t>
      </w:r>
      <w:r w:rsidR="00771383" w:rsidRPr="005C5C45">
        <w:rPr>
          <w:rFonts w:eastAsia="Cambria" w:cs="Times New Roman"/>
          <w:bCs/>
          <w:color w:val="auto"/>
          <w:szCs w:val="22"/>
        </w:rPr>
        <w:t xml:space="preserve">This could strengthen civic engagement </w:t>
      </w:r>
      <w:r w:rsidRPr="005C5C45">
        <w:rPr>
          <w:rFonts w:eastAsia="Cambria" w:cs="Times New Roman"/>
          <w:bCs/>
          <w:color w:val="auto"/>
          <w:szCs w:val="22"/>
        </w:rPr>
        <w:t>by</w:t>
      </w:r>
      <w:r w:rsidR="00771383" w:rsidRPr="005C5C45">
        <w:rPr>
          <w:rFonts w:eastAsia="Cambria" w:cs="Times New Roman"/>
          <w:bCs/>
          <w:color w:val="auto"/>
          <w:szCs w:val="22"/>
        </w:rPr>
        <w:t xml:space="preserve"> </w:t>
      </w:r>
      <w:r w:rsidRPr="005C5C45">
        <w:rPr>
          <w:rFonts w:eastAsia="Cambria" w:cs="Times New Roman"/>
          <w:bCs/>
          <w:color w:val="auto"/>
          <w:szCs w:val="22"/>
        </w:rPr>
        <w:t>co-creating</w:t>
      </w:r>
      <w:r w:rsidR="00771383" w:rsidRPr="005C5C45">
        <w:rPr>
          <w:rFonts w:eastAsia="Cambria" w:cs="Times New Roman"/>
          <w:bCs/>
          <w:color w:val="auto"/>
          <w:szCs w:val="22"/>
        </w:rPr>
        <w:t xml:space="preserve"> policy development; and</w:t>
      </w:r>
    </w:p>
    <w:p w14:paraId="274B91DD" w14:textId="453C150F" w:rsidR="00EA2F88" w:rsidRPr="005C5C45" w:rsidRDefault="00DD7C67" w:rsidP="00B50220">
      <w:pPr>
        <w:pStyle w:val="ListParagraph"/>
        <w:numPr>
          <w:ilvl w:val="0"/>
          <w:numId w:val="27"/>
        </w:numPr>
        <w:rPr>
          <w:rFonts w:eastAsia="Cambria" w:cs="Times New Roman"/>
          <w:bCs/>
          <w:color w:val="auto"/>
          <w:szCs w:val="22"/>
        </w:rPr>
      </w:pPr>
      <w:r w:rsidRPr="005C5C45">
        <w:rPr>
          <w:rFonts w:eastAsia="Cambria" w:cs="Times New Roman"/>
          <w:bCs/>
          <w:color w:val="auto"/>
          <w:szCs w:val="22"/>
        </w:rPr>
        <w:t xml:space="preserve">Link OGP work </w:t>
      </w:r>
      <w:r w:rsidR="00771383" w:rsidRPr="005C5C45">
        <w:rPr>
          <w:rFonts w:eastAsia="Cambria" w:cs="Times New Roman"/>
          <w:bCs/>
          <w:color w:val="auto"/>
          <w:szCs w:val="22"/>
        </w:rPr>
        <w:t>to government’s work programme on the U</w:t>
      </w:r>
      <w:r w:rsidR="004E5897">
        <w:rPr>
          <w:rFonts w:eastAsia="Cambria" w:cs="Times New Roman"/>
          <w:bCs/>
          <w:color w:val="auto"/>
          <w:szCs w:val="22"/>
        </w:rPr>
        <w:t xml:space="preserve">nited </w:t>
      </w:r>
      <w:r w:rsidR="00771383" w:rsidRPr="005C5C45">
        <w:rPr>
          <w:rFonts w:eastAsia="Cambria" w:cs="Times New Roman"/>
          <w:bCs/>
          <w:color w:val="auto"/>
          <w:szCs w:val="22"/>
        </w:rPr>
        <w:t>N</w:t>
      </w:r>
      <w:r w:rsidR="004E5897">
        <w:rPr>
          <w:rFonts w:eastAsia="Cambria" w:cs="Times New Roman"/>
          <w:bCs/>
          <w:color w:val="auto"/>
          <w:szCs w:val="22"/>
        </w:rPr>
        <w:t>ations (UN)</w:t>
      </w:r>
      <w:r w:rsidR="00771383" w:rsidRPr="005C5C45">
        <w:rPr>
          <w:rFonts w:eastAsia="Cambria" w:cs="Times New Roman"/>
          <w:bCs/>
          <w:color w:val="auto"/>
          <w:szCs w:val="22"/>
        </w:rPr>
        <w:t xml:space="preserve"> S</w:t>
      </w:r>
      <w:r w:rsidRPr="005C5C45">
        <w:rPr>
          <w:rFonts w:eastAsia="Cambria" w:cs="Times New Roman"/>
          <w:bCs/>
          <w:color w:val="auto"/>
          <w:szCs w:val="22"/>
        </w:rPr>
        <w:t xml:space="preserve">ustainable Development Goal </w:t>
      </w:r>
      <w:r w:rsidR="004E5897">
        <w:rPr>
          <w:rFonts w:eastAsia="Cambria" w:cs="Times New Roman"/>
          <w:bCs/>
          <w:color w:val="auto"/>
          <w:szCs w:val="22"/>
        </w:rPr>
        <w:t xml:space="preserve">(SDG) </w:t>
      </w:r>
      <w:r w:rsidRPr="005C5C45">
        <w:rPr>
          <w:rFonts w:eastAsia="Cambria" w:cs="Times New Roman"/>
          <w:bCs/>
          <w:color w:val="auto"/>
          <w:szCs w:val="22"/>
        </w:rPr>
        <w:t xml:space="preserve">16, to </w:t>
      </w:r>
      <w:r w:rsidR="00771383" w:rsidRPr="005C5C45">
        <w:rPr>
          <w:rFonts w:eastAsia="Cambria" w:cs="Times New Roman"/>
          <w:bCs/>
          <w:color w:val="auto"/>
          <w:szCs w:val="22"/>
        </w:rPr>
        <w:t xml:space="preserve">provide </w:t>
      </w:r>
      <w:hyperlink r:id="rId23" w:tooltip="Right to fair trial" w:history="1">
        <w:r w:rsidR="00771383" w:rsidRPr="005C5C45">
          <w:rPr>
            <w:rFonts w:eastAsia="Cambria" w:cs="Times New Roman"/>
            <w:bCs/>
            <w:color w:val="auto"/>
            <w:szCs w:val="22"/>
          </w:rPr>
          <w:t>access to justice</w:t>
        </w:r>
      </w:hyperlink>
      <w:r w:rsidR="00771383" w:rsidRPr="005C5C45">
        <w:rPr>
          <w:rFonts w:eastAsia="Cambria" w:cs="Times New Roman"/>
          <w:bCs/>
          <w:color w:val="auto"/>
          <w:szCs w:val="22"/>
        </w:rPr>
        <w:t xml:space="preserve"> for all.</w:t>
      </w:r>
      <w:r w:rsidR="00771383" w:rsidRPr="005C5C45">
        <w:rPr>
          <w:rStyle w:val="EndnoteReference"/>
          <w:rFonts w:eastAsia="Cambria"/>
          <w:bCs/>
        </w:rPr>
        <w:endnoteReference w:id="39"/>
      </w:r>
      <w:r w:rsidR="00771383" w:rsidRPr="005C5C45">
        <w:rPr>
          <w:rFonts w:eastAsia="Cambria" w:cs="Times New Roman"/>
          <w:bCs/>
          <w:color w:val="auto"/>
          <w:szCs w:val="22"/>
        </w:rPr>
        <w:t xml:space="preserve"> </w:t>
      </w:r>
      <w:proofErr w:type="gramStart"/>
      <w:r w:rsidR="00771383" w:rsidRPr="005C5C45">
        <w:rPr>
          <w:rFonts w:eastAsia="Cambria" w:cs="Times New Roman"/>
          <w:bCs/>
          <w:color w:val="auto"/>
          <w:szCs w:val="22"/>
        </w:rPr>
        <w:t>N</w:t>
      </w:r>
      <w:r w:rsidR="00421DD9" w:rsidRPr="005C5C45">
        <w:rPr>
          <w:rFonts w:eastAsia="Cambria" w:cs="Times New Roman"/>
          <w:bCs/>
          <w:color w:val="auto"/>
          <w:szCs w:val="22"/>
        </w:rPr>
        <w:t xml:space="preserve">ew </w:t>
      </w:r>
      <w:r w:rsidR="00771383" w:rsidRPr="005C5C45">
        <w:rPr>
          <w:rFonts w:eastAsia="Cambria" w:cs="Times New Roman"/>
          <w:bCs/>
          <w:color w:val="auto"/>
          <w:szCs w:val="22"/>
        </w:rPr>
        <w:t>Z</w:t>
      </w:r>
      <w:r w:rsidR="00421DD9" w:rsidRPr="005C5C45">
        <w:rPr>
          <w:rFonts w:eastAsia="Cambria" w:cs="Times New Roman"/>
          <w:bCs/>
          <w:color w:val="auto"/>
          <w:szCs w:val="22"/>
        </w:rPr>
        <w:t>ealand</w:t>
      </w:r>
      <w:r w:rsidR="00771383" w:rsidRPr="005C5C45">
        <w:rPr>
          <w:rFonts w:eastAsia="Cambria" w:cs="Times New Roman"/>
          <w:bCs/>
          <w:color w:val="auto"/>
          <w:szCs w:val="22"/>
        </w:rPr>
        <w:t>’s programme is led by the Ministry of Foreign Affairs and Trade</w:t>
      </w:r>
      <w:proofErr w:type="gramEnd"/>
      <w:r w:rsidR="00771383" w:rsidRPr="005C5C45">
        <w:rPr>
          <w:rFonts w:eastAsia="Cambria" w:cs="Times New Roman"/>
          <w:bCs/>
          <w:color w:val="auto"/>
          <w:szCs w:val="22"/>
        </w:rPr>
        <w:t>. N</w:t>
      </w:r>
      <w:r w:rsidR="00421DD9" w:rsidRPr="005C5C45">
        <w:rPr>
          <w:rFonts w:eastAsia="Cambria" w:cs="Times New Roman"/>
          <w:bCs/>
          <w:color w:val="auto"/>
          <w:szCs w:val="22"/>
        </w:rPr>
        <w:t xml:space="preserve">ew </w:t>
      </w:r>
      <w:r w:rsidR="00771383" w:rsidRPr="005C5C45">
        <w:rPr>
          <w:rFonts w:eastAsia="Cambria" w:cs="Times New Roman"/>
          <w:bCs/>
          <w:color w:val="auto"/>
          <w:szCs w:val="22"/>
        </w:rPr>
        <w:t>Z</w:t>
      </w:r>
      <w:r w:rsidR="00421DD9" w:rsidRPr="005C5C45">
        <w:rPr>
          <w:rFonts w:eastAsia="Cambria" w:cs="Times New Roman"/>
          <w:bCs/>
          <w:color w:val="auto"/>
          <w:szCs w:val="22"/>
        </w:rPr>
        <w:t>ealand</w:t>
      </w:r>
      <w:r w:rsidR="00771383" w:rsidRPr="005C5C45">
        <w:rPr>
          <w:rFonts w:eastAsia="Cambria" w:cs="Times New Roman"/>
          <w:bCs/>
          <w:color w:val="auto"/>
          <w:szCs w:val="22"/>
        </w:rPr>
        <w:t xml:space="preserve"> government agencies are reviewing the goals and their alignment with existing Government priorities.</w:t>
      </w:r>
      <w:r w:rsidR="00771383" w:rsidRPr="005C5C45">
        <w:rPr>
          <w:rStyle w:val="EndnoteReference"/>
        </w:rPr>
        <w:endnoteReference w:id="40"/>
      </w:r>
      <w:r w:rsidR="00771383" w:rsidRPr="005C5C45">
        <w:rPr>
          <w:rStyle w:val="EndnoteReference"/>
        </w:rPr>
        <w:t xml:space="preserve"> </w:t>
      </w:r>
      <w:r w:rsidR="00771383" w:rsidRPr="005C5C45">
        <w:rPr>
          <w:rFonts w:eastAsia="Cambria" w:cs="Times New Roman"/>
          <w:bCs/>
          <w:color w:val="auto"/>
          <w:szCs w:val="22"/>
        </w:rPr>
        <w:t>It is an opportunity to align OGP and SDG work.</w:t>
      </w:r>
      <w:bookmarkEnd w:id="11"/>
    </w:p>
    <w:p w14:paraId="19278E59" w14:textId="77777777" w:rsidR="007340E7" w:rsidRPr="005C5C45" w:rsidRDefault="00AD550F" w:rsidP="00B50220">
      <w:pPr>
        <w:pStyle w:val="Normalrglronly"/>
      </w:pPr>
      <w:r w:rsidRPr="005C5C45">
        <w:t>Future action plans will need to address these priority issues as well as continuing to stretch N</w:t>
      </w:r>
      <w:r w:rsidR="00421DD9" w:rsidRPr="005C5C45">
        <w:t xml:space="preserve">ew </w:t>
      </w:r>
      <w:r w:rsidRPr="005C5C45">
        <w:t>Z</w:t>
      </w:r>
      <w:r w:rsidR="00421DD9" w:rsidRPr="005C5C45">
        <w:t>ealand</w:t>
      </w:r>
      <w:r w:rsidRPr="005C5C45">
        <w:t>’s open government practices.</w:t>
      </w:r>
    </w:p>
    <w:p w14:paraId="1D8CB59D" w14:textId="77777777" w:rsidR="006C43DD" w:rsidRPr="005C5C45" w:rsidRDefault="006C43DD" w:rsidP="00B962C0">
      <w:pPr>
        <w:pStyle w:val="Normalrglronly"/>
        <w:rPr>
          <w:color w:val="51A534" w:themeColor="accent2"/>
        </w:rPr>
        <w:sectPr w:rsidR="006C43DD" w:rsidRPr="005C5C45" w:rsidSect="00FD29D6">
          <w:endnotePr>
            <w:numFmt w:val="decimal"/>
            <w:numRestart w:val="eachSect"/>
          </w:endnotePr>
          <w:pgSz w:w="11900" w:h="16840" w:code="9"/>
          <w:pgMar w:top="1440" w:right="1800" w:bottom="1440" w:left="1800" w:header="720" w:footer="720" w:gutter="0"/>
          <w:pgNumType w:chapStyle="1"/>
          <w:cols w:space="720"/>
          <w:titlePg/>
          <w:docGrid w:linePitch="299"/>
        </w:sectPr>
      </w:pPr>
    </w:p>
    <w:p w14:paraId="3A20143D" w14:textId="12D050E8" w:rsidR="00EA2F88" w:rsidRPr="005C5C45" w:rsidRDefault="00EA2F88" w:rsidP="00684751">
      <w:pPr>
        <w:pStyle w:val="Heading1"/>
        <w:rPr>
          <w:sz w:val="40"/>
        </w:rPr>
      </w:pPr>
      <w:bookmarkStart w:id="13" w:name="h.3dy6vkm" w:colFirst="0" w:colLast="0"/>
      <w:bookmarkStart w:id="14" w:name="_Toc266020999"/>
      <w:bookmarkStart w:id="15" w:name="_Toc377998807"/>
      <w:bookmarkEnd w:id="13"/>
      <w:r w:rsidRPr="005C5C45">
        <w:lastRenderedPageBreak/>
        <w:t xml:space="preserve">III. </w:t>
      </w:r>
      <w:bookmarkEnd w:id="14"/>
      <w:r w:rsidRPr="005C5C45">
        <w:t>Leadership and Multi</w:t>
      </w:r>
      <w:r w:rsidR="00002C77">
        <w:t>-S</w:t>
      </w:r>
      <w:r w:rsidRPr="005C5C45">
        <w:t>takeholder Process</w:t>
      </w:r>
      <w:bookmarkEnd w:id="15"/>
      <w:r w:rsidRPr="005C5C45">
        <w:t xml:space="preserve"> </w:t>
      </w:r>
    </w:p>
    <w:p w14:paraId="7BB53795" w14:textId="77777777" w:rsidR="002C79FA" w:rsidRPr="00002C77" w:rsidRDefault="00EA2F88" w:rsidP="00987687">
      <w:pPr>
        <w:pStyle w:val="Pullquote"/>
        <w:rPr>
          <w:rFonts w:eastAsia="Cambria" w:cs="Times New Roman"/>
          <w:bCs/>
          <w:color w:val="auto"/>
          <w:sz w:val="22"/>
          <w:szCs w:val="22"/>
        </w:rPr>
      </w:pPr>
      <w:r w:rsidRPr="00002C77">
        <w:rPr>
          <w:sz w:val="22"/>
          <w:szCs w:val="22"/>
        </w:rPr>
        <w:t>In April 2016</w:t>
      </w:r>
      <w:r w:rsidR="00B50220" w:rsidRPr="00002C77">
        <w:rPr>
          <w:sz w:val="22"/>
          <w:szCs w:val="22"/>
        </w:rPr>
        <w:t>,</w:t>
      </w:r>
      <w:r w:rsidRPr="00002C77">
        <w:rPr>
          <w:sz w:val="22"/>
          <w:szCs w:val="22"/>
        </w:rPr>
        <w:t xml:space="preserve"> the time frame for finalising </w:t>
      </w:r>
      <w:r w:rsidR="003811C4" w:rsidRPr="00002C77">
        <w:rPr>
          <w:sz w:val="22"/>
          <w:szCs w:val="22"/>
        </w:rPr>
        <w:t>N</w:t>
      </w:r>
      <w:r w:rsidR="00421DD9" w:rsidRPr="00002C77">
        <w:rPr>
          <w:sz w:val="22"/>
          <w:szCs w:val="22"/>
        </w:rPr>
        <w:t xml:space="preserve">ew </w:t>
      </w:r>
      <w:r w:rsidR="003811C4" w:rsidRPr="00002C77">
        <w:rPr>
          <w:sz w:val="22"/>
          <w:szCs w:val="22"/>
        </w:rPr>
        <w:t>Z</w:t>
      </w:r>
      <w:r w:rsidR="00421DD9" w:rsidRPr="00002C77">
        <w:rPr>
          <w:sz w:val="22"/>
          <w:szCs w:val="22"/>
        </w:rPr>
        <w:t>ealand</w:t>
      </w:r>
      <w:r w:rsidRPr="00002C77">
        <w:rPr>
          <w:sz w:val="22"/>
          <w:szCs w:val="22"/>
        </w:rPr>
        <w:t xml:space="preserve">’s second action plan was extended and the SSC sought public input </w:t>
      </w:r>
      <w:r w:rsidR="002F6489" w:rsidRPr="00002C77">
        <w:rPr>
          <w:sz w:val="22"/>
          <w:szCs w:val="22"/>
        </w:rPr>
        <w:t>on t</w:t>
      </w:r>
      <w:r w:rsidR="00713B62" w:rsidRPr="00002C77">
        <w:rPr>
          <w:sz w:val="22"/>
          <w:szCs w:val="22"/>
        </w:rPr>
        <w:t>he</w:t>
      </w:r>
      <w:r w:rsidR="002F6489" w:rsidRPr="00002C77">
        <w:rPr>
          <w:sz w:val="22"/>
          <w:szCs w:val="22"/>
        </w:rPr>
        <w:t xml:space="preserve"> proposal </w:t>
      </w:r>
      <w:r w:rsidRPr="00002C77">
        <w:rPr>
          <w:sz w:val="22"/>
          <w:szCs w:val="22"/>
        </w:rPr>
        <w:t>on its website</w:t>
      </w:r>
      <w:r w:rsidR="00B34695" w:rsidRPr="00002C77">
        <w:rPr>
          <w:sz w:val="22"/>
          <w:szCs w:val="22"/>
        </w:rPr>
        <w:t>.</w:t>
      </w:r>
      <w:r w:rsidRPr="00002C77">
        <w:rPr>
          <w:rStyle w:val="EndnoteReference"/>
          <w:sz w:val="22"/>
          <w:szCs w:val="22"/>
        </w:rPr>
        <w:endnoteReference w:id="41"/>
      </w:r>
      <w:r w:rsidRPr="00002C77">
        <w:rPr>
          <w:sz w:val="22"/>
          <w:szCs w:val="22"/>
        </w:rPr>
        <w:t xml:space="preserve"> After an initial June 2016 workshop to explore possible commitments with civil society</w:t>
      </w:r>
      <w:r w:rsidR="00B34695" w:rsidRPr="00002C77">
        <w:rPr>
          <w:sz w:val="22"/>
          <w:szCs w:val="22"/>
        </w:rPr>
        <w:t>,</w:t>
      </w:r>
      <w:r w:rsidRPr="00002C77">
        <w:rPr>
          <w:rStyle w:val="EndnoteReference"/>
          <w:sz w:val="22"/>
          <w:szCs w:val="22"/>
        </w:rPr>
        <w:endnoteReference w:id="42"/>
      </w:r>
      <w:r w:rsidR="002F6489" w:rsidRPr="00002C77">
        <w:rPr>
          <w:sz w:val="22"/>
          <w:szCs w:val="22"/>
        </w:rPr>
        <w:t xml:space="preserve"> </w:t>
      </w:r>
      <w:r w:rsidR="00693555" w:rsidRPr="00002C77">
        <w:rPr>
          <w:sz w:val="22"/>
          <w:szCs w:val="22"/>
        </w:rPr>
        <w:t xml:space="preserve">there was advance notice </w:t>
      </w:r>
      <w:r w:rsidR="00713B62" w:rsidRPr="00002C77">
        <w:rPr>
          <w:sz w:val="22"/>
          <w:szCs w:val="22"/>
        </w:rPr>
        <w:t xml:space="preserve">given </w:t>
      </w:r>
      <w:r w:rsidR="00693555" w:rsidRPr="00002C77">
        <w:rPr>
          <w:sz w:val="22"/>
          <w:szCs w:val="22"/>
        </w:rPr>
        <w:t>to the public across many consultation channels. Actual c</w:t>
      </w:r>
      <w:r w:rsidR="002F6489" w:rsidRPr="00002C77">
        <w:rPr>
          <w:sz w:val="22"/>
          <w:szCs w:val="22"/>
        </w:rPr>
        <w:t xml:space="preserve">onsultation </w:t>
      </w:r>
      <w:r w:rsidR="002B317C" w:rsidRPr="00002C77">
        <w:rPr>
          <w:sz w:val="22"/>
          <w:szCs w:val="22"/>
        </w:rPr>
        <w:t xml:space="preserve">took place </w:t>
      </w:r>
      <w:r w:rsidR="00804CC2" w:rsidRPr="00002C77">
        <w:rPr>
          <w:sz w:val="22"/>
          <w:szCs w:val="22"/>
        </w:rPr>
        <w:t>for one month with stakeholders from civil society and the private sector</w:t>
      </w:r>
      <w:r w:rsidR="00EA350D" w:rsidRPr="00002C77">
        <w:rPr>
          <w:sz w:val="22"/>
          <w:szCs w:val="22"/>
        </w:rPr>
        <w:t>,</w:t>
      </w:r>
      <w:r w:rsidR="00F11FC6" w:rsidRPr="00002C77">
        <w:rPr>
          <w:sz w:val="22"/>
          <w:szCs w:val="22"/>
        </w:rPr>
        <w:t xml:space="preserve"> </w:t>
      </w:r>
      <w:r w:rsidR="00460E63" w:rsidRPr="00002C77">
        <w:rPr>
          <w:sz w:val="22"/>
          <w:szCs w:val="22"/>
        </w:rPr>
        <w:t xml:space="preserve">and </w:t>
      </w:r>
      <w:r w:rsidR="00693555" w:rsidRPr="00002C77">
        <w:rPr>
          <w:sz w:val="22"/>
          <w:szCs w:val="22"/>
        </w:rPr>
        <w:t xml:space="preserve">ended with </w:t>
      </w:r>
      <w:r w:rsidR="00460E63" w:rsidRPr="00002C77">
        <w:rPr>
          <w:sz w:val="22"/>
          <w:szCs w:val="22"/>
        </w:rPr>
        <w:t xml:space="preserve">a co-creation workshop </w:t>
      </w:r>
      <w:r w:rsidR="00693555" w:rsidRPr="00002C77">
        <w:rPr>
          <w:sz w:val="22"/>
          <w:szCs w:val="22"/>
        </w:rPr>
        <w:t xml:space="preserve">of </w:t>
      </w:r>
      <w:r w:rsidR="00713B62" w:rsidRPr="00002C77">
        <w:rPr>
          <w:sz w:val="22"/>
          <w:szCs w:val="22"/>
        </w:rPr>
        <w:t xml:space="preserve">government </w:t>
      </w:r>
      <w:r w:rsidR="00693555" w:rsidRPr="00002C77">
        <w:rPr>
          <w:sz w:val="22"/>
          <w:szCs w:val="22"/>
        </w:rPr>
        <w:t>officials and civil society</w:t>
      </w:r>
      <w:r w:rsidR="00460E63" w:rsidRPr="00002C77">
        <w:rPr>
          <w:sz w:val="22"/>
          <w:szCs w:val="22"/>
        </w:rPr>
        <w:t xml:space="preserve">. </w:t>
      </w:r>
      <w:r w:rsidRPr="00002C77">
        <w:rPr>
          <w:sz w:val="22"/>
          <w:szCs w:val="22"/>
        </w:rPr>
        <w:t>The SSC</w:t>
      </w:r>
      <w:r w:rsidR="00425513" w:rsidRPr="00002C77">
        <w:rPr>
          <w:sz w:val="22"/>
          <w:szCs w:val="22"/>
        </w:rPr>
        <w:t xml:space="preserve"> invited </w:t>
      </w:r>
      <w:r w:rsidR="00713B62" w:rsidRPr="00002C77">
        <w:rPr>
          <w:sz w:val="22"/>
          <w:szCs w:val="22"/>
        </w:rPr>
        <w:t xml:space="preserve">the </w:t>
      </w:r>
      <w:r w:rsidR="00425513" w:rsidRPr="00002C77">
        <w:rPr>
          <w:sz w:val="22"/>
          <w:szCs w:val="22"/>
        </w:rPr>
        <w:t xml:space="preserve">Expert Advisory </w:t>
      </w:r>
      <w:r w:rsidR="00F04198" w:rsidRPr="00002C77">
        <w:rPr>
          <w:sz w:val="22"/>
          <w:szCs w:val="22"/>
        </w:rPr>
        <w:t>Panel</w:t>
      </w:r>
      <w:r w:rsidR="00425513" w:rsidRPr="00002C77">
        <w:rPr>
          <w:sz w:val="22"/>
          <w:szCs w:val="22"/>
        </w:rPr>
        <w:t xml:space="preserve"> </w:t>
      </w:r>
      <w:r w:rsidR="00F11FC6" w:rsidRPr="00002C77">
        <w:rPr>
          <w:sz w:val="22"/>
          <w:szCs w:val="22"/>
        </w:rPr>
        <w:t xml:space="preserve">(EAP) </w:t>
      </w:r>
      <w:r w:rsidR="00425513" w:rsidRPr="00002C77">
        <w:rPr>
          <w:sz w:val="22"/>
          <w:szCs w:val="22"/>
        </w:rPr>
        <w:t xml:space="preserve">and the Officials Group, </w:t>
      </w:r>
      <w:r w:rsidR="00F50E9F" w:rsidRPr="00002C77">
        <w:rPr>
          <w:sz w:val="22"/>
          <w:szCs w:val="22"/>
        </w:rPr>
        <w:t xml:space="preserve">and </w:t>
      </w:r>
      <w:r w:rsidR="002F6489" w:rsidRPr="00002C77">
        <w:rPr>
          <w:sz w:val="22"/>
          <w:szCs w:val="22"/>
        </w:rPr>
        <w:t xml:space="preserve">subsequently </w:t>
      </w:r>
      <w:r w:rsidR="00F11FC6" w:rsidRPr="00002C77">
        <w:rPr>
          <w:sz w:val="22"/>
          <w:szCs w:val="22"/>
        </w:rPr>
        <w:t>finalised the plan</w:t>
      </w:r>
      <w:r w:rsidR="00425513" w:rsidRPr="00002C77">
        <w:rPr>
          <w:sz w:val="22"/>
          <w:szCs w:val="22"/>
        </w:rPr>
        <w:t xml:space="preserve"> </w:t>
      </w:r>
      <w:r w:rsidR="002B317C" w:rsidRPr="00002C77">
        <w:rPr>
          <w:sz w:val="22"/>
          <w:szCs w:val="22"/>
        </w:rPr>
        <w:t xml:space="preserve">with no further involvement </w:t>
      </w:r>
      <w:r w:rsidR="00EA350D" w:rsidRPr="00002C77">
        <w:rPr>
          <w:sz w:val="22"/>
          <w:szCs w:val="22"/>
        </w:rPr>
        <w:t>from</w:t>
      </w:r>
      <w:r w:rsidR="00460E63" w:rsidRPr="00002C77">
        <w:rPr>
          <w:sz w:val="22"/>
          <w:szCs w:val="22"/>
        </w:rPr>
        <w:t xml:space="preserve"> the public</w:t>
      </w:r>
      <w:r w:rsidR="002B317C" w:rsidRPr="00002C77">
        <w:rPr>
          <w:sz w:val="22"/>
          <w:szCs w:val="22"/>
        </w:rPr>
        <w:t>.</w:t>
      </w:r>
    </w:p>
    <w:p w14:paraId="72223DA5" w14:textId="77777777" w:rsidR="00EA2F88" w:rsidRPr="005C5C45" w:rsidRDefault="00EA2F88" w:rsidP="008C6A43">
      <w:pPr>
        <w:pStyle w:val="Heading3"/>
      </w:pPr>
      <w:r w:rsidRPr="005C5C45">
        <w:t xml:space="preserve">3.1 Leadership </w:t>
      </w:r>
    </w:p>
    <w:p w14:paraId="26A3E026" w14:textId="5DEF1987" w:rsidR="007169A6" w:rsidRPr="005C5C45" w:rsidRDefault="00EA2F88" w:rsidP="00B50220">
      <w:pPr>
        <w:pStyle w:val="Normalrglronly"/>
      </w:pPr>
      <w:r w:rsidRPr="005C5C45">
        <w:t xml:space="preserve">This subsection describes the OGP leadership and institutional context for OGP in </w:t>
      </w:r>
      <w:r w:rsidR="003811C4" w:rsidRPr="005C5C45">
        <w:t>N</w:t>
      </w:r>
      <w:r w:rsidR="00421DD9" w:rsidRPr="005C5C45">
        <w:t xml:space="preserve">ew </w:t>
      </w:r>
      <w:r w:rsidR="003811C4" w:rsidRPr="005C5C45">
        <w:t>Z</w:t>
      </w:r>
      <w:r w:rsidR="00421DD9" w:rsidRPr="005C5C45">
        <w:t>ealand</w:t>
      </w:r>
      <w:r w:rsidR="007F2006" w:rsidRPr="005C5C45">
        <w:t>. Table 3</w:t>
      </w:r>
      <w:r w:rsidRPr="005C5C45">
        <w:t>.1 summari</w:t>
      </w:r>
      <w:r w:rsidR="007666C6">
        <w:t>s</w:t>
      </w:r>
      <w:r w:rsidRPr="005C5C45">
        <w:t>es this structure while the narrative section (below) provides additional detail.</w:t>
      </w:r>
    </w:p>
    <w:p w14:paraId="77DAD95C" w14:textId="77777777" w:rsidR="00EA2F88" w:rsidRPr="005C5C45" w:rsidRDefault="00EA2F88" w:rsidP="00160193">
      <w:pPr>
        <w:pStyle w:val="Tableheader"/>
      </w:pPr>
      <w:r w:rsidRPr="005C5C45">
        <w:t>Table 3.1: OGP Leadership</w:t>
      </w:r>
    </w:p>
    <w:tbl>
      <w:tblPr>
        <w:tblStyle w:val="TableGrid"/>
        <w:tblW w:w="0" w:type="auto"/>
        <w:tblLook w:val="04A0" w:firstRow="1" w:lastRow="0" w:firstColumn="1" w:lastColumn="0" w:noHBand="0" w:noVBand="1"/>
      </w:tblPr>
      <w:tblGrid>
        <w:gridCol w:w="6452"/>
        <w:gridCol w:w="987"/>
        <w:gridCol w:w="851"/>
      </w:tblGrid>
      <w:tr w:rsidR="00EA2F88" w:rsidRPr="005C5C45" w14:paraId="593DA14D" w14:textId="77777777" w:rsidTr="005B1AE4">
        <w:trPr>
          <w:trHeight w:val="396"/>
        </w:trPr>
        <w:tc>
          <w:tcPr>
            <w:tcW w:w="6452" w:type="dxa"/>
            <w:shd w:val="clear" w:color="auto" w:fill="B5E3A5" w:themeFill="accent2" w:themeFillTint="66"/>
          </w:tcPr>
          <w:p w14:paraId="21D18A2C" w14:textId="77777777" w:rsidR="00EA2F88" w:rsidRPr="005C5C45" w:rsidRDefault="00EA2F88" w:rsidP="00361909">
            <w:pPr>
              <w:pStyle w:val="Normalrglronly"/>
              <w:rPr>
                <w:b/>
                <w:color w:val="000000" w:themeColor="text1"/>
              </w:rPr>
            </w:pPr>
            <w:r w:rsidRPr="005C5C45">
              <w:rPr>
                <w:b/>
                <w:color w:val="000000" w:themeColor="text1"/>
              </w:rPr>
              <w:t>1. Structure</w:t>
            </w:r>
          </w:p>
        </w:tc>
        <w:tc>
          <w:tcPr>
            <w:tcW w:w="987" w:type="dxa"/>
            <w:shd w:val="clear" w:color="auto" w:fill="B5E3A5" w:themeFill="accent2" w:themeFillTint="66"/>
          </w:tcPr>
          <w:p w14:paraId="7EAE7540" w14:textId="77777777" w:rsidR="00EA2F88" w:rsidRPr="005C5C45" w:rsidRDefault="00EA2F88" w:rsidP="00361909">
            <w:pPr>
              <w:pStyle w:val="Normalrglronly"/>
              <w:rPr>
                <w:color w:val="000000" w:themeColor="text1"/>
              </w:rPr>
            </w:pPr>
            <w:r w:rsidRPr="005C5C45">
              <w:rPr>
                <w:color w:val="000000" w:themeColor="text1"/>
              </w:rPr>
              <w:t>Yes</w:t>
            </w:r>
          </w:p>
        </w:tc>
        <w:tc>
          <w:tcPr>
            <w:tcW w:w="851" w:type="dxa"/>
            <w:shd w:val="clear" w:color="auto" w:fill="B5E3A5" w:themeFill="accent2" w:themeFillTint="66"/>
          </w:tcPr>
          <w:p w14:paraId="05D50C18" w14:textId="77777777" w:rsidR="00EA2F88" w:rsidRPr="005C5C45" w:rsidRDefault="00EA2F88" w:rsidP="00361909">
            <w:pPr>
              <w:pStyle w:val="Normalrglronly"/>
              <w:rPr>
                <w:color w:val="000000" w:themeColor="text1"/>
              </w:rPr>
            </w:pPr>
            <w:r w:rsidRPr="005C5C45">
              <w:rPr>
                <w:color w:val="000000" w:themeColor="text1"/>
              </w:rPr>
              <w:t>No</w:t>
            </w:r>
          </w:p>
        </w:tc>
      </w:tr>
      <w:tr w:rsidR="00EA2F88" w:rsidRPr="005C5C45" w14:paraId="37C95792" w14:textId="77777777" w:rsidTr="008D5018">
        <w:tc>
          <w:tcPr>
            <w:tcW w:w="6452" w:type="dxa"/>
          </w:tcPr>
          <w:p w14:paraId="2C61E3BC" w14:textId="77777777" w:rsidR="00EA2F88" w:rsidRPr="005C5C45" w:rsidRDefault="00EA2F88" w:rsidP="00361909">
            <w:pPr>
              <w:pStyle w:val="Normalrglronly"/>
              <w:rPr>
                <w:color w:val="000000" w:themeColor="text1"/>
              </w:rPr>
            </w:pPr>
            <w:r w:rsidRPr="005C5C45">
              <w:rPr>
                <w:color w:val="000000" w:themeColor="text1"/>
              </w:rPr>
              <w:t>Is there a clearly designated Point of Contact for OGP (individual)?</w:t>
            </w:r>
          </w:p>
        </w:tc>
        <w:tc>
          <w:tcPr>
            <w:tcW w:w="987" w:type="dxa"/>
            <w:vAlign w:val="center"/>
          </w:tcPr>
          <w:p w14:paraId="426A7831" w14:textId="77777777" w:rsidR="00EA2F88" w:rsidRPr="005C5C45" w:rsidRDefault="00C46F65" w:rsidP="008D5018">
            <w:pPr>
              <w:pStyle w:val="Normalrglronly"/>
              <w:jc w:val="center"/>
              <w:rPr>
                <w:color w:val="000000" w:themeColor="text1"/>
              </w:rPr>
            </w:pPr>
            <w:r w:rsidRPr="00722887">
              <w:rPr>
                <w:rFonts w:ascii="Zapf Dingbats" w:hAnsi="Zapf Dingbats"/>
                <w:noProof/>
                <w:sz w:val="20"/>
              </w:rPr>
              <w:t>✔</w:t>
            </w:r>
          </w:p>
        </w:tc>
        <w:tc>
          <w:tcPr>
            <w:tcW w:w="851" w:type="dxa"/>
            <w:vAlign w:val="center"/>
          </w:tcPr>
          <w:p w14:paraId="0991C1ED" w14:textId="77777777" w:rsidR="00EA2F88" w:rsidRPr="005C5C45" w:rsidRDefault="00EA2F88" w:rsidP="008D5018">
            <w:pPr>
              <w:pStyle w:val="Normalrglronly"/>
              <w:jc w:val="center"/>
              <w:rPr>
                <w:color w:val="000000" w:themeColor="text1"/>
              </w:rPr>
            </w:pPr>
          </w:p>
        </w:tc>
      </w:tr>
      <w:tr w:rsidR="00EA2F88" w:rsidRPr="005C5C45" w14:paraId="59BB2678" w14:textId="77777777" w:rsidTr="005B1AE4">
        <w:trPr>
          <w:trHeight w:val="404"/>
        </w:trPr>
        <w:tc>
          <w:tcPr>
            <w:tcW w:w="6452" w:type="dxa"/>
            <w:shd w:val="clear" w:color="auto" w:fill="B5E3A5" w:themeFill="accent2" w:themeFillTint="66"/>
          </w:tcPr>
          <w:p w14:paraId="423157E7" w14:textId="77777777" w:rsidR="00EA2F88" w:rsidRPr="005C5C45" w:rsidRDefault="00EA2F88" w:rsidP="00361909">
            <w:pPr>
              <w:pStyle w:val="Normalrglronly"/>
              <w:rPr>
                <w:color w:val="000000" w:themeColor="text1"/>
              </w:rPr>
            </w:pPr>
          </w:p>
        </w:tc>
        <w:tc>
          <w:tcPr>
            <w:tcW w:w="987" w:type="dxa"/>
            <w:shd w:val="clear" w:color="auto" w:fill="B5E3A5" w:themeFill="accent2" w:themeFillTint="66"/>
          </w:tcPr>
          <w:p w14:paraId="7A0606EA" w14:textId="77777777" w:rsidR="00EA2F88" w:rsidRPr="005C5C45" w:rsidRDefault="00EA2F88" w:rsidP="00361909">
            <w:pPr>
              <w:pStyle w:val="Normalrglronly"/>
              <w:rPr>
                <w:color w:val="000000" w:themeColor="text1"/>
              </w:rPr>
            </w:pPr>
            <w:r w:rsidRPr="005C5C45">
              <w:rPr>
                <w:color w:val="000000" w:themeColor="text1"/>
              </w:rPr>
              <w:t>Shared</w:t>
            </w:r>
          </w:p>
        </w:tc>
        <w:tc>
          <w:tcPr>
            <w:tcW w:w="851" w:type="dxa"/>
            <w:shd w:val="clear" w:color="auto" w:fill="B5E3A5" w:themeFill="accent2" w:themeFillTint="66"/>
          </w:tcPr>
          <w:p w14:paraId="54444295" w14:textId="77777777" w:rsidR="00EA2F88" w:rsidRPr="005C5C45" w:rsidRDefault="00EA2F88" w:rsidP="00361909">
            <w:pPr>
              <w:pStyle w:val="Normalrglronly"/>
              <w:rPr>
                <w:color w:val="000000" w:themeColor="text1"/>
              </w:rPr>
            </w:pPr>
            <w:r w:rsidRPr="005C5C45">
              <w:rPr>
                <w:color w:val="000000" w:themeColor="text1"/>
              </w:rPr>
              <w:t>Single</w:t>
            </w:r>
          </w:p>
        </w:tc>
      </w:tr>
      <w:tr w:rsidR="00EA2F88" w:rsidRPr="005C5C45" w14:paraId="65A6C4A8" w14:textId="77777777" w:rsidTr="008D5018">
        <w:tc>
          <w:tcPr>
            <w:tcW w:w="6452" w:type="dxa"/>
          </w:tcPr>
          <w:p w14:paraId="7BBFA959" w14:textId="77777777" w:rsidR="00EA2F88" w:rsidRPr="005C5C45" w:rsidRDefault="00EA2F88" w:rsidP="00361909">
            <w:pPr>
              <w:pStyle w:val="Normalrglronly"/>
              <w:rPr>
                <w:color w:val="000000" w:themeColor="text1"/>
              </w:rPr>
            </w:pPr>
            <w:r w:rsidRPr="005C5C45">
              <w:rPr>
                <w:color w:val="000000" w:themeColor="text1"/>
              </w:rPr>
              <w:t>Is there a single lead agency on OGP efforts?</w:t>
            </w:r>
          </w:p>
        </w:tc>
        <w:tc>
          <w:tcPr>
            <w:tcW w:w="987" w:type="dxa"/>
            <w:vAlign w:val="center"/>
          </w:tcPr>
          <w:p w14:paraId="02D0C0C9" w14:textId="77777777" w:rsidR="00EA2F88" w:rsidRPr="005C5C45" w:rsidRDefault="00EA2F88" w:rsidP="008D5018">
            <w:pPr>
              <w:pStyle w:val="Normalrglronly"/>
              <w:jc w:val="center"/>
              <w:rPr>
                <w:color w:val="000000" w:themeColor="text1"/>
              </w:rPr>
            </w:pPr>
          </w:p>
        </w:tc>
        <w:tc>
          <w:tcPr>
            <w:tcW w:w="851" w:type="dxa"/>
            <w:vAlign w:val="center"/>
          </w:tcPr>
          <w:p w14:paraId="1D807F77" w14:textId="77777777" w:rsidR="00EA2F88" w:rsidRPr="005C5C45" w:rsidRDefault="00C46F65" w:rsidP="008D5018">
            <w:pPr>
              <w:pStyle w:val="Normalrglronly"/>
              <w:jc w:val="center"/>
              <w:rPr>
                <w:color w:val="000000" w:themeColor="text1"/>
              </w:rPr>
            </w:pPr>
            <w:r w:rsidRPr="00722887">
              <w:rPr>
                <w:rFonts w:ascii="Zapf Dingbats" w:hAnsi="Zapf Dingbats"/>
                <w:noProof/>
                <w:sz w:val="20"/>
              </w:rPr>
              <w:t>✔</w:t>
            </w:r>
          </w:p>
        </w:tc>
      </w:tr>
      <w:tr w:rsidR="00EA2F88" w:rsidRPr="005C5C45" w14:paraId="0958A499" w14:textId="77777777" w:rsidTr="005B1AE4">
        <w:tc>
          <w:tcPr>
            <w:tcW w:w="6452" w:type="dxa"/>
            <w:shd w:val="clear" w:color="auto" w:fill="B5E3A5" w:themeFill="accent2" w:themeFillTint="66"/>
          </w:tcPr>
          <w:p w14:paraId="49D35C5D" w14:textId="77777777" w:rsidR="00EA2F88" w:rsidRPr="005C5C45" w:rsidRDefault="00EA2F88" w:rsidP="00361909">
            <w:pPr>
              <w:pStyle w:val="Normalrglronly"/>
              <w:rPr>
                <w:color w:val="000000" w:themeColor="text1"/>
              </w:rPr>
            </w:pPr>
          </w:p>
        </w:tc>
        <w:tc>
          <w:tcPr>
            <w:tcW w:w="987" w:type="dxa"/>
            <w:shd w:val="clear" w:color="auto" w:fill="B5E3A5" w:themeFill="accent2" w:themeFillTint="66"/>
          </w:tcPr>
          <w:p w14:paraId="4C8B34E0" w14:textId="77777777" w:rsidR="00EA2F88" w:rsidRPr="005C5C45" w:rsidRDefault="00EA2F88" w:rsidP="00361909">
            <w:pPr>
              <w:pStyle w:val="Normalrglronly"/>
              <w:rPr>
                <w:color w:val="000000" w:themeColor="text1"/>
              </w:rPr>
            </w:pPr>
            <w:r w:rsidRPr="005C5C45">
              <w:rPr>
                <w:color w:val="000000" w:themeColor="text1"/>
              </w:rPr>
              <w:t>Yes</w:t>
            </w:r>
          </w:p>
        </w:tc>
        <w:tc>
          <w:tcPr>
            <w:tcW w:w="851" w:type="dxa"/>
            <w:shd w:val="clear" w:color="auto" w:fill="B5E3A5" w:themeFill="accent2" w:themeFillTint="66"/>
          </w:tcPr>
          <w:p w14:paraId="13784E18" w14:textId="77777777" w:rsidR="00EA2F88" w:rsidRPr="005C5C45" w:rsidRDefault="00EA2F88" w:rsidP="00361909">
            <w:pPr>
              <w:pStyle w:val="Normalrglronly"/>
              <w:rPr>
                <w:color w:val="000000" w:themeColor="text1"/>
              </w:rPr>
            </w:pPr>
            <w:r w:rsidRPr="005C5C45">
              <w:rPr>
                <w:color w:val="000000" w:themeColor="text1"/>
              </w:rPr>
              <w:t>No</w:t>
            </w:r>
          </w:p>
        </w:tc>
      </w:tr>
      <w:tr w:rsidR="00EA2F88" w:rsidRPr="005C5C45" w14:paraId="4E4DC353" w14:textId="77777777" w:rsidTr="008D5018">
        <w:tc>
          <w:tcPr>
            <w:tcW w:w="6452" w:type="dxa"/>
          </w:tcPr>
          <w:p w14:paraId="28AF25B3" w14:textId="77777777" w:rsidR="00EA2F88" w:rsidRPr="005C5C45" w:rsidRDefault="00EA2F88" w:rsidP="00361909">
            <w:pPr>
              <w:pStyle w:val="Normalrglronly"/>
              <w:rPr>
                <w:color w:val="000000" w:themeColor="text1"/>
              </w:rPr>
            </w:pPr>
            <w:r w:rsidRPr="005C5C45">
              <w:rPr>
                <w:color w:val="000000" w:themeColor="text1"/>
              </w:rPr>
              <w:t>Is the head of government leading the OGP initiative?</w:t>
            </w:r>
          </w:p>
        </w:tc>
        <w:tc>
          <w:tcPr>
            <w:tcW w:w="987" w:type="dxa"/>
            <w:vAlign w:val="center"/>
          </w:tcPr>
          <w:p w14:paraId="62460CA2" w14:textId="77777777" w:rsidR="00EA2F88" w:rsidRPr="005C5C45" w:rsidRDefault="00EA2F88" w:rsidP="008D5018">
            <w:pPr>
              <w:pStyle w:val="Normalrglronly"/>
              <w:jc w:val="center"/>
            </w:pPr>
          </w:p>
        </w:tc>
        <w:tc>
          <w:tcPr>
            <w:tcW w:w="851" w:type="dxa"/>
            <w:vAlign w:val="center"/>
          </w:tcPr>
          <w:p w14:paraId="345F7D11" w14:textId="77777777" w:rsidR="00EA2F88" w:rsidRPr="005C5C45" w:rsidRDefault="00C46F65" w:rsidP="008D5018">
            <w:pPr>
              <w:pStyle w:val="Normalrglronly"/>
              <w:jc w:val="center"/>
            </w:pPr>
            <w:r w:rsidRPr="00722887">
              <w:rPr>
                <w:rFonts w:ascii="Zapf Dingbats" w:hAnsi="Zapf Dingbats"/>
                <w:noProof/>
                <w:sz w:val="20"/>
              </w:rPr>
              <w:t></w:t>
            </w:r>
          </w:p>
        </w:tc>
      </w:tr>
      <w:tr w:rsidR="00EA2F88" w:rsidRPr="005C5C45" w14:paraId="14A1AF67" w14:textId="77777777" w:rsidTr="005B1AE4">
        <w:trPr>
          <w:trHeight w:val="422"/>
        </w:trPr>
        <w:tc>
          <w:tcPr>
            <w:tcW w:w="6452" w:type="dxa"/>
            <w:shd w:val="clear" w:color="auto" w:fill="F5CEA7" w:themeFill="accent1" w:themeFillTint="66"/>
          </w:tcPr>
          <w:p w14:paraId="184B324D" w14:textId="77777777" w:rsidR="00EA2F88" w:rsidRPr="005C5C45" w:rsidRDefault="00EA2F88" w:rsidP="00361909">
            <w:pPr>
              <w:pStyle w:val="Normalrglronly"/>
              <w:rPr>
                <w:b/>
                <w:color w:val="000000" w:themeColor="text1"/>
              </w:rPr>
            </w:pPr>
            <w:r w:rsidRPr="005C5C45">
              <w:rPr>
                <w:b/>
                <w:color w:val="000000" w:themeColor="text1"/>
              </w:rPr>
              <w:t>2. Legal Mandate</w:t>
            </w:r>
          </w:p>
        </w:tc>
        <w:tc>
          <w:tcPr>
            <w:tcW w:w="987" w:type="dxa"/>
            <w:shd w:val="clear" w:color="auto" w:fill="F5CEA7" w:themeFill="accent1" w:themeFillTint="66"/>
          </w:tcPr>
          <w:p w14:paraId="17D58413" w14:textId="77777777" w:rsidR="00EA2F88" w:rsidRPr="005C5C45" w:rsidRDefault="00EA2F88" w:rsidP="00361909">
            <w:pPr>
              <w:pStyle w:val="Normalrglronly"/>
              <w:rPr>
                <w:color w:val="000000" w:themeColor="text1"/>
              </w:rPr>
            </w:pPr>
            <w:r w:rsidRPr="005C5C45">
              <w:rPr>
                <w:color w:val="000000" w:themeColor="text1"/>
              </w:rPr>
              <w:t>Yes</w:t>
            </w:r>
          </w:p>
        </w:tc>
        <w:tc>
          <w:tcPr>
            <w:tcW w:w="851" w:type="dxa"/>
            <w:shd w:val="clear" w:color="auto" w:fill="F5CEA7" w:themeFill="accent1" w:themeFillTint="66"/>
          </w:tcPr>
          <w:p w14:paraId="7538870B" w14:textId="77777777" w:rsidR="00EA2F88" w:rsidRPr="005C5C45" w:rsidRDefault="00EA2F88" w:rsidP="00361909">
            <w:pPr>
              <w:pStyle w:val="Normalrglronly"/>
              <w:rPr>
                <w:color w:val="000000" w:themeColor="text1"/>
              </w:rPr>
            </w:pPr>
            <w:r w:rsidRPr="005C5C45">
              <w:rPr>
                <w:color w:val="000000" w:themeColor="text1"/>
              </w:rPr>
              <w:t>No</w:t>
            </w:r>
          </w:p>
        </w:tc>
      </w:tr>
      <w:tr w:rsidR="00EA2F88" w:rsidRPr="005C5C45" w14:paraId="72B99DAE" w14:textId="77777777" w:rsidTr="008D5018">
        <w:tc>
          <w:tcPr>
            <w:tcW w:w="6452" w:type="dxa"/>
          </w:tcPr>
          <w:p w14:paraId="19D2C661" w14:textId="77777777" w:rsidR="00EA2F88" w:rsidRPr="005C5C45" w:rsidRDefault="00EA2F88" w:rsidP="00361909">
            <w:pPr>
              <w:pStyle w:val="Normalrglronly"/>
              <w:rPr>
                <w:color w:val="000000" w:themeColor="text1"/>
              </w:rPr>
            </w:pPr>
            <w:r w:rsidRPr="005C5C45">
              <w:rPr>
                <w:color w:val="000000" w:themeColor="text1"/>
              </w:rPr>
              <w:t>Is the government’s commitment to OGP established through an official, publicly released mandate?</w:t>
            </w:r>
          </w:p>
        </w:tc>
        <w:tc>
          <w:tcPr>
            <w:tcW w:w="987" w:type="dxa"/>
            <w:vAlign w:val="center"/>
          </w:tcPr>
          <w:p w14:paraId="46114769" w14:textId="411D40E6" w:rsidR="00EA2F88" w:rsidRPr="00722887" w:rsidRDefault="00CD1D7F" w:rsidP="008D5018">
            <w:pPr>
              <w:pStyle w:val="Normalrglronly"/>
              <w:jc w:val="center"/>
            </w:pPr>
            <w:r w:rsidRPr="00722887">
              <w:rPr>
                <w:rFonts w:ascii="Zapf Dingbats" w:hAnsi="Zapf Dingbats"/>
                <w:noProof/>
                <w:sz w:val="20"/>
              </w:rPr>
              <w:t>✔</w:t>
            </w:r>
          </w:p>
        </w:tc>
        <w:tc>
          <w:tcPr>
            <w:tcW w:w="851" w:type="dxa"/>
            <w:vAlign w:val="center"/>
          </w:tcPr>
          <w:p w14:paraId="1FED6E9F" w14:textId="46A69D7F" w:rsidR="00EA2F88" w:rsidRPr="005C5C45" w:rsidRDefault="00EA2F88" w:rsidP="008D5018">
            <w:pPr>
              <w:pStyle w:val="Normalrglronly"/>
              <w:jc w:val="center"/>
              <w:rPr>
                <w:color w:val="000000" w:themeColor="text1"/>
              </w:rPr>
            </w:pPr>
          </w:p>
        </w:tc>
      </w:tr>
      <w:tr w:rsidR="00EA2F88" w:rsidRPr="005C5C45" w14:paraId="0D99C92B" w14:textId="77777777" w:rsidTr="008D5018">
        <w:tc>
          <w:tcPr>
            <w:tcW w:w="6452" w:type="dxa"/>
          </w:tcPr>
          <w:p w14:paraId="55E306D5" w14:textId="77777777" w:rsidR="00EA2F88" w:rsidRPr="005C5C45" w:rsidRDefault="00EA2F88" w:rsidP="00361909">
            <w:pPr>
              <w:pStyle w:val="Normalrglronly"/>
              <w:rPr>
                <w:color w:val="000000" w:themeColor="text1"/>
              </w:rPr>
            </w:pPr>
            <w:r w:rsidRPr="005C5C45">
              <w:rPr>
                <w:color w:val="000000" w:themeColor="text1"/>
              </w:rPr>
              <w:t>Is the government’s commitment to OGP established through a legally binding mandate?</w:t>
            </w:r>
          </w:p>
        </w:tc>
        <w:tc>
          <w:tcPr>
            <w:tcW w:w="987" w:type="dxa"/>
            <w:vAlign w:val="center"/>
          </w:tcPr>
          <w:p w14:paraId="018A0581" w14:textId="77777777" w:rsidR="00EA2F88" w:rsidRPr="00722887" w:rsidRDefault="00C46F65" w:rsidP="008D5018">
            <w:pPr>
              <w:pStyle w:val="Normalrglronly"/>
              <w:jc w:val="center"/>
            </w:pPr>
            <w:r w:rsidRPr="00722887">
              <w:rPr>
                <w:rFonts w:ascii="Zapf Dingbats" w:hAnsi="Zapf Dingbats"/>
                <w:noProof/>
                <w:sz w:val="20"/>
              </w:rPr>
              <w:t>✔</w:t>
            </w:r>
          </w:p>
        </w:tc>
        <w:tc>
          <w:tcPr>
            <w:tcW w:w="851" w:type="dxa"/>
            <w:vAlign w:val="center"/>
          </w:tcPr>
          <w:p w14:paraId="2701DD76" w14:textId="77777777" w:rsidR="00EA2F88" w:rsidRPr="005C5C45" w:rsidRDefault="00EA2F88" w:rsidP="008D5018">
            <w:pPr>
              <w:pStyle w:val="Normalrglronly"/>
              <w:jc w:val="center"/>
              <w:rPr>
                <w:color w:val="000000" w:themeColor="text1"/>
              </w:rPr>
            </w:pPr>
          </w:p>
        </w:tc>
      </w:tr>
      <w:tr w:rsidR="00EA2F88" w:rsidRPr="005C5C45" w14:paraId="6E0BF576" w14:textId="77777777" w:rsidTr="005B1AE4">
        <w:tc>
          <w:tcPr>
            <w:tcW w:w="6452" w:type="dxa"/>
            <w:shd w:val="clear" w:color="auto" w:fill="ABC4E0" w:themeFill="text2" w:themeFillTint="66"/>
          </w:tcPr>
          <w:p w14:paraId="5FC738AB" w14:textId="77777777" w:rsidR="00EA2F88" w:rsidRPr="005C5C45" w:rsidRDefault="00EA2F88" w:rsidP="00361909">
            <w:pPr>
              <w:pStyle w:val="Normalrglronly"/>
              <w:rPr>
                <w:b/>
                <w:color w:val="000000" w:themeColor="text1"/>
              </w:rPr>
            </w:pPr>
            <w:r w:rsidRPr="005C5C45">
              <w:rPr>
                <w:b/>
                <w:color w:val="000000" w:themeColor="text1"/>
              </w:rPr>
              <w:t>3. Continuity and Instability</w:t>
            </w:r>
          </w:p>
        </w:tc>
        <w:tc>
          <w:tcPr>
            <w:tcW w:w="987" w:type="dxa"/>
            <w:shd w:val="clear" w:color="auto" w:fill="ABC4E0" w:themeFill="text2" w:themeFillTint="66"/>
          </w:tcPr>
          <w:p w14:paraId="78D5E999" w14:textId="77777777" w:rsidR="00EA2F88" w:rsidRPr="005C5C45" w:rsidRDefault="00EA2F88" w:rsidP="00361909">
            <w:pPr>
              <w:pStyle w:val="Normalrglronly"/>
              <w:jc w:val="center"/>
              <w:rPr>
                <w:color w:val="000000" w:themeColor="text1"/>
              </w:rPr>
            </w:pPr>
            <w:r w:rsidRPr="005C5C45">
              <w:rPr>
                <w:color w:val="000000" w:themeColor="text1"/>
              </w:rPr>
              <w:t>Yes</w:t>
            </w:r>
          </w:p>
        </w:tc>
        <w:tc>
          <w:tcPr>
            <w:tcW w:w="851" w:type="dxa"/>
            <w:shd w:val="clear" w:color="auto" w:fill="ABC4E0" w:themeFill="text2" w:themeFillTint="66"/>
          </w:tcPr>
          <w:p w14:paraId="416F8346" w14:textId="77777777" w:rsidR="00EA2F88" w:rsidRPr="005C5C45" w:rsidRDefault="00EA2F88" w:rsidP="00361909">
            <w:pPr>
              <w:pStyle w:val="Normalrglronly"/>
              <w:jc w:val="center"/>
              <w:rPr>
                <w:color w:val="000000" w:themeColor="text1"/>
              </w:rPr>
            </w:pPr>
            <w:r w:rsidRPr="005C5C45">
              <w:rPr>
                <w:color w:val="000000" w:themeColor="text1"/>
              </w:rPr>
              <w:t>No</w:t>
            </w:r>
          </w:p>
        </w:tc>
      </w:tr>
      <w:tr w:rsidR="00EA2F88" w:rsidRPr="005C5C45" w14:paraId="00ED2F3D" w14:textId="77777777" w:rsidTr="008D5018">
        <w:tc>
          <w:tcPr>
            <w:tcW w:w="6452" w:type="dxa"/>
          </w:tcPr>
          <w:p w14:paraId="5BD49252" w14:textId="56CB3F4C" w:rsidR="00EA2F88" w:rsidRPr="005C5C45" w:rsidRDefault="00EA2F88" w:rsidP="00361909">
            <w:pPr>
              <w:pStyle w:val="Normalrglronly"/>
              <w:rPr>
                <w:color w:val="000000" w:themeColor="text1"/>
              </w:rPr>
            </w:pPr>
            <w:r w:rsidRPr="005C5C45">
              <w:rPr>
                <w:color w:val="000000" w:themeColor="text1"/>
              </w:rPr>
              <w:t>Was there a change in the organi</w:t>
            </w:r>
            <w:r w:rsidR="009F4548">
              <w:rPr>
                <w:color w:val="000000" w:themeColor="text1"/>
              </w:rPr>
              <w:t>s</w:t>
            </w:r>
            <w:r w:rsidRPr="005C5C45">
              <w:rPr>
                <w:color w:val="000000" w:themeColor="text1"/>
              </w:rPr>
              <w:t>ation(s) leading or involved with the OGP initiatives during the action plan implementation cycle?</w:t>
            </w:r>
          </w:p>
        </w:tc>
        <w:tc>
          <w:tcPr>
            <w:tcW w:w="987" w:type="dxa"/>
            <w:vAlign w:val="center"/>
          </w:tcPr>
          <w:p w14:paraId="04FE47B5" w14:textId="77777777" w:rsidR="00EA2F88" w:rsidRPr="00722887" w:rsidRDefault="00C46F65" w:rsidP="008D5018">
            <w:pPr>
              <w:pStyle w:val="Normalrglronly"/>
              <w:jc w:val="center"/>
            </w:pPr>
            <w:r w:rsidRPr="00722887">
              <w:rPr>
                <w:rFonts w:ascii="Zapf Dingbats" w:hAnsi="Zapf Dingbats"/>
                <w:noProof/>
                <w:sz w:val="20"/>
              </w:rPr>
              <w:t>✔</w:t>
            </w:r>
            <w:r w:rsidR="00EA2F88" w:rsidRPr="00722887">
              <w:rPr>
                <w:rStyle w:val="EndnoteReference"/>
              </w:rPr>
              <w:endnoteReference w:id="43"/>
            </w:r>
          </w:p>
        </w:tc>
        <w:tc>
          <w:tcPr>
            <w:tcW w:w="851" w:type="dxa"/>
            <w:vAlign w:val="center"/>
          </w:tcPr>
          <w:p w14:paraId="2A119E28" w14:textId="77777777" w:rsidR="00EA2F88" w:rsidRPr="005C5C45" w:rsidRDefault="00EA2F88" w:rsidP="008D5018">
            <w:pPr>
              <w:pStyle w:val="Normalrglronly"/>
              <w:jc w:val="center"/>
              <w:rPr>
                <w:color w:val="000000" w:themeColor="text1"/>
              </w:rPr>
            </w:pPr>
          </w:p>
        </w:tc>
      </w:tr>
      <w:tr w:rsidR="00EA2F88" w:rsidRPr="005C5C45" w14:paraId="004BBEDF" w14:textId="77777777" w:rsidTr="008D5018">
        <w:tc>
          <w:tcPr>
            <w:tcW w:w="6452" w:type="dxa"/>
          </w:tcPr>
          <w:p w14:paraId="2639EE4F" w14:textId="77777777" w:rsidR="00EA2F88" w:rsidRPr="005C5C45" w:rsidRDefault="00EA2F88" w:rsidP="00361909">
            <w:pPr>
              <w:pStyle w:val="Normalrglronly"/>
              <w:rPr>
                <w:color w:val="000000" w:themeColor="text1"/>
              </w:rPr>
            </w:pPr>
            <w:r w:rsidRPr="005C5C45">
              <w:rPr>
                <w:color w:val="000000" w:themeColor="text1"/>
              </w:rPr>
              <w:t>Was there a change in the executive leader during the duration of the OGP action plan cycle?</w:t>
            </w:r>
          </w:p>
        </w:tc>
        <w:tc>
          <w:tcPr>
            <w:tcW w:w="987" w:type="dxa"/>
            <w:vAlign w:val="center"/>
          </w:tcPr>
          <w:p w14:paraId="17781A8E" w14:textId="77777777" w:rsidR="00EA2F88" w:rsidRPr="00722887" w:rsidRDefault="00C46F65" w:rsidP="008D5018">
            <w:pPr>
              <w:pStyle w:val="Normalrglronly"/>
              <w:jc w:val="center"/>
            </w:pPr>
            <w:r w:rsidRPr="00722887">
              <w:rPr>
                <w:rFonts w:ascii="Zapf Dingbats" w:hAnsi="Zapf Dingbats"/>
                <w:noProof/>
                <w:sz w:val="20"/>
              </w:rPr>
              <w:t>✔</w:t>
            </w:r>
            <w:r w:rsidR="00EA2F88" w:rsidRPr="00722887">
              <w:rPr>
                <w:rStyle w:val="EndnoteReference"/>
              </w:rPr>
              <w:endnoteReference w:id="44"/>
            </w:r>
          </w:p>
        </w:tc>
        <w:tc>
          <w:tcPr>
            <w:tcW w:w="851" w:type="dxa"/>
            <w:vAlign w:val="center"/>
          </w:tcPr>
          <w:p w14:paraId="759F6DFF" w14:textId="77777777" w:rsidR="00EA2F88" w:rsidRPr="005C5C45" w:rsidRDefault="00EA2F88" w:rsidP="008D5018">
            <w:pPr>
              <w:pStyle w:val="Normalrglronly"/>
              <w:rPr>
                <w:color w:val="000000" w:themeColor="text1"/>
              </w:rPr>
            </w:pPr>
          </w:p>
        </w:tc>
      </w:tr>
    </w:tbl>
    <w:p w14:paraId="64AFE978" w14:textId="77777777" w:rsidR="00002C77" w:rsidRDefault="00002C77" w:rsidP="00160193">
      <w:pPr>
        <w:pStyle w:val="Normalrglronly"/>
      </w:pPr>
    </w:p>
    <w:p w14:paraId="74E62A2E" w14:textId="5F252A43" w:rsidR="00EA2F88" w:rsidRPr="005C5C45" w:rsidRDefault="00EA2F88" w:rsidP="00160193">
      <w:pPr>
        <w:pStyle w:val="Normalrglronly"/>
        <w:rPr>
          <w:lang w:eastAsia="en-NZ"/>
        </w:rPr>
      </w:pPr>
      <w:r w:rsidRPr="005C5C45">
        <w:t xml:space="preserve">Legislative authority </w:t>
      </w:r>
      <w:r w:rsidR="00760883" w:rsidRPr="005C5C45">
        <w:t>in N</w:t>
      </w:r>
      <w:r w:rsidR="00421DD9" w:rsidRPr="005C5C45">
        <w:t xml:space="preserve">ew </w:t>
      </w:r>
      <w:r w:rsidR="00760883" w:rsidRPr="005C5C45">
        <w:t>Z</w:t>
      </w:r>
      <w:r w:rsidR="00421DD9" w:rsidRPr="005C5C45">
        <w:t>ealand</w:t>
      </w:r>
      <w:r w:rsidR="00760883" w:rsidRPr="005C5C45">
        <w:t xml:space="preserve"> </w:t>
      </w:r>
      <w:r w:rsidRPr="005C5C45">
        <w:t xml:space="preserve">is vested in an elected, </w:t>
      </w:r>
      <w:hyperlink r:id="rId24" w:tooltip="Unicameralism" w:history="1">
        <w:r w:rsidRPr="005C5C45">
          <w:rPr>
            <w:rStyle w:val="Hyperlink"/>
            <w:color w:val="auto"/>
            <w:u w:val="none"/>
          </w:rPr>
          <w:t>unicameral</w:t>
        </w:r>
      </w:hyperlink>
      <w:r w:rsidRPr="005C5C45">
        <w:t xml:space="preserve"> </w:t>
      </w:r>
      <w:hyperlink r:id="rId25" w:tooltip="New Zealand Parliament" w:history="1">
        <w:r w:rsidRPr="005C5C45">
          <w:rPr>
            <w:rStyle w:val="Hyperlink"/>
            <w:color w:val="auto"/>
            <w:u w:val="none"/>
          </w:rPr>
          <w:t>Parliament</w:t>
        </w:r>
      </w:hyperlink>
      <w:r w:rsidRPr="005C5C45">
        <w:t xml:space="preserve">, while executive political power is exercised by the </w:t>
      </w:r>
      <w:hyperlink r:id="rId26" w:tooltip="Cabinet of New Zealand" w:history="1">
        <w:r w:rsidRPr="005C5C45">
          <w:rPr>
            <w:rStyle w:val="Hyperlink"/>
            <w:color w:val="auto"/>
            <w:u w:val="none"/>
          </w:rPr>
          <w:t>Cabinet</w:t>
        </w:r>
      </w:hyperlink>
      <w:r w:rsidRPr="005C5C45">
        <w:t xml:space="preserve">, led by the </w:t>
      </w:r>
      <w:hyperlink r:id="rId27" w:tooltip="Prime Minister of New Zealand" w:history="1">
        <w:r w:rsidRPr="005C5C45">
          <w:rPr>
            <w:rStyle w:val="Hyperlink"/>
            <w:color w:val="auto"/>
            <w:u w:val="none"/>
          </w:rPr>
          <w:t>Prime Minister</w:t>
        </w:r>
      </w:hyperlink>
      <w:r w:rsidR="006B1F4D" w:rsidRPr="005C5C45">
        <w:rPr>
          <w:rStyle w:val="Hyperlink"/>
          <w:color w:val="auto"/>
          <w:u w:val="none"/>
        </w:rPr>
        <w:t>.</w:t>
      </w:r>
      <w:r w:rsidR="00AD2C65" w:rsidRPr="005C5C45">
        <w:rPr>
          <w:lang w:eastAsia="en-NZ"/>
        </w:rPr>
        <w:t xml:space="preserve"> </w:t>
      </w:r>
      <w:r w:rsidR="00771383" w:rsidRPr="005C5C45">
        <w:rPr>
          <w:lang w:eastAsia="en-NZ"/>
        </w:rPr>
        <w:t>Prime Minister</w:t>
      </w:r>
      <w:r w:rsidR="007666C6">
        <w:rPr>
          <w:lang w:eastAsia="en-NZ"/>
        </w:rPr>
        <w:t xml:space="preserve"> (PM)</w:t>
      </w:r>
      <w:r w:rsidR="00771383" w:rsidRPr="005C5C45">
        <w:rPr>
          <w:lang w:eastAsia="en-NZ"/>
        </w:rPr>
        <w:t xml:space="preserve"> </w:t>
      </w:r>
      <w:proofErr w:type="spellStart"/>
      <w:r w:rsidR="001E7C7F" w:rsidRPr="005C5C45">
        <w:rPr>
          <w:lang w:eastAsia="en-NZ"/>
        </w:rPr>
        <w:t>Jacinda</w:t>
      </w:r>
      <w:proofErr w:type="spellEnd"/>
      <w:r w:rsidR="001E7C7F" w:rsidRPr="005C5C45">
        <w:rPr>
          <w:lang w:eastAsia="en-NZ"/>
        </w:rPr>
        <w:t xml:space="preserve"> </w:t>
      </w:r>
      <w:proofErr w:type="spellStart"/>
      <w:r w:rsidR="001E7C7F" w:rsidRPr="005C5C45">
        <w:rPr>
          <w:lang w:eastAsia="en-NZ"/>
        </w:rPr>
        <w:t>A</w:t>
      </w:r>
      <w:r w:rsidR="000C78A0" w:rsidRPr="005C5C45">
        <w:rPr>
          <w:lang w:eastAsia="en-NZ"/>
        </w:rPr>
        <w:t>r</w:t>
      </w:r>
      <w:r w:rsidR="001E7C7F" w:rsidRPr="005C5C45">
        <w:rPr>
          <w:lang w:eastAsia="en-NZ"/>
        </w:rPr>
        <w:t>dern</w:t>
      </w:r>
      <w:proofErr w:type="spellEnd"/>
      <w:r w:rsidR="001E7C7F" w:rsidRPr="005C5C45">
        <w:rPr>
          <w:lang w:eastAsia="en-NZ"/>
        </w:rPr>
        <w:t xml:space="preserve"> </w:t>
      </w:r>
      <w:r w:rsidR="006B1F4D" w:rsidRPr="005C5C45">
        <w:rPr>
          <w:lang w:eastAsia="en-NZ"/>
        </w:rPr>
        <w:t>announced a</w:t>
      </w:r>
      <w:r w:rsidR="001E7C7F" w:rsidRPr="005C5C45">
        <w:rPr>
          <w:lang w:eastAsia="en-NZ"/>
        </w:rPr>
        <w:t xml:space="preserve"> new ministerial portfolio of Associate M</w:t>
      </w:r>
      <w:r w:rsidR="000C78A0" w:rsidRPr="005C5C45">
        <w:rPr>
          <w:lang w:eastAsia="en-NZ"/>
        </w:rPr>
        <w:t>inister, State Services</w:t>
      </w:r>
      <w:r w:rsidR="006B1F4D" w:rsidRPr="005C5C45">
        <w:rPr>
          <w:lang w:eastAsia="en-NZ"/>
        </w:rPr>
        <w:t xml:space="preserve"> (Open Government)</w:t>
      </w:r>
      <w:r w:rsidR="001E7C7F" w:rsidRPr="005C5C45">
        <w:rPr>
          <w:lang w:eastAsia="en-NZ"/>
        </w:rPr>
        <w:t>.</w:t>
      </w:r>
      <w:r w:rsidR="000C78A0" w:rsidRPr="005C5C45">
        <w:rPr>
          <w:rStyle w:val="EndnoteReference"/>
          <w:lang w:eastAsia="en-NZ"/>
        </w:rPr>
        <w:endnoteReference w:id="45"/>
      </w:r>
      <w:r w:rsidR="000F5DCA" w:rsidRPr="005C5C45">
        <w:rPr>
          <w:lang w:eastAsia="en-NZ"/>
        </w:rPr>
        <w:t xml:space="preserve"> </w:t>
      </w:r>
    </w:p>
    <w:p w14:paraId="3CED1741" w14:textId="25EF374F" w:rsidR="00281002" w:rsidRPr="005C5C45" w:rsidRDefault="00281002" w:rsidP="00160193">
      <w:pPr>
        <w:pStyle w:val="Normalrglronly"/>
        <w:rPr>
          <w:lang w:eastAsia="en-NZ"/>
        </w:rPr>
      </w:pPr>
      <w:r w:rsidRPr="005C5C45">
        <w:rPr>
          <w:lang w:eastAsia="en-NZ"/>
        </w:rPr>
        <w:t>The Confidence and Supply Agreement between the N</w:t>
      </w:r>
      <w:r w:rsidR="00CB283B" w:rsidRPr="005C5C45">
        <w:rPr>
          <w:lang w:eastAsia="en-NZ"/>
        </w:rPr>
        <w:t xml:space="preserve">ew Zealand Labour Party and the </w:t>
      </w:r>
      <w:r w:rsidRPr="005C5C45">
        <w:rPr>
          <w:lang w:eastAsia="en-NZ"/>
        </w:rPr>
        <w:t xml:space="preserve">Green Party </w:t>
      </w:r>
      <w:r w:rsidR="00CB283B" w:rsidRPr="005C5C45">
        <w:rPr>
          <w:lang w:eastAsia="en-NZ"/>
        </w:rPr>
        <w:t xml:space="preserve">of </w:t>
      </w:r>
      <w:proofErr w:type="spellStart"/>
      <w:r w:rsidR="00CB283B" w:rsidRPr="005C5C45">
        <w:rPr>
          <w:lang w:eastAsia="en-NZ"/>
        </w:rPr>
        <w:t>Aotearoa</w:t>
      </w:r>
      <w:proofErr w:type="spellEnd"/>
      <w:r w:rsidR="00CB283B" w:rsidRPr="005C5C45">
        <w:rPr>
          <w:lang w:eastAsia="en-NZ"/>
        </w:rPr>
        <w:t xml:space="preserve"> New Zealand </w:t>
      </w:r>
      <w:r w:rsidR="00D33ADB" w:rsidRPr="005C5C45">
        <w:rPr>
          <w:lang w:eastAsia="en-NZ"/>
        </w:rPr>
        <w:t xml:space="preserve">following the </w:t>
      </w:r>
      <w:r w:rsidR="00722FB9" w:rsidRPr="005C5C45">
        <w:rPr>
          <w:lang w:eastAsia="en-NZ"/>
        </w:rPr>
        <w:t xml:space="preserve">election of PM </w:t>
      </w:r>
      <w:proofErr w:type="spellStart"/>
      <w:r w:rsidR="00722FB9" w:rsidRPr="005C5C45">
        <w:rPr>
          <w:lang w:eastAsia="en-NZ"/>
        </w:rPr>
        <w:t>Ardern</w:t>
      </w:r>
      <w:proofErr w:type="spellEnd"/>
      <w:r w:rsidR="00722FB9" w:rsidRPr="005C5C45">
        <w:rPr>
          <w:lang w:eastAsia="en-NZ"/>
        </w:rPr>
        <w:t xml:space="preserve">, </w:t>
      </w:r>
      <w:r w:rsidRPr="005C5C45">
        <w:rPr>
          <w:lang w:eastAsia="en-NZ"/>
        </w:rPr>
        <w:t>includ</w:t>
      </w:r>
      <w:r w:rsidR="00722FB9" w:rsidRPr="005C5C45">
        <w:rPr>
          <w:lang w:eastAsia="en-NZ"/>
        </w:rPr>
        <w:t>es an</w:t>
      </w:r>
      <w:r w:rsidRPr="005C5C45">
        <w:rPr>
          <w:lang w:eastAsia="en-NZ"/>
        </w:rPr>
        <w:t xml:space="preserve"> agreement to work together on specified goals including </w:t>
      </w:r>
      <w:r w:rsidR="000C3529">
        <w:rPr>
          <w:lang w:eastAsia="en-NZ"/>
        </w:rPr>
        <w:t>G</w:t>
      </w:r>
      <w:r w:rsidRPr="005C5C45">
        <w:rPr>
          <w:lang w:eastAsia="en-NZ"/>
        </w:rPr>
        <w:t xml:space="preserve">oal 20 to </w:t>
      </w:r>
      <w:r w:rsidR="000C3529">
        <w:rPr>
          <w:lang w:eastAsia="en-NZ"/>
        </w:rPr>
        <w:t>‘</w:t>
      </w:r>
      <w:r w:rsidR="00E2015C" w:rsidRPr="005C5C45">
        <w:t>s</w:t>
      </w:r>
      <w:r w:rsidRPr="005C5C45">
        <w:t>trengthen New Zealand’s democracy by increasing public participation, openness, and transparency around official information</w:t>
      </w:r>
      <w:r w:rsidR="000C3529">
        <w:t>’.</w:t>
      </w:r>
      <w:r w:rsidRPr="005C5C45">
        <w:rPr>
          <w:rStyle w:val="EndnoteReference"/>
        </w:rPr>
        <w:endnoteReference w:id="46"/>
      </w:r>
      <w:r w:rsidR="00722FB9" w:rsidRPr="005C5C45">
        <w:t xml:space="preserve"> This agreement will aid the administration in fulfilling its OGP responsibilities. </w:t>
      </w:r>
    </w:p>
    <w:p w14:paraId="6EA1FA18" w14:textId="49BAA051" w:rsidR="00EA2F88" w:rsidRPr="005C5C45" w:rsidRDefault="00EA2F88" w:rsidP="00160193">
      <w:pPr>
        <w:pStyle w:val="Normalrglronly"/>
      </w:pPr>
      <w:r w:rsidRPr="005C5C45">
        <w:t xml:space="preserve">The institutional arrangement for OGP in </w:t>
      </w:r>
      <w:r w:rsidR="003811C4" w:rsidRPr="005C5C45">
        <w:t>N</w:t>
      </w:r>
      <w:r w:rsidR="00421DD9" w:rsidRPr="005C5C45">
        <w:t xml:space="preserve">ew </w:t>
      </w:r>
      <w:r w:rsidR="003811C4" w:rsidRPr="005C5C45">
        <w:t>Z</w:t>
      </w:r>
      <w:r w:rsidR="00421DD9" w:rsidRPr="005C5C45">
        <w:t>ealand</w:t>
      </w:r>
      <w:r w:rsidRPr="005C5C45">
        <w:t xml:space="preserve"> in the second action plan is </w:t>
      </w:r>
      <w:r w:rsidR="00247CEC" w:rsidRPr="005C5C45">
        <w:t>the same as for the first</w:t>
      </w:r>
      <w:r w:rsidR="00EC65D0" w:rsidRPr="005C5C45">
        <w:t xml:space="preserve"> plan. The </w:t>
      </w:r>
      <w:r w:rsidR="00EA14DA" w:rsidRPr="005C5C45">
        <w:t>State Services Commission (</w:t>
      </w:r>
      <w:r w:rsidR="00EC65D0" w:rsidRPr="005C5C45">
        <w:t>SSC</w:t>
      </w:r>
      <w:r w:rsidR="00EA14DA" w:rsidRPr="005C5C45">
        <w:t>)</w:t>
      </w:r>
      <w:r w:rsidRPr="005C5C45">
        <w:t xml:space="preserve"> is the lead executive agency </w:t>
      </w:r>
      <w:r w:rsidRPr="005C5C45">
        <w:lastRenderedPageBreak/>
        <w:t xml:space="preserve">responsible for </w:t>
      </w:r>
      <w:r w:rsidR="003811C4" w:rsidRPr="005C5C45">
        <w:t>N</w:t>
      </w:r>
      <w:r w:rsidR="00421DD9" w:rsidRPr="005C5C45">
        <w:t xml:space="preserve">ew </w:t>
      </w:r>
      <w:r w:rsidR="003811C4" w:rsidRPr="005C5C45">
        <w:t>Z</w:t>
      </w:r>
      <w:r w:rsidR="00421DD9" w:rsidRPr="005C5C45">
        <w:t>ealand</w:t>
      </w:r>
      <w:r w:rsidRPr="005C5C45">
        <w:t>’s OGP commitments.</w:t>
      </w:r>
      <w:r w:rsidR="002A5A27" w:rsidRPr="005C5C45">
        <w:t xml:space="preserve"> The </w:t>
      </w:r>
      <w:r w:rsidR="001B17D2" w:rsidRPr="005C5C45">
        <w:t xml:space="preserve">OGP </w:t>
      </w:r>
      <w:r w:rsidR="002A5A27" w:rsidRPr="005C5C45">
        <w:t>role sits in the Integrity, Ethics and Standards team</w:t>
      </w:r>
      <w:r w:rsidR="00247CEC" w:rsidRPr="005C5C45">
        <w:t>, formed after the development of the action plan</w:t>
      </w:r>
      <w:r w:rsidR="00EC65D0" w:rsidRPr="005C5C45">
        <w:t>.</w:t>
      </w:r>
      <w:r w:rsidR="002A5A27" w:rsidRPr="005C5C45">
        <w:rPr>
          <w:rStyle w:val="EndnoteReference"/>
        </w:rPr>
        <w:endnoteReference w:id="47"/>
      </w:r>
      <w:r w:rsidRPr="005C5C45">
        <w:t xml:space="preserve"> As a central agency</w:t>
      </w:r>
      <w:r w:rsidR="00B34695" w:rsidRPr="005C5C45">
        <w:t>,</w:t>
      </w:r>
      <w:r w:rsidR="001B17D2" w:rsidRPr="005C5C45">
        <w:rPr>
          <w:rStyle w:val="EndnoteReference"/>
        </w:rPr>
        <w:endnoteReference w:id="48"/>
      </w:r>
      <w:r w:rsidRPr="005C5C45">
        <w:t xml:space="preserve"> </w:t>
      </w:r>
      <w:r w:rsidR="001B17D2" w:rsidRPr="005C5C45">
        <w:t>the SSC</w:t>
      </w:r>
      <w:r w:rsidRPr="005C5C45">
        <w:t xml:space="preserve"> is well placed to co-ordinate the government’s OGP respo</w:t>
      </w:r>
      <w:r w:rsidR="001B17D2" w:rsidRPr="005C5C45">
        <w:t>nse.</w:t>
      </w:r>
      <w:r w:rsidRPr="005C5C45">
        <w:t xml:space="preserve"> (See Table 3.1 on the leadership and mandate of OGP in </w:t>
      </w:r>
      <w:r w:rsidR="003811C4" w:rsidRPr="005C5C45">
        <w:t>N</w:t>
      </w:r>
      <w:r w:rsidR="00421DD9" w:rsidRPr="005C5C45">
        <w:t xml:space="preserve">ew </w:t>
      </w:r>
      <w:r w:rsidR="003811C4" w:rsidRPr="005C5C45">
        <w:t>Z</w:t>
      </w:r>
      <w:r w:rsidR="00421DD9" w:rsidRPr="005C5C45">
        <w:t>ealand</w:t>
      </w:r>
      <w:r w:rsidRPr="005C5C45">
        <w:t xml:space="preserve">). </w:t>
      </w:r>
      <w:r w:rsidR="00771383" w:rsidRPr="005C5C45">
        <w:t>T</w:t>
      </w:r>
      <w:r w:rsidRPr="005C5C45">
        <w:t xml:space="preserve">he SSC derives general oversight authority from legislative </w:t>
      </w:r>
      <w:r w:rsidR="00247CEC" w:rsidRPr="005C5C45">
        <w:t>statutes and directives from</w:t>
      </w:r>
      <w:r w:rsidRPr="005C5C45">
        <w:t xml:space="preserve"> Ministers and Cabinet</w:t>
      </w:r>
      <w:r w:rsidR="00247CEC" w:rsidRPr="005C5C45">
        <w:t>. T</w:t>
      </w:r>
      <w:r w:rsidRPr="005C5C45">
        <w:t xml:space="preserve">he </w:t>
      </w:r>
      <w:r w:rsidR="00C259EB" w:rsidRPr="005C5C45">
        <w:t xml:space="preserve">agreement to join the OGP and the </w:t>
      </w:r>
      <w:r w:rsidRPr="005C5C45">
        <w:t>first and second national action plans</w:t>
      </w:r>
      <w:r w:rsidR="007B10CB" w:rsidRPr="005C5C45">
        <w:t xml:space="preserve"> received </w:t>
      </w:r>
      <w:r w:rsidRPr="005C5C45">
        <w:t>Cabinet approval</w:t>
      </w:r>
      <w:r w:rsidR="00B34695" w:rsidRPr="005C5C45">
        <w:t>,</w:t>
      </w:r>
      <w:r w:rsidRPr="005C5C45">
        <w:t xml:space="preserve"> which in effect serves as a binding, executive-level</w:t>
      </w:r>
      <w:r w:rsidR="009608CD" w:rsidRPr="005C5C45">
        <w:t xml:space="preserve"> directive for public servants.</w:t>
      </w:r>
      <w:r w:rsidR="00C259EB" w:rsidRPr="005C5C45">
        <w:t xml:space="preserve"> The</w:t>
      </w:r>
      <w:r w:rsidR="0023608F" w:rsidRPr="005C5C45">
        <w:t xml:space="preserve"> Cabinet Papers</w:t>
      </w:r>
      <w:r w:rsidR="00C259EB" w:rsidRPr="005C5C45">
        <w:t xml:space="preserve"> were also </w:t>
      </w:r>
      <w:r w:rsidR="0023608F" w:rsidRPr="005C5C45">
        <w:t xml:space="preserve">publicly </w:t>
      </w:r>
      <w:r w:rsidR="00C259EB" w:rsidRPr="005C5C45">
        <w:t>released</w:t>
      </w:r>
      <w:r w:rsidR="0023608F" w:rsidRPr="005C5C45">
        <w:t xml:space="preserve"> on the SSC website.</w:t>
      </w:r>
      <w:r w:rsidR="0023608F" w:rsidRPr="005C5C45">
        <w:rPr>
          <w:rStyle w:val="EndnoteReference"/>
        </w:rPr>
        <w:endnoteReference w:id="49"/>
      </w:r>
    </w:p>
    <w:p w14:paraId="5704509F" w14:textId="550BF408" w:rsidR="00EA2F88" w:rsidRPr="005C5C45" w:rsidRDefault="00EA2F88" w:rsidP="00160193">
      <w:pPr>
        <w:pStyle w:val="Normalrglronly"/>
      </w:pPr>
      <w:r w:rsidRPr="005C5C45">
        <w:t xml:space="preserve">Overall, total staffing and total monetary support across government for implementing the OGP activities </w:t>
      </w:r>
      <w:r w:rsidR="00EC65D0" w:rsidRPr="005C5C45">
        <w:t xml:space="preserve">is </w:t>
      </w:r>
      <w:r w:rsidR="00247CEC" w:rsidRPr="005C5C45">
        <w:t>not collated</w:t>
      </w:r>
      <w:r w:rsidR="00EC65D0" w:rsidRPr="005C5C45">
        <w:t xml:space="preserve"> in </w:t>
      </w:r>
      <w:r w:rsidR="0028455E" w:rsidRPr="005C5C45">
        <w:t>one budget</w:t>
      </w:r>
      <w:r w:rsidR="001B36C5" w:rsidRPr="007E777C">
        <w:t>.</w:t>
      </w:r>
      <w:r w:rsidRPr="007E777C">
        <w:t xml:space="preserve"> </w:t>
      </w:r>
      <w:r w:rsidRPr="005C5C45">
        <w:t>A core team of three SSC staff worked on the development of the action plan</w:t>
      </w:r>
      <w:r w:rsidR="00C516E5" w:rsidRPr="005C5C45">
        <w:t xml:space="preserve">. </w:t>
      </w:r>
      <w:proofErr w:type="gramStart"/>
      <w:r w:rsidR="00C516E5" w:rsidRPr="005C5C45">
        <w:t>The core team was</w:t>
      </w:r>
      <w:r w:rsidRPr="005C5C45">
        <w:t xml:space="preserve"> supported </w:t>
      </w:r>
      <w:r w:rsidR="00EB1482" w:rsidRPr="005C5C45">
        <w:t>by other teams in the SSC</w:t>
      </w:r>
      <w:r w:rsidR="00C516E5" w:rsidRPr="005C5C45">
        <w:t>,</w:t>
      </w:r>
      <w:r w:rsidRPr="005C5C45">
        <w:t xml:space="preserve"> staff in the agencies with responsibility for commitments</w:t>
      </w:r>
      <w:r w:rsidR="00AB3F47">
        <w:t>,</w:t>
      </w:r>
      <w:r w:rsidR="00247CEC" w:rsidRPr="005C5C45">
        <w:t xml:space="preserve"> and other potential agencies</w:t>
      </w:r>
      <w:proofErr w:type="gramEnd"/>
      <w:r w:rsidRPr="005C5C45">
        <w:t xml:space="preserve">. There is no dedicated line in the SSC’s budget for OGP activities beyond allocation of $200,000 per annum for 2016/17 and 2017/18 for </w:t>
      </w:r>
      <w:r w:rsidR="003811C4" w:rsidRPr="005C5C45">
        <w:t>N</w:t>
      </w:r>
      <w:r w:rsidR="00421DD9" w:rsidRPr="005C5C45">
        <w:t xml:space="preserve">ew </w:t>
      </w:r>
      <w:r w:rsidR="003811C4" w:rsidRPr="005C5C45">
        <w:t>Z</w:t>
      </w:r>
      <w:r w:rsidR="00421DD9" w:rsidRPr="005C5C45">
        <w:t>ealand</w:t>
      </w:r>
      <w:r w:rsidRPr="005C5C45">
        <w:t>'s membership of</w:t>
      </w:r>
      <w:r w:rsidR="0028455E" w:rsidRPr="005C5C45">
        <w:t xml:space="preserve"> the OGP</w:t>
      </w:r>
      <w:r w:rsidR="00B34695" w:rsidRPr="005C5C45">
        <w:t>.</w:t>
      </w:r>
      <w:r w:rsidRPr="005C5C45">
        <w:rPr>
          <w:rStyle w:val="EndnoteReference"/>
          <w:rFonts w:ascii="Arial" w:hAnsi="Arial" w:cs="Arial"/>
          <w:color w:val="000000"/>
        </w:rPr>
        <w:endnoteReference w:id="50"/>
      </w:r>
      <w:r w:rsidRPr="005C5C45">
        <w:t xml:space="preserve"> </w:t>
      </w:r>
    </w:p>
    <w:p w14:paraId="5B95BECC" w14:textId="04CE2A85" w:rsidR="00247CEC" w:rsidRPr="005C5C45" w:rsidRDefault="00EC65D0" w:rsidP="00160193">
      <w:pPr>
        <w:pStyle w:val="Normalrglronly"/>
        <w:rPr>
          <w:rFonts w:eastAsia="Times New Roman"/>
          <w:lang w:eastAsia="en-NZ"/>
        </w:rPr>
      </w:pPr>
      <w:r w:rsidRPr="005C5C45">
        <w:rPr>
          <w:rFonts w:eastAsia="Times New Roman"/>
          <w:lang w:eastAsia="en-NZ"/>
        </w:rPr>
        <w:t>T</w:t>
      </w:r>
      <w:r w:rsidR="00C92505" w:rsidRPr="005C5C45">
        <w:rPr>
          <w:rFonts w:eastAsia="Times New Roman"/>
          <w:lang w:eastAsia="en-NZ"/>
        </w:rPr>
        <w:t>he</w:t>
      </w:r>
      <w:r w:rsidR="00EA2F88" w:rsidRPr="005C5C45">
        <w:rPr>
          <w:rFonts w:eastAsia="Times New Roman"/>
          <w:lang w:eastAsia="en-NZ"/>
        </w:rPr>
        <w:t xml:space="preserve"> 2017/18 </w:t>
      </w:r>
      <w:proofErr w:type="gramStart"/>
      <w:r w:rsidR="00EA2F88" w:rsidRPr="005C5C45">
        <w:rPr>
          <w:rFonts w:eastAsia="Times New Roman"/>
          <w:lang w:eastAsia="en-NZ"/>
        </w:rPr>
        <w:t>budget</w:t>
      </w:r>
      <w:proofErr w:type="gramEnd"/>
      <w:r w:rsidR="00EA2F88" w:rsidRPr="005C5C45">
        <w:rPr>
          <w:rFonts w:eastAsia="Times New Roman"/>
          <w:lang w:eastAsia="en-NZ"/>
        </w:rPr>
        <w:t xml:space="preserve"> for </w:t>
      </w:r>
      <w:r w:rsidR="00310C23" w:rsidRPr="005C5C45">
        <w:rPr>
          <w:rFonts w:eastAsia="Times New Roman"/>
          <w:lang w:eastAsia="en-NZ"/>
        </w:rPr>
        <w:t xml:space="preserve">Stats NZ </w:t>
      </w:r>
      <w:r w:rsidR="00EA2F88" w:rsidRPr="005C5C45">
        <w:rPr>
          <w:rFonts w:eastAsia="Times New Roman"/>
          <w:lang w:eastAsia="en-NZ"/>
        </w:rPr>
        <w:t>includes an allocation for a new Open Data Programme of $2,667,000 for 2017/8, $2,367,000 for 201</w:t>
      </w:r>
      <w:r w:rsidR="00EB1482" w:rsidRPr="005C5C45">
        <w:rPr>
          <w:rFonts w:eastAsia="Times New Roman"/>
          <w:lang w:eastAsia="en-NZ"/>
        </w:rPr>
        <w:t>8/19 and $2,166,000 for 2019/20</w:t>
      </w:r>
      <w:r w:rsidR="00B34695" w:rsidRPr="005C5C45">
        <w:rPr>
          <w:rFonts w:eastAsia="Times New Roman"/>
          <w:lang w:eastAsia="en-NZ"/>
        </w:rPr>
        <w:t>.</w:t>
      </w:r>
      <w:r w:rsidR="00EA2F88" w:rsidRPr="005C5C45">
        <w:rPr>
          <w:rStyle w:val="EndnoteReference"/>
          <w:color w:val="000000"/>
        </w:rPr>
        <w:endnoteReference w:id="51"/>
      </w:r>
      <w:r w:rsidR="00EA2F88" w:rsidRPr="005C5C45">
        <w:rPr>
          <w:rStyle w:val="EndnoteReference"/>
          <w:color w:val="000000"/>
        </w:rPr>
        <w:t xml:space="preserve"> </w:t>
      </w:r>
      <w:r w:rsidRPr="005C5C45">
        <w:t xml:space="preserve"> Its </w:t>
      </w:r>
      <w:r w:rsidRPr="005C5C45">
        <w:rPr>
          <w:rFonts w:eastAsia="Times New Roman"/>
          <w:lang w:eastAsia="en-NZ"/>
        </w:rPr>
        <w:t>a</w:t>
      </w:r>
      <w:r w:rsidR="0028455E" w:rsidRPr="005C5C45">
        <w:rPr>
          <w:rFonts w:eastAsia="Times New Roman"/>
          <w:lang w:eastAsia="en-NZ"/>
        </w:rPr>
        <w:t xml:space="preserve">ctual work on </w:t>
      </w:r>
      <w:r w:rsidR="00AB3F47">
        <w:rPr>
          <w:rFonts w:eastAsia="Times New Roman"/>
          <w:lang w:eastAsia="en-NZ"/>
        </w:rPr>
        <w:t>C</w:t>
      </w:r>
      <w:r w:rsidR="00EA2F88" w:rsidRPr="005C5C45">
        <w:rPr>
          <w:rFonts w:eastAsia="Times New Roman"/>
          <w:lang w:eastAsia="en-NZ"/>
        </w:rPr>
        <w:t>ommitments 3 and 4 is not itemised</w:t>
      </w:r>
      <w:r w:rsidR="0023608F" w:rsidRPr="005C5C45">
        <w:rPr>
          <w:rFonts w:eastAsia="Times New Roman"/>
          <w:lang w:eastAsia="en-NZ"/>
        </w:rPr>
        <w:t xml:space="preserve"> within this larger budget</w:t>
      </w:r>
      <w:r w:rsidR="00EA2F88" w:rsidRPr="005C5C45">
        <w:rPr>
          <w:rFonts w:eastAsia="Times New Roman"/>
          <w:lang w:eastAsia="en-NZ"/>
        </w:rPr>
        <w:t xml:space="preserve">. </w:t>
      </w:r>
      <w:r w:rsidR="003811C4" w:rsidRPr="005C5C45">
        <w:rPr>
          <w:rFonts w:eastAsia="Times New Roman"/>
          <w:lang w:eastAsia="en-NZ"/>
        </w:rPr>
        <w:t>N</w:t>
      </w:r>
      <w:r w:rsidR="00421DD9" w:rsidRPr="005C5C45">
        <w:rPr>
          <w:rFonts w:eastAsia="Times New Roman"/>
          <w:lang w:eastAsia="en-NZ"/>
        </w:rPr>
        <w:t xml:space="preserve">ew </w:t>
      </w:r>
      <w:r w:rsidR="003811C4" w:rsidRPr="005C5C45">
        <w:rPr>
          <w:rFonts w:eastAsia="Times New Roman"/>
          <w:lang w:eastAsia="en-NZ"/>
        </w:rPr>
        <w:t>Z</w:t>
      </w:r>
      <w:r w:rsidR="00421DD9" w:rsidRPr="005C5C45">
        <w:rPr>
          <w:rFonts w:eastAsia="Times New Roman"/>
          <w:lang w:eastAsia="en-NZ"/>
        </w:rPr>
        <w:t>ealand</w:t>
      </w:r>
      <w:r w:rsidR="0028455E" w:rsidRPr="005C5C45">
        <w:rPr>
          <w:rFonts w:eastAsia="Times New Roman"/>
          <w:lang w:eastAsia="en-NZ"/>
        </w:rPr>
        <w:t>’s other OGP c</w:t>
      </w:r>
      <w:r w:rsidR="00EA2F88" w:rsidRPr="005C5C45">
        <w:rPr>
          <w:rFonts w:eastAsia="Times New Roman"/>
          <w:lang w:eastAsia="en-NZ"/>
        </w:rPr>
        <w:t>ommitments, including payments to consultants and fees paid to the multi</w:t>
      </w:r>
      <w:r w:rsidR="00A034D4">
        <w:rPr>
          <w:rFonts w:eastAsia="Times New Roman"/>
          <w:lang w:eastAsia="en-NZ"/>
        </w:rPr>
        <w:t>-</w:t>
      </w:r>
      <w:r w:rsidR="00EA2F88" w:rsidRPr="005C5C45">
        <w:rPr>
          <w:rFonts w:eastAsia="Times New Roman"/>
          <w:lang w:eastAsia="en-NZ"/>
        </w:rPr>
        <w:t>stakehold</w:t>
      </w:r>
      <w:r w:rsidR="00247CEC" w:rsidRPr="005C5C45">
        <w:rPr>
          <w:rFonts w:eastAsia="Times New Roman"/>
          <w:lang w:eastAsia="en-NZ"/>
        </w:rPr>
        <w:t xml:space="preserve">er forum members, are funded by agencies, but not itemised in their </w:t>
      </w:r>
      <w:r w:rsidR="00EA2F88" w:rsidRPr="005C5C45">
        <w:rPr>
          <w:rFonts w:eastAsia="Times New Roman"/>
          <w:lang w:eastAsia="en-NZ"/>
        </w:rPr>
        <w:t>annual budgets.</w:t>
      </w:r>
    </w:p>
    <w:p w14:paraId="1AC58C8D" w14:textId="77777777" w:rsidR="00EA2F88" w:rsidRPr="005C5C45" w:rsidRDefault="00EA2F88" w:rsidP="00D0666D">
      <w:pPr>
        <w:pStyle w:val="Heading3"/>
      </w:pPr>
      <w:r w:rsidRPr="005C5C45">
        <w:t xml:space="preserve">3.2 </w:t>
      </w:r>
      <w:proofErr w:type="spellStart"/>
      <w:r w:rsidRPr="005C5C45">
        <w:t>Intragovernmental</w:t>
      </w:r>
      <w:proofErr w:type="spellEnd"/>
      <w:r w:rsidRPr="005C5C45">
        <w:t xml:space="preserve"> Participation</w:t>
      </w:r>
    </w:p>
    <w:p w14:paraId="27ADBB0A" w14:textId="77777777" w:rsidR="00EA2F88" w:rsidRPr="005C5C45" w:rsidRDefault="00EA2F88" w:rsidP="00AF1990">
      <w:pPr>
        <w:pStyle w:val="Normalrglronly"/>
      </w:pPr>
      <w:r w:rsidRPr="005C5C45">
        <w:t>This subsection describes which government institutions were involved at various stages in OGP. The next section will describe which nongovernmental organizations were involved in OGP.</w:t>
      </w:r>
    </w:p>
    <w:p w14:paraId="4EED42DA" w14:textId="77777777" w:rsidR="00EA2F88" w:rsidRPr="005C5C45" w:rsidRDefault="00EA2F88" w:rsidP="00746595">
      <w:pPr>
        <w:pStyle w:val="Tableheader"/>
      </w:pPr>
      <w:r w:rsidRPr="005C5C45">
        <w:t xml:space="preserve">Table </w:t>
      </w:r>
      <w:proofErr w:type="gramStart"/>
      <w:r w:rsidRPr="005C5C45">
        <w:t>3.2 Participation in OGP by Government Institutions</w:t>
      </w:r>
      <w:proofErr w:type="gramEnd"/>
    </w:p>
    <w:tbl>
      <w:tblPr>
        <w:tblStyle w:val="TableGrid"/>
        <w:tblW w:w="5608"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81"/>
        <w:gridCol w:w="1667"/>
        <w:gridCol w:w="1287"/>
        <w:gridCol w:w="1288"/>
        <w:gridCol w:w="1650"/>
        <w:gridCol w:w="1585"/>
      </w:tblGrid>
      <w:tr w:rsidR="00EA2F88" w:rsidRPr="005C5C45" w14:paraId="39EE7BD6" w14:textId="77777777" w:rsidTr="00361909">
        <w:trPr>
          <w:trHeight w:val="1394"/>
        </w:trPr>
        <w:tc>
          <w:tcPr>
            <w:tcW w:w="1089" w:type="pct"/>
            <w:shd w:val="clear" w:color="auto" w:fill="81A7D1" w:themeFill="text2" w:themeFillTint="99"/>
            <w:vAlign w:val="center"/>
            <w:hideMark/>
          </w:tcPr>
          <w:p w14:paraId="7F2A8553" w14:textId="77777777" w:rsidR="00EA2F88" w:rsidRPr="005C5C45" w:rsidRDefault="00EA2F88" w:rsidP="00361909">
            <w:pPr>
              <w:pStyle w:val="Tabletitleinside"/>
              <w:jc w:val="center"/>
              <w:rPr>
                <w:rFonts w:ascii="Gill Sans SemiBold" w:hAnsi="Gill Sans SemiBold"/>
                <w:color w:val="FFFFFF" w:themeColor="background1"/>
                <w:sz w:val="24"/>
                <w:szCs w:val="22"/>
              </w:rPr>
            </w:pPr>
            <w:r w:rsidRPr="005C5C45">
              <w:rPr>
                <w:rFonts w:ascii="Gill Sans SemiBold" w:hAnsi="Gill Sans SemiBold"/>
                <w:color w:val="FFFFFF" w:themeColor="background1"/>
                <w:sz w:val="24"/>
                <w:szCs w:val="22"/>
              </w:rPr>
              <w:t>How did institutions participate?</w:t>
            </w:r>
          </w:p>
        </w:tc>
        <w:tc>
          <w:tcPr>
            <w:tcW w:w="872" w:type="pct"/>
            <w:shd w:val="clear" w:color="auto" w:fill="81A7D1" w:themeFill="text2" w:themeFillTint="99"/>
            <w:hideMark/>
          </w:tcPr>
          <w:p w14:paraId="1D49C315" w14:textId="77777777" w:rsidR="00EA2F88" w:rsidRPr="005C5C45" w:rsidRDefault="00EA2F88" w:rsidP="00361909">
            <w:pPr>
              <w:pStyle w:val="Tabletitleinside"/>
              <w:rPr>
                <w:rFonts w:cs="Gill Sans"/>
                <w:b w:val="0"/>
                <w:color w:val="FFFFFF" w:themeColor="background1"/>
                <w:szCs w:val="22"/>
              </w:rPr>
            </w:pPr>
            <w:r w:rsidRPr="005C5C45">
              <w:rPr>
                <w:rFonts w:cs="Gill Sans"/>
                <w:b w:val="0"/>
                <w:color w:val="FFFFFF" w:themeColor="background1"/>
                <w:szCs w:val="22"/>
              </w:rPr>
              <w:t>Ministries, Departments, and Agencies</w:t>
            </w:r>
          </w:p>
        </w:tc>
        <w:tc>
          <w:tcPr>
            <w:tcW w:w="673" w:type="pct"/>
            <w:shd w:val="clear" w:color="auto" w:fill="81A7D1" w:themeFill="text2" w:themeFillTint="99"/>
            <w:hideMark/>
          </w:tcPr>
          <w:p w14:paraId="31CDAEE8" w14:textId="77777777" w:rsidR="00EA2F88" w:rsidRPr="005C5C45" w:rsidRDefault="00EA2F88" w:rsidP="00361909">
            <w:pPr>
              <w:pStyle w:val="Tabletitleinside"/>
              <w:rPr>
                <w:rFonts w:cs="Gill Sans"/>
                <w:b w:val="0"/>
                <w:color w:val="FFFFFF" w:themeColor="background1"/>
                <w:szCs w:val="22"/>
              </w:rPr>
            </w:pPr>
            <w:r w:rsidRPr="005C5C45">
              <w:rPr>
                <w:rFonts w:cs="Gill Sans"/>
                <w:b w:val="0"/>
                <w:color w:val="FFFFFF" w:themeColor="background1"/>
                <w:szCs w:val="22"/>
              </w:rPr>
              <w:t>Legislative</w:t>
            </w:r>
          </w:p>
        </w:tc>
        <w:tc>
          <w:tcPr>
            <w:tcW w:w="674" w:type="pct"/>
            <w:shd w:val="clear" w:color="auto" w:fill="81A7D1" w:themeFill="text2" w:themeFillTint="99"/>
            <w:hideMark/>
          </w:tcPr>
          <w:p w14:paraId="3ABBCF8D" w14:textId="77777777" w:rsidR="00EA2F88" w:rsidRPr="005C5C45" w:rsidRDefault="00EA2F88" w:rsidP="00361909">
            <w:pPr>
              <w:pStyle w:val="Tabletitleinside"/>
              <w:rPr>
                <w:rFonts w:cs="Gill Sans"/>
                <w:b w:val="0"/>
                <w:color w:val="FFFFFF" w:themeColor="background1"/>
                <w:szCs w:val="22"/>
              </w:rPr>
            </w:pPr>
            <w:r w:rsidRPr="005C5C45">
              <w:rPr>
                <w:rFonts w:cs="Gill Sans"/>
                <w:b w:val="0"/>
                <w:color w:val="FFFFFF" w:themeColor="background1"/>
                <w:szCs w:val="22"/>
              </w:rPr>
              <w:t>Judiciary (including quasi-judicial agencies)</w:t>
            </w:r>
          </w:p>
        </w:tc>
        <w:tc>
          <w:tcPr>
            <w:tcW w:w="863" w:type="pct"/>
            <w:shd w:val="clear" w:color="auto" w:fill="81A7D1" w:themeFill="text2" w:themeFillTint="99"/>
            <w:hideMark/>
          </w:tcPr>
          <w:p w14:paraId="521622D2" w14:textId="77777777" w:rsidR="00EA2F88" w:rsidRPr="005C5C45" w:rsidRDefault="00EA2F88" w:rsidP="00361909">
            <w:pPr>
              <w:pStyle w:val="Tabletitleinside"/>
              <w:rPr>
                <w:rFonts w:cs="Gill Sans"/>
                <w:b w:val="0"/>
                <w:color w:val="FFFFFF" w:themeColor="background1"/>
                <w:szCs w:val="22"/>
              </w:rPr>
            </w:pPr>
            <w:r w:rsidRPr="005C5C45">
              <w:rPr>
                <w:rFonts w:cs="Gill Sans"/>
                <w:b w:val="0"/>
                <w:color w:val="FFFFFF" w:themeColor="background1"/>
                <w:szCs w:val="22"/>
              </w:rPr>
              <w:t>Other (including constitutional independent or autonomous bodies)</w:t>
            </w:r>
          </w:p>
        </w:tc>
        <w:tc>
          <w:tcPr>
            <w:tcW w:w="829" w:type="pct"/>
            <w:shd w:val="clear" w:color="auto" w:fill="81A7D1" w:themeFill="text2" w:themeFillTint="99"/>
            <w:hideMark/>
          </w:tcPr>
          <w:p w14:paraId="3642C0E2" w14:textId="77777777" w:rsidR="00EA2F88" w:rsidRPr="005C5C45" w:rsidRDefault="00EA2F88" w:rsidP="00361909">
            <w:pPr>
              <w:pStyle w:val="Tabletitleinside"/>
              <w:rPr>
                <w:rFonts w:cs="Gill Sans"/>
                <w:b w:val="0"/>
                <w:color w:val="FFFFFF" w:themeColor="background1"/>
                <w:szCs w:val="22"/>
              </w:rPr>
            </w:pPr>
            <w:r w:rsidRPr="005C5C45">
              <w:rPr>
                <w:rFonts w:cs="Gill Sans"/>
                <w:b w:val="0"/>
                <w:color w:val="FFFFFF" w:themeColor="background1"/>
                <w:szCs w:val="22"/>
              </w:rPr>
              <w:t>Subnational Governments</w:t>
            </w:r>
          </w:p>
        </w:tc>
      </w:tr>
      <w:tr w:rsidR="00EA2F88" w:rsidRPr="005C5C45" w14:paraId="0232832E" w14:textId="77777777" w:rsidTr="00361909">
        <w:trPr>
          <w:trHeight w:val="806"/>
        </w:trPr>
        <w:tc>
          <w:tcPr>
            <w:tcW w:w="1089" w:type="pct"/>
            <w:shd w:val="clear" w:color="auto" w:fill="81A7D1" w:themeFill="text2" w:themeFillTint="99"/>
            <w:hideMark/>
          </w:tcPr>
          <w:p w14:paraId="0D11A380" w14:textId="77777777" w:rsidR="00EA2F88" w:rsidRPr="005C5C45" w:rsidRDefault="00EA2F88" w:rsidP="00361909">
            <w:pPr>
              <w:pStyle w:val="Rowcolumntitles"/>
              <w:rPr>
                <w:rFonts w:ascii="Gill Sans SemiBold" w:hAnsi="Gill Sans SemiBold"/>
                <w:b/>
                <w:color w:val="FFFFFF" w:themeColor="background1"/>
              </w:rPr>
            </w:pPr>
            <w:r w:rsidRPr="005C5C45">
              <w:rPr>
                <w:rFonts w:ascii="Gill Sans SemiBold" w:hAnsi="Gill Sans SemiBold"/>
                <w:b/>
                <w:color w:val="FFFFFF" w:themeColor="background1"/>
              </w:rPr>
              <w:t xml:space="preserve">Consult: </w:t>
            </w:r>
            <w:r w:rsidRPr="005C5C45">
              <w:rPr>
                <w:rFonts w:ascii="Gill Sans SemiBold" w:hAnsi="Gill Sans SemiBold"/>
                <w:color w:val="FFFFFF" w:themeColor="background1"/>
                <w:sz w:val="21"/>
              </w:rPr>
              <w:t>These institutions observed or were invited to observe the action plan but may not be responsible for commitments in the action plan.</w:t>
            </w:r>
          </w:p>
        </w:tc>
        <w:tc>
          <w:tcPr>
            <w:tcW w:w="872" w:type="pct"/>
            <w:shd w:val="clear" w:color="auto" w:fill="ABC4E0" w:themeFill="text2" w:themeFillTint="66"/>
            <w:vAlign w:val="center"/>
            <w:hideMark/>
          </w:tcPr>
          <w:p w14:paraId="78BA2868" w14:textId="77777777" w:rsidR="00EA2F88" w:rsidRPr="005C5C45" w:rsidRDefault="00EA2F88" w:rsidP="00361909">
            <w:pPr>
              <w:pStyle w:val="Normalrglronly"/>
              <w:jc w:val="center"/>
              <w:rPr>
                <w:color w:val="3C6EA4" w:themeColor="text2"/>
                <w:sz w:val="28"/>
              </w:rPr>
            </w:pPr>
            <w:r w:rsidRPr="005C5C45">
              <w:rPr>
                <w:color w:val="3C6EA4" w:themeColor="text2"/>
                <w:sz w:val="28"/>
              </w:rPr>
              <w:t>3</w:t>
            </w:r>
            <w:r w:rsidRPr="005C5C45">
              <w:rPr>
                <w:rStyle w:val="EndnoteReference"/>
                <w:color w:val="3C6EA4" w:themeColor="text2"/>
                <w:sz w:val="28"/>
              </w:rPr>
              <w:endnoteReference w:id="52"/>
            </w:r>
          </w:p>
        </w:tc>
        <w:tc>
          <w:tcPr>
            <w:tcW w:w="673" w:type="pct"/>
            <w:shd w:val="clear" w:color="auto" w:fill="ABC4E0" w:themeFill="text2" w:themeFillTint="66"/>
            <w:vAlign w:val="center"/>
            <w:hideMark/>
          </w:tcPr>
          <w:p w14:paraId="18AD25DB" w14:textId="77777777" w:rsidR="00EA2F88" w:rsidRPr="005C5C45" w:rsidRDefault="00EA2F88" w:rsidP="00361909">
            <w:pPr>
              <w:pStyle w:val="Normalrglronly"/>
              <w:jc w:val="center"/>
              <w:rPr>
                <w:color w:val="3C6EA4" w:themeColor="text2"/>
                <w:sz w:val="28"/>
              </w:rPr>
            </w:pPr>
            <w:r w:rsidRPr="005C5C45">
              <w:rPr>
                <w:color w:val="3C6EA4" w:themeColor="text2"/>
                <w:sz w:val="28"/>
              </w:rPr>
              <w:t>0</w:t>
            </w:r>
          </w:p>
        </w:tc>
        <w:tc>
          <w:tcPr>
            <w:tcW w:w="674" w:type="pct"/>
            <w:shd w:val="clear" w:color="auto" w:fill="ABC4E0" w:themeFill="text2" w:themeFillTint="66"/>
            <w:vAlign w:val="center"/>
            <w:hideMark/>
          </w:tcPr>
          <w:p w14:paraId="4591F0A4" w14:textId="77777777" w:rsidR="00EA2F88" w:rsidRPr="005C5C45" w:rsidRDefault="00EA2F88" w:rsidP="00361909">
            <w:pPr>
              <w:pStyle w:val="Normalrglronly"/>
              <w:jc w:val="center"/>
              <w:rPr>
                <w:color w:val="3C6EA4" w:themeColor="text2"/>
                <w:sz w:val="28"/>
              </w:rPr>
            </w:pPr>
            <w:r w:rsidRPr="005C5C45">
              <w:rPr>
                <w:color w:val="3C6EA4" w:themeColor="text2"/>
                <w:sz w:val="28"/>
              </w:rPr>
              <w:t>0</w:t>
            </w:r>
          </w:p>
        </w:tc>
        <w:tc>
          <w:tcPr>
            <w:tcW w:w="863" w:type="pct"/>
            <w:shd w:val="clear" w:color="auto" w:fill="ABC4E0" w:themeFill="text2" w:themeFillTint="66"/>
            <w:vAlign w:val="center"/>
            <w:hideMark/>
          </w:tcPr>
          <w:p w14:paraId="0AC99242" w14:textId="77777777" w:rsidR="00EA2F88" w:rsidRPr="005C5C45" w:rsidRDefault="00EA2F88" w:rsidP="00361909">
            <w:pPr>
              <w:pStyle w:val="Normalrglronly"/>
              <w:jc w:val="center"/>
              <w:rPr>
                <w:color w:val="3C6EA4" w:themeColor="text2"/>
                <w:sz w:val="28"/>
              </w:rPr>
            </w:pPr>
            <w:r w:rsidRPr="005C5C45">
              <w:rPr>
                <w:color w:val="3C6EA4" w:themeColor="text2"/>
                <w:sz w:val="28"/>
              </w:rPr>
              <w:t>0</w:t>
            </w:r>
          </w:p>
        </w:tc>
        <w:tc>
          <w:tcPr>
            <w:tcW w:w="829" w:type="pct"/>
            <w:shd w:val="clear" w:color="auto" w:fill="ABC4E0" w:themeFill="text2" w:themeFillTint="66"/>
            <w:vAlign w:val="center"/>
            <w:hideMark/>
          </w:tcPr>
          <w:p w14:paraId="71FC96CF" w14:textId="77777777" w:rsidR="00EA2F88" w:rsidRPr="005C5C45" w:rsidRDefault="00EA2F88" w:rsidP="00361909">
            <w:pPr>
              <w:pStyle w:val="Normalrglronly"/>
              <w:jc w:val="center"/>
              <w:rPr>
                <w:color w:val="3C6EA4" w:themeColor="text2"/>
                <w:sz w:val="28"/>
              </w:rPr>
            </w:pPr>
            <w:r w:rsidRPr="005C5C45">
              <w:rPr>
                <w:color w:val="3C6EA4" w:themeColor="text2"/>
                <w:sz w:val="28"/>
              </w:rPr>
              <w:t>0</w:t>
            </w:r>
          </w:p>
        </w:tc>
      </w:tr>
      <w:tr w:rsidR="00EA2F88" w:rsidRPr="005C5C45" w14:paraId="511E4721" w14:textId="77777777" w:rsidTr="00361909">
        <w:trPr>
          <w:trHeight w:val="806"/>
        </w:trPr>
        <w:tc>
          <w:tcPr>
            <w:tcW w:w="1089" w:type="pct"/>
            <w:shd w:val="clear" w:color="auto" w:fill="81A7D1" w:themeFill="text2" w:themeFillTint="99"/>
            <w:hideMark/>
          </w:tcPr>
          <w:p w14:paraId="66DF387A" w14:textId="77777777" w:rsidR="00EA2F88" w:rsidRPr="005C5C45" w:rsidRDefault="00EA2F88" w:rsidP="00361909">
            <w:pPr>
              <w:pStyle w:val="Rowcolumntitles"/>
              <w:rPr>
                <w:rFonts w:ascii="Gill Sans SemiBold" w:hAnsi="Gill Sans SemiBold"/>
                <w:b/>
                <w:color w:val="FFFFFF" w:themeColor="background1"/>
              </w:rPr>
            </w:pPr>
            <w:r w:rsidRPr="005C5C45">
              <w:rPr>
                <w:rFonts w:ascii="Gill Sans SemiBold" w:hAnsi="Gill Sans SemiBold"/>
                <w:b/>
                <w:color w:val="FFFFFF" w:themeColor="background1"/>
              </w:rPr>
              <w:t xml:space="preserve">Propose: </w:t>
            </w:r>
            <w:r w:rsidRPr="005C5C45">
              <w:rPr>
                <w:rFonts w:ascii="Gill Sans SemiBold" w:hAnsi="Gill Sans SemiBold"/>
                <w:color w:val="FFFFFF" w:themeColor="background1"/>
                <w:sz w:val="21"/>
              </w:rPr>
              <w:t>These institutions proposed commitments for inclusion in the action plan.</w:t>
            </w:r>
          </w:p>
        </w:tc>
        <w:tc>
          <w:tcPr>
            <w:tcW w:w="872" w:type="pct"/>
            <w:shd w:val="clear" w:color="auto" w:fill="ABC4E0" w:themeFill="text2" w:themeFillTint="66"/>
            <w:vAlign w:val="center"/>
            <w:hideMark/>
          </w:tcPr>
          <w:p w14:paraId="1C868614" w14:textId="77777777" w:rsidR="00EA2F88" w:rsidRPr="005C5C45" w:rsidRDefault="00EA2F88" w:rsidP="00361909">
            <w:pPr>
              <w:pStyle w:val="Normalrglronly"/>
              <w:jc w:val="center"/>
              <w:rPr>
                <w:color w:val="3C6EA4" w:themeColor="text2"/>
                <w:sz w:val="28"/>
              </w:rPr>
            </w:pPr>
            <w:r w:rsidRPr="005C5C45">
              <w:rPr>
                <w:color w:val="3C6EA4" w:themeColor="text2"/>
                <w:sz w:val="28"/>
              </w:rPr>
              <w:t>7</w:t>
            </w:r>
            <w:r w:rsidRPr="005C5C45">
              <w:rPr>
                <w:rStyle w:val="EndnoteReference"/>
                <w:color w:val="3C6EA4" w:themeColor="text2"/>
                <w:sz w:val="28"/>
              </w:rPr>
              <w:endnoteReference w:id="53"/>
            </w:r>
          </w:p>
        </w:tc>
        <w:tc>
          <w:tcPr>
            <w:tcW w:w="673" w:type="pct"/>
            <w:shd w:val="clear" w:color="auto" w:fill="ABC4E0" w:themeFill="text2" w:themeFillTint="66"/>
            <w:vAlign w:val="center"/>
            <w:hideMark/>
          </w:tcPr>
          <w:p w14:paraId="6FD26B01" w14:textId="77777777" w:rsidR="00EA2F88" w:rsidRPr="005C5C45" w:rsidRDefault="00EA2F88" w:rsidP="00361909">
            <w:pPr>
              <w:pStyle w:val="Normalrglronly"/>
              <w:jc w:val="center"/>
              <w:rPr>
                <w:color w:val="3C6EA4" w:themeColor="text2"/>
                <w:sz w:val="28"/>
              </w:rPr>
            </w:pPr>
            <w:r w:rsidRPr="005C5C45">
              <w:rPr>
                <w:color w:val="3C6EA4" w:themeColor="text2"/>
                <w:sz w:val="28"/>
              </w:rPr>
              <w:t>0</w:t>
            </w:r>
          </w:p>
        </w:tc>
        <w:tc>
          <w:tcPr>
            <w:tcW w:w="674" w:type="pct"/>
            <w:shd w:val="clear" w:color="auto" w:fill="ABC4E0" w:themeFill="text2" w:themeFillTint="66"/>
            <w:vAlign w:val="center"/>
            <w:hideMark/>
          </w:tcPr>
          <w:p w14:paraId="765FF8FA" w14:textId="77777777" w:rsidR="00EA2F88" w:rsidRPr="005C5C45" w:rsidRDefault="00EA2F88" w:rsidP="00361909">
            <w:pPr>
              <w:pStyle w:val="Normalrglronly"/>
              <w:jc w:val="center"/>
              <w:rPr>
                <w:color w:val="3C6EA4" w:themeColor="text2"/>
                <w:sz w:val="28"/>
              </w:rPr>
            </w:pPr>
            <w:r w:rsidRPr="005C5C45">
              <w:rPr>
                <w:color w:val="3C6EA4" w:themeColor="text2"/>
                <w:sz w:val="28"/>
              </w:rPr>
              <w:t>0</w:t>
            </w:r>
          </w:p>
        </w:tc>
        <w:tc>
          <w:tcPr>
            <w:tcW w:w="863" w:type="pct"/>
            <w:shd w:val="clear" w:color="auto" w:fill="ABC4E0" w:themeFill="text2" w:themeFillTint="66"/>
            <w:vAlign w:val="center"/>
            <w:hideMark/>
          </w:tcPr>
          <w:p w14:paraId="5ADF7326" w14:textId="77777777" w:rsidR="00EA2F88" w:rsidRPr="005C5C45" w:rsidRDefault="00EA2F88" w:rsidP="00361909">
            <w:pPr>
              <w:pStyle w:val="Normalrglronly"/>
              <w:jc w:val="center"/>
              <w:rPr>
                <w:color w:val="3C6EA4" w:themeColor="text2"/>
                <w:sz w:val="28"/>
              </w:rPr>
            </w:pPr>
            <w:r w:rsidRPr="005C5C45">
              <w:rPr>
                <w:color w:val="3C6EA4" w:themeColor="text2"/>
                <w:sz w:val="28"/>
              </w:rPr>
              <w:t>0</w:t>
            </w:r>
          </w:p>
        </w:tc>
        <w:tc>
          <w:tcPr>
            <w:tcW w:w="829" w:type="pct"/>
            <w:shd w:val="clear" w:color="auto" w:fill="ABC4E0" w:themeFill="text2" w:themeFillTint="66"/>
            <w:vAlign w:val="center"/>
            <w:hideMark/>
          </w:tcPr>
          <w:p w14:paraId="49515B09" w14:textId="77777777" w:rsidR="00EA2F88" w:rsidRPr="005C5C45" w:rsidRDefault="00EA2F88" w:rsidP="00361909">
            <w:pPr>
              <w:pStyle w:val="Normalrglronly"/>
              <w:jc w:val="center"/>
              <w:rPr>
                <w:color w:val="3C6EA4" w:themeColor="text2"/>
                <w:sz w:val="28"/>
              </w:rPr>
            </w:pPr>
            <w:r w:rsidRPr="005C5C45">
              <w:rPr>
                <w:color w:val="3C6EA4" w:themeColor="text2"/>
                <w:sz w:val="28"/>
              </w:rPr>
              <w:t>0</w:t>
            </w:r>
          </w:p>
        </w:tc>
      </w:tr>
      <w:tr w:rsidR="00EA2F88" w:rsidRPr="005C5C45" w14:paraId="06EC7F8E" w14:textId="77777777" w:rsidTr="00AF1990">
        <w:trPr>
          <w:trHeight w:val="188"/>
        </w:trPr>
        <w:tc>
          <w:tcPr>
            <w:tcW w:w="1089" w:type="pct"/>
            <w:shd w:val="clear" w:color="auto" w:fill="81A7D1" w:themeFill="text2" w:themeFillTint="99"/>
            <w:hideMark/>
          </w:tcPr>
          <w:p w14:paraId="119B952F" w14:textId="77777777" w:rsidR="00EA2F88" w:rsidRPr="005C5C45" w:rsidRDefault="00EA2F88" w:rsidP="00361909">
            <w:pPr>
              <w:pStyle w:val="Rowcolumntitles"/>
              <w:rPr>
                <w:rFonts w:ascii="Gill Sans SemiBold" w:hAnsi="Gill Sans SemiBold"/>
                <w:b/>
                <w:color w:val="FFFFFF" w:themeColor="background1"/>
              </w:rPr>
            </w:pPr>
            <w:r w:rsidRPr="005C5C45">
              <w:rPr>
                <w:rFonts w:ascii="Gill Sans SemiBold" w:hAnsi="Gill Sans SemiBold"/>
                <w:b/>
                <w:color w:val="FFFFFF" w:themeColor="background1"/>
              </w:rPr>
              <w:t xml:space="preserve">Implement:  </w:t>
            </w:r>
            <w:r w:rsidRPr="005C5C45">
              <w:rPr>
                <w:rFonts w:ascii="Gill Sans SemiBold" w:hAnsi="Gill Sans SemiBold"/>
                <w:color w:val="FFFFFF" w:themeColor="background1"/>
                <w:sz w:val="21"/>
              </w:rPr>
              <w:t xml:space="preserve">These institutions are responsible for implementing commitments in the action plan whether </w:t>
            </w:r>
            <w:r w:rsidRPr="005C5C45">
              <w:rPr>
                <w:rFonts w:ascii="Gill Sans SemiBold" w:hAnsi="Gill Sans SemiBold"/>
                <w:color w:val="FFFFFF" w:themeColor="background1"/>
                <w:sz w:val="21"/>
              </w:rPr>
              <w:lastRenderedPageBreak/>
              <w:t>or not they proposed the commitments.</w:t>
            </w:r>
          </w:p>
        </w:tc>
        <w:tc>
          <w:tcPr>
            <w:tcW w:w="872" w:type="pct"/>
            <w:shd w:val="clear" w:color="auto" w:fill="ABC4E0" w:themeFill="text2" w:themeFillTint="66"/>
            <w:vAlign w:val="center"/>
            <w:hideMark/>
          </w:tcPr>
          <w:p w14:paraId="18B6D789" w14:textId="77777777" w:rsidR="00EA2F88" w:rsidRPr="005C5C45" w:rsidRDefault="00EA2F88" w:rsidP="00361909">
            <w:pPr>
              <w:pStyle w:val="Normalrglronly"/>
              <w:jc w:val="center"/>
              <w:rPr>
                <w:color w:val="3C6EA4" w:themeColor="text2"/>
                <w:sz w:val="28"/>
                <w:szCs w:val="20"/>
              </w:rPr>
            </w:pPr>
            <w:r w:rsidRPr="005C5C45">
              <w:rPr>
                <w:color w:val="3C6EA4" w:themeColor="text2"/>
                <w:sz w:val="28"/>
                <w:szCs w:val="20"/>
              </w:rPr>
              <w:lastRenderedPageBreak/>
              <w:t>8</w:t>
            </w:r>
            <w:r w:rsidRPr="005C5C45">
              <w:rPr>
                <w:rStyle w:val="EndnoteReference"/>
                <w:color w:val="3C6EA4" w:themeColor="text2"/>
                <w:sz w:val="28"/>
              </w:rPr>
              <w:endnoteReference w:id="54"/>
            </w:r>
          </w:p>
        </w:tc>
        <w:tc>
          <w:tcPr>
            <w:tcW w:w="673" w:type="pct"/>
            <w:shd w:val="clear" w:color="auto" w:fill="ABC4E0" w:themeFill="text2" w:themeFillTint="66"/>
            <w:vAlign w:val="center"/>
            <w:hideMark/>
          </w:tcPr>
          <w:p w14:paraId="397763BC" w14:textId="77777777" w:rsidR="00EA2F88" w:rsidRPr="005C5C45" w:rsidRDefault="00EA2F88" w:rsidP="00361909">
            <w:pPr>
              <w:pStyle w:val="Normalrglronly"/>
              <w:jc w:val="center"/>
              <w:rPr>
                <w:color w:val="3C6EA4" w:themeColor="text2"/>
                <w:sz w:val="28"/>
                <w:szCs w:val="20"/>
              </w:rPr>
            </w:pPr>
            <w:r w:rsidRPr="005C5C45">
              <w:rPr>
                <w:color w:val="3C6EA4" w:themeColor="text2"/>
                <w:sz w:val="28"/>
                <w:szCs w:val="20"/>
              </w:rPr>
              <w:t>0</w:t>
            </w:r>
          </w:p>
        </w:tc>
        <w:tc>
          <w:tcPr>
            <w:tcW w:w="674" w:type="pct"/>
            <w:shd w:val="clear" w:color="auto" w:fill="ABC4E0" w:themeFill="text2" w:themeFillTint="66"/>
            <w:vAlign w:val="center"/>
            <w:hideMark/>
          </w:tcPr>
          <w:p w14:paraId="3439E948" w14:textId="77777777" w:rsidR="00EA2F88" w:rsidRPr="005C5C45" w:rsidRDefault="00EA2F88" w:rsidP="00361909">
            <w:pPr>
              <w:pStyle w:val="Normalrglronly"/>
              <w:jc w:val="center"/>
              <w:rPr>
                <w:color w:val="3C6EA4" w:themeColor="text2"/>
                <w:sz w:val="28"/>
                <w:szCs w:val="20"/>
              </w:rPr>
            </w:pPr>
            <w:r w:rsidRPr="005C5C45">
              <w:rPr>
                <w:color w:val="3C6EA4" w:themeColor="text2"/>
                <w:sz w:val="28"/>
                <w:szCs w:val="20"/>
              </w:rPr>
              <w:t>0</w:t>
            </w:r>
          </w:p>
        </w:tc>
        <w:tc>
          <w:tcPr>
            <w:tcW w:w="863" w:type="pct"/>
            <w:shd w:val="clear" w:color="auto" w:fill="ABC4E0" w:themeFill="text2" w:themeFillTint="66"/>
            <w:vAlign w:val="center"/>
            <w:hideMark/>
          </w:tcPr>
          <w:p w14:paraId="2CB73BA9" w14:textId="77777777" w:rsidR="00EA2F88" w:rsidRPr="005C5C45" w:rsidRDefault="00EA2F88" w:rsidP="00361909">
            <w:pPr>
              <w:pStyle w:val="Normalrglronly"/>
              <w:jc w:val="center"/>
              <w:rPr>
                <w:color w:val="3C6EA4" w:themeColor="text2"/>
                <w:sz w:val="28"/>
                <w:szCs w:val="20"/>
              </w:rPr>
            </w:pPr>
            <w:r w:rsidRPr="005C5C45">
              <w:rPr>
                <w:color w:val="3C6EA4" w:themeColor="text2"/>
                <w:sz w:val="28"/>
                <w:szCs w:val="20"/>
              </w:rPr>
              <w:t>0</w:t>
            </w:r>
          </w:p>
        </w:tc>
        <w:tc>
          <w:tcPr>
            <w:tcW w:w="829" w:type="pct"/>
            <w:shd w:val="clear" w:color="auto" w:fill="ABC4E0" w:themeFill="text2" w:themeFillTint="66"/>
            <w:vAlign w:val="center"/>
            <w:hideMark/>
          </w:tcPr>
          <w:p w14:paraId="0C788755" w14:textId="77777777" w:rsidR="00EA2F88" w:rsidRPr="005C5C45" w:rsidRDefault="00EA2F88" w:rsidP="00361909">
            <w:pPr>
              <w:pStyle w:val="Normalrglronly"/>
              <w:jc w:val="center"/>
              <w:rPr>
                <w:color w:val="3C6EA4" w:themeColor="text2"/>
                <w:sz w:val="28"/>
                <w:szCs w:val="20"/>
              </w:rPr>
            </w:pPr>
            <w:r w:rsidRPr="005C5C45">
              <w:rPr>
                <w:color w:val="3C6EA4" w:themeColor="text2"/>
                <w:sz w:val="28"/>
                <w:szCs w:val="20"/>
              </w:rPr>
              <w:t>0</w:t>
            </w:r>
          </w:p>
        </w:tc>
      </w:tr>
    </w:tbl>
    <w:p w14:paraId="4BDFC033" w14:textId="6C576389" w:rsidR="006B1F4D" w:rsidRPr="005C5C45" w:rsidRDefault="000C2E05" w:rsidP="00AB3F47">
      <w:pPr>
        <w:pStyle w:val="Normalrglronly"/>
        <w:spacing w:before="120"/>
      </w:pPr>
      <w:r w:rsidRPr="005C5C45">
        <w:lastRenderedPageBreak/>
        <w:t xml:space="preserve">In </w:t>
      </w:r>
      <w:r w:rsidR="003811C4" w:rsidRPr="005C5C45">
        <w:t>N</w:t>
      </w:r>
      <w:r w:rsidR="00421DD9" w:rsidRPr="005C5C45">
        <w:t xml:space="preserve">ew </w:t>
      </w:r>
      <w:r w:rsidR="003811C4" w:rsidRPr="005C5C45">
        <w:t>Z</w:t>
      </w:r>
      <w:r w:rsidR="00421DD9" w:rsidRPr="005C5C45">
        <w:t>ealand</w:t>
      </w:r>
      <w:r w:rsidR="00EA2F88" w:rsidRPr="005C5C45">
        <w:t xml:space="preserve"> </w:t>
      </w:r>
      <w:r w:rsidRPr="005C5C45">
        <w:t xml:space="preserve">participation in OGP was limited to </w:t>
      </w:r>
      <w:r w:rsidR="00EA2F88" w:rsidRPr="005C5C45">
        <w:t>government departmen</w:t>
      </w:r>
      <w:r w:rsidR="00053BF9" w:rsidRPr="005C5C45">
        <w:t>ts</w:t>
      </w:r>
      <w:r w:rsidRPr="005C5C45">
        <w:t>.</w:t>
      </w:r>
      <w:r w:rsidRPr="005C5C45" w:rsidDel="000C2E05">
        <w:t xml:space="preserve"> </w:t>
      </w:r>
      <w:r w:rsidRPr="005C5C45">
        <w:t>T</w:t>
      </w:r>
      <w:r w:rsidR="00EA2F88" w:rsidRPr="005C5C45">
        <w:t>able 3.2 above details which institutions were involved</w:t>
      </w:r>
      <w:r w:rsidR="00AF1CF2" w:rsidRPr="005C5C45">
        <w:t>.</w:t>
      </w:r>
      <w:r w:rsidR="00EA2F88" w:rsidRPr="005C5C45">
        <w:t xml:space="preserve"> Department</w:t>
      </w:r>
      <w:r w:rsidR="0028455E" w:rsidRPr="005C5C45">
        <w:t xml:space="preserve">al responsibility for </w:t>
      </w:r>
      <w:r w:rsidR="00F77806">
        <w:t>C</w:t>
      </w:r>
      <w:r w:rsidR="00EA2F88" w:rsidRPr="005C5C45">
        <w:t xml:space="preserve">ommitments </w:t>
      </w:r>
      <w:r w:rsidR="00F77806">
        <w:t>3</w:t>
      </w:r>
      <w:r w:rsidR="00F77806" w:rsidRPr="005C5C45">
        <w:t xml:space="preserve"> </w:t>
      </w:r>
      <w:r w:rsidR="00EA2F88" w:rsidRPr="005C5C45">
        <w:t xml:space="preserve">and </w:t>
      </w:r>
      <w:r w:rsidR="00F77806">
        <w:t>4</w:t>
      </w:r>
      <w:r w:rsidR="00F77806" w:rsidRPr="005C5C45">
        <w:t xml:space="preserve"> </w:t>
      </w:r>
      <w:r w:rsidR="00EA2F88" w:rsidRPr="005C5C45">
        <w:t xml:space="preserve">changed on 10 March 2017 with Statistics </w:t>
      </w:r>
      <w:r w:rsidR="003811C4" w:rsidRPr="005C5C45">
        <w:t>N</w:t>
      </w:r>
      <w:r w:rsidR="00421DD9" w:rsidRPr="005C5C45">
        <w:t xml:space="preserve">ew </w:t>
      </w:r>
      <w:r w:rsidR="003811C4" w:rsidRPr="005C5C45">
        <w:t>Z</w:t>
      </w:r>
      <w:r w:rsidR="00421DD9" w:rsidRPr="005C5C45">
        <w:t>ealand</w:t>
      </w:r>
      <w:r w:rsidR="00EA2F88" w:rsidRPr="005C5C45">
        <w:t xml:space="preserve"> and the Department of Internal Affairs assuming full ownership, and Land Information </w:t>
      </w:r>
      <w:r w:rsidR="003811C4" w:rsidRPr="005C5C45">
        <w:t>N</w:t>
      </w:r>
      <w:r w:rsidR="00421DD9" w:rsidRPr="005C5C45">
        <w:t xml:space="preserve">ew </w:t>
      </w:r>
      <w:r w:rsidR="003811C4" w:rsidRPr="005C5C45">
        <w:t>Z</w:t>
      </w:r>
      <w:r w:rsidR="00421DD9" w:rsidRPr="005C5C45">
        <w:t>ealand</w:t>
      </w:r>
      <w:r w:rsidR="00EA2F88" w:rsidRPr="005C5C45">
        <w:t xml:space="preserve"> ceasing its role.</w:t>
      </w:r>
      <w:r w:rsidR="006B1F4D" w:rsidRPr="005C5C45">
        <w:t xml:space="preserve"> Membership of the Official</w:t>
      </w:r>
      <w:r w:rsidR="001B428B">
        <w:t>s</w:t>
      </w:r>
      <w:r w:rsidR="006B1F4D" w:rsidRPr="005C5C45">
        <w:t xml:space="preserve"> Group of agencies leading commitments was expanded in 2017 to include </w:t>
      </w:r>
      <w:proofErr w:type="spellStart"/>
      <w:r w:rsidR="006B1F4D" w:rsidRPr="005C5C45">
        <w:t>Te</w:t>
      </w:r>
      <w:proofErr w:type="spellEnd"/>
      <w:r w:rsidR="006B1F4D" w:rsidRPr="005C5C45">
        <w:t xml:space="preserve"> </w:t>
      </w:r>
      <w:proofErr w:type="spellStart"/>
      <w:r w:rsidR="006B1F4D" w:rsidRPr="005C5C45">
        <w:t>Puni</w:t>
      </w:r>
      <w:proofErr w:type="spellEnd"/>
      <w:r w:rsidR="006B1F4D" w:rsidRPr="005C5C45">
        <w:t xml:space="preserve"> </w:t>
      </w:r>
      <w:proofErr w:type="spellStart"/>
      <w:r w:rsidR="006B1F4D" w:rsidRPr="005C5C45">
        <w:t>Kokiri</w:t>
      </w:r>
      <w:proofErr w:type="spellEnd"/>
      <w:r w:rsidR="006B1F4D" w:rsidRPr="005C5C45">
        <w:t xml:space="preserve">, which leads </w:t>
      </w:r>
      <w:r w:rsidR="000712BE" w:rsidRPr="005C5C45">
        <w:t>M</w:t>
      </w:r>
      <w:r w:rsidR="000712BE" w:rsidRPr="005C5C45">
        <w:rPr>
          <w:rFonts w:ascii="Calibri" w:eastAsia="Calibri" w:hAnsi="Calibri" w:cs="Calibri"/>
        </w:rPr>
        <w:t>ā</w:t>
      </w:r>
      <w:r w:rsidR="000712BE" w:rsidRPr="005C5C45">
        <w:t>ori</w:t>
      </w:r>
      <w:r w:rsidR="006B1F4D" w:rsidRPr="005C5C45">
        <w:t xml:space="preserve"> public policy and advises on </w:t>
      </w:r>
      <w:r w:rsidR="000712BE" w:rsidRPr="005C5C45">
        <w:t>p</w:t>
      </w:r>
      <w:r w:rsidR="006B1F4D" w:rsidRPr="005C5C45">
        <w:t xml:space="preserve">olicy affecting </w:t>
      </w:r>
      <w:r w:rsidR="000712BE" w:rsidRPr="005C5C45">
        <w:t>M</w:t>
      </w:r>
      <w:r w:rsidR="000712BE" w:rsidRPr="005C5C45">
        <w:rPr>
          <w:rFonts w:ascii="Calibri" w:eastAsia="Calibri" w:hAnsi="Calibri" w:cs="Calibri"/>
        </w:rPr>
        <w:t>ā</w:t>
      </w:r>
      <w:r w:rsidR="000712BE" w:rsidRPr="005C5C45">
        <w:t>ori</w:t>
      </w:r>
      <w:r w:rsidR="006B1F4D" w:rsidRPr="005C5C45">
        <w:t xml:space="preserve"> wellbeing, and the Auckland Council.</w:t>
      </w:r>
      <w:r w:rsidR="006B1F4D" w:rsidRPr="005C5C45">
        <w:rPr>
          <w:rStyle w:val="EndnoteReference"/>
          <w:sz w:val="20"/>
          <w:szCs w:val="20"/>
        </w:rPr>
        <w:endnoteReference w:id="55"/>
      </w:r>
    </w:p>
    <w:p w14:paraId="61DD47BB" w14:textId="26A97C43" w:rsidR="00EA2F88" w:rsidRPr="005C5C45" w:rsidRDefault="00EA2F88" w:rsidP="00AF1990">
      <w:pPr>
        <w:pStyle w:val="Normalrglronly"/>
      </w:pPr>
      <w:r w:rsidRPr="005C5C45">
        <w:t xml:space="preserve">During implementation, the </w:t>
      </w:r>
      <w:r w:rsidR="00F04198" w:rsidRPr="005C5C45">
        <w:t xml:space="preserve">Officials Group and the </w:t>
      </w:r>
      <w:r w:rsidR="00096B9B" w:rsidRPr="005C5C45">
        <w:t>Expert Advisory Panel (</w:t>
      </w:r>
      <w:r w:rsidR="00F04198" w:rsidRPr="005C5C45">
        <w:t>EAP</w:t>
      </w:r>
      <w:r w:rsidR="00096B9B" w:rsidRPr="005C5C45">
        <w:t>)</w:t>
      </w:r>
      <w:r w:rsidR="00B55885" w:rsidRPr="00B55885">
        <w:t>—</w:t>
      </w:r>
      <w:r w:rsidR="00CB7D2B" w:rsidRPr="005C5C45">
        <w:t>a group commissioned by the SSC to advise relevant OGP matters</w:t>
      </w:r>
      <w:r w:rsidR="00B55885" w:rsidRPr="00B55885">
        <w:t>—</w:t>
      </w:r>
      <w:r w:rsidRPr="005C5C45">
        <w:t xml:space="preserve">continued </w:t>
      </w:r>
      <w:r w:rsidR="00EC65D0" w:rsidRPr="005C5C45">
        <w:t xml:space="preserve">their </w:t>
      </w:r>
      <w:r w:rsidRPr="005C5C45">
        <w:t xml:space="preserve">separate meetings, and also held regular joint meetings from 2017. </w:t>
      </w:r>
      <w:r w:rsidR="00786A0C">
        <w:t>These meeting</w:t>
      </w:r>
      <w:r w:rsidR="00786A0C" w:rsidRPr="005C5C45">
        <w:t xml:space="preserve"> </w:t>
      </w:r>
      <w:r w:rsidRPr="005C5C45">
        <w:t>agendas</w:t>
      </w:r>
      <w:r w:rsidR="00786A0C">
        <w:t xml:space="preserve">, </w:t>
      </w:r>
      <w:r w:rsidR="00083C8B" w:rsidRPr="005C5C45">
        <w:t xml:space="preserve">brief </w:t>
      </w:r>
      <w:r w:rsidRPr="005C5C45">
        <w:t>minutes</w:t>
      </w:r>
      <w:r w:rsidR="00083C8B" w:rsidRPr="005C5C45">
        <w:t>, and progress reports</w:t>
      </w:r>
      <w:r w:rsidRPr="005C5C45">
        <w:t xml:space="preserve"> (following approval at the next meeting) are published on the OGP/NZ website</w:t>
      </w:r>
      <w:r w:rsidR="00083C8B" w:rsidRPr="005C5C45">
        <w:t>.</w:t>
      </w:r>
      <w:r w:rsidR="00D560CB" w:rsidRPr="005C5C45">
        <w:rPr>
          <w:rStyle w:val="EndnoteReference"/>
          <w:sz w:val="20"/>
          <w:szCs w:val="20"/>
        </w:rPr>
        <w:endnoteReference w:id="56"/>
      </w:r>
    </w:p>
    <w:p w14:paraId="0115BDA9" w14:textId="77777777" w:rsidR="00EA2F88" w:rsidRPr="005C5C45" w:rsidRDefault="00EA2F88" w:rsidP="00AF1990">
      <w:pPr>
        <w:pStyle w:val="Heading3"/>
      </w:pPr>
      <w:r w:rsidRPr="005C5C45">
        <w:t>3.3 Civil Society Engagement</w:t>
      </w:r>
    </w:p>
    <w:p w14:paraId="3A199F03" w14:textId="77777777" w:rsidR="005359AA" w:rsidRPr="005C5C45" w:rsidRDefault="005359AA" w:rsidP="005359AA">
      <w:pPr>
        <w:pStyle w:val="Normalrglronly"/>
      </w:pPr>
      <w:r w:rsidRPr="005C5C45">
        <w:t>Countries participating in OGP follow a set of requirements for consultation during development, implementation, and review of their OGP action plan. Table 3.3 summarizes the performance of N</w:t>
      </w:r>
      <w:r w:rsidR="00421DD9" w:rsidRPr="005C5C45">
        <w:t xml:space="preserve">ew </w:t>
      </w:r>
      <w:r w:rsidRPr="005C5C45">
        <w:t>Z</w:t>
      </w:r>
      <w:r w:rsidR="00421DD9" w:rsidRPr="005C5C45">
        <w:t>ealand</w:t>
      </w:r>
      <w:r w:rsidRPr="005C5C45">
        <w:t xml:space="preserve"> during the 2016-2018 action plan.</w:t>
      </w:r>
    </w:p>
    <w:p w14:paraId="03F60CC9" w14:textId="77777777" w:rsidR="005359AA" w:rsidRPr="005C5C45" w:rsidRDefault="005359AA" w:rsidP="005359AA">
      <w:pPr>
        <w:pStyle w:val="Tableheader"/>
        <w:rPr>
          <w:color w:val="81A7D1" w:themeColor="text2" w:themeTint="99"/>
        </w:rPr>
      </w:pPr>
      <w:r w:rsidRPr="005C5C45">
        <w:t>Table 3.3: National OGP Process</w:t>
      </w:r>
    </w:p>
    <w:tbl>
      <w:tblPr>
        <w:tblStyle w:val="TableGrid"/>
        <w:tblpPr w:leftFromText="180" w:rightFromText="180" w:vertAnchor="text" w:horzAnchor="page" w:tblpX="1810" w:tblpY="149"/>
        <w:tblW w:w="9267" w:type="dxa"/>
        <w:tblLayout w:type="fixed"/>
        <w:tblLook w:val="04A0" w:firstRow="1" w:lastRow="0" w:firstColumn="1" w:lastColumn="0" w:noHBand="0" w:noVBand="1"/>
      </w:tblPr>
      <w:tblGrid>
        <w:gridCol w:w="1155"/>
        <w:gridCol w:w="2828"/>
        <w:gridCol w:w="630"/>
        <w:gridCol w:w="45"/>
        <w:gridCol w:w="675"/>
        <w:gridCol w:w="2520"/>
        <w:gridCol w:w="707"/>
        <w:gridCol w:w="13"/>
        <w:gridCol w:w="694"/>
      </w:tblGrid>
      <w:tr w:rsidR="005359AA" w:rsidRPr="005C5C45" w14:paraId="0E86318D" w14:textId="77777777" w:rsidTr="0016175B">
        <w:trPr>
          <w:trHeight w:val="432"/>
        </w:trPr>
        <w:tc>
          <w:tcPr>
            <w:tcW w:w="9267" w:type="dxa"/>
            <w:gridSpan w:val="9"/>
            <w:shd w:val="clear" w:color="auto" w:fill="FFFFFF" w:themeFill="background1"/>
            <w:vAlign w:val="center"/>
          </w:tcPr>
          <w:p w14:paraId="11554008" w14:textId="77777777" w:rsidR="005359AA" w:rsidRPr="005C5C45" w:rsidRDefault="005359AA" w:rsidP="0016175B">
            <w:pPr>
              <w:spacing w:line="360" w:lineRule="auto"/>
              <w:jc w:val="center"/>
              <w:rPr>
                <w:b/>
              </w:rPr>
            </w:pPr>
            <w:r w:rsidRPr="005C5C45">
              <w:rPr>
                <w:b/>
              </w:rPr>
              <w:t>Key Steps Followed:  7 of 7</w:t>
            </w:r>
          </w:p>
        </w:tc>
      </w:tr>
      <w:tr w:rsidR="005359AA" w:rsidRPr="005C5C45" w14:paraId="7E286CAF" w14:textId="77777777" w:rsidTr="0016175B">
        <w:trPr>
          <w:trHeight w:val="805"/>
        </w:trPr>
        <w:tc>
          <w:tcPr>
            <w:tcW w:w="1155" w:type="dxa"/>
            <w:vMerge w:val="restart"/>
            <w:shd w:val="clear" w:color="auto" w:fill="4BACC6" w:themeFill="accent5"/>
            <w:vAlign w:val="center"/>
          </w:tcPr>
          <w:p w14:paraId="4D279C01" w14:textId="77777777" w:rsidR="005359AA" w:rsidRPr="005C5C45" w:rsidRDefault="005359AA" w:rsidP="0016175B">
            <w:pPr>
              <w:jc w:val="center"/>
              <w:rPr>
                <w:b/>
                <w:szCs w:val="22"/>
              </w:rPr>
            </w:pPr>
            <w:r w:rsidRPr="005C5C45">
              <w:rPr>
                <w:b/>
                <w:szCs w:val="22"/>
              </w:rPr>
              <w:t>Before</w:t>
            </w:r>
          </w:p>
        </w:tc>
        <w:tc>
          <w:tcPr>
            <w:tcW w:w="4178" w:type="dxa"/>
            <w:gridSpan w:val="4"/>
            <w:shd w:val="clear" w:color="auto" w:fill="DAEEF3" w:themeFill="accent5" w:themeFillTint="33"/>
            <w:vAlign w:val="center"/>
          </w:tcPr>
          <w:p w14:paraId="0398AB88" w14:textId="77777777" w:rsidR="005359AA" w:rsidRPr="005C5C45" w:rsidRDefault="005359AA" w:rsidP="0016175B">
            <w:pPr>
              <w:spacing w:after="120"/>
              <w:rPr>
                <w:b/>
                <w:szCs w:val="22"/>
              </w:rPr>
            </w:pPr>
            <w:r w:rsidRPr="005C5C45">
              <w:rPr>
                <w:b/>
                <w:szCs w:val="22"/>
              </w:rPr>
              <w:t>1. Timeline Process &amp; Availability</w:t>
            </w:r>
          </w:p>
        </w:tc>
        <w:tc>
          <w:tcPr>
            <w:tcW w:w="3934" w:type="dxa"/>
            <w:gridSpan w:val="4"/>
            <w:shd w:val="clear" w:color="auto" w:fill="DAEEF3" w:themeFill="accent5" w:themeFillTint="33"/>
            <w:vAlign w:val="center"/>
          </w:tcPr>
          <w:p w14:paraId="12F939BB" w14:textId="77777777" w:rsidR="005359AA" w:rsidRPr="005C5C45" w:rsidRDefault="005359AA" w:rsidP="0016175B">
            <w:pPr>
              <w:spacing w:line="360" w:lineRule="auto"/>
              <w:rPr>
                <w:b/>
                <w:szCs w:val="22"/>
              </w:rPr>
            </w:pPr>
            <w:r w:rsidRPr="005C5C45">
              <w:rPr>
                <w:b/>
                <w:szCs w:val="22"/>
              </w:rPr>
              <w:t>2. Advance Notice</w:t>
            </w:r>
          </w:p>
        </w:tc>
      </w:tr>
      <w:tr w:rsidR="005359AA" w:rsidRPr="005C5C45" w14:paraId="0F442A2C" w14:textId="77777777" w:rsidTr="0016175B">
        <w:trPr>
          <w:trHeight w:val="406"/>
        </w:trPr>
        <w:tc>
          <w:tcPr>
            <w:tcW w:w="1155" w:type="dxa"/>
            <w:vMerge/>
            <w:shd w:val="clear" w:color="auto" w:fill="4BACC6" w:themeFill="accent5"/>
            <w:vAlign w:val="center"/>
          </w:tcPr>
          <w:p w14:paraId="6FDE66CA" w14:textId="77777777" w:rsidR="005359AA" w:rsidRPr="005C5C45" w:rsidRDefault="005359AA" w:rsidP="0016175B">
            <w:pPr>
              <w:jc w:val="center"/>
              <w:rPr>
                <w:b/>
                <w:szCs w:val="22"/>
              </w:rPr>
            </w:pPr>
          </w:p>
        </w:tc>
        <w:tc>
          <w:tcPr>
            <w:tcW w:w="2828" w:type="dxa"/>
            <w:vMerge w:val="restart"/>
            <w:vAlign w:val="center"/>
          </w:tcPr>
          <w:p w14:paraId="421A3EE8" w14:textId="77777777" w:rsidR="005359AA" w:rsidRPr="005C5C45" w:rsidRDefault="005359AA" w:rsidP="0016175B">
            <w:pPr>
              <w:pStyle w:val="Rowcolumntitles"/>
              <w:rPr>
                <w:sz w:val="20"/>
              </w:rPr>
            </w:pPr>
            <w:r w:rsidRPr="005C5C45">
              <w:rPr>
                <w:sz w:val="20"/>
              </w:rPr>
              <w:t>Timeline and process available online prior to consultation</w:t>
            </w:r>
          </w:p>
        </w:tc>
        <w:tc>
          <w:tcPr>
            <w:tcW w:w="630" w:type="dxa"/>
            <w:vAlign w:val="center"/>
          </w:tcPr>
          <w:p w14:paraId="03EC16F0" w14:textId="77777777" w:rsidR="005359AA" w:rsidRPr="005C5C45" w:rsidRDefault="005359AA" w:rsidP="0016175B">
            <w:pPr>
              <w:spacing w:line="360" w:lineRule="auto"/>
              <w:jc w:val="center"/>
              <w:rPr>
                <w:sz w:val="20"/>
              </w:rPr>
            </w:pPr>
            <w:r w:rsidRPr="005C5C45">
              <w:rPr>
                <w:sz w:val="20"/>
              </w:rPr>
              <w:t>Yes</w:t>
            </w:r>
          </w:p>
        </w:tc>
        <w:tc>
          <w:tcPr>
            <w:tcW w:w="720" w:type="dxa"/>
            <w:gridSpan w:val="2"/>
            <w:vAlign w:val="center"/>
          </w:tcPr>
          <w:p w14:paraId="1338A1B3" w14:textId="77777777" w:rsidR="005359AA" w:rsidRPr="005C5C45" w:rsidRDefault="005359AA" w:rsidP="0016175B">
            <w:pPr>
              <w:spacing w:line="360" w:lineRule="auto"/>
              <w:jc w:val="center"/>
              <w:rPr>
                <w:sz w:val="20"/>
              </w:rPr>
            </w:pPr>
            <w:r w:rsidRPr="005C5C45">
              <w:rPr>
                <w:sz w:val="20"/>
              </w:rPr>
              <w:t>No</w:t>
            </w:r>
          </w:p>
        </w:tc>
        <w:tc>
          <w:tcPr>
            <w:tcW w:w="2520" w:type="dxa"/>
            <w:vMerge w:val="restart"/>
            <w:vAlign w:val="center"/>
          </w:tcPr>
          <w:p w14:paraId="7E9FFF74" w14:textId="77777777" w:rsidR="005359AA" w:rsidRPr="005C5C45" w:rsidRDefault="005359AA" w:rsidP="0016175B">
            <w:pPr>
              <w:pStyle w:val="Rowcolumntitles"/>
              <w:rPr>
                <w:sz w:val="20"/>
              </w:rPr>
            </w:pPr>
            <w:r w:rsidRPr="005C5C45">
              <w:rPr>
                <w:sz w:val="20"/>
              </w:rPr>
              <w:t>Advance notice of consultation</w:t>
            </w:r>
          </w:p>
        </w:tc>
        <w:tc>
          <w:tcPr>
            <w:tcW w:w="720" w:type="dxa"/>
            <w:gridSpan w:val="2"/>
            <w:vAlign w:val="center"/>
          </w:tcPr>
          <w:p w14:paraId="5B180484" w14:textId="77777777" w:rsidR="005359AA" w:rsidRPr="005C5C45" w:rsidRDefault="005359AA" w:rsidP="0016175B">
            <w:pPr>
              <w:spacing w:line="360" w:lineRule="auto"/>
              <w:jc w:val="center"/>
              <w:rPr>
                <w:sz w:val="20"/>
              </w:rPr>
            </w:pPr>
            <w:r w:rsidRPr="005C5C45">
              <w:rPr>
                <w:sz w:val="20"/>
              </w:rPr>
              <w:t>Yes</w:t>
            </w:r>
          </w:p>
        </w:tc>
        <w:tc>
          <w:tcPr>
            <w:tcW w:w="694" w:type="dxa"/>
            <w:vAlign w:val="center"/>
          </w:tcPr>
          <w:p w14:paraId="43723410" w14:textId="77777777" w:rsidR="005359AA" w:rsidRPr="005C5C45" w:rsidRDefault="005359AA" w:rsidP="0016175B">
            <w:pPr>
              <w:spacing w:line="360" w:lineRule="auto"/>
              <w:jc w:val="center"/>
              <w:rPr>
                <w:sz w:val="20"/>
              </w:rPr>
            </w:pPr>
            <w:r w:rsidRPr="005C5C45">
              <w:rPr>
                <w:sz w:val="20"/>
              </w:rPr>
              <w:t>No</w:t>
            </w:r>
          </w:p>
        </w:tc>
      </w:tr>
      <w:tr w:rsidR="005359AA" w:rsidRPr="005C5C45" w14:paraId="723C083B" w14:textId="77777777" w:rsidTr="00B55885">
        <w:trPr>
          <w:trHeight w:val="163"/>
        </w:trPr>
        <w:tc>
          <w:tcPr>
            <w:tcW w:w="1155" w:type="dxa"/>
            <w:vMerge/>
            <w:shd w:val="clear" w:color="auto" w:fill="4BACC6" w:themeFill="accent5"/>
            <w:vAlign w:val="center"/>
          </w:tcPr>
          <w:p w14:paraId="4512A417" w14:textId="77777777" w:rsidR="005359AA" w:rsidRPr="005C5C45" w:rsidRDefault="005359AA" w:rsidP="0016175B">
            <w:pPr>
              <w:jc w:val="center"/>
              <w:rPr>
                <w:b/>
                <w:szCs w:val="22"/>
              </w:rPr>
            </w:pPr>
          </w:p>
        </w:tc>
        <w:tc>
          <w:tcPr>
            <w:tcW w:w="2828" w:type="dxa"/>
            <w:vMerge/>
            <w:vAlign w:val="center"/>
          </w:tcPr>
          <w:p w14:paraId="772DD27B" w14:textId="77777777" w:rsidR="005359AA" w:rsidRPr="005C5C45" w:rsidRDefault="005359AA" w:rsidP="0016175B">
            <w:pPr>
              <w:spacing w:line="360" w:lineRule="auto"/>
              <w:jc w:val="center"/>
              <w:rPr>
                <w:sz w:val="20"/>
              </w:rPr>
            </w:pPr>
          </w:p>
        </w:tc>
        <w:tc>
          <w:tcPr>
            <w:tcW w:w="630" w:type="dxa"/>
            <w:vAlign w:val="center"/>
          </w:tcPr>
          <w:p w14:paraId="33F0A781" w14:textId="77777777" w:rsidR="005359AA" w:rsidRPr="005C5C45" w:rsidRDefault="005359AA" w:rsidP="00B55885">
            <w:pPr>
              <w:spacing w:line="360" w:lineRule="auto"/>
              <w:jc w:val="center"/>
              <w:rPr>
                <w:sz w:val="20"/>
              </w:rPr>
            </w:pPr>
            <w:r w:rsidRPr="005C5C45">
              <w:rPr>
                <w:rFonts w:ascii="Zapf Dingbats" w:hAnsi="Zapf Dingbats"/>
                <w:noProof/>
                <w:color w:val="51A534" w:themeColor="accent2"/>
                <w:sz w:val="20"/>
              </w:rPr>
              <w:t>✔</w:t>
            </w:r>
          </w:p>
        </w:tc>
        <w:tc>
          <w:tcPr>
            <w:tcW w:w="720" w:type="dxa"/>
            <w:gridSpan w:val="2"/>
            <w:vAlign w:val="center"/>
          </w:tcPr>
          <w:p w14:paraId="3256CC37" w14:textId="77777777" w:rsidR="005359AA" w:rsidRPr="005C5C45" w:rsidRDefault="005359AA" w:rsidP="00B55885">
            <w:pPr>
              <w:spacing w:line="360" w:lineRule="auto"/>
              <w:jc w:val="center"/>
              <w:rPr>
                <w:sz w:val="20"/>
              </w:rPr>
            </w:pPr>
          </w:p>
        </w:tc>
        <w:tc>
          <w:tcPr>
            <w:tcW w:w="2520" w:type="dxa"/>
            <w:vMerge/>
            <w:vAlign w:val="center"/>
          </w:tcPr>
          <w:p w14:paraId="46E53757" w14:textId="77777777" w:rsidR="005359AA" w:rsidRPr="005C5C45" w:rsidRDefault="005359AA" w:rsidP="0016175B">
            <w:pPr>
              <w:spacing w:line="360" w:lineRule="auto"/>
              <w:jc w:val="center"/>
              <w:rPr>
                <w:sz w:val="20"/>
              </w:rPr>
            </w:pPr>
          </w:p>
        </w:tc>
        <w:tc>
          <w:tcPr>
            <w:tcW w:w="720" w:type="dxa"/>
            <w:gridSpan w:val="2"/>
            <w:vAlign w:val="center"/>
          </w:tcPr>
          <w:p w14:paraId="6288EAE1" w14:textId="77777777" w:rsidR="005359AA" w:rsidRPr="005C5C45" w:rsidRDefault="005359AA" w:rsidP="00B55885">
            <w:pPr>
              <w:spacing w:line="360" w:lineRule="auto"/>
              <w:jc w:val="center"/>
              <w:rPr>
                <w:sz w:val="20"/>
              </w:rPr>
            </w:pPr>
            <w:r w:rsidRPr="005C5C45">
              <w:rPr>
                <w:rFonts w:ascii="Zapf Dingbats" w:hAnsi="Zapf Dingbats"/>
                <w:noProof/>
                <w:color w:val="51A534" w:themeColor="accent2"/>
                <w:sz w:val="20"/>
              </w:rPr>
              <w:t>✔</w:t>
            </w:r>
          </w:p>
        </w:tc>
        <w:tc>
          <w:tcPr>
            <w:tcW w:w="694" w:type="dxa"/>
            <w:vAlign w:val="center"/>
          </w:tcPr>
          <w:p w14:paraId="39A7B79E" w14:textId="77777777" w:rsidR="005359AA" w:rsidRPr="005C5C45" w:rsidRDefault="005359AA" w:rsidP="00B55885">
            <w:pPr>
              <w:spacing w:line="360" w:lineRule="auto"/>
              <w:jc w:val="center"/>
              <w:rPr>
                <w:sz w:val="20"/>
              </w:rPr>
            </w:pPr>
          </w:p>
        </w:tc>
      </w:tr>
      <w:tr w:rsidR="005359AA" w:rsidRPr="005C5C45" w14:paraId="1528CECD" w14:textId="77777777" w:rsidTr="0016175B">
        <w:trPr>
          <w:trHeight w:val="163"/>
        </w:trPr>
        <w:tc>
          <w:tcPr>
            <w:tcW w:w="1155" w:type="dxa"/>
            <w:vMerge/>
            <w:shd w:val="clear" w:color="auto" w:fill="4BACC6" w:themeFill="accent5"/>
            <w:vAlign w:val="center"/>
          </w:tcPr>
          <w:p w14:paraId="0414A57D" w14:textId="77777777" w:rsidR="005359AA" w:rsidRPr="005C5C45" w:rsidRDefault="005359AA" w:rsidP="0016175B">
            <w:pPr>
              <w:jc w:val="center"/>
              <w:rPr>
                <w:b/>
                <w:szCs w:val="22"/>
              </w:rPr>
            </w:pPr>
          </w:p>
        </w:tc>
        <w:tc>
          <w:tcPr>
            <w:tcW w:w="4178" w:type="dxa"/>
            <w:gridSpan w:val="4"/>
            <w:shd w:val="clear" w:color="auto" w:fill="DAEEF3" w:themeFill="accent5" w:themeFillTint="33"/>
            <w:vAlign w:val="center"/>
          </w:tcPr>
          <w:p w14:paraId="271D6F2C" w14:textId="77777777" w:rsidR="005359AA" w:rsidRPr="005C5C45" w:rsidRDefault="005359AA" w:rsidP="0016175B">
            <w:pPr>
              <w:spacing w:line="360" w:lineRule="auto"/>
              <w:rPr>
                <w:b/>
                <w:szCs w:val="22"/>
              </w:rPr>
            </w:pPr>
            <w:r w:rsidRPr="005C5C45">
              <w:rPr>
                <w:b/>
                <w:szCs w:val="22"/>
              </w:rPr>
              <w:t>3. Awareness Raising</w:t>
            </w:r>
          </w:p>
        </w:tc>
        <w:tc>
          <w:tcPr>
            <w:tcW w:w="3934" w:type="dxa"/>
            <w:gridSpan w:val="4"/>
            <w:shd w:val="clear" w:color="auto" w:fill="DAEEF3" w:themeFill="accent5" w:themeFillTint="33"/>
            <w:vAlign w:val="center"/>
          </w:tcPr>
          <w:p w14:paraId="2F3EBEC1" w14:textId="77777777" w:rsidR="005359AA" w:rsidRPr="005C5C45" w:rsidRDefault="005359AA" w:rsidP="0016175B">
            <w:pPr>
              <w:spacing w:line="360" w:lineRule="auto"/>
              <w:rPr>
                <w:b/>
                <w:szCs w:val="22"/>
              </w:rPr>
            </w:pPr>
            <w:r w:rsidRPr="005C5C45">
              <w:rPr>
                <w:b/>
                <w:szCs w:val="22"/>
              </w:rPr>
              <w:t>4. Multiple Channels</w:t>
            </w:r>
          </w:p>
        </w:tc>
      </w:tr>
      <w:tr w:rsidR="005359AA" w:rsidRPr="005C5C45" w14:paraId="3A670532" w14:textId="77777777" w:rsidTr="0016175B">
        <w:trPr>
          <w:trHeight w:val="271"/>
        </w:trPr>
        <w:tc>
          <w:tcPr>
            <w:tcW w:w="1155" w:type="dxa"/>
            <w:vMerge/>
            <w:shd w:val="clear" w:color="auto" w:fill="4BACC6" w:themeFill="accent5"/>
            <w:vAlign w:val="center"/>
          </w:tcPr>
          <w:p w14:paraId="59925C66" w14:textId="77777777" w:rsidR="005359AA" w:rsidRPr="005C5C45" w:rsidRDefault="005359AA" w:rsidP="0016175B">
            <w:pPr>
              <w:jc w:val="center"/>
              <w:rPr>
                <w:b/>
                <w:szCs w:val="22"/>
              </w:rPr>
            </w:pPr>
          </w:p>
        </w:tc>
        <w:tc>
          <w:tcPr>
            <w:tcW w:w="2828" w:type="dxa"/>
            <w:vMerge w:val="restart"/>
            <w:shd w:val="clear" w:color="auto" w:fill="auto"/>
            <w:vAlign w:val="center"/>
          </w:tcPr>
          <w:p w14:paraId="5EEF8B4C" w14:textId="77777777" w:rsidR="005359AA" w:rsidRPr="005C5C45" w:rsidRDefault="005359AA" w:rsidP="0016175B">
            <w:pPr>
              <w:pStyle w:val="Rowcolumntitles"/>
              <w:rPr>
                <w:sz w:val="20"/>
              </w:rPr>
            </w:pPr>
            <w:r w:rsidRPr="005C5C45">
              <w:rPr>
                <w:sz w:val="20"/>
              </w:rPr>
              <w:t>Government carried out awareness-raising activities</w:t>
            </w:r>
          </w:p>
        </w:tc>
        <w:tc>
          <w:tcPr>
            <w:tcW w:w="675" w:type="dxa"/>
            <w:gridSpan w:val="2"/>
            <w:shd w:val="clear" w:color="auto" w:fill="auto"/>
            <w:vAlign w:val="center"/>
          </w:tcPr>
          <w:p w14:paraId="26BFBF13" w14:textId="77777777" w:rsidR="005359AA" w:rsidRPr="005C5C45" w:rsidRDefault="005359AA" w:rsidP="0016175B">
            <w:pPr>
              <w:spacing w:line="360" w:lineRule="auto"/>
              <w:rPr>
                <w:sz w:val="20"/>
              </w:rPr>
            </w:pPr>
            <w:r w:rsidRPr="005C5C45">
              <w:rPr>
                <w:sz w:val="20"/>
              </w:rPr>
              <w:t>Yes</w:t>
            </w:r>
          </w:p>
        </w:tc>
        <w:tc>
          <w:tcPr>
            <w:tcW w:w="675" w:type="dxa"/>
            <w:shd w:val="clear" w:color="auto" w:fill="auto"/>
            <w:vAlign w:val="center"/>
          </w:tcPr>
          <w:p w14:paraId="2511F4ED" w14:textId="77777777" w:rsidR="005359AA" w:rsidRPr="005C5C45" w:rsidRDefault="005359AA" w:rsidP="0016175B">
            <w:pPr>
              <w:spacing w:line="360" w:lineRule="auto"/>
              <w:rPr>
                <w:sz w:val="20"/>
              </w:rPr>
            </w:pPr>
            <w:r w:rsidRPr="005C5C45">
              <w:rPr>
                <w:sz w:val="20"/>
              </w:rPr>
              <w:t>No</w:t>
            </w:r>
          </w:p>
        </w:tc>
        <w:tc>
          <w:tcPr>
            <w:tcW w:w="2520" w:type="dxa"/>
            <w:vMerge w:val="restart"/>
            <w:shd w:val="clear" w:color="auto" w:fill="auto"/>
            <w:vAlign w:val="center"/>
          </w:tcPr>
          <w:p w14:paraId="3CEDE457" w14:textId="77777777" w:rsidR="005359AA" w:rsidRPr="005C5C45" w:rsidRDefault="005359AA" w:rsidP="0016175B">
            <w:pPr>
              <w:spacing w:line="360" w:lineRule="auto"/>
              <w:rPr>
                <w:sz w:val="20"/>
              </w:rPr>
            </w:pPr>
            <w:r w:rsidRPr="005C5C45">
              <w:rPr>
                <w:sz w:val="20"/>
              </w:rPr>
              <w:t>4a. Online consultations</w:t>
            </w:r>
            <w:proofErr w:type="gramStart"/>
            <w:r w:rsidRPr="005C5C45">
              <w:rPr>
                <w:sz w:val="20"/>
              </w:rPr>
              <w:t xml:space="preserve">:      </w:t>
            </w:r>
            <w:proofErr w:type="gramEnd"/>
          </w:p>
        </w:tc>
        <w:tc>
          <w:tcPr>
            <w:tcW w:w="707" w:type="dxa"/>
            <w:shd w:val="clear" w:color="auto" w:fill="auto"/>
            <w:vAlign w:val="center"/>
          </w:tcPr>
          <w:p w14:paraId="0D5DB8F2" w14:textId="77777777" w:rsidR="005359AA" w:rsidRPr="005C5C45" w:rsidRDefault="005359AA" w:rsidP="0016175B">
            <w:pPr>
              <w:spacing w:line="360" w:lineRule="auto"/>
              <w:rPr>
                <w:sz w:val="20"/>
              </w:rPr>
            </w:pPr>
            <w:r w:rsidRPr="005C5C45">
              <w:rPr>
                <w:sz w:val="20"/>
              </w:rPr>
              <w:t>Yes</w:t>
            </w:r>
          </w:p>
        </w:tc>
        <w:tc>
          <w:tcPr>
            <w:tcW w:w="707" w:type="dxa"/>
            <w:gridSpan w:val="2"/>
            <w:shd w:val="clear" w:color="auto" w:fill="auto"/>
            <w:vAlign w:val="center"/>
          </w:tcPr>
          <w:p w14:paraId="5F8CDF7F" w14:textId="77777777" w:rsidR="005359AA" w:rsidRPr="005C5C45" w:rsidRDefault="005359AA" w:rsidP="0016175B">
            <w:pPr>
              <w:spacing w:line="360" w:lineRule="auto"/>
              <w:rPr>
                <w:sz w:val="20"/>
              </w:rPr>
            </w:pPr>
            <w:r w:rsidRPr="005C5C45">
              <w:rPr>
                <w:sz w:val="20"/>
              </w:rPr>
              <w:t>No</w:t>
            </w:r>
          </w:p>
        </w:tc>
      </w:tr>
      <w:tr w:rsidR="005359AA" w:rsidRPr="005C5C45" w14:paraId="46E7B2B8" w14:textId="77777777" w:rsidTr="00B55885">
        <w:trPr>
          <w:trHeight w:val="163"/>
        </w:trPr>
        <w:tc>
          <w:tcPr>
            <w:tcW w:w="1155" w:type="dxa"/>
            <w:vMerge/>
            <w:shd w:val="clear" w:color="auto" w:fill="4BACC6" w:themeFill="accent5"/>
            <w:vAlign w:val="center"/>
          </w:tcPr>
          <w:p w14:paraId="1D3F24E2" w14:textId="77777777" w:rsidR="005359AA" w:rsidRPr="005C5C45" w:rsidRDefault="005359AA" w:rsidP="0016175B">
            <w:pPr>
              <w:jc w:val="center"/>
              <w:rPr>
                <w:b/>
                <w:szCs w:val="22"/>
              </w:rPr>
            </w:pPr>
          </w:p>
        </w:tc>
        <w:tc>
          <w:tcPr>
            <w:tcW w:w="2828" w:type="dxa"/>
            <w:vMerge/>
            <w:shd w:val="clear" w:color="auto" w:fill="auto"/>
            <w:vAlign w:val="center"/>
          </w:tcPr>
          <w:p w14:paraId="1A76C427" w14:textId="77777777" w:rsidR="005359AA" w:rsidRPr="005C5C45" w:rsidRDefault="005359AA" w:rsidP="0016175B">
            <w:pPr>
              <w:spacing w:line="360" w:lineRule="auto"/>
              <w:rPr>
                <w:sz w:val="20"/>
              </w:rPr>
            </w:pPr>
          </w:p>
        </w:tc>
        <w:tc>
          <w:tcPr>
            <w:tcW w:w="675" w:type="dxa"/>
            <w:gridSpan w:val="2"/>
            <w:vMerge w:val="restart"/>
            <w:shd w:val="clear" w:color="auto" w:fill="auto"/>
            <w:vAlign w:val="center"/>
          </w:tcPr>
          <w:p w14:paraId="594FBBAC" w14:textId="77777777" w:rsidR="005359AA" w:rsidRPr="005C5C45" w:rsidRDefault="005359AA" w:rsidP="00B55885">
            <w:pPr>
              <w:spacing w:line="360" w:lineRule="auto"/>
              <w:jc w:val="center"/>
              <w:rPr>
                <w:sz w:val="20"/>
              </w:rPr>
            </w:pPr>
            <w:r w:rsidRPr="005C5C45">
              <w:rPr>
                <w:rFonts w:ascii="Zapf Dingbats" w:hAnsi="Zapf Dingbats"/>
                <w:noProof/>
                <w:color w:val="51A534" w:themeColor="accent2"/>
                <w:sz w:val="20"/>
              </w:rPr>
              <w:t>✔</w:t>
            </w:r>
          </w:p>
        </w:tc>
        <w:tc>
          <w:tcPr>
            <w:tcW w:w="675" w:type="dxa"/>
            <w:vMerge w:val="restart"/>
            <w:shd w:val="clear" w:color="auto" w:fill="auto"/>
            <w:vAlign w:val="center"/>
          </w:tcPr>
          <w:p w14:paraId="62DF9577" w14:textId="77777777" w:rsidR="005359AA" w:rsidRPr="005C5C45" w:rsidRDefault="005359AA" w:rsidP="00B55885">
            <w:pPr>
              <w:spacing w:line="360" w:lineRule="auto"/>
              <w:jc w:val="center"/>
              <w:rPr>
                <w:sz w:val="20"/>
              </w:rPr>
            </w:pPr>
          </w:p>
        </w:tc>
        <w:tc>
          <w:tcPr>
            <w:tcW w:w="2520" w:type="dxa"/>
            <w:vMerge/>
            <w:shd w:val="clear" w:color="auto" w:fill="auto"/>
            <w:vAlign w:val="center"/>
          </w:tcPr>
          <w:p w14:paraId="3675EA38" w14:textId="77777777" w:rsidR="005359AA" w:rsidRPr="005C5C45" w:rsidRDefault="005359AA" w:rsidP="0016175B">
            <w:pPr>
              <w:spacing w:line="360" w:lineRule="auto"/>
              <w:rPr>
                <w:sz w:val="20"/>
              </w:rPr>
            </w:pPr>
          </w:p>
        </w:tc>
        <w:tc>
          <w:tcPr>
            <w:tcW w:w="707" w:type="dxa"/>
            <w:shd w:val="clear" w:color="auto" w:fill="auto"/>
            <w:vAlign w:val="center"/>
          </w:tcPr>
          <w:p w14:paraId="64A74713" w14:textId="77777777" w:rsidR="005359AA" w:rsidRPr="005C5C45" w:rsidRDefault="005359AA" w:rsidP="00B55885">
            <w:pPr>
              <w:spacing w:line="360" w:lineRule="auto"/>
              <w:jc w:val="center"/>
              <w:rPr>
                <w:sz w:val="20"/>
              </w:rPr>
            </w:pPr>
            <w:r w:rsidRPr="005C5C45">
              <w:rPr>
                <w:rFonts w:ascii="Zapf Dingbats" w:hAnsi="Zapf Dingbats"/>
                <w:noProof/>
                <w:color w:val="51A534" w:themeColor="accent2"/>
                <w:sz w:val="20"/>
              </w:rPr>
              <w:t>✔</w:t>
            </w:r>
          </w:p>
        </w:tc>
        <w:tc>
          <w:tcPr>
            <w:tcW w:w="707" w:type="dxa"/>
            <w:gridSpan w:val="2"/>
            <w:shd w:val="clear" w:color="auto" w:fill="auto"/>
            <w:vAlign w:val="center"/>
          </w:tcPr>
          <w:p w14:paraId="005E90DA" w14:textId="77777777" w:rsidR="005359AA" w:rsidRPr="005C5C45" w:rsidRDefault="005359AA" w:rsidP="00B55885">
            <w:pPr>
              <w:spacing w:line="360" w:lineRule="auto"/>
              <w:jc w:val="center"/>
              <w:rPr>
                <w:sz w:val="20"/>
              </w:rPr>
            </w:pPr>
          </w:p>
        </w:tc>
      </w:tr>
      <w:tr w:rsidR="005359AA" w:rsidRPr="005C5C45" w14:paraId="12A3545A" w14:textId="77777777" w:rsidTr="0016175B">
        <w:trPr>
          <w:trHeight w:val="172"/>
        </w:trPr>
        <w:tc>
          <w:tcPr>
            <w:tcW w:w="1155" w:type="dxa"/>
            <w:vMerge/>
            <w:shd w:val="clear" w:color="auto" w:fill="4BACC6" w:themeFill="accent5"/>
            <w:vAlign w:val="center"/>
          </w:tcPr>
          <w:p w14:paraId="41C0072D" w14:textId="77777777" w:rsidR="005359AA" w:rsidRPr="005C5C45" w:rsidRDefault="005359AA" w:rsidP="0016175B">
            <w:pPr>
              <w:jc w:val="center"/>
              <w:rPr>
                <w:b/>
                <w:szCs w:val="22"/>
              </w:rPr>
            </w:pPr>
          </w:p>
        </w:tc>
        <w:tc>
          <w:tcPr>
            <w:tcW w:w="2828" w:type="dxa"/>
            <w:vMerge/>
            <w:shd w:val="clear" w:color="auto" w:fill="auto"/>
            <w:vAlign w:val="center"/>
          </w:tcPr>
          <w:p w14:paraId="7EE01266" w14:textId="77777777" w:rsidR="005359AA" w:rsidRPr="005C5C45" w:rsidRDefault="005359AA" w:rsidP="0016175B">
            <w:pPr>
              <w:spacing w:line="360" w:lineRule="auto"/>
              <w:rPr>
                <w:sz w:val="20"/>
              </w:rPr>
            </w:pPr>
          </w:p>
        </w:tc>
        <w:tc>
          <w:tcPr>
            <w:tcW w:w="675" w:type="dxa"/>
            <w:gridSpan w:val="2"/>
            <w:vMerge/>
            <w:shd w:val="clear" w:color="auto" w:fill="auto"/>
            <w:vAlign w:val="center"/>
          </w:tcPr>
          <w:p w14:paraId="752ED713" w14:textId="77777777" w:rsidR="005359AA" w:rsidRPr="005C5C45" w:rsidRDefault="005359AA" w:rsidP="0016175B">
            <w:pPr>
              <w:spacing w:line="360" w:lineRule="auto"/>
              <w:rPr>
                <w:sz w:val="20"/>
              </w:rPr>
            </w:pPr>
          </w:p>
        </w:tc>
        <w:tc>
          <w:tcPr>
            <w:tcW w:w="675" w:type="dxa"/>
            <w:vMerge/>
            <w:shd w:val="clear" w:color="auto" w:fill="auto"/>
            <w:vAlign w:val="center"/>
          </w:tcPr>
          <w:p w14:paraId="20FDF634" w14:textId="77777777" w:rsidR="005359AA" w:rsidRPr="005C5C45" w:rsidRDefault="005359AA" w:rsidP="0016175B">
            <w:pPr>
              <w:spacing w:line="360" w:lineRule="auto"/>
              <w:rPr>
                <w:sz w:val="20"/>
              </w:rPr>
            </w:pPr>
          </w:p>
        </w:tc>
        <w:tc>
          <w:tcPr>
            <w:tcW w:w="2520" w:type="dxa"/>
            <w:vMerge w:val="restart"/>
            <w:shd w:val="clear" w:color="auto" w:fill="auto"/>
            <w:vAlign w:val="center"/>
          </w:tcPr>
          <w:p w14:paraId="49DAFDEF" w14:textId="77777777" w:rsidR="005359AA" w:rsidRPr="005C5C45" w:rsidRDefault="005359AA" w:rsidP="0016175B">
            <w:pPr>
              <w:spacing w:line="360" w:lineRule="auto"/>
              <w:rPr>
                <w:sz w:val="20"/>
              </w:rPr>
            </w:pPr>
            <w:r w:rsidRPr="005C5C45">
              <w:rPr>
                <w:sz w:val="20"/>
              </w:rPr>
              <w:t>4b. In-person consultations:</w:t>
            </w:r>
          </w:p>
        </w:tc>
        <w:tc>
          <w:tcPr>
            <w:tcW w:w="707" w:type="dxa"/>
            <w:shd w:val="clear" w:color="auto" w:fill="auto"/>
            <w:vAlign w:val="center"/>
          </w:tcPr>
          <w:p w14:paraId="714C99E1" w14:textId="77777777" w:rsidR="005359AA" w:rsidRPr="005C5C45" w:rsidRDefault="005359AA" w:rsidP="0016175B">
            <w:pPr>
              <w:spacing w:line="360" w:lineRule="auto"/>
              <w:rPr>
                <w:color w:val="auto"/>
                <w:sz w:val="20"/>
              </w:rPr>
            </w:pPr>
            <w:r w:rsidRPr="005C5C45">
              <w:rPr>
                <w:color w:val="auto"/>
                <w:sz w:val="20"/>
              </w:rPr>
              <w:t>Yes</w:t>
            </w:r>
          </w:p>
        </w:tc>
        <w:tc>
          <w:tcPr>
            <w:tcW w:w="707" w:type="dxa"/>
            <w:gridSpan w:val="2"/>
            <w:shd w:val="clear" w:color="auto" w:fill="auto"/>
            <w:vAlign w:val="center"/>
          </w:tcPr>
          <w:p w14:paraId="22B847B3" w14:textId="77777777" w:rsidR="005359AA" w:rsidRPr="005C5C45" w:rsidRDefault="005359AA" w:rsidP="0016175B">
            <w:pPr>
              <w:spacing w:line="360" w:lineRule="auto"/>
              <w:rPr>
                <w:color w:val="auto"/>
                <w:sz w:val="20"/>
              </w:rPr>
            </w:pPr>
            <w:r w:rsidRPr="005C5C45">
              <w:rPr>
                <w:color w:val="auto"/>
                <w:sz w:val="20"/>
              </w:rPr>
              <w:t>No</w:t>
            </w:r>
          </w:p>
        </w:tc>
      </w:tr>
      <w:tr w:rsidR="005359AA" w:rsidRPr="005C5C45" w14:paraId="449FB70C" w14:textId="77777777" w:rsidTr="00B55885">
        <w:trPr>
          <w:trHeight w:val="163"/>
        </w:trPr>
        <w:tc>
          <w:tcPr>
            <w:tcW w:w="1155" w:type="dxa"/>
            <w:vMerge/>
            <w:shd w:val="clear" w:color="auto" w:fill="4BACC6" w:themeFill="accent5"/>
            <w:vAlign w:val="center"/>
          </w:tcPr>
          <w:p w14:paraId="1EE7CEA0" w14:textId="77777777" w:rsidR="005359AA" w:rsidRPr="005C5C45" w:rsidRDefault="005359AA" w:rsidP="0016175B">
            <w:pPr>
              <w:jc w:val="center"/>
              <w:rPr>
                <w:b/>
                <w:szCs w:val="22"/>
              </w:rPr>
            </w:pPr>
          </w:p>
        </w:tc>
        <w:tc>
          <w:tcPr>
            <w:tcW w:w="2828" w:type="dxa"/>
            <w:vMerge/>
            <w:shd w:val="clear" w:color="auto" w:fill="auto"/>
            <w:vAlign w:val="center"/>
          </w:tcPr>
          <w:p w14:paraId="3DEE8001" w14:textId="77777777" w:rsidR="005359AA" w:rsidRPr="005C5C45" w:rsidRDefault="005359AA" w:rsidP="0016175B">
            <w:pPr>
              <w:spacing w:line="360" w:lineRule="auto"/>
              <w:rPr>
                <w:sz w:val="20"/>
              </w:rPr>
            </w:pPr>
          </w:p>
        </w:tc>
        <w:tc>
          <w:tcPr>
            <w:tcW w:w="675" w:type="dxa"/>
            <w:gridSpan w:val="2"/>
            <w:vMerge/>
            <w:shd w:val="clear" w:color="auto" w:fill="auto"/>
            <w:vAlign w:val="center"/>
          </w:tcPr>
          <w:p w14:paraId="01B182D4" w14:textId="77777777" w:rsidR="005359AA" w:rsidRPr="005C5C45" w:rsidRDefault="005359AA" w:rsidP="0016175B">
            <w:pPr>
              <w:spacing w:line="360" w:lineRule="auto"/>
              <w:rPr>
                <w:sz w:val="20"/>
              </w:rPr>
            </w:pPr>
          </w:p>
        </w:tc>
        <w:tc>
          <w:tcPr>
            <w:tcW w:w="675" w:type="dxa"/>
            <w:vMerge/>
            <w:shd w:val="clear" w:color="auto" w:fill="auto"/>
            <w:vAlign w:val="center"/>
          </w:tcPr>
          <w:p w14:paraId="11F4B80A" w14:textId="77777777" w:rsidR="005359AA" w:rsidRPr="005C5C45" w:rsidRDefault="005359AA" w:rsidP="0016175B">
            <w:pPr>
              <w:spacing w:line="360" w:lineRule="auto"/>
              <w:rPr>
                <w:sz w:val="20"/>
              </w:rPr>
            </w:pPr>
          </w:p>
        </w:tc>
        <w:tc>
          <w:tcPr>
            <w:tcW w:w="2520" w:type="dxa"/>
            <w:vMerge/>
            <w:shd w:val="clear" w:color="auto" w:fill="auto"/>
          </w:tcPr>
          <w:p w14:paraId="744513E0" w14:textId="77777777" w:rsidR="005359AA" w:rsidRPr="005C5C45" w:rsidRDefault="005359AA" w:rsidP="0016175B">
            <w:pPr>
              <w:spacing w:line="360" w:lineRule="auto"/>
              <w:rPr>
                <w:sz w:val="20"/>
              </w:rPr>
            </w:pPr>
          </w:p>
        </w:tc>
        <w:tc>
          <w:tcPr>
            <w:tcW w:w="707" w:type="dxa"/>
            <w:shd w:val="clear" w:color="auto" w:fill="auto"/>
            <w:vAlign w:val="center"/>
          </w:tcPr>
          <w:p w14:paraId="19186AB8" w14:textId="77777777" w:rsidR="005359AA" w:rsidRPr="005C5C45" w:rsidRDefault="005359AA" w:rsidP="00B55885">
            <w:pPr>
              <w:spacing w:line="360" w:lineRule="auto"/>
              <w:jc w:val="center"/>
              <w:rPr>
                <w:sz w:val="20"/>
              </w:rPr>
            </w:pPr>
            <w:r w:rsidRPr="005C5C45">
              <w:rPr>
                <w:rFonts w:ascii="Zapf Dingbats" w:hAnsi="Zapf Dingbats"/>
                <w:noProof/>
                <w:color w:val="51A534" w:themeColor="accent2"/>
                <w:sz w:val="20"/>
              </w:rPr>
              <w:t>✔</w:t>
            </w:r>
          </w:p>
        </w:tc>
        <w:tc>
          <w:tcPr>
            <w:tcW w:w="707" w:type="dxa"/>
            <w:gridSpan w:val="2"/>
            <w:shd w:val="clear" w:color="auto" w:fill="auto"/>
            <w:vAlign w:val="center"/>
          </w:tcPr>
          <w:p w14:paraId="58C2CF83" w14:textId="77777777" w:rsidR="005359AA" w:rsidRPr="005C5C45" w:rsidRDefault="005359AA" w:rsidP="00B55885">
            <w:pPr>
              <w:spacing w:line="360" w:lineRule="auto"/>
              <w:jc w:val="center"/>
              <w:rPr>
                <w:sz w:val="20"/>
              </w:rPr>
            </w:pPr>
          </w:p>
        </w:tc>
      </w:tr>
      <w:tr w:rsidR="005359AA" w:rsidRPr="005C5C45" w14:paraId="55839B11" w14:textId="77777777" w:rsidTr="0016175B">
        <w:trPr>
          <w:trHeight w:val="163"/>
        </w:trPr>
        <w:tc>
          <w:tcPr>
            <w:tcW w:w="1155" w:type="dxa"/>
            <w:vMerge/>
            <w:shd w:val="clear" w:color="auto" w:fill="4BACC6" w:themeFill="accent5"/>
            <w:vAlign w:val="center"/>
          </w:tcPr>
          <w:p w14:paraId="3E3E14C3" w14:textId="77777777" w:rsidR="005359AA" w:rsidRPr="005C5C45" w:rsidRDefault="005359AA" w:rsidP="0016175B">
            <w:pPr>
              <w:jc w:val="center"/>
              <w:rPr>
                <w:b/>
                <w:szCs w:val="22"/>
              </w:rPr>
            </w:pPr>
          </w:p>
        </w:tc>
        <w:tc>
          <w:tcPr>
            <w:tcW w:w="8112" w:type="dxa"/>
            <w:gridSpan w:val="8"/>
            <w:shd w:val="clear" w:color="auto" w:fill="DAEEF3" w:themeFill="accent5" w:themeFillTint="33"/>
            <w:vAlign w:val="center"/>
          </w:tcPr>
          <w:p w14:paraId="6EAF48AA" w14:textId="77777777" w:rsidR="005359AA" w:rsidRPr="005C5C45" w:rsidRDefault="005359AA" w:rsidP="0016175B">
            <w:pPr>
              <w:spacing w:line="360" w:lineRule="auto"/>
              <w:rPr>
                <w:b/>
                <w:szCs w:val="22"/>
              </w:rPr>
            </w:pPr>
            <w:r w:rsidRPr="005C5C45">
              <w:rPr>
                <w:b/>
                <w:szCs w:val="22"/>
              </w:rPr>
              <w:t>5. Documentation &amp; Feedback</w:t>
            </w:r>
          </w:p>
        </w:tc>
      </w:tr>
      <w:tr w:rsidR="005359AA" w:rsidRPr="005C5C45" w14:paraId="403E59B9" w14:textId="77777777" w:rsidTr="0016175B">
        <w:trPr>
          <w:trHeight w:val="226"/>
        </w:trPr>
        <w:tc>
          <w:tcPr>
            <w:tcW w:w="1155" w:type="dxa"/>
            <w:vMerge/>
            <w:shd w:val="clear" w:color="auto" w:fill="4BACC6" w:themeFill="accent5"/>
            <w:vAlign w:val="center"/>
          </w:tcPr>
          <w:p w14:paraId="34E0B803" w14:textId="77777777" w:rsidR="005359AA" w:rsidRPr="005C5C45" w:rsidRDefault="005359AA" w:rsidP="0016175B">
            <w:pPr>
              <w:jc w:val="center"/>
              <w:rPr>
                <w:b/>
                <w:szCs w:val="22"/>
              </w:rPr>
            </w:pPr>
          </w:p>
        </w:tc>
        <w:tc>
          <w:tcPr>
            <w:tcW w:w="6698" w:type="dxa"/>
            <w:gridSpan w:val="5"/>
            <w:vMerge w:val="restart"/>
            <w:vAlign w:val="center"/>
          </w:tcPr>
          <w:p w14:paraId="2C0026F4" w14:textId="77777777" w:rsidR="005359AA" w:rsidRPr="005C5C45" w:rsidRDefault="005359AA" w:rsidP="0016175B">
            <w:pPr>
              <w:spacing w:line="360" w:lineRule="auto"/>
              <w:rPr>
                <w:sz w:val="20"/>
              </w:rPr>
            </w:pPr>
            <w:r w:rsidRPr="005C5C45">
              <w:rPr>
                <w:sz w:val="20"/>
              </w:rPr>
              <w:t>Summary of comments provided</w:t>
            </w:r>
          </w:p>
        </w:tc>
        <w:tc>
          <w:tcPr>
            <w:tcW w:w="707" w:type="dxa"/>
            <w:vAlign w:val="center"/>
          </w:tcPr>
          <w:p w14:paraId="1CE32CA5" w14:textId="77777777" w:rsidR="005359AA" w:rsidRPr="005C5C45" w:rsidRDefault="005359AA" w:rsidP="0016175B">
            <w:pPr>
              <w:spacing w:line="360" w:lineRule="auto"/>
              <w:rPr>
                <w:sz w:val="20"/>
              </w:rPr>
            </w:pPr>
            <w:r w:rsidRPr="005C5C45">
              <w:rPr>
                <w:sz w:val="20"/>
              </w:rPr>
              <w:t>Yes</w:t>
            </w:r>
          </w:p>
        </w:tc>
        <w:tc>
          <w:tcPr>
            <w:tcW w:w="707" w:type="dxa"/>
            <w:gridSpan w:val="2"/>
            <w:vAlign w:val="center"/>
          </w:tcPr>
          <w:p w14:paraId="52346CCA" w14:textId="77777777" w:rsidR="005359AA" w:rsidRPr="005C5C45" w:rsidRDefault="005359AA" w:rsidP="0016175B">
            <w:pPr>
              <w:spacing w:line="360" w:lineRule="auto"/>
              <w:rPr>
                <w:sz w:val="20"/>
              </w:rPr>
            </w:pPr>
            <w:r w:rsidRPr="005C5C45">
              <w:rPr>
                <w:sz w:val="20"/>
              </w:rPr>
              <w:t>No</w:t>
            </w:r>
          </w:p>
        </w:tc>
      </w:tr>
      <w:tr w:rsidR="005359AA" w:rsidRPr="005C5C45" w14:paraId="73D50AA4" w14:textId="77777777" w:rsidTr="00B55885">
        <w:trPr>
          <w:trHeight w:val="181"/>
        </w:trPr>
        <w:tc>
          <w:tcPr>
            <w:tcW w:w="1155" w:type="dxa"/>
            <w:vMerge/>
            <w:shd w:val="clear" w:color="auto" w:fill="4BACC6" w:themeFill="accent5"/>
            <w:vAlign w:val="center"/>
          </w:tcPr>
          <w:p w14:paraId="3304EDF7" w14:textId="77777777" w:rsidR="005359AA" w:rsidRPr="005C5C45" w:rsidRDefault="005359AA" w:rsidP="0016175B">
            <w:pPr>
              <w:jc w:val="center"/>
              <w:rPr>
                <w:b/>
                <w:szCs w:val="22"/>
              </w:rPr>
            </w:pPr>
          </w:p>
        </w:tc>
        <w:tc>
          <w:tcPr>
            <w:tcW w:w="6698" w:type="dxa"/>
            <w:gridSpan w:val="5"/>
            <w:vMerge/>
            <w:vAlign w:val="center"/>
          </w:tcPr>
          <w:p w14:paraId="5F29FBD0" w14:textId="77777777" w:rsidR="005359AA" w:rsidRPr="005C5C45" w:rsidRDefault="005359AA" w:rsidP="0016175B">
            <w:pPr>
              <w:spacing w:line="360" w:lineRule="auto"/>
              <w:rPr>
                <w:sz w:val="20"/>
              </w:rPr>
            </w:pPr>
          </w:p>
        </w:tc>
        <w:tc>
          <w:tcPr>
            <w:tcW w:w="707" w:type="dxa"/>
            <w:vAlign w:val="center"/>
          </w:tcPr>
          <w:p w14:paraId="68AE47A8" w14:textId="77777777" w:rsidR="005359AA" w:rsidRPr="005C5C45" w:rsidRDefault="005359AA" w:rsidP="00B55885">
            <w:pPr>
              <w:spacing w:line="360" w:lineRule="auto"/>
              <w:jc w:val="center"/>
              <w:rPr>
                <w:sz w:val="20"/>
              </w:rPr>
            </w:pPr>
            <w:r w:rsidRPr="005C5C45">
              <w:rPr>
                <w:rFonts w:ascii="Zapf Dingbats" w:hAnsi="Zapf Dingbats"/>
                <w:noProof/>
                <w:color w:val="51A534" w:themeColor="accent2"/>
                <w:sz w:val="20"/>
              </w:rPr>
              <w:t>✔</w:t>
            </w:r>
          </w:p>
        </w:tc>
        <w:tc>
          <w:tcPr>
            <w:tcW w:w="707" w:type="dxa"/>
            <w:gridSpan w:val="2"/>
            <w:vAlign w:val="center"/>
          </w:tcPr>
          <w:p w14:paraId="00FFE3DB" w14:textId="77777777" w:rsidR="005359AA" w:rsidRPr="005C5C45" w:rsidRDefault="005359AA" w:rsidP="00B55885">
            <w:pPr>
              <w:spacing w:line="360" w:lineRule="auto"/>
              <w:jc w:val="center"/>
              <w:rPr>
                <w:sz w:val="20"/>
              </w:rPr>
            </w:pPr>
          </w:p>
        </w:tc>
      </w:tr>
      <w:tr w:rsidR="005359AA" w:rsidRPr="005C5C45" w14:paraId="2A86D346" w14:textId="77777777" w:rsidTr="0016175B">
        <w:trPr>
          <w:trHeight w:val="413"/>
        </w:trPr>
        <w:tc>
          <w:tcPr>
            <w:tcW w:w="1155" w:type="dxa"/>
            <w:vMerge w:val="restart"/>
            <w:shd w:val="clear" w:color="auto" w:fill="90D479" w:themeFill="accent2" w:themeFillTint="99"/>
            <w:vAlign w:val="center"/>
          </w:tcPr>
          <w:p w14:paraId="4F063DB9" w14:textId="77777777" w:rsidR="005359AA" w:rsidRPr="005C5C45" w:rsidRDefault="005359AA" w:rsidP="0016175B">
            <w:pPr>
              <w:jc w:val="center"/>
              <w:rPr>
                <w:b/>
                <w:szCs w:val="22"/>
              </w:rPr>
            </w:pPr>
            <w:r w:rsidRPr="005C5C45">
              <w:rPr>
                <w:b/>
                <w:szCs w:val="22"/>
              </w:rPr>
              <w:t>During</w:t>
            </w:r>
          </w:p>
        </w:tc>
        <w:tc>
          <w:tcPr>
            <w:tcW w:w="8112" w:type="dxa"/>
            <w:gridSpan w:val="8"/>
            <w:shd w:val="clear" w:color="auto" w:fill="DAF1D2" w:themeFill="accent2" w:themeFillTint="33"/>
            <w:vAlign w:val="center"/>
          </w:tcPr>
          <w:p w14:paraId="3D7AC93C" w14:textId="5CEFCB80" w:rsidR="005359AA" w:rsidRPr="005C5C45" w:rsidRDefault="005359AA" w:rsidP="0016175B">
            <w:pPr>
              <w:spacing w:line="360" w:lineRule="auto"/>
              <w:rPr>
                <w:b/>
                <w:szCs w:val="22"/>
              </w:rPr>
            </w:pPr>
            <w:r w:rsidRPr="005C5C45">
              <w:rPr>
                <w:b/>
                <w:szCs w:val="22"/>
              </w:rPr>
              <w:t>6. Regular Multi</w:t>
            </w:r>
            <w:r w:rsidR="00B55885">
              <w:rPr>
                <w:b/>
                <w:szCs w:val="22"/>
              </w:rPr>
              <w:t>-S</w:t>
            </w:r>
            <w:r w:rsidRPr="005C5C45">
              <w:rPr>
                <w:b/>
                <w:szCs w:val="22"/>
              </w:rPr>
              <w:t>takeholder Forum</w:t>
            </w:r>
          </w:p>
        </w:tc>
      </w:tr>
      <w:tr w:rsidR="005359AA" w:rsidRPr="005C5C45" w14:paraId="0353DA36" w14:textId="77777777" w:rsidTr="0016175B">
        <w:trPr>
          <w:trHeight w:val="73"/>
        </w:trPr>
        <w:tc>
          <w:tcPr>
            <w:tcW w:w="1155" w:type="dxa"/>
            <w:vMerge/>
            <w:shd w:val="clear" w:color="auto" w:fill="90D479" w:themeFill="accent2" w:themeFillTint="99"/>
            <w:vAlign w:val="center"/>
          </w:tcPr>
          <w:p w14:paraId="1163DB0E" w14:textId="77777777" w:rsidR="005359AA" w:rsidRPr="005C5C45" w:rsidRDefault="005359AA" w:rsidP="0016175B">
            <w:pPr>
              <w:jc w:val="center"/>
              <w:rPr>
                <w:b/>
                <w:szCs w:val="22"/>
              </w:rPr>
            </w:pPr>
          </w:p>
        </w:tc>
        <w:tc>
          <w:tcPr>
            <w:tcW w:w="2828" w:type="dxa"/>
            <w:vMerge w:val="restart"/>
            <w:vAlign w:val="center"/>
          </w:tcPr>
          <w:p w14:paraId="3ED76B86" w14:textId="77777777" w:rsidR="005359AA" w:rsidRPr="005C5C45" w:rsidRDefault="005359AA" w:rsidP="0016175B">
            <w:pPr>
              <w:spacing w:line="360" w:lineRule="auto"/>
              <w:rPr>
                <w:sz w:val="20"/>
              </w:rPr>
            </w:pPr>
            <w:r w:rsidRPr="005C5C45">
              <w:rPr>
                <w:sz w:val="20"/>
              </w:rPr>
              <w:t>6a. Did a forum exist?</w:t>
            </w:r>
            <w:r w:rsidRPr="005C5C45">
              <w:rPr>
                <w:rStyle w:val="EndnoteReference"/>
                <w:sz w:val="20"/>
              </w:rPr>
              <w:endnoteReference w:id="57"/>
            </w:r>
            <w:r w:rsidRPr="005C5C45">
              <w:rPr>
                <w:sz w:val="20"/>
              </w:rPr>
              <w:t xml:space="preserve"> </w:t>
            </w:r>
          </w:p>
        </w:tc>
        <w:tc>
          <w:tcPr>
            <w:tcW w:w="630" w:type="dxa"/>
            <w:vAlign w:val="center"/>
          </w:tcPr>
          <w:p w14:paraId="6944B970" w14:textId="77777777" w:rsidR="005359AA" w:rsidRPr="005C5C45" w:rsidRDefault="005359AA" w:rsidP="0016175B">
            <w:pPr>
              <w:spacing w:line="360" w:lineRule="auto"/>
              <w:jc w:val="center"/>
              <w:rPr>
                <w:sz w:val="20"/>
              </w:rPr>
            </w:pPr>
            <w:r w:rsidRPr="005C5C45">
              <w:rPr>
                <w:sz w:val="20"/>
              </w:rPr>
              <w:t>Yes</w:t>
            </w:r>
          </w:p>
        </w:tc>
        <w:tc>
          <w:tcPr>
            <w:tcW w:w="720" w:type="dxa"/>
            <w:gridSpan w:val="2"/>
            <w:vAlign w:val="center"/>
          </w:tcPr>
          <w:p w14:paraId="0C8ADBA7" w14:textId="77777777" w:rsidR="005359AA" w:rsidRPr="005C5C45" w:rsidRDefault="005359AA" w:rsidP="0016175B">
            <w:pPr>
              <w:spacing w:line="360" w:lineRule="auto"/>
              <w:jc w:val="center"/>
              <w:rPr>
                <w:sz w:val="20"/>
              </w:rPr>
            </w:pPr>
            <w:r w:rsidRPr="005C5C45">
              <w:rPr>
                <w:sz w:val="20"/>
              </w:rPr>
              <w:t>No</w:t>
            </w:r>
          </w:p>
        </w:tc>
        <w:tc>
          <w:tcPr>
            <w:tcW w:w="2520" w:type="dxa"/>
            <w:vMerge w:val="restart"/>
            <w:vAlign w:val="center"/>
          </w:tcPr>
          <w:p w14:paraId="4619409A" w14:textId="77777777" w:rsidR="005359AA" w:rsidRPr="005C5C45" w:rsidRDefault="005359AA" w:rsidP="0016175B">
            <w:pPr>
              <w:spacing w:line="360" w:lineRule="auto"/>
              <w:rPr>
                <w:sz w:val="20"/>
              </w:rPr>
            </w:pPr>
            <w:r w:rsidRPr="005C5C45">
              <w:rPr>
                <w:sz w:val="20"/>
              </w:rPr>
              <w:t xml:space="preserve">6b. Did it meet regularly?           </w:t>
            </w:r>
          </w:p>
        </w:tc>
        <w:tc>
          <w:tcPr>
            <w:tcW w:w="720" w:type="dxa"/>
            <w:gridSpan w:val="2"/>
            <w:vAlign w:val="center"/>
          </w:tcPr>
          <w:p w14:paraId="51D030DB" w14:textId="77777777" w:rsidR="005359AA" w:rsidRPr="005C5C45" w:rsidRDefault="005359AA" w:rsidP="0016175B">
            <w:pPr>
              <w:spacing w:line="360" w:lineRule="auto"/>
              <w:jc w:val="center"/>
              <w:rPr>
                <w:sz w:val="20"/>
              </w:rPr>
            </w:pPr>
            <w:r w:rsidRPr="005C5C45">
              <w:rPr>
                <w:sz w:val="20"/>
              </w:rPr>
              <w:t>Yes</w:t>
            </w:r>
          </w:p>
        </w:tc>
        <w:tc>
          <w:tcPr>
            <w:tcW w:w="694" w:type="dxa"/>
            <w:vAlign w:val="center"/>
          </w:tcPr>
          <w:p w14:paraId="3AEF2464" w14:textId="77777777" w:rsidR="005359AA" w:rsidRPr="005C5C45" w:rsidRDefault="005359AA" w:rsidP="0016175B">
            <w:pPr>
              <w:spacing w:line="360" w:lineRule="auto"/>
              <w:jc w:val="center"/>
              <w:rPr>
                <w:sz w:val="20"/>
              </w:rPr>
            </w:pPr>
            <w:r w:rsidRPr="005C5C45">
              <w:rPr>
                <w:sz w:val="20"/>
              </w:rPr>
              <w:t>No</w:t>
            </w:r>
          </w:p>
        </w:tc>
      </w:tr>
      <w:tr w:rsidR="005359AA" w:rsidRPr="005C5C45" w14:paraId="7EAF5ACE" w14:textId="77777777" w:rsidTr="00B55885">
        <w:trPr>
          <w:trHeight w:val="269"/>
        </w:trPr>
        <w:tc>
          <w:tcPr>
            <w:tcW w:w="1155" w:type="dxa"/>
            <w:vMerge/>
            <w:shd w:val="clear" w:color="auto" w:fill="90D479" w:themeFill="accent2" w:themeFillTint="99"/>
            <w:vAlign w:val="center"/>
          </w:tcPr>
          <w:p w14:paraId="42E700D7" w14:textId="77777777" w:rsidR="005359AA" w:rsidRPr="005C5C45" w:rsidRDefault="005359AA" w:rsidP="0016175B">
            <w:pPr>
              <w:jc w:val="center"/>
              <w:rPr>
                <w:b/>
                <w:szCs w:val="22"/>
              </w:rPr>
            </w:pPr>
          </w:p>
        </w:tc>
        <w:tc>
          <w:tcPr>
            <w:tcW w:w="2828" w:type="dxa"/>
            <w:vMerge/>
          </w:tcPr>
          <w:p w14:paraId="33180CEE" w14:textId="77777777" w:rsidR="005359AA" w:rsidRPr="005C5C45" w:rsidRDefault="005359AA" w:rsidP="0016175B">
            <w:pPr>
              <w:spacing w:line="360" w:lineRule="auto"/>
              <w:rPr>
                <w:sz w:val="20"/>
              </w:rPr>
            </w:pPr>
          </w:p>
        </w:tc>
        <w:tc>
          <w:tcPr>
            <w:tcW w:w="630" w:type="dxa"/>
            <w:vAlign w:val="center"/>
          </w:tcPr>
          <w:p w14:paraId="3CB4C241" w14:textId="77777777" w:rsidR="005359AA" w:rsidRPr="005C5C45" w:rsidRDefault="005359AA" w:rsidP="00B55885">
            <w:pPr>
              <w:spacing w:line="360" w:lineRule="auto"/>
              <w:jc w:val="center"/>
              <w:rPr>
                <w:sz w:val="20"/>
              </w:rPr>
            </w:pPr>
            <w:r w:rsidRPr="005C5C45">
              <w:rPr>
                <w:rFonts w:ascii="Zapf Dingbats" w:hAnsi="Zapf Dingbats"/>
                <w:noProof/>
                <w:color w:val="51A534" w:themeColor="accent2"/>
                <w:sz w:val="20"/>
              </w:rPr>
              <w:t>✔</w:t>
            </w:r>
          </w:p>
        </w:tc>
        <w:tc>
          <w:tcPr>
            <w:tcW w:w="720" w:type="dxa"/>
            <w:gridSpan w:val="2"/>
            <w:vAlign w:val="center"/>
          </w:tcPr>
          <w:p w14:paraId="7D8D0F80" w14:textId="77777777" w:rsidR="005359AA" w:rsidRPr="005C5C45" w:rsidRDefault="005359AA" w:rsidP="00B55885">
            <w:pPr>
              <w:spacing w:line="360" w:lineRule="auto"/>
              <w:jc w:val="center"/>
              <w:rPr>
                <w:sz w:val="20"/>
              </w:rPr>
            </w:pPr>
          </w:p>
        </w:tc>
        <w:tc>
          <w:tcPr>
            <w:tcW w:w="2520" w:type="dxa"/>
            <w:vMerge/>
          </w:tcPr>
          <w:p w14:paraId="2798A42D" w14:textId="77777777" w:rsidR="005359AA" w:rsidRPr="005C5C45" w:rsidRDefault="005359AA" w:rsidP="0016175B">
            <w:pPr>
              <w:spacing w:line="360" w:lineRule="auto"/>
              <w:rPr>
                <w:sz w:val="20"/>
              </w:rPr>
            </w:pPr>
          </w:p>
        </w:tc>
        <w:tc>
          <w:tcPr>
            <w:tcW w:w="720" w:type="dxa"/>
            <w:gridSpan w:val="2"/>
            <w:vAlign w:val="center"/>
          </w:tcPr>
          <w:p w14:paraId="25DF23CC" w14:textId="77777777" w:rsidR="005359AA" w:rsidRPr="005C5C45" w:rsidRDefault="005359AA" w:rsidP="00B55885">
            <w:pPr>
              <w:spacing w:line="360" w:lineRule="auto"/>
              <w:jc w:val="center"/>
              <w:rPr>
                <w:sz w:val="20"/>
              </w:rPr>
            </w:pPr>
            <w:r w:rsidRPr="005C5C45">
              <w:rPr>
                <w:rFonts w:ascii="Zapf Dingbats" w:hAnsi="Zapf Dingbats"/>
                <w:noProof/>
                <w:color w:val="51A534" w:themeColor="accent2"/>
                <w:sz w:val="20"/>
              </w:rPr>
              <w:t>✔</w:t>
            </w:r>
          </w:p>
        </w:tc>
        <w:tc>
          <w:tcPr>
            <w:tcW w:w="694" w:type="dxa"/>
            <w:vAlign w:val="center"/>
          </w:tcPr>
          <w:p w14:paraId="7C6D0D97" w14:textId="77777777" w:rsidR="005359AA" w:rsidRPr="005C5C45" w:rsidRDefault="005359AA" w:rsidP="00B55885">
            <w:pPr>
              <w:spacing w:line="360" w:lineRule="auto"/>
              <w:jc w:val="center"/>
              <w:rPr>
                <w:sz w:val="20"/>
              </w:rPr>
            </w:pPr>
          </w:p>
        </w:tc>
      </w:tr>
      <w:tr w:rsidR="005359AA" w:rsidRPr="005C5C45" w14:paraId="4B9721AF" w14:textId="77777777" w:rsidTr="0016175B">
        <w:trPr>
          <w:trHeight w:val="432"/>
        </w:trPr>
        <w:tc>
          <w:tcPr>
            <w:tcW w:w="1155" w:type="dxa"/>
            <w:vMerge w:val="restart"/>
            <w:shd w:val="clear" w:color="auto" w:fill="F0B67B" w:themeFill="accent1" w:themeFillTint="99"/>
            <w:vAlign w:val="center"/>
          </w:tcPr>
          <w:p w14:paraId="283B81E8" w14:textId="77777777" w:rsidR="005359AA" w:rsidRPr="005C5C45" w:rsidRDefault="005359AA" w:rsidP="0016175B">
            <w:pPr>
              <w:jc w:val="center"/>
              <w:rPr>
                <w:b/>
                <w:szCs w:val="22"/>
              </w:rPr>
            </w:pPr>
            <w:r w:rsidRPr="005C5C45">
              <w:rPr>
                <w:b/>
                <w:szCs w:val="22"/>
              </w:rPr>
              <w:t>After</w:t>
            </w:r>
          </w:p>
        </w:tc>
        <w:tc>
          <w:tcPr>
            <w:tcW w:w="8112" w:type="dxa"/>
            <w:gridSpan w:val="8"/>
            <w:shd w:val="clear" w:color="auto" w:fill="FAE6D3" w:themeFill="accent1" w:themeFillTint="33"/>
            <w:vAlign w:val="center"/>
          </w:tcPr>
          <w:p w14:paraId="0DF35882" w14:textId="77777777" w:rsidR="005359AA" w:rsidRPr="005C5C45" w:rsidRDefault="005359AA" w:rsidP="0016175B">
            <w:pPr>
              <w:spacing w:line="360" w:lineRule="auto"/>
              <w:rPr>
                <w:b/>
                <w:szCs w:val="22"/>
              </w:rPr>
            </w:pPr>
            <w:r w:rsidRPr="005C5C45">
              <w:rPr>
                <w:b/>
                <w:szCs w:val="22"/>
              </w:rPr>
              <w:t>7. Government Self-Assessment Report</w:t>
            </w:r>
          </w:p>
        </w:tc>
      </w:tr>
      <w:tr w:rsidR="005359AA" w:rsidRPr="005C5C45" w14:paraId="6018C6E0" w14:textId="77777777" w:rsidTr="0016175B">
        <w:trPr>
          <w:trHeight w:val="412"/>
        </w:trPr>
        <w:tc>
          <w:tcPr>
            <w:tcW w:w="1155" w:type="dxa"/>
            <w:vMerge/>
            <w:shd w:val="clear" w:color="auto" w:fill="F0B67B" w:themeFill="accent1" w:themeFillTint="99"/>
          </w:tcPr>
          <w:p w14:paraId="7FF401B9" w14:textId="77777777" w:rsidR="005359AA" w:rsidRPr="005C5C45" w:rsidRDefault="005359AA" w:rsidP="0016175B"/>
        </w:tc>
        <w:tc>
          <w:tcPr>
            <w:tcW w:w="2828" w:type="dxa"/>
            <w:vMerge w:val="restart"/>
            <w:vAlign w:val="center"/>
          </w:tcPr>
          <w:p w14:paraId="4EF31D87" w14:textId="77777777" w:rsidR="005359AA" w:rsidRPr="005C5C45" w:rsidRDefault="005359AA" w:rsidP="0016175B">
            <w:pPr>
              <w:pStyle w:val="Rowcolumntitles"/>
              <w:rPr>
                <w:sz w:val="20"/>
              </w:rPr>
            </w:pPr>
            <w:r w:rsidRPr="005C5C45">
              <w:rPr>
                <w:sz w:val="20"/>
              </w:rPr>
              <w:t xml:space="preserve">7a. Annual self-assessment report published?         </w:t>
            </w:r>
          </w:p>
        </w:tc>
        <w:tc>
          <w:tcPr>
            <w:tcW w:w="675" w:type="dxa"/>
            <w:gridSpan w:val="2"/>
            <w:vAlign w:val="center"/>
          </w:tcPr>
          <w:p w14:paraId="5FC09FAE" w14:textId="77777777" w:rsidR="005359AA" w:rsidRPr="005C5C45" w:rsidRDefault="005359AA" w:rsidP="0016175B">
            <w:pPr>
              <w:spacing w:line="360" w:lineRule="auto"/>
              <w:rPr>
                <w:sz w:val="20"/>
              </w:rPr>
            </w:pPr>
            <w:r w:rsidRPr="005C5C45">
              <w:rPr>
                <w:sz w:val="20"/>
              </w:rPr>
              <w:t>Yes</w:t>
            </w:r>
          </w:p>
        </w:tc>
        <w:tc>
          <w:tcPr>
            <w:tcW w:w="675" w:type="dxa"/>
            <w:vAlign w:val="center"/>
          </w:tcPr>
          <w:p w14:paraId="7BBAB5AB" w14:textId="77777777" w:rsidR="005359AA" w:rsidRPr="005C5C45" w:rsidRDefault="005359AA" w:rsidP="0016175B">
            <w:pPr>
              <w:spacing w:line="360" w:lineRule="auto"/>
              <w:rPr>
                <w:sz w:val="20"/>
              </w:rPr>
            </w:pPr>
            <w:r w:rsidRPr="005C5C45">
              <w:rPr>
                <w:sz w:val="20"/>
              </w:rPr>
              <w:t>No</w:t>
            </w:r>
          </w:p>
        </w:tc>
        <w:tc>
          <w:tcPr>
            <w:tcW w:w="2520" w:type="dxa"/>
            <w:vMerge w:val="restart"/>
            <w:vAlign w:val="center"/>
          </w:tcPr>
          <w:p w14:paraId="44D84AB2" w14:textId="77777777" w:rsidR="005359AA" w:rsidRPr="005C5C45" w:rsidRDefault="005359AA" w:rsidP="0016175B">
            <w:pPr>
              <w:pStyle w:val="Rowcolumntitles"/>
              <w:rPr>
                <w:sz w:val="20"/>
              </w:rPr>
            </w:pPr>
            <w:r w:rsidRPr="005C5C45">
              <w:rPr>
                <w:sz w:val="20"/>
              </w:rPr>
              <w:t>7b. Report available in English and administrative language?</w:t>
            </w:r>
          </w:p>
        </w:tc>
        <w:tc>
          <w:tcPr>
            <w:tcW w:w="707" w:type="dxa"/>
            <w:vAlign w:val="center"/>
          </w:tcPr>
          <w:p w14:paraId="38B665F5" w14:textId="77777777" w:rsidR="005359AA" w:rsidRPr="005C5C45" w:rsidRDefault="005359AA" w:rsidP="0016175B">
            <w:pPr>
              <w:spacing w:line="360" w:lineRule="auto"/>
              <w:jc w:val="center"/>
              <w:rPr>
                <w:sz w:val="20"/>
              </w:rPr>
            </w:pPr>
            <w:r w:rsidRPr="005C5C45">
              <w:rPr>
                <w:sz w:val="20"/>
              </w:rPr>
              <w:t>Yes</w:t>
            </w:r>
          </w:p>
        </w:tc>
        <w:tc>
          <w:tcPr>
            <w:tcW w:w="707" w:type="dxa"/>
            <w:gridSpan w:val="2"/>
            <w:vAlign w:val="center"/>
          </w:tcPr>
          <w:p w14:paraId="487232EF" w14:textId="77777777" w:rsidR="005359AA" w:rsidRPr="005C5C45" w:rsidRDefault="005359AA" w:rsidP="0016175B">
            <w:pPr>
              <w:spacing w:line="360" w:lineRule="auto"/>
              <w:jc w:val="center"/>
              <w:rPr>
                <w:sz w:val="20"/>
              </w:rPr>
            </w:pPr>
            <w:r w:rsidRPr="005C5C45">
              <w:rPr>
                <w:sz w:val="20"/>
              </w:rPr>
              <w:t>No</w:t>
            </w:r>
          </w:p>
        </w:tc>
      </w:tr>
      <w:tr w:rsidR="005359AA" w:rsidRPr="005C5C45" w14:paraId="56B918BD" w14:textId="77777777" w:rsidTr="00B55885">
        <w:trPr>
          <w:trHeight w:val="411"/>
        </w:trPr>
        <w:tc>
          <w:tcPr>
            <w:tcW w:w="1155" w:type="dxa"/>
            <w:vMerge/>
            <w:shd w:val="clear" w:color="auto" w:fill="F0B67B" w:themeFill="accent1" w:themeFillTint="99"/>
          </w:tcPr>
          <w:p w14:paraId="3192673A" w14:textId="77777777" w:rsidR="005359AA" w:rsidRPr="005C5C45" w:rsidRDefault="005359AA" w:rsidP="0016175B"/>
        </w:tc>
        <w:tc>
          <w:tcPr>
            <w:tcW w:w="2828" w:type="dxa"/>
            <w:vMerge/>
            <w:vAlign w:val="center"/>
          </w:tcPr>
          <w:p w14:paraId="588EEC78" w14:textId="77777777" w:rsidR="005359AA" w:rsidRPr="005C5C45" w:rsidRDefault="005359AA" w:rsidP="0016175B">
            <w:pPr>
              <w:spacing w:line="360" w:lineRule="auto"/>
              <w:rPr>
                <w:sz w:val="20"/>
              </w:rPr>
            </w:pPr>
          </w:p>
        </w:tc>
        <w:tc>
          <w:tcPr>
            <w:tcW w:w="675" w:type="dxa"/>
            <w:gridSpan w:val="2"/>
            <w:vAlign w:val="center"/>
          </w:tcPr>
          <w:p w14:paraId="7E128D9C" w14:textId="77777777" w:rsidR="005359AA" w:rsidRPr="005C5C45" w:rsidRDefault="004838E9" w:rsidP="00B55885">
            <w:pPr>
              <w:spacing w:line="360" w:lineRule="auto"/>
              <w:jc w:val="center"/>
              <w:rPr>
                <w:sz w:val="20"/>
              </w:rPr>
            </w:pPr>
            <w:r w:rsidRPr="005C5C45">
              <w:rPr>
                <w:rFonts w:ascii="Zapf Dingbats" w:hAnsi="Zapf Dingbats"/>
                <w:noProof/>
                <w:color w:val="51A534" w:themeColor="accent2"/>
                <w:sz w:val="20"/>
              </w:rPr>
              <w:t>✔</w:t>
            </w:r>
          </w:p>
        </w:tc>
        <w:tc>
          <w:tcPr>
            <w:tcW w:w="675" w:type="dxa"/>
            <w:vAlign w:val="center"/>
          </w:tcPr>
          <w:p w14:paraId="28CF8798" w14:textId="77777777" w:rsidR="005359AA" w:rsidRPr="005C5C45" w:rsidRDefault="005359AA" w:rsidP="00B55885">
            <w:pPr>
              <w:spacing w:line="360" w:lineRule="auto"/>
              <w:jc w:val="center"/>
              <w:rPr>
                <w:sz w:val="20"/>
              </w:rPr>
            </w:pPr>
          </w:p>
        </w:tc>
        <w:tc>
          <w:tcPr>
            <w:tcW w:w="2520" w:type="dxa"/>
            <w:vMerge/>
            <w:vAlign w:val="center"/>
          </w:tcPr>
          <w:p w14:paraId="3C9197AE" w14:textId="77777777" w:rsidR="005359AA" w:rsidRPr="005C5C45" w:rsidRDefault="005359AA" w:rsidP="0016175B">
            <w:pPr>
              <w:spacing w:line="360" w:lineRule="auto"/>
              <w:rPr>
                <w:sz w:val="20"/>
              </w:rPr>
            </w:pPr>
          </w:p>
        </w:tc>
        <w:tc>
          <w:tcPr>
            <w:tcW w:w="707" w:type="dxa"/>
            <w:vAlign w:val="center"/>
          </w:tcPr>
          <w:p w14:paraId="3874B04C" w14:textId="77777777" w:rsidR="005359AA" w:rsidRPr="005C5C45" w:rsidRDefault="005359AA" w:rsidP="00B55885">
            <w:pPr>
              <w:spacing w:line="360" w:lineRule="auto"/>
              <w:jc w:val="center"/>
              <w:rPr>
                <w:sz w:val="20"/>
              </w:rPr>
            </w:pPr>
            <w:r w:rsidRPr="005C5C45">
              <w:rPr>
                <w:rFonts w:ascii="Zapf Dingbats" w:hAnsi="Zapf Dingbats"/>
                <w:noProof/>
                <w:color w:val="51A534" w:themeColor="accent2"/>
                <w:sz w:val="20"/>
              </w:rPr>
              <w:t>✔</w:t>
            </w:r>
          </w:p>
        </w:tc>
        <w:tc>
          <w:tcPr>
            <w:tcW w:w="707" w:type="dxa"/>
            <w:gridSpan w:val="2"/>
            <w:vAlign w:val="center"/>
          </w:tcPr>
          <w:p w14:paraId="6F9C3563" w14:textId="77777777" w:rsidR="005359AA" w:rsidRPr="005C5C45" w:rsidRDefault="005359AA" w:rsidP="00B55885">
            <w:pPr>
              <w:spacing w:line="360" w:lineRule="auto"/>
              <w:jc w:val="center"/>
              <w:rPr>
                <w:sz w:val="20"/>
              </w:rPr>
            </w:pPr>
          </w:p>
        </w:tc>
      </w:tr>
      <w:tr w:rsidR="005359AA" w:rsidRPr="005C5C45" w14:paraId="54D6E243" w14:textId="77777777" w:rsidTr="0016175B">
        <w:trPr>
          <w:trHeight w:val="277"/>
        </w:trPr>
        <w:tc>
          <w:tcPr>
            <w:tcW w:w="1155" w:type="dxa"/>
            <w:vMerge/>
            <w:shd w:val="clear" w:color="auto" w:fill="F0B67B" w:themeFill="accent1" w:themeFillTint="99"/>
          </w:tcPr>
          <w:p w14:paraId="15F6FB94" w14:textId="77777777" w:rsidR="005359AA" w:rsidRPr="005C5C45" w:rsidRDefault="005359AA" w:rsidP="0016175B"/>
        </w:tc>
        <w:tc>
          <w:tcPr>
            <w:tcW w:w="2828" w:type="dxa"/>
            <w:vMerge w:val="restart"/>
            <w:vAlign w:val="center"/>
          </w:tcPr>
          <w:p w14:paraId="3F1E2C57" w14:textId="77777777" w:rsidR="005359AA" w:rsidRPr="005C5C45" w:rsidRDefault="005359AA" w:rsidP="0016175B">
            <w:pPr>
              <w:pStyle w:val="Rowcolumntitles"/>
              <w:rPr>
                <w:sz w:val="20"/>
              </w:rPr>
            </w:pPr>
            <w:r w:rsidRPr="005C5C45">
              <w:rPr>
                <w:sz w:val="20"/>
              </w:rPr>
              <w:t>7c. Two-week public comment period on report?</w:t>
            </w:r>
          </w:p>
        </w:tc>
        <w:tc>
          <w:tcPr>
            <w:tcW w:w="675" w:type="dxa"/>
            <w:gridSpan w:val="2"/>
            <w:vAlign w:val="center"/>
          </w:tcPr>
          <w:p w14:paraId="0397DBB4" w14:textId="77777777" w:rsidR="005359AA" w:rsidRPr="005C5C45" w:rsidRDefault="005359AA" w:rsidP="0016175B">
            <w:pPr>
              <w:spacing w:line="360" w:lineRule="auto"/>
              <w:rPr>
                <w:sz w:val="20"/>
              </w:rPr>
            </w:pPr>
            <w:r w:rsidRPr="005C5C45">
              <w:rPr>
                <w:sz w:val="20"/>
              </w:rPr>
              <w:t>Yes</w:t>
            </w:r>
          </w:p>
        </w:tc>
        <w:tc>
          <w:tcPr>
            <w:tcW w:w="675" w:type="dxa"/>
            <w:vAlign w:val="center"/>
          </w:tcPr>
          <w:p w14:paraId="73D4308D" w14:textId="77777777" w:rsidR="005359AA" w:rsidRPr="005C5C45" w:rsidRDefault="005359AA" w:rsidP="0016175B">
            <w:pPr>
              <w:spacing w:line="360" w:lineRule="auto"/>
              <w:rPr>
                <w:sz w:val="20"/>
              </w:rPr>
            </w:pPr>
            <w:r w:rsidRPr="005C5C45">
              <w:rPr>
                <w:sz w:val="20"/>
              </w:rPr>
              <w:t>No</w:t>
            </w:r>
          </w:p>
        </w:tc>
        <w:tc>
          <w:tcPr>
            <w:tcW w:w="2520" w:type="dxa"/>
            <w:vMerge w:val="restart"/>
            <w:vAlign w:val="center"/>
          </w:tcPr>
          <w:p w14:paraId="2E5778DA" w14:textId="77777777" w:rsidR="005359AA" w:rsidRPr="005C5C45" w:rsidRDefault="005359AA" w:rsidP="0016175B">
            <w:pPr>
              <w:pStyle w:val="Rowcolumntitles"/>
              <w:rPr>
                <w:color w:val="auto"/>
                <w:sz w:val="20"/>
              </w:rPr>
            </w:pPr>
            <w:r w:rsidRPr="005C5C45">
              <w:rPr>
                <w:color w:val="auto"/>
                <w:sz w:val="20"/>
              </w:rPr>
              <w:t>7d. Report responds to key IRM recommendations?</w:t>
            </w:r>
          </w:p>
        </w:tc>
        <w:tc>
          <w:tcPr>
            <w:tcW w:w="707" w:type="dxa"/>
            <w:vAlign w:val="center"/>
          </w:tcPr>
          <w:p w14:paraId="6CC3FEC3" w14:textId="77777777" w:rsidR="005359AA" w:rsidRPr="005C5C45" w:rsidRDefault="005359AA" w:rsidP="0016175B">
            <w:pPr>
              <w:spacing w:line="360" w:lineRule="auto"/>
              <w:jc w:val="center"/>
              <w:rPr>
                <w:color w:val="auto"/>
                <w:sz w:val="20"/>
              </w:rPr>
            </w:pPr>
            <w:r w:rsidRPr="005C5C45">
              <w:rPr>
                <w:color w:val="auto"/>
                <w:sz w:val="20"/>
              </w:rPr>
              <w:t>Yes</w:t>
            </w:r>
          </w:p>
        </w:tc>
        <w:tc>
          <w:tcPr>
            <w:tcW w:w="707" w:type="dxa"/>
            <w:gridSpan w:val="2"/>
            <w:vAlign w:val="center"/>
          </w:tcPr>
          <w:p w14:paraId="36116831" w14:textId="77777777" w:rsidR="005359AA" w:rsidRPr="005C5C45" w:rsidRDefault="005359AA" w:rsidP="0016175B">
            <w:pPr>
              <w:spacing w:line="360" w:lineRule="auto"/>
              <w:jc w:val="center"/>
              <w:rPr>
                <w:color w:val="auto"/>
                <w:sz w:val="20"/>
              </w:rPr>
            </w:pPr>
            <w:r w:rsidRPr="005C5C45">
              <w:rPr>
                <w:color w:val="auto"/>
                <w:sz w:val="20"/>
              </w:rPr>
              <w:t>No</w:t>
            </w:r>
          </w:p>
        </w:tc>
      </w:tr>
      <w:tr w:rsidR="005359AA" w:rsidRPr="005C5C45" w14:paraId="20AC13A5" w14:textId="77777777" w:rsidTr="00B55885">
        <w:trPr>
          <w:trHeight w:val="277"/>
        </w:trPr>
        <w:tc>
          <w:tcPr>
            <w:tcW w:w="1155" w:type="dxa"/>
            <w:vMerge/>
            <w:shd w:val="clear" w:color="auto" w:fill="F0B67B" w:themeFill="accent1" w:themeFillTint="99"/>
          </w:tcPr>
          <w:p w14:paraId="52B30299" w14:textId="77777777" w:rsidR="005359AA" w:rsidRPr="005C5C45" w:rsidRDefault="005359AA" w:rsidP="0016175B"/>
        </w:tc>
        <w:tc>
          <w:tcPr>
            <w:tcW w:w="2828" w:type="dxa"/>
            <w:vMerge/>
            <w:vAlign w:val="center"/>
          </w:tcPr>
          <w:p w14:paraId="387794C1" w14:textId="77777777" w:rsidR="005359AA" w:rsidRPr="005C5C45" w:rsidRDefault="005359AA" w:rsidP="0016175B">
            <w:pPr>
              <w:spacing w:line="360" w:lineRule="auto"/>
              <w:rPr>
                <w:sz w:val="20"/>
              </w:rPr>
            </w:pPr>
          </w:p>
        </w:tc>
        <w:tc>
          <w:tcPr>
            <w:tcW w:w="675" w:type="dxa"/>
            <w:gridSpan w:val="2"/>
            <w:vAlign w:val="center"/>
          </w:tcPr>
          <w:p w14:paraId="5E927C8A" w14:textId="77777777" w:rsidR="005359AA" w:rsidRPr="005C5C45" w:rsidRDefault="005359AA" w:rsidP="00B55885">
            <w:pPr>
              <w:spacing w:line="360" w:lineRule="auto"/>
              <w:jc w:val="center"/>
              <w:rPr>
                <w:sz w:val="20"/>
              </w:rPr>
            </w:pPr>
            <w:r w:rsidRPr="005C5C45">
              <w:rPr>
                <w:rFonts w:ascii="Zapf Dingbats" w:hAnsi="Zapf Dingbats"/>
                <w:noProof/>
                <w:color w:val="51A534" w:themeColor="accent2"/>
                <w:sz w:val="20"/>
              </w:rPr>
              <w:t>✔</w:t>
            </w:r>
          </w:p>
        </w:tc>
        <w:tc>
          <w:tcPr>
            <w:tcW w:w="675" w:type="dxa"/>
            <w:vAlign w:val="center"/>
          </w:tcPr>
          <w:p w14:paraId="34C09E76" w14:textId="77777777" w:rsidR="005359AA" w:rsidRPr="005C5C45" w:rsidRDefault="005359AA" w:rsidP="00B55885">
            <w:pPr>
              <w:spacing w:line="360" w:lineRule="auto"/>
              <w:jc w:val="center"/>
              <w:rPr>
                <w:sz w:val="20"/>
              </w:rPr>
            </w:pPr>
          </w:p>
        </w:tc>
        <w:tc>
          <w:tcPr>
            <w:tcW w:w="2520" w:type="dxa"/>
            <w:vMerge/>
            <w:vAlign w:val="center"/>
          </w:tcPr>
          <w:p w14:paraId="5C8BF706" w14:textId="77777777" w:rsidR="005359AA" w:rsidRPr="005C5C45" w:rsidRDefault="005359AA" w:rsidP="0016175B">
            <w:pPr>
              <w:spacing w:line="360" w:lineRule="auto"/>
              <w:rPr>
                <w:color w:val="FF0000"/>
                <w:sz w:val="20"/>
              </w:rPr>
            </w:pPr>
          </w:p>
        </w:tc>
        <w:tc>
          <w:tcPr>
            <w:tcW w:w="707" w:type="dxa"/>
            <w:vAlign w:val="center"/>
          </w:tcPr>
          <w:p w14:paraId="00907913" w14:textId="77777777" w:rsidR="005359AA" w:rsidRPr="005C5C45" w:rsidRDefault="005359AA" w:rsidP="00B55885">
            <w:pPr>
              <w:spacing w:line="360" w:lineRule="auto"/>
              <w:jc w:val="center"/>
              <w:rPr>
                <w:color w:val="auto"/>
                <w:sz w:val="20"/>
              </w:rPr>
            </w:pPr>
          </w:p>
        </w:tc>
        <w:tc>
          <w:tcPr>
            <w:tcW w:w="707" w:type="dxa"/>
            <w:gridSpan w:val="2"/>
            <w:vAlign w:val="center"/>
          </w:tcPr>
          <w:p w14:paraId="418183DA" w14:textId="77777777" w:rsidR="005359AA" w:rsidRPr="005C5C45" w:rsidRDefault="005359AA" w:rsidP="00B55885">
            <w:pPr>
              <w:spacing w:line="360" w:lineRule="auto"/>
              <w:jc w:val="center"/>
              <w:rPr>
                <w:color w:val="auto"/>
                <w:sz w:val="20"/>
              </w:rPr>
            </w:pPr>
            <w:r w:rsidRPr="005C5C45">
              <w:rPr>
                <w:rFonts w:ascii="Zapf Dingbats" w:hAnsi="Zapf Dingbats"/>
                <w:noProof/>
                <w:color w:val="FF0000"/>
                <w:sz w:val="20"/>
              </w:rPr>
              <w:t></w:t>
            </w:r>
          </w:p>
        </w:tc>
      </w:tr>
    </w:tbl>
    <w:p w14:paraId="6849AD66" w14:textId="64679D59" w:rsidR="00297302" w:rsidRPr="005C5C45" w:rsidRDefault="00FC367B" w:rsidP="00AF1990">
      <w:pPr>
        <w:pStyle w:val="Normalrglronly"/>
      </w:pPr>
      <w:r w:rsidRPr="005C5C45">
        <w:lastRenderedPageBreak/>
        <w:t>O</w:t>
      </w:r>
      <w:r w:rsidR="00D65511" w:rsidRPr="005C5C45">
        <w:t xml:space="preserve">n </w:t>
      </w:r>
      <w:r w:rsidR="00672697" w:rsidRPr="005C5C45">
        <w:t>30 June 2016,</w:t>
      </w:r>
      <w:r w:rsidR="00D65511" w:rsidRPr="005C5C45">
        <w:t xml:space="preserve"> </w:t>
      </w:r>
      <w:r w:rsidRPr="005C5C45">
        <w:t>the term</w:t>
      </w:r>
      <w:r w:rsidR="00527BC2" w:rsidRPr="005C5C45">
        <w:t>s</w:t>
      </w:r>
      <w:r w:rsidRPr="005C5C45">
        <w:t xml:space="preserve"> of appointment for </w:t>
      </w:r>
      <w:r w:rsidR="00D65511" w:rsidRPr="005C5C45">
        <w:t xml:space="preserve">the Stakeholder Advisory Group </w:t>
      </w:r>
      <w:r w:rsidR="0002756C" w:rsidRPr="005C5C45">
        <w:t>(SAG)</w:t>
      </w:r>
      <w:r w:rsidR="00672697">
        <w:t>,</w:t>
      </w:r>
      <w:r w:rsidR="0002756C" w:rsidRPr="005C5C45">
        <w:t xml:space="preserve"> </w:t>
      </w:r>
      <w:r w:rsidR="00D65511" w:rsidRPr="005C5C45">
        <w:t>which advised the first national plan</w:t>
      </w:r>
      <w:r w:rsidR="00672697">
        <w:t>,</w:t>
      </w:r>
      <w:r w:rsidR="00D65511" w:rsidRPr="005C5C45">
        <w:t xml:space="preserve"> </w:t>
      </w:r>
      <w:r w:rsidRPr="005C5C45">
        <w:t>ended</w:t>
      </w:r>
      <w:r w:rsidRPr="005C5C45">
        <w:rPr>
          <w:rStyle w:val="EndnoteReference"/>
        </w:rPr>
        <w:endnoteReference w:id="58"/>
      </w:r>
      <w:r w:rsidRPr="005C5C45">
        <w:t xml:space="preserve"> and </w:t>
      </w:r>
      <w:proofErr w:type="gramStart"/>
      <w:r w:rsidRPr="005C5C45">
        <w:t xml:space="preserve">the SAG </w:t>
      </w:r>
      <w:r w:rsidR="00D65511" w:rsidRPr="005C5C45">
        <w:t>was replaced by a new invitation-only Expert Advisory Panel (EAP)</w:t>
      </w:r>
      <w:proofErr w:type="gramEnd"/>
      <w:r w:rsidR="00D65511" w:rsidRPr="005C5C45">
        <w:t>.</w:t>
      </w:r>
      <w:r w:rsidR="00EC18D1" w:rsidRPr="005C5C45">
        <w:t xml:space="preserve"> </w:t>
      </w:r>
      <w:r w:rsidR="00297302" w:rsidRPr="005C5C45">
        <w:t xml:space="preserve">The </w:t>
      </w:r>
      <w:r w:rsidR="00D54D67" w:rsidRPr="005C5C45">
        <w:t xml:space="preserve">new </w:t>
      </w:r>
      <w:r w:rsidR="00297302" w:rsidRPr="005C5C45">
        <w:t xml:space="preserve">EAP’s terms of reference state that the SAG has </w:t>
      </w:r>
      <w:r w:rsidR="00672697">
        <w:t>‘</w:t>
      </w:r>
      <w:r w:rsidR="00297302" w:rsidRPr="005C5C45">
        <w:t xml:space="preserve">transitioned to an </w:t>
      </w:r>
      <w:r w:rsidR="00C60BD4" w:rsidRPr="005C5C45">
        <w:t>EAP to better reflect SSC and Government accountabilities in relationship to New Zealand’s OGP commitments</w:t>
      </w:r>
      <w:r w:rsidR="00672697">
        <w:t>’</w:t>
      </w:r>
      <w:r w:rsidR="00C60BD4" w:rsidRPr="005C5C45">
        <w:t>.</w:t>
      </w:r>
      <w:r w:rsidR="00C60BD4" w:rsidRPr="005C5C45">
        <w:rPr>
          <w:rStyle w:val="EndnoteReference"/>
        </w:rPr>
        <w:endnoteReference w:id="59"/>
      </w:r>
    </w:p>
    <w:p w14:paraId="6D8E0256" w14:textId="72CCA2B6" w:rsidR="00D65511" w:rsidRPr="005C5C45" w:rsidRDefault="00D65511" w:rsidP="00AF1990">
      <w:pPr>
        <w:pStyle w:val="Normalrglronly"/>
      </w:pPr>
      <w:r w:rsidRPr="005C5C45">
        <w:t>The six</w:t>
      </w:r>
      <w:r w:rsidR="001D4D2D">
        <w:t>-</w:t>
      </w:r>
      <w:r w:rsidRPr="005C5C45">
        <w:t>member EAP was commissioned by the SSC to advise the second action plan process, the midterm and final review of the second action plan, and any other relevant OGP matters.</w:t>
      </w:r>
      <w:r w:rsidRPr="005C5C45">
        <w:rPr>
          <w:rStyle w:val="EndnoteReference"/>
        </w:rPr>
        <w:endnoteReference w:id="60"/>
      </w:r>
      <w:r w:rsidRPr="005C5C45">
        <w:rPr>
          <w:rStyle w:val="EndnoteReference"/>
        </w:rPr>
        <w:t xml:space="preserve"> </w:t>
      </w:r>
      <w:r w:rsidRPr="005C5C45">
        <w:t xml:space="preserve">The EAP met five times in person in Wellington during the development of the action plan, but </w:t>
      </w:r>
      <w:proofErr w:type="gramStart"/>
      <w:r w:rsidRPr="005C5C45">
        <w:t>only one meeting was attended by all members</w:t>
      </w:r>
      <w:proofErr w:type="gramEnd"/>
      <w:r w:rsidRPr="005C5C45">
        <w:t xml:space="preserve">. </w:t>
      </w:r>
    </w:p>
    <w:p w14:paraId="7BFC86BD" w14:textId="73F3EFF3" w:rsidR="00EA2F88" w:rsidRPr="005C5C45" w:rsidRDefault="00EA2F88" w:rsidP="00AF1990">
      <w:pPr>
        <w:pStyle w:val="Normalrglronly"/>
      </w:pPr>
      <w:r w:rsidRPr="005C5C45">
        <w:t>Activities prior to consultation started on 21 April 2016 with the SSC seeking public input on the decision to extend the consultation period</w:t>
      </w:r>
      <w:r w:rsidR="00B34695" w:rsidRPr="005C5C45">
        <w:t>.</w:t>
      </w:r>
      <w:r w:rsidRPr="005C5C45">
        <w:rPr>
          <w:rStyle w:val="EndnoteReference"/>
          <w:bCs w:val="0"/>
        </w:rPr>
        <w:endnoteReference w:id="61"/>
      </w:r>
      <w:r w:rsidRPr="005C5C45">
        <w:t xml:space="preserve"> Only four stakeholders responded</w:t>
      </w:r>
      <w:r w:rsidR="000D16B0" w:rsidRPr="000D16B0">
        <w:t>—</w:t>
      </w:r>
      <w:r w:rsidR="00235769" w:rsidRPr="005C5C45">
        <w:t>they</w:t>
      </w:r>
      <w:r w:rsidRPr="005C5C45">
        <w:t xml:space="preserve"> express</w:t>
      </w:r>
      <w:r w:rsidR="00235769" w:rsidRPr="005C5C45">
        <w:t>ed</w:t>
      </w:r>
      <w:r w:rsidRPr="005C5C45">
        <w:t xml:space="preserve"> concern about </w:t>
      </w:r>
      <w:r w:rsidR="00D54D67" w:rsidRPr="005C5C45">
        <w:t>the delay in developing the next action plan</w:t>
      </w:r>
      <w:r w:rsidR="00AD2C65" w:rsidRPr="005C5C45">
        <w:t xml:space="preserve"> </w:t>
      </w:r>
      <w:r w:rsidR="00235769" w:rsidRPr="005C5C45">
        <w:t xml:space="preserve">and sought </w:t>
      </w:r>
      <w:r w:rsidRPr="005C5C45">
        <w:t xml:space="preserve">more comprehensive engagement </w:t>
      </w:r>
      <w:r w:rsidR="0070500B" w:rsidRPr="005C5C45">
        <w:t>so that</w:t>
      </w:r>
      <w:r w:rsidRPr="005C5C45">
        <w:t xml:space="preserve"> the action plan would b</w:t>
      </w:r>
      <w:r w:rsidR="00053BF9" w:rsidRPr="005C5C45">
        <w:t>e co-created with civil society</w:t>
      </w:r>
      <w:r w:rsidR="00B34695" w:rsidRPr="005C5C45">
        <w:t>.</w:t>
      </w:r>
      <w:r w:rsidRPr="005C5C45">
        <w:rPr>
          <w:rStyle w:val="EndnoteReference"/>
          <w:bCs w:val="0"/>
        </w:rPr>
        <w:endnoteReference w:id="62"/>
      </w:r>
    </w:p>
    <w:p w14:paraId="21C9F746" w14:textId="619E6CB9" w:rsidR="00506D3E" w:rsidRPr="005C5C45" w:rsidRDefault="00506D3E" w:rsidP="00AF1990">
      <w:pPr>
        <w:pStyle w:val="Normalrglronly"/>
      </w:pPr>
      <w:r w:rsidRPr="005C5C45">
        <w:t xml:space="preserve">The first engagement activity occurred when </w:t>
      </w:r>
      <w:r w:rsidR="00096B9B" w:rsidRPr="005C5C45">
        <w:t xml:space="preserve">the </w:t>
      </w:r>
      <w:r w:rsidRPr="005C5C45">
        <w:t xml:space="preserve">Engage2 team, the external company </w:t>
      </w:r>
      <w:r w:rsidR="004E7C84" w:rsidRPr="005C5C45">
        <w:t xml:space="preserve">brought in </w:t>
      </w:r>
      <w:r w:rsidRPr="005C5C45">
        <w:t xml:space="preserve">by the SSC, approached 17 stakeholders to get their input </w:t>
      </w:r>
      <w:r w:rsidR="00096B9B" w:rsidRPr="005C5C45">
        <w:t>regarding</w:t>
      </w:r>
      <w:r w:rsidRPr="005C5C45">
        <w:t xml:space="preserve"> the design of the engagement process. These stakeholders included academics, environment</w:t>
      </w:r>
      <w:r w:rsidR="00F9582C">
        <w:t>al</w:t>
      </w:r>
      <w:r w:rsidRPr="005C5C45">
        <w:t xml:space="preserve"> and social organisations, the OGP Expert Advisory Panel, private sector, and local government staff. </w:t>
      </w:r>
      <w:r w:rsidR="00096B9B" w:rsidRPr="005C5C45">
        <w:t>Ten</w:t>
      </w:r>
      <w:r w:rsidRPr="005C5C45">
        <w:t xml:space="preserve"> stakeholders responded.</w:t>
      </w:r>
      <w:r w:rsidRPr="005C5C45">
        <w:rPr>
          <w:rStyle w:val="EndnoteReference"/>
        </w:rPr>
        <w:endnoteReference w:id="63"/>
      </w:r>
    </w:p>
    <w:p w14:paraId="5C200096" w14:textId="038AC260" w:rsidR="00771667" w:rsidRPr="005C5C45" w:rsidRDefault="00EC65D0" w:rsidP="00AF1990">
      <w:pPr>
        <w:pStyle w:val="Normalrglronly"/>
      </w:pPr>
      <w:r w:rsidRPr="005C5C45">
        <w:t>Actual c</w:t>
      </w:r>
      <w:r w:rsidR="00CA24B6" w:rsidRPr="005C5C45">
        <w:t xml:space="preserve">onsultation </w:t>
      </w:r>
      <w:r w:rsidR="00CF6DD4" w:rsidRPr="005C5C45">
        <w:t xml:space="preserve">on the action plan </w:t>
      </w:r>
      <w:r w:rsidR="00CA24B6" w:rsidRPr="005C5C45">
        <w:t xml:space="preserve">did not commence until </w:t>
      </w:r>
      <w:r w:rsidR="00EA2F88" w:rsidRPr="005C5C45">
        <w:t>21 July 2016 when</w:t>
      </w:r>
      <w:r w:rsidR="009B2E93" w:rsidRPr="005C5C45">
        <w:t xml:space="preserve"> Engage2</w:t>
      </w:r>
      <w:r w:rsidR="00EA2F88" w:rsidRPr="005C5C45">
        <w:t xml:space="preserve"> </w:t>
      </w:r>
      <w:r w:rsidR="00CA24B6" w:rsidRPr="005C5C45">
        <w:t>asked for</w:t>
      </w:r>
      <w:r w:rsidR="00EA2F88" w:rsidRPr="005C5C45">
        <w:t xml:space="preserve"> de</w:t>
      </w:r>
      <w:r w:rsidR="00AF1CF2" w:rsidRPr="005C5C45">
        <w:t xml:space="preserve">tails of interested parties, </w:t>
      </w:r>
      <w:r w:rsidR="00EA2F88" w:rsidRPr="005C5C45">
        <w:t xml:space="preserve">provided the </w:t>
      </w:r>
      <w:r w:rsidR="00F9582C">
        <w:t>‘</w:t>
      </w:r>
      <w:r w:rsidR="00EA2F88" w:rsidRPr="005C5C45">
        <w:t>rules of the game</w:t>
      </w:r>
      <w:r w:rsidR="00F9582C">
        <w:t>’</w:t>
      </w:r>
      <w:r w:rsidR="00EA2F88" w:rsidRPr="005C5C45">
        <w:t xml:space="preserve"> through online engagement platforms</w:t>
      </w:r>
      <w:r w:rsidR="00BE030E">
        <w:t>,</w:t>
      </w:r>
      <w:r w:rsidR="00AF1CF2" w:rsidRPr="005C5C45">
        <w:t xml:space="preserve"> and </w:t>
      </w:r>
      <w:r w:rsidR="0070500B" w:rsidRPr="005C5C45">
        <w:t>extended</w:t>
      </w:r>
      <w:r w:rsidR="00EA2F88" w:rsidRPr="005C5C45">
        <w:t xml:space="preserve"> </w:t>
      </w:r>
      <w:r w:rsidR="00C31521" w:rsidRPr="005C5C45">
        <w:t xml:space="preserve">invitations </w:t>
      </w:r>
      <w:r w:rsidR="0070500B" w:rsidRPr="005C5C45">
        <w:t>via</w:t>
      </w:r>
      <w:r w:rsidR="00F17EA4" w:rsidRPr="005C5C45">
        <w:t xml:space="preserve"> community newsletters, email</w:t>
      </w:r>
      <w:r w:rsidR="00F9582C">
        <w:t>,</w:t>
      </w:r>
      <w:r w:rsidR="00F17EA4" w:rsidRPr="005C5C45">
        <w:t xml:space="preserve"> and social media. Engage2 reported that they informed </w:t>
      </w:r>
      <w:r w:rsidR="00EA2F88" w:rsidRPr="005C5C45">
        <w:t>845 civil society and private sector people about the OGP process and maintained very regular contact with participants throughout the process</w:t>
      </w:r>
      <w:r w:rsidR="00B34695" w:rsidRPr="005C5C45">
        <w:t>.</w:t>
      </w:r>
      <w:r w:rsidR="00EA2F88" w:rsidRPr="005C5C45">
        <w:rPr>
          <w:rStyle w:val="EndnoteReference"/>
        </w:rPr>
        <w:endnoteReference w:id="64"/>
      </w:r>
      <w:r w:rsidR="00D54D67" w:rsidRPr="005C5C45">
        <w:t xml:space="preserve"> The IRM researcher observed this extensive activity over this period.</w:t>
      </w:r>
    </w:p>
    <w:p w14:paraId="52C35142" w14:textId="7C2FCAA5" w:rsidR="00771667" w:rsidRPr="005C5C45" w:rsidRDefault="00771667" w:rsidP="00AF1990">
      <w:pPr>
        <w:pStyle w:val="Normalrglronly"/>
      </w:pPr>
      <w:r w:rsidRPr="005C5C45">
        <w:t xml:space="preserve">With regard to the online engagement platforms, Engage2 stated that 110 people used the Twitter </w:t>
      </w:r>
      <w:proofErr w:type="spellStart"/>
      <w:r w:rsidRPr="005C5C45">
        <w:t>hashtag</w:t>
      </w:r>
      <w:proofErr w:type="spellEnd"/>
      <w:r w:rsidRPr="005C5C45">
        <w:t>, hundreds of people visited the website and online engagement platforms, 28 people provided 29 submissions, and 87 actions were suggested on the two platforms.</w:t>
      </w:r>
      <w:r w:rsidRPr="005C5C45">
        <w:rPr>
          <w:rStyle w:val="EndnoteReference"/>
        </w:rPr>
        <w:endnoteReference w:id="65"/>
      </w:r>
      <w:r w:rsidRPr="005C5C45">
        <w:t xml:space="preserve"> Most stakeholders represented interests in open data, access to information, public participation</w:t>
      </w:r>
      <w:r w:rsidR="00E90D5F">
        <w:t>,</w:t>
      </w:r>
      <w:r w:rsidRPr="005C5C45">
        <w:t xml:space="preserve"> and increased transparency and accountability, and the majority were based in Wellington, Auckland, Hamilton, Christchurch, </w:t>
      </w:r>
      <w:proofErr w:type="spellStart"/>
      <w:r w:rsidRPr="005C5C45">
        <w:t>Whangarei</w:t>
      </w:r>
      <w:proofErr w:type="spellEnd"/>
      <w:r w:rsidR="00E90D5F">
        <w:t>,</w:t>
      </w:r>
      <w:r w:rsidRPr="005C5C45">
        <w:t xml:space="preserve"> and Nelson.</w:t>
      </w:r>
      <w:r w:rsidRPr="005C5C45">
        <w:rPr>
          <w:rStyle w:val="EndnoteReference"/>
        </w:rPr>
        <w:endnoteReference w:id="66"/>
      </w:r>
      <w:r w:rsidRPr="005C5C45">
        <w:t xml:space="preserve"> The IRM researcher has no further information about the diversity of views represented during this process.</w:t>
      </w:r>
      <w:r w:rsidR="00D54D67" w:rsidRPr="005C5C45">
        <w:t xml:space="preserve"> IRM interviews with stakeholders confirmed this range of stakeholder interests.</w:t>
      </w:r>
    </w:p>
    <w:p w14:paraId="71988F18" w14:textId="5B2878D7" w:rsidR="00852145" w:rsidRPr="005C5C45" w:rsidRDefault="00EA2F88" w:rsidP="00AF1990">
      <w:pPr>
        <w:pStyle w:val="Normalrglronly"/>
      </w:pPr>
      <w:r w:rsidRPr="005C5C45">
        <w:t xml:space="preserve">Between 21 July and 26 August 2016, </w:t>
      </w:r>
      <w:r w:rsidR="00AF1CF2" w:rsidRPr="005C5C45">
        <w:t xml:space="preserve">events </w:t>
      </w:r>
      <w:r w:rsidR="002E6930" w:rsidRPr="005C5C45">
        <w:t xml:space="preserve">held </w:t>
      </w:r>
      <w:r w:rsidR="00AF1CF2" w:rsidRPr="005C5C45">
        <w:t>in</w:t>
      </w:r>
      <w:r w:rsidR="00AD5F5B" w:rsidRPr="005C5C45">
        <w:t xml:space="preserve"> Wellington, Auckland</w:t>
      </w:r>
      <w:r w:rsidR="00E90D5F">
        <w:t>,</w:t>
      </w:r>
      <w:r w:rsidR="00AD5F5B" w:rsidRPr="005C5C45">
        <w:t xml:space="preserve"> and Christchurch</w:t>
      </w:r>
      <w:r w:rsidR="00AF1CF2" w:rsidRPr="005C5C45">
        <w:t xml:space="preserve"> </w:t>
      </w:r>
      <w:r w:rsidR="002E6930" w:rsidRPr="005C5C45">
        <w:t>includ</w:t>
      </w:r>
      <w:r w:rsidR="006436A1" w:rsidRPr="005C5C45">
        <w:t>ed</w:t>
      </w:r>
      <w:r w:rsidR="00AF1CF2" w:rsidRPr="005C5C45">
        <w:t xml:space="preserve"> six teleconferences and workshops. A total of </w:t>
      </w:r>
      <w:r w:rsidRPr="005C5C45">
        <w:t xml:space="preserve">26 stakeholders </w:t>
      </w:r>
      <w:r w:rsidR="00CA24B6" w:rsidRPr="005C5C45">
        <w:t>from the local government, private</w:t>
      </w:r>
      <w:r w:rsidR="00E90D5F">
        <w:t>,</w:t>
      </w:r>
      <w:r w:rsidR="00CA24B6" w:rsidRPr="005C5C45">
        <w:t xml:space="preserve"> and NGO sectors </w:t>
      </w:r>
      <w:r w:rsidR="00AF1CF2" w:rsidRPr="005C5C45">
        <w:t>participated in these</w:t>
      </w:r>
      <w:r w:rsidR="002E6930" w:rsidRPr="005C5C45">
        <w:t xml:space="preserve"> events</w:t>
      </w:r>
      <w:r w:rsidR="00AF1CF2" w:rsidRPr="005C5C45">
        <w:t>.</w:t>
      </w:r>
    </w:p>
    <w:p w14:paraId="3C879C67" w14:textId="062653B4" w:rsidR="005D2C1F" w:rsidRPr="005C5C45" w:rsidRDefault="00EA2F88" w:rsidP="00AF1990">
      <w:pPr>
        <w:pStyle w:val="Normalrglronly"/>
      </w:pPr>
      <w:r w:rsidRPr="005C5C45">
        <w:t>The final stakeholder engagement was the co-creation workshop</w:t>
      </w:r>
      <w:r w:rsidR="009B3FAF" w:rsidRPr="005C5C45">
        <w:t xml:space="preserve"> </w:t>
      </w:r>
      <w:r w:rsidR="008B3C14" w:rsidRPr="005C5C45">
        <w:t xml:space="preserve">held on 26 August, </w:t>
      </w:r>
      <w:r w:rsidR="00EC65D0" w:rsidRPr="005C5C45">
        <w:t xml:space="preserve">attended by </w:t>
      </w:r>
      <w:r w:rsidR="009B3FAF" w:rsidRPr="005C5C45">
        <w:t xml:space="preserve">14 </w:t>
      </w:r>
      <w:r w:rsidR="0028455E" w:rsidRPr="005C5C45">
        <w:t>members of the public</w:t>
      </w:r>
      <w:r w:rsidRPr="005C5C45">
        <w:t xml:space="preserve"> who had suggested commitment actions</w:t>
      </w:r>
      <w:r w:rsidR="000067EF" w:rsidRPr="005C5C45">
        <w:t>,</w:t>
      </w:r>
      <w:r w:rsidRPr="005C5C45">
        <w:t xml:space="preserve"> </w:t>
      </w:r>
      <w:r w:rsidR="009A029D" w:rsidRPr="005C5C45">
        <w:t>11</w:t>
      </w:r>
      <w:r w:rsidRPr="005C5C45">
        <w:t xml:space="preserve"> officials from the lead agencies, and three </w:t>
      </w:r>
      <w:r w:rsidR="0028455E" w:rsidRPr="005C5C45">
        <w:t>EAP</w:t>
      </w:r>
      <w:r w:rsidRPr="005C5C45">
        <w:t xml:space="preserve"> members. T</w:t>
      </w:r>
      <w:r w:rsidR="00C31521" w:rsidRPr="005C5C45">
        <w:t>he</w:t>
      </w:r>
      <w:r w:rsidR="000067EF" w:rsidRPr="005C5C45">
        <w:t>y arranged the</w:t>
      </w:r>
      <w:r w:rsidR="00C31521" w:rsidRPr="005C5C45">
        <w:t xml:space="preserve"> </w:t>
      </w:r>
      <w:r w:rsidRPr="005C5C45">
        <w:t>87 public submissions</w:t>
      </w:r>
      <w:r w:rsidR="00AE00CA" w:rsidRPr="005C5C45">
        <w:t xml:space="preserve"> </w:t>
      </w:r>
      <w:r w:rsidR="001E3D97" w:rsidRPr="005C5C45">
        <w:t xml:space="preserve">suggested on the two platforms </w:t>
      </w:r>
      <w:r w:rsidRPr="005C5C45">
        <w:t xml:space="preserve">into </w:t>
      </w:r>
      <w:r w:rsidR="00196762" w:rsidRPr="005C5C45">
        <w:t xml:space="preserve">eight </w:t>
      </w:r>
      <w:r w:rsidRPr="005C5C45">
        <w:t>themes</w:t>
      </w:r>
      <w:r w:rsidR="00E90D5F">
        <w:t>,</w:t>
      </w:r>
      <w:r w:rsidRPr="005C5C45">
        <w:t xml:space="preserve"> </w:t>
      </w:r>
      <w:r w:rsidR="00196762" w:rsidRPr="005C5C45">
        <w:t>drafted by Engage2. These were:</w:t>
      </w:r>
    </w:p>
    <w:p w14:paraId="3987F81B" w14:textId="2DB5BA90" w:rsidR="00196762" w:rsidRPr="005C5C45" w:rsidRDefault="00196762" w:rsidP="008B3C14">
      <w:pPr>
        <w:pStyle w:val="ListParagraph"/>
        <w:numPr>
          <w:ilvl w:val="0"/>
          <w:numId w:val="58"/>
        </w:numPr>
        <w:tabs>
          <w:tab w:val="clear" w:pos="2880"/>
        </w:tabs>
        <w:rPr>
          <w:rFonts w:eastAsia="Cambria" w:cs="Times New Roman"/>
          <w:bCs/>
          <w:color w:val="auto"/>
          <w:szCs w:val="22"/>
        </w:rPr>
      </w:pPr>
      <w:r w:rsidRPr="005C5C45">
        <w:rPr>
          <w:rFonts w:eastAsia="Cambria" w:cs="Times New Roman"/>
          <w:bCs/>
          <w:color w:val="auto"/>
          <w:szCs w:val="22"/>
        </w:rPr>
        <w:t>Civil society capacity and participation (16 submissions)</w:t>
      </w:r>
      <w:r w:rsidR="00BE030E">
        <w:rPr>
          <w:rFonts w:eastAsia="Cambria" w:cs="Times New Roman"/>
          <w:bCs/>
          <w:color w:val="auto"/>
          <w:szCs w:val="22"/>
        </w:rPr>
        <w:t>;</w:t>
      </w:r>
    </w:p>
    <w:p w14:paraId="3045F1BC" w14:textId="03678AFD" w:rsidR="00196762" w:rsidRPr="005C5C45" w:rsidRDefault="00196762" w:rsidP="008B3C14">
      <w:pPr>
        <w:pStyle w:val="ListParagraph"/>
        <w:numPr>
          <w:ilvl w:val="0"/>
          <w:numId w:val="58"/>
        </w:numPr>
        <w:tabs>
          <w:tab w:val="clear" w:pos="2880"/>
        </w:tabs>
        <w:rPr>
          <w:rFonts w:eastAsia="Cambria" w:cs="Times New Roman"/>
          <w:bCs/>
          <w:color w:val="auto"/>
          <w:szCs w:val="22"/>
        </w:rPr>
      </w:pPr>
      <w:r w:rsidRPr="005C5C45">
        <w:rPr>
          <w:rFonts w:eastAsia="Cambria" w:cs="Times New Roman"/>
          <w:bCs/>
          <w:color w:val="auto"/>
          <w:szCs w:val="22"/>
        </w:rPr>
        <w:t>Involving citizens in public policy and programme development (15 submissions)</w:t>
      </w:r>
      <w:r w:rsidR="00BE030E">
        <w:rPr>
          <w:rFonts w:eastAsia="Cambria" w:cs="Times New Roman"/>
          <w:bCs/>
          <w:color w:val="auto"/>
          <w:szCs w:val="22"/>
        </w:rPr>
        <w:t>;</w:t>
      </w:r>
    </w:p>
    <w:p w14:paraId="06578F8B" w14:textId="653C44F8" w:rsidR="00196762" w:rsidRPr="005C5C45" w:rsidRDefault="00196762" w:rsidP="008B3C14">
      <w:pPr>
        <w:pStyle w:val="ListParagraph"/>
        <w:numPr>
          <w:ilvl w:val="0"/>
          <w:numId w:val="58"/>
        </w:numPr>
        <w:tabs>
          <w:tab w:val="clear" w:pos="2880"/>
        </w:tabs>
        <w:rPr>
          <w:rFonts w:eastAsia="Cambria" w:cs="Times New Roman"/>
          <w:bCs/>
          <w:color w:val="auto"/>
          <w:szCs w:val="22"/>
        </w:rPr>
      </w:pPr>
      <w:r w:rsidRPr="005C5C45">
        <w:rPr>
          <w:rFonts w:eastAsia="Cambria" w:cs="Times New Roman"/>
          <w:bCs/>
          <w:color w:val="auto"/>
          <w:szCs w:val="22"/>
        </w:rPr>
        <w:t>Transparency (13 submissions)</w:t>
      </w:r>
      <w:r w:rsidR="00BE030E">
        <w:rPr>
          <w:rFonts w:eastAsia="Cambria" w:cs="Times New Roman"/>
          <w:bCs/>
          <w:color w:val="auto"/>
          <w:szCs w:val="22"/>
        </w:rPr>
        <w:t>;</w:t>
      </w:r>
    </w:p>
    <w:p w14:paraId="682A7D98" w14:textId="20F8565B" w:rsidR="00196762" w:rsidRPr="005C5C45" w:rsidRDefault="00196762" w:rsidP="008B3C14">
      <w:pPr>
        <w:pStyle w:val="ListParagraph"/>
        <w:numPr>
          <w:ilvl w:val="0"/>
          <w:numId w:val="58"/>
        </w:numPr>
        <w:tabs>
          <w:tab w:val="clear" w:pos="2880"/>
        </w:tabs>
        <w:rPr>
          <w:rFonts w:eastAsia="Cambria" w:cs="Times New Roman"/>
          <w:bCs/>
          <w:color w:val="auto"/>
          <w:szCs w:val="22"/>
        </w:rPr>
      </w:pPr>
      <w:r w:rsidRPr="005C5C45">
        <w:rPr>
          <w:rFonts w:eastAsia="Cambria" w:cs="Times New Roman"/>
          <w:bCs/>
          <w:color w:val="auto"/>
          <w:szCs w:val="22"/>
        </w:rPr>
        <w:t>Official Information Act (13 submissions)</w:t>
      </w:r>
      <w:r w:rsidR="00BE030E">
        <w:rPr>
          <w:rFonts w:eastAsia="Cambria" w:cs="Times New Roman"/>
          <w:bCs/>
          <w:color w:val="auto"/>
          <w:szCs w:val="22"/>
        </w:rPr>
        <w:t>;</w:t>
      </w:r>
    </w:p>
    <w:p w14:paraId="41210F9A" w14:textId="15F5A9E4" w:rsidR="00196762" w:rsidRPr="005C5C45" w:rsidRDefault="00196762" w:rsidP="008B3C14">
      <w:pPr>
        <w:pStyle w:val="ListParagraph"/>
        <w:numPr>
          <w:ilvl w:val="0"/>
          <w:numId w:val="58"/>
        </w:numPr>
        <w:tabs>
          <w:tab w:val="clear" w:pos="2880"/>
        </w:tabs>
        <w:rPr>
          <w:rFonts w:eastAsia="Cambria" w:cs="Times New Roman"/>
          <w:bCs/>
          <w:color w:val="auto"/>
          <w:szCs w:val="22"/>
        </w:rPr>
      </w:pPr>
      <w:r w:rsidRPr="005C5C45">
        <w:rPr>
          <w:rFonts w:eastAsia="Cambria" w:cs="Times New Roman"/>
          <w:bCs/>
          <w:color w:val="auto"/>
          <w:szCs w:val="22"/>
        </w:rPr>
        <w:t>Open data (13 submissions)</w:t>
      </w:r>
      <w:r w:rsidR="00BE030E">
        <w:rPr>
          <w:rFonts w:eastAsia="Cambria" w:cs="Times New Roman"/>
          <w:bCs/>
          <w:color w:val="auto"/>
          <w:szCs w:val="22"/>
        </w:rPr>
        <w:t>;</w:t>
      </w:r>
    </w:p>
    <w:p w14:paraId="2C60698D" w14:textId="69AF0F85" w:rsidR="00196762" w:rsidRPr="005C5C45" w:rsidRDefault="00196762" w:rsidP="008B3C14">
      <w:pPr>
        <w:pStyle w:val="ListParagraph"/>
        <w:numPr>
          <w:ilvl w:val="0"/>
          <w:numId w:val="58"/>
        </w:numPr>
        <w:tabs>
          <w:tab w:val="clear" w:pos="2880"/>
        </w:tabs>
        <w:rPr>
          <w:rFonts w:eastAsia="Cambria" w:cs="Times New Roman"/>
          <w:bCs/>
          <w:color w:val="auto"/>
          <w:szCs w:val="22"/>
        </w:rPr>
      </w:pPr>
      <w:r w:rsidRPr="005C5C45">
        <w:rPr>
          <w:rFonts w:eastAsia="Cambria" w:cs="Times New Roman"/>
          <w:bCs/>
          <w:color w:val="auto"/>
          <w:szCs w:val="22"/>
        </w:rPr>
        <w:t>Fiscal transparency (8 submissions)</w:t>
      </w:r>
      <w:r w:rsidR="00BE030E">
        <w:rPr>
          <w:rFonts w:eastAsia="Cambria" w:cs="Times New Roman"/>
          <w:bCs/>
          <w:color w:val="auto"/>
          <w:szCs w:val="22"/>
        </w:rPr>
        <w:t>;</w:t>
      </w:r>
    </w:p>
    <w:p w14:paraId="09BE2190" w14:textId="402FE4C8" w:rsidR="00196762" w:rsidRPr="005C5C45" w:rsidRDefault="00196762" w:rsidP="008B3C14">
      <w:pPr>
        <w:pStyle w:val="ListParagraph"/>
        <w:numPr>
          <w:ilvl w:val="0"/>
          <w:numId w:val="58"/>
        </w:numPr>
        <w:tabs>
          <w:tab w:val="clear" w:pos="2880"/>
        </w:tabs>
        <w:rPr>
          <w:rFonts w:eastAsia="Cambria" w:cs="Times New Roman"/>
          <w:bCs/>
          <w:color w:val="auto"/>
          <w:szCs w:val="22"/>
        </w:rPr>
      </w:pPr>
      <w:r w:rsidRPr="005C5C45">
        <w:rPr>
          <w:rFonts w:eastAsia="Cambria" w:cs="Times New Roman"/>
          <w:bCs/>
          <w:color w:val="auto"/>
          <w:szCs w:val="22"/>
        </w:rPr>
        <w:t>Standards and cultu</w:t>
      </w:r>
      <w:r w:rsidR="005D2C1F" w:rsidRPr="005C5C45">
        <w:rPr>
          <w:rFonts w:eastAsia="Cambria" w:cs="Times New Roman"/>
          <w:bCs/>
          <w:color w:val="auto"/>
          <w:szCs w:val="22"/>
        </w:rPr>
        <w:t>re around</w:t>
      </w:r>
      <w:r w:rsidRPr="005C5C45">
        <w:rPr>
          <w:rFonts w:eastAsia="Cambria" w:cs="Times New Roman"/>
          <w:bCs/>
          <w:color w:val="auto"/>
          <w:szCs w:val="22"/>
        </w:rPr>
        <w:t xml:space="preserve"> open data/open information (8 submissions)</w:t>
      </w:r>
      <w:r w:rsidR="00BE030E">
        <w:rPr>
          <w:rFonts w:eastAsia="Cambria" w:cs="Times New Roman"/>
          <w:bCs/>
          <w:color w:val="auto"/>
          <w:szCs w:val="22"/>
        </w:rPr>
        <w:t>; and</w:t>
      </w:r>
    </w:p>
    <w:p w14:paraId="3337CF40" w14:textId="4AF70B8D" w:rsidR="00196762" w:rsidRPr="005C5C45" w:rsidRDefault="00196762" w:rsidP="00171D48">
      <w:pPr>
        <w:pStyle w:val="ListParagraph"/>
        <w:numPr>
          <w:ilvl w:val="0"/>
          <w:numId w:val="58"/>
        </w:numPr>
        <w:tabs>
          <w:tab w:val="clear" w:pos="2880"/>
        </w:tabs>
        <w:rPr>
          <w:rFonts w:eastAsia="Cambria" w:cs="Times New Roman"/>
          <w:bCs/>
          <w:color w:val="auto"/>
          <w:szCs w:val="22"/>
        </w:rPr>
      </w:pPr>
      <w:proofErr w:type="spellStart"/>
      <w:r w:rsidRPr="005C5C45">
        <w:rPr>
          <w:rFonts w:eastAsia="Cambria" w:cs="Times New Roman"/>
          <w:bCs/>
          <w:color w:val="auto"/>
          <w:szCs w:val="22"/>
        </w:rPr>
        <w:t>Ongoing</w:t>
      </w:r>
      <w:proofErr w:type="spellEnd"/>
      <w:r w:rsidRPr="005C5C45">
        <w:rPr>
          <w:rFonts w:eastAsia="Cambria" w:cs="Times New Roman"/>
          <w:bCs/>
          <w:color w:val="auto"/>
          <w:szCs w:val="22"/>
        </w:rPr>
        <w:t xml:space="preserve"> engagement (1 submission)</w:t>
      </w:r>
      <w:r w:rsidR="00BE030E">
        <w:rPr>
          <w:rFonts w:eastAsia="Cambria" w:cs="Times New Roman"/>
          <w:bCs/>
          <w:color w:val="auto"/>
          <w:szCs w:val="22"/>
        </w:rPr>
        <w:t>.</w:t>
      </w:r>
    </w:p>
    <w:p w14:paraId="7F169FF7" w14:textId="3A15E959" w:rsidR="00694E18" w:rsidRPr="005C5C45" w:rsidRDefault="00196762" w:rsidP="00AF1990">
      <w:pPr>
        <w:pStyle w:val="Normalrglronly"/>
      </w:pPr>
      <w:r w:rsidRPr="005C5C45">
        <w:t xml:space="preserve">Workshop members </w:t>
      </w:r>
      <w:r w:rsidR="00C31521" w:rsidRPr="005C5C45">
        <w:t>then</w:t>
      </w:r>
      <w:r w:rsidR="009B3FAF" w:rsidRPr="005C5C45">
        <w:t xml:space="preserve"> </w:t>
      </w:r>
      <w:r w:rsidR="001450C6">
        <w:t>drafted</w:t>
      </w:r>
      <w:r w:rsidR="001450C6" w:rsidRPr="005C5C45">
        <w:t xml:space="preserve"> </w:t>
      </w:r>
      <w:r w:rsidR="00EA2F88" w:rsidRPr="005C5C45">
        <w:t xml:space="preserve">14 </w:t>
      </w:r>
      <w:proofErr w:type="gramStart"/>
      <w:r w:rsidR="00EA2F88" w:rsidRPr="005C5C45">
        <w:t xml:space="preserve">templates </w:t>
      </w:r>
      <w:r w:rsidR="009B3FAF" w:rsidRPr="005C5C45">
        <w:t>which</w:t>
      </w:r>
      <w:proofErr w:type="gramEnd"/>
      <w:r w:rsidR="009B3FAF" w:rsidRPr="005C5C45">
        <w:t xml:space="preserve"> built</w:t>
      </w:r>
      <w:r w:rsidR="000067EF" w:rsidRPr="005C5C45">
        <w:t xml:space="preserve"> on some of the themes</w:t>
      </w:r>
      <w:r w:rsidR="00AE00CA" w:rsidRPr="005C5C45">
        <w:t xml:space="preserve">. </w:t>
      </w:r>
      <w:r w:rsidR="00EA2F88" w:rsidRPr="005C5C45">
        <w:t xml:space="preserve">After the workshop, the SSC </w:t>
      </w:r>
      <w:r w:rsidR="009B2E93" w:rsidRPr="005C5C45">
        <w:t>fin</w:t>
      </w:r>
      <w:r w:rsidR="00694E18" w:rsidRPr="005C5C45">
        <w:t xml:space="preserve">alised the seven commitments </w:t>
      </w:r>
      <w:r w:rsidR="00EA2F88" w:rsidRPr="005C5C45">
        <w:t xml:space="preserve">with </w:t>
      </w:r>
      <w:r w:rsidR="000067EF" w:rsidRPr="005C5C45">
        <w:t xml:space="preserve">its </w:t>
      </w:r>
      <w:r w:rsidR="00EA2F88" w:rsidRPr="005C5C45">
        <w:t xml:space="preserve">officials, </w:t>
      </w:r>
      <w:r w:rsidR="000067EF" w:rsidRPr="005C5C45">
        <w:t>the EAP</w:t>
      </w:r>
      <w:r w:rsidR="00361DDC" w:rsidRPr="005C5C45">
        <w:t>,</w:t>
      </w:r>
      <w:r w:rsidR="00EA2F88" w:rsidRPr="005C5C45">
        <w:t xml:space="preserve"> and </w:t>
      </w:r>
      <w:r w:rsidR="005D2C1F" w:rsidRPr="005C5C45">
        <w:t xml:space="preserve">a </w:t>
      </w:r>
      <w:r w:rsidR="00EA2F88" w:rsidRPr="005C5C45">
        <w:t xml:space="preserve">member of </w:t>
      </w:r>
      <w:r w:rsidR="005D2C1F" w:rsidRPr="005C5C45">
        <w:t xml:space="preserve">the </w:t>
      </w:r>
      <w:proofErr w:type="spellStart"/>
      <w:r w:rsidR="005D2C1F" w:rsidRPr="005C5C45">
        <w:t>HuiE</w:t>
      </w:r>
      <w:proofErr w:type="spellEnd"/>
      <w:r w:rsidR="005D2C1F" w:rsidRPr="005C5C45">
        <w:t xml:space="preserve"> </w:t>
      </w:r>
      <w:r w:rsidR="00EA2F88" w:rsidRPr="005C5C45">
        <w:t>civil society organisation</w:t>
      </w:r>
      <w:r w:rsidR="000067EF" w:rsidRPr="005C5C45">
        <w:t xml:space="preserve">. There was no further </w:t>
      </w:r>
      <w:r w:rsidR="00053BF9" w:rsidRPr="005C5C45">
        <w:t>public</w:t>
      </w:r>
      <w:r w:rsidR="00EA2F88" w:rsidRPr="005C5C45">
        <w:t xml:space="preserve"> participation.</w:t>
      </w:r>
      <w:r w:rsidR="001E3D97" w:rsidRPr="005C5C45">
        <w:t xml:space="preserve"> </w:t>
      </w:r>
      <w:r w:rsidR="00EC4902">
        <w:lastRenderedPageBreak/>
        <w:t>Five</w:t>
      </w:r>
      <w:r w:rsidR="00AF27B9">
        <w:t xml:space="preserve"> </w:t>
      </w:r>
      <w:r w:rsidR="005D2C1F" w:rsidRPr="005C5C45">
        <w:t xml:space="preserve">of the final </w:t>
      </w:r>
      <w:r w:rsidR="001E3D97" w:rsidRPr="005C5C45">
        <w:t>commitments re</w:t>
      </w:r>
      <w:r w:rsidR="005D2C1F" w:rsidRPr="005C5C45">
        <w:t>lated to</w:t>
      </w:r>
      <w:r w:rsidR="001E3D97" w:rsidRPr="005C5C45">
        <w:t xml:space="preserve"> </w:t>
      </w:r>
      <w:r w:rsidR="00E54955" w:rsidRPr="005C5C45">
        <w:t xml:space="preserve">elements of </w:t>
      </w:r>
      <w:r w:rsidR="001E3D97" w:rsidRPr="005C5C45">
        <w:t xml:space="preserve">the </w:t>
      </w:r>
      <w:r w:rsidR="008B3C14" w:rsidRPr="005C5C45">
        <w:t xml:space="preserve">eight </w:t>
      </w:r>
      <w:r w:rsidR="001E3D97" w:rsidRPr="005C5C45">
        <w:t>themes</w:t>
      </w:r>
      <w:r w:rsidR="008B3C14" w:rsidRPr="005C5C45">
        <w:t xml:space="preserve"> drafted by Engage2</w:t>
      </w:r>
      <w:r w:rsidR="00E54955" w:rsidRPr="005C5C45">
        <w:t xml:space="preserve">. Commitment </w:t>
      </w:r>
      <w:r w:rsidR="002122C2">
        <w:t>6</w:t>
      </w:r>
      <w:r w:rsidR="002122C2" w:rsidRPr="005C5C45">
        <w:t xml:space="preserve"> </w:t>
      </w:r>
      <w:r w:rsidR="008B3C14" w:rsidRPr="005C5C45">
        <w:t>(</w:t>
      </w:r>
      <w:r w:rsidR="00E54955" w:rsidRPr="005C5C45">
        <w:t>improving access to legislation</w:t>
      </w:r>
      <w:r w:rsidR="008B3C14" w:rsidRPr="005C5C45">
        <w:t>)</w:t>
      </w:r>
      <w:r w:rsidR="00E54955" w:rsidRPr="005C5C45">
        <w:t xml:space="preserve"> and </w:t>
      </w:r>
      <w:r w:rsidR="002122C2">
        <w:t>C</w:t>
      </w:r>
      <w:r w:rsidR="00E54955" w:rsidRPr="005C5C45">
        <w:t xml:space="preserve">ommitment </w:t>
      </w:r>
      <w:r w:rsidR="002122C2">
        <w:t>7</w:t>
      </w:r>
      <w:r w:rsidR="002122C2" w:rsidRPr="005C5C45">
        <w:t xml:space="preserve"> </w:t>
      </w:r>
      <w:r w:rsidR="008B3C14" w:rsidRPr="005C5C45">
        <w:t>(</w:t>
      </w:r>
      <w:r w:rsidR="00E54955" w:rsidRPr="005C5C45">
        <w:t>improving policy practices</w:t>
      </w:r>
      <w:r w:rsidR="008B3C14" w:rsidRPr="005C5C45">
        <w:t>)</w:t>
      </w:r>
      <w:r w:rsidR="00E54955" w:rsidRPr="005C5C45">
        <w:t xml:space="preserve"> were not discussed at the workshop.</w:t>
      </w:r>
    </w:p>
    <w:p w14:paraId="04C89E06" w14:textId="219CECDB" w:rsidR="00F94C26" w:rsidRPr="005C5C45" w:rsidRDefault="00F94C26" w:rsidP="00AF1990">
      <w:pPr>
        <w:pStyle w:val="Normalrglronly"/>
        <w:rPr>
          <w:i/>
        </w:rPr>
      </w:pPr>
      <w:r w:rsidRPr="005C5C45">
        <w:t xml:space="preserve">There are no online minutes of any EAP meeting </w:t>
      </w:r>
      <w:r w:rsidR="002122C2">
        <w:t>that</w:t>
      </w:r>
      <w:r w:rsidR="002122C2" w:rsidRPr="005C5C45">
        <w:t xml:space="preserve"> </w:t>
      </w:r>
      <w:r w:rsidRPr="005C5C45">
        <w:t>approved the final action plan. The minutes of the 20 September 2016 meeting note discussion about potential commitments.</w:t>
      </w:r>
      <w:r w:rsidRPr="005C5C45">
        <w:rPr>
          <w:rStyle w:val="EndnoteReference"/>
          <w:bCs w:val="0"/>
        </w:rPr>
        <w:endnoteReference w:id="67"/>
      </w:r>
      <w:r w:rsidRPr="005C5C45">
        <w:t xml:space="preserve"> There were no further formal meetings before the Minister of State Services released the final action plan on 20 October 2016.</w:t>
      </w:r>
    </w:p>
    <w:p w14:paraId="35EDAB12" w14:textId="77777777" w:rsidR="008B3C14" w:rsidRPr="005C5C45" w:rsidRDefault="00EA2F88" w:rsidP="00AF1990">
      <w:pPr>
        <w:pStyle w:val="Normalrglronly"/>
      </w:pPr>
      <w:r w:rsidRPr="005C5C45">
        <w:t>D</w:t>
      </w:r>
      <w:r w:rsidR="000067EF" w:rsidRPr="005C5C45">
        <w:t>espite Engage2’s intensive activity</w:t>
      </w:r>
      <w:r w:rsidR="00053BF9" w:rsidRPr="005C5C45">
        <w:t>,</w:t>
      </w:r>
      <w:r w:rsidRPr="005C5C45">
        <w:t xml:space="preserve"> well supported by the SSC, actual </w:t>
      </w:r>
      <w:r w:rsidR="008B3C14" w:rsidRPr="005C5C45">
        <w:t xml:space="preserve">civil society </w:t>
      </w:r>
      <w:r w:rsidRPr="005C5C45">
        <w:t>participation was low</w:t>
      </w:r>
      <w:r w:rsidR="002D7680" w:rsidRPr="005C5C45">
        <w:t>,</w:t>
      </w:r>
      <w:r w:rsidRPr="005C5C45">
        <w:t xml:space="preserve"> and knowledge of the engagement </w:t>
      </w:r>
      <w:r w:rsidR="00A72014" w:rsidRPr="005C5C45">
        <w:t xml:space="preserve">was </w:t>
      </w:r>
      <w:r w:rsidRPr="005C5C45">
        <w:t>unknown outside the usual channels.</w:t>
      </w:r>
      <w:r w:rsidR="00AE00CA" w:rsidRPr="005C5C45">
        <w:t xml:space="preserve"> </w:t>
      </w:r>
      <w:r w:rsidR="0029230D" w:rsidRPr="005C5C45">
        <w:t xml:space="preserve">Stakeholders </w:t>
      </w:r>
      <w:r w:rsidR="00E54955" w:rsidRPr="005C5C45">
        <w:t xml:space="preserve">who knew about the engagement process </w:t>
      </w:r>
      <w:r w:rsidR="0029230D" w:rsidRPr="005C5C45">
        <w:t>generally felt that this action plan, the programme to develop it</w:t>
      </w:r>
      <w:r w:rsidR="000067EF" w:rsidRPr="005C5C45">
        <w:t>,</w:t>
      </w:r>
      <w:r w:rsidR="0029230D" w:rsidRPr="005C5C45">
        <w:t xml:space="preserve"> and the commitments were a significan</w:t>
      </w:r>
      <w:r w:rsidR="000067EF" w:rsidRPr="005C5C45">
        <w:t>t improvement on the first plan.</w:t>
      </w:r>
      <w:r w:rsidR="0029230D" w:rsidRPr="005C5C45">
        <w:t xml:space="preserve"> They ap</w:t>
      </w:r>
      <w:r w:rsidR="00694E18" w:rsidRPr="005C5C45">
        <w:t xml:space="preserve">plauded </w:t>
      </w:r>
      <w:r w:rsidR="000067EF" w:rsidRPr="005C5C45">
        <w:t xml:space="preserve">the </w:t>
      </w:r>
      <w:r w:rsidR="0029230D" w:rsidRPr="005C5C45">
        <w:t xml:space="preserve">SSC for committing to improve the process and </w:t>
      </w:r>
      <w:r w:rsidR="00694E18" w:rsidRPr="005C5C45">
        <w:t>broaden</w:t>
      </w:r>
      <w:r w:rsidR="0029230D" w:rsidRPr="005C5C45">
        <w:t xml:space="preserve"> stakeholder involvement</w:t>
      </w:r>
      <w:r w:rsidR="00694E18" w:rsidRPr="005C5C45">
        <w:t>.</w:t>
      </w:r>
      <w:r w:rsidR="0029230D" w:rsidRPr="005C5C45">
        <w:t xml:space="preserve"> </w:t>
      </w:r>
      <w:r w:rsidR="008B3C14" w:rsidRPr="005C5C45">
        <w:t xml:space="preserve">The IRM researcher also notes that stakeholders interviewed who had not known about the engagement process had no comment on it, </w:t>
      </w:r>
      <w:proofErr w:type="gramStart"/>
      <w:r w:rsidR="008B3C14" w:rsidRPr="005C5C45">
        <w:t>nor</w:t>
      </w:r>
      <w:proofErr w:type="gramEnd"/>
      <w:r w:rsidR="008B3C14" w:rsidRPr="005C5C45">
        <w:t xml:space="preserve"> recommendations to improve the process. Their feedback related to the individual commitments.</w:t>
      </w:r>
    </w:p>
    <w:p w14:paraId="237A4D5E" w14:textId="1C41CC2B" w:rsidR="00687A52" w:rsidRPr="005C5C45" w:rsidRDefault="0029230D" w:rsidP="00AF1990">
      <w:pPr>
        <w:pStyle w:val="Normalrglronly"/>
      </w:pPr>
      <w:r w:rsidRPr="005C5C45">
        <w:t xml:space="preserve">However, </w:t>
      </w:r>
      <w:r w:rsidR="00053BF9" w:rsidRPr="005C5C45">
        <w:t>all</w:t>
      </w:r>
      <w:r w:rsidRPr="005C5C45">
        <w:t xml:space="preserve"> </w:t>
      </w:r>
      <w:r w:rsidR="008B3C14" w:rsidRPr="005C5C45">
        <w:t xml:space="preserve">stakeholders </w:t>
      </w:r>
      <w:r w:rsidRPr="005C5C45">
        <w:t xml:space="preserve">felt </w:t>
      </w:r>
      <w:r w:rsidR="00CB3795" w:rsidRPr="005C5C45">
        <w:t>the constrained</w:t>
      </w:r>
      <w:r w:rsidRPr="005C5C45">
        <w:t xml:space="preserve"> time</w:t>
      </w:r>
      <w:r w:rsidR="000067EF" w:rsidRPr="005C5C45">
        <w:t xml:space="preserve">line </w:t>
      </w:r>
      <w:r w:rsidR="00053BF9" w:rsidRPr="005C5C45">
        <w:t>limited its impact</w:t>
      </w:r>
      <w:r w:rsidR="00E50125" w:rsidRPr="005C5C45">
        <w:t xml:space="preserve"> and that t</w:t>
      </w:r>
      <w:r w:rsidRPr="005C5C45">
        <w:t>he online engagement tools favoured individual</w:t>
      </w:r>
      <w:r w:rsidR="00387BC5">
        <w:t>s’</w:t>
      </w:r>
      <w:r w:rsidRPr="005C5C45">
        <w:t xml:space="preserve"> proposals over </w:t>
      </w:r>
      <w:r w:rsidR="00CB3795" w:rsidRPr="005C5C45">
        <w:t>the prioritised proposals</w:t>
      </w:r>
      <w:r w:rsidR="00053BF9" w:rsidRPr="005C5C45">
        <w:t xml:space="preserve"> </w:t>
      </w:r>
      <w:r w:rsidR="00387BC5">
        <w:t xml:space="preserve">developed by </w:t>
      </w:r>
      <w:r w:rsidR="000067EF" w:rsidRPr="005C5C45">
        <w:t>civil society organisations</w:t>
      </w:r>
      <w:r w:rsidR="00CB3795" w:rsidRPr="005C5C45">
        <w:t>. T</w:t>
      </w:r>
      <w:r w:rsidR="000067EF" w:rsidRPr="005C5C45">
        <w:t>here was</w:t>
      </w:r>
      <w:r w:rsidR="00053BF9" w:rsidRPr="005C5C45">
        <w:t xml:space="preserve"> concern that all the final commitments </w:t>
      </w:r>
      <w:r w:rsidR="000067EF" w:rsidRPr="005C5C45">
        <w:t>were</w:t>
      </w:r>
      <w:r w:rsidR="00053BF9" w:rsidRPr="005C5C45">
        <w:t xml:space="preserve"> central governm</w:t>
      </w:r>
      <w:r w:rsidR="000067EF" w:rsidRPr="005C5C45">
        <w:t>ent and Wellington-based</w:t>
      </w:r>
      <w:r w:rsidR="00CB3795" w:rsidRPr="005C5C45">
        <w:t xml:space="preserve">, and </w:t>
      </w:r>
      <w:r w:rsidR="008B3C14" w:rsidRPr="005C5C45">
        <w:t xml:space="preserve">many felt </w:t>
      </w:r>
      <w:r w:rsidR="000067EF" w:rsidRPr="005C5C45">
        <w:t>disappoint</w:t>
      </w:r>
      <w:r w:rsidR="008B3C14" w:rsidRPr="005C5C45">
        <w:t>ed</w:t>
      </w:r>
      <w:r w:rsidR="000067EF" w:rsidRPr="005C5C45">
        <w:t xml:space="preserve"> </w:t>
      </w:r>
      <w:r w:rsidR="00B715F8" w:rsidRPr="005C5C45">
        <w:t>that</w:t>
      </w:r>
      <w:r w:rsidR="000067EF" w:rsidRPr="005C5C45">
        <w:t xml:space="preserve"> there was no</w:t>
      </w:r>
      <w:r w:rsidR="00B715F8" w:rsidRPr="005C5C45">
        <w:t xml:space="preserve"> further communication until the actio</w:t>
      </w:r>
      <w:r w:rsidR="00CB3795" w:rsidRPr="005C5C45">
        <w:t>n p</w:t>
      </w:r>
      <w:r w:rsidR="000067EF" w:rsidRPr="005C5C45">
        <w:t xml:space="preserve">lan was released in October, nor </w:t>
      </w:r>
      <w:r w:rsidR="00CB3795" w:rsidRPr="005C5C45">
        <w:t>feedback to individual submitters.</w:t>
      </w:r>
    </w:p>
    <w:p w14:paraId="08F783F0" w14:textId="2231BE8E" w:rsidR="00EA2F88" w:rsidRPr="005C5C45" w:rsidRDefault="001D6945" w:rsidP="00AF1990">
      <w:pPr>
        <w:pStyle w:val="Normalrglronly"/>
      </w:pPr>
      <w:r w:rsidRPr="005C5C45">
        <w:t xml:space="preserve">Overall EAP feedback on the engagement process was mixed: some praised the process, saying it engendered </w:t>
      </w:r>
      <w:r w:rsidR="002122C2">
        <w:t>‘</w:t>
      </w:r>
      <w:r w:rsidRPr="005C5C45">
        <w:t>robust discussion</w:t>
      </w:r>
      <w:r w:rsidR="002122C2">
        <w:t>’.</w:t>
      </w:r>
      <w:r w:rsidRPr="005C5C45">
        <w:t xml:space="preserve"> Another member also was impressed with the standard of commitments. However, other members also raised weaknesses of the process, such as it being too </w:t>
      </w:r>
      <w:r w:rsidR="002122C2">
        <w:t>‘</w:t>
      </w:r>
      <w:r w:rsidRPr="005C5C45">
        <w:t>top-down</w:t>
      </w:r>
      <w:r w:rsidR="002122C2">
        <w:t>’</w:t>
      </w:r>
      <w:r w:rsidRPr="005C5C45">
        <w:t xml:space="preserve">. One member said, the </w:t>
      </w:r>
      <w:r w:rsidR="002122C2">
        <w:t>‘</w:t>
      </w:r>
      <w:r w:rsidRPr="005C5C45">
        <w:t>government needs to appreciate c</w:t>
      </w:r>
      <w:r w:rsidR="00AF1990" w:rsidRPr="005C5C45">
        <w:t>o-ownership with the public</w:t>
      </w:r>
      <w:r w:rsidR="002122C2">
        <w:t>’.</w:t>
      </w:r>
    </w:p>
    <w:p w14:paraId="1A8D3B12" w14:textId="77777777" w:rsidR="00EA2F88" w:rsidRPr="005C5C45" w:rsidRDefault="00EA2F88" w:rsidP="00F41DC3">
      <w:pPr>
        <w:pStyle w:val="Tableheader"/>
      </w:pPr>
      <w:r w:rsidRPr="005C5C45">
        <w:t xml:space="preserve">Table 3.4: Level of Public Influence </w:t>
      </w:r>
    </w:p>
    <w:p w14:paraId="371FF3D0" w14:textId="38BCCB66" w:rsidR="00EA2F88" w:rsidRPr="005C5C45" w:rsidRDefault="00EA2F88" w:rsidP="00AF1990">
      <w:pPr>
        <w:pStyle w:val="Normalrglronly"/>
      </w:pPr>
      <w:r w:rsidRPr="005C5C45">
        <w:t xml:space="preserve">The IRM has adapted the International Association for Public Participation (IAP2) </w:t>
      </w:r>
      <w:r w:rsidR="005C7437">
        <w:t>‘</w:t>
      </w:r>
      <w:r w:rsidRPr="005C5C45">
        <w:t>Spectrum of Participation</w:t>
      </w:r>
      <w:r w:rsidR="005C7437">
        <w:t>’</w:t>
      </w:r>
      <w:r w:rsidRPr="005C5C45">
        <w:t xml:space="preserve"> to apply to OGP.</w:t>
      </w:r>
      <w:r w:rsidRPr="005C5C45">
        <w:rPr>
          <w:rStyle w:val="EndnoteReference"/>
        </w:rPr>
        <w:endnoteReference w:id="68"/>
      </w:r>
      <w:r w:rsidRPr="005C5C45">
        <w:t xml:space="preserve"> This spectrum shows the potential level of public influence on the contents of the action plan. In the spirit of OGP, most countries sho</w:t>
      </w:r>
      <w:r w:rsidR="00852145" w:rsidRPr="005C5C45">
        <w:t xml:space="preserve">uld aspire for </w:t>
      </w:r>
      <w:r w:rsidR="005C7437">
        <w:t>‘</w:t>
      </w:r>
      <w:r w:rsidR="00852145" w:rsidRPr="005C5C45">
        <w:t>collaborative</w:t>
      </w:r>
      <w:r w:rsidR="005C7437">
        <w:t>’.</w:t>
      </w:r>
    </w:p>
    <w:p w14:paraId="5FD936F8" w14:textId="77777777" w:rsidR="00EA2F88" w:rsidRPr="005C5C45" w:rsidRDefault="00EA2F88" w:rsidP="00F41DC3">
      <w:pPr>
        <w:pStyle w:val="Tableheader"/>
      </w:pPr>
    </w:p>
    <w:tbl>
      <w:tblPr>
        <w:tblStyle w:val="TableGrid"/>
        <w:tblW w:w="9576" w:type="dxa"/>
        <w:tblLayout w:type="fixed"/>
        <w:tblLook w:val="04A0" w:firstRow="1" w:lastRow="0" w:firstColumn="1" w:lastColumn="0" w:noHBand="0" w:noVBand="1"/>
      </w:tblPr>
      <w:tblGrid>
        <w:gridCol w:w="1814"/>
        <w:gridCol w:w="3784"/>
        <w:gridCol w:w="1890"/>
        <w:gridCol w:w="2088"/>
      </w:tblGrid>
      <w:tr w:rsidR="00EA2F88" w:rsidRPr="005C5C45" w14:paraId="4F288441" w14:textId="77777777" w:rsidTr="005F5B24">
        <w:trPr>
          <w:trHeight w:val="836"/>
        </w:trPr>
        <w:tc>
          <w:tcPr>
            <w:tcW w:w="5598" w:type="dxa"/>
            <w:gridSpan w:val="2"/>
            <w:shd w:val="clear" w:color="auto" w:fill="28521A" w:themeFill="accent2" w:themeFillShade="80"/>
            <w:vAlign w:val="center"/>
          </w:tcPr>
          <w:p w14:paraId="2B1EC214" w14:textId="77777777" w:rsidR="00EA2F88" w:rsidRPr="005C5C45" w:rsidRDefault="00EA2F88" w:rsidP="005F5B24">
            <w:pPr>
              <w:pStyle w:val="Heading5"/>
              <w:rPr>
                <w:color w:val="FFFFFF" w:themeColor="background1"/>
              </w:rPr>
            </w:pPr>
            <w:r w:rsidRPr="005C5C45">
              <w:rPr>
                <w:color w:val="FFFFFF" w:themeColor="background1"/>
              </w:rPr>
              <w:lastRenderedPageBreak/>
              <w:t>Level of public input</w:t>
            </w:r>
          </w:p>
        </w:tc>
        <w:tc>
          <w:tcPr>
            <w:tcW w:w="1890" w:type="dxa"/>
            <w:shd w:val="clear" w:color="auto" w:fill="28521A" w:themeFill="accent2" w:themeFillShade="80"/>
            <w:vAlign w:val="center"/>
          </w:tcPr>
          <w:p w14:paraId="56084804" w14:textId="77777777" w:rsidR="00EA2F88" w:rsidRPr="005C5C45" w:rsidRDefault="00EA2F88" w:rsidP="005F5B24">
            <w:pPr>
              <w:pStyle w:val="Heading5"/>
              <w:rPr>
                <w:color w:val="FFFFFF" w:themeColor="background1"/>
              </w:rPr>
            </w:pPr>
            <w:r w:rsidRPr="005C5C45">
              <w:rPr>
                <w:color w:val="FFFFFF" w:themeColor="background1"/>
              </w:rPr>
              <w:t>During development of action plan</w:t>
            </w:r>
          </w:p>
        </w:tc>
        <w:tc>
          <w:tcPr>
            <w:tcW w:w="2088" w:type="dxa"/>
            <w:shd w:val="clear" w:color="auto" w:fill="28521A" w:themeFill="accent2" w:themeFillShade="80"/>
            <w:vAlign w:val="center"/>
          </w:tcPr>
          <w:p w14:paraId="16BF97A0" w14:textId="77777777" w:rsidR="00EA2F88" w:rsidRPr="005C5C45" w:rsidRDefault="00EA2F88" w:rsidP="005F5B24">
            <w:pPr>
              <w:pStyle w:val="Heading5"/>
              <w:rPr>
                <w:color w:val="FFFFFF" w:themeColor="background1"/>
              </w:rPr>
            </w:pPr>
            <w:r w:rsidRPr="005C5C45">
              <w:rPr>
                <w:color w:val="FFFFFF" w:themeColor="background1"/>
              </w:rPr>
              <w:t>During implementation of action plan</w:t>
            </w:r>
          </w:p>
        </w:tc>
      </w:tr>
      <w:tr w:rsidR="00EA2F88" w:rsidRPr="005C5C45" w14:paraId="75B45B00" w14:textId="77777777" w:rsidTr="005F5B24">
        <w:tc>
          <w:tcPr>
            <w:tcW w:w="1814" w:type="dxa"/>
            <w:shd w:val="clear" w:color="auto" w:fill="28521A" w:themeFill="accent2" w:themeFillShade="80"/>
            <w:vAlign w:val="center"/>
          </w:tcPr>
          <w:p w14:paraId="6066951E" w14:textId="77777777" w:rsidR="00EA2F88" w:rsidRPr="005C5C45" w:rsidRDefault="00EA2F88" w:rsidP="005F5B24">
            <w:pPr>
              <w:pStyle w:val="Heading5"/>
              <w:rPr>
                <w:color w:val="FFFFFF" w:themeColor="background1"/>
              </w:rPr>
            </w:pPr>
            <w:r w:rsidRPr="005C5C45">
              <w:rPr>
                <w:color w:val="FFFFFF" w:themeColor="background1"/>
              </w:rPr>
              <w:t>Empower</w:t>
            </w:r>
          </w:p>
        </w:tc>
        <w:tc>
          <w:tcPr>
            <w:tcW w:w="3784" w:type="dxa"/>
            <w:shd w:val="clear" w:color="auto" w:fill="28521A" w:themeFill="accent2" w:themeFillShade="80"/>
            <w:vAlign w:val="center"/>
          </w:tcPr>
          <w:p w14:paraId="5A738221" w14:textId="77777777" w:rsidR="00EA2F88" w:rsidRPr="005C5C45" w:rsidRDefault="00EA2F88" w:rsidP="005F5B24">
            <w:pPr>
              <w:pStyle w:val="Rowcolumntitles"/>
              <w:rPr>
                <w:color w:val="FFFFFF" w:themeColor="background1"/>
              </w:rPr>
            </w:pPr>
            <w:r w:rsidRPr="005C5C45">
              <w:rPr>
                <w:color w:val="FFFFFF" w:themeColor="background1"/>
              </w:rPr>
              <w:t>The government handed decision-making power to members of the public.</w:t>
            </w:r>
          </w:p>
        </w:tc>
        <w:tc>
          <w:tcPr>
            <w:tcW w:w="1890" w:type="dxa"/>
            <w:shd w:val="clear" w:color="auto" w:fill="28521A" w:themeFill="accent2" w:themeFillShade="80"/>
            <w:vAlign w:val="center"/>
          </w:tcPr>
          <w:p w14:paraId="1C540ADA" w14:textId="77777777" w:rsidR="00EA2F88" w:rsidRPr="005C5C45" w:rsidRDefault="00EA2F88" w:rsidP="005F5B24">
            <w:pPr>
              <w:spacing w:after="120"/>
              <w:jc w:val="center"/>
              <w:rPr>
                <w:rFonts w:ascii="Zapf Dingbats" w:hAnsi="Zapf Dingbats"/>
                <w:color w:val="FFFFFF" w:themeColor="background1"/>
                <w:szCs w:val="22"/>
              </w:rPr>
            </w:pPr>
          </w:p>
        </w:tc>
        <w:tc>
          <w:tcPr>
            <w:tcW w:w="2088" w:type="dxa"/>
            <w:shd w:val="clear" w:color="auto" w:fill="28521A" w:themeFill="accent2" w:themeFillShade="80"/>
            <w:vAlign w:val="center"/>
          </w:tcPr>
          <w:p w14:paraId="5F30FF05" w14:textId="77777777" w:rsidR="00EA2F88" w:rsidRPr="005C5C45" w:rsidRDefault="00EA2F88" w:rsidP="005F5B24">
            <w:pPr>
              <w:spacing w:after="120"/>
              <w:jc w:val="center"/>
              <w:rPr>
                <w:color w:val="FFFFFF" w:themeColor="background1"/>
                <w:szCs w:val="22"/>
              </w:rPr>
            </w:pPr>
          </w:p>
        </w:tc>
      </w:tr>
      <w:tr w:rsidR="00EA2F88" w:rsidRPr="005C5C45" w14:paraId="2107A5D9" w14:textId="77777777" w:rsidTr="005F5B24">
        <w:tc>
          <w:tcPr>
            <w:tcW w:w="1814" w:type="dxa"/>
            <w:shd w:val="clear" w:color="auto" w:fill="3C7B27" w:themeFill="accent2" w:themeFillShade="BF"/>
            <w:vAlign w:val="center"/>
          </w:tcPr>
          <w:p w14:paraId="2313F654" w14:textId="77777777" w:rsidR="00EA2F88" w:rsidRPr="005C5C45" w:rsidRDefault="00EA2F88" w:rsidP="005F5B24">
            <w:pPr>
              <w:pStyle w:val="Heading5"/>
              <w:rPr>
                <w:color w:val="FFFFFF" w:themeColor="background1"/>
              </w:rPr>
            </w:pPr>
            <w:r w:rsidRPr="005C5C45">
              <w:rPr>
                <w:color w:val="FFFFFF" w:themeColor="background1"/>
              </w:rPr>
              <w:t>Collaborate</w:t>
            </w:r>
          </w:p>
        </w:tc>
        <w:tc>
          <w:tcPr>
            <w:tcW w:w="3784" w:type="dxa"/>
            <w:shd w:val="clear" w:color="auto" w:fill="3C7B27" w:themeFill="accent2" w:themeFillShade="BF"/>
            <w:vAlign w:val="center"/>
          </w:tcPr>
          <w:p w14:paraId="4FDDBA93" w14:textId="77777777" w:rsidR="00EA2F88" w:rsidRPr="005C5C45" w:rsidRDefault="00EA2F88" w:rsidP="005F5B24">
            <w:pPr>
              <w:pStyle w:val="Rowcolumntitles"/>
              <w:rPr>
                <w:color w:val="FFFFFF" w:themeColor="background1"/>
              </w:rPr>
            </w:pPr>
            <w:r w:rsidRPr="005C5C45">
              <w:rPr>
                <w:color w:val="FFFFFF" w:themeColor="background1"/>
              </w:rPr>
              <w:t>There was iterative dialogue AND the public helped set the agenda.</w:t>
            </w:r>
          </w:p>
        </w:tc>
        <w:tc>
          <w:tcPr>
            <w:tcW w:w="1890" w:type="dxa"/>
            <w:shd w:val="clear" w:color="auto" w:fill="3C7B27" w:themeFill="accent2" w:themeFillShade="BF"/>
            <w:vAlign w:val="center"/>
          </w:tcPr>
          <w:p w14:paraId="084B6CE0" w14:textId="77777777" w:rsidR="00EA2F88" w:rsidRPr="005C5C45" w:rsidRDefault="00EA2F88" w:rsidP="005F5B24">
            <w:pPr>
              <w:spacing w:after="120"/>
              <w:jc w:val="center"/>
              <w:rPr>
                <w:color w:val="FFFFFF" w:themeColor="background1"/>
                <w:szCs w:val="22"/>
              </w:rPr>
            </w:pPr>
          </w:p>
        </w:tc>
        <w:tc>
          <w:tcPr>
            <w:tcW w:w="2088" w:type="dxa"/>
            <w:shd w:val="clear" w:color="auto" w:fill="3C7B27" w:themeFill="accent2" w:themeFillShade="BF"/>
            <w:vAlign w:val="center"/>
          </w:tcPr>
          <w:p w14:paraId="509C8E30" w14:textId="77777777" w:rsidR="00EA2F88" w:rsidRPr="005C5C45" w:rsidRDefault="00EA2F88" w:rsidP="005F5B24">
            <w:pPr>
              <w:spacing w:after="120"/>
              <w:jc w:val="center"/>
              <w:rPr>
                <w:color w:val="FFFFFF" w:themeColor="background1"/>
                <w:szCs w:val="22"/>
              </w:rPr>
            </w:pPr>
          </w:p>
        </w:tc>
      </w:tr>
      <w:tr w:rsidR="00EA2F88" w:rsidRPr="005C5C45" w14:paraId="717C5906" w14:textId="77777777" w:rsidTr="005F5B24">
        <w:tc>
          <w:tcPr>
            <w:tcW w:w="1814" w:type="dxa"/>
            <w:shd w:val="clear" w:color="auto" w:fill="51A534" w:themeFill="accent2"/>
            <w:vAlign w:val="center"/>
          </w:tcPr>
          <w:p w14:paraId="3D724A94" w14:textId="77777777" w:rsidR="00EA2F88" w:rsidRPr="005C5C45" w:rsidRDefault="00EA2F88" w:rsidP="005F5B24">
            <w:pPr>
              <w:pStyle w:val="Heading5"/>
              <w:rPr>
                <w:color w:val="FFFFFF" w:themeColor="background1"/>
              </w:rPr>
            </w:pPr>
            <w:r w:rsidRPr="005C5C45">
              <w:rPr>
                <w:color w:val="FFFFFF" w:themeColor="background1"/>
              </w:rPr>
              <w:t>Involve</w:t>
            </w:r>
          </w:p>
        </w:tc>
        <w:tc>
          <w:tcPr>
            <w:tcW w:w="3784" w:type="dxa"/>
            <w:shd w:val="clear" w:color="auto" w:fill="51A534" w:themeFill="accent2"/>
            <w:vAlign w:val="center"/>
          </w:tcPr>
          <w:p w14:paraId="64A3D3F3" w14:textId="77777777" w:rsidR="00EA2F88" w:rsidRPr="005C5C45" w:rsidRDefault="00EA2F88" w:rsidP="005F5B24">
            <w:pPr>
              <w:pStyle w:val="Rowcolumntitles"/>
              <w:rPr>
                <w:color w:val="FFFFFF" w:themeColor="background1"/>
              </w:rPr>
            </w:pPr>
            <w:r w:rsidRPr="005C5C45">
              <w:rPr>
                <w:color w:val="FFFFFF" w:themeColor="background1"/>
              </w:rPr>
              <w:t>The public could give feedback on how commitments were considered.</w:t>
            </w:r>
          </w:p>
        </w:tc>
        <w:tc>
          <w:tcPr>
            <w:tcW w:w="1890" w:type="dxa"/>
            <w:shd w:val="clear" w:color="auto" w:fill="51A534" w:themeFill="accent2"/>
            <w:vAlign w:val="center"/>
          </w:tcPr>
          <w:p w14:paraId="7C06F65A" w14:textId="77777777" w:rsidR="00EA2F88" w:rsidRPr="005C5C45" w:rsidRDefault="00EA2F88" w:rsidP="005F5B24">
            <w:pPr>
              <w:spacing w:after="120"/>
              <w:jc w:val="center"/>
              <w:rPr>
                <w:szCs w:val="22"/>
              </w:rPr>
            </w:pPr>
            <w:r w:rsidRPr="005C5C45">
              <w:rPr>
                <w:rFonts w:ascii="Zapf Dingbats" w:hAnsi="Zapf Dingbats"/>
                <w:szCs w:val="22"/>
              </w:rPr>
              <w:t></w:t>
            </w:r>
          </w:p>
        </w:tc>
        <w:tc>
          <w:tcPr>
            <w:tcW w:w="2088" w:type="dxa"/>
            <w:shd w:val="clear" w:color="auto" w:fill="51A534" w:themeFill="accent2"/>
            <w:vAlign w:val="center"/>
          </w:tcPr>
          <w:p w14:paraId="3225DC2C" w14:textId="77777777" w:rsidR="00EA2F88" w:rsidRPr="005C5C45" w:rsidRDefault="00EA2F88" w:rsidP="005F5B24">
            <w:pPr>
              <w:spacing w:after="120"/>
              <w:jc w:val="center"/>
              <w:rPr>
                <w:szCs w:val="22"/>
              </w:rPr>
            </w:pPr>
          </w:p>
        </w:tc>
      </w:tr>
      <w:tr w:rsidR="00EA2F88" w:rsidRPr="005C5C45" w14:paraId="07D7ABBE" w14:textId="77777777" w:rsidTr="005F5B24">
        <w:tc>
          <w:tcPr>
            <w:tcW w:w="1814" w:type="dxa"/>
            <w:shd w:val="clear" w:color="auto" w:fill="90D479" w:themeFill="accent2" w:themeFillTint="99"/>
            <w:vAlign w:val="center"/>
          </w:tcPr>
          <w:p w14:paraId="4A70419A" w14:textId="77777777" w:rsidR="00EA2F88" w:rsidRPr="005C5C45" w:rsidRDefault="00EA2F88" w:rsidP="005F5B24">
            <w:pPr>
              <w:pStyle w:val="Heading5"/>
              <w:rPr>
                <w:color w:val="FFFFFF" w:themeColor="background1"/>
              </w:rPr>
            </w:pPr>
            <w:r w:rsidRPr="005C5C45">
              <w:rPr>
                <w:color w:val="FFFFFF" w:themeColor="background1"/>
              </w:rPr>
              <w:t>Consult</w:t>
            </w:r>
          </w:p>
        </w:tc>
        <w:tc>
          <w:tcPr>
            <w:tcW w:w="3784" w:type="dxa"/>
            <w:shd w:val="clear" w:color="auto" w:fill="90D479" w:themeFill="accent2" w:themeFillTint="99"/>
            <w:vAlign w:val="center"/>
          </w:tcPr>
          <w:p w14:paraId="4F9185B0" w14:textId="77777777" w:rsidR="00EA2F88" w:rsidRPr="005C5C45" w:rsidRDefault="00EA2F88" w:rsidP="005F5B24">
            <w:pPr>
              <w:pStyle w:val="Rowcolumntitles"/>
              <w:rPr>
                <w:color w:val="FFFFFF" w:themeColor="background1"/>
              </w:rPr>
            </w:pPr>
            <w:r w:rsidRPr="005C5C45">
              <w:rPr>
                <w:color w:val="FFFFFF" w:themeColor="background1"/>
              </w:rPr>
              <w:t>The public could give inputs.</w:t>
            </w:r>
          </w:p>
        </w:tc>
        <w:tc>
          <w:tcPr>
            <w:tcW w:w="1890" w:type="dxa"/>
            <w:shd w:val="clear" w:color="auto" w:fill="90D479" w:themeFill="accent2" w:themeFillTint="99"/>
            <w:vAlign w:val="center"/>
          </w:tcPr>
          <w:p w14:paraId="1CC29B7D" w14:textId="77777777" w:rsidR="00EA2F88" w:rsidRPr="005C5C45" w:rsidRDefault="00EA2F88" w:rsidP="005F5B24">
            <w:pPr>
              <w:spacing w:after="120"/>
              <w:jc w:val="center"/>
              <w:rPr>
                <w:szCs w:val="22"/>
              </w:rPr>
            </w:pPr>
          </w:p>
        </w:tc>
        <w:tc>
          <w:tcPr>
            <w:tcW w:w="2088" w:type="dxa"/>
            <w:shd w:val="clear" w:color="auto" w:fill="90D479" w:themeFill="accent2" w:themeFillTint="99"/>
            <w:vAlign w:val="center"/>
          </w:tcPr>
          <w:p w14:paraId="70D3C91F" w14:textId="77777777" w:rsidR="00EA2F88" w:rsidRPr="005C5C45" w:rsidRDefault="00EA2F88" w:rsidP="004E7C84">
            <w:pPr>
              <w:spacing w:after="120"/>
              <w:jc w:val="center"/>
              <w:rPr>
                <w:szCs w:val="22"/>
              </w:rPr>
            </w:pPr>
            <w:r w:rsidRPr="005C5C45">
              <w:rPr>
                <w:rFonts w:ascii="Zapf Dingbats" w:hAnsi="Zapf Dingbats"/>
                <w:szCs w:val="22"/>
              </w:rPr>
              <w:t></w:t>
            </w:r>
          </w:p>
        </w:tc>
      </w:tr>
      <w:tr w:rsidR="00EA2F88" w:rsidRPr="005C5C45" w14:paraId="406D6E5D" w14:textId="77777777" w:rsidTr="005F5B24">
        <w:tc>
          <w:tcPr>
            <w:tcW w:w="1814" w:type="dxa"/>
            <w:shd w:val="clear" w:color="auto" w:fill="B5E3A5" w:themeFill="accent2" w:themeFillTint="66"/>
            <w:vAlign w:val="center"/>
          </w:tcPr>
          <w:p w14:paraId="77E446B3" w14:textId="77777777" w:rsidR="00EA2F88" w:rsidRPr="005C5C45" w:rsidRDefault="00EA2F88" w:rsidP="005F5B24">
            <w:pPr>
              <w:pStyle w:val="Heading5"/>
              <w:rPr>
                <w:color w:val="FFFFFF" w:themeColor="background1"/>
              </w:rPr>
            </w:pPr>
            <w:r w:rsidRPr="005C5C45">
              <w:rPr>
                <w:color w:val="FFFFFF" w:themeColor="background1"/>
              </w:rPr>
              <w:t>Inform</w:t>
            </w:r>
          </w:p>
        </w:tc>
        <w:tc>
          <w:tcPr>
            <w:tcW w:w="3784" w:type="dxa"/>
            <w:shd w:val="clear" w:color="auto" w:fill="B5E3A5" w:themeFill="accent2" w:themeFillTint="66"/>
            <w:vAlign w:val="center"/>
          </w:tcPr>
          <w:p w14:paraId="0B794774" w14:textId="77777777" w:rsidR="00EA2F88" w:rsidRPr="005C5C45" w:rsidRDefault="00EA2F88" w:rsidP="005F5B24">
            <w:pPr>
              <w:pStyle w:val="Rowcolumntitles"/>
              <w:rPr>
                <w:color w:val="FFFFFF" w:themeColor="background1"/>
              </w:rPr>
            </w:pPr>
            <w:r w:rsidRPr="005C5C45">
              <w:rPr>
                <w:color w:val="FFFFFF" w:themeColor="background1"/>
              </w:rPr>
              <w:t>The government provided the public with information on the action plan.</w:t>
            </w:r>
          </w:p>
        </w:tc>
        <w:tc>
          <w:tcPr>
            <w:tcW w:w="1890" w:type="dxa"/>
            <w:shd w:val="clear" w:color="auto" w:fill="B5E3A5" w:themeFill="accent2" w:themeFillTint="66"/>
            <w:vAlign w:val="center"/>
          </w:tcPr>
          <w:p w14:paraId="46B6DB85" w14:textId="77777777" w:rsidR="00EA2F88" w:rsidRPr="005C5C45" w:rsidRDefault="00EA2F88" w:rsidP="005F5B24">
            <w:pPr>
              <w:spacing w:after="120"/>
              <w:jc w:val="center"/>
              <w:rPr>
                <w:szCs w:val="22"/>
              </w:rPr>
            </w:pPr>
          </w:p>
        </w:tc>
        <w:tc>
          <w:tcPr>
            <w:tcW w:w="2088" w:type="dxa"/>
            <w:shd w:val="clear" w:color="auto" w:fill="B5E3A5" w:themeFill="accent2" w:themeFillTint="66"/>
            <w:vAlign w:val="center"/>
          </w:tcPr>
          <w:p w14:paraId="701067DD" w14:textId="77777777" w:rsidR="00EA2F88" w:rsidRPr="005C5C45" w:rsidRDefault="00EA2F88" w:rsidP="005F5B24">
            <w:pPr>
              <w:spacing w:after="120"/>
              <w:jc w:val="center"/>
              <w:rPr>
                <w:szCs w:val="22"/>
              </w:rPr>
            </w:pPr>
          </w:p>
        </w:tc>
      </w:tr>
      <w:tr w:rsidR="00EA2F88" w:rsidRPr="005C5C45" w14:paraId="49B844F7" w14:textId="77777777" w:rsidTr="005F5B24">
        <w:tc>
          <w:tcPr>
            <w:tcW w:w="1814" w:type="dxa"/>
            <w:shd w:val="clear" w:color="auto" w:fill="DAF1D2" w:themeFill="accent2" w:themeFillTint="33"/>
            <w:vAlign w:val="center"/>
          </w:tcPr>
          <w:p w14:paraId="412FC0F9" w14:textId="77777777" w:rsidR="00EA2F88" w:rsidRPr="005C5C45" w:rsidRDefault="00EA2F88" w:rsidP="005F5B24">
            <w:pPr>
              <w:pStyle w:val="Heading5"/>
              <w:rPr>
                <w:color w:val="4A5648" w:themeColor="accent4" w:themeShade="80"/>
              </w:rPr>
            </w:pPr>
            <w:r w:rsidRPr="005C5C45">
              <w:rPr>
                <w:color w:val="4A5648" w:themeColor="accent4" w:themeShade="80"/>
              </w:rPr>
              <w:t>No Consultation</w:t>
            </w:r>
          </w:p>
        </w:tc>
        <w:tc>
          <w:tcPr>
            <w:tcW w:w="3784" w:type="dxa"/>
            <w:shd w:val="clear" w:color="auto" w:fill="DAF1D2" w:themeFill="accent2" w:themeFillTint="33"/>
            <w:vAlign w:val="center"/>
          </w:tcPr>
          <w:p w14:paraId="600AEC78" w14:textId="77777777" w:rsidR="00EA2F88" w:rsidRPr="005C5C45" w:rsidRDefault="00EA2F88" w:rsidP="005F5B24">
            <w:pPr>
              <w:pStyle w:val="Rowcolumntitles"/>
              <w:rPr>
                <w:color w:val="4A5648" w:themeColor="accent4" w:themeShade="80"/>
              </w:rPr>
            </w:pPr>
            <w:r w:rsidRPr="005C5C45">
              <w:rPr>
                <w:color w:val="4A5648" w:themeColor="accent4" w:themeShade="80"/>
              </w:rPr>
              <w:t>No consultation</w:t>
            </w:r>
          </w:p>
        </w:tc>
        <w:tc>
          <w:tcPr>
            <w:tcW w:w="1890" w:type="dxa"/>
            <w:shd w:val="clear" w:color="auto" w:fill="DAF1D2" w:themeFill="accent2" w:themeFillTint="33"/>
            <w:vAlign w:val="center"/>
          </w:tcPr>
          <w:p w14:paraId="1E1E9388" w14:textId="77777777" w:rsidR="00EA2F88" w:rsidRPr="005C5C45" w:rsidRDefault="00EA2F88" w:rsidP="005F5B24">
            <w:pPr>
              <w:spacing w:after="120"/>
              <w:jc w:val="center"/>
              <w:rPr>
                <w:szCs w:val="22"/>
              </w:rPr>
            </w:pPr>
          </w:p>
        </w:tc>
        <w:tc>
          <w:tcPr>
            <w:tcW w:w="2088" w:type="dxa"/>
            <w:shd w:val="clear" w:color="auto" w:fill="DAF1D2" w:themeFill="accent2" w:themeFillTint="33"/>
            <w:vAlign w:val="center"/>
          </w:tcPr>
          <w:p w14:paraId="160E9D61" w14:textId="77777777" w:rsidR="00EA2F88" w:rsidRPr="005C5C45" w:rsidRDefault="00EA2F88" w:rsidP="005F5B24">
            <w:pPr>
              <w:spacing w:after="120"/>
              <w:jc w:val="center"/>
              <w:rPr>
                <w:szCs w:val="22"/>
              </w:rPr>
            </w:pPr>
          </w:p>
        </w:tc>
      </w:tr>
    </w:tbl>
    <w:p w14:paraId="3D3A9072" w14:textId="77777777" w:rsidR="00EA2F88" w:rsidRPr="005C5C45" w:rsidRDefault="00EA2F88" w:rsidP="00274104">
      <w:pPr>
        <w:pStyle w:val="Heading3"/>
      </w:pPr>
      <w:r w:rsidRPr="005C5C45">
        <w:t>3.4 Consultation During Implementation</w:t>
      </w:r>
    </w:p>
    <w:p w14:paraId="0AC441A8" w14:textId="461EB340" w:rsidR="00EA2F88" w:rsidRPr="005C5C45" w:rsidRDefault="00EA2F88" w:rsidP="00AF1990">
      <w:pPr>
        <w:pStyle w:val="Normalrglronly"/>
      </w:pPr>
      <w:r w:rsidRPr="005C5C45">
        <w:t>As part of their participation in OGP, governments commit to identify a forum to enable regular multi</w:t>
      </w:r>
      <w:r w:rsidR="005C7437">
        <w:t>-</w:t>
      </w:r>
      <w:r w:rsidRPr="005C5C45">
        <w:t>stakeholder consultation on OGP implementation. This can be an existing entity or a new one. This secti</w:t>
      </w:r>
      <w:r w:rsidR="0029086F" w:rsidRPr="005C5C45">
        <w:t>on summarizes that information.</w:t>
      </w:r>
    </w:p>
    <w:p w14:paraId="26176E26" w14:textId="28536187" w:rsidR="002D2DFC" w:rsidRPr="005C5C45" w:rsidRDefault="00353FD6" w:rsidP="00AF1990">
      <w:pPr>
        <w:pStyle w:val="Normalrglronly"/>
      </w:pPr>
      <w:r w:rsidRPr="005C5C45">
        <w:t>The</w:t>
      </w:r>
      <w:r w:rsidR="00F94C26" w:rsidRPr="005C5C45">
        <w:t xml:space="preserve"> N</w:t>
      </w:r>
      <w:r w:rsidR="00421DD9" w:rsidRPr="005C5C45">
        <w:t xml:space="preserve">ew </w:t>
      </w:r>
      <w:r w:rsidR="00F94C26" w:rsidRPr="005C5C45">
        <w:t>Z</w:t>
      </w:r>
      <w:r w:rsidR="00421DD9" w:rsidRPr="005C5C45">
        <w:t>ealand</w:t>
      </w:r>
      <w:r w:rsidR="00F94C26" w:rsidRPr="005C5C45">
        <w:t xml:space="preserve"> government commissioned the EAP for the </w:t>
      </w:r>
      <w:r w:rsidR="005129F6" w:rsidRPr="005C5C45">
        <w:t>purposes of enabling a regular multi</w:t>
      </w:r>
      <w:r w:rsidR="005C7437">
        <w:t>-</w:t>
      </w:r>
      <w:r w:rsidR="005129F6" w:rsidRPr="005C5C45">
        <w:t>stakeholder consul</w:t>
      </w:r>
      <w:r w:rsidR="00742E03" w:rsidRPr="005C5C45">
        <w:t>t</w:t>
      </w:r>
      <w:r w:rsidR="005129F6" w:rsidRPr="005C5C45">
        <w:t>ation on OGP implementation (in addition to other activities)</w:t>
      </w:r>
      <w:r w:rsidRPr="005C5C45">
        <w:t xml:space="preserve">, and there has been a visible improvement from the last OGP process. However, membership is limited and </w:t>
      </w:r>
      <w:r w:rsidR="005129F6" w:rsidRPr="005C5C45">
        <w:t xml:space="preserve">there is no evidence that the EAP is </w:t>
      </w:r>
      <w:r w:rsidR="001D6945" w:rsidRPr="005C5C45">
        <w:t xml:space="preserve">adequately </w:t>
      </w:r>
      <w:r w:rsidRPr="005C5C45">
        <w:t>reaching out</w:t>
      </w:r>
      <w:r w:rsidR="005129F6" w:rsidRPr="005C5C45">
        <w:t xml:space="preserve"> </w:t>
      </w:r>
      <w:r w:rsidR="00346B75">
        <w:t xml:space="preserve">to </w:t>
      </w:r>
      <w:r w:rsidR="005129F6" w:rsidRPr="005C5C45">
        <w:t>civil society</w:t>
      </w:r>
      <w:r w:rsidRPr="005C5C45">
        <w:t xml:space="preserve"> groups for greater</w:t>
      </w:r>
      <w:r w:rsidR="005129F6" w:rsidRPr="005C5C45">
        <w:t xml:space="preserve"> co-creation. </w:t>
      </w:r>
    </w:p>
    <w:p w14:paraId="6BE97068" w14:textId="47ED2E12" w:rsidR="003072E4" w:rsidRPr="005C5C45" w:rsidRDefault="002D2DFC" w:rsidP="00AF1990">
      <w:pPr>
        <w:pStyle w:val="Normalrglronly"/>
      </w:pPr>
      <w:r w:rsidRPr="005C5C45">
        <w:t xml:space="preserve">The EAP has a different mix of civil society representation from the Stakeholder Advisory Group that it replaced. </w:t>
      </w:r>
      <w:r w:rsidR="006E78FA" w:rsidRPr="005C5C45">
        <w:t>The SAG was appointed from those who responded to a public invitation and</w:t>
      </w:r>
      <w:r w:rsidR="003072E4" w:rsidRPr="005C5C45">
        <w:t xml:space="preserve"> </w:t>
      </w:r>
      <w:r w:rsidR="008152C2">
        <w:t xml:space="preserve">was </w:t>
      </w:r>
      <w:r w:rsidR="006E78FA" w:rsidRPr="005C5C45">
        <w:t xml:space="preserve">comprised </w:t>
      </w:r>
      <w:r w:rsidR="0079787F">
        <w:t xml:space="preserve">of </w:t>
      </w:r>
      <w:r w:rsidR="006E78FA" w:rsidRPr="005C5C45">
        <w:t>two academics, two civil society leaders, a political commentator, and an ICT practitioner</w:t>
      </w:r>
      <w:r w:rsidR="003072E4" w:rsidRPr="005C5C45">
        <w:t xml:space="preserve">. </w:t>
      </w:r>
      <w:r w:rsidR="0079787F">
        <w:t>The group of</w:t>
      </w:r>
      <w:r w:rsidR="0079787F" w:rsidRPr="005C5C45">
        <w:t xml:space="preserve"> five men and one woman</w:t>
      </w:r>
      <w:r w:rsidR="0079787F">
        <w:t xml:space="preserve"> included t</w:t>
      </w:r>
      <w:r w:rsidR="003072E4" w:rsidRPr="005C5C45">
        <w:t>wo members from outside Wellington</w:t>
      </w:r>
      <w:r w:rsidR="0079787F">
        <w:t xml:space="preserve"> and </w:t>
      </w:r>
      <w:r w:rsidR="003072E4" w:rsidRPr="005C5C45">
        <w:t xml:space="preserve">one </w:t>
      </w:r>
      <w:r w:rsidR="0079787F">
        <w:t>of</w:t>
      </w:r>
      <w:r w:rsidR="0079787F" w:rsidRPr="005C5C45">
        <w:t xml:space="preserve"> </w:t>
      </w:r>
      <w:r w:rsidR="003072E4" w:rsidRPr="005C5C45">
        <w:t>indigenous</w:t>
      </w:r>
      <w:r w:rsidR="0079787F">
        <w:t xml:space="preserve"> ethnicity</w:t>
      </w:r>
      <w:r w:rsidR="003072E4" w:rsidRPr="005C5C45">
        <w:t>.</w:t>
      </w:r>
      <w:r w:rsidR="00421DD9" w:rsidRPr="005C5C45">
        <w:t xml:space="preserve"> </w:t>
      </w:r>
      <w:proofErr w:type="gramStart"/>
      <w:r w:rsidR="00EA2F88" w:rsidRPr="005C5C45">
        <w:t>Members</w:t>
      </w:r>
      <w:r w:rsidR="005129F6" w:rsidRPr="005C5C45">
        <w:t xml:space="preserve"> of the EAP</w:t>
      </w:r>
      <w:r w:rsidR="003072E4" w:rsidRPr="005C5C45">
        <w:t xml:space="preserve"> </w:t>
      </w:r>
      <w:r w:rsidR="00EA2F88" w:rsidRPr="005C5C45">
        <w:t>are appointed by the State Services Commissioner</w:t>
      </w:r>
      <w:proofErr w:type="gramEnd"/>
      <w:r w:rsidR="003072E4" w:rsidRPr="005C5C45">
        <w:t>. They</w:t>
      </w:r>
      <w:r w:rsidR="00EA2F88" w:rsidRPr="005C5C45">
        <w:t xml:space="preserve"> are based either in Wellington or Auckland, </w:t>
      </w:r>
      <w:r w:rsidR="003811C4" w:rsidRPr="005C5C45">
        <w:t>N</w:t>
      </w:r>
      <w:r w:rsidR="00421DD9" w:rsidRPr="005C5C45">
        <w:t xml:space="preserve">ew </w:t>
      </w:r>
      <w:r w:rsidR="003811C4" w:rsidRPr="005C5C45">
        <w:t>Z</w:t>
      </w:r>
      <w:r w:rsidR="00421DD9" w:rsidRPr="005C5C45">
        <w:t>ealand</w:t>
      </w:r>
      <w:r w:rsidR="00EA2F88" w:rsidRPr="005C5C45">
        <w:t xml:space="preserve">’s largest city. </w:t>
      </w:r>
      <w:r w:rsidR="0028455E" w:rsidRPr="005C5C45">
        <w:t xml:space="preserve">As </w:t>
      </w:r>
      <w:r w:rsidR="009A7A28" w:rsidRPr="005C5C45">
        <w:t>of</w:t>
      </w:r>
      <w:r w:rsidR="0028455E" w:rsidRPr="005C5C45">
        <w:t xml:space="preserve"> </w:t>
      </w:r>
      <w:r w:rsidR="002D7680" w:rsidRPr="005C5C45">
        <w:t xml:space="preserve">June </w:t>
      </w:r>
      <w:r w:rsidR="005C492E" w:rsidRPr="005C5C45">
        <w:t xml:space="preserve">2017, </w:t>
      </w:r>
      <w:r w:rsidR="009A7A28" w:rsidRPr="005C5C45">
        <w:t>the EAP</w:t>
      </w:r>
      <w:r w:rsidR="005C492E" w:rsidRPr="005C5C45">
        <w:t xml:space="preserve"> co</w:t>
      </w:r>
      <w:r w:rsidR="00992EFC">
        <w:t>nsists of</w:t>
      </w:r>
      <w:r w:rsidR="005C492E" w:rsidRPr="005C5C45">
        <w:t xml:space="preserve"> </w:t>
      </w:r>
      <w:r w:rsidR="002D7680" w:rsidRPr="005C5C45">
        <w:t>four</w:t>
      </w:r>
      <w:r w:rsidR="00EA2F88" w:rsidRPr="005C5C45">
        <w:t xml:space="preserve"> </w:t>
      </w:r>
      <w:r w:rsidR="004D06B4" w:rsidRPr="005C5C45">
        <w:t>women and two men, including a d</w:t>
      </w:r>
      <w:r w:rsidR="00EA2F88" w:rsidRPr="005C5C45">
        <w:t>epu</w:t>
      </w:r>
      <w:r w:rsidR="004D06B4" w:rsidRPr="005C5C45">
        <w:t xml:space="preserve">ty </w:t>
      </w:r>
      <w:r w:rsidR="00EA2F88" w:rsidRPr="005C5C45">
        <w:t xml:space="preserve">Commissioner </w:t>
      </w:r>
      <w:r w:rsidR="004D06B4" w:rsidRPr="005C5C45">
        <w:t xml:space="preserve">from the SSC </w:t>
      </w:r>
      <w:r w:rsidR="00EA2F88" w:rsidRPr="005C5C45">
        <w:t>(Chair).</w:t>
      </w:r>
      <w:r w:rsidR="00AA552F" w:rsidRPr="005C5C45">
        <w:t xml:space="preserve"> </w:t>
      </w:r>
      <w:r w:rsidR="00EA2F88" w:rsidRPr="005C5C45">
        <w:t xml:space="preserve">Members represent </w:t>
      </w:r>
      <w:r w:rsidR="00FA26D6" w:rsidRPr="005C5C45">
        <w:t xml:space="preserve">the following: </w:t>
      </w:r>
      <w:r w:rsidR="00EA2F88" w:rsidRPr="005C5C45">
        <w:t xml:space="preserve">Transparency International </w:t>
      </w:r>
      <w:r w:rsidR="003811C4" w:rsidRPr="005C5C45">
        <w:t>N</w:t>
      </w:r>
      <w:r w:rsidR="00421DD9" w:rsidRPr="005C5C45">
        <w:t xml:space="preserve">ew </w:t>
      </w:r>
      <w:r w:rsidR="003811C4" w:rsidRPr="005C5C45">
        <w:t>Z</w:t>
      </w:r>
      <w:r w:rsidR="00421DD9" w:rsidRPr="005C5C45">
        <w:t>ealand</w:t>
      </w:r>
      <w:r w:rsidR="00EA2F88" w:rsidRPr="005C5C45">
        <w:t xml:space="preserve"> (two members</w:t>
      </w:r>
      <w:r w:rsidR="00B664E3" w:rsidRPr="00B664E3">
        <w:t>—</w:t>
      </w:r>
      <w:r w:rsidR="00EA2F88" w:rsidRPr="005C5C45">
        <w:t xml:space="preserve">one </w:t>
      </w:r>
      <w:r w:rsidR="00B664E3">
        <w:t xml:space="preserve">in </w:t>
      </w:r>
      <w:r w:rsidR="00EA2F88" w:rsidRPr="005C5C45">
        <w:t xml:space="preserve">Wellington, one </w:t>
      </w:r>
      <w:r w:rsidR="00B664E3">
        <w:t xml:space="preserve">in </w:t>
      </w:r>
      <w:r w:rsidR="00EA2F88" w:rsidRPr="005C5C45">
        <w:t>Auckland), Victoria University of Wellington (Chair in Digital Government)</w:t>
      </w:r>
      <w:r w:rsidR="005C492E" w:rsidRPr="005C5C45">
        <w:t xml:space="preserve">, </w:t>
      </w:r>
      <w:r w:rsidR="00DB528B" w:rsidRPr="005C5C45">
        <w:t xml:space="preserve">and </w:t>
      </w:r>
      <w:r w:rsidR="005C492E" w:rsidRPr="005C5C45">
        <w:t>the private sector (</w:t>
      </w:r>
      <w:r w:rsidR="003072E4" w:rsidRPr="005C5C45">
        <w:t>a</w:t>
      </w:r>
      <w:r w:rsidR="00EA2F88" w:rsidRPr="005C5C45">
        <w:t xml:space="preserve"> Welli</w:t>
      </w:r>
      <w:r w:rsidR="005C492E" w:rsidRPr="005C5C45">
        <w:t>ngton</w:t>
      </w:r>
      <w:r w:rsidR="003072E4" w:rsidRPr="005C5C45">
        <w:t xml:space="preserve"> public affairs company</w:t>
      </w:r>
      <w:r w:rsidR="002D7680" w:rsidRPr="005C5C45">
        <w:t xml:space="preserve">, </w:t>
      </w:r>
      <w:r w:rsidR="003072E4" w:rsidRPr="005C5C45">
        <w:t xml:space="preserve">and </w:t>
      </w:r>
      <w:r w:rsidR="00102F14" w:rsidRPr="005C5C45">
        <w:t>an</w:t>
      </w:r>
      <w:r w:rsidR="002D7680" w:rsidRPr="005C5C45">
        <w:t xml:space="preserve"> Auckland</w:t>
      </w:r>
      <w:r w:rsidR="00102F14" w:rsidRPr="005C5C45">
        <w:t xml:space="preserve"> </w:t>
      </w:r>
      <w:r w:rsidR="006D729F" w:rsidRPr="005C5C45">
        <w:t xml:space="preserve">open </w:t>
      </w:r>
      <w:r w:rsidR="00102F14" w:rsidRPr="005C5C45">
        <w:t>data business</w:t>
      </w:r>
      <w:r w:rsidR="00EA2F88" w:rsidRPr="005C5C45">
        <w:t>)</w:t>
      </w:r>
      <w:r w:rsidR="00DB528B" w:rsidRPr="005C5C45">
        <w:t>. Ethnicities include</w:t>
      </w:r>
      <w:r w:rsidR="00EA2F88" w:rsidRPr="005C5C45">
        <w:t xml:space="preserve"> </w:t>
      </w:r>
      <w:r w:rsidR="000B53BD" w:rsidRPr="005C5C45">
        <w:t>M</w:t>
      </w:r>
      <w:r w:rsidR="000B53BD" w:rsidRPr="005C5C45">
        <w:rPr>
          <w:rFonts w:ascii="Calibri" w:eastAsia="Calibri" w:hAnsi="Calibri" w:cs="Calibri"/>
        </w:rPr>
        <w:t>ā</w:t>
      </w:r>
      <w:r w:rsidR="000B53BD" w:rsidRPr="005C5C45">
        <w:t>ori</w:t>
      </w:r>
      <w:r w:rsidR="00EA2F88" w:rsidRPr="005C5C45">
        <w:t xml:space="preserve"> and Pacific Island representation. </w:t>
      </w:r>
      <w:r w:rsidR="00102F14" w:rsidRPr="005C5C45">
        <w:t>Two SAG members were reappointed to the EAP. There was no opportunity for the public to express interest in joining this panel, and it has narrow civil society representation.</w:t>
      </w:r>
    </w:p>
    <w:p w14:paraId="758A465B" w14:textId="77777777" w:rsidR="003072E4" w:rsidRPr="005C5C45" w:rsidRDefault="00DB528B" w:rsidP="00AF1990">
      <w:pPr>
        <w:pStyle w:val="Normalrglronly"/>
      </w:pPr>
      <w:r w:rsidRPr="005C5C45">
        <w:t xml:space="preserve">The EAP </w:t>
      </w:r>
      <w:r w:rsidR="00EA2F88" w:rsidRPr="005C5C45">
        <w:t>has formal procedures for participation</w:t>
      </w:r>
      <w:r w:rsidR="00C04EB6" w:rsidRPr="005C5C45">
        <w:t>,</w:t>
      </w:r>
      <w:r w:rsidR="00EA2F88" w:rsidRPr="005C5C45">
        <w:t xml:space="preserve"> and its agendas and</w:t>
      </w:r>
      <w:r w:rsidR="00907436" w:rsidRPr="005C5C45">
        <w:t xml:space="preserve"> </w:t>
      </w:r>
      <w:r w:rsidR="0028455E" w:rsidRPr="005C5C45">
        <w:t xml:space="preserve">brief </w:t>
      </w:r>
      <w:r w:rsidR="00EA2F88" w:rsidRPr="005C5C45">
        <w:t>minutes are published online after</w:t>
      </w:r>
      <w:r w:rsidR="00907436" w:rsidRPr="005C5C45">
        <w:t xml:space="preserve"> approval at </w:t>
      </w:r>
      <w:r w:rsidR="00C04EB6" w:rsidRPr="005C5C45">
        <w:t>each</w:t>
      </w:r>
      <w:r w:rsidR="00EA2F88" w:rsidRPr="005C5C45">
        <w:t xml:space="preserve"> meeting</w:t>
      </w:r>
      <w:r w:rsidR="00907436" w:rsidRPr="005C5C45">
        <w:t>.</w:t>
      </w:r>
      <w:r w:rsidR="003072E4" w:rsidRPr="005C5C45">
        <w:t xml:space="preserve"> There is no evidence that members of the EAP have undertaken any activities to seek out the views of civil society organisations or the public, nor provide information on the implementation work (besides perhaps internally to other members of Transparency International N</w:t>
      </w:r>
      <w:r w:rsidR="00421DD9" w:rsidRPr="005C5C45">
        <w:t xml:space="preserve">ew </w:t>
      </w:r>
      <w:r w:rsidR="003072E4" w:rsidRPr="005C5C45">
        <w:t>Z</w:t>
      </w:r>
      <w:r w:rsidR="00421DD9" w:rsidRPr="005C5C45">
        <w:t>ealand</w:t>
      </w:r>
      <w:r w:rsidR="003072E4" w:rsidRPr="005C5C45">
        <w:t>).</w:t>
      </w:r>
    </w:p>
    <w:p w14:paraId="54BA0592" w14:textId="44CDA757" w:rsidR="00EA2F88" w:rsidRPr="005C5C45" w:rsidRDefault="009451BF" w:rsidP="00AF1990">
      <w:pPr>
        <w:pStyle w:val="Normalrglronly"/>
      </w:pPr>
      <w:r w:rsidRPr="005C5C45">
        <w:t>As of 30</w:t>
      </w:r>
      <w:r w:rsidR="005C492E" w:rsidRPr="005C5C45">
        <w:t xml:space="preserve"> September</w:t>
      </w:r>
      <w:r w:rsidR="00EA2F88" w:rsidRPr="005C5C45">
        <w:t xml:space="preserve"> 2017, </w:t>
      </w:r>
      <w:r w:rsidR="007D0EE5" w:rsidRPr="005C5C45">
        <w:t>the EAP</w:t>
      </w:r>
      <w:r w:rsidR="00EA2F88" w:rsidRPr="005C5C45">
        <w:t xml:space="preserve"> has met</w:t>
      </w:r>
      <w:r w:rsidR="005C492E" w:rsidRPr="005C5C45">
        <w:t xml:space="preserve"> three times</w:t>
      </w:r>
      <w:r w:rsidR="00EA2F88" w:rsidRPr="005C5C45">
        <w:t xml:space="preserve"> with the interagency Officials Group to monitor implementation.</w:t>
      </w:r>
      <w:r w:rsidR="0060517E" w:rsidRPr="005C5C45">
        <w:t xml:space="preserve"> One progress report on each commitment for the period March to May 2017 has been posted online.</w:t>
      </w:r>
      <w:r w:rsidR="0060517E" w:rsidRPr="005C5C45">
        <w:rPr>
          <w:rStyle w:val="EndnoteReference"/>
          <w:bCs w:val="0"/>
        </w:rPr>
        <w:endnoteReference w:id="69"/>
      </w:r>
      <w:r w:rsidR="0060517E" w:rsidRPr="005C5C45">
        <w:t xml:space="preserve"> The IRM researcher </w:t>
      </w:r>
      <w:r w:rsidR="00E55824" w:rsidRPr="005C5C45">
        <w:t xml:space="preserve">attended the joint EAP/Officials Group meeting on 24 August </w:t>
      </w:r>
      <w:r w:rsidR="002D7680" w:rsidRPr="005C5C45">
        <w:t xml:space="preserve">2017 </w:t>
      </w:r>
      <w:r w:rsidR="00E55824" w:rsidRPr="005C5C45">
        <w:t>and received the progress</w:t>
      </w:r>
      <w:r w:rsidR="0060517E" w:rsidRPr="005C5C45">
        <w:t xml:space="preserve"> reports covering the period June to </w:t>
      </w:r>
      <w:r w:rsidR="00E55824" w:rsidRPr="005C5C45">
        <w:t>August 2017, but these have not yet been posted online.</w:t>
      </w:r>
    </w:p>
    <w:p w14:paraId="7F749D42" w14:textId="77777777" w:rsidR="003C6E7D" w:rsidRPr="005C5C45" w:rsidRDefault="003C6E7D" w:rsidP="00AF1990">
      <w:pPr>
        <w:pStyle w:val="Normalrglronly"/>
        <w:rPr>
          <w:rFonts w:cs="Gill Sans"/>
        </w:rPr>
      </w:pPr>
      <w:r w:rsidRPr="005C5C45">
        <w:rPr>
          <w:rFonts w:cs="Gill Sans"/>
        </w:rPr>
        <w:t xml:space="preserve">The IRM researcher notes that there has been little government publicity since the action plan was released in October 2016. As of 30 September 2017, there have been four tweets </w:t>
      </w:r>
      <w:r w:rsidRPr="005C5C45">
        <w:rPr>
          <w:rFonts w:cs="Gill Sans"/>
        </w:rPr>
        <w:lastRenderedPageBreak/>
        <w:t>by @</w:t>
      </w:r>
      <w:proofErr w:type="spellStart"/>
      <w:r w:rsidRPr="005C5C45">
        <w:rPr>
          <w:rFonts w:cs="Gill Sans"/>
        </w:rPr>
        <w:t>ogpnz</w:t>
      </w:r>
      <w:proofErr w:type="spellEnd"/>
      <w:r w:rsidRPr="005C5C45">
        <w:rPr>
          <w:rFonts w:cs="Gill Sans"/>
        </w:rPr>
        <w:t>, one Ministerial press release, and five press releases on the SSC website. The quarterly updates on the commitments for June to August are not yet on the OGPNZ website.</w:t>
      </w:r>
    </w:p>
    <w:p w14:paraId="37C1EA68" w14:textId="05A5D6B7" w:rsidR="00BB5CDC" w:rsidRPr="005C5C45" w:rsidRDefault="00EA2F88" w:rsidP="00AF1990">
      <w:pPr>
        <w:pStyle w:val="Normalrglronly"/>
        <w:rPr>
          <w:rFonts w:cs="Gill Sans"/>
        </w:rPr>
      </w:pPr>
      <w:r w:rsidRPr="005C5C45">
        <w:t xml:space="preserve">As the second year of implementation gets underway, </w:t>
      </w:r>
      <w:r w:rsidR="00992EFC">
        <w:t xml:space="preserve">the IRM researcher recommends </w:t>
      </w:r>
      <w:r w:rsidR="00370DEA" w:rsidRPr="005C5C45">
        <w:t xml:space="preserve">stakeholder </w:t>
      </w:r>
      <w:r w:rsidRPr="005C5C45">
        <w:t>contribution</w:t>
      </w:r>
      <w:r w:rsidR="00E55824" w:rsidRPr="005C5C45">
        <w:t xml:space="preserve"> </w:t>
      </w:r>
      <w:r w:rsidRPr="005C5C45">
        <w:t xml:space="preserve">beyond the </w:t>
      </w:r>
      <w:r w:rsidR="004D06B4" w:rsidRPr="005C5C45">
        <w:t>EAP</w:t>
      </w:r>
      <w:r w:rsidRPr="005C5C45">
        <w:t xml:space="preserve"> so that there is a </w:t>
      </w:r>
      <w:r w:rsidR="0028455E" w:rsidRPr="005C5C45">
        <w:t>more representative</w:t>
      </w:r>
      <w:r w:rsidR="009451BF" w:rsidRPr="005C5C45">
        <w:t xml:space="preserve"> voice for the public</w:t>
      </w:r>
      <w:r w:rsidR="009C50FE" w:rsidRPr="005C5C45">
        <w:t xml:space="preserve">. </w:t>
      </w:r>
      <w:r w:rsidR="002D7680" w:rsidRPr="005C5C45">
        <w:t xml:space="preserve">The SSC is meeting separately with some other civil society groups, as per </w:t>
      </w:r>
      <w:r w:rsidR="00167C16">
        <w:t>Commitment 5</w:t>
      </w:r>
      <w:r w:rsidR="002D7680" w:rsidRPr="005C5C45">
        <w:t xml:space="preserve"> activities</w:t>
      </w:r>
      <w:r w:rsidR="002D7680" w:rsidRPr="005C5C45">
        <w:rPr>
          <w:rFonts w:cs="Gill Sans"/>
        </w:rPr>
        <w:t xml:space="preserve">. </w:t>
      </w:r>
      <w:r w:rsidR="00BB5CDC" w:rsidRPr="005C5C45">
        <w:rPr>
          <w:rFonts w:cs="Gill Sans"/>
        </w:rPr>
        <w:t>S</w:t>
      </w:r>
      <w:r w:rsidR="009C50FE" w:rsidRPr="005C5C45">
        <w:rPr>
          <w:rFonts w:cs="Gill Sans"/>
        </w:rPr>
        <w:t>ome s</w:t>
      </w:r>
      <w:r w:rsidR="00BB5CDC" w:rsidRPr="005C5C45">
        <w:rPr>
          <w:rFonts w:cs="Gill Sans"/>
        </w:rPr>
        <w:t xml:space="preserve">takeholders have praised the SSC’s willingness to meet regularly with civil society organisations </w:t>
      </w:r>
      <w:r w:rsidR="00370DEA">
        <w:rPr>
          <w:rFonts w:cs="Gill Sans"/>
        </w:rPr>
        <w:t>and</w:t>
      </w:r>
      <w:r w:rsidR="00370DEA" w:rsidRPr="005C5C45">
        <w:rPr>
          <w:rFonts w:cs="Gill Sans"/>
        </w:rPr>
        <w:t xml:space="preserve"> </w:t>
      </w:r>
      <w:r w:rsidR="00BB5CDC" w:rsidRPr="005C5C45">
        <w:rPr>
          <w:rFonts w:cs="Gill Sans"/>
        </w:rPr>
        <w:t xml:space="preserve">start discussing the next plan, </w:t>
      </w:r>
      <w:r w:rsidR="00370DEA">
        <w:rPr>
          <w:rFonts w:cs="Gill Sans"/>
        </w:rPr>
        <w:t>as well as</w:t>
      </w:r>
      <w:r w:rsidR="00370DEA" w:rsidRPr="005C5C45">
        <w:rPr>
          <w:rFonts w:cs="Gill Sans"/>
        </w:rPr>
        <w:t xml:space="preserve"> </w:t>
      </w:r>
      <w:r w:rsidR="005C12CF" w:rsidRPr="005C5C45">
        <w:rPr>
          <w:rFonts w:cs="Gill Sans"/>
        </w:rPr>
        <w:t xml:space="preserve">the </w:t>
      </w:r>
      <w:r w:rsidR="00BB5CDC" w:rsidRPr="005C5C45">
        <w:rPr>
          <w:rFonts w:cs="Gill Sans"/>
        </w:rPr>
        <w:t xml:space="preserve">government’s commitment </w:t>
      </w:r>
      <w:r w:rsidR="00370DEA">
        <w:rPr>
          <w:rFonts w:cs="Gill Sans"/>
        </w:rPr>
        <w:t>for better</w:t>
      </w:r>
      <w:r w:rsidR="00370DEA" w:rsidRPr="005C5C45">
        <w:rPr>
          <w:rFonts w:cs="Gill Sans"/>
        </w:rPr>
        <w:t xml:space="preserve"> </w:t>
      </w:r>
      <w:r w:rsidR="00BB5CDC" w:rsidRPr="005C5C45">
        <w:rPr>
          <w:rFonts w:cs="Gill Sans"/>
        </w:rPr>
        <w:t>engag</w:t>
      </w:r>
      <w:r w:rsidR="00370DEA">
        <w:rPr>
          <w:rFonts w:cs="Gill Sans"/>
        </w:rPr>
        <w:t>ement</w:t>
      </w:r>
      <w:r w:rsidR="00BB5CDC" w:rsidRPr="005C5C45">
        <w:rPr>
          <w:rFonts w:cs="Gill Sans"/>
        </w:rPr>
        <w:t>.</w:t>
      </w:r>
      <w:r w:rsidR="00E55824" w:rsidRPr="005C5C45">
        <w:rPr>
          <w:rStyle w:val="EndnoteReference"/>
          <w:rFonts w:cs="Gill Sans"/>
        </w:rPr>
        <w:endnoteReference w:id="70"/>
      </w:r>
      <w:r w:rsidR="00BB5CDC" w:rsidRPr="005C5C45">
        <w:rPr>
          <w:rFonts w:cs="Gill Sans"/>
        </w:rPr>
        <w:t xml:space="preserve"> One EAP mem</w:t>
      </w:r>
      <w:r w:rsidR="009C50FE" w:rsidRPr="005C5C45">
        <w:rPr>
          <w:rFonts w:cs="Gill Sans"/>
        </w:rPr>
        <w:t>ber sees</w:t>
      </w:r>
      <w:r w:rsidR="00BB5CDC" w:rsidRPr="005C5C45">
        <w:rPr>
          <w:rFonts w:cs="Gill Sans"/>
        </w:rPr>
        <w:t xml:space="preserve"> the work as an </w:t>
      </w:r>
      <w:r w:rsidR="00167C16">
        <w:rPr>
          <w:rFonts w:cs="Gill Sans"/>
        </w:rPr>
        <w:t>‘</w:t>
      </w:r>
      <w:r w:rsidR="00BB5CDC" w:rsidRPr="005C5C45">
        <w:rPr>
          <w:rFonts w:cs="Gill Sans"/>
        </w:rPr>
        <w:t>opportunity to look at new things in the future</w:t>
      </w:r>
      <w:r w:rsidR="00167C16">
        <w:rPr>
          <w:rFonts w:cs="Gill Sans"/>
        </w:rPr>
        <w:t>’.</w:t>
      </w:r>
    </w:p>
    <w:p w14:paraId="254A7452" w14:textId="77777777" w:rsidR="00EA2F88" w:rsidRPr="005C5C45" w:rsidRDefault="00EA2F88" w:rsidP="007C6FDD">
      <w:pPr>
        <w:pStyle w:val="Heading3"/>
      </w:pPr>
      <w:bookmarkStart w:id="16" w:name="_Toc266021002"/>
      <w:r w:rsidRPr="005C5C45">
        <w:t>3.5 Self-Assessment</w:t>
      </w:r>
      <w:bookmarkEnd w:id="16"/>
    </w:p>
    <w:p w14:paraId="345D2DC7" w14:textId="77777777" w:rsidR="00EA2F88" w:rsidRPr="005C5C45" w:rsidRDefault="00EA2F88" w:rsidP="00AF1990">
      <w:pPr>
        <w:pStyle w:val="Normalrglronly"/>
      </w:pPr>
      <w:r w:rsidRPr="005C5C45">
        <w:t>The OGP Articles of Governance require that participating countries publish a self-assessment report three months after the end of the first year of implementation. The self-assessment report must be made available for public comments for a two-week period. This section assesses compliance with these requirements and the quality of the report.</w:t>
      </w:r>
    </w:p>
    <w:p w14:paraId="4A2DF301" w14:textId="419A3E68" w:rsidR="00613B69" w:rsidRPr="005C5C45" w:rsidRDefault="00EA2F88" w:rsidP="00AF1990">
      <w:pPr>
        <w:pStyle w:val="Normalrglronly"/>
        <w:rPr>
          <w:lang w:eastAsia="en-NZ"/>
        </w:rPr>
      </w:pPr>
      <w:r w:rsidRPr="005C5C45">
        <w:rPr>
          <w:lang w:eastAsia="en-NZ"/>
        </w:rPr>
        <w:t>The government</w:t>
      </w:r>
      <w:r w:rsidR="00B077D2" w:rsidRPr="005C5C45">
        <w:rPr>
          <w:lang w:eastAsia="en-NZ"/>
        </w:rPr>
        <w:t>’s draft</w:t>
      </w:r>
      <w:r w:rsidRPr="005C5C45">
        <w:rPr>
          <w:lang w:eastAsia="en-NZ"/>
        </w:rPr>
        <w:t xml:space="preserve"> </w:t>
      </w:r>
      <w:r w:rsidR="00B077D2" w:rsidRPr="005C5C45">
        <w:rPr>
          <w:lang w:eastAsia="en-NZ"/>
        </w:rPr>
        <w:t xml:space="preserve">midterm </w:t>
      </w:r>
      <w:r w:rsidRPr="005C5C45">
        <w:rPr>
          <w:lang w:eastAsia="en-NZ"/>
        </w:rPr>
        <w:t>self-assessment was published on</w:t>
      </w:r>
      <w:r w:rsidR="00B077D2" w:rsidRPr="005C5C45">
        <w:rPr>
          <w:lang w:eastAsia="en-NZ"/>
        </w:rPr>
        <w:t>line on</w:t>
      </w:r>
      <w:r w:rsidRPr="005C5C45">
        <w:rPr>
          <w:lang w:eastAsia="en-NZ"/>
        </w:rPr>
        <w:t xml:space="preserve"> </w:t>
      </w:r>
      <w:r w:rsidR="00B077D2" w:rsidRPr="005C5C45">
        <w:rPr>
          <w:lang w:eastAsia="en-NZ"/>
        </w:rPr>
        <w:t xml:space="preserve">19 July 2017 and </w:t>
      </w:r>
      <w:r w:rsidR="00681A9A" w:rsidRPr="005C5C45">
        <w:rPr>
          <w:lang w:eastAsia="en-NZ"/>
        </w:rPr>
        <w:t xml:space="preserve">was </w:t>
      </w:r>
      <w:r w:rsidR="00B077D2" w:rsidRPr="005C5C45">
        <w:rPr>
          <w:lang w:eastAsia="en-NZ"/>
        </w:rPr>
        <w:t>open for comment until 1 August 2017</w:t>
      </w:r>
      <w:r w:rsidRPr="005C5C45">
        <w:rPr>
          <w:lang w:eastAsia="en-NZ"/>
        </w:rPr>
        <w:t>.</w:t>
      </w:r>
      <w:r w:rsidR="009451BF" w:rsidRPr="005C5C45">
        <w:rPr>
          <w:rStyle w:val="EndnoteReference"/>
          <w:rFonts w:ascii="Arial" w:eastAsia="Times New Roman" w:hAnsi="Arial" w:cs="Arial"/>
          <w:color w:val="000000"/>
          <w:lang w:eastAsia="en-NZ"/>
        </w:rPr>
        <w:endnoteReference w:id="71"/>
      </w:r>
      <w:r w:rsidR="00B077D2" w:rsidRPr="005C5C45">
        <w:rPr>
          <w:lang w:eastAsia="en-NZ"/>
        </w:rPr>
        <w:t xml:space="preserve"> </w:t>
      </w:r>
      <w:r w:rsidR="00C66898" w:rsidRPr="005C5C45">
        <w:rPr>
          <w:lang w:eastAsia="en-NZ"/>
        </w:rPr>
        <w:t>It was advertised on the government consultation platform</w:t>
      </w:r>
      <w:r w:rsidR="00C63F4D" w:rsidRPr="005C5C45">
        <w:rPr>
          <w:lang w:eastAsia="en-NZ"/>
        </w:rPr>
        <w:t xml:space="preserve"> (govt.nz)</w:t>
      </w:r>
      <w:r w:rsidR="00C66898" w:rsidRPr="005C5C45">
        <w:rPr>
          <w:lang w:eastAsia="en-NZ"/>
        </w:rPr>
        <w:t>, with feedback invited on that platform, by email and by post.</w:t>
      </w:r>
      <w:r w:rsidR="003F59F0" w:rsidRPr="005C5C45">
        <w:rPr>
          <w:lang w:eastAsia="en-NZ"/>
        </w:rPr>
        <w:t xml:space="preserve"> </w:t>
      </w:r>
      <w:r w:rsidR="00907436" w:rsidRPr="005C5C45">
        <w:rPr>
          <w:lang w:eastAsia="en-NZ"/>
        </w:rPr>
        <w:t xml:space="preserve">Three </w:t>
      </w:r>
      <w:r w:rsidR="00B077D2" w:rsidRPr="005C5C45">
        <w:rPr>
          <w:lang w:eastAsia="en-NZ"/>
        </w:rPr>
        <w:t>response</w:t>
      </w:r>
      <w:r w:rsidR="0053228E" w:rsidRPr="005C5C45">
        <w:rPr>
          <w:lang w:eastAsia="en-NZ"/>
        </w:rPr>
        <w:t>s were received</w:t>
      </w:r>
      <w:r w:rsidR="00C63F4D" w:rsidRPr="005C5C45">
        <w:rPr>
          <w:lang w:eastAsia="en-NZ"/>
        </w:rPr>
        <w:t xml:space="preserve"> and published online. They</w:t>
      </w:r>
      <w:r w:rsidR="0053228E" w:rsidRPr="005C5C45">
        <w:rPr>
          <w:lang w:eastAsia="en-NZ"/>
        </w:rPr>
        <w:t xml:space="preserve"> </w:t>
      </w:r>
      <w:r w:rsidR="00930F6D" w:rsidRPr="005C5C45">
        <w:rPr>
          <w:lang w:eastAsia="en-NZ"/>
        </w:rPr>
        <w:t xml:space="preserve">comment on progress achieved to date, </w:t>
      </w:r>
      <w:r w:rsidR="0053228E" w:rsidRPr="005C5C45">
        <w:rPr>
          <w:lang w:eastAsia="en-NZ"/>
        </w:rPr>
        <w:t>look ahead</w:t>
      </w:r>
      <w:r w:rsidR="00B077D2" w:rsidRPr="005C5C45">
        <w:rPr>
          <w:lang w:eastAsia="en-NZ"/>
        </w:rPr>
        <w:t xml:space="preserve"> to the process for </w:t>
      </w:r>
      <w:r w:rsidR="00BA2D58" w:rsidRPr="005C5C45">
        <w:rPr>
          <w:lang w:eastAsia="en-NZ"/>
        </w:rPr>
        <w:t xml:space="preserve">the development of </w:t>
      </w:r>
      <w:r w:rsidR="00B077D2" w:rsidRPr="005C5C45">
        <w:rPr>
          <w:lang w:eastAsia="en-NZ"/>
        </w:rPr>
        <w:t>the third action plan</w:t>
      </w:r>
      <w:r w:rsidR="00930F6D" w:rsidRPr="005C5C45">
        <w:rPr>
          <w:lang w:eastAsia="en-NZ"/>
        </w:rPr>
        <w:t xml:space="preserve"> and identify key areas of interest for the next plan</w:t>
      </w:r>
      <w:r w:rsidR="00B077D2" w:rsidRPr="005C5C45">
        <w:rPr>
          <w:lang w:eastAsia="en-NZ"/>
        </w:rPr>
        <w:t>.</w:t>
      </w:r>
      <w:r w:rsidRPr="005C5C45">
        <w:rPr>
          <w:lang w:eastAsia="en-NZ"/>
        </w:rPr>
        <w:t xml:space="preserve"> </w:t>
      </w:r>
      <w:r w:rsidR="00930F6D" w:rsidRPr="005C5C45">
        <w:rPr>
          <w:lang w:eastAsia="en-NZ"/>
        </w:rPr>
        <w:t xml:space="preserve">Two responses note concern about an absence of consultation with civil society in the commitment to improve policy practices. </w:t>
      </w:r>
      <w:r w:rsidR="00B077D2" w:rsidRPr="005C5C45">
        <w:rPr>
          <w:lang w:eastAsia="en-NZ"/>
        </w:rPr>
        <w:t>Go</w:t>
      </w:r>
      <w:r w:rsidR="00852145" w:rsidRPr="005C5C45">
        <w:rPr>
          <w:lang w:eastAsia="en-NZ"/>
        </w:rPr>
        <w:t xml:space="preserve">vernment </w:t>
      </w:r>
      <w:r w:rsidR="00A30E91" w:rsidRPr="005C5C45">
        <w:rPr>
          <w:lang w:eastAsia="en-NZ"/>
        </w:rPr>
        <w:t>published</w:t>
      </w:r>
      <w:r w:rsidR="00E50C02" w:rsidRPr="005C5C45">
        <w:rPr>
          <w:lang w:eastAsia="en-NZ"/>
        </w:rPr>
        <w:t xml:space="preserve"> the</w:t>
      </w:r>
      <w:r w:rsidR="0029086F" w:rsidRPr="005C5C45">
        <w:rPr>
          <w:lang w:eastAsia="en-NZ"/>
        </w:rPr>
        <w:t xml:space="preserve"> </w:t>
      </w:r>
      <w:r w:rsidR="00F102B4" w:rsidRPr="005C5C45">
        <w:rPr>
          <w:lang w:eastAsia="en-NZ"/>
        </w:rPr>
        <w:t>midterm self-assessment</w:t>
      </w:r>
      <w:r w:rsidR="0029086F" w:rsidRPr="005C5C45">
        <w:rPr>
          <w:lang w:eastAsia="en-NZ"/>
        </w:rPr>
        <w:t xml:space="preserve"> report</w:t>
      </w:r>
      <w:r w:rsidR="00B077D2" w:rsidRPr="005C5C45">
        <w:rPr>
          <w:lang w:eastAsia="en-NZ"/>
        </w:rPr>
        <w:t xml:space="preserve"> online </w:t>
      </w:r>
      <w:r w:rsidR="00A30E91" w:rsidRPr="005C5C45">
        <w:rPr>
          <w:lang w:eastAsia="en-NZ"/>
        </w:rPr>
        <w:t>on 2 October</w:t>
      </w:r>
      <w:r w:rsidR="00B077D2" w:rsidRPr="005C5C45">
        <w:rPr>
          <w:lang w:eastAsia="en-NZ"/>
        </w:rPr>
        <w:t xml:space="preserve"> 20</w:t>
      </w:r>
      <w:r w:rsidR="00CF6384" w:rsidRPr="005C5C45">
        <w:rPr>
          <w:lang w:eastAsia="en-NZ"/>
        </w:rPr>
        <w:t xml:space="preserve">17. </w:t>
      </w:r>
      <w:r w:rsidR="00C63F4D" w:rsidRPr="005C5C45">
        <w:rPr>
          <w:lang w:eastAsia="en-NZ"/>
        </w:rPr>
        <w:t xml:space="preserve">The final version </w:t>
      </w:r>
      <w:r w:rsidR="00930F6D" w:rsidRPr="005C5C45">
        <w:rPr>
          <w:lang w:eastAsia="en-NZ"/>
        </w:rPr>
        <w:t xml:space="preserve">describes </w:t>
      </w:r>
      <w:r w:rsidR="00C63F4D" w:rsidRPr="005C5C45">
        <w:rPr>
          <w:lang w:eastAsia="en-NZ"/>
        </w:rPr>
        <w:t>the feedback received.</w:t>
      </w:r>
    </w:p>
    <w:p w14:paraId="5FD053CA" w14:textId="5D6210E6" w:rsidR="00B077D2" w:rsidRPr="005C5C45" w:rsidRDefault="00B077D2" w:rsidP="00AF1990">
      <w:pPr>
        <w:pStyle w:val="Normalrglronly"/>
        <w:rPr>
          <w:lang w:eastAsia="en-NZ"/>
        </w:rPr>
      </w:pPr>
      <w:r w:rsidRPr="005C5C45">
        <w:rPr>
          <w:lang w:eastAsia="en-NZ"/>
        </w:rPr>
        <w:t xml:space="preserve">The </w:t>
      </w:r>
      <w:r w:rsidR="00F102B4" w:rsidRPr="005C5C45">
        <w:rPr>
          <w:lang w:eastAsia="en-NZ"/>
        </w:rPr>
        <w:t>midterm self-assessment</w:t>
      </w:r>
      <w:r w:rsidRPr="005C5C45">
        <w:rPr>
          <w:lang w:eastAsia="en-NZ"/>
        </w:rPr>
        <w:t xml:space="preserve"> summarised the consultation process during </w:t>
      </w:r>
      <w:r w:rsidR="00681A9A" w:rsidRPr="005C5C45">
        <w:rPr>
          <w:lang w:eastAsia="en-NZ"/>
        </w:rPr>
        <w:t xml:space="preserve">the </w:t>
      </w:r>
      <w:r w:rsidRPr="005C5C45">
        <w:rPr>
          <w:lang w:eastAsia="en-NZ"/>
        </w:rPr>
        <w:t>action plan development</w:t>
      </w:r>
      <w:r w:rsidR="00C17BE6" w:rsidRPr="005C5C45">
        <w:rPr>
          <w:lang w:eastAsia="en-NZ"/>
        </w:rPr>
        <w:t xml:space="preserve"> and provided links to the two consultation sites and the online submissions.</w:t>
      </w:r>
      <w:r w:rsidR="0053228E" w:rsidRPr="005C5C45">
        <w:rPr>
          <w:lang w:eastAsia="en-NZ"/>
        </w:rPr>
        <w:t xml:space="preserve"> It reviewed consultation during implementation to date, describing its multi-stakeholder consultation forum and officials group, and linking to their minutes on NZ’s OGP website. It </w:t>
      </w:r>
      <w:r w:rsidR="003B3561" w:rsidRPr="005C5C45">
        <w:rPr>
          <w:lang w:eastAsia="en-NZ"/>
        </w:rPr>
        <w:t>provided details of external government</w:t>
      </w:r>
      <w:r w:rsidR="005706C4">
        <w:rPr>
          <w:lang w:eastAsia="en-NZ"/>
        </w:rPr>
        <w:t>-</w:t>
      </w:r>
      <w:r w:rsidR="003B3561" w:rsidRPr="005C5C45">
        <w:rPr>
          <w:lang w:eastAsia="en-NZ"/>
        </w:rPr>
        <w:t>to</w:t>
      </w:r>
      <w:r w:rsidR="005706C4">
        <w:rPr>
          <w:lang w:eastAsia="en-NZ"/>
        </w:rPr>
        <w:t>-</w:t>
      </w:r>
      <w:r w:rsidR="003B3561" w:rsidRPr="005C5C45">
        <w:rPr>
          <w:lang w:eastAsia="en-NZ"/>
        </w:rPr>
        <w:t xml:space="preserve">government work, but </w:t>
      </w:r>
      <w:r w:rsidR="0053228E" w:rsidRPr="005C5C45">
        <w:rPr>
          <w:lang w:eastAsia="en-NZ"/>
        </w:rPr>
        <w:t xml:space="preserve">did not refer to the separate meetings </w:t>
      </w:r>
      <w:r w:rsidR="00681A9A" w:rsidRPr="005C5C45">
        <w:rPr>
          <w:lang w:eastAsia="en-NZ"/>
        </w:rPr>
        <w:t xml:space="preserve">with the SSC that </w:t>
      </w:r>
      <w:r w:rsidR="0053228E" w:rsidRPr="005C5C45">
        <w:rPr>
          <w:lang w:eastAsia="en-NZ"/>
        </w:rPr>
        <w:t xml:space="preserve">other civil society organisations reported to the IRM researcher. It discussed progress on all commitments </w:t>
      </w:r>
      <w:r w:rsidR="00681A9A" w:rsidRPr="005C5C45">
        <w:rPr>
          <w:lang w:eastAsia="en-NZ"/>
        </w:rPr>
        <w:t>and linked to public</w:t>
      </w:r>
      <w:r w:rsidR="00A72A1E" w:rsidRPr="005C5C45">
        <w:rPr>
          <w:lang w:eastAsia="en-NZ"/>
        </w:rPr>
        <w:t xml:space="preserve"> documents relating to all the c</w:t>
      </w:r>
      <w:r w:rsidR="00681A9A" w:rsidRPr="005C5C45">
        <w:rPr>
          <w:lang w:eastAsia="en-NZ"/>
        </w:rPr>
        <w:t>ommitments. It explaine</w:t>
      </w:r>
      <w:r w:rsidR="00A72A1E" w:rsidRPr="005C5C45">
        <w:rPr>
          <w:lang w:eastAsia="en-NZ"/>
        </w:rPr>
        <w:t xml:space="preserve">d the reasons for rescheduling </w:t>
      </w:r>
      <w:r w:rsidR="005706C4">
        <w:rPr>
          <w:lang w:eastAsia="en-NZ"/>
        </w:rPr>
        <w:t>Commitments 3 and 4</w:t>
      </w:r>
      <w:r w:rsidR="00681A9A" w:rsidRPr="005C5C45">
        <w:rPr>
          <w:lang w:eastAsia="en-NZ"/>
        </w:rPr>
        <w:t>. It was realistic about prog</w:t>
      </w:r>
      <w:r w:rsidR="00B70609" w:rsidRPr="005C5C45">
        <w:rPr>
          <w:lang w:eastAsia="en-NZ"/>
        </w:rPr>
        <w:t>r</w:t>
      </w:r>
      <w:r w:rsidR="00A72A1E" w:rsidRPr="005C5C45">
        <w:rPr>
          <w:lang w:eastAsia="en-NZ"/>
        </w:rPr>
        <w:t xml:space="preserve">ess on </w:t>
      </w:r>
      <w:r w:rsidR="005706C4">
        <w:rPr>
          <w:lang w:eastAsia="en-NZ"/>
        </w:rPr>
        <w:t>Commitments 1 and 6,</w:t>
      </w:r>
      <w:r w:rsidR="00B70609" w:rsidRPr="005C5C45">
        <w:rPr>
          <w:lang w:eastAsia="en-NZ"/>
        </w:rPr>
        <w:t xml:space="preserve"> which have</w:t>
      </w:r>
      <w:r w:rsidR="00681A9A" w:rsidRPr="005C5C45">
        <w:rPr>
          <w:lang w:eastAsia="en-NZ"/>
        </w:rPr>
        <w:t xml:space="preserve"> long milestone</w:t>
      </w:r>
      <w:r w:rsidR="00B70609" w:rsidRPr="005C5C45">
        <w:rPr>
          <w:lang w:eastAsia="en-NZ"/>
        </w:rPr>
        <w:t xml:space="preserve">s, but unrealistically optimistic about </w:t>
      </w:r>
      <w:r w:rsidR="00CE1526" w:rsidRPr="005C5C45">
        <w:rPr>
          <w:lang w:eastAsia="en-NZ"/>
        </w:rPr>
        <w:t xml:space="preserve">future </w:t>
      </w:r>
      <w:r w:rsidR="00A72A1E" w:rsidRPr="005C5C45">
        <w:rPr>
          <w:lang w:eastAsia="en-NZ"/>
        </w:rPr>
        <w:t xml:space="preserve">progress on </w:t>
      </w:r>
      <w:r w:rsidR="00DE2140" w:rsidRPr="005C5C45">
        <w:rPr>
          <w:lang w:eastAsia="en-NZ"/>
        </w:rPr>
        <w:t xml:space="preserve">some of </w:t>
      </w:r>
      <w:r w:rsidR="005706C4">
        <w:rPr>
          <w:lang w:eastAsia="en-NZ"/>
        </w:rPr>
        <w:t>C</w:t>
      </w:r>
      <w:r w:rsidR="00B70609" w:rsidRPr="005C5C45">
        <w:rPr>
          <w:lang w:eastAsia="en-NZ"/>
        </w:rPr>
        <w:t>ommit</w:t>
      </w:r>
      <w:r w:rsidR="009451BF" w:rsidRPr="005C5C45">
        <w:rPr>
          <w:lang w:eastAsia="en-NZ"/>
        </w:rPr>
        <w:t xml:space="preserve">ment </w:t>
      </w:r>
      <w:r w:rsidR="005706C4">
        <w:rPr>
          <w:lang w:eastAsia="en-NZ"/>
        </w:rPr>
        <w:t>3</w:t>
      </w:r>
      <w:r w:rsidR="005706C4" w:rsidRPr="005C5C45">
        <w:rPr>
          <w:lang w:eastAsia="en-NZ"/>
        </w:rPr>
        <w:t xml:space="preserve">’s </w:t>
      </w:r>
      <w:r w:rsidR="00B93D07" w:rsidRPr="005C5C45">
        <w:rPr>
          <w:lang w:eastAsia="en-NZ"/>
        </w:rPr>
        <w:t xml:space="preserve">activities </w:t>
      </w:r>
      <w:r w:rsidR="00DE2140" w:rsidRPr="005C5C45">
        <w:rPr>
          <w:lang w:eastAsia="en-NZ"/>
        </w:rPr>
        <w:t>(i.e. commitment activities three and four)</w:t>
      </w:r>
      <w:r w:rsidR="009451BF" w:rsidRPr="005C5C45">
        <w:rPr>
          <w:lang w:eastAsia="en-NZ"/>
        </w:rPr>
        <w:t>.</w:t>
      </w:r>
      <w:r w:rsidR="00C63F4D" w:rsidRPr="005C5C45">
        <w:rPr>
          <w:lang w:eastAsia="en-NZ"/>
        </w:rPr>
        <w:t xml:space="preserve"> </w:t>
      </w:r>
      <w:r w:rsidR="00ED7A18">
        <w:rPr>
          <w:lang w:eastAsia="en-NZ"/>
        </w:rPr>
        <w:t xml:space="preserve">The assessment included </w:t>
      </w:r>
      <w:r w:rsidR="00981A30">
        <w:rPr>
          <w:lang w:eastAsia="en-NZ"/>
        </w:rPr>
        <w:t>‘</w:t>
      </w:r>
      <w:r w:rsidR="00C63F4D" w:rsidRPr="005C5C45">
        <w:rPr>
          <w:lang w:eastAsia="en-NZ"/>
        </w:rPr>
        <w:t xml:space="preserve">Next </w:t>
      </w:r>
      <w:r w:rsidR="00ED7A18">
        <w:rPr>
          <w:lang w:eastAsia="en-NZ"/>
        </w:rPr>
        <w:t>S</w:t>
      </w:r>
      <w:r w:rsidR="00C63F4D" w:rsidRPr="005C5C45">
        <w:rPr>
          <w:lang w:eastAsia="en-NZ"/>
        </w:rPr>
        <w:t>teps</w:t>
      </w:r>
      <w:r w:rsidR="00981A30">
        <w:rPr>
          <w:lang w:eastAsia="en-NZ"/>
        </w:rPr>
        <w:t>’</w:t>
      </w:r>
      <w:r w:rsidR="00C63F4D" w:rsidRPr="005C5C45">
        <w:rPr>
          <w:lang w:eastAsia="en-NZ"/>
        </w:rPr>
        <w:t xml:space="preserve"> and an additional information section for each commitment.</w:t>
      </w:r>
    </w:p>
    <w:p w14:paraId="562B51D6" w14:textId="77777777" w:rsidR="00EA2F88" w:rsidRPr="005C5C45" w:rsidRDefault="00EA2F88" w:rsidP="004C6BFF">
      <w:pPr>
        <w:pStyle w:val="Heading3"/>
      </w:pPr>
      <w:r w:rsidRPr="005C5C45">
        <w:t xml:space="preserve">3.6 Response to Previous IRM Recommendations </w:t>
      </w:r>
    </w:p>
    <w:p w14:paraId="7B78A80A" w14:textId="77777777" w:rsidR="00AF5E11" w:rsidRDefault="00AF5E11" w:rsidP="005C45EA">
      <w:pPr>
        <w:pStyle w:val="Tableheader"/>
      </w:pPr>
    </w:p>
    <w:p w14:paraId="56EF5655" w14:textId="77777777" w:rsidR="00EA2F88" w:rsidRPr="005C5C45" w:rsidRDefault="00EA2F88" w:rsidP="005C45EA">
      <w:pPr>
        <w:pStyle w:val="Tableheader"/>
      </w:pPr>
      <w:r w:rsidRPr="005C5C45">
        <w:t>Table 3.5: Previous IRM Report Key Recommendations</w:t>
      </w:r>
    </w:p>
    <w:tbl>
      <w:tblPr>
        <w:tblStyle w:val="TableGrid"/>
        <w:tblW w:w="0" w:type="auto"/>
        <w:tblLook w:val="04A0" w:firstRow="1" w:lastRow="0" w:firstColumn="1" w:lastColumn="0" w:noHBand="0" w:noVBand="1"/>
      </w:tblPr>
      <w:tblGrid>
        <w:gridCol w:w="447"/>
        <w:gridCol w:w="4374"/>
        <w:gridCol w:w="1968"/>
        <w:gridCol w:w="1487"/>
      </w:tblGrid>
      <w:tr w:rsidR="00EA2F88" w:rsidRPr="005C5C45" w14:paraId="74A65645" w14:textId="77777777" w:rsidTr="00531279">
        <w:tc>
          <w:tcPr>
            <w:tcW w:w="4821" w:type="dxa"/>
            <w:gridSpan w:val="2"/>
            <w:tcBorders>
              <w:top w:val="double" w:sz="4" w:space="0" w:color="3C6EA4" w:themeColor="text2"/>
              <w:left w:val="double" w:sz="4" w:space="0" w:color="3C6EA4" w:themeColor="text2"/>
              <w:bottom w:val="double" w:sz="4" w:space="0" w:color="3C6EA4" w:themeColor="text2"/>
              <w:right w:val="double" w:sz="4" w:space="0" w:color="3C6EA4" w:themeColor="text2"/>
            </w:tcBorders>
            <w:vAlign w:val="center"/>
          </w:tcPr>
          <w:p w14:paraId="36CFE1AE" w14:textId="77777777" w:rsidR="00EA2F88" w:rsidRPr="005C5C45" w:rsidRDefault="00EA2F88" w:rsidP="004E4A27">
            <w:pPr>
              <w:pStyle w:val="Heading5"/>
              <w:jc w:val="center"/>
            </w:pPr>
            <w:r w:rsidRPr="005C5C45">
              <w:t>Recommendation</w:t>
            </w:r>
          </w:p>
        </w:tc>
        <w:tc>
          <w:tcPr>
            <w:tcW w:w="1968" w:type="dxa"/>
            <w:tcBorders>
              <w:top w:val="double" w:sz="4" w:space="0" w:color="3C6EA4" w:themeColor="text2"/>
              <w:left w:val="double" w:sz="4" w:space="0" w:color="3C6EA4" w:themeColor="text2"/>
              <w:bottom w:val="double" w:sz="4" w:space="0" w:color="3C6EA4" w:themeColor="text2"/>
              <w:right w:val="double" w:sz="4" w:space="0" w:color="3C6EA4" w:themeColor="text2"/>
            </w:tcBorders>
            <w:vAlign w:val="center"/>
          </w:tcPr>
          <w:p w14:paraId="6011B224" w14:textId="77777777" w:rsidR="00EA2F88" w:rsidRPr="005C5C45" w:rsidRDefault="00EA2F88" w:rsidP="004E4A27">
            <w:pPr>
              <w:pStyle w:val="Heading5"/>
              <w:jc w:val="center"/>
            </w:pPr>
            <w:r w:rsidRPr="005C5C45">
              <w:t>Addressed?</w:t>
            </w:r>
          </w:p>
        </w:tc>
        <w:tc>
          <w:tcPr>
            <w:tcW w:w="1487" w:type="dxa"/>
            <w:tcBorders>
              <w:top w:val="double" w:sz="4" w:space="0" w:color="3C6EA4" w:themeColor="text2"/>
              <w:left w:val="double" w:sz="4" w:space="0" w:color="3C6EA4" w:themeColor="text2"/>
              <w:bottom w:val="double" w:sz="4" w:space="0" w:color="3C6EA4" w:themeColor="text2"/>
              <w:right w:val="double" w:sz="4" w:space="0" w:color="3C6EA4" w:themeColor="text2"/>
            </w:tcBorders>
            <w:vAlign w:val="center"/>
          </w:tcPr>
          <w:p w14:paraId="21EBF86E" w14:textId="77777777" w:rsidR="00EA2F88" w:rsidRPr="005C5C45" w:rsidRDefault="00EA2F88" w:rsidP="004E4A27">
            <w:pPr>
              <w:pStyle w:val="Heading5"/>
              <w:jc w:val="center"/>
            </w:pPr>
            <w:r w:rsidRPr="005C5C45">
              <w:t>Integrated into Next Action Plan?</w:t>
            </w:r>
          </w:p>
        </w:tc>
      </w:tr>
      <w:tr w:rsidR="00144DBE" w:rsidRPr="005C5C45" w14:paraId="74FFD6E8" w14:textId="77777777" w:rsidTr="0077654A">
        <w:tc>
          <w:tcPr>
            <w:tcW w:w="447" w:type="dxa"/>
            <w:tcBorders>
              <w:top w:val="double" w:sz="4" w:space="0" w:color="3C6EA4" w:themeColor="text2"/>
              <w:left w:val="double" w:sz="4" w:space="0" w:color="E68723" w:themeColor="accent1"/>
              <w:bottom w:val="double" w:sz="4" w:space="0" w:color="E68723" w:themeColor="accent1"/>
              <w:right w:val="double" w:sz="4" w:space="0" w:color="E68723" w:themeColor="accent1"/>
            </w:tcBorders>
            <w:shd w:val="clear" w:color="auto" w:fill="FAE6D3" w:themeFill="accent1" w:themeFillTint="33"/>
            <w:vAlign w:val="center"/>
          </w:tcPr>
          <w:p w14:paraId="2C488BC1" w14:textId="77777777" w:rsidR="00144DBE" w:rsidRPr="005C5C45" w:rsidRDefault="00144DBE" w:rsidP="00144DBE">
            <w:pPr>
              <w:pStyle w:val="Rowcolumntitles"/>
              <w:jc w:val="center"/>
              <w:rPr>
                <w:b/>
              </w:rPr>
            </w:pPr>
            <w:r w:rsidRPr="005C5C45">
              <w:rPr>
                <w:b/>
              </w:rPr>
              <w:t>1</w:t>
            </w:r>
          </w:p>
        </w:tc>
        <w:tc>
          <w:tcPr>
            <w:tcW w:w="4374" w:type="dxa"/>
            <w:tcBorders>
              <w:top w:val="double" w:sz="4" w:space="0" w:color="3C6EA4" w:themeColor="text2"/>
              <w:left w:val="double" w:sz="4" w:space="0" w:color="E68723" w:themeColor="accent1"/>
              <w:bottom w:val="double" w:sz="4" w:space="0" w:color="E68723" w:themeColor="accent1"/>
              <w:right w:val="double" w:sz="4" w:space="0" w:color="E68723" w:themeColor="accent1"/>
            </w:tcBorders>
            <w:shd w:val="clear" w:color="auto" w:fill="FAE6D3" w:themeFill="accent1" w:themeFillTint="33"/>
          </w:tcPr>
          <w:p w14:paraId="76263A29" w14:textId="77777777" w:rsidR="00144DBE" w:rsidRPr="005C5C45" w:rsidRDefault="00144DBE" w:rsidP="00144DBE">
            <w:pPr>
              <w:pStyle w:val="Rowcolumntitles"/>
            </w:pPr>
            <w:r w:rsidRPr="005C5C45">
              <w:t>Reform official information laws by extending them to parliamentary bodies and adopting the Law Commission’s recommendation to create an official information authority responsible for training, culture, advice, best practice guidance, and identifying necessary reforms.</w:t>
            </w:r>
          </w:p>
        </w:tc>
        <w:tc>
          <w:tcPr>
            <w:tcW w:w="1968" w:type="dxa"/>
            <w:tcBorders>
              <w:top w:val="double" w:sz="4" w:space="0" w:color="3C6EA4" w:themeColor="text2"/>
              <w:left w:val="double" w:sz="4" w:space="0" w:color="E68723" w:themeColor="accent1"/>
              <w:bottom w:val="double" w:sz="4" w:space="0" w:color="E68723" w:themeColor="accent1"/>
              <w:right w:val="double" w:sz="4" w:space="0" w:color="E68723" w:themeColor="accent1"/>
            </w:tcBorders>
            <w:shd w:val="clear" w:color="auto" w:fill="FAE6D3" w:themeFill="accent1" w:themeFillTint="33"/>
            <w:vAlign w:val="center"/>
          </w:tcPr>
          <w:p w14:paraId="339228F0" w14:textId="05981858" w:rsidR="00144DBE" w:rsidRPr="0077654A" w:rsidRDefault="00AF5E11" w:rsidP="0077654A">
            <w:pPr>
              <w:pStyle w:val="Rowcolumntitles"/>
              <w:jc w:val="center"/>
              <w:rPr>
                <w:color w:val="auto"/>
              </w:rPr>
            </w:pPr>
            <w:r w:rsidRPr="0077654A">
              <w:rPr>
                <w:color w:val="auto"/>
              </w:rPr>
              <w:t>No</w:t>
            </w:r>
          </w:p>
        </w:tc>
        <w:tc>
          <w:tcPr>
            <w:tcW w:w="1487" w:type="dxa"/>
            <w:tcBorders>
              <w:top w:val="double" w:sz="4" w:space="0" w:color="3C6EA4" w:themeColor="text2"/>
              <w:left w:val="double" w:sz="4" w:space="0" w:color="E68723" w:themeColor="accent1"/>
              <w:bottom w:val="double" w:sz="4" w:space="0" w:color="E68723" w:themeColor="accent1"/>
              <w:right w:val="double" w:sz="4" w:space="0" w:color="E68723" w:themeColor="accent1"/>
            </w:tcBorders>
            <w:shd w:val="clear" w:color="auto" w:fill="FAE6D3" w:themeFill="accent1" w:themeFillTint="33"/>
            <w:vAlign w:val="center"/>
          </w:tcPr>
          <w:p w14:paraId="0939445A" w14:textId="36EA9141" w:rsidR="00144DBE" w:rsidRPr="0077654A" w:rsidRDefault="00AF5E11" w:rsidP="0077654A">
            <w:pPr>
              <w:pStyle w:val="Rowcolumntitles"/>
              <w:jc w:val="center"/>
              <w:rPr>
                <w:color w:val="auto"/>
              </w:rPr>
            </w:pPr>
            <w:r w:rsidRPr="0077654A">
              <w:rPr>
                <w:color w:val="auto"/>
              </w:rPr>
              <w:t>No</w:t>
            </w:r>
          </w:p>
        </w:tc>
      </w:tr>
      <w:tr w:rsidR="00144DBE" w:rsidRPr="005C5C45" w14:paraId="50528F80" w14:textId="77777777" w:rsidTr="0077654A">
        <w:tc>
          <w:tcPr>
            <w:tcW w:w="447" w:type="dxa"/>
            <w:tcBorders>
              <w:top w:val="double" w:sz="4" w:space="0" w:color="E68723" w:themeColor="accent1"/>
              <w:left w:val="double" w:sz="4" w:space="0" w:color="4BACC6" w:themeColor="accent5"/>
              <w:bottom w:val="double" w:sz="4" w:space="0" w:color="4BACC6" w:themeColor="accent5"/>
              <w:right w:val="double" w:sz="4" w:space="0" w:color="4BACC6" w:themeColor="accent5"/>
            </w:tcBorders>
            <w:shd w:val="clear" w:color="auto" w:fill="DFF0F4" w:themeFill="accent3" w:themeFillTint="1A"/>
            <w:vAlign w:val="center"/>
          </w:tcPr>
          <w:p w14:paraId="15E4748D" w14:textId="77777777" w:rsidR="00144DBE" w:rsidRPr="005C5C45" w:rsidRDefault="00144DBE" w:rsidP="00144DBE">
            <w:pPr>
              <w:pStyle w:val="Rowcolumntitles"/>
              <w:jc w:val="center"/>
              <w:rPr>
                <w:b/>
              </w:rPr>
            </w:pPr>
            <w:r w:rsidRPr="005C5C45">
              <w:rPr>
                <w:b/>
              </w:rPr>
              <w:t>2</w:t>
            </w:r>
          </w:p>
        </w:tc>
        <w:tc>
          <w:tcPr>
            <w:tcW w:w="4374" w:type="dxa"/>
            <w:tcBorders>
              <w:top w:val="double" w:sz="4" w:space="0" w:color="E68723" w:themeColor="accent1"/>
              <w:left w:val="double" w:sz="4" w:space="0" w:color="4BACC6" w:themeColor="accent5"/>
              <w:bottom w:val="double" w:sz="4" w:space="0" w:color="4BACC6" w:themeColor="accent5"/>
              <w:right w:val="double" w:sz="4" w:space="0" w:color="4BACC6" w:themeColor="accent5"/>
            </w:tcBorders>
            <w:shd w:val="clear" w:color="auto" w:fill="DFF0F4" w:themeFill="accent3" w:themeFillTint="1A"/>
          </w:tcPr>
          <w:p w14:paraId="7857F8D8" w14:textId="77777777" w:rsidR="00144DBE" w:rsidRPr="005C5C45" w:rsidRDefault="00144DBE" w:rsidP="00144DBE">
            <w:pPr>
              <w:pStyle w:val="Rowcolumntitles"/>
            </w:pPr>
            <w:r w:rsidRPr="005C5C45">
              <w:t xml:space="preserve">Create a set of robust and government-wide </w:t>
            </w:r>
            <w:r w:rsidRPr="005C5C45">
              <w:lastRenderedPageBreak/>
              <w:t>practices in collaboration with civil society concerning timely public consultation on new bills, regulation, and policy; base them on international best practice; make them mandatory where feasible; and include an effective complaint resolution mechanism or Ombudsman.</w:t>
            </w:r>
          </w:p>
        </w:tc>
        <w:tc>
          <w:tcPr>
            <w:tcW w:w="1968" w:type="dxa"/>
            <w:tcBorders>
              <w:top w:val="double" w:sz="4" w:space="0" w:color="E68723" w:themeColor="accent1"/>
              <w:left w:val="double" w:sz="4" w:space="0" w:color="4BACC6" w:themeColor="accent5"/>
              <w:bottom w:val="double" w:sz="4" w:space="0" w:color="4BACC6" w:themeColor="accent5"/>
              <w:right w:val="double" w:sz="4" w:space="0" w:color="4BACC6" w:themeColor="accent5"/>
            </w:tcBorders>
            <w:shd w:val="clear" w:color="auto" w:fill="DFF0F4" w:themeFill="accent3" w:themeFillTint="1A"/>
            <w:vAlign w:val="center"/>
          </w:tcPr>
          <w:p w14:paraId="61F27C70" w14:textId="5FD347AC" w:rsidR="00144DBE" w:rsidRPr="0077654A" w:rsidRDefault="00AF5E11" w:rsidP="0077654A">
            <w:pPr>
              <w:pStyle w:val="Rowcolumntitles"/>
              <w:jc w:val="center"/>
              <w:rPr>
                <w:color w:val="auto"/>
              </w:rPr>
            </w:pPr>
            <w:r w:rsidRPr="0077654A">
              <w:rPr>
                <w:color w:val="auto"/>
              </w:rPr>
              <w:lastRenderedPageBreak/>
              <w:t>No</w:t>
            </w:r>
          </w:p>
        </w:tc>
        <w:tc>
          <w:tcPr>
            <w:tcW w:w="1487" w:type="dxa"/>
            <w:tcBorders>
              <w:top w:val="double" w:sz="4" w:space="0" w:color="E68723" w:themeColor="accent1"/>
              <w:left w:val="double" w:sz="4" w:space="0" w:color="4BACC6" w:themeColor="accent5"/>
              <w:bottom w:val="double" w:sz="4" w:space="0" w:color="4BACC6" w:themeColor="accent5"/>
              <w:right w:val="double" w:sz="4" w:space="0" w:color="4BACC6" w:themeColor="accent5"/>
            </w:tcBorders>
            <w:shd w:val="clear" w:color="auto" w:fill="DFF0F4" w:themeFill="accent3" w:themeFillTint="1A"/>
            <w:vAlign w:val="center"/>
          </w:tcPr>
          <w:p w14:paraId="2E9CCC33" w14:textId="47718240" w:rsidR="00144DBE" w:rsidRPr="0077654A" w:rsidRDefault="00AF5E11" w:rsidP="0077654A">
            <w:pPr>
              <w:pStyle w:val="Rowcolumntitles"/>
              <w:jc w:val="center"/>
              <w:rPr>
                <w:color w:val="auto"/>
              </w:rPr>
            </w:pPr>
            <w:r w:rsidRPr="0077654A">
              <w:rPr>
                <w:color w:val="auto"/>
              </w:rPr>
              <w:t>No</w:t>
            </w:r>
          </w:p>
        </w:tc>
      </w:tr>
      <w:tr w:rsidR="00144DBE" w:rsidRPr="005C5C45" w14:paraId="2B2CE077" w14:textId="77777777" w:rsidTr="0077654A">
        <w:tc>
          <w:tcPr>
            <w:tcW w:w="447" w:type="dxa"/>
            <w:tcBorders>
              <w:top w:val="double" w:sz="4" w:space="0" w:color="4BACC6" w:themeColor="accent5"/>
              <w:left w:val="double" w:sz="4" w:space="0" w:color="51A534" w:themeColor="accent2"/>
              <w:bottom w:val="double" w:sz="4" w:space="0" w:color="51A534" w:themeColor="accent2"/>
              <w:right w:val="double" w:sz="4" w:space="0" w:color="51A534" w:themeColor="accent2"/>
            </w:tcBorders>
            <w:shd w:val="clear" w:color="auto" w:fill="DAF1D2" w:themeFill="accent2" w:themeFillTint="33"/>
            <w:vAlign w:val="center"/>
          </w:tcPr>
          <w:p w14:paraId="0A580C93" w14:textId="77777777" w:rsidR="00144DBE" w:rsidRPr="005C5C45" w:rsidRDefault="00144DBE" w:rsidP="00144DBE">
            <w:pPr>
              <w:pStyle w:val="Rowcolumntitles"/>
              <w:jc w:val="center"/>
              <w:rPr>
                <w:b/>
              </w:rPr>
            </w:pPr>
            <w:r w:rsidRPr="005C5C45">
              <w:rPr>
                <w:b/>
              </w:rPr>
              <w:lastRenderedPageBreak/>
              <w:t>3</w:t>
            </w:r>
          </w:p>
        </w:tc>
        <w:tc>
          <w:tcPr>
            <w:tcW w:w="4374" w:type="dxa"/>
            <w:tcBorders>
              <w:top w:val="double" w:sz="4" w:space="0" w:color="4BACC6" w:themeColor="accent5"/>
              <w:left w:val="double" w:sz="4" w:space="0" w:color="51A534" w:themeColor="accent2"/>
              <w:bottom w:val="double" w:sz="4" w:space="0" w:color="51A534" w:themeColor="accent2"/>
              <w:right w:val="double" w:sz="4" w:space="0" w:color="51A534" w:themeColor="accent2"/>
            </w:tcBorders>
            <w:shd w:val="clear" w:color="auto" w:fill="DAF1D2" w:themeFill="accent2" w:themeFillTint="33"/>
          </w:tcPr>
          <w:p w14:paraId="6EE72C88" w14:textId="5E7B63FF" w:rsidR="00144DBE" w:rsidRPr="005C5C45" w:rsidRDefault="00144DBE" w:rsidP="00144DBE">
            <w:pPr>
              <w:pStyle w:val="Rowcolumntitles"/>
            </w:pPr>
            <w:r w:rsidRPr="005C5C45">
              <w:t xml:space="preserve">Commit to regular, standardised, technically independent, </w:t>
            </w:r>
            <w:r w:rsidR="00415346">
              <w:t>‘</w:t>
            </w:r>
            <w:r w:rsidRPr="005C5C45">
              <w:t>state of the nation</w:t>
            </w:r>
            <w:r w:rsidR="00415346">
              <w:t>’</w:t>
            </w:r>
            <w:r w:rsidRPr="005C5C45">
              <w:t xml:space="preserve"> reporting on social policy and the environment</w:t>
            </w:r>
            <w:r w:rsidR="00ED7A18">
              <w:t>.</w:t>
            </w:r>
          </w:p>
        </w:tc>
        <w:tc>
          <w:tcPr>
            <w:tcW w:w="1968" w:type="dxa"/>
            <w:tcBorders>
              <w:top w:val="double" w:sz="4" w:space="0" w:color="4BACC6" w:themeColor="accent5"/>
              <w:left w:val="double" w:sz="4" w:space="0" w:color="51A534" w:themeColor="accent2"/>
              <w:bottom w:val="double" w:sz="4" w:space="0" w:color="51A534" w:themeColor="accent2"/>
              <w:right w:val="double" w:sz="4" w:space="0" w:color="51A534" w:themeColor="accent2"/>
            </w:tcBorders>
            <w:shd w:val="clear" w:color="auto" w:fill="DAF1D2" w:themeFill="accent2" w:themeFillTint="33"/>
            <w:vAlign w:val="center"/>
          </w:tcPr>
          <w:p w14:paraId="35A44209" w14:textId="689EB940" w:rsidR="00144DBE" w:rsidRPr="0077654A" w:rsidRDefault="00AF5E11" w:rsidP="0077654A">
            <w:pPr>
              <w:pStyle w:val="Rowcolumntitles"/>
              <w:jc w:val="center"/>
              <w:rPr>
                <w:color w:val="auto"/>
              </w:rPr>
            </w:pPr>
            <w:r w:rsidRPr="0077654A">
              <w:rPr>
                <w:color w:val="auto"/>
              </w:rPr>
              <w:t>No</w:t>
            </w:r>
          </w:p>
        </w:tc>
        <w:tc>
          <w:tcPr>
            <w:tcW w:w="1487" w:type="dxa"/>
            <w:tcBorders>
              <w:top w:val="double" w:sz="4" w:space="0" w:color="4BACC6" w:themeColor="accent5"/>
              <w:left w:val="double" w:sz="4" w:space="0" w:color="51A534" w:themeColor="accent2"/>
              <w:bottom w:val="double" w:sz="4" w:space="0" w:color="51A534" w:themeColor="accent2"/>
              <w:right w:val="double" w:sz="4" w:space="0" w:color="51A534" w:themeColor="accent2"/>
            </w:tcBorders>
            <w:shd w:val="clear" w:color="auto" w:fill="DAF1D2" w:themeFill="accent2" w:themeFillTint="33"/>
            <w:vAlign w:val="center"/>
          </w:tcPr>
          <w:p w14:paraId="79862B02" w14:textId="5E3CC15F" w:rsidR="00144DBE" w:rsidRPr="0077654A" w:rsidRDefault="00AF5E11" w:rsidP="0077654A">
            <w:pPr>
              <w:pStyle w:val="Rowcolumntitles"/>
              <w:jc w:val="center"/>
              <w:rPr>
                <w:color w:val="auto"/>
              </w:rPr>
            </w:pPr>
            <w:r w:rsidRPr="0077654A">
              <w:rPr>
                <w:color w:val="auto"/>
              </w:rPr>
              <w:t>No</w:t>
            </w:r>
          </w:p>
        </w:tc>
      </w:tr>
      <w:tr w:rsidR="00144DBE" w:rsidRPr="005C5C45" w14:paraId="41A9AE2D" w14:textId="77777777" w:rsidTr="0077654A">
        <w:tc>
          <w:tcPr>
            <w:tcW w:w="447" w:type="dxa"/>
            <w:tcBorders>
              <w:top w:val="double" w:sz="4" w:space="0" w:color="51A534" w:themeColor="accent2"/>
              <w:left w:val="double" w:sz="4" w:space="0" w:color="98A795" w:themeColor="accent4"/>
              <w:bottom w:val="double" w:sz="4" w:space="0" w:color="98A795" w:themeColor="accent4"/>
              <w:right w:val="double" w:sz="4" w:space="0" w:color="98A795" w:themeColor="accent4"/>
            </w:tcBorders>
            <w:shd w:val="clear" w:color="auto" w:fill="EAEDE9" w:themeFill="accent4" w:themeFillTint="33"/>
            <w:vAlign w:val="center"/>
          </w:tcPr>
          <w:p w14:paraId="73AC0F11" w14:textId="77777777" w:rsidR="00144DBE" w:rsidRPr="005C5C45" w:rsidRDefault="00144DBE" w:rsidP="00144DBE">
            <w:pPr>
              <w:pStyle w:val="Rowcolumntitles"/>
              <w:jc w:val="center"/>
              <w:rPr>
                <w:b/>
              </w:rPr>
            </w:pPr>
            <w:r w:rsidRPr="005C5C45">
              <w:rPr>
                <w:b/>
              </w:rPr>
              <w:t>4</w:t>
            </w:r>
          </w:p>
        </w:tc>
        <w:tc>
          <w:tcPr>
            <w:tcW w:w="4374" w:type="dxa"/>
            <w:tcBorders>
              <w:top w:val="double" w:sz="4" w:space="0" w:color="51A534" w:themeColor="accent2"/>
              <w:left w:val="double" w:sz="4" w:space="0" w:color="98A795" w:themeColor="accent4"/>
              <w:bottom w:val="double" w:sz="4" w:space="0" w:color="98A795" w:themeColor="accent4"/>
              <w:right w:val="double" w:sz="4" w:space="0" w:color="98A795" w:themeColor="accent4"/>
            </w:tcBorders>
            <w:shd w:val="clear" w:color="auto" w:fill="EAEDE9" w:themeFill="accent4" w:themeFillTint="33"/>
          </w:tcPr>
          <w:p w14:paraId="2ACAF736" w14:textId="2DB9FB18" w:rsidR="00144DBE" w:rsidRPr="005C5C45" w:rsidRDefault="00144DBE" w:rsidP="00144DBE">
            <w:pPr>
              <w:pStyle w:val="Rowcolumntitles"/>
            </w:pPr>
            <w:r w:rsidRPr="005C5C45">
              <w:t>Develop an express and public cross-government policy formally permitting public servants and those receiving public funding to speak out on significant public issues without facing any form of retaliation</w:t>
            </w:r>
            <w:r w:rsidR="00ED7A18">
              <w:t>.</w:t>
            </w:r>
          </w:p>
        </w:tc>
        <w:tc>
          <w:tcPr>
            <w:tcW w:w="1968" w:type="dxa"/>
            <w:tcBorders>
              <w:top w:val="double" w:sz="4" w:space="0" w:color="51A534" w:themeColor="accent2"/>
              <w:left w:val="double" w:sz="4" w:space="0" w:color="98A795" w:themeColor="accent4"/>
              <w:bottom w:val="double" w:sz="4" w:space="0" w:color="98A795" w:themeColor="accent4"/>
              <w:right w:val="double" w:sz="4" w:space="0" w:color="98A795" w:themeColor="accent4"/>
            </w:tcBorders>
            <w:shd w:val="clear" w:color="auto" w:fill="EAEDE9" w:themeFill="accent4" w:themeFillTint="33"/>
            <w:vAlign w:val="center"/>
          </w:tcPr>
          <w:p w14:paraId="477AAC28" w14:textId="2C35AA96" w:rsidR="00144DBE" w:rsidRPr="0077654A" w:rsidRDefault="00AF5E11" w:rsidP="0077654A">
            <w:pPr>
              <w:pStyle w:val="Rowcolumntitles"/>
              <w:jc w:val="center"/>
              <w:rPr>
                <w:color w:val="auto"/>
              </w:rPr>
            </w:pPr>
            <w:r w:rsidRPr="0077654A">
              <w:rPr>
                <w:color w:val="auto"/>
              </w:rPr>
              <w:t>No</w:t>
            </w:r>
          </w:p>
        </w:tc>
        <w:tc>
          <w:tcPr>
            <w:tcW w:w="1487" w:type="dxa"/>
            <w:tcBorders>
              <w:top w:val="double" w:sz="4" w:space="0" w:color="51A534" w:themeColor="accent2"/>
              <w:left w:val="double" w:sz="4" w:space="0" w:color="98A795" w:themeColor="accent4"/>
              <w:bottom w:val="double" w:sz="4" w:space="0" w:color="98A795" w:themeColor="accent4"/>
              <w:right w:val="double" w:sz="4" w:space="0" w:color="98A795" w:themeColor="accent4"/>
            </w:tcBorders>
            <w:shd w:val="clear" w:color="auto" w:fill="EAEDE9" w:themeFill="accent4" w:themeFillTint="33"/>
            <w:vAlign w:val="center"/>
          </w:tcPr>
          <w:p w14:paraId="482B56B1" w14:textId="21DE0A45" w:rsidR="00144DBE" w:rsidRPr="0077654A" w:rsidRDefault="00AF5E11" w:rsidP="0077654A">
            <w:pPr>
              <w:pStyle w:val="Rowcolumntitles"/>
              <w:jc w:val="center"/>
              <w:rPr>
                <w:color w:val="auto"/>
              </w:rPr>
            </w:pPr>
            <w:r w:rsidRPr="0077654A">
              <w:rPr>
                <w:color w:val="auto"/>
              </w:rPr>
              <w:t>No</w:t>
            </w:r>
          </w:p>
        </w:tc>
      </w:tr>
      <w:tr w:rsidR="00144DBE" w:rsidRPr="005C5C45" w14:paraId="5D7F7A20" w14:textId="77777777" w:rsidTr="0077654A">
        <w:tc>
          <w:tcPr>
            <w:tcW w:w="447" w:type="dxa"/>
            <w:tcBorders>
              <w:top w:val="double" w:sz="4" w:space="0" w:color="98A795" w:themeColor="accent4"/>
              <w:left w:val="double" w:sz="4" w:space="0" w:color="173B42" w:themeColor="accent3"/>
              <w:bottom w:val="double" w:sz="4" w:space="0" w:color="173B42" w:themeColor="accent3"/>
              <w:right w:val="double" w:sz="4" w:space="0" w:color="173B42" w:themeColor="accent3"/>
            </w:tcBorders>
            <w:shd w:val="clear" w:color="auto" w:fill="DAEEF3" w:themeFill="accent5" w:themeFillTint="33"/>
            <w:vAlign w:val="center"/>
          </w:tcPr>
          <w:p w14:paraId="258BC113" w14:textId="77777777" w:rsidR="00144DBE" w:rsidRPr="005C5C45" w:rsidRDefault="00144DBE" w:rsidP="00144DBE">
            <w:pPr>
              <w:pStyle w:val="Rowcolumntitles"/>
              <w:jc w:val="center"/>
              <w:rPr>
                <w:b/>
              </w:rPr>
            </w:pPr>
            <w:r w:rsidRPr="005C5C45">
              <w:rPr>
                <w:b/>
              </w:rPr>
              <w:t>5</w:t>
            </w:r>
          </w:p>
        </w:tc>
        <w:tc>
          <w:tcPr>
            <w:tcW w:w="4374" w:type="dxa"/>
            <w:tcBorders>
              <w:top w:val="double" w:sz="4" w:space="0" w:color="98A795" w:themeColor="accent4"/>
              <w:left w:val="double" w:sz="4" w:space="0" w:color="173B42" w:themeColor="accent3"/>
              <w:bottom w:val="double" w:sz="4" w:space="0" w:color="173B42" w:themeColor="accent3"/>
              <w:right w:val="double" w:sz="4" w:space="0" w:color="173B42" w:themeColor="accent3"/>
            </w:tcBorders>
            <w:shd w:val="clear" w:color="auto" w:fill="DAEEF3" w:themeFill="accent5" w:themeFillTint="33"/>
          </w:tcPr>
          <w:p w14:paraId="7D7ACFBD" w14:textId="3C45D225" w:rsidR="00144DBE" w:rsidRPr="005C5C45" w:rsidRDefault="00144DBE" w:rsidP="00144DBE">
            <w:pPr>
              <w:pStyle w:val="Rowcolumntitles"/>
            </w:pPr>
            <w:r w:rsidRPr="005C5C45">
              <w:t>Strengthen the transparency of political party funding from donations and parliamentary revenues.</w:t>
            </w:r>
          </w:p>
        </w:tc>
        <w:tc>
          <w:tcPr>
            <w:tcW w:w="1968" w:type="dxa"/>
            <w:tcBorders>
              <w:top w:val="double" w:sz="4" w:space="0" w:color="98A795" w:themeColor="accent4"/>
              <w:left w:val="double" w:sz="4" w:space="0" w:color="173B42" w:themeColor="accent3"/>
              <w:bottom w:val="double" w:sz="4" w:space="0" w:color="173B42" w:themeColor="accent3"/>
              <w:right w:val="double" w:sz="4" w:space="0" w:color="173B42" w:themeColor="accent3"/>
            </w:tcBorders>
            <w:shd w:val="clear" w:color="auto" w:fill="DAEEF3" w:themeFill="accent5" w:themeFillTint="33"/>
            <w:vAlign w:val="center"/>
          </w:tcPr>
          <w:p w14:paraId="6B807DB1" w14:textId="5BD33E37" w:rsidR="00144DBE" w:rsidRPr="0077654A" w:rsidRDefault="00AF5E11" w:rsidP="0077654A">
            <w:pPr>
              <w:pStyle w:val="Rowcolumntitles"/>
              <w:jc w:val="center"/>
              <w:rPr>
                <w:color w:val="auto"/>
              </w:rPr>
            </w:pPr>
            <w:r w:rsidRPr="0077654A">
              <w:rPr>
                <w:color w:val="auto"/>
              </w:rPr>
              <w:t>No</w:t>
            </w:r>
          </w:p>
        </w:tc>
        <w:tc>
          <w:tcPr>
            <w:tcW w:w="1487" w:type="dxa"/>
            <w:tcBorders>
              <w:top w:val="double" w:sz="4" w:space="0" w:color="98A795" w:themeColor="accent4"/>
              <w:left w:val="double" w:sz="4" w:space="0" w:color="173B42" w:themeColor="accent3"/>
              <w:bottom w:val="double" w:sz="4" w:space="0" w:color="173B42" w:themeColor="accent3"/>
              <w:right w:val="double" w:sz="4" w:space="0" w:color="173B42" w:themeColor="accent3"/>
            </w:tcBorders>
            <w:shd w:val="clear" w:color="auto" w:fill="DAEEF3" w:themeFill="accent5" w:themeFillTint="33"/>
            <w:vAlign w:val="center"/>
          </w:tcPr>
          <w:p w14:paraId="3B62EF34" w14:textId="06D59ECA" w:rsidR="00144DBE" w:rsidRPr="0077654A" w:rsidRDefault="00AF5E11" w:rsidP="0077654A">
            <w:pPr>
              <w:pStyle w:val="Rowcolumntitles"/>
              <w:jc w:val="center"/>
              <w:rPr>
                <w:color w:val="auto"/>
              </w:rPr>
            </w:pPr>
            <w:r w:rsidRPr="0077654A">
              <w:rPr>
                <w:color w:val="auto"/>
              </w:rPr>
              <w:t>No</w:t>
            </w:r>
          </w:p>
        </w:tc>
      </w:tr>
    </w:tbl>
    <w:p w14:paraId="13F0A6FD" w14:textId="77777777" w:rsidR="00AF5E11" w:rsidRDefault="00AF5E11" w:rsidP="00AF1990">
      <w:pPr>
        <w:pStyle w:val="Normalrglronly"/>
      </w:pPr>
    </w:p>
    <w:p w14:paraId="1EA0DA34" w14:textId="0FFD435E" w:rsidR="00887148" w:rsidRPr="005C5C45" w:rsidRDefault="00165041" w:rsidP="00AF1990">
      <w:pPr>
        <w:pStyle w:val="Normalrglronly"/>
      </w:pPr>
      <w:r w:rsidRPr="005C5C45">
        <w:t xml:space="preserve">The </w:t>
      </w:r>
      <w:r w:rsidR="00CE1526" w:rsidRPr="005C5C45">
        <w:t xml:space="preserve">previous </w:t>
      </w:r>
      <w:r w:rsidRPr="005C5C45">
        <w:t xml:space="preserve">IRM researcher’s key </w:t>
      </w:r>
      <w:r w:rsidR="00A72A1E" w:rsidRPr="005C5C45">
        <w:t xml:space="preserve">content </w:t>
      </w:r>
      <w:r w:rsidRPr="005C5C45">
        <w:t xml:space="preserve">recommendations were not </w:t>
      </w:r>
      <w:r w:rsidR="00A72A1E" w:rsidRPr="005C5C45">
        <w:t>adopted</w:t>
      </w:r>
      <w:r w:rsidRPr="005C5C45">
        <w:t xml:space="preserve"> in the second action plan. </w:t>
      </w:r>
      <w:r w:rsidR="002B24B8">
        <w:t>While a</w:t>
      </w:r>
      <w:r w:rsidR="002B24B8" w:rsidRPr="005C5C45">
        <w:t xml:space="preserve">ctivities in the 2016-2018 action plan’s second commitment begin to address </w:t>
      </w:r>
      <w:r w:rsidR="00FF0125">
        <w:t xml:space="preserve">the first </w:t>
      </w:r>
      <w:r w:rsidR="002B24B8" w:rsidRPr="005C5C45">
        <w:t>recommendation</w:t>
      </w:r>
      <w:r w:rsidR="002B24B8">
        <w:t xml:space="preserve"> (including </w:t>
      </w:r>
      <w:r w:rsidR="007C2E22">
        <w:t xml:space="preserve">suggestions from the 2012 Law </w:t>
      </w:r>
      <w:r w:rsidR="00BA728B">
        <w:t>Commission’s</w:t>
      </w:r>
      <w:r w:rsidR="007C2E22">
        <w:t xml:space="preserve"> report), they are </w:t>
      </w:r>
      <w:r w:rsidR="002B24B8" w:rsidRPr="005C5C45">
        <w:t xml:space="preserve">restricted to improving government agency practices when responding to requests for official information.  </w:t>
      </w:r>
    </w:p>
    <w:p w14:paraId="1BDFB0D2" w14:textId="661C5220" w:rsidR="00165041" w:rsidRPr="005C5C45" w:rsidRDefault="00DA1402" w:rsidP="00AF1990">
      <w:pPr>
        <w:pStyle w:val="Normalrglronly"/>
      </w:pPr>
      <w:r>
        <w:t>The third k</w:t>
      </w:r>
      <w:r w:rsidR="004065C9" w:rsidRPr="005C5C45">
        <w:t>ey r</w:t>
      </w:r>
      <w:r w:rsidR="00165041" w:rsidRPr="005C5C45">
        <w:t xml:space="preserve">ecommendation was </w:t>
      </w:r>
      <w:r w:rsidR="00A72A1E" w:rsidRPr="005C5C45">
        <w:t>partially covered</w:t>
      </w:r>
      <w:r w:rsidR="009451BF" w:rsidRPr="005C5C45">
        <w:t xml:space="preserve"> by</w:t>
      </w:r>
      <w:r w:rsidR="00165041" w:rsidRPr="005C5C45">
        <w:t xml:space="preserve"> the </w:t>
      </w:r>
      <w:r w:rsidR="00165041" w:rsidRPr="005C5C45">
        <w:rPr>
          <w:i/>
        </w:rPr>
        <w:t>2016 Social Report</w:t>
      </w:r>
      <w:r w:rsidR="00F04198" w:rsidRPr="005C5C45">
        <w:t xml:space="preserve">, </w:t>
      </w:r>
      <w:r w:rsidR="00165041" w:rsidRPr="005C5C45">
        <w:t>published in June 2016</w:t>
      </w:r>
      <w:r w:rsidR="009451BF" w:rsidRPr="005C5C45">
        <w:t xml:space="preserve">, but this report has </w:t>
      </w:r>
      <w:r w:rsidR="00F04198" w:rsidRPr="005C5C45">
        <w:t>been discontinued.</w:t>
      </w:r>
      <w:r w:rsidR="00F04198" w:rsidRPr="005C5C45">
        <w:rPr>
          <w:rStyle w:val="EndnoteReference"/>
        </w:rPr>
        <w:endnoteReference w:id="72"/>
      </w:r>
      <w:r w:rsidR="00F04198" w:rsidRPr="005C5C45">
        <w:t xml:space="preserve"> T</w:t>
      </w:r>
      <w:r w:rsidR="00165041" w:rsidRPr="005C5C45">
        <w:t>he Environmental Reporting Act 2015 requires the Ministry for the Environment to publish one domain report every six months and a synthesis report on New Zealand's environment every three years</w:t>
      </w:r>
      <w:r w:rsidR="00695B8F" w:rsidRPr="005C5C45">
        <w:t>,</w:t>
      </w:r>
      <w:r w:rsidR="00113C1A" w:rsidRPr="005C5C45">
        <w:rPr>
          <w:rStyle w:val="EndnoteReference"/>
        </w:rPr>
        <w:endnoteReference w:id="73"/>
      </w:r>
      <w:r w:rsidR="00CE1526" w:rsidRPr="005C5C45">
        <w:t xml:space="preserve"> but </w:t>
      </w:r>
      <w:r w:rsidR="00F04198" w:rsidRPr="005C5C45">
        <w:t xml:space="preserve">neither of these activities has a </w:t>
      </w:r>
      <w:r w:rsidR="00CE1526" w:rsidRPr="005C5C45">
        <w:t>direct link with the action plan</w:t>
      </w:r>
      <w:r w:rsidR="00165041" w:rsidRPr="005C5C45">
        <w:t>.</w:t>
      </w:r>
    </w:p>
    <w:p w14:paraId="7C98FEB9" w14:textId="5C6E3E49" w:rsidR="00C80F47" w:rsidRPr="005C5C45" w:rsidRDefault="00F57410" w:rsidP="00AF1990">
      <w:pPr>
        <w:pStyle w:val="Normalrglronly"/>
        <w:sectPr w:rsidR="00C80F47" w:rsidRPr="005C5C45" w:rsidSect="00A27B0F">
          <w:endnotePr>
            <w:numFmt w:val="decimal"/>
            <w:numRestart w:val="eachSect"/>
          </w:endnotePr>
          <w:pgSz w:w="11900" w:h="16840" w:code="9"/>
          <w:pgMar w:top="1440" w:right="1797" w:bottom="1440" w:left="1797" w:header="720" w:footer="720" w:gutter="0"/>
          <w:cols w:space="720"/>
          <w:docGrid w:linePitch="360"/>
        </w:sectPr>
      </w:pPr>
      <w:r w:rsidRPr="005C5C45">
        <w:t xml:space="preserve">The public submissions made during the development of the action plan included </w:t>
      </w:r>
      <w:r w:rsidR="00EE4CD9">
        <w:t>‘</w:t>
      </w:r>
      <w:r w:rsidRPr="005C5C45">
        <w:t>Standards for Public Participation</w:t>
      </w:r>
      <w:r w:rsidR="00EE4CD9">
        <w:t>’</w:t>
      </w:r>
      <w:r w:rsidRPr="005C5C45">
        <w:t xml:space="preserve"> across central, regional</w:t>
      </w:r>
      <w:r w:rsidR="00DA1402">
        <w:t>,</w:t>
      </w:r>
      <w:r w:rsidRPr="005C5C45">
        <w:t xml:space="preserve"> and local gov</w:t>
      </w:r>
      <w:r w:rsidR="00AF1990" w:rsidRPr="005C5C45">
        <w:t>ernment; a public-</w:t>
      </w:r>
      <w:r w:rsidRPr="005C5C45">
        <w:t xml:space="preserve">sector voice that is de-politicised, free and frank, without fear or favour; and political finance openness (or political party openness). These submissions are similar to key recommendations two, four and five and they were included in the 14 templates discussed at the 26 August co-creation workshop. However, </w:t>
      </w:r>
      <w:proofErr w:type="gramStart"/>
      <w:r w:rsidRPr="005C5C45">
        <w:t>they were not retained by the government</w:t>
      </w:r>
      <w:proofErr w:type="gramEnd"/>
      <w:r w:rsidRPr="005C5C45">
        <w:t xml:space="preserve"> in the final action plan. </w:t>
      </w:r>
    </w:p>
    <w:p w14:paraId="14710987" w14:textId="77777777" w:rsidR="00EA2F88" w:rsidRPr="005C5C45" w:rsidRDefault="00EA2F88" w:rsidP="00DA4FEF">
      <w:pPr>
        <w:pStyle w:val="Heading1"/>
      </w:pPr>
      <w:bookmarkStart w:id="17" w:name="h.4d34og8" w:colFirst="0" w:colLast="0"/>
      <w:bookmarkStart w:id="18" w:name="_Toc266021001"/>
      <w:bookmarkStart w:id="19" w:name="_Toc377998808"/>
      <w:bookmarkEnd w:id="17"/>
      <w:r w:rsidRPr="005C5C45">
        <w:lastRenderedPageBreak/>
        <w:t xml:space="preserve">IV. </w:t>
      </w:r>
      <w:bookmarkEnd w:id="18"/>
      <w:r w:rsidRPr="005C5C45">
        <w:t>Commitments</w:t>
      </w:r>
      <w:bookmarkEnd w:id="19"/>
    </w:p>
    <w:p w14:paraId="4F873F82" w14:textId="77777777" w:rsidR="00EA2F88" w:rsidRPr="005C5C45" w:rsidRDefault="00EA2F88" w:rsidP="005911FC">
      <w:pPr>
        <w:pStyle w:val="Normalrglronly"/>
      </w:pPr>
      <w:r w:rsidRPr="005C5C45">
        <w:t xml:space="preserve">All OGP-participating governments develop OGP action plans that include concrete commitments over a two-year period. Governments begin their OGP action plans by sharing existing efforts related to open government, including specific strategies and </w:t>
      </w:r>
      <w:proofErr w:type="spellStart"/>
      <w:r w:rsidRPr="005C5C45">
        <w:t>ongoing</w:t>
      </w:r>
      <w:proofErr w:type="spellEnd"/>
      <w:r w:rsidRPr="005C5C45">
        <w:t xml:space="preserve"> programs. </w:t>
      </w:r>
    </w:p>
    <w:p w14:paraId="129C324D" w14:textId="77777777" w:rsidR="00EA2F88" w:rsidRPr="005C5C45" w:rsidRDefault="00EA2F88" w:rsidP="005911FC">
      <w:pPr>
        <w:pStyle w:val="Normalrglronly"/>
      </w:pPr>
      <w:r w:rsidRPr="005C5C45">
        <w:t>Commitments should be appropriate to each country’s unique circumstances and challenges. OGP commitments should also be relevant to OGP values laid out in the OGP Articles of Governance and Open Government Declaration signed by all OGP-participating countries.</w:t>
      </w:r>
      <w:r w:rsidRPr="005C5C45">
        <w:rPr>
          <w:rStyle w:val="EndnoteReference"/>
        </w:rPr>
        <w:endnoteReference w:id="74"/>
      </w:r>
      <w:r w:rsidRPr="005C5C45">
        <w:t xml:space="preserve"> </w:t>
      </w:r>
    </w:p>
    <w:p w14:paraId="0D425FCF" w14:textId="77777777" w:rsidR="00EA2F88" w:rsidRPr="005C5C45" w:rsidRDefault="00EA2F88" w:rsidP="005911FC">
      <w:pPr>
        <w:pStyle w:val="Heading3"/>
      </w:pPr>
      <w:r w:rsidRPr="005C5C45">
        <w:t>What Makes a Good Commitment?</w:t>
      </w:r>
    </w:p>
    <w:p w14:paraId="466245A4" w14:textId="640A8D72" w:rsidR="00EA2F88" w:rsidRPr="005C5C45" w:rsidRDefault="00EA2F88" w:rsidP="00EE3801">
      <w:pPr>
        <w:pStyle w:val="Normalrglronly"/>
      </w:pPr>
      <w:r w:rsidRPr="005C5C45">
        <w:t>Recognizing that achieving open government commitments often involves a multiyear process, governments should attach time frames and benchmarks to their commitments that indicate what is to be accomplished each year, whenever possible. This report details each of the commitments the country included in its action plan and analy</w:t>
      </w:r>
      <w:r w:rsidR="003313FF">
        <w:t>s</w:t>
      </w:r>
      <w:r w:rsidRPr="005C5C45">
        <w:t>es the first year of their implementation.</w:t>
      </w:r>
    </w:p>
    <w:p w14:paraId="43167C52" w14:textId="77777777" w:rsidR="00EA2F88" w:rsidRPr="005C5C45" w:rsidRDefault="00EA2F88" w:rsidP="005911FC">
      <w:pPr>
        <w:pStyle w:val="Normalrglronly"/>
      </w:pPr>
      <w:r w:rsidRPr="005C5C45">
        <w:t>The indicators used by the IRM to evaluate commitments are as follows:</w:t>
      </w:r>
    </w:p>
    <w:p w14:paraId="50AC242A" w14:textId="77777777" w:rsidR="00EA2F88" w:rsidRPr="005C5C45" w:rsidRDefault="00EA2F88" w:rsidP="00F27143">
      <w:pPr>
        <w:pStyle w:val="ListParagraph"/>
        <w:numPr>
          <w:ilvl w:val="0"/>
          <w:numId w:val="10"/>
        </w:numPr>
        <w:rPr>
          <w:color w:val="auto"/>
          <w:szCs w:val="22"/>
        </w:rPr>
      </w:pPr>
      <w:r w:rsidRPr="005C5C45">
        <w:rPr>
          <w:b/>
          <w:color w:val="auto"/>
          <w:szCs w:val="22"/>
        </w:rPr>
        <w:t>Specificity:</w:t>
      </w:r>
      <w:r w:rsidRPr="005C5C45">
        <w:rPr>
          <w:color w:val="auto"/>
          <w:szCs w:val="22"/>
        </w:rPr>
        <w:t xml:space="preserve"> This variable assesses the level of specificity and measurability of each commitment. The options are:</w:t>
      </w:r>
    </w:p>
    <w:p w14:paraId="76F438F2" w14:textId="77777777" w:rsidR="00EA2F88" w:rsidRPr="005C5C45" w:rsidRDefault="00EA2F88" w:rsidP="00F27143">
      <w:pPr>
        <w:pStyle w:val="ListParagraph"/>
        <w:numPr>
          <w:ilvl w:val="1"/>
          <w:numId w:val="10"/>
        </w:numPr>
        <w:rPr>
          <w:color w:val="auto"/>
          <w:szCs w:val="22"/>
        </w:rPr>
      </w:pPr>
      <w:r w:rsidRPr="005C5C45">
        <w:rPr>
          <w:rFonts w:ascii="Gill Sans SemiBold" w:hAnsi="Gill Sans SemiBold"/>
          <w:color w:val="auto"/>
          <w:szCs w:val="22"/>
        </w:rPr>
        <w:t>High</w:t>
      </w:r>
      <w:r w:rsidRPr="005C5C45">
        <w:rPr>
          <w:color w:val="auto"/>
          <w:szCs w:val="22"/>
        </w:rPr>
        <w:t>: Commitment language provides clear, verifiable activities and measurable deliverables for achievement of the commitment’s objective.</w:t>
      </w:r>
    </w:p>
    <w:p w14:paraId="12398604" w14:textId="77777777" w:rsidR="00EA2F88" w:rsidRPr="005C5C45" w:rsidRDefault="00EA2F88" w:rsidP="00F27143">
      <w:pPr>
        <w:pStyle w:val="ListParagraph"/>
        <w:numPr>
          <w:ilvl w:val="1"/>
          <w:numId w:val="10"/>
        </w:numPr>
        <w:rPr>
          <w:color w:val="auto"/>
          <w:szCs w:val="22"/>
        </w:rPr>
      </w:pPr>
      <w:r w:rsidRPr="005C5C45">
        <w:rPr>
          <w:rFonts w:ascii="Gill Sans SemiBold" w:hAnsi="Gill Sans SemiBold"/>
          <w:color w:val="auto"/>
          <w:szCs w:val="22"/>
        </w:rPr>
        <w:t>Medium:</w:t>
      </w:r>
      <w:r w:rsidRPr="005C5C45">
        <w:rPr>
          <w:color w:val="auto"/>
          <w:szCs w:val="22"/>
        </w:rPr>
        <w:t xml:space="preserve"> Commitment language describes activity that is objectively verifiable and includes deliverables, but these deliverables are not clearly measurable or relevant to the achievement of the commitment’s objective.</w:t>
      </w:r>
    </w:p>
    <w:p w14:paraId="43D702B9" w14:textId="77777777" w:rsidR="00EA2F88" w:rsidRPr="005C5C45" w:rsidRDefault="00EA2F88" w:rsidP="00F27143">
      <w:pPr>
        <w:pStyle w:val="ListParagraph"/>
        <w:numPr>
          <w:ilvl w:val="1"/>
          <w:numId w:val="10"/>
        </w:numPr>
        <w:rPr>
          <w:color w:val="auto"/>
          <w:szCs w:val="22"/>
        </w:rPr>
      </w:pPr>
      <w:r w:rsidRPr="005C5C45">
        <w:rPr>
          <w:rFonts w:ascii="Gill Sans SemiBold" w:hAnsi="Gill Sans SemiBold"/>
          <w:color w:val="auto"/>
          <w:szCs w:val="22"/>
        </w:rPr>
        <w:t>Low</w:t>
      </w:r>
      <w:r w:rsidRPr="005C5C45">
        <w:rPr>
          <w:color w:val="auto"/>
          <w:szCs w:val="22"/>
        </w:rPr>
        <w:t>: Commitment language describes activity that can be construed as verifiable but requires some interpretation on the part of the reader to identify what the activity sets out to do and determine what the deliverables would be.</w:t>
      </w:r>
    </w:p>
    <w:p w14:paraId="2A9040AF" w14:textId="77777777" w:rsidR="00EA2F88" w:rsidRPr="005C5C45" w:rsidRDefault="00EA2F88" w:rsidP="00F27143">
      <w:pPr>
        <w:pStyle w:val="ListParagraph"/>
        <w:numPr>
          <w:ilvl w:val="1"/>
          <w:numId w:val="10"/>
        </w:numPr>
        <w:rPr>
          <w:color w:val="auto"/>
          <w:szCs w:val="22"/>
        </w:rPr>
      </w:pPr>
      <w:r w:rsidRPr="005C5C45">
        <w:rPr>
          <w:rFonts w:ascii="Gill Sans SemiBold" w:hAnsi="Gill Sans SemiBold"/>
          <w:color w:val="auto"/>
          <w:szCs w:val="22"/>
        </w:rPr>
        <w:t>None</w:t>
      </w:r>
      <w:r w:rsidRPr="005C5C45">
        <w:rPr>
          <w:color w:val="auto"/>
          <w:szCs w:val="22"/>
        </w:rPr>
        <w:t>: Commitment language contains no measurable activity, deliverables, or milestones.</w:t>
      </w:r>
    </w:p>
    <w:p w14:paraId="7B0E4C5E" w14:textId="77777777" w:rsidR="00EA2F88" w:rsidRPr="005C5C45" w:rsidRDefault="00EA2F88" w:rsidP="00EE3801">
      <w:pPr>
        <w:pStyle w:val="ListParagraph"/>
      </w:pPr>
      <w:r w:rsidRPr="005C5C45">
        <w:rPr>
          <w:b/>
          <w:color w:val="auto"/>
          <w:szCs w:val="22"/>
        </w:rPr>
        <w:t>Relevance:</w:t>
      </w:r>
      <w:r w:rsidRPr="005C5C45">
        <w:rPr>
          <w:color w:val="auto"/>
          <w:szCs w:val="22"/>
        </w:rPr>
        <w:t xml:space="preserve"> This variable evaluates the commitment’s relevance to OGP values.</w:t>
      </w:r>
      <w:r w:rsidRPr="005C5C45">
        <w:t xml:space="preserve"> Based on a close reading of the commitment text as stated in the action plan, the guiding questions to determine the relevance are: </w:t>
      </w:r>
    </w:p>
    <w:p w14:paraId="6E94A755" w14:textId="77777777" w:rsidR="00EA2F88" w:rsidRPr="005C5C45" w:rsidRDefault="00EA2F88" w:rsidP="003549A3">
      <w:pPr>
        <w:pStyle w:val="ListParagraph"/>
        <w:numPr>
          <w:ilvl w:val="1"/>
          <w:numId w:val="2"/>
        </w:numPr>
      </w:pPr>
      <w:r w:rsidRPr="005C5C45">
        <w:rPr>
          <w:rFonts w:ascii="Gill Sans SemiBold" w:hAnsi="Gill Sans SemiBold"/>
        </w:rPr>
        <w:t>Access to Information:</w:t>
      </w:r>
      <w:r w:rsidRPr="005C5C45">
        <w:t xml:space="preserve"> Will the government disclose more information or improve the quality of the information disclosed to the public? </w:t>
      </w:r>
    </w:p>
    <w:p w14:paraId="57E46B60" w14:textId="77777777" w:rsidR="00EA2F88" w:rsidRPr="005C5C45" w:rsidRDefault="00EA2F88" w:rsidP="003549A3">
      <w:pPr>
        <w:pStyle w:val="ListParagraph"/>
        <w:numPr>
          <w:ilvl w:val="1"/>
          <w:numId w:val="2"/>
        </w:numPr>
      </w:pPr>
      <w:r w:rsidRPr="005C5C45">
        <w:rPr>
          <w:rFonts w:ascii="Gill Sans SemiBold" w:hAnsi="Gill Sans SemiBold"/>
        </w:rPr>
        <w:t>Civic Participation:</w:t>
      </w:r>
      <w:r w:rsidRPr="005C5C45">
        <w:t xml:space="preserve"> Will the government create or improve opportunities or capabilities for the public to inform or influence decisions?</w:t>
      </w:r>
    </w:p>
    <w:p w14:paraId="70F839AF" w14:textId="77777777" w:rsidR="00EA2F88" w:rsidRPr="005C5C45" w:rsidRDefault="00EA2F88" w:rsidP="00F600EE">
      <w:pPr>
        <w:pStyle w:val="ListParagraph"/>
        <w:numPr>
          <w:ilvl w:val="1"/>
          <w:numId w:val="2"/>
        </w:numPr>
        <w:rPr>
          <w:color w:val="auto"/>
          <w:szCs w:val="22"/>
        </w:rPr>
      </w:pPr>
      <w:r w:rsidRPr="005C5C45">
        <w:rPr>
          <w:rFonts w:ascii="Gill Sans SemiBold" w:hAnsi="Gill Sans SemiBold"/>
        </w:rPr>
        <w:t>Public Accountability:</w:t>
      </w:r>
      <w:r w:rsidRPr="005C5C45">
        <w:t xml:space="preserve"> Will the government create or improve opportunities to hold officials answerable for their actions?</w:t>
      </w:r>
    </w:p>
    <w:p w14:paraId="7DC9D96B" w14:textId="77777777" w:rsidR="00EA2F88" w:rsidRPr="005C5C45" w:rsidRDefault="00EA2F88" w:rsidP="00B3002D">
      <w:pPr>
        <w:pStyle w:val="ListParagraph"/>
        <w:numPr>
          <w:ilvl w:val="1"/>
          <w:numId w:val="2"/>
        </w:numPr>
        <w:rPr>
          <w:color w:val="auto"/>
          <w:szCs w:val="22"/>
        </w:rPr>
      </w:pPr>
      <w:r w:rsidRPr="005C5C45">
        <w:rPr>
          <w:rFonts w:ascii="Gill Sans SemiBold" w:hAnsi="Gill Sans SemiBold"/>
        </w:rPr>
        <w:t>Technology &amp; Innovation for Transparency and Accountability:</w:t>
      </w:r>
      <w:r w:rsidRPr="005C5C45">
        <w:t xml:space="preserve"> Will technological innovation be used in conjunction with one of the other three OGP values to advance either transparency or accountability?</w:t>
      </w:r>
      <w:r w:rsidRPr="005C5C45">
        <w:rPr>
          <w:rStyle w:val="EndnoteReference"/>
        </w:rPr>
        <w:endnoteReference w:id="75"/>
      </w:r>
    </w:p>
    <w:p w14:paraId="43A6DEF9" w14:textId="77777777" w:rsidR="00EA2F88" w:rsidRPr="005C5C45" w:rsidRDefault="00EA2F88" w:rsidP="00F27143">
      <w:pPr>
        <w:pStyle w:val="ListParagraph"/>
        <w:numPr>
          <w:ilvl w:val="0"/>
          <w:numId w:val="10"/>
        </w:numPr>
        <w:rPr>
          <w:color w:val="auto"/>
          <w:szCs w:val="22"/>
        </w:rPr>
      </w:pPr>
      <w:r w:rsidRPr="005C5C45">
        <w:rPr>
          <w:b/>
          <w:color w:val="auto"/>
          <w:szCs w:val="22"/>
        </w:rPr>
        <w:t>Potential impact:</w:t>
      </w:r>
      <w:r w:rsidRPr="005C5C45">
        <w:rPr>
          <w:color w:val="auto"/>
          <w:szCs w:val="22"/>
        </w:rPr>
        <w:t xml:space="preserve"> This variable assesses the </w:t>
      </w:r>
      <w:r w:rsidRPr="005C5C45">
        <w:rPr>
          <w:i/>
          <w:color w:val="auto"/>
          <w:szCs w:val="22"/>
        </w:rPr>
        <w:t xml:space="preserve">potential impact </w:t>
      </w:r>
      <w:r w:rsidRPr="005C5C45">
        <w:rPr>
          <w:color w:val="auto"/>
          <w:szCs w:val="22"/>
        </w:rPr>
        <w:t>of the commitment, if completed as written. The IRM researcher uses the text from the action plan to:</w:t>
      </w:r>
    </w:p>
    <w:p w14:paraId="73C4CF18" w14:textId="77777777" w:rsidR="00EA2F88" w:rsidRPr="005C5C45" w:rsidRDefault="00EA2F88" w:rsidP="00246226">
      <w:pPr>
        <w:pStyle w:val="ListParagraph"/>
        <w:numPr>
          <w:ilvl w:val="0"/>
          <w:numId w:val="21"/>
        </w:numPr>
        <w:rPr>
          <w:color w:val="auto"/>
          <w:szCs w:val="22"/>
        </w:rPr>
      </w:pPr>
      <w:r w:rsidRPr="005C5C45">
        <w:rPr>
          <w:color w:val="auto"/>
          <w:szCs w:val="22"/>
        </w:rPr>
        <w:t xml:space="preserve">Identify the social, economic, political, or environmental problem; </w:t>
      </w:r>
    </w:p>
    <w:p w14:paraId="6049C759" w14:textId="77777777" w:rsidR="00EA2F88" w:rsidRPr="005C5C45" w:rsidRDefault="00EA2F88" w:rsidP="00246226">
      <w:pPr>
        <w:pStyle w:val="ListParagraph"/>
        <w:numPr>
          <w:ilvl w:val="0"/>
          <w:numId w:val="21"/>
        </w:numPr>
        <w:rPr>
          <w:color w:val="auto"/>
          <w:szCs w:val="22"/>
        </w:rPr>
      </w:pPr>
      <w:r w:rsidRPr="005C5C45">
        <w:rPr>
          <w:color w:val="auto"/>
          <w:szCs w:val="22"/>
        </w:rPr>
        <w:t>Establish the status quo at the outset of the action plan; and</w:t>
      </w:r>
    </w:p>
    <w:p w14:paraId="09719673" w14:textId="77777777" w:rsidR="00EA2F88" w:rsidRPr="005C5C45" w:rsidRDefault="00EA2F88" w:rsidP="00246226">
      <w:pPr>
        <w:pStyle w:val="ListParagraph"/>
        <w:numPr>
          <w:ilvl w:val="0"/>
          <w:numId w:val="21"/>
        </w:numPr>
        <w:rPr>
          <w:color w:val="auto"/>
          <w:szCs w:val="22"/>
        </w:rPr>
      </w:pPr>
      <w:r w:rsidRPr="005C5C45">
        <w:rPr>
          <w:color w:val="auto"/>
          <w:szCs w:val="22"/>
        </w:rPr>
        <w:t>Assess the degree to which the commitment, if implemented, would impact performance and tackle the problem.</w:t>
      </w:r>
    </w:p>
    <w:p w14:paraId="65A56994" w14:textId="77777777" w:rsidR="00EA2F88" w:rsidRPr="005C5C45" w:rsidRDefault="00EA2F88" w:rsidP="0002581F">
      <w:pPr>
        <w:rPr>
          <w:color w:val="auto"/>
          <w:szCs w:val="22"/>
        </w:rPr>
      </w:pPr>
      <w:r w:rsidRPr="005C5C45">
        <w:rPr>
          <w:b/>
          <w:color w:val="auto"/>
          <w:szCs w:val="22"/>
        </w:rPr>
        <w:t>Starred commitments</w:t>
      </w:r>
      <w:r w:rsidRPr="005C5C45">
        <w:rPr>
          <w:color w:val="auto"/>
          <w:szCs w:val="22"/>
        </w:rPr>
        <w:t xml:space="preserve"> are considered exemplary OGP commitments. In order to receive a star, a commitment must meet several criteria:</w:t>
      </w:r>
    </w:p>
    <w:p w14:paraId="15D04EA0" w14:textId="3DFA2CBB" w:rsidR="00EA2F88" w:rsidRPr="005C5C45" w:rsidRDefault="00EA2F88" w:rsidP="003549A3">
      <w:pPr>
        <w:numPr>
          <w:ilvl w:val="0"/>
          <w:numId w:val="9"/>
        </w:numPr>
        <w:rPr>
          <w:color w:val="auto"/>
          <w:szCs w:val="22"/>
        </w:rPr>
      </w:pPr>
      <w:r w:rsidRPr="005C5C45">
        <w:rPr>
          <w:color w:val="auto"/>
          <w:szCs w:val="22"/>
        </w:rPr>
        <w:lastRenderedPageBreak/>
        <w:t xml:space="preserve">Starred commitments will have </w:t>
      </w:r>
      <w:r w:rsidR="00415346">
        <w:rPr>
          <w:color w:val="auto"/>
          <w:szCs w:val="22"/>
        </w:rPr>
        <w:t>‘</w:t>
      </w:r>
      <w:r w:rsidRPr="005C5C45">
        <w:rPr>
          <w:color w:val="auto"/>
          <w:szCs w:val="22"/>
        </w:rPr>
        <w:t>medium</w:t>
      </w:r>
      <w:r w:rsidR="00415346">
        <w:rPr>
          <w:color w:val="auto"/>
          <w:szCs w:val="22"/>
        </w:rPr>
        <w:t>’</w:t>
      </w:r>
      <w:r w:rsidRPr="005C5C45">
        <w:rPr>
          <w:color w:val="auto"/>
          <w:szCs w:val="22"/>
        </w:rPr>
        <w:t xml:space="preserve"> or </w:t>
      </w:r>
      <w:r w:rsidR="00415346">
        <w:rPr>
          <w:color w:val="auto"/>
          <w:szCs w:val="22"/>
        </w:rPr>
        <w:t>‘</w:t>
      </w:r>
      <w:r w:rsidRPr="005C5C45">
        <w:rPr>
          <w:color w:val="auto"/>
          <w:szCs w:val="22"/>
        </w:rPr>
        <w:t>high</w:t>
      </w:r>
      <w:r w:rsidR="00415346">
        <w:rPr>
          <w:color w:val="auto"/>
          <w:szCs w:val="22"/>
        </w:rPr>
        <w:t>’</w:t>
      </w:r>
      <w:r w:rsidRPr="005C5C45">
        <w:rPr>
          <w:color w:val="auto"/>
          <w:szCs w:val="22"/>
        </w:rPr>
        <w:t xml:space="preserve"> specificity. </w:t>
      </w:r>
      <w:r w:rsidRPr="005C5C45">
        <w:t>A commitment must lay out clearly defined activities and steps to make a judgement about its potential impact.</w:t>
      </w:r>
    </w:p>
    <w:p w14:paraId="73650D44" w14:textId="77777777" w:rsidR="00EA2F88" w:rsidRPr="005C5C45" w:rsidRDefault="00EA2F88" w:rsidP="003549A3">
      <w:pPr>
        <w:numPr>
          <w:ilvl w:val="0"/>
          <w:numId w:val="9"/>
        </w:numPr>
        <w:rPr>
          <w:color w:val="auto"/>
          <w:szCs w:val="22"/>
        </w:rPr>
      </w:pPr>
      <w:r w:rsidRPr="005C5C45">
        <w:rPr>
          <w:color w:val="auto"/>
          <w:szCs w:val="22"/>
        </w:rPr>
        <w:t xml:space="preserve">The commitment’s language should make clear its relevance to opening government. Specifically, it must relate to at least one of the OGP values of Access to Information, Civic Participation, or Public Accountability. </w:t>
      </w:r>
    </w:p>
    <w:p w14:paraId="06BACBF0" w14:textId="7528BBB8" w:rsidR="00EA2F88" w:rsidRPr="005C5C45" w:rsidRDefault="00EA2F88" w:rsidP="003549A3">
      <w:pPr>
        <w:numPr>
          <w:ilvl w:val="0"/>
          <w:numId w:val="9"/>
        </w:numPr>
        <w:rPr>
          <w:color w:val="auto"/>
          <w:szCs w:val="22"/>
        </w:rPr>
      </w:pPr>
      <w:r w:rsidRPr="005C5C45">
        <w:rPr>
          <w:color w:val="auto"/>
          <w:szCs w:val="22"/>
        </w:rPr>
        <w:t xml:space="preserve">The commitment would have a </w:t>
      </w:r>
      <w:r w:rsidR="00415346">
        <w:rPr>
          <w:color w:val="auto"/>
          <w:szCs w:val="22"/>
        </w:rPr>
        <w:t>‘</w:t>
      </w:r>
      <w:r w:rsidRPr="005C5C45">
        <w:rPr>
          <w:color w:val="auto"/>
          <w:szCs w:val="22"/>
        </w:rPr>
        <w:t>transformative</w:t>
      </w:r>
      <w:r w:rsidR="00415346">
        <w:rPr>
          <w:color w:val="auto"/>
          <w:szCs w:val="22"/>
        </w:rPr>
        <w:t>’</w:t>
      </w:r>
      <w:r w:rsidRPr="005C5C45">
        <w:rPr>
          <w:color w:val="auto"/>
          <w:szCs w:val="22"/>
        </w:rPr>
        <w:t xml:space="preserve"> potential impact if completely implemented.</w:t>
      </w:r>
      <w:r w:rsidRPr="005C5C45">
        <w:rPr>
          <w:rStyle w:val="EndnoteReference"/>
          <w:color w:val="auto"/>
          <w:szCs w:val="22"/>
        </w:rPr>
        <w:endnoteReference w:id="76"/>
      </w:r>
    </w:p>
    <w:p w14:paraId="5B5BE7A2" w14:textId="5C8A4133" w:rsidR="00EA2F88" w:rsidRPr="005C5C45" w:rsidRDefault="00EA2F88" w:rsidP="003D3890">
      <w:pPr>
        <w:numPr>
          <w:ilvl w:val="0"/>
          <w:numId w:val="9"/>
        </w:numPr>
        <w:rPr>
          <w:color w:val="auto"/>
          <w:szCs w:val="22"/>
        </w:rPr>
      </w:pPr>
      <w:r w:rsidRPr="005C5C45">
        <w:t xml:space="preserve">The government must make significant progress on this commitment during the action plan implementation period, receiving an assessment of </w:t>
      </w:r>
      <w:r w:rsidR="00415346">
        <w:t>‘</w:t>
      </w:r>
      <w:r w:rsidRPr="005C5C45">
        <w:t>substantial</w:t>
      </w:r>
      <w:r w:rsidR="00415346">
        <w:t>’</w:t>
      </w:r>
      <w:r w:rsidRPr="005C5C45">
        <w:t xml:space="preserve"> or </w:t>
      </w:r>
      <w:r w:rsidR="00415346">
        <w:t>‘</w:t>
      </w:r>
      <w:r w:rsidRPr="005C5C45">
        <w:t>complete</w:t>
      </w:r>
      <w:r w:rsidR="00415346">
        <w:t>’</w:t>
      </w:r>
      <w:r w:rsidRPr="005C5C45">
        <w:t xml:space="preserve"> implementation.</w:t>
      </w:r>
    </w:p>
    <w:p w14:paraId="6C0569B5" w14:textId="7FE1C586" w:rsidR="00EA2F88" w:rsidRPr="005C5C45" w:rsidRDefault="00EA2F88" w:rsidP="003D3890">
      <w:pPr>
        <w:pStyle w:val="Normalrglronly"/>
      </w:pPr>
      <w:r w:rsidRPr="005C5C45">
        <w:t xml:space="preserve">Based on these criteria, </w:t>
      </w:r>
      <w:r w:rsidR="003811C4" w:rsidRPr="005C5C45">
        <w:t>NZ</w:t>
      </w:r>
      <w:r w:rsidRPr="005C5C45">
        <w:t>’s action plan con</w:t>
      </w:r>
      <w:r w:rsidR="00A72A1E" w:rsidRPr="005C5C45">
        <w:t>tains</w:t>
      </w:r>
      <w:r w:rsidRPr="005C5C45">
        <w:t xml:space="preserve"> </w:t>
      </w:r>
      <w:r w:rsidR="003D3890" w:rsidRPr="005C5C45">
        <w:t>one starred commitment (</w:t>
      </w:r>
      <w:r w:rsidR="00DA1402">
        <w:t>C</w:t>
      </w:r>
      <w:r w:rsidR="003D3890" w:rsidRPr="005C5C45">
        <w:t>ommitment 6)</w:t>
      </w:r>
      <w:r w:rsidR="00DF02C9" w:rsidRPr="005C5C45">
        <w:t>.</w:t>
      </w:r>
    </w:p>
    <w:p w14:paraId="26B52D95" w14:textId="77777777" w:rsidR="00EA2F88" w:rsidRPr="005C5C45" w:rsidRDefault="00EA2F88" w:rsidP="003D3890">
      <w:pPr>
        <w:pStyle w:val="Normalrglronly"/>
        <w:rPr>
          <w:i/>
        </w:rPr>
      </w:pPr>
      <w:r w:rsidRPr="005C5C45">
        <w:t xml:space="preserve">Finally, the tables in this section present an excerpt of the wealth of data the IRM collects during its progress reporting process. For the full dataset for </w:t>
      </w:r>
      <w:r w:rsidR="003811C4" w:rsidRPr="005C5C45">
        <w:t>NZ</w:t>
      </w:r>
      <w:r w:rsidRPr="005C5C45">
        <w:t xml:space="preserve"> and all OGP-participating countries, see the OGP Explorer.</w:t>
      </w:r>
      <w:r w:rsidRPr="005C5C45">
        <w:rPr>
          <w:rStyle w:val="EndnoteReference"/>
        </w:rPr>
        <w:endnoteReference w:id="77"/>
      </w:r>
    </w:p>
    <w:p w14:paraId="0FA2651B" w14:textId="77777777" w:rsidR="00EA2F88" w:rsidRPr="005C5C45" w:rsidRDefault="00EA2F88" w:rsidP="005911FC">
      <w:pPr>
        <w:pStyle w:val="Heading3"/>
      </w:pPr>
      <w:r w:rsidRPr="005C5C45">
        <w:t>General Overview of the Commitments</w:t>
      </w:r>
    </w:p>
    <w:p w14:paraId="640D6438" w14:textId="39C2EAE4" w:rsidR="00EA2F88" w:rsidRPr="005C5C45" w:rsidRDefault="00CF5B9C" w:rsidP="003D3890">
      <w:pPr>
        <w:pStyle w:val="Normalrglronly"/>
      </w:pPr>
      <w:r w:rsidRPr="005C5C45">
        <w:t>Government positioned</w:t>
      </w:r>
      <w:r w:rsidR="00784DFC" w:rsidRPr="005C5C45">
        <w:t xml:space="preserve"> t</w:t>
      </w:r>
      <w:r w:rsidR="00E638ED" w:rsidRPr="005C5C45">
        <w:t xml:space="preserve">he </w:t>
      </w:r>
      <w:r w:rsidR="007D0FF7" w:rsidRPr="005C5C45">
        <w:t xml:space="preserve">action plan and </w:t>
      </w:r>
      <w:r w:rsidR="005E7606" w:rsidRPr="005C5C45">
        <w:t xml:space="preserve">commitments </w:t>
      </w:r>
      <w:r w:rsidRPr="005C5C45">
        <w:t>as</w:t>
      </w:r>
      <w:r w:rsidR="00166200" w:rsidRPr="005C5C45">
        <w:t xml:space="preserve"> discrete pieces of work </w:t>
      </w:r>
      <w:r w:rsidR="007D0FF7" w:rsidRPr="005C5C45">
        <w:t>build</w:t>
      </w:r>
      <w:r w:rsidR="00166200" w:rsidRPr="005C5C45">
        <w:t>ing</w:t>
      </w:r>
      <w:r w:rsidR="007D0FF7" w:rsidRPr="005C5C45">
        <w:t xml:space="preserve"> on</w:t>
      </w:r>
      <w:r w:rsidR="00EA2F88" w:rsidRPr="005C5C45" w:rsidDel="006C3E3F">
        <w:t xml:space="preserve"> </w:t>
      </w:r>
      <w:r w:rsidR="007D0FF7" w:rsidRPr="005C5C45">
        <w:t xml:space="preserve">NZ’s high international </w:t>
      </w:r>
      <w:r w:rsidR="0062046F" w:rsidRPr="005C5C45">
        <w:t>transparency and accountability ranking</w:t>
      </w:r>
      <w:r w:rsidR="00754B18" w:rsidRPr="005C5C45">
        <w:t>,</w:t>
      </w:r>
      <w:r w:rsidR="00166200" w:rsidRPr="005C5C45">
        <w:t xml:space="preserve"> and</w:t>
      </w:r>
      <w:r w:rsidR="00754B18" w:rsidRPr="005C5C45">
        <w:t xml:space="preserve"> </w:t>
      </w:r>
      <w:r w:rsidR="007D0FF7" w:rsidRPr="005C5C45">
        <w:t>complement</w:t>
      </w:r>
      <w:r w:rsidR="00166200" w:rsidRPr="005C5C45">
        <w:t>ing</w:t>
      </w:r>
      <w:r w:rsidR="007D0FF7" w:rsidRPr="005C5C45">
        <w:t xml:space="preserve"> </w:t>
      </w:r>
      <w:r w:rsidR="00EA2F88" w:rsidRPr="005C5C45">
        <w:t xml:space="preserve">existing major government work </w:t>
      </w:r>
      <w:r w:rsidR="00DA1402">
        <w:t>‘</w:t>
      </w:r>
      <w:r w:rsidR="00EA2F88" w:rsidRPr="005C5C45">
        <w:t>to further the principles of open government</w:t>
      </w:r>
      <w:r w:rsidR="00DA1402">
        <w:t>’,</w:t>
      </w:r>
      <w:r w:rsidR="00EA2F88" w:rsidRPr="005C5C45">
        <w:t xml:space="preserve"> covering access to information, open data and technology</w:t>
      </w:r>
      <w:r w:rsidR="00695B8F" w:rsidRPr="005C5C45">
        <w:t>.</w:t>
      </w:r>
      <w:r w:rsidR="00EA2F88" w:rsidRPr="005C5C45">
        <w:rPr>
          <w:rStyle w:val="EndnoteReference"/>
        </w:rPr>
        <w:endnoteReference w:id="78"/>
      </w:r>
      <w:r w:rsidR="00784DFC" w:rsidRPr="005C5C45">
        <w:t xml:space="preserve"> Five </w:t>
      </w:r>
      <w:r w:rsidR="00EA2F88" w:rsidRPr="005C5C45">
        <w:t xml:space="preserve">commitments linked directly </w:t>
      </w:r>
      <w:r w:rsidR="00E638ED" w:rsidRPr="005C5C45">
        <w:t xml:space="preserve">to the public’s </w:t>
      </w:r>
      <w:r w:rsidR="00FD5D24" w:rsidRPr="005C5C45">
        <w:t xml:space="preserve">87 OGP </w:t>
      </w:r>
      <w:r w:rsidR="00E638ED" w:rsidRPr="005C5C45">
        <w:t>submissions</w:t>
      </w:r>
      <w:r w:rsidR="00EA2F88" w:rsidRPr="005C5C45">
        <w:t xml:space="preserve">, and </w:t>
      </w:r>
      <w:proofErr w:type="gramStart"/>
      <w:r w:rsidR="00EA2F88" w:rsidRPr="005C5C45">
        <w:t>two were added by government</w:t>
      </w:r>
      <w:proofErr w:type="gramEnd"/>
      <w:r w:rsidR="00EA2F88" w:rsidRPr="005C5C45">
        <w:t>. There was no furthe</w:t>
      </w:r>
      <w:r w:rsidR="00487936" w:rsidRPr="005C5C45">
        <w:t xml:space="preserve">r work </w:t>
      </w:r>
      <w:r w:rsidR="00754B18" w:rsidRPr="005C5C45">
        <w:t xml:space="preserve">with civil society </w:t>
      </w:r>
      <w:r w:rsidR="0062046F" w:rsidRPr="005C5C45">
        <w:t xml:space="preserve">on the remaining </w:t>
      </w:r>
      <w:r w:rsidR="00487936" w:rsidRPr="005C5C45">
        <w:t xml:space="preserve">actions </w:t>
      </w:r>
      <w:r w:rsidR="00754B18" w:rsidRPr="005C5C45">
        <w:t xml:space="preserve">they had </w:t>
      </w:r>
      <w:r w:rsidR="00FD5D24" w:rsidRPr="005C5C45">
        <w:t>pro</w:t>
      </w:r>
      <w:r w:rsidR="00754B18" w:rsidRPr="005C5C45">
        <w:t>posed</w:t>
      </w:r>
      <w:r w:rsidR="00EA2F88" w:rsidRPr="005C5C45">
        <w:t xml:space="preserve">. </w:t>
      </w:r>
      <w:r w:rsidR="001453A9" w:rsidRPr="005C5C45">
        <w:t>The IRM researcher’s interviews with aroun</w:t>
      </w:r>
      <w:r w:rsidR="00356FB2" w:rsidRPr="005C5C45">
        <w:t>d</w:t>
      </w:r>
      <w:r w:rsidR="001453A9" w:rsidRPr="005C5C45">
        <w:t xml:space="preserve"> 34 stakeholders from academia, the private sector, and c</w:t>
      </w:r>
      <w:r w:rsidR="00784DFC" w:rsidRPr="005C5C45">
        <w:t xml:space="preserve">ivil society felt that these commitments </w:t>
      </w:r>
      <w:r w:rsidR="00754B18" w:rsidRPr="005C5C45">
        <w:t xml:space="preserve">and the process were better than </w:t>
      </w:r>
      <w:r w:rsidR="00784DFC" w:rsidRPr="005C5C45">
        <w:t>in the first action plan, but in general felt that they were top-down</w:t>
      </w:r>
      <w:r w:rsidR="00FD5D24" w:rsidRPr="005C5C45">
        <w:t>, not co-created</w:t>
      </w:r>
      <w:r w:rsidR="00784DFC" w:rsidRPr="005C5C45">
        <w:t xml:space="preserve"> and not bold enough. They </w:t>
      </w:r>
      <w:r w:rsidR="00487936" w:rsidRPr="005C5C45">
        <w:t xml:space="preserve">saw them as </w:t>
      </w:r>
      <w:r w:rsidR="00C84722" w:rsidRPr="005C5C45">
        <w:t xml:space="preserve">useful </w:t>
      </w:r>
      <w:r w:rsidR="00784DFC" w:rsidRPr="005C5C45">
        <w:t>small</w:t>
      </w:r>
      <w:r w:rsidR="00487936" w:rsidRPr="005C5C45">
        <w:t xml:space="preserve"> steps</w:t>
      </w:r>
      <w:r w:rsidR="00FD5D24" w:rsidRPr="005C5C45">
        <w:t xml:space="preserve"> forward</w:t>
      </w:r>
      <w:r w:rsidR="00784DFC" w:rsidRPr="005C5C45">
        <w:t xml:space="preserve">, </w:t>
      </w:r>
      <w:r w:rsidR="009451BF" w:rsidRPr="005C5C45">
        <w:t xml:space="preserve">but not as </w:t>
      </w:r>
      <w:r w:rsidR="00166200" w:rsidRPr="005C5C45">
        <w:t xml:space="preserve">core </w:t>
      </w:r>
      <w:proofErr w:type="spellStart"/>
      <w:r w:rsidR="00166200" w:rsidRPr="005C5C45">
        <w:t>ongoing</w:t>
      </w:r>
      <w:proofErr w:type="spellEnd"/>
      <w:r w:rsidR="009451BF" w:rsidRPr="005C5C45">
        <w:t xml:space="preserve"> work with</w:t>
      </w:r>
      <w:r w:rsidR="00754B18" w:rsidRPr="005C5C45">
        <w:t xml:space="preserve"> the public </w:t>
      </w:r>
      <w:r w:rsidR="00AB6A94" w:rsidRPr="005C5C45">
        <w:t xml:space="preserve">to improve identified </w:t>
      </w:r>
      <w:r w:rsidR="007D0FF7" w:rsidRPr="005C5C45">
        <w:t>open government issues</w:t>
      </w:r>
      <w:r w:rsidR="00784DFC" w:rsidRPr="005C5C45">
        <w:t>.</w:t>
      </w:r>
    </w:p>
    <w:p w14:paraId="70CAA703" w14:textId="77777777" w:rsidR="00EA2F88" w:rsidRPr="005C5C45" w:rsidRDefault="00EA2F88" w:rsidP="005911FC">
      <w:pPr>
        <w:pStyle w:val="Heading3"/>
      </w:pPr>
      <w:r w:rsidRPr="005C5C45">
        <w:t>Themes</w:t>
      </w:r>
    </w:p>
    <w:p w14:paraId="297602CC" w14:textId="741B8268" w:rsidR="00CF5B9C" w:rsidRPr="005C5C45" w:rsidRDefault="00286968" w:rsidP="003D3890">
      <w:pPr>
        <w:pStyle w:val="Normalrglronly"/>
      </w:pPr>
      <w:r w:rsidRPr="005C5C45">
        <w:t>T</w:t>
      </w:r>
      <w:r w:rsidR="00356E55" w:rsidRPr="005C5C45">
        <w:t>he g</w:t>
      </w:r>
      <w:r w:rsidR="004B7ACD" w:rsidRPr="005C5C45">
        <w:t xml:space="preserve">overnment </w:t>
      </w:r>
      <w:r w:rsidR="009D7529" w:rsidRPr="005C5C45">
        <w:t xml:space="preserve">states that it </w:t>
      </w:r>
      <w:r w:rsidRPr="005C5C45">
        <w:t xml:space="preserve">is taking an approach of continuous improvement to delivering on its OGP obligations, </w:t>
      </w:r>
      <w:r w:rsidR="004B7ACD" w:rsidRPr="005C5C45">
        <w:t>and</w:t>
      </w:r>
      <w:r w:rsidR="00AB6A94" w:rsidRPr="005C5C45">
        <w:t xml:space="preserve"> </w:t>
      </w:r>
      <w:r w:rsidR="000C5343">
        <w:t>intends</w:t>
      </w:r>
      <w:r w:rsidRPr="005C5C45">
        <w:t xml:space="preserve"> to evolve its practice and improve over successive plan periods</w:t>
      </w:r>
      <w:r w:rsidR="00695B8F" w:rsidRPr="005C5C45">
        <w:t>.</w:t>
      </w:r>
      <w:r w:rsidR="0061107A" w:rsidRPr="005C5C45">
        <w:rPr>
          <w:rStyle w:val="EndnoteReference"/>
        </w:rPr>
        <w:endnoteReference w:id="79"/>
      </w:r>
      <w:r w:rsidR="00A42B45" w:rsidRPr="005C5C45">
        <w:t xml:space="preserve"> The </w:t>
      </w:r>
      <w:r w:rsidR="009D7529" w:rsidRPr="005C5C45">
        <w:t xml:space="preserve">IRM researcher </w:t>
      </w:r>
      <w:r w:rsidR="00166200" w:rsidRPr="005C5C45">
        <w:t>agrees that NZ’s</w:t>
      </w:r>
      <w:r w:rsidR="00AB6A94" w:rsidRPr="005C5C45">
        <w:t xml:space="preserve"> commitments are discrete pieces of work with </w:t>
      </w:r>
      <w:r w:rsidR="00B964D9" w:rsidRPr="005C5C45">
        <w:t>government aiming to</w:t>
      </w:r>
      <w:r w:rsidR="00AB6A94" w:rsidRPr="005C5C45">
        <w:t xml:space="preserve"> cov</w:t>
      </w:r>
      <w:r w:rsidR="00B964D9" w:rsidRPr="005C5C45">
        <w:t>er</w:t>
      </w:r>
      <w:r w:rsidR="00AB6A94" w:rsidRPr="005C5C45">
        <w:t xml:space="preserve"> two or more of the OGP values</w:t>
      </w:r>
      <w:r w:rsidR="00A42B45" w:rsidRPr="005C5C45">
        <w:t>.</w:t>
      </w:r>
      <w:r w:rsidR="007A7C05" w:rsidRPr="005C5C45">
        <w:t xml:space="preserve"> </w:t>
      </w:r>
    </w:p>
    <w:p w14:paraId="2F560462" w14:textId="77777777" w:rsidR="00CF3086" w:rsidRPr="005C5C45" w:rsidRDefault="00CF3086" w:rsidP="00CB0057">
      <w:pPr>
        <w:pStyle w:val="Normalrglronly"/>
        <w:sectPr w:rsidR="00CF3086" w:rsidRPr="005C5C45" w:rsidSect="0002581F">
          <w:endnotePr>
            <w:numFmt w:val="decimal"/>
            <w:numRestart w:val="eachSect"/>
          </w:endnotePr>
          <w:pgSz w:w="11900" w:h="16840" w:code="9"/>
          <w:pgMar w:top="1440" w:right="1800" w:bottom="1440" w:left="1800" w:header="720" w:footer="720" w:gutter="0"/>
          <w:cols w:space="720"/>
          <w:docGrid w:linePitch="360"/>
        </w:sectPr>
      </w:pPr>
    </w:p>
    <w:p w14:paraId="11F2E6E4" w14:textId="77777777" w:rsidR="00EA2F88" w:rsidRPr="005C5C45" w:rsidRDefault="00EA2F88" w:rsidP="00DF02C9">
      <w:pPr>
        <w:pStyle w:val="Heading2"/>
      </w:pPr>
      <w:bookmarkStart w:id="20" w:name="h.17dp8vu" w:colFirst="0" w:colLast="0"/>
      <w:bookmarkStart w:id="21" w:name="_Toc377998809"/>
      <w:bookmarkEnd w:id="20"/>
      <w:r w:rsidRPr="005C5C45">
        <w:lastRenderedPageBreak/>
        <w:t>1. Open Budget</w:t>
      </w:r>
      <w:bookmarkEnd w:id="21"/>
    </w:p>
    <w:p w14:paraId="2E9070A7" w14:textId="77777777" w:rsidR="00EA2F88" w:rsidRPr="005C5C45" w:rsidRDefault="00EA2F88" w:rsidP="00CB0057">
      <w:pPr>
        <w:rPr>
          <w:b/>
        </w:rPr>
      </w:pPr>
      <w:r w:rsidRPr="005C5C45">
        <w:rPr>
          <w:b/>
        </w:rPr>
        <w:t xml:space="preserve">Commitment Text: </w:t>
      </w:r>
    </w:p>
    <w:p w14:paraId="763E7681" w14:textId="77777777" w:rsidR="00EA2F88" w:rsidRPr="005C5C45" w:rsidRDefault="00EA2F88" w:rsidP="00CB0057">
      <w:pPr>
        <w:rPr>
          <w:i/>
          <w:color w:val="auto"/>
        </w:rPr>
      </w:pPr>
      <w:r w:rsidRPr="005C5C45">
        <w:rPr>
          <w:i/>
          <w:color w:val="auto"/>
        </w:rPr>
        <w:t>We will ensure the Budget process is open and transparent and there is an accountable process for public participation.</w:t>
      </w:r>
    </w:p>
    <w:p w14:paraId="555529C6" w14:textId="77777777" w:rsidR="00EA2F88" w:rsidRPr="005C5C45" w:rsidRDefault="00EA2F88" w:rsidP="00CB0057">
      <w:pPr>
        <w:rPr>
          <w:i/>
          <w:color w:val="auto"/>
        </w:rPr>
      </w:pPr>
    </w:p>
    <w:p w14:paraId="3F3074F6" w14:textId="77777777" w:rsidR="00EA2F88" w:rsidRPr="005C5C45" w:rsidRDefault="00EA2F88" w:rsidP="00CB0057">
      <w:pPr>
        <w:rPr>
          <w:i/>
        </w:rPr>
      </w:pPr>
      <w:r w:rsidRPr="005C5C45">
        <w:rPr>
          <w:i/>
        </w:rPr>
        <w:t>Objective: To promote public discussion/debate and participation through accessibility of the budget and include relevant groups outside of government in the formative phase of the Budget, ensuring they are informed about the process and issues.</w:t>
      </w:r>
    </w:p>
    <w:p w14:paraId="4103C7A6" w14:textId="77777777" w:rsidR="00EA2F88" w:rsidRPr="005C5C45" w:rsidRDefault="00EA2F88" w:rsidP="00CB0057">
      <w:pPr>
        <w:rPr>
          <w:i/>
        </w:rPr>
      </w:pPr>
    </w:p>
    <w:p w14:paraId="490F13AE" w14:textId="77777777" w:rsidR="00EA2F88" w:rsidRPr="005C5C45" w:rsidRDefault="00EA2F88" w:rsidP="00CB0057">
      <w:pPr>
        <w:rPr>
          <w:i/>
        </w:rPr>
      </w:pPr>
      <w:r w:rsidRPr="005C5C45">
        <w:rPr>
          <w:i/>
        </w:rPr>
        <w:t>Status quo: The Budget can be perceived as a closed process between agencies and the Government and information is not regarded as accessible. The Government has begun work to ensure that Budgets become focused on outcomes for citizens rather than funding for agencies.</w:t>
      </w:r>
    </w:p>
    <w:p w14:paraId="6272D506" w14:textId="77777777" w:rsidR="00EA2F88" w:rsidRPr="005C5C45" w:rsidRDefault="00EA2F88" w:rsidP="00CB0057">
      <w:pPr>
        <w:rPr>
          <w:i/>
        </w:rPr>
      </w:pPr>
    </w:p>
    <w:p w14:paraId="6A6326B6" w14:textId="77777777" w:rsidR="00EA2F88" w:rsidRPr="005C5C45" w:rsidRDefault="00EA2F88" w:rsidP="00CB0057">
      <w:pPr>
        <w:rPr>
          <w:i/>
        </w:rPr>
      </w:pPr>
      <w:r w:rsidRPr="005C5C45">
        <w:rPr>
          <w:i/>
        </w:rPr>
        <w:t>Ambition: Making the Budget more accessible will promote discussion and debate. It will help ensure that central government spending is open and transparent. It will enhance public participation and confidence in the Budget process.</w:t>
      </w:r>
    </w:p>
    <w:p w14:paraId="78D104A8" w14:textId="77777777" w:rsidR="00C81CFE" w:rsidRPr="005C5C45" w:rsidRDefault="00C81CFE" w:rsidP="00CB0057">
      <w:pPr>
        <w:rPr>
          <w:i/>
        </w:rPr>
      </w:pPr>
    </w:p>
    <w:p w14:paraId="05AC9A7E" w14:textId="77777777" w:rsidR="00C81CFE" w:rsidRPr="005C5C45" w:rsidRDefault="00C81CFE" w:rsidP="00CB0057">
      <w:pPr>
        <w:rPr>
          <w:i/>
        </w:rPr>
      </w:pPr>
      <w:r w:rsidRPr="005C5C45">
        <w:rPr>
          <w:i/>
        </w:rPr>
        <w:t>Milestones:</w:t>
      </w:r>
    </w:p>
    <w:p w14:paraId="49AF982F" w14:textId="77777777" w:rsidR="00E95B93" w:rsidRPr="005C5C45" w:rsidRDefault="00E95B93" w:rsidP="008018D4">
      <w:pPr>
        <w:pStyle w:val="APQuotefeaturetol"/>
        <w:numPr>
          <w:ilvl w:val="0"/>
          <w:numId w:val="60"/>
        </w:numPr>
      </w:pPr>
      <w:r w:rsidRPr="005C5C45">
        <w:t>Ask key stakeholder groups how the Budget could be made more accessible</w:t>
      </w:r>
    </w:p>
    <w:p w14:paraId="706E16B1" w14:textId="77777777" w:rsidR="00E95B93" w:rsidRPr="005C5C45" w:rsidRDefault="00E95B93" w:rsidP="008018D4">
      <w:pPr>
        <w:pStyle w:val="APQuotefeaturetol"/>
        <w:numPr>
          <w:ilvl w:val="0"/>
          <w:numId w:val="60"/>
        </w:numPr>
      </w:pPr>
      <w:r w:rsidRPr="005C5C45">
        <w:t>Invite feedback on the previous Budget – this means making it available in forms people can engage with, which could include machine readable data, plain English published material and visual presentations</w:t>
      </w:r>
    </w:p>
    <w:p w14:paraId="4A69796A" w14:textId="77777777" w:rsidR="00E95B93" w:rsidRPr="005C5C45" w:rsidRDefault="00E95B93" w:rsidP="008018D4">
      <w:pPr>
        <w:pStyle w:val="APQuotefeaturetol"/>
        <w:numPr>
          <w:ilvl w:val="0"/>
          <w:numId w:val="60"/>
        </w:numPr>
      </w:pPr>
      <w:r w:rsidRPr="005C5C45">
        <w:t>Provide Budget data in machine readable form – this could include open source formats</w:t>
      </w:r>
    </w:p>
    <w:p w14:paraId="4A0D7B36" w14:textId="0CC109B4" w:rsidR="00EA2F88" w:rsidRPr="005C5C45" w:rsidRDefault="00E95B93" w:rsidP="00CB0057">
      <w:pPr>
        <w:pStyle w:val="APQuotefeaturetol"/>
        <w:numPr>
          <w:ilvl w:val="0"/>
          <w:numId w:val="60"/>
        </w:numPr>
      </w:pPr>
      <w:r w:rsidRPr="005C5C45">
        <w:t>Work with agencies that have expertise in presenting Budget data in ways that make it easy to understand</w:t>
      </w:r>
    </w:p>
    <w:p w14:paraId="023CA601" w14:textId="77777777" w:rsidR="00EA2F88" w:rsidRPr="005C5C45" w:rsidRDefault="00EA2F88" w:rsidP="002F34C3">
      <w:pPr>
        <w:pStyle w:val="Normalrglronly"/>
      </w:pPr>
      <w:r w:rsidRPr="005C5C45">
        <w:rPr>
          <w:b/>
        </w:rPr>
        <w:t>Responsible institution:</w:t>
      </w:r>
      <w:r w:rsidRPr="005C5C45">
        <w:t xml:space="preserve"> The Treasury</w:t>
      </w:r>
    </w:p>
    <w:p w14:paraId="6BB9309A" w14:textId="77777777" w:rsidR="00EA2F88" w:rsidRPr="005C5C45" w:rsidRDefault="00EA2F88" w:rsidP="002F34C3">
      <w:pPr>
        <w:pStyle w:val="Normalrglronly"/>
      </w:pPr>
      <w:r w:rsidRPr="005C5C45">
        <w:rPr>
          <w:b/>
        </w:rPr>
        <w:t>Supporting institution(s</w:t>
      </w:r>
      <w:r w:rsidRPr="002B1534">
        <w:rPr>
          <w:b/>
        </w:rPr>
        <w:t>):</w:t>
      </w:r>
      <w:r w:rsidRPr="005C5C45">
        <w:t xml:space="preserve"> </w:t>
      </w:r>
      <w:r w:rsidRPr="005C5C45">
        <w:rPr>
          <w:noProof/>
        </w:rPr>
        <w:t>The Treasury</w:t>
      </w:r>
    </w:p>
    <w:p w14:paraId="2E2508BD" w14:textId="78C7C806" w:rsidR="002B1534" w:rsidRDefault="00EA2F88" w:rsidP="000F00E8">
      <w:pPr>
        <w:pStyle w:val="Normalrglronly"/>
      </w:pPr>
      <w:r w:rsidRPr="005C5C45">
        <w:rPr>
          <w:b/>
        </w:rPr>
        <w:t xml:space="preserve">Start date: </w:t>
      </w:r>
      <w:r w:rsidR="00C84722" w:rsidRPr="005C5C45">
        <w:t xml:space="preserve">October 2016   </w:t>
      </w:r>
      <w:r w:rsidR="002B1534">
        <w:t xml:space="preserve"> </w:t>
      </w:r>
      <w:r w:rsidR="00C84722" w:rsidRPr="005C5C45">
        <w:t xml:space="preserve"> </w:t>
      </w:r>
      <w:r w:rsidR="00C84722" w:rsidRPr="005C5C45">
        <w:tab/>
      </w:r>
    </w:p>
    <w:p w14:paraId="3A8A85A6" w14:textId="5DCD170C" w:rsidR="00EA2F88" w:rsidRPr="005C5C45" w:rsidRDefault="00EA2F88" w:rsidP="000F00E8">
      <w:pPr>
        <w:pStyle w:val="Normalrglronly"/>
      </w:pPr>
      <w:r w:rsidRPr="005C5C45">
        <w:rPr>
          <w:b/>
        </w:rPr>
        <w:t>End date:</w:t>
      </w:r>
      <w:r w:rsidRPr="005C5C45">
        <w:t xml:space="preserve"> May 2018</w:t>
      </w:r>
    </w:p>
    <w:tbl>
      <w:tblPr>
        <w:tblStyle w:val="TableGrid"/>
        <w:tblW w:w="10458" w:type="dxa"/>
        <w:jc w:val="center"/>
        <w:tblLayout w:type="fixed"/>
        <w:tblLook w:val="04A0" w:firstRow="1" w:lastRow="0" w:firstColumn="1" w:lastColumn="0" w:noHBand="0" w:noVBand="1"/>
      </w:tblPr>
      <w:tblGrid>
        <w:gridCol w:w="1600"/>
        <w:gridCol w:w="445"/>
        <w:gridCol w:w="352"/>
        <w:gridCol w:w="352"/>
        <w:gridCol w:w="444"/>
        <w:gridCol w:w="617"/>
        <w:gridCol w:w="443"/>
        <w:gridCol w:w="707"/>
        <w:gridCol w:w="924"/>
        <w:gridCol w:w="434"/>
        <w:gridCol w:w="450"/>
        <w:gridCol w:w="511"/>
        <w:gridCol w:w="476"/>
        <w:gridCol w:w="903"/>
        <w:gridCol w:w="450"/>
        <w:gridCol w:w="450"/>
        <w:gridCol w:w="450"/>
        <w:gridCol w:w="450"/>
      </w:tblGrid>
      <w:tr w:rsidR="00EA2F88" w:rsidRPr="005C5C45" w14:paraId="0630B068" w14:textId="77777777" w:rsidTr="003D3890">
        <w:trPr>
          <w:trHeight w:val="441"/>
          <w:jc w:val="center"/>
        </w:trPr>
        <w:tc>
          <w:tcPr>
            <w:tcW w:w="1600" w:type="dxa"/>
            <w:vMerge w:val="restart"/>
            <w:tcBorders>
              <w:top w:val="single" w:sz="4" w:space="0" w:color="FFFFFF" w:themeColor="background1"/>
              <w:left w:val="single" w:sz="4" w:space="0" w:color="FFFFFF" w:themeColor="background1"/>
              <w:right w:val="single" w:sz="12" w:space="0" w:color="FFFFFF" w:themeColor="background1"/>
            </w:tcBorders>
            <w:shd w:val="clear" w:color="auto" w:fill="000000" w:themeFill="text1"/>
          </w:tcPr>
          <w:p w14:paraId="6F360BE4" w14:textId="77777777" w:rsidR="00EA2F88" w:rsidRPr="005C5C45" w:rsidRDefault="00EA2F88" w:rsidP="003D3890">
            <w:pPr>
              <w:rPr>
                <w:color w:val="FFFFFF" w:themeColor="background1"/>
              </w:rPr>
            </w:pPr>
            <w:r w:rsidRPr="005C5C45">
              <w:rPr>
                <w:color w:val="FFFFFF" w:themeColor="background1"/>
              </w:rPr>
              <w:t>Commitment Overview</w:t>
            </w:r>
          </w:p>
        </w:tc>
        <w:tc>
          <w:tcPr>
            <w:tcW w:w="1593"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1A7D1" w:themeFill="text2" w:themeFillTint="99"/>
          </w:tcPr>
          <w:p w14:paraId="07731AD3" w14:textId="77777777" w:rsidR="00EA2F88" w:rsidRPr="005C5C45" w:rsidRDefault="00EA2F88" w:rsidP="003D3890">
            <w:r w:rsidRPr="005C5C45">
              <w:t>Specificity</w:t>
            </w:r>
          </w:p>
        </w:tc>
        <w:tc>
          <w:tcPr>
            <w:tcW w:w="2691"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B67B" w:themeFill="accent1" w:themeFillTint="99"/>
          </w:tcPr>
          <w:p w14:paraId="65D8C0D4" w14:textId="77777777" w:rsidR="00EA2F88" w:rsidRPr="005C5C45" w:rsidRDefault="00EA2F88" w:rsidP="003D3890">
            <w:pPr>
              <w:rPr>
                <w:color w:val="000000" w:themeColor="text1"/>
              </w:rPr>
            </w:pPr>
            <w:r w:rsidRPr="005C5C45">
              <w:t>OGP Value Relevance</w:t>
            </w:r>
          </w:p>
        </w:tc>
        <w:tc>
          <w:tcPr>
            <w:tcW w:w="1871"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0D479" w:themeFill="accent2" w:themeFillTint="99"/>
          </w:tcPr>
          <w:p w14:paraId="476A7D5A" w14:textId="77777777" w:rsidR="00EA2F88" w:rsidRPr="005C5C45" w:rsidRDefault="00EA2F88" w:rsidP="003D3890">
            <w:r w:rsidRPr="005C5C45">
              <w:t>Potential Impact</w:t>
            </w:r>
          </w:p>
        </w:tc>
        <w:tc>
          <w:tcPr>
            <w:tcW w:w="903"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tcPr>
          <w:p w14:paraId="5B57B498" w14:textId="77777777" w:rsidR="00EA2F88" w:rsidRPr="005C5C45" w:rsidRDefault="00EA2F88" w:rsidP="003D3890">
            <w:r w:rsidRPr="005C5C45">
              <w:t>On Time?</w:t>
            </w:r>
          </w:p>
        </w:tc>
        <w:tc>
          <w:tcPr>
            <w:tcW w:w="1800" w:type="dxa"/>
            <w:gridSpan w:val="4"/>
            <w:tcBorders>
              <w:top w:val="single" w:sz="4"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tcPr>
          <w:p w14:paraId="4EB80F53" w14:textId="77777777" w:rsidR="00EA2F88" w:rsidRPr="005C5C45" w:rsidRDefault="00EA2F88" w:rsidP="003D3890">
            <w:r w:rsidRPr="005C5C45">
              <w:t>Completion</w:t>
            </w:r>
          </w:p>
        </w:tc>
      </w:tr>
      <w:tr w:rsidR="00EA2F88" w:rsidRPr="005C5C45" w14:paraId="625B60A0" w14:textId="77777777" w:rsidTr="003D3890">
        <w:trPr>
          <w:cantSplit/>
          <w:trHeight w:val="1861"/>
          <w:jc w:val="center"/>
        </w:trPr>
        <w:tc>
          <w:tcPr>
            <w:tcW w:w="1600" w:type="dxa"/>
            <w:vMerge/>
            <w:tcBorders>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14EC43AD" w14:textId="77777777" w:rsidR="00EA2F88" w:rsidRPr="005C5C45" w:rsidRDefault="00EA2F88" w:rsidP="003D3890">
            <w:pPr>
              <w:rPr>
                <w:color w:val="FFFFFF" w:themeColor="background1"/>
              </w:rPr>
            </w:pPr>
          </w:p>
        </w:tc>
        <w:tc>
          <w:tcPr>
            <w:tcW w:w="445"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46ECF8AC" w14:textId="77777777" w:rsidR="00EA2F88" w:rsidRPr="005C5C45" w:rsidRDefault="00EA2F88" w:rsidP="003D3890">
            <w:r w:rsidRPr="005C5C45">
              <w:t>None</w:t>
            </w: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0C0CBA80" w14:textId="77777777" w:rsidR="00EA2F88" w:rsidRPr="005C5C45" w:rsidRDefault="00EA2F88" w:rsidP="003D3890">
            <w:r w:rsidRPr="005C5C45">
              <w:t>Low</w:t>
            </w: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5F5B7612" w14:textId="77777777" w:rsidR="00EA2F88" w:rsidRPr="005C5C45" w:rsidRDefault="00EA2F88" w:rsidP="003D3890">
            <w:r w:rsidRPr="005C5C45">
              <w:t>Medium</w:t>
            </w:r>
          </w:p>
        </w:tc>
        <w:tc>
          <w:tcPr>
            <w:tcW w:w="44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81A7D1" w:themeFill="text2" w:themeFillTint="99"/>
            <w:textDirection w:val="btLr"/>
          </w:tcPr>
          <w:p w14:paraId="52CD8BDF" w14:textId="77777777" w:rsidR="00EA2F88" w:rsidRPr="005C5C45" w:rsidRDefault="00EA2F88" w:rsidP="003D3890">
            <w:r w:rsidRPr="005C5C45">
              <w:t>High</w:t>
            </w:r>
          </w:p>
        </w:tc>
        <w:tc>
          <w:tcPr>
            <w:tcW w:w="617"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327BC31A" w14:textId="77777777" w:rsidR="00EA2F88" w:rsidRPr="005C5C45" w:rsidRDefault="00EA2F88" w:rsidP="003D3890">
            <w:r w:rsidRPr="005C5C45">
              <w:t>Access to Information</w:t>
            </w:r>
          </w:p>
        </w:tc>
        <w:tc>
          <w:tcPr>
            <w:tcW w:w="443"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50F89529" w14:textId="77777777" w:rsidR="00EA2F88" w:rsidRPr="005C5C45" w:rsidRDefault="00EA2F88" w:rsidP="003D3890">
            <w:r w:rsidRPr="005C5C45">
              <w:t>Civic Participation</w:t>
            </w:r>
          </w:p>
        </w:tc>
        <w:tc>
          <w:tcPr>
            <w:tcW w:w="707"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6B7F2221" w14:textId="77777777" w:rsidR="00EA2F88" w:rsidRPr="005C5C45" w:rsidRDefault="00EA2F88" w:rsidP="003D3890">
            <w:r w:rsidRPr="005C5C45">
              <w:t>Public Accountability</w:t>
            </w:r>
          </w:p>
        </w:tc>
        <w:tc>
          <w:tcPr>
            <w:tcW w:w="92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0B67B" w:themeFill="accent1" w:themeFillTint="99"/>
            <w:textDirection w:val="btLr"/>
          </w:tcPr>
          <w:p w14:paraId="074D3CD6" w14:textId="77777777" w:rsidR="00EA2F88" w:rsidRPr="005C5C45" w:rsidRDefault="00EA2F88" w:rsidP="003D3890">
            <w:r w:rsidRPr="005C5C45">
              <w:t xml:space="preserve">Tech. and </w:t>
            </w:r>
            <w:proofErr w:type="spellStart"/>
            <w:r w:rsidRPr="005C5C45">
              <w:t>Innov</w:t>
            </w:r>
            <w:proofErr w:type="spellEnd"/>
            <w:r w:rsidRPr="005C5C45">
              <w:t xml:space="preserve">. </w:t>
            </w:r>
            <w:proofErr w:type="gramStart"/>
            <w:r w:rsidRPr="005C5C45">
              <w:t>for</w:t>
            </w:r>
            <w:proofErr w:type="gramEnd"/>
            <w:r w:rsidRPr="005C5C45">
              <w:t xml:space="preserve"> Transparency and Accountability</w:t>
            </w:r>
          </w:p>
        </w:tc>
        <w:tc>
          <w:tcPr>
            <w:tcW w:w="434"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39238023" w14:textId="77777777" w:rsidR="00EA2F88" w:rsidRPr="005C5C45" w:rsidRDefault="00EA2F88" w:rsidP="003D3890">
            <w:r w:rsidRPr="005C5C45">
              <w:t>None</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21F78081" w14:textId="77777777" w:rsidR="00EA2F88" w:rsidRPr="005C5C45" w:rsidRDefault="00EA2F88" w:rsidP="003D3890">
            <w:r w:rsidRPr="005C5C45">
              <w:t>Minor</w:t>
            </w:r>
          </w:p>
        </w:tc>
        <w:tc>
          <w:tcPr>
            <w:tcW w:w="511"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2F099AC6" w14:textId="77777777" w:rsidR="00EA2F88" w:rsidRPr="005C5C45" w:rsidRDefault="00EA2F88" w:rsidP="003D3890">
            <w:r w:rsidRPr="005C5C45">
              <w:t>Moderate</w:t>
            </w:r>
          </w:p>
        </w:tc>
        <w:tc>
          <w:tcPr>
            <w:tcW w:w="47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90D479" w:themeFill="accent2" w:themeFillTint="99"/>
            <w:textDirection w:val="btLr"/>
          </w:tcPr>
          <w:p w14:paraId="1E836377" w14:textId="77777777" w:rsidR="00EA2F88" w:rsidRPr="005C5C45" w:rsidRDefault="00EA2F88" w:rsidP="003D3890">
            <w:r w:rsidRPr="005C5C45">
              <w:t>Transformative</w:t>
            </w:r>
          </w:p>
        </w:tc>
        <w:tc>
          <w:tcPr>
            <w:tcW w:w="9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textDirection w:val="btLr"/>
          </w:tcPr>
          <w:p w14:paraId="318B9549" w14:textId="77777777" w:rsidR="00EA2F88" w:rsidRPr="005C5C45" w:rsidRDefault="00EA2F88" w:rsidP="003D3890"/>
        </w:tc>
        <w:tc>
          <w:tcPr>
            <w:tcW w:w="450"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52EAEF2E" w14:textId="77777777" w:rsidR="00EA2F88" w:rsidRPr="005C5C45" w:rsidRDefault="00EA2F88" w:rsidP="003D3890">
            <w:r w:rsidRPr="005C5C45">
              <w:t>Not Started</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19E69380" w14:textId="77777777" w:rsidR="00EA2F88" w:rsidRPr="005C5C45" w:rsidRDefault="00EA2F88" w:rsidP="003D3890">
            <w:r w:rsidRPr="005C5C45">
              <w:t>Limited</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3DB55C88" w14:textId="77777777" w:rsidR="00EA2F88" w:rsidRPr="005C5C45" w:rsidRDefault="00EA2F88" w:rsidP="003D3890">
            <w:r w:rsidRPr="005C5C45">
              <w:t>Substantial</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71ABAEBC" w14:textId="77777777" w:rsidR="00EA2F88" w:rsidRPr="005C5C45" w:rsidRDefault="00EA2F88" w:rsidP="003D3890">
            <w:r w:rsidRPr="005C5C45">
              <w:t>Complete</w:t>
            </w:r>
          </w:p>
        </w:tc>
      </w:tr>
      <w:tr w:rsidR="00EA2F88" w:rsidRPr="005C5C45" w14:paraId="40266550" w14:textId="77777777" w:rsidTr="003D3890">
        <w:trPr>
          <w:trHeight w:val="652"/>
          <w:jc w:val="center"/>
        </w:trPr>
        <w:tc>
          <w:tcPr>
            <w:tcW w:w="1600"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6696BD8E" w14:textId="77777777" w:rsidR="00EA2F88" w:rsidRPr="005C5C45" w:rsidRDefault="00EA2F88" w:rsidP="003D3890">
            <w:pPr>
              <w:rPr>
                <w:color w:val="FFFFFF" w:themeColor="background1"/>
              </w:rPr>
            </w:pPr>
            <w:r w:rsidRPr="005C5C45">
              <w:rPr>
                <w:color w:val="FFFFFF" w:themeColor="background1"/>
              </w:rPr>
              <w:t xml:space="preserve">1. </w:t>
            </w:r>
            <w:r w:rsidR="00FB3587" w:rsidRPr="005C5C45">
              <w:rPr>
                <w:color w:val="FFFFFF" w:themeColor="background1"/>
              </w:rPr>
              <w:t>Open Budget</w:t>
            </w:r>
          </w:p>
        </w:tc>
        <w:tc>
          <w:tcPr>
            <w:tcW w:w="445"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3FF2CBD9" w14:textId="77777777" w:rsidR="00EA2F88" w:rsidRPr="005C5C45" w:rsidRDefault="00EA2F88" w:rsidP="003D3890">
            <w:pPr>
              <w:jc w:val="center"/>
              <w:rPr>
                <w:sz w:val="20"/>
              </w:rPr>
            </w:pP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608326D0" w14:textId="77777777" w:rsidR="00EA2F88" w:rsidRPr="005C5C45" w:rsidRDefault="00EA2F88" w:rsidP="003D3890">
            <w:pPr>
              <w:jc w:val="center"/>
              <w:rPr>
                <w:sz w:val="20"/>
              </w:rPr>
            </w:pP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2274D161" w14:textId="77777777" w:rsidR="00EA2F88" w:rsidRPr="005C5C45" w:rsidRDefault="0082575D" w:rsidP="003D3890">
            <w:pPr>
              <w:jc w:val="center"/>
              <w:rPr>
                <w:sz w:val="20"/>
              </w:rPr>
            </w:pPr>
            <w:r w:rsidRPr="005C5C45">
              <w:rPr>
                <w:rFonts w:ascii="Zapf Dingbats" w:hAnsi="Zapf Dingbats"/>
                <w:noProof/>
                <w:sz w:val="20"/>
              </w:rPr>
              <w:t>✔</w:t>
            </w:r>
          </w:p>
        </w:tc>
        <w:tc>
          <w:tcPr>
            <w:tcW w:w="44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81A7D1" w:themeFill="text2" w:themeFillTint="99"/>
            <w:vAlign w:val="center"/>
          </w:tcPr>
          <w:p w14:paraId="76914B94" w14:textId="77777777" w:rsidR="00EA2F88" w:rsidRPr="005C5C45" w:rsidRDefault="00EA2F88" w:rsidP="003D3890">
            <w:pPr>
              <w:jc w:val="center"/>
              <w:rPr>
                <w:rFonts w:ascii="Zapf Dingbats" w:hAnsi="Zapf Dingbats"/>
                <w:noProof/>
                <w:sz w:val="20"/>
              </w:rPr>
            </w:pPr>
          </w:p>
        </w:tc>
        <w:tc>
          <w:tcPr>
            <w:tcW w:w="617"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3F0D68B3" w14:textId="77777777" w:rsidR="00EA2F88" w:rsidRPr="005C5C45" w:rsidRDefault="00EA2F88" w:rsidP="003D3890">
            <w:pPr>
              <w:jc w:val="center"/>
              <w:rPr>
                <w:rFonts w:ascii="Zapf Dingbats" w:hAnsi="Zapf Dingbats"/>
                <w:noProof/>
                <w:sz w:val="20"/>
              </w:rPr>
            </w:pPr>
            <w:r w:rsidRPr="005C5C45">
              <w:rPr>
                <w:rFonts w:ascii="Zapf Dingbats" w:hAnsi="Zapf Dingbats"/>
                <w:noProof/>
                <w:sz w:val="20"/>
              </w:rPr>
              <w:t>✔</w:t>
            </w:r>
          </w:p>
        </w:tc>
        <w:tc>
          <w:tcPr>
            <w:tcW w:w="443"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00765F4B" w14:textId="77777777" w:rsidR="00EA2F88" w:rsidRPr="005C5C45" w:rsidRDefault="00EA2F88" w:rsidP="003D3890">
            <w:pPr>
              <w:jc w:val="center"/>
              <w:rPr>
                <w:sz w:val="20"/>
              </w:rPr>
            </w:pPr>
            <w:r w:rsidRPr="005C5C45">
              <w:rPr>
                <w:rFonts w:ascii="Zapf Dingbats" w:hAnsi="Zapf Dingbats"/>
                <w:noProof/>
                <w:sz w:val="20"/>
              </w:rPr>
              <w:t>✔</w:t>
            </w:r>
          </w:p>
        </w:tc>
        <w:tc>
          <w:tcPr>
            <w:tcW w:w="707"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58325F91" w14:textId="77777777" w:rsidR="00EA2F88" w:rsidRPr="005C5C45" w:rsidRDefault="00EA2F88" w:rsidP="003D3890">
            <w:pPr>
              <w:jc w:val="center"/>
              <w:rPr>
                <w:sz w:val="20"/>
              </w:rPr>
            </w:pPr>
          </w:p>
        </w:tc>
        <w:tc>
          <w:tcPr>
            <w:tcW w:w="92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0B67B" w:themeFill="accent1" w:themeFillTint="99"/>
            <w:vAlign w:val="center"/>
          </w:tcPr>
          <w:p w14:paraId="1F8914AC" w14:textId="77777777" w:rsidR="00EA2F88" w:rsidRPr="005C5C45" w:rsidRDefault="00EA2F88" w:rsidP="003D3890">
            <w:pPr>
              <w:jc w:val="center"/>
              <w:rPr>
                <w:sz w:val="20"/>
              </w:rPr>
            </w:pPr>
          </w:p>
        </w:tc>
        <w:tc>
          <w:tcPr>
            <w:tcW w:w="434"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68EAC500" w14:textId="77777777" w:rsidR="00EA2F88" w:rsidRPr="005C5C45" w:rsidRDefault="00EA2F88" w:rsidP="003D3890">
            <w:pPr>
              <w:jc w:val="center"/>
              <w:rPr>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11948BE3" w14:textId="77777777" w:rsidR="00EA2F88" w:rsidRPr="005C5C45" w:rsidRDefault="00EA2F88" w:rsidP="003D3890">
            <w:pPr>
              <w:jc w:val="center"/>
              <w:rPr>
                <w:rFonts w:ascii="Zapf Dingbats" w:hAnsi="Zapf Dingbats"/>
                <w:noProof/>
                <w:sz w:val="20"/>
              </w:rPr>
            </w:pPr>
          </w:p>
        </w:tc>
        <w:tc>
          <w:tcPr>
            <w:tcW w:w="511"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0AC732C0" w14:textId="77777777" w:rsidR="00EA2F88" w:rsidRPr="005C5C45" w:rsidRDefault="00EA2F88" w:rsidP="003D3890">
            <w:pPr>
              <w:jc w:val="center"/>
              <w:rPr>
                <w:sz w:val="20"/>
              </w:rPr>
            </w:pPr>
            <w:r w:rsidRPr="005C5C45">
              <w:rPr>
                <w:rFonts w:ascii="Zapf Dingbats" w:hAnsi="Zapf Dingbats"/>
                <w:noProof/>
                <w:sz w:val="20"/>
              </w:rPr>
              <w:t>✔</w:t>
            </w:r>
          </w:p>
        </w:tc>
        <w:tc>
          <w:tcPr>
            <w:tcW w:w="47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90D479" w:themeFill="accent2" w:themeFillTint="99"/>
            <w:vAlign w:val="center"/>
          </w:tcPr>
          <w:p w14:paraId="16F29478" w14:textId="77777777" w:rsidR="00EA2F88" w:rsidRPr="005C5C45" w:rsidRDefault="00EA2F88" w:rsidP="003D3890">
            <w:pPr>
              <w:jc w:val="center"/>
              <w:rPr>
                <w:sz w:val="20"/>
              </w:rPr>
            </w:pPr>
          </w:p>
        </w:tc>
        <w:tc>
          <w:tcPr>
            <w:tcW w:w="9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vAlign w:val="center"/>
          </w:tcPr>
          <w:p w14:paraId="0AEF0AF5" w14:textId="22774E82" w:rsidR="00EA2F88" w:rsidRPr="005C5C45" w:rsidRDefault="00BA17DE" w:rsidP="003D3890">
            <w:pPr>
              <w:jc w:val="center"/>
              <w:rPr>
                <w:sz w:val="20"/>
              </w:rPr>
            </w:pPr>
            <w:r w:rsidRPr="00754971">
              <w:rPr>
                <w:noProof/>
                <w:szCs w:val="22"/>
              </w:rPr>
              <w:t>Yes</w:t>
            </w:r>
          </w:p>
        </w:tc>
        <w:tc>
          <w:tcPr>
            <w:tcW w:w="450"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0F8403CB" w14:textId="77777777" w:rsidR="00EA2F88" w:rsidRPr="005C5C45" w:rsidRDefault="00EA2F88" w:rsidP="003D3890">
            <w:pPr>
              <w:jc w:val="center"/>
              <w:rPr>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56922B5B" w14:textId="77777777" w:rsidR="00EA2F88" w:rsidRPr="005C5C45" w:rsidRDefault="00EA2F88" w:rsidP="003D3890">
            <w:pPr>
              <w:jc w:val="center"/>
              <w:rPr>
                <w:color w:val="BFBFBF" w:themeColor="background1" w:themeShade="BF"/>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40962D22" w14:textId="77777777" w:rsidR="00EA2F88" w:rsidRPr="005C5C45" w:rsidRDefault="006F2610" w:rsidP="003D3890">
            <w:pPr>
              <w:jc w:val="center"/>
              <w:rPr>
                <w:sz w:val="20"/>
              </w:rPr>
            </w:pPr>
            <w:r w:rsidRPr="005C5C45">
              <w:rPr>
                <w:rFonts w:ascii="Zapf Dingbats" w:hAnsi="Zapf Dingbats"/>
                <w:noProof/>
                <w:sz w:val="20"/>
              </w:rPr>
              <w:t>✔</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5C4E3A7B" w14:textId="77777777" w:rsidR="00EA2F88" w:rsidRPr="005C5C45" w:rsidRDefault="00EA2F88" w:rsidP="003D3890">
            <w:pPr>
              <w:jc w:val="center"/>
              <w:rPr>
                <w:rFonts w:ascii="Zapf Dingbats" w:hAnsi="Zapf Dingbats"/>
                <w:noProof/>
                <w:sz w:val="20"/>
              </w:rPr>
            </w:pPr>
          </w:p>
        </w:tc>
      </w:tr>
    </w:tbl>
    <w:p w14:paraId="1C0985BB" w14:textId="77777777" w:rsidR="00EA2F88" w:rsidRPr="005C5C45" w:rsidRDefault="00EA2F88" w:rsidP="0082236C">
      <w:pPr>
        <w:pStyle w:val="Heading3"/>
      </w:pPr>
      <w:r w:rsidRPr="005C5C45">
        <w:t xml:space="preserve">Context and Objectives </w:t>
      </w:r>
    </w:p>
    <w:p w14:paraId="345C1E57" w14:textId="2124C6AB" w:rsidR="00EA2F88" w:rsidRPr="005C5C45" w:rsidRDefault="003811C4" w:rsidP="003D3890">
      <w:pPr>
        <w:pStyle w:val="Normalrglronly"/>
      </w:pPr>
      <w:r w:rsidRPr="005C5C45">
        <w:t>NZ</w:t>
      </w:r>
      <w:r w:rsidR="00C84722" w:rsidRPr="005C5C45">
        <w:t>’s Budgets, which set</w:t>
      </w:r>
      <w:r w:rsidR="00EA2F88" w:rsidRPr="005C5C45">
        <w:t xml:space="preserve"> out </w:t>
      </w:r>
      <w:hyperlink r:id="rId28" w:history="1">
        <w:proofErr w:type="gramStart"/>
        <w:r w:rsidR="00EA2F88" w:rsidRPr="005C5C45">
          <w:t>estimates of appropriations for the forthcoming year</w:t>
        </w:r>
      </w:hyperlink>
      <w:r w:rsidR="00856668" w:rsidRPr="005C5C45">
        <w:t xml:space="preserve"> </w:t>
      </w:r>
      <w:r w:rsidR="00856668" w:rsidRPr="005C5C45">
        <w:rPr>
          <w:color w:val="000000" w:themeColor="text1"/>
        </w:rPr>
        <w:t>along with updated economic and fiscal forecasts</w:t>
      </w:r>
      <w:proofErr w:type="gramEnd"/>
      <w:r w:rsidR="001F4476">
        <w:t xml:space="preserve"> </w:t>
      </w:r>
      <w:r w:rsidR="006870AE">
        <w:t xml:space="preserve">are </w:t>
      </w:r>
      <w:r w:rsidR="00856668" w:rsidRPr="005C5C45">
        <w:t xml:space="preserve">available online </w:t>
      </w:r>
      <w:r w:rsidR="00294E31">
        <w:t xml:space="preserve">dating back to </w:t>
      </w:r>
      <w:r w:rsidR="00294E31" w:rsidRPr="005C5C45">
        <w:t xml:space="preserve">1997 </w:t>
      </w:r>
      <w:r w:rsidR="00856668" w:rsidRPr="005C5C45">
        <w:t>(</w:t>
      </w:r>
      <w:hyperlink r:id="rId29" w:history="1">
        <w:r w:rsidR="00E877A7" w:rsidRPr="0050290D">
          <w:rPr>
            <w:rStyle w:val="Hyperlink"/>
          </w:rPr>
          <w:t>www.treasury.govt.nz</w:t>
        </w:r>
      </w:hyperlink>
      <w:r w:rsidR="00E877A7">
        <w:t>). Departmental allocations</w:t>
      </w:r>
      <w:r w:rsidR="00D80CD8">
        <w:t xml:space="preserve"> within the Estimates documents dating back to 1998</w:t>
      </w:r>
      <w:r w:rsidR="00856668" w:rsidRPr="005C5C45">
        <w:t xml:space="preserve"> are also available online</w:t>
      </w:r>
      <w:r w:rsidR="00CE5A83" w:rsidRPr="005C5C45">
        <w:t>.</w:t>
      </w:r>
      <w:r w:rsidR="00EA2F88" w:rsidRPr="005C5C45">
        <w:rPr>
          <w:rStyle w:val="EndnoteReference"/>
          <w:bCs w:val="0"/>
        </w:rPr>
        <w:endnoteReference w:id="80"/>
      </w:r>
      <w:r w:rsidR="00AB6A94" w:rsidRPr="005C5C45">
        <w:t xml:space="preserve"> </w:t>
      </w:r>
      <w:r w:rsidR="0071791A" w:rsidRPr="005C5C45">
        <w:t>Since 2011</w:t>
      </w:r>
      <w:r w:rsidR="006870AE">
        <w:t>,</w:t>
      </w:r>
      <w:r w:rsidR="00AB6A94" w:rsidRPr="005C5C45">
        <w:t xml:space="preserve"> t</w:t>
      </w:r>
      <w:r w:rsidR="00EA2F88" w:rsidRPr="005C5C45">
        <w:t xml:space="preserve">he Treasury has </w:t>
      </w:r>
      <w:r w:rsidR="0071791A" w:rsidRPr="005C5C45">
        <w:t>been improving its</w:t>
      </w:r>
      <w:r w:rsidR="00AB6A94" w:rsidRPr="005C5C45">
        <w:t xml:space="preserve"> </w:t>
      </w:r>
      <w:r w:rsidR="00EA2F88" w:rsidRPr="005C5C45">
        <w:t>open data</w:t>
      </w:r>
      <w:r w:rsidR="0071791A" w:rsidRPr="005C5C45">
        <w:t xml:space="preserve"> formats. It</w:t>
      </w:r>
      <w:r w:rsidR="00EA2F88" w:rsidRPr="005C5C45">
        <w:t xml:space="preserve"> has </w:t>
      </w:r>
      <w:r w:rsidR="0071791A" w:rsidRPr="005C5C45">
        <w:t xml:space="preserve">also </w:t>
      </w:r>
      <w:r w:rsidR="00EA2F88" w:rsidRPr="005C5C45">
        <w:t xml:space="preserve">expanded its range of tools and information to assist the public to access and use the annual budgets and supporting documents. </w:t>
      </w:r>
      <w:r w:rsidR="00566AA9" w:rsidRPr="005C5C45">
        <w:t>N</w:t>
      </w:r>
      <w:r w:rsidR="00091006" w:rsidRPr="005C5C45">
        <w:t xml:space="preserve">ew </w:t>
      </w:r>
      <w:r w:rsidR="00566AA9" w:rsidRPr="005C5C45">
        <w:t>Z</w:t>
      </w:r>
      <w:r w:rsidR="00091006" w:rsidRPr="005C5C45">
        <w:t>ealand</w:t>
      </w:r>
      <w:r w:rsidR="00566AA9" w:rsidRPr="005C5C45">
        <w:t xml:space="preserve"> </w:t>
      </w:r>
      <w:r w:rsidR="00EA2F88" w:rsidRPr="005C5C45">
        <w:t xml:space="preserve">regularly scores </w:t>
      </w:r>
      <w:r w:rsidR="00EA2F88" w:rsidRPr="005C5C45">
        <w:lastRenderedPageBreak/>
        <w:t xml:space="preserve">well in the International Budget Partnership’s biennial Open Budget Surveys (OBS). In 2015, </w:t>
      </w:r>
      <w:r w:rsidR="00AB6A94" w:rsidRPr="005C5C45">
        <w:t xml:space="preserve">the most recent survey, </w:t>
      </w:r>
      <w:r w:rsidR="00EA2F88" w:rsidRPr="005C5C45">
        <w:t xml:space="preserve">it was rated first </w:t>
      </w:r>
      <w:r w:rsidR="00AB6A94" w:rsidRPr="005C5C45">
        <w:t>overall,</w:t>
      </w:r>
      <w:r w:rsidR="00EA2F88" w:rsidRPr="005C5C45">
        <w:rPr>
          <w:rStyle w:val="EndnoteReference"/>
          <w:bCs w:val="0"/>
        </w:rPr>
        <w:endnoteReference w:id="81"/>
      </w:r>
      <w:r w:rsidR="00EA2F88" w:rsidRPr="005C5C45">
        <w:t xml:space="preserve"> scoring 88% for transparency</w:t>
      </w:r>
      <w:r w:rsidR="00CE5A83" w:rsidRPr="005C5C45">
        <w:t>.</w:t>
      </w:r>
      <w:r w:rsidR="00EA2F88" w:rsidRPr="005C5C45">
        <w:rPr>
          <w:rStyle w:val="EndnoteReference"/>
          <w:bCs w:val="0"/>
        </w:rPr>
        <w:endnoteReference w:id="82"/>
      </w:r>
    </w:p>
    <w:p w14:paraId="4D04CD6A" w14:textId="0CE1016A" w:rsidR="00EA2F88" w:rsidRPr="005C5C45" w:rsidRDefault="00EA2F88" w:rsidP="003D3890">
      <w:pPr>
        <w:pStyle w:val="Normalrglronly"/>
      </w:pPr>
      <w:r w:rsidRPr="005C5C45">
        <w:t>Its score for citizen participation throughout the budget cycle was 65%.</w:t>
      </w:r>
      <w:r w:rsidR="00A13130" w:rsidRPr="005C5C45">
        <w:rPr>
          <w:rStyle w:val="EndnoteReference"/>
        </w:rPr>
        <w:endnoteReference w:id="83"/>
      </w:r>
      <w:r w:rsidR="008E0FBA" w:rsidRPr="005C5C45">
        <w:t xml:space="preserve"> </w:t>
      </w:r>
      <w:r w:rsidRPr="005C5C45">
        <w:t>While this result was high compared with the global average of 25%, the OBS proposed</w:t>
      </w:r>
      <w:r w:rsidR="00AB6A94" w:rsidRPr="005C5C45">
        <w:t xml:space="preserve"> that N</w:t>
      </w:r>
      <w:r w:rsidR="00091006" w:rsidRPr="005C5C45">
        <w:t xml:space="preserve">ew </w:t>
      </w:r>
      <w:r w:rsidR="00AB6A94" w:rsidRPr="005C5C45">
        <w:t>Z</w:t>
      </w:r>
      <w:r w:rsidR="00091006" w:rsidRPr="005C5C45">
        <w:t>ealand</w:t>
      </w:r>
      <w:r w:rsidR="00AB6A94" w:rsidRPr="005C5C45">
        <w:t xml:space="preserve"> introduce</w:t>
      </w:r>
      <w:r w:rsidRPr="005C5C45">
        <w:t xml:space="preserve"> </w:t>
      </w:r>
      <w:r w:rsidR="0091720E">
        <w:t>‘</w:t>
      </w:r>
      <w:r w:rsidRPr="005C5C45">
        <w:t>formal regulations that oblige the executive to engage with the public during each stage of the budget cycle</w:t>
      </w:r>
      <w:r w:rsidR="0091720E">
        <w:t>’.</w:t>
      </w:r>
      <w:r w:rsidR="00A13130" w:rsidRPr="005C5C45">
        <w:rPr>
          <w:rStyle w:val="EndnoteReference"/>
          <w:bCs w:val="0"/>
        </w:rPr>
        <w:endnoteReference w:id="84"/>
      </w:r>
      <w:r w:rsidR="008E0FBA" w:rsidRPr="005C5C45">
        <w:t xml:space="preserve"> </w:t>
      </w:r>
      <w:r w:rsidRPr="005C5C45">
        <w:t xml:space="preserve">The 2015 OBS reviewer also observed that while </w:t>
      </w:r>
      <w:r w:rsidR="003811C4" w:rsidRPr="005C5C45">
        <w:t>N</w:t>
      </w:r>
      <w:r w:rsidR="00091006" w:rsidRPr="005C5C45">
        <w:t xml:space="preserve">ew </w:t>
      </w:r>
      <w:r w:rsidR="003811C4" w:rsidRPr="005C5C45">
        <w:t>Z</w:t>
      </w:r>
      <w:r w:rsidR="00091006" w:rsidRPr="005C5C45">
        <w:t>ealand</w:t>
      </w:r>
      <w:r w:rsidRPr="005C5C45">
        <w:t xml:space="preserve"> made extensive budget information available, it was not necessarily </w:t>
      </w:r>
      <w:r w:rsidR="00415346">
        <w:t>‘</w:t>
      </w:r>
      <w:r w:rsidRPr="005C5C45">
        <w:t>user</w:t>
      </w:r>
      <w:r w:rsidR="00166200" w:rsidRPr="005C5C45">
        <w:t>-</w:t>
      </w:r>
      <w:r w:rsidRPr="005C5C45">
        <w:t>friendly</w:t>
      </w:r>
      <w:r w:rsidR="00030BD5">
        <w:t>.</w:t>
      </w:r>
      <w:r w:rsidR="00415346">
        <w:t>’</w:t>
      </w:r>
      <w:r w:rsidR="00861582">
        <w:rPr>
          <w:rStyle w:val="EndnoteReference"/>
        </w:rPr>
        <w:endnoteReference w:id="85"/>
      </w:r>
      <w:r w:rsidR="0071791A" w:rsidRPr="005C5C45">
        <w:t xml:space="preserve"> The reviewer noted that</w:t>
      </w:r>
      <w:r w:rsidR="00DF1F1F" w:rsidRPr="005C5C45">
        <w:t xml:space="preserve"> </w:t>
      </w:r>
      <w:r w:rsidR="0091720E">
        <w:t>‘</w:t>
      </w:r>
      <w:r w:rsidR="00DF1F1F" w:rsidRPr="005C5C45">
        <w:t>even when official Budget documentation makes extensive information available, most people are unlikely to invest time in reading and digesting that documentation. Citizen’s budget documentation is critical for making information about government policies, sources of funds and the use of those funds more readily accessible to the general public</w:t>
      </w:r>
      <w:r w:rsidR="0091720E">
        <w:t>’.</w:t>
      </w:r>
      <w:r w:rsidR="00DF1F1F" w:rsidRPr="005C5C45">
        <w:rPr>
          <w:rStyle w:val="EndnoteReference"/>
          <w:bCs w:val="0"/>
        </w:rPr>
        <w:endnoteReference w:id="86"/>
      </w:r>
    </w:p>
    <w:p w14:paraId="31F1CD97" w14:textId="385985D1" w:rsidR="008D3106" w:rsidRPr="005C5C45" w:rsidRDefault="00EA2F88" w:rsidP="003D3890">
      <w:pPr>
        <w:pStyle w:val="Normalrglronly"/>
      </w:pPr>
      <w:r w:rsidRPr="005C5C45">
        <w:t xml:space="preserve">The commitment </w:t>
      </w:r>
      <w:r w:rsidR="0002101B" w:rsidRPr="005C5C45">
        <w:t>is relevant for</w:t>
      </w:r>
      <w:r w:rsidRPr="005C5C45">
        <w:t xml:space="preserve"> the OGP values of access to information</w:t>
      </w:r>
      <w:r w:rsidR="00766CD3" w:rsidRPr="005C5C45">
        <w:t xml:space="preserve"> and</w:t>
      </w:r>
      <w:r w:rsidR="00340FEB" w:rsidRPr="005C5C45">
        <w:t xml:space="preserve"> </w:t>
      </w:r>
      <w:r w:rsidRPr="005C5C45">
        <w:t>civic participation</w:t>
      </w:r>
      <w:r w:rsidR="00766CD3" w:rsidRPr="005C5C45">
        <w:t>.</w:t>
      </w:r>
      <w:r w:rsidRPr="005C5C45">
        <w:t xml:space="preserve"> </w:t>
      </w:r>
      <w:r w:rsidR="008D3106" w:rsidRPr="005C5C45">
        <w:t xml:space="preserve">The government is looking to improve the quality of the information disclosed to the public by </w:t>
      </w:r>
      <w:r w:rsidR="00340FEB" w:rsidRPr="005C5C45">
        <w:t>re-</w:t>
      </w:r>
      <w:r w:rsidR="008D3106" w:rsidRPr="005C5C45">
        <w:t>publishing some of</w:t>
      </w:r>
      <w:r w:rsidR="00766CD3" w:rsidRPr="005C5C45">
        <w:t xml:space="preserve"> it in language that is</w:t>
      </w:r>
      <w:r w:rsidR="008D3106" w:rsidRPr="005C5C45">
        <w:t xml:space="preserve"> easier to read</w:t>
      </w:r>
      <w:r w:rsidR="00766CD3" w:rsidRPr="005C5C45">
        <w:t xml:space="preserve">. It is seeking </w:t>
      </w:r>
      <w:r w:rsidR="008E0FBA" w:rsidRPr="005C5C45">
        <w:t xml:space="preserve">to expand </w:t>
      </w:r>
      <w:r w:rsidR="00766CD3" w:rsidRPr="005C5C45">
        <w:t>civic participation by creating opportunities for stakeholder groups to inform government on how the Budget could be made more accessible and whether the new formats of the Budget have made a difference for them.</w:t>
      </w:r>
      <w:r w:rsidR="00F33AF3" w:rsidRPr="005C5C45">
        <w:t xml:space="preserve"> </w:t>
      </w:r>
      <w:r w:rsidR="00345289">
        <w:t xml:space="preserve">The </w:t>
      </w:r>
      <w:r w:rsidR="00BA728B">
        <w:t>c</w:t>
      </w:r>
      <w:r w:rsidR="00345289">
        <w:t>ommitment</w:t>
      </w:r>
      <w:r w:rsidR="00345289" w:rsidRPr="005C5C45">
        <w:t xml:space="preserve"> </w:t>
      </w:r>
      <w:r w:rsidR="00345289">
        <w:t xml:space="preserve">does </w:t>
      </w:r>
      <w:r w:rsidR="00F33AF3" w:rsidRPr="005C5C45">
        <w:t>not enhanc</w:t>
      </w:r>
      <w:r w:rsidR="00345289">
        <w:t>e</w:t>
      </w:r>
      <w:r w:rsidR="00F33AF3" w:rsidRPr="005C5C45">
        <w:t xml:space="preserve"> the use of technology and innovation beyond its present practice.</w:t>
      </w:r>
    </w:p>
    <w:p w14:paraId="64D63953" w14:textId="191DBC5C" w:rsidR="00EA2F88" w:rsidRPr="005C5C45" w:rsidRDefault="00EA2F88" w:rsidP="003D3890">
      <w:pPr>
        <w:pStyle w:val="Normalrglronly"/>
      </w:pPr>
      <w:r w:rsidRPr="005C5C45">
        <w:t>The specificity of the commitment is</w:t>
      </w:r>
      <w:r w:rsidR="0082575D" w:rsidRPr="005C5C45">
        <w:t xml:space="preserve"> </w:t>
      </w:r>
      <w:r w:rsidR="008E0FBA" w:rsidRPr="005C5C45">
        <w:t>m</w:t>
      </w:r>
      <w:r w:rsidR="004E43A5" w:rsidRPr="005C5C45">
        <w:t>edium</w:t>
      </w:r>
      <w:r w:rsidRPr="005C5C45">
        <w:t xml:space="preserve">. </w:t>
      </w:r>
      <w:r w:rsidR="00816A3C" w:rsidRPr="005C5C45">
        <w:t xml:space="preserve">Activities planned in this commitment are </w:t>
      </w:r>
      <w:r w:rsidR="0008115E" w:rsidRPr="005C5C45">
        <w:t xml:space="preserve">clear and </w:t>
      </w:r>
      <w:r w:rsidR="00816A3C" w:rsidRPr="005C5C45">
        <w:t xml:space="preserve">objectively verifiable and seek to achieve the stated objective by consulting key stakeholder groups, inviting feedback on the previous budget, providing budget data in machine-readable form, and working with experts in budget data presentation. </w:t>
      </w:r>
      <w:r w:rsidR="0008115E" w:rsidRPr="005C5C45">
        <w:t xml:space="preserve">However, they do not identify </w:t>
      </w:r>
      <w:proofErr w:type="gramStart"/>
      <w:r w:rsidR="0008115E" w:rsidRPr="005C5C45">
        <w:t>who</w:t>
      </w:r>
      <w:proofErr w:type="gramEnd"/>
      <w:r w:rsidR="0008115E" w:rsidRPr="005C5C45">
        <w:t xml:space="preserve"> the key stakeholders are, how the government will invite feedback </w:t>
      </w:r>
      <w:r w:rsidR="00B658CD">
        <w:t>or</w:t>
      </w:r>
      <w:r w:rsidR="00B658CD" w:rsidRPr="005C5C45">
        <w:t xml:space="preserve"> </w:t>
      </w:r>
      <w:r w:rsidR="0008115E" w:rsidRPr="005C5C45">
        <w:t>what they plan to do with the feedback.</w:t>
      </w:r>
    </w:p>
    <w:p w14:paraId="2ABDAEAF" w14:textId="4F66A77C" w:rsidR="00AB6A94" w:rsidRPr="005C5C45" w:rsidRDefault="0002101B" w:rsidP="003D3890">
      <w:pPr>
        <w:pStyle w:val="Normalrglronly"/>
      </w:pPr>
      <w:r w:rsidRPr="005C5C45">
        <w:t xml:space="preserve">If fully completed, </w:t>
      </w:r>
      <w:r w:rsidR="00D67CB2" w:rsidRPr="005C5C45">
        <w:t>this</w:t>
      </w:r>
      <w:r w:rsidR="00EA2F88" w:rsidRPr="005C5C45">
        <w:t xml:space="preserve"> commitment</w:t>
      </w:r>
      <w:r w:rsidRPr="005C5C45">
        <w:t xml:space="preserve"> could</w:t>
      </w:r>
      <w:r w:rsidR="00EA2F88" w:rsidRPr="005C5C45">
        <w:t xml:space="preserve"> have a moderate impact for stakeholders</w:t>
      </w:r>
      <w:r w:rsidRPr="005C5C45">
        <w:t xml:space="preserve">. </w:t>
      </w:r>
      <w:r w:rsidR="00C84722" w:rsidRPr="005C5C45">
        <w:t>E</w:t>
      </w:r>
      <w:r w:rsidR="00EA2F88" w:rsidRPr="005C5C45">
        <w:t>xternal groups would become more familiar with the budget process, including its lengthy timeline</w:t>
      </w:r>
      <w:r w:rsidR="00166200" w:rsidRPr="005C5C45">
        <w:t>,</w:t>
      </w:r>
      <w:r w:rsidR="00EA2F88" w:rsidRPr="005C5C45">
        <w:t xml:space="preserve"> and </w:t>
      </w:r>
      <w:r w:rsidR="00AB6A94" w:rsidRPr="005C5C45">
        <w:t xml:space="preserve">they </w:t>
      </w:r>
      <w:r w:rsidR="00B658CD">
        <w:t>c</w:t>
      </w:r>
      <w:r w:rsidR="00AB6A94" w:rsidRPr="005C5C45">
        <w:t xml:space="preserve">ould </w:t>
      </w:r>
      <w:r w:rsidR="00EA2F88" w:rsidRPr="005C5C45">
        <w:t xml:space="preserve">provide feedback </w:t>
      </w:r>
      <w:r w:rsidR="00565938" w:rsidRPr="005C5C45">
        <w:t>about accessi</w:t>
      </w:r>
      <w:r w:rsidR="00B658CD">
        <w:t xml:space="preserve">ng </w:t>
      </w:r>
      <w:r w:rsidR="00565938" w:rsidRPr="005C5C45">
        <w:t xml:space="preserve">documents during </w:t>
      </w:r>
      <w:r w:rsidR="00EA2F88" w:rsidRPr="005C5C45">
        <w:t xml:space="preserve">the </w:t>
      </w:r>
      <w:r w:rsidR="00340FEB" w:rsidRPr="005C5C45">
        <w:t xml:space="preserve">formative phase of the </w:t>
      </w:r>
      <w:r w:rsidR="00EA2F88" w:rsidRPr="005C5C45">
        <w:t>budget proces</w:t>
      </w:r>
      <w:r w:rsidR="0082575D" w:rsidRPr="005C5C45">
        <w:t>s</w:t>
      </w:r>
      <w:r w:rsidR="00BB138F" w:rsidRPr="005C5C45">
        <w:t>. A</w:t>
      </w:r>
      <w:r w:rsidR="00EA2F88" w:rsidRPr="005C5C45">
        <w:t xml:space="preserve">gencies </w:t>
      </w:r>
      <w:r w:rsidR="00BB138F" w:rsidRPr="005C5C45">
        <w:t>w</w:t>
      </w:r>
      <w:r w:rsidR="00B3107D" w:rsidRPr="005C5C45">
        <w:t xml:space="preserve">ould </w:t>
      </w:r>
      <w:r w:rsidR="00C84722" w:rsidRPr="005C5C45">
        <w:t xml:space="preserve">have an opportunity to </w:t>
      </w:r>
      <w:r w:rsidR="009F3FC4" w:rsidRPr="005C5C45">
        <w:t xml:space="preserve">consider </w:t>
      </w:r>
      <w:r w:rsidR="00EA2F88" w:rsidRPr="005C5C45">
        <w:t>mul</w:t>
      </w:r>
      <w:r w:rsidR="00AB6A94" w:rsidRPr="005C5C45">
        <w:t>tiple stakeholder contributions</w:t>
      </w:r>
      <w:r w:rsidR="00932ADB" w:rsidRPr="005C5C45">
        <w:t xml:space="preserve">. </w:t>
      </w:r>
      <w:r w:rsidR="00B3107D" w:rsidRPr="005C5C45">
        <w:t xml:space="preserve">Additional </w:t>
      </w:r>
      <w:r w:rsidR="00932ADB" w:rsidRPr="005C5C45">
        <w:t>b</w:t>
      </w:r>
      <w:r w:rsidR="00EA2F88" w:rsidRPr="005C5C45">
        <w:t>udget documents would be more useful</w:t>
      </w:r>
      <w:r w:rsidR="00EA2F88" w:rsidRPr="005C5C45">
        <w:rPr>
          <w:sz w:val="20"/>
        </w:rPr>
        <w:t xml:space="preserve"> </w:t>
      </w:r>
      <w:r w:rsidR="00EA2F88" w:rsidRPr="005C5C45">
        <w:t>and readable</w:t>
      </w:r>
      <w:r w:rsidR="00EA2F88" w:rsidRPr="005C5C45">
        <w:rPr>
          <w:sz w:val="20"/>
        </w:rPr>
        <w:t xml:space="preserve"> </w:t>
      </w:r>
      <w:r w:rsidR="00C84722" w:rsidRPr="005C5C45">
        <w:t>for the public</w:t>
      </w:r>
      <w:r w:rsidR="009F3FC4" w:rsidRPr="005C5C45">
        <w:t>, while consistent machine-readable raw and summary data would be provided for data scientists.</w:t>
      </w:r>
      <w:r w:rsidR="00EA2F88" w:rsidRPr="005C5C45">
        <w:t xml:space="preserve"> </w:t>
      </w:r>
      <w:r w:rsidR="00AB6A94" w:rsidRPr="005C5C45">
        <w:t>This</w:t>
      </w:r>
      <w:r w:rsidR="00EA2F88" w:rsidRPr="005C5C45">
        <w:t xml:space="preserve"> is a </w:t>
      </w:r>
      <w:r w:rsidR="00361BA6" w:rsidRPr="005C5C45">
        <w:t xml:space="preserve">significant </w:t>
      </w:r>
      <w:r w:rsidR="00EA2F88" w:rsidRPr="005C5C45">
        <w:t xml:space="preserve">step forward in terms of </w:t>
      </w:r>
      <w:r w:rsidR="00B658CD">
        <w:t>b</w:t>
      </w:r>
      <w:r w:rsidR="00EA2F88" w:rsidRPr="005C5C45">
        <w:t>udget present</w:t>
      </w:r>
      <w:r w:rsidR="00AB6A94" w:rsidRPr="005C5C45">
        <w:t>ation, and expands engagement across</w:t>
      </w:r>
      <w:r w:rsidR="00EA2F88" w:rsidRPr="005C5C45">
        <w:t xml:space="preserve"> a wider cohort</w:t>
      </w:r>
      <w:r w:rsidR="00C84722" w:rsidRPr="005C5C45">
        <w:t xml:space="preserve">. </w:t>
      </w:r>
      <w:r w:rsidR="00361BA6" w:rsidRPr="005C5C45">
        <w:t xml:space="preserve">However, as written, these commitment activities do </w:t>
      </w:r>
      <w:r w:rsidR="00C84722" w:rsidRPr="005C5C45">
        <w:t>not offer a</w:t>
      </w:r>
      <w:r w:rsidR="00EA2F88" w:rsidRPr="005C5C45">
        <w:t xml:space="preserve"> formal transformative process of including citize</w:t>
      </w:r>
      <w:r w:rsidR="00C84722" w:rsidRPr="005C5C45">
        <w:t xml:space="preserve">n participation in </w:t>
      </w:r>
      <w:r w:rsidR="00B658CD">
        <w:t>budget</w:t>
      </w:r>
      <w:r w:rsidR="00B658CD" w:rsidRPr="005C5C45">
        <w:t xml:space="preserve"> </w:t>
      </w:r>
      <w:r w:rsidR="00C84722" w:rsidRPr="005C5C45">
        <w:t>development</w:t>
      </w:r>
      <w:r w:rsidR="00EA2F88" w:rsidRPr="005C5C45">
        <w:t xml:space="preserve"> as anticipated in the OBS recommendation</w:t>
      </w:r>
      <w:r w:rsidR="00B3107D" w:rsidRPr="005C5C45">
        <w:t>. The commitment</w:t>
      </w:r>
      <w:r w:rsidR="00AB6A94" w:rsidRPr="005C5C45">
        <w:t xml:space="preserve"> does </w:t>
      </w:r>
      <w:r w:rsidR="00B3107D" w:rsidRPr="005C5C45">
        <w:t>not</w:t>
      </w:r>
      <w:r w:rsidR="00AB6A94" w:rsidRPr="005C5C45">
        <w:t xml:space="preserve"> move to introduce the </w:t>
      </w:r>
      <w:r w:rsidR="00166200" w:rsidRPr="005C5C45">
        <w:t xml:space="preserve">collaborative </w:t>
      </w:r>
      <w:r w:rsidR="00AC04C3" w:rsidRPr="005C5C45">
        <w:t xml:space="preserve">participatory </w:t>
      </w:r>
      <w:r w:rsidR="00B658CD">
        <w:t>b</w:t>
      </w:r>
      <w:r w:rsidR="00AB6A94" w:rsidRPr="005C5C45">
        <w:t>udget sought by some members of the public.</w:t>
      </w:r>
    </w:p>
    <w:p w14:paraId="4A5F8133" w14:textId="77777777" w:rsidR="00B10756" w:rsidRPr="005C5C45" w:rsidRDefault="000F1101" w:rsidP="0091720E">
      <w:pPr>
        <w:pStyle w:val="Normalrglronly"/>
        <w:spacing w:after="0"/>
      </w:pPr>
      <w:r w:rsidRPr="005C5C45">
        <w:rPr>
          <w:rStyle w:val="Heading3Char"/>
        </w:rPr>
        <w:t>Completion</w:t>
      </w:r>
    </w:p>
    <w:p w14:paraId="49E33867" w14:textId="33E438AE" w:rsidR="0082575D" w:rsidRPr="005C5C45" w:rsidRDefault="00361BA6" w:rsidP="0091720E">
      <w:pPr>
        <w:pStyle w:val="Normalrglronly"/>
      </w:pPr>
      <w:r w:rsidRPr="005C5C45">
        <w:t>At the end of the first year of implementation the commitment is on schedule. According to the commitment timeline</w:t>
      </w:r>
      <w:r w:rsidR="00B658CD">
        <w:t>,</w:t>
      </w:r>
      <w:r w:rsidR="00340FEB" w:rsidRPr="005C5C45">
        <w:rPr>
          <w:rStyle w:val="EndnoteReference"/>
        </w:rPr>
        <w:endnoteReference w:id="87"/>
      </w:r>
      <w:r w:rsidRPr="005C5C45">
        <w:t xml:space="preserve"> by the end of the first year of implementation, </w:t>
      </w:r>
      <w:r w:rsidR="002D4974" w:rsidRPr="005C5C45">
        <w:t xml:space="preserve">the public would have provided advice on a more accessible </w:t>
      </w:r>
      <w:r w:rsidR="00B658CD">
        <w:t>b</w:t>
      </w:r>
      <w:r w:rsidR="002D4974" w:rsidRPr="005C5C45">
        <w:t xml:space="preserve">udget and government would have published the 2017 Budget in a wider range of formats. </w:t>
      </w:r>
      <w:r w:rsidR="00B658CD">
        <w:t>Remaining</w:t>
      </w:r>
      <w:r w:rsidRPr="005C5C45">
        <w:t xml:space="preserve"> commitment activities are intended to continue through the second year of implementation.</w:t>
      </w:r>
    </w:p>
    <w:p w14:paraId="2CF7B68A" w14:textId="097A95B2" w:rsidR="00F41A91" w:rsidRPr="005C5C45" w:rsidRDefault="00361BA6" w:rsidP="003D3890">
      <w:pPr>
        <w:pStyle w:val="Normalrglronly"/>
        <w:rPr>
          <w:rFonts w:ascii="Arial" w:hAnsi="Arial" w:cs="Arial"/>
          <w:color w:val="000000"/>
        </w:rPr>
      </w:pPr>
      <w:r w:rsidRPr="005C5C45">
        <w:t>Government carried out open government research with 3</w:t>
      </w:r>
      <w:r w:rsidR="00F42DE9" w:rsidRPr="005C5C45">
        <w:t>5</w:t>
      </w:r>
      <w:r w:rsidRPr="005C5C45">
        <w:t xml:space="preserve"> stakeholders and released its findings.</w:t>
      </w:r>
      <w:r w:rsidRPr="005C5C45">
        <w:rPr>
          <w:rStyle w:val="EndnoteReference"/>
        </w:rPr>
        <w:endnoteReference w:id="88"/>
      </w:r>
      <w:r w:rsidRPr="005C5C45">
        <w:t xml:space="preserve"> </w:t>
      </w:r>
      <w:r w:rsidR="00F42DE9" w:rsidRPr="005C5C45">
        <w:t xml:space="preserve">Stakeholders included media industry representatives, analysts, financial organisations, academia, international organisations, </w:t>
      </w:r>
      <w:proofErr w:type="spellStart"/>
      <w:r w:rsidR="00F42DE9" w:rsidRPr="005C5C45">
        <w:t>iwi</w:t>
      </w:r>
      <w:proofErr w:type="spellEnd"/>
      <w:r w:rsidR="00F42DE9" w:rsidRPr="005C5C45">
        <w:t xml:space="preserve"> groups, social and community services groups, and professional network groups</w:t>
      </w:r>
      <w:r w:rsidR="009F3FC4" w:rsidRPr="005C5C45">
        <w:t>.</w:t>
      </w:r>
      <w:r w:rsidR="00B145C7" w:rsidRPr="005C5C45">
        <w:t xml:space="preserve"> The IRM researcher interviewed one participant who </w:t>
      </w:r>
      <w:r w:rsidR="00F552F6" w:rsidRPr="005C5C45">
        <w:t xml:space="preserve">felt that </w:t>
      </w:r>
      <w:r w:rsidR="0091720E">
        <w:t>‘</w:t>
      </w:r>
      <w:r w:rsidR="00F552F6" w:rsidRPr="005C5C45">
        <w:t>the report was very good</w:t>
      </w:r>
      <w:r w:rsidR="0091720E">
        <w:t>’.</w:t>
      </w:r>
      <w:r w:rsidR="00A13130" w:rsidRPr="005C5C45">
        <w:t xml:space="preserve"> The same participant also noted that the </w:t>
      </w:r>
      <w:r w:rsidR="00F552F6" w:rsidRPr="005C5C45">
        <w:t>Treasury wanted to improve engagement</w:t>
      </w:r>
      <w:r w:rsidR="00A13130" w:rsidRPr="005C5C45">
        <w:t xml:space="preserve">, which is why </w:t>
      </w:r>
      <w:r w:rsidR="00F552F6" w:rsidRPr="005C5C45">
        <w:t xml:space="preserve">they </w:t>
      </w:r>
      <w:r w:rsidR="00A13130" w:rsidRPr="005C5C45">
        <w:t>included it in</w:t>
      </w:r>
      <w:r w:rsidR="00F552F6" w:rsidRPr="005C5C45">
        <w:t xml:space="preserve"> the action plan.</w:t>
      </w:r>
      <w:r w:rsidR="00F552F6" w:rsidRPr="005C5C45">
        <w:rPr>
          <w:rStyle w:val="EndnoteReference"/>
        </w:rPr>
        <w:endnoteReference w:id="89"/>
      </w:r>
    </w:p>
    <w:p w14:paraId="36228DEC" w14:textId="7C521A7B" w:rsidR="00361BA6" w:rsidRPr="005C5C45" w:rsidRDefault="00361BA6" w:rsidP="003D3890">
      <w:pPr>
        <w:pStyle w:val="Normalrglronly"/>
      </w:pPr>
      <w:r w:rsidRPr="005C5C45">
        <w:t xml:space="preserve">The research identified shortcomings with the transparency of and engagement with the </w:t>
      </w:r>
      <w:r w:rsidR="007864C0">
        <w:t>b</w:t>
      </w:r>
      <w:r w:rsidRPr="005C5C45">
        <w:t xml:space="preserve">udget process and set out stakeholder and citizen-based recommendations for </w:t>
      </w:r>
      <w:r w:rsidR="007864C0">
        <w:t>b</w:t>
      </w:r>
      <w:r w:rsidRPr="005C5C45">
        <w:t xml:space="preserve">udget </w:t>
      </w:r>
      <w:r w:rsidRPr="005C5C45">
        <w:lastRenderedPageBreak/>
        <w:t xml:space="preserve">development and </w:t>
      </w:r>
      <w:r w:rsidR="007864C0">
        <w:t>b</w:t>
      </w:r>
      <w:r w:rsidRPr="005C5C45">
        <w:t xml:space="preserve">udget communication. </w:t>
      </w:r>
      <w:r w:rsidR="007D275D" w:rsidRPr="005C5C45">
        <w:t>The second and third commitment activities</w:t>
      </w:r>
      <w:r w:rsidRPr="005C5C45">
        <w:t xml:space="preserve"> were on </w:t>
      </w:r>
      <w:r w:rsidR="00715C26" w:rsidRPr="005C5C45">
        <w:t>track</w:t>
      </w:r>
      <w:r w:rsidRPr="005C5C45">
        <w:t xml:space="preserve">, with three </w:t>
      </w:r>
      <w:r w:rsidR="0091720E">
        <w:t>‘</w:t>
      </w:r>
      <w:r w:rsidRPr="005C5C45">
        <w:t>May 2017 Budget At-a-Glance</w:t>
      </w:r>
      <w:r w:rsidR="0091720E">
        <w:t>’</w:t>
      </w:r>
      <w:r w:rsidRPr="005C5C45">
        <w:t xml:space="preserve"> documents published, covering an overview of all </w:t>
      </w:r>
      <w:r w:rsidR="007864C0">
        <w:t>b</w:t>
      </w:r>
      <w:r w:rsidRPr="005C5C45">
        <w:t xml:space="preserve">udget information, government’s capital investment and a </w:t>
      </w:r>
      <w:r w:rsidRPr="005C5C45">
        <w:rPr>
          <w:shd w:val="clear" w:color="auto" w:fill="FFFFFF"/>
        </w:rPr>
        <w:t xml:space="preserve">summary of the </w:t>
      </w:r>
      <w:r w:rsidR="00415346">
        <w:rPr>
          <w:shd w:val="clear" w:color="auto" w:fill="FFFFFF"/>
        </w:rPr>
        <w:t>‘</w:t>
      </w:r>
      <w:r w:rsidRPr="005C5C45">
        <w:rPr>
          <w:shd w:val="clear" w:color="auto" w:fill="FFFFFF"/>
        </w:rPr>
        <w:t>Family Incomes Package</w:t>
      </w:r>
      <w:r w:rsidR="00415346">
        <w:rPr>
          <w:shd w:val="clear" w:color="auto" w:fill="FFFFFF"/>
        </w:rPr>
        <w:t>’.</w:t>
      </w:r>
      <w:r w:rsidRPr="005C5C45">
        <w:rPr>
          <w:rStyle w:val="EndnoteReference"/>
        </w:rPr>
        <w:endnoteReference w:id="90"/>
      </w:r>
      <w:r w:rsidRPr="005C5C45">
        <w:t xml:space="preserve"> </w:t>
      </w:r>
      <w:r w:rsidR="00614F37" w:rsidRPr="005C5C45">
        <w:t>These documents</w:t>
      </w:r>
      <w:r w:rsidR="006D378B" w:rsidRPr="005C5C45">
        <w:t xml:space="preserve"> were written in plain English and supplemented the traditional budget publications. </w:t>
      </w:r>
      <w:r w:rsidRPr="005C5C45">
        <w:t xml:space="preserve">Budget 2017 documents, interactive charts and features were made available on a separate budget website, </w:t>
      </w:r>
      <w:hyperlink r:id="rId30" w:history="1">
        <w:r w:rsidRPr="005C5C45">
          <w:t>www.budget.govt.nz</w:t>
        </w:r>
      </w:hyperlink>
      <w:r w:rsidRPr="005C5C45">
        <w:t>, which was optimised for mobile and tablet devices.</w:t>
      </w:r>
      <w:r w:rsidRPr="005C5C45">
        <w:rPr>
          <w:rStyle w:val="EndnoteReference"/>
        </w:rPr>
        <w:endnoteReference w:id="91"/>
      </w:r>
      <w:r w:rsidR="001977BC" w:rsidRPr="005C5C45">
        <w:t xml:space="preserve"> </w:t>
      </w:r>
      <w:r w:rsidR="002E35BF" w:rsidRPr="005C5C45">
        <w:t>W</w:t>
      </w:r>
      <w:r w:rsidRPr="005C5C45">
        <w:t xml:space="preserve">ork </w:t>
      </w:r>
      <w:r w:rsidR="002E35BF" w:rsidRPr="005C5C45">
        <w:t xml:space="preserve">on the fourth commitment activity </w:t>
      </w:r>
      <w:r w:rsidRPr="005C5C45">
        <w:t xml:space="preserve">to see how </w:t>
      </w:r>
      <w:r w:rsidR="002E35BF" w:rsidRPr="005C5C45">
        <w:t>other agencies</w:t>
      </w:r>
      <w:r w:rsidRPr="005C5C45">
        <w:t xml:space="preserve"> present their </w:t>
      </w:r>
      <w:r w:rsidR="007864C0">
        <w:t>b</w:t>
      </w:r>
      <w:r w:rsidRPr="005C5C45">
        <w:t>udget data and documents</w:t>
      </w:r>
      <w:r w:rsidR="002E35BF" w:rsidRPr="005C5C45">
        <w:t xml:space="preserve"> </w:t>
      </w:r>
      <w:proofErr w:type="gramStart"/>
      <w:r w:rsidR="002E35BF" w:rsidRPr="005C5C45">
        <w:t>is</w:t>
      </w:r>
      <w:proofErr w:type="gramEnd"/>
      <w:r w:rsidR="002E35BF" w:rsidRPr="005C5C45">
        <w:t xml:space="preserve"> at an exploratory stage</w:t>
      </w:r>
      <w:r w:rsidRPr="005C5C45">
        <w:t>.</w:t>
      </w:r>
      <w:r w:rsidR="009E1AD4" w:rsidRPr="005C5C45">
        <w:t xml:space="preserve"> </w:t>
      </w:r>
      <w:r w:rsidR="006F2610" w:rsidRPr="005C5C45">
        <w:t xml:space="preserve">Even though </w:t>
      </w:r>
      <w:r w:rsidR="009E1AD4" w:rsidRPr="005C5C45">
        <w:t xml:space="preserve">this work is still at an exploratory stage and more work needs to be done, the IRM researcher considers </w:t>
      </w:r>
      <w:r w:rsidR="006F2610" w:rsidRPr="005C5C45">
        <w:t xml:space="preserve">the overall </w:t>
      </w:r>
      <w:r w:rsidR="009E1AD4" w:rsidRPr="005C5C45">
        <w:t xml:space="preserve">completion </w:t>
      </w:r>
      <w:r w:rsidR="006F2610" w:rsidRPr="005C5C45">
        <w:t xml:space="preserve">of this commitment </w:t>
      </w:r>
      <w:r w:rsidR="009E1AD4" w:rsidRPr="005C5C45">
        <w:t xml:space="preserve">to be </w:t>
      </w:r>
      <w:r w:rsidR="006F2610" w:rsidRPr="005C5C45">
        <w:t>substantial</w:t>
      </w:r>
      <w:r w:rsidR="009E1AD4" w:rsidRPr="005C5C45">
        <w:t xml:space="preserve">. </w:t>
      </w:r>
    </w:p>
    <w:p w14:paraId="66AB5CA4" w14:textId="77777777" w:rsidR="00EA2F88" w:rsidRPr="005C5C45" w:rsidRDefault="00EA2F88" w:rsidP="00A16DF3">
      <w:pPr>
        <w:pStyle w:val="Heading3"/>
      </w:pPr>
      <w:r w:rsidRPr="005C5C45">
        <w:t>Early Results (if any)</w:t>
      </w:r>
    </w:p>
    <w:p w14:paraId="570DEB79" w14:textId="209D7E82" w:rsidR="00EA2F88" w:rsidRPr="005C5C45" w:rsidRDefault="00EA2F88" w:rsidP="00DA496D">
      <w:pPr>
        <w:pStyle w:val="Normalrglronly"/>
        <w:rPr>
          <w:lang w:eastAsia="en-NZ"/>
        </w:rPr>
      </w:pPr>
      <w:r w:rsidRPr="005C5C45">
        <w:t xml:space="preserve">Budget </w:t>
      </w:r>
      <w:r w:rsidR="00C84722" w:rsidRPr="005C5C45">
        <w:t xml:space="preserve">2017 </w:t>
      </w:r>
      <w:r w:rsidRPr="005C5C45">
        <w:t xml:space="preserve">data users interviewed by the IRM researcher applauded the data-related work to date, commenting that the data was useful, usable and used. A media data scientist </w:t>
      </w:r>
      <w:r w:rsidR="00482F36" w:rsidRPr="005C5C45">
        <w:t xml:space="preserve">used this data to present visualisations of the </w:t>
      </w:r>
      <w:r w:rsidR="007864C0">
        <w:t>b</w:t>
      </w:r>
      <w:r w:rsidR="00482F36" w:rsidRPr="005C5C45">
        <w:t>udget</w:t>
      </w:r>
      <w:r w:rsidR="00482F36" w:rsidRPr="005C5C45">
        <w:rPr>
          <w:rStyle w:val="EndnoteReference"/>
        </w:rPr>
        <w:endnoteReference w:id="92"/>
      </w:r>
      <w:r w:rsidR="00482F36" w:rsidRPr="005C5C45">
        <w:t xml:space="preserve"> and </w:t>
      </w:r>
      <w:r w:rsidRPr="005C5C45">
        <w:t>was pleased to</w:t>
      </w:r>
      <w:r w:rsidRPr="005C5C45">
        <w:rPr>
          <w:lang w:eastAsia="en-NZ"/>
        </w:rPr>
        <w:t xml:space="preserve"> get </w:t>
      </w:r>
      <w:r w:rsidR="00415346">
        <w:rPr>
          <w:lang w:eastAsia="en-NZ"/>
        </w:rPr>
        <w:t>‘</w:t>
      </w:r>
      <w:proofErr w:type="spellStart"/>
      <w:r w:rsidRPr="005C5C45">
        <w:rPr>
          <w:lang w:eastAsia="en-NZ"/>
        </w:rPr>
        <w:t>xls</w:t>
      </w:r>
      <w:proofErr w:type="spellEnd"/>
      <w:r w:rsidRPr="005C5C45">
        <w:rPr>
          <w:lang w:eastAsia="en-NZ"/>
        </w:rPr>
        <w:t xml:space="preserve"> </w:t>
      </w:r>
      <w:proofErr w:type="spellStart"/>
      <w:r w:rsidRPr="005C5C45">
        <w:rPr>
          <w:lang w:eastAsia="en-NZ"/>
        </w:rPr>
        <w:t>spreadsheets</w:t>
      </w:r>
      <w:proofErr w:type="spellEnd"/>
      <w:r w:rsidRPr="005C5C45">
        <w:rPr>
          <w:lang w:eastAsia="en-NZ"/>
        </w:rPr>
        <w:t xml:space="preserve">, which are well formulated, and export them to </w:t>
      </w:r>
      <w:proofErr w:type="spellStart"/>
      <w:r w:rsidRPr="005C5C45">
        <w:rPr>
          <w:lang w:eastAsia="en-NZ"/>
        </w:rPr>
        <w:t>csv</w:t>
      </w:r>
      <w:proofErr w:type="spellEnd"/>
      <w:r w:rsidRPr="005C5C45">
        <w:rPr>
          <w:lang w:eastAsia="en-NZ"/>
        </w:rPr>
        <w:t xml:space="preserve"> format</w:t>
      </w:r>
      <w:r w:rsidR="00415346">
        <w:rPr>
          <w:lang w:eastAsia="en-NZ"/>
        </w:rPr>
        <w:t>’.</w:t>
      </w:r>
      <w:r w:rsidR="00482F36" w:rsidRPr="005C5C45">
        <w:rPr>
          <w:lang w:eastAsia="en-NZ"/>
        </w:rPr>
        <w:t xml:space="preserve"> He noted</w:t>
      </w:r>
      <w:r w:rsidRPr="005C5C45">
        <w:rPr>
          <w:lang w:eastAsia="en-NZ"/>
        </w:rPr>
        <w:t xml:space="preserve"> that </w:t>
      </w:r>
      <w:r w:rsidR="00415346">
        <w:rPr>
          <w:lang w:eastAsia="en-NZ"/>
        </w:rPr>
        <w:t>‘</w:t>
      </w:r>
      <w:r w:rsidRPr="005C5C45">
        <w:t>t</w:t>
      </w:r>
      <w:r w:rsidRPr="005C5C45">
        <w:rPr>
          <w:lang w:eastAsia="en-NZ"/>
        </w:rPr>
        <w:t>his year’s data has retained the 2016 consistency, giving</w:t>
      </w:r>
      <w:r w:rsidR="00940426" w:rsidRPr="005C5C45">
        <w:rPr>
          <w:lang w:eastAsia="en-NZ"/>
        </w:rPr>
        <w:t xml:space="preserve"> five</w:t>
      </w:r>
      <w:r w:rsidRPr="005C5C45">
        <w:rPr>
          <w:lang w:eastAsia="en-NZ"/>
        </w:rPr>
        <w:t xml:space="preserve"> years in the same format, so they are internally consistent</w:t>
      </w:r>
      <w:r w:rsidR="00415346">
        <w:rPr>
          <w:lang w:eastAsia="en-NZ"/>
        </w:rPr>
        <w:t>’.</w:t>
      </w:r>
      <w:r w:rsidRPr="005C5C45">
        <w:rPr>
          <w:rStyle w:val="EndnoteReference"/>
        </w:rPr>
        <w:endnoteReference w:id="93"/>
      </w:r>
      <w:r w:rsidR="00482F36" w:rsidRPr="005C5C45">
        <w:rPr>
          <w:lang w:eastAsia="en-NZ"/>
        </w:rPr>
        <w:t xml:space="preserve"> Other use included visualisations by researchers at Victoria University of Wellington and the N</w:t>
      </w:r>
      <w:r w:rsidR="00B10756" w:rsidRPr="005C5C45">
        <w:rPr>
          <w:lang w:eastAsia="en-NZ"/>
        </w:rPr>
        <w:t xml:space="preserve">ew </w:t>
      </w:r>
      <w:r w:rsidR="00482F36" w:rsidRPr="005C5C45">
        <w:rPr>
          <w:lang w:eastAsia="en-NZ"/>
        </w:rPr>
        <w:t>Z</w:t>
      </w:r>
      <w:r w:rsidR="00B10756" w:rsidRPr="005C5C45">
        <w:rPr>
          <w:lang w:eastAsia="en-NZ"/>
        </w:rPr>
        <w:t>ealand</w:t>
      </w:r>
      <w:r w:rsidR="00482F36" w:rsidRPr="005C5C45">
        <w:rPr>
          <w:lang w:eastAsia="en-NZ"/>
        </w:rPr>
        <w:t xml:space="preserve"> Institute of Economic Research.</w:t>
      </w:r>
      <w:r w:rsidR="00482F36" w:rsidRPr="005C5C45">
        <w:rPr>
          <w:rStyle w:val="EndnoteReference"/>
          <w:lang w:eastAsia="en-NZ"/>
        </w:rPr>
        <w:endnoteReference w:id="94"/>
      </w:r>
    </w:p>
    <w:p w14:paraId="4C0F7060" w14:textId="50F837A1" w:rsidR="00EA2F88" w:rsidRPr="005C5C45" w:rsidRDefault="00482F36" w:rsidP="00DA496D">
      <w:pPr>
        <w:pStyle w:val="Normalrglronly"/>
        <w:rPr>
          <w:lang w:eastAsia="en-NZ"/>
        </w:rPr>
      </w:pPr>
      <w:r w:rsidRPr="005C5C45">
        <w:rPr>
          <w:lang w:eastAsia="en-NZ"/>
        </w:rPr>
        <w:t>The Budget 2017 data</w:t>
      </w:r>
      <w:r w:rsidR="007864C0">
        <w:rPr>
          <w:lang w:eastAsia="en-NZ"/>
        </w:rPr>
        <w:t>-</w:t>
      </w:r>
      <w:r w:rsidRPr="005C5C45">
        <w:rPr>
          <w:lang w:eastAsia="en-NZ"/>
        </w:rPr>
        <w:t>u</w:t>
      </w:r>
      <w:r w:rsidR="00166200" w:rsidRPr="005C5C45">
        <w:rPr>
          <w:lang w:eastAsia="en-NZ"/>
        </w:rPr>
        <w:t>sers want</w:t>
      </w:r>
      <w:r w:rsidR="007A429A" w:rsidRPr="005C5C45">
        <w:rPr>
          <w:lang w:eastAsia="en-NZ"/>
        </w:rPr>
        <w:t xml:space="preserve"> improvements in the 2018</w:t>
      </w:r>
      <w:r w:rsidR="00AC04C3" w:rsidRPr="005C5C45">
        <w:rPr>
          <w:lang w:eastAsia="en-NZ"/>
        </w:rPr>
        <w:t xml:space="preserve"> B</w:t>
      </w:r>
      <w:r w:rsidR="00EA2F88" w:rsidRPr="005C5C45">
        <w:rPr>
          <w:lang w:eastAsia="en-NZ"/>
        </w:rPr>
        <w:t>udget</w:t>
      </w:r>
      <w:r w:rsidR="006F2610" w:rsidRPr="005C5C45">
        <w:rPr>
          <w:lang w:eastAsia="en-NZ"/>
        </w:rPr>
        <w:t xml:space="preserve"> and have noted the following priorities</w:t>
      </w:r>
      <w:r w:rsidR="007864C0">
        <w:rPr>
          <w:lang w:eastAsia="en-NZ"/>
        </w:rPr>
        <w:t>.</w:t>
      </w:r>
      <w:r w:rsidR="006F2610" w:rsidRPr="005C5C45">
        <w:rPr>
          <w:lang w:eastAsia="en-NZ"/>
        </w:rPr>
        <w:t xml:space="preserve"> </w:t>
      </w:r>
      <w:r w:rsidR="007864C0">
        <w:rPr>
          <w:lang w:eastAsia="en-NZ"/>
        </w:rPr>
        <w:t>F</w:t>
      </w:r>
      <w:r w:rsidR="006F2610" w:rsidRPr="005C5C45">
        <w:rPr>
          <w:lang w:eastAsia="en-NZ"/>
        </w:rPr>
        <w:t xml:space="preserve">irst, the government should provide information </w:t>
      </w:r>
      <w:r w:rsidR="00646996" w:rsidRPr="005C5C45">
        <w:rPr>
          <w:lang w:eastAsia="en-NZ"/>
        </w:rPr>
        <w:t xml:space="preserve">linking new </w:t>
      </w:r>
      <w:r w:rsidR="007864C0">
        <w:rPr>
          <w:lang w:eastAsia="en-NZ"/>
        </w:rPr>
        <w:t>b</w:t>
      </w:r>
      <w:r w:rsidR="00A25E9C" w:rsidRPr="005C5C45">
        <w:rPr>
          <w:lang w:eastAsia="en-NZ"/>
        </w:rPr>
        <w:t xml:space="preserve">udget </w:t>
      </w:r>
      <w:r w:rsidR="00646996" w:rsidRPr="005C5C45">
        <w:rPr>
          <w:lang w:eastAsia="en-NZ"/>
        </w:rPr>
        <w:t>appropriations with those they replace</w:t>
      </w:r>
      <w:r w:rsidR="006F2610" w:rsidRPr="005C5C45">
        <w:rPr>
          <w:lang w:eastAsia="en-NZ"/>
        </w:rPr>
        <w:t>. Second, there should be a clear distinction between raw data and summary data.</w:t>
      </w:r>
      <w:r w:rsidR="00A25E9C" w:rsidRPr="005C5C45">
        <w:rPr>
          <w:rStyle w:val="EndnoteReference"/>
          <w:lang w:eastAsia="en-NZ"/>
        </w:rPr>
        <w:endnoteReference w:id="95"/>
      </w:r>
      <w:r w:rsidR="006F2610" w:rsidRPr="005C5C45">
        <w:rPr>
          <w:lang w:eastAsia="en-NZ"/>
        </w:rPr>
        <w:t xml:space="preserve"> Additional end-user feedback has shown that some </w:t>
      </w:r>
      <w:r w:rsidR="00646996" w:rsidRPr="005C5C45">
        <w:rPr>
          <w:lang w:eastAsia="en-NZ"/>
        </w:rPr>
        <w:t xml:space="preserve">wanted </w:t>
      </w:r>
      <w:r w:rsidR="006F2610" w:rsidRPr="005C5C45">
        <w:rPr>
          <w:lang w:eastAsia="en-NZ"/>
        </w:rPr>
        <w:t xml:space="preserve">data </w:t>
      </w:r>
      <w:r w:rsidR="00646996" w:rsidRPr="005C5C45">
        <w:rPr>
          <w:lang w:eastAsia="en-NZ"/>
        </w:rPr>
        <w:t xml:space="preserve">converted </w:t>
      </w:r>
      <w:r w:rsidR="006F2610" w:rsidRPr="005C5C45">
        <w:rPr>
          <w:lang w:eastAsia="en-NZ"/>
        </w:rPr>
        <w:t xml:space="preserve">to </w:t>
      </w:r>
      <w:r w:rsidR="007864C0">
        <w:rPr>
          <w:lang w:eastAsia="en-NZ"/>
        </w:rPr>
        <w:t>.</w:t>
      </w:r>
      <w:proofErr w:type="spellStart"/>
      <w:r w:rsidR="006F2610" w:rsidRPr="005C5C45">
        <w:rPr>
          <w:lang w:eastAsia="en-NZ"/>
        </w:rPr>
        <w:t>csv</w:t>
      </w:r>
      <w:proofErr w:type="spellEnd"/>
      <w:r w:rsidR="006F2610" w:rsidRPr="005C5C45">
        <w:rPr>
          <w:lang w:eastAsia="en-NZ"/>
        </w:rPr>
        <w:t xml:space="preserve"> format</w:t>
      </w:r>
      <w:r w:rsidR="00646996" w:rsidRPr="005C5C45">
        <w:rPr>
          <w:lang w:eastAsia="en-NZ"/>
        </w:rPr>
        <w:t>, saying that it was a simple</w:t>
      </w:r>
      <w:r w:rsidR="006F2610" w:rsidRPr="005C5C45">
        <w:rPr>
          <w:lang w:eastAsia="en-NZ"/>
        </w:rPr>
        <w:t xml:space="preserve"> </w:t>
      </w:r>
      <w:r w:rsidR="00646996" w:rsidRPr="005C5C45">
        <w:rPr>
          <w:lang w:eastAsia="en-NZ"/>
        </w:rPr>
        <w:t xml:space="preserve">task. </w:t>
      </w:r>
      <w:r w:rsidR="00EA2F88" w:rsidRPr="005C5C45">
        <w:rPr>
          <w:lang w:eastAsia="en-NZ"/>
        </w:rPr>
        <w:t>Internet N</w:t>
      </w:r>
      <w:r w:rsidR="00B10756" w:rsidRPr="005C5C45">
        <w:rPr>
          <w:lang w:eastAsia="en-NZ"/>
        </w:rPr>
        <w:t xml:space="preserve">ew </w:t>
      </w:r>
      <w:r w:rsidR="00EA2F88" w:rsidRPr="005C5C45">
        <w:rPr>
          <w:lang w:eastAsia="en-NZ"/>
        </w:rPr>
        <w:t>Z</w:t>
      </w:r>
      <w:r w:rsidR="00B10756" w:rsidRPr="005C5C45">
        <w:rPr>
          <w:lang w:eastAsia="en-NZ"/>
        </w:rPr>
        <w:t>ealand</w:t>
      </w:r>
      <w:r w:rsidR="00EA2F88" w:rsidRPr="005C5C45">
        <w:rPr>
          <w:lang w:eastAsia="en-NZ"/>
        </w:rPr>
        <w:t xml:space="preserve"> noted the </w:t>
      </w:r>
      <w:r w:rsidR="00940426" w:rsidRPr="005C5C45">
        <w:rPr>
          <w:lang w:eastAsia="en-NZ"/>
        </w:rPr>
        <w:t>Reserve Bank of N</w:t>
      </w:r>
      <w:r w:rsidR="00B10756" w:rsidRPr="005C5C45">
        <w:rPr>
          <w:lang w:eastAsia="en-NZ"/>
        </w:rPr>
        <w:t xml:space="preserve">ew </w:t>
      </w:r>
      <w:r w:rsidR="00940426" w:rsidRPr="005C5C45">
        <w:rPr>
          <w:lang w:eastAsia="en-NZ"/>
        </w:rPr>
        <w:t>Z</w:t>
      </w:r>
      <w:r w:rsidR="00B10756" w:rsidRPr="005C5C45">
        <w:rPr>
          <w:lang w:eastAsia="en-NZ"/>
        </w:rPr>
        <w:t>ealand</w:t>
      </w:r>
      <w:r w:rsidR="00940426" w:rsidRPr="005C5C45">
        <w:rPr>
          <w:color w:val="333333"/>
          <w:sz w:val="21"/>
          <w:szCs w:val="21"/>
          <w:shd w:val="clear" w:color="auto" w:fill="FFFFFF"/>
        </w:rPr>
        <w:t xml:space="preserve"> </w:t>
      </w:r>
      <w:r w:rsidR="00166200" w:rsidRPr="005C5C45">
        <w:rPr>
          <w:lang w:eastAsia="en-NZ"/>
        </w:rPr>
        <w:t>made</w:t>
      </w:r>
      <w:r w:rsidR="00EA2F88" w:rsidRPr="005C5C45">
        <w:rPr>
          <w:lang w:eastAsia="en-NZ"/>
        </w:rPr>
        <w:t xml:space="preserve"> changes to some data </w:t>
      </w:r>
      <w:r w:rsidR="00166200" w:rsidRPr="005C5C45">
        <w:rPr>
          <w:lang w:eastAsia="en-NZ"/>
        </w:rPr>
        <w:t xml:space="preserve">in August 2017 </w:t>
      </w:r>
      <w:r w:rsidR="00EA2F88" w:rsidRPr="005C5C45">
        <w:rPr>
          <w:lang w:eastAsia="en-NZ"/>
        </w:rPr>
        <w:t>to make it easier for data users to transform the file into other ‘machine friendly’ formats such as .</w:t>
      </w:r>
      <w:proofErr w:type="spellStart"/>
      <w:r w:rsidR="00EA2F88" w:rsidRPr="005C5C45">
        <w:rPr>
          <w:lang w:eastAsia="en-NZ"/>
        </w:rPr>
        <w:t>csv</w:t>
      </w:r>
      <w:proofErr w:type="spellEnd"/>
      <w:r w:rsidR="007A429A" w:rsidRPr="005C5C45">
        <w:rPr>
          <w:lang w:eastAsia="en-NZ"/>
        </w:rPr>
        <w:t>,</w:t>
      </w:r>
      <w:r w:rsidR="00EA2F88" w:rsidRPr="005C5C45">
        <w:rPr>
          <w:rStyle w:val="EndnoteReference"/>
          <w:rFonts w:ascii="Arial" w:eastAsia="Times New Roman" w:hAnsi="Arial" w:cs="Arial"/>
          <w:bCs w:val="0"/>
          <w:color w:val="000000"/>
          <w:lang w:eastAsia="en-NZ"/>
        </w:rPr>
        <w:endnoteReference w:id="96"/>
      </w:r>
      <w:r w:rsidR="007A429A" w:rsidRPr="005C5C45">
        <w:rPr>
          <w:lang w:eastAsia="en-NZ"/>
        </w:rPr>
        <w:t xml:space="preserve"> implying that the Treasury could do likewise.</w:t>
      </w:r>
    </w:p>
    <w:p w14:paraId="0756F08A" w14:textId="011917DA" w:rsidR="00EA2F88" w:rsidRPr="005C5C45" w:rsidRDefault="00EA2F88" w:rsidP="006C6328">
      <w:pPr>
        <w:pStyle w:val="Normalrglronly"/>
        <w:rPr>
          <w:lang w:eastAsia="en-NZ"/>
        </w:rPr>
      </w:pPr>
      <w:r w:rsidRPr="005C5C45">
        <w:rPr>
          <w:lang w:eastAsia="en-NZ"/>
        </w:rPr>
        <w:t xml:space="preserve">The three </w:t>
      </w:r>
      <w:r w:rsidR="00415346">
        <w:rPr>
          <w:lang w:eastAsia="en-NZ"/>
        </w:rPr>
        <w:t>‘</w:t>
      </w:r>
      <w:r w:rsidRPr="005C5C45">
        <w:rPr>
          <w:lang w:eastAsia="en-NZ"/>
        </w:rPr>
        <w:t>Budget at a Glance</w:t>
      </w:r>
      <w:r w:rsidR="00415346">
        <w:rPr>
          <w:lang w:eastAsia="en-NZ"/>
        </w:rPr>
        <w:t>’</w:t>
      </w:r>
      <w:r w:rsidRPr="005C5C45">
        <w:rPr>
          <w:lang w:eastAsia="en-NZ"/>
        </w:rPr>
        <w:t xml:space="preserve"> document</w:t>
      </w:r>
      <w:r w:rsidR="00FF77CD" w:rsidRPr="005C5C45">
        <w:rPr>
          <w:lang w:eastAsia="en-NZ"/>
        </w:rPr>
        <w:t xml:space="preserve">s had not yet been used </w:t>
      </w:r>
      <w:r w:rsidR="00166200" w:rsidRPr="005C5C45">
        <w:rPr>
          <w:lang w:eastAsia="en-NZ"/>
        </w:rPr>
        <w:t>by the stakeholders interviewed</w:t>
      </w:r>
      <w:r w:rsidRPr="005C5C45">
        <w:rPr>
          <w:lang w:eastAsia="en-NZ"/>
        </w:rPr>
        <w:t xml:space="preserve">, probably due to </w:t>
      </w:r>
      <w:r w:rsidR="007A429A" w:rsidRPr="005C5C45">
        <w:rPr>
          <w:lang w:eastAsia="en-NZ"/>
        </w:rPr>
        <w:t>their focus on</w:t>
      </w:r>
      <w:r w:rsidRPr="005C5C45">
        <w:rPr>
          <w:lang w:eastAsia="en-NZ"/>
        </w:rPr>
        <w:t xml:space="preserve"> </w:t>
      </w:r>
      <w:r w:rsidR="003811C4" w:rsidRPr="005C5C45">
        <w:rPr>
          <w:lang w:eastAsia="en-NZ"/>
        </w:rPr>
        <w:t>N</w:t>
      </w:r>
      <w:r w:rsidR="00B10756" w:rsidRPr="005C5C45">
        <w:rPr>
          <w:lang w:eastAsia="en-NZ"/>
        </w:rPr>
        <w:t xml:space="preserve">ew </w:t>
      </w:r>
      <w:r w:rsidR="003811C4" w:rsidRPr="005C5C45">
        <w:rPr>
          <w:lang w:eastAsia="en-NZ"/>
        </w:rPr>
        <w:t>Z</w:t>
      </w:r>
      <w:r w:rsidR="00B10756" w:rsidRPr="005C5C45">
        <w:rPr>
          <w:lang w:eastAsia="en-NZ"/>
        </w:rPr>
        <w:t>ealand</w:t>
      </w:r>
      <w:r w:rsidRPr="005C5C45">
        <w:rPr>
          <w:lang w:eastAsia="en-NZ"/>
        </w:rPr>
        <w:t xml:space="preserve">’s 23 September 2017 </w:t>
      </w:r>
      <w:r w:rsidR="00FF77CD" w:rsidRPr="005C5C45">
        <w:rPr>
          <w:lang w:eastAsia="en-NZ"/>
        </w:rPr>
        <w:t xml:space="preserve">general </w:t>
      </w:r>
      <w:r w:rsidRPr="005C5C45">
        <w:rPr>
          <w:lang w:eastAsia="en-NZ"/>
        </w:rPr>
        <w:t>election and the shor</w:t>
      </w:r>
      <w:r w:rsidR="00AC04C3" w:rsidRPr="005C5C45">
        <w:rPr>
          <w:lang w:eastAsia="en-NZ"/>
        </w:rPr>
        <w:t>t period since the 25 May 2017 B</w:t>
      </w:r>
      <w:r w:rsidRPr="005C5C45">
        <w:rPr>
          <w:lang w:eastAsia="en-NZ"/>
        </w:rPr>
        <w:t xml:space="preserve">udget. </w:t>
      </w:r>
      <w:r w:rsidR="007A429A" w:rsidRPr="005C5C45">
        <w:rPr>
          <w:lang w:eastAsia="en-NZ"/>
        </w:rPr>
        <w:t>Stakeholders supported</w:t>
      </w:r>
      <w:r w:rsidRPr="005C5C45">
        <w:rPr>
          <w:lang w:eastAsia="en-NZ"/>
        </w:rPr>
        <w:t xml:space="preserve"> </w:t>
      </w:r>
      <w:r w:rsidR="0014037A" w:rsidRPr="005C5C45">
        <w:rPr>
          <w:lang w:eastAsia="en-NZ"/>
        </w:rPr>
        <w:t xml:space="preserve">continued publication of </w:t>
      </w:r>
      <w:r w:rsidR="007A429A" w:rsidRPr="005C5C45">
        <w:rPr>
          <w:lang w:eastAsia="en-NZ"/>
        </w:rPr>
        <w:t xml:space="preserve">these documents noting they </w:t>
      </w:r>
      <w:r w:rsidRPr="005C5C45">
        <w:rPr>
          <w:lang w:eastAsia="en-NZ"/>
        </w:rPr>
        <w:t xml:space="preserve">were likely to engage more members of the public. </w:t>
      </w:r>
    </w:p>
    <w:p w14:paraId="2D56938F" w14:textId="77777777" w:rsidR="00EA2F88" w:rsidRPr="005C5C45" w:rsidRDefault="00EA2F88" w:rsidP="00B7031D">
      <w:pPr>
        <w:pStyle w:val="Heading3"/>
      </w:pPr>
      <w:r w:rsidRPr="005C5C45">
        <w:t>Next Steps</w:t>
      </w:r>
    </w:p>
    <w:p w14:paraId="6D679BFB" w14:textId="77777777" w:rsidR="008510E0" w:rsidRPr="005C5C45" w:rsidRDefault="005F383A" w:rsidP="006C6328">
      <w:pPr>
        <w:pStyle w:val="Normalrglronly"/>
      </w:pPr>
      <w:r w:rsidRPr="005C5C45">
        <w:t xml:space="preserve">The commitment activities focused on getting stakeholder feedback </w:t>
      </w:r>
      <w:r w:rsidR="00CA1DC7" w:rsidRPr="005C5C45">
        <w:t>and determining</w:t>
      </w:r>
      <w:r w:rsidRPr="005C5C45">
        <w:t xml:space="preserve"> </w:t>
      </w:r>
      <w:r w:rsidRPr="005C5C45">
        <w:rPr>
          <w:i/>
        </w:rPr>
        <w:t xml:space="preserve">how </w:t>
      </w:r>
      <w:r w:rsidRPr="005C5C45">
        <w:t>stakeholders would like the Budget process to be more accessible. But as the IRM researcher noted, the key recommendation from OBS was on increasing citizen participation in each stage of the budget process. For this action plan cycle, t</w:t>
      </w:r>
      <w:r w:rsidR="00EA2F88" w:rsidRPr="005C5C45">
        <w:t xml:space="preserve">he IRM researcher recommends that this commitment </w:t>
      </w:r>
      <w:proofErr w:type="gramStart"/>
      <w:r w:rsidR="00EA2F88" w:rsidRPr="005C5C45">
        <w:t>is</w:t>
      </w:r>
      <w:proofErr w:type="gramEnd"/>
      <w:r w:rsidR="00EA2F88" w:rsidRPr="005C5C45">
        <w:t xml:space="preserve"> completed in the remaining period of the action plan</w:t>
      </w:r>
      <w:r w:rsidRPr="005C5C45">
        <w:t>.</w:t>
      </w:r>
      <w:r w:rsidR="00EA2F88" w:rsidRPr="005C5C45">
        <w:t xml:space="preserve"> </w:t>
      </w:r>
    </w:p>
    <w:p w14:paraId="3AD7CD84" w14:textId="77777777" w:rsidR="008510E0" w:rsidRPr="005C5C45" w:rsidRDefault="008510E0" w:rsidP="006C6328">
      <w:pPr>
        <w:pStyle w:val="Normalrglronly"/>
      </w:pPr>
      <w:r w:rsidRPr="005C5C45">
        <w:t>For the next action plan, the IRM researcher recommends the following:</w:t>
      </w:r>
    </w:p>
    <w:p w14:paraId="03F418FF" w14:textId="7BD4605D" w:rsidR="00EA2F88" w:rsidRPr="005C5C45" w:rsidRDefault="007E0CF4" w:rsidP="006C6328">
      <w:pPr>
        <w:pStyle w:val="Normalrglronly"/>
        <w:numPr>
          <w:ilvl w:val="0"/>
          <w:numId w:val="51"/>
        </w:numPr>
      </w:pPr>
      <w:r w:rsidRPr="005C5C45">
        <w:t>To</w:t>
      </w:r>
      <w:r w:rsidR="008510E0" w:rsidRPr="005C5C45">
        <w:t xml:space="preserve"> improv</w:t>
      </w:r>
      <w:r w:rsidRPr="005C5C45">
        <w:t>e</w:t>
      </w:r>
      <w:r w:rsidR="008510E0" w:rsidRPr="005C5C45">
        <w:t xml:space="preserve"> access to </w:t>
      </w:r>
      <w:r w:rsidR="00664FCB">
        <w:t>b</w:t>
      </w:r>
      <w:r w:rsidR="008510E0" w:rsidRPr="005C5C45">
        <w:t>udget information:</w:t>
      </w:r>
      <w:r w:rsidR="006C6328" w:rsidRPr="005C5C45">
        <w:t xml:space="preserve"> </w:t>
      </w:r>
      <w:r w:rsidR="00EA2F88" w:rsidRPr="005C5C45">
        <w:t xml:space="preserve">set </w:t>
      </w:r>
      <w:r w:rsidR="00017016" w:rsidRPr="005C5C45">
        <w:t>standards</w:t>
      </w:r>
      <w:r w:rsidR="00EA2F88" w:rsidRPr="005C5C45">
        <w:t>, such as using internationally comparable data c</w:t>
      </w:r>
      <w:r w:rsidR="009B6845" w:rsidRPr="005C5C45">
        <w:t>lassification</w:t>
      </w:r>
      <w:r w:rsidR="006C6328" w:rsidRPr="005C5C45">
        <w:t xml:space="preserve">s; </w:t>
      </w:r>
      <w:r w:rsidR="009B6845" w:rsidRPr="005C5C45">
        <w:t>keep</w:t>
      </w:r>
      <w:r w:rsidR="007A429A" w:rsidRPr="005C5C45">
        <w:t xml:space="preserve"> raw</w:t>
      </w:r>
      <w:r w:rsidR="00EA2F88" w:rsidRPr="005C5C45">
        <w:t xml:space="preserve"> data consistent over future years</w:t>
      </w:r>
      <w:r w:rsidR="006C6328" w:rsidRPr="005C5C45">
        <w:t xml:space="preserve">; </w:t>
      </w:r>
      <w:r w:rsidR="009B6845" w:rsidRPr="005C5C45">
        <w:t>continue</w:t>
      </w:r>
      <w:r w:rsidR="00EA2F88" w:rsidRPr="005C5C45">
        <w:t xml:space="preserve"> to publish reada</w:t>
      </w:r>
      <w:r w:rsidR="0014037A" w:rsidRPr="005C5C45">
        <w:t>ble versions of the budget</w:t>
      </w:r>
      <w:r w:rsidR="006C6328" w:rsidRPr="005C5C45">
        <w:t>;</w:t>
      </w:r>
      <w:r w:rsidR="009B6845" w:rsidRPr="005C5C45">
        <w:t xml:space="preserve"> trial</w:t>
      </w:r>
      <w:r w:rsidR="00EA2F88" w:rsidRPr="005C5C45">
        <w:t xml:space="preserve"> a process to include citizens in the formation of the budget</w:t>
      </w:r>
      <w:proofErr w:type="gramStart"/>
      <w:r w:rsidR="006C6328" w:rsidRPr="005C5C45">
        <w:t>;</w:t>
      </w:r>
      <w:proofErr w:type="gramEnd"/>
      <w:r w:rsidR="009B6845" w:rsidRPr="005C5C45">
        <w:t xml:space="preserve"> and move</w:t>
      </w:r>
      <w:r w:rsidR="007A429A" w:rsidRPr="005C5C45">
        <w:t xml:space="preserve"> towa</w:t>
      </w:r>
      <w:r w:rsidR="00AC04C3" w:rsidRPr="005C5C45">
        <w:t xml:space="preserve">rds a participatory </w:t>
      </w:r>
      <w:r w:rsidR="00664FCB">
        <w:t>b</w:t>
      </w:r>
      <w:r w:rsidR="007A429A" w:rsidRPr="005C5C45">
        <w:t>udget</w:t>
      </w:r>
      <w:r w:rsidR="00EA2F88" w:rsidRPr="005C5C45">
        <w:t>.</w:t>
      </w:r>
    </w:p>
    <w:p w14:paraId="466FB286" w14:textId="5B5E57A9" w:rsidR="008510E0" w:rsidRPr="005C5C45" w:rsidRDefault="007E0CF4" w:rsidP="006F2610">
      <w:pPr>
        <w:pStyle w:val="Normalrglronly"/>
        <w:numPr>
          <w:ilvl w:val="0"/>
          <w:numId w:val="51"/>
        </w:numPr>
      </w:pPr>
      <w:r w:rsidRPr="005C5C45">
        <w:t>To</w:t>
      </w:r>
      <w:r w:rsidR="008510E0" w:rsidRPr="005C5C45">
        <w:t xml:space="preserve"> increas</w:t>
      </w:r>
      <w:r w:rsidRPr="005C5C45">
        <w:t>e</w:t>
      </w:r>
      <w:r w:rsidR="008510E0" w:rsidRPr="005C5C45">
        <w:t xml:space="preserve"> citizen participation in the budget process:</w:t>
      </w:r>
      <w:r w:rsidR="00A97137" w:rsidRPr="005C5C45">
        <w:t xml:space="preserve"> </w:t>
      </w:r>
      <w:r w:rsidR="006C6328" w:rsidRPr="005C5C45">
        <w:t>t</w:t>
      </w:r>
      <w:r w:rsidR="00A97137" w:rsidRPr="005C5C45">
        <w:t>he National Council of Women N</w:t>
      </w:r>
      <w:r w:rsidR="00B10756" w:rsidRPr="005C5C45">
        <w:t xml:space="preserve">ew </w:t>
      </w:r>
      <w:r w:rsidR="00A97137" w:rsidRPr="005C5C45">
        <w:t>Z</w:t>
      </w:r>
      <w:r w:rsidR="00B10756" w:rsidRPr="005C5C45">
        <w:t>ealand</w:t>
      </w:r>
      <w:r w:rsidR="00A97137" w:rsidRPr="005C5C45">
        <w:t xml:space="preserve"> recommended wide community consultation and communication </w:t>
      </w:r>
      <w:r w:rsidRPr="005C5C45">
        <w:t xml:space="preserve">about this commitment </w:t>
      </w:r>
      <w:r w:rsidR="00A97137" w:rsidRPr="005C5C45">
        <w:t>using channels accessible to the public</w:t>
      </w:r>
      <w:r w:rsidRPr="005C5C45">
        <w:t>.</w:t>
      </w:r>
    </w:p>
    <w:p w14:paraId="462087E2" w14:textId="77777777" w:rsidR="008510E0" w:rsidRPr="005C5C45" w:rsidRDefault="008510E0" w:rsidP="00F86CE3">
      <w:pPr>
        <w:sectPr w:rsidR="008510E0" w:rsidRPr="005C5C45" w:rsidSect="0002581F">
          <w:endnotePr>
            <w:numFmt w:val="decimal"/>
            <w:numRestart w:val="eachSect"/>
          </w:endnotePr>
          <w:pgSz w:w="11900" w:h="16840" w:code="9"/>
          <w:pgMar w:top="1440" w:right="1800" w:bottom="1440" w:left="1800" w:header="720" w:footer="720" w:gutter="0"/>
          <w:cols w:space="720"/>
          <w:docGrid w:linePitch="360"/>
        </w:sectPr>
      </w:pPr>
    </w:p>
    <w:p w14:paraId="6909D4B2" w14:textId="77777777" w:rsidR="00EA2F88" w:rsidRPr="005C5C45" w:rsidRDefault="00EA2F88" w:rsidP="008F6D7B">
      <w:pPr>
        <w:pStyle w:val="Heading2"/>
      </w:pPr>
      <w:bookmarkStart w:id="22" w:name="_Toc377998810"/>
      <w:r w:rsidRPr="005C5C45">
        <w:lastRenderedPageBreak/>
        <w:t>2. Improving official information practices</w:t>
      </w:r>
      <w:bookmarkEnd w:id="22"/>
    </w:p>
    <w:p w14:paraId="3931AA93" w14:textId="77777777" w:rsidR="00EA2F88" w:rsidRPr="005C5C45" w:rsidRDefault="00DF02C9" w:rsidP="008F6D7B">
      <w:pPr>
        <w:rPr>
          <w:b/>
        </w:rPr>
      </w:pPr>
      <w:r w:rsidRPr="005C5C45">
        <w:rPr>
          <w:b/>
        </w:rPr>
        <w:t>Commitment Text:</w:t>
      </w:r>
    </w:p>
    <w:p w14:paraId="4169912F" w14:textId="77777777" w:rsidR="00EA2F88" w:rsidRPr="005C5C45" w:rsidRDefault="00EA2F88" w:rsidP="008F6D7B">
      <w:pPr>
        <w:rPr>
          <w:i/>
          <w:color w:val="auto"/>
        </w:rPr>
      </w:pPr>
      <w:r w:rsidRPr="005C5C45">
        <w:rPr>
          <w:i/>
          <w:color w:val="auto"/>
        </w:rPr>
        <w:t>We will improve government agency practices around requests for official information under the Official Information Act (OIA)</w:t>
      </w:r>
    </w:p>
    <w:p w14:paraId="09F3925E" w14:textId="77777777" w:rsidR="00EA2F88" w:rsidRPr="005C5C45" w:rsidRDefault="00EA2F88" w:rsidP="008F6D7B">
      <w:pPr>
        <w:rPr>
          <w:i/>
          <w:color w:val="auto"/>
        </w:rPr>
      </w:pPr>
    </w:p>
    <w:p w14:paraId="6042CEE7" w14:textId="77777777" w:rsidR="00EA2F88" w:rsidRPr="005C5C45" w:rsidRDefault="00EA2F88" w:rsidP="008F6D7B">
      <w:pPr>
        <w:rPr>
          <w:i/>
        </w:rPr>
      </w:pPr>
      <w:r w:rsidRPr="005C5C45">
        <w:rPr>
          <w:i/>
        </w:rPr>
        <w:t>Objective: To make government information more accessible by adopting a consistent set of agency practices in response to requests for official information.</w:t>
      </w:r>
    </w:p>
    <w:p w14:paraId="7E085AF1" w14:textId="77777777" w:rsidR="00EA2F88" w:rsidRPr="005C5C45" w:rsidRDefault="00EA2F88" w:rsidP="008F6D7B">
      <w:pPr>
        <w:rPr>
          <w:i/>
        </w:rPr>
      </w:pPr>
    </w:p>
    <w:p w14:paraId="2195C664" w14:textId="77777777" w:rsidR="00EA2F88" w:rsidRPr="005C5C45" w:rsidRDefault="00EA2F88" w:rsidP="008F6D7B">
      <w:pPr>
        <w:rPr>
          <w:i/>
        </w:rPr>
      </w:pPr>
      <w:r w:rsidRPr="005C5C45">
        <w:rPr>
          <w:i/>
        </w:rPr>
        <w:t>Status quo: Practice around how agencies handle requests for official information is not uniform, agencies are burdened by increasing administrative load around official information requests, and people find it hard to navigate the systems.</w:t>
      </w:r>
    </w:p>
    <w:p w14:paraId="09E8A11B" w14:textId="77777777" w:rsidR="00EA2F88" w:rsidRPr="005C5C45" w:rsidRDefault="00EA2F88" w:rsidP="008F6D7B">
      <w:pPr>
        <w:rPr>
          <w:i/>
        </w:rPr>
      </w:pPr>
    </w:p>
    <w:p w14:paraId="3C7933D1" w14:textId="77777777" w:rsidR="00EA2F88" w:rsidRPr="005C5C45" w:rsidRDefault="00EA2F88" w:rsidP="008F6D7B">
      <w:pPr>
        <w:rPr>
          <w:i/>
          <w:color w:val="auto"/>
        </w:rPr>
      </w:pPr>
      <w:r w:rsidRPr="005C5C45">
        <w:rPr>
          <w:i/>
        </w:rPr>
        <w:t>Ambition: We are committed to improving how government responds to requests for official information.</w:t>
      </w:r>
    </w:p>
    <w:p w14:paraId="10C5BCCF" w14:textId="77777777" w:rsidR="00EA2F88" w:rsidRPr="005C5C45" w:rsidRDefault="00EA2F88" w:rsidP="008F6D7B"/>
    <w:p w14:paraId="0CE9098C" w14:textId="77777777" w:rsidR="00171587" w:rsidRPr="005C5C45" w:rsidRDefault="00171587" w:rsidP="008F6D7B">
      <w:pPr>
        <w:rPr>
          <w:i/>
        </w:rPr>
      </w:pPr>
      <w:r w:rsidRPr="005C5C45">
        <w:rPr>
          <w:i/>
        </w:rPr>
        <w:t>Milestones:</w:t>
      </w:r>
    </w:p>
    <w:p w14:paraId="63200A1D" w14:textId="56D290A7" w:rsidR="00171587" w:rsidRPr="005C5C45" w:rsidRDefault="00171587" w:rsidP="00D67BE2">
      <w:pPr>
        <w:pStyle w:val="ListParagraph"/>
        <w:numPr>
          <w:ilvl w:val="0"/>
          <w:numId w:val="43"/>
        </w:numPr>
        <w:rPr>
          <w:i/>
        </w:rPr>
      </w:pPr>
      <w:r w:rsidRPr="005C5C45">
        <w:rPr>
          <w:i/>
        </w:rPr>
        <w:t>Ensure information about the OIA (how to make requests, etc</w:t>
      </w:r>
      <w:r w:rsidR="00BA17DE">
        <w:rPr>
          <w:i/>
        </w:rPr>
        <w:t>.</w:t>
      </w:r>
      <w:r w:rsidRPr="005C5C45">
        <w:rPr>
          <w:i/>
        </w:rPr>
        <w:t>) and responses to requests are easy to access on agency websites. This could include development of single OIA web pages for agencies</w:t>
      </w:r>
    </w:p>
    <w:p w14:paraId="5F30D499" w14:textId="22DEBF1D" w:rsidR="00171587" w:rsidRPr="005C5C45" w:rsidRDefault="00171587" w:rsidP="00D67BE2">
      <w:pPr>
        <w:pStyle w:val="ListParagraph"/>
        <w:numPr>
          <w:ilvl w:val="0"/>
          <w:numId w:val="43"/>
        </w:numPr>
        <w:rPr>
          <w:i/>
        </w:rPr>
      </w:pPr>
      <w:r w:rsidRPr="005C5C45">
        <w:rPr>
          <w:i/>
        </w:rPr>
        <w:t>Publish OIA statistics (how many requests, time taken to respond, etc</w:t>
      </w:r>
      <w:r w:rsidR="00BA17DE">
        <w:rPr>
          <w:i/>
        </w:rPr>
        <w:t>.</w:t>
      </w:r>
      <w:r w:rsidRPr="005C5C45">
        <w:rPr>
          <w:i/>
        </w:rPr>
        <w:t>)</w:t>
      </w:r>
    </w:p>
    <w:p w14:paraId="6F58D828" w14:textId="77777777" w:rsidR="00171587" w:rsidRPr="005C5C45" w:rsidRDefault="00171587" w:rsidP="00D67BE2">
      <w:pPr>
        <w:pStyle w:val="ListParagraph"/>
        <w:numPr>
          <w:ilvl w:val="0"/>
          <w:numId w:val="43"/>
        </w:numPr>
        <w:rPr>
          <w:i/>
        </w:rPr>
      </w:pPr>
      <w:r w:rsidRPr="005C5C45">
        <w:rPr>
          <w:i/>
        </w:rPr>
        <w:t>Develop a clear statement of government policy on proactive release of Cabinet papers and related material</w:t>
      </w:r>
    </w:p>
    <w:p w14:paraId="3E6969EC" w14:textId="77777777" w:rsidR="00171587" w:rsidRPr="005C5C45" w:rsidRDefault="00171587" w:rsidP="00D67BE2">
      <w:pPr>
        <w:pStyle w:val="ListParagraph"/>
        <w:numPr>
          <w:ilvl w:val="0"/>
          <w:numId w:val="43"/>
        </w:numPr>
        <w:rPr>
          <w:i/>
        </w:rPr>
      </w:pPr>
      <w:r w:rsidRPr="005C5C45">
        <w:rPr>
          <w:i/>
        </w:rPr>
        <w:t>Develop a suite of consistent measures about OIA performance</w:t>
      </w:r>
    </w:p>
    <w:p w14:paraId="6D115215" w14:textId="77777777" w:rsidR="00171587" w:rsidRPr="005C5C45" w:rsidRDefault="00171587" w:rsidP="00D67BE2">
      <w:pPr>
        <w:pStyle w:val="ListParagraph"/>
        <w:numPr>
          <w:ilvl w:val="0"/>
          <w:numId w:val="43"/>
        </w:numPr>
        <w:rPr>
          <w:i/>
        </w:rPr>
      </w:pPr>
      <w:r w:rsidRPr="005C5C45">
        <w:rPr>
          <w:i/>
        </w:rPr>
        <w:t>Improve access to official information by publishing responses to requests on government websites and developing principles for more proactive release</w:t>
      </w:r>
    </w:p>
    <w:p w14:paraId="6BF9DABF" w14:textId="3667644A" w:rsidR="00171587" w:rsidRPr="005C5C45" w:rsidRDefault="00171587" w:rsidP="00415346">
      <w:pPr>
        <w:pStyle w:val="ListParagraph"/>
        <w:numPr>
          <w:ilvl w:val="0"/>
          <w:numId w:val="43"/>
        </w:numPr>
        <w:spacing w:after="120"/>
        <w:rPr>
          <w:i/>
        </w:rPr>
      </w:pPr>
      <w:r w:rsidRPr="005C5C45">
        <w:rPr>
          <w:i/>
        </w:rPr>
        <w:t>Agencies will be supported to deliver through the development of appropriate guidance and training</w:t>
      </w:r>
    </w:p>
    <w:p w14:paraId="6B49C5D3" w14:textId="77777777" w:rsidR="00EA2F88" w:rsidRPr="005C5C45" w:rsidRDefault="00EA2F88" w:rsidP="008F6D7B">
      <w:pPr>
        <w:pStyle w:val="Normalrglronly"/>
      </w:pPr>
      <w:r w:rsidRPr="005C5C45">
        <w:rPr>
          <w:b/>
        </w:rPr>
        <w:t>Responsible institution:</w:t>
      </w:r>
      <w:r w:rsidR="00171587" w:rsidRPr="005C5C45" w:rsidDel="00171587">
        <w:t xml:space="preserve"> </w:t>
      </w:r>
      <w:r w:rsidR="00B72797" w:rsidRPr="005C5C45">
        <w:tab/>
      </w:r>
      <w:r w:rsidRPr="005C5C45">
        <w:t>State Services Commission</w:t>
      </w:r>
    </w:p>
    <w:p w14:paraId="083713FC" w14:textId="5ED3A03F" w:rsidR="00EA2F88" w:rsidRPr="005C5C45" w:rsidRDefault="00EA2F88" w:rsidP="008F6D7B">
      <w:pPr>
        <w:pStyle w:val="Normalrglronly"/>
      </w:pPr>
      <w:r w:rsidRPr="005C5C45">
        <w:rPr>
          <w:b/>
        </w:rPr>
        <w:t>Supporting institution(s</w:t>
      </w:r>
      <w:r w:rsidRPr="00BA17DE">
        <w:rPr>
          <w:b/>
        </w:rPr>
        <w:t>):</w:t>
      </w:r>
      <w:r w:rsidRPr="005C5C45">
        <w:t xml:space="preserve"> </w:t>
      </w:r>
      <w:r w:rsidRPr="005C5C45">
        <w:rPr>
          <w:noProof/>
        </w:rPr>
        <w:t>Ministry of Justice</w:t>
      </w:r>
    </w:p>
    <w:p w14:paraId="58D7738A" w14:textId="77777777" w:rsidR="00E40251" w:rsidRDefault="00EA2F88" w:rsidP="008F6D7B">
      <w:pPr>
        <w:pStyle w:val="Normalrglronly"/>
      </w:pPr>
      <w:r w:rsidRPr="005C5C45">
        <w:rPr>
          <w:b/>
        </w:rPr>
        <w:t xml:space="preserve">Start date: </w:t>
      </w:r>
      <w:r w:rsidRPr="005C5C45">
        <w:t>October 2016</w:t>
      </w:r>
      <w:r w:rsidR="00171587" w:rsidRPr="005C5C45">
        <w:t xml:space="preserve">     </w:t>
      </w:r>
      <w:r w:rsidRPr="005C5C45">
        <w:tab/>
      </w:r>
    </w:p>
    <w:p w14:paraId="4406666A" w14:textId="5C785F4E" w:rsidR="00EA2F88" w:rsidRPr="005C5C45" w:rsidRDefault="00EA2F88" w:rsidP="008F6D7B">
      <w:pPr>
        <w:pStyle w:val="Normalrglronly"/>
      </w:pPr>
      <w:r w:rsidRPr="005C5C45">
        <w:rPr>
          <w:b/>
        </w:rPr>
        <w:t>End date:</w:t>
      </w:r>
      <w:r w:rsidRPr="005C5C45">
        <w:t xml:space="preserve"> June 2018</w:t>
      </w:r>
    </w:p>
    <w:tbl>
      <w:tblPr>
        <w:tblStyle w:val="TableGrid"/>
        <w:tblW w:w="10458" w:type="dxa"/>
        <w:jc w:val="center"/>
        <w:tblLayout w:type="fixed"/>
        <w:tblLook w:val="04A0" w:firstRow="1" w:lastRow="0" w:firstColumn="1" w:lastColumn="0" w:noHBand="0" w:noVBand="1"/>
      </w:tblPr>
      <w:tblGrid>
        <w:gridCol w:w="1600"/>
        <w:gridCol w:w="445"/>
        <w:gridCol w:w="352"/>
        <w:gridCol w:w="352"/>
        <w:gridCol w:w="444"/>
        <w:gridCol w:w="617"/>
        <w:gridCol w:w="443"/>
        <w:gridCol w:w="707"/>
        <w:gridCol w:w="924"/>
        <w:gridCol w:w="434"/>
        <w:gridCol w:w="450"/>
        <w:gridCol w:w="511"/>
        <w:gridCol w:w="476"/>
        <w:gridCol w:w="903"/>
        <w:gridCol w:w="450"/>
        <w:gridCol w:w="450"/>
        <w:gridCol w:w="450"/>
        <w:gridCol w:w="450"/>
      </w:tblGrid>
      <w:tr w:rsidR="00EA2F88" w:rsidRPr="005C5C45" w14:paraId="355B2507" w14:textId="77777777" w:rsidTr="00091006">
        <w:trPr>
          <w:trHeight w:val="441"/>
          <w:jc w:val="center"/>
        </w:trPr>
        <w:tc>
          <w:tcPr>
            <w:tcW w:w="1600" w:type="dxa"/>
            <w:vMerge w:val="restart"/>
            <w:tcBorders>
              <w:top w:val="single" w:sz="4" w:space="0" w:color="FFFFFF" w:themeColor="background1"/>
              <w:left w:val="single" w:sz="4" w:space="0" w:color="FFFFFF" w:themeColor="background1"/>
              <w:right w:val="single" w:sz="12" w:space="0" w:color="FFFFFF" w:themeColor="background1"/>
            </w:tcBorders>
            <w:shd w:val="clear" w:color="auto" w:fill="000000" w:themeFill="text1"/>
          </w:tcPr>
          <w:p w14:paraId="4493CF5E" w14:textId="77777777" w:rsidR="00EA2F88" w:rsidRPr="005C5C45" w:rsidRDefault="00EA2F88" w:rsidP="00091006">
            <w:pPr>
              <w:rPr>
                <w:color w:val="FFFFFF" w:themeColor="background1"/>
              </w:rPr>
            </w:pPr>
            <w:r w:rsidRPr="005C5C45">
              <w:rPr>
                <w:color w:val="FFFFFF" w:themeColor="background1"/>
              </w:rPr>
              <w:t>Commitment Overview</w:t>
            </w:r>
          </w:p>
        </w:tc>
        <w:tc>
          <w:tcPr>
            <w:tcW w:w="1593"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1A7D1" w:themeFill="text2" w:themeFillTint="99"/>
          </w:tcPr>
          <w:p w14:paraId="75872156" w14:textId="77777777" w:rsidR="00EA2F88" w:rsidRPr="005C5C45" w:rsidRDefault="00EA2F88" w:rsidP="00091006">
            <w:r w:rsidRPr="005C5C45">
              <w:t>Specificity</w:t>
            </w:r>
          </w:p>
        </w:tc>
        <w:tc>
          <w:tcPr>
            <w:tcW w:w="2691"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B67B" w:themeFill="accent1" w:themeFillTint="99"/>
          </w:tcPr>
          <w:p w14:paraId="5C16D86D" w14:textId="77777777" w:rsidR="00EA2F88" w:rsidRPr="005C5C45" w:rsidRDefault="00EA2F88" w:rsidP="00091006">
            <w:pPr>
              <w:rPr>
                <w:color w:val="000000" w:themeColor="text1"/>
              </w:rPr>
            </w:pPr>
            <w:r w:rsidRPr="005C5C45">
              <w:t>OGP Value Relevance</w:t>
            </w:r>
          </w:p>
        </w:tc>
        <w:tc>
          <w:tcPr>
            <w:tcW w:w="1871"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0D479" w:themeFill="accent2" w:themeFillTint="99"/>
          </w:tcPr>
          <w:p w14:paraId="7379B4EC" w14:textId="77777777" w:rsidR="00EA2F88" w:rsidRPr="005C5C45" w:rsidRDefault="00EA2F88" w:rsidP="00091006">
            <w:r w:rsidRPr="005C5C45">
              <w:t>Potential Impact</w:t>
            </w:r>
          </w:p>
        </w:tc>
        <w:tc>
          <w:tcPr>
            <w:tcW w:w="903"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tcPr>
          <w:p w14:paraId="1F1EAE15" w14:textId="77777777" w:rsidR="00EA2F88" w:rsidRPr="005C5C45" w:rsidRDefault="00EA2F88" w:rsidP="00091006">
            <w:r w:rsidRPr="005C5C45">
              <w:t>On Time?</w:t>
            </w:r>
          </w:p>
        </w:tc>
        <w:tc>
          <w:tcPr>
            <w:tcW w:w="1800" w:type="dxa"/>
            <w:gridSpan w:val="4"/>
            <w:tcBorders>
              <w:top w:val="single" w:sz="4"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tcPr>
          <w:p w14:paraId="77092847" w14:textId="77777777" w:rsidR="00EA2F88" w:rsidRPr="005C5C45" w:rsidRDefault="00EA2F88" w:rsidP="00091006">
            <w:r w:rsidRPr="005C5C45">
              <w:t>Completion</w:t>
            </w:r>
          </w:p>
        </w:tc>
      </w:tr>
      <w:tr w:rsidR="00EA2F88" w:rsidRPr="005C5C45" w14:paraId="583D200C" w14:textId="77777777" w:rsidTr="00091006">
        <w:trPr>
          <w:cantSplit/>
          <w:trHeight w:val="1861"/>
          <w:jc w:val="center"/>
        </w:trPr>
        <w:tc>
          <w:tcPr>
            <w:tcW w:w="1600" w:type="dxa"/>
            <w:vMerge/>
            <w:tcBorders>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04A8537D" w14:textId="77777777" w:rsidR="00EA2F88" w:rsidRPr="005C5C45" w:rsidRDefault="00EA2F88" w:rsidP="00091006">
            <w:pPr>
              <w:rPr>
                <w:color w:val="FFFFFF" w:themeColor="background1"/>
              </w:rPr>
            </w:pPr>
          </w:p>
        </w:tc>
        <w:tc>
          <w:tcPr>
            <w:tcW w:w="445"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4897A300" w14:textId="77777777" w:rsidR="00EA2F88" w:rsidRPr="005C5C45" w:rsidRDefault="00EA2F88" w:rsidP="00091006">
            <w:r w:rsidRPr="005C5C45">
              <w:t>None</w:t>
            </w: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7C550080" w14:textId="77777777" w:rsidR="00EA2F88" w:rsidRPr="005C5C45" w:rsidRDefault="00EA2F88" w:rsidP="00091006">
            <w:r w:rsidRPr="005C5C45">
              <w:t>Low</w:t>
            </w: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640135F8" w14:textId="77777777" w:rsidR="00EA2F88" w:rsidRPr="005C5C45" w:rsidRDefault="00EA2F88" w:rsidP="00091006">
            <w:r w:rsidRPr="005C5C45">
              <w:t>Medium</w:t>
            </w:r>
          </w:p>
        </w:tc>
        <w:tc>
          <w:tcPr>
            <w:tcW w:w="44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81A7D1" w:themeFill="text2" w:themeFillTint="99"/>
            <w:textDirection w:val="btLr"/>
          </w:tcPr>
          <w:p w14:paraId="1D805485" w14:textId="77777777" w:rsidR="00EA2F88" w:rsidRPr="005C5C45" w:rsidRDefault="00EA2F88" w:rsidP="00091006">
            <w:r w:rsidRPr="005C5C45">
              <w:t>High</w:t>
            </w:r>
          </w:p>
        </w:tc>
        <w:tc>
          <w:tcPr>
            <w:tcW w:w="617"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5F373B98" w14:textId="77777777" w:rsidR="00EA2F88" w:rsidRPr="005C5C45" w:rsidRDefault="00EA2F88" w:rsidP="00091006">
            <w:r w:rsidRPr="005C5C45">
              <w:t>Access to Information</w:t>
            </w:r>
          </w:p>
        </w:tc>
        <w:tc>
          <w:tcPr>
            <w:tcW w:w="443"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64F628C8" w14:textId="77777777" w:rsidR="00EA2F88" w:rsidRPr="005C5C45" w:rsidRDefault="00EA2F88" w:rsidP="00091006">
            <w:r w:rsidRPr="005C5C45">
              <w:t>Civic Participation</w:t>
            </w:r>
          </w:p>
        </w:tc>
        <w:tc>
          <w:tcPr>
            <w:tcW w:w="707"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52877671" w14:textId="77777777" w:rsidR="00EA2F88" w:rsidRPr="005C5C45" w:rsidRDefault="00EA2F88" w:rsidP="00091006">
            <w:r w:rsidRPr="005C5C45">
              <w:t>Public Accountability</w:t>
            </w:r>
          </w:p>
        </w:tc>
        <w:tc>
          <w:tcPr>
            <w:tcW w:w="92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0B67B" w:themeFill="accent1" w:themeFillTint="99"/>
            <w:textDirection w:val="btLr"/>
          </w:tcPr>
          <w:p w14:paraId="31D7BB92" w14:textId="77777777" w:rsidR="00EA2F88" w:rsidRPr="005C5C45" w:rsidRDefault="00EA2F88" w:rsidP="00091006">
            <w:r w:rsidRPr="005C5C45">
              <w:t xml:space="preserve">Tech. and </w:t>
            </w:r>
            <w:proofErr w:type="spellStart"/>
            <w:r w:rsidRPr="005C5C45">
              <w:t>Innov</w:t>
            </w:r>
            <w:proofErr w:type="spellEnd"/>
            <w:r w:rsidRPr="005C5C45">
              <w:t xml:space="preserve">. </w:t>
            </w:r>
            <w:proofErr w:type="gramStart"/>
            <w:r w:rsidRPr="005C5C45">
              <w:t>for</w:t>
            </w:r>
            <w:proofErr w:type="gramEnd"/>
            <w:r w:rsidRPr="005C5C45">
              <w:t xml:space="preserve"> Transparency and Accountability</w:t>
            </w:r>
          </w:p>
        </w:tc>
        <w:tc>
          <w:tcPr>
            <w:tcW w:w="434"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3C43A6CE" w14:textId="77777777" w:rsidR="00EA2F88" w:rsidRPr="005C5C45" w:rsidRDefault="00EA2F88" w:rsidP="00091006">
            <w:r w:rsidRPr="005C5C45">
              <w:t>None</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0A6313B7" w14:textId="77777777" w:rsidR="00EA2F88" w:rsidRPr="005C5C45" w:rsidRDefault="00EA2F88" w:rsidP="00091006">
            <w:r w:rsidRPr="005C5C45">
              <w:t>Minor</w:t>
            </w:r>
          </w:p>
        </w:tc>
        <w:tc>
          <w:tcPr>
            <w:tcW w:w="511"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15F81605" w14:textId="77777777" w:rsidR="00EA2F88" w:rsidRPr="005C5C45" w:rsidRDefault="00EA2F88" w:rsidP="00091006">
            <w:r w:rsidRPr="005C5C45">
              <w:t>Moderate</w:t>
            </w:r>
          </w:p>
        </w:tc>
        <w:tc>
          <w:tcPr>
            <w:tcW w:w="47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90D479" w:themeFill="accent2" w:themeFillTint="99"/>
            <w:textDirection w:val="btLr"/>
          </w:tcPr>
          <w:p w14:paraId="69717CAE" w14:textId="77777777" w:rsidR="00EA2F88" w:rsidRPr="005C5C45" w:rsidRDefault="00EA2F88" w:rsidP="00091006">
            <w:r w:rsidRPr="005C5C45">
              <w:t>Transformative</w:t>
            </w:r>
          </w:p>
        </w:tc>
        <w:tc>
          <w:tcPr>
            <w:tcW w:w="9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textDirection w:val="btLr"/>
          </w:tcPr>
          <w:p w14:paraId="41C90843" w14:textId="77777777" w:rsidR="00EA2F88" w:rsidRPr="005C5C45" w:rsidRDefault="00EA2F88" w:rsidP="00091006"/>
        </w:tc>
        <w:tc>
          <w:tcPr>
            <w:tcW w:w="450"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584EBF24" w14:textId="77777777" w:rsidR="00EA2F88" w:rsidRPr="005C5C45" w:rsidRDefault="00EA2F88" w:rsidP="00091006">
            <w:r w:rsidRPr="005C5C45">
              <w:t>Not Started</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6007A8E2" w14:textId="77777777" w:rsidR="00EA2F88" w:rsidRPr="005C5C45" w:rsidRDefault="00EA2F88" w:rsidP="00091006">
            <w:r w:rsidRPr="005C5C45">
              <w:t>Limited</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20E6DA05" w14:textId="77777777" w:rsidR="00EA2F88" w:rsidRPr="005C5C45" w:rsidRDefault="00EA2F88" w:rsidP="00091006">
            <w:r w:rsidRPr="005C5C45">
              <w:t>Substantial</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5346A537" w14:textId="77777777" w:rsidR="00EA2F88" w:rsidRPr="005C5C45" w:rsidRDefault="00EA2F88" w:rsidP="00091006">
            <w:r w:rsidRPr="005C5C45">
              <w:t>Complete</w:t>
            </w:r>
          </w:p>
        </w:tc>
      </w:tr>
      <w:tr w:rsidR="00EA2F88" w:rsidRPr="005C5C45" w14:paraId="71629075" w14:textId="77777777" w:rsidTr="00091006">
        <w:trPr>
          <w:trHeight w:val="652"/>
          <w:jc w:val="center"/>
        </w:trPr>
        <w:tc>
          <w:tcPr>
            <w:tcW w:w="1600"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3C0349DF" w14:textId="77777777" w:rsidR="00EA2F88" w:rsidRPr="005C5C45" w:rsidRDefault="00EA2F88" w:rsidP="00091006">
            <w:pPr>
              <w:rPr>
                <w:color w:val="FFFFFF" w:themeColor="background1"/>
              </w:rPr>
            </w:pPr>
            <w:r w:rsidRPr="005C5C45">
              <w:rPr>
                <w:color w:val="FFFFFF" w:themeColor="background1"/>
              </w:rPr>
              <w:t xml:space="preserve">2. </w:t>
            </w:r>
            <w:r w:rsidR="00FB3587" w:rsidRPr="005C5C45">
              <w:rPr>
                <w:color w:val="FFFFFF" w:themeColor="background1"/>
              </w:rPr>
              <w:t>Improving Official Information Practices</w:t>
            </w:r>
          </w:p>
        </w:tc>
        <w:tc>
          <w:tcPr>
            <w:tcW w:w="445"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6535BDDC" w14:textId="77777777" w:rsidR="00EA2F88" w:rsidRPr="005C5C45" w:rsidRDefault="00EA2F88" w:rsidP="00091006">
            <w:pPr>
              <w:jc w:val="center"/>
              <w:rPr>
                <w:sz w:val="20"/>
              </w:rPr>
            </w:pP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59C1968F" w14:textId="77777777" w:rsidR="00EA2F88" w:rsidRPr="005C5C45" w:rsidRDefault="00EA2F88" w:rsidP="00091006">
            <w:pPr>
              <w:jc w:val="center"/>
              <w:rPr>
                <w:sz w:val="20"/>
              </w:rPr>
            </w:pP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72B9CC87" w14:textId="77777777" w:rsidR="00EA2F88" w:rsidRPr="005C5C45" w:rsidRDefault="007718AB" w:rsidP="00091006">
            <w:pPr>
              <w:jc w:val="center"/>
              <w:rPr>
                <w:sz w:val="20"/>
              </w:rPr>
            </w:pPr>
            <w:r w:rsidRPr="005C5C45">
              <w:rPr>
                <w:rFonts w:ascii="Zapf Dingbats" w:hAnsi="Zapf Dingbats"/>
                <w:noProof/>
                <w:sz w:val="20"/>
              </w:rPr>
              <w:t>✔</w:t>
            </w:r>
          </w:p>
        </w:tc>
        <w:tc>
          <w:tcPr>
            <w:tcW w:w="44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81A7D1" w:themeFill="text2" w:themeFillTint="99"/>
            <w:vAlign w:val="center"/>
          </w:tcPr>
          <w:p w14:paraId="5CE85C6A" w14:textId="77777777" w:rsidR="00EA2F88" w:rsidRPr="005C5C45" w:rsidRDefault="00EA2F88" w:rsidP="00091006">
            <w:pPr>
              <w:jc w:val="center"/>
              <w:rPr>
                <w:rFonts w:ascii="Zapf Dingbats" w:hAnsi="Zapf Dingbats"/>
                <w:noProof/>
                <w:sz w:val="20"/>
              </w:rPr>
            </w:pPr>
          </w:p>
        </w:tc>
        <w:tc>
          <w:tcPr>
            <w:tcW w:w="617"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592E34A2" w14:textId="77777777" w:rsidR="00EA2F88" w:rsidRPr="005C5C45" w:rsidRDefault="00EA2F88" w:rsidP="00091006">
            <w:pPr>
              <w:jc w:val="center"/>
              <w:rPr>
                <w:rFonts w:ascii="Zapf Dingbats" w:hAnsi="Zapf Dingbats"/>
                <w:noProof/>
                <w:sz w:val="20"/>
              </w:rPr>
            </w:pPr>
            <w:r w:rsidRPr="005C5C45">
              <w:rPr>
                <w:rFonts w:ascii="Zapf Dingbats" w:hAnsi="Zapf Dingbats"/>
                <w:noProof/>
                <w:sz w:val="20"/>
              </w:rPr>
              <w:t>✔</w:t>
            </w:r>
          </w:p>
        </w:tc>
        <w:tc>
          <w:tcPr>
            <w:tcW w:w="443"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5CA61ACB" w14:textId="77777777" w:rsidR="00EA2F88" w:rsidRPr="005C5C45" w:rsidRDefault="00EA2F88" w:rsidP="00091006">
            <w:pPr>
              <w:jc w:val="center"/>
              <w:rPr>
                <w:sz w:val="20"/>
              </w:rPr>
            </w:pPr>
          </w:p>
        </w:tc>
        <w:tc>
          <w:tcPr>
            <w:tcW w:w="707"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6B5EC5D2" w14:textId="77777777" w:rsidR="00EA2F88" w:rsidRPr="005C5C45" w:rsidRDefault="00EA2F88" w:rsidP="00091006">
            <w:pPr>
              <w:jc w:val="center"/>
              <w:rPr>
                <w:sz w:val="20"/>
              </w:rPr>
            </w:pPr>
            <w:r w:rsidRPr="005C5C45">
              <w:rPr>
                <w:rFonts w:ascii="Zapf Dingbats" w:hAnsi="Zapf Dingbats"/>
                <w:noProof/>
                <w:sz w:val="20"/>
              </w:rPr>
              <w:t>✔</w:t>
            </w:r>
          </w:p>
        </w:tc>
        <w:tc>
          <w:tcPr>
            <w:tcW w:w="92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0B67B" w:themeFill="accent1" w:themeFillTint="99"/>
            <w:vAlign w:val="center"/>
          </w:tcPr>
          <w:p w14:paraId="2DD7EE98" w14:textId="77777777" w:rsidR="00EA2F88" w:rsidRPr="005C5C45" w:rsidRDefault="00EA2F88" w:rsidP="00091006">
            <w:pPr>
              <w:jc w:val="center"/>
              <w:rPr>
                <w:sz w:val="20"/>
              </w:rPr>
            </w:pPr>
          </w:p>
        </w:tc>
        <w:tc>
          <w:tcPr>
            <w:tcW w:w="434"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4FE906DF" w14:textId="77777777" w:rsidR="00EA2F88" w:rsidRPr="005C5C45" w:rsidRDefault="00EA2F88" w:rsidP="00091006">
            <w:pPr>
              <w:jc w:val="center"/>
              <w:rPr>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39B9880E" w14:textId="77777777" w:rsidR="00EA2F88" w:rsidRPr="005C5C45" w:rsidRDefault="00EA2F88" w:rsidP="00091006">
            <w:pPr>
              <w:jc w:val="center"/>
              <w:rPr>
                <w:rFonts w:ascii="Zapf Dingbats" w:hAnsi="Zapf Dingbats"/>
                <w:noProof/>
                <w:sz w:val="20"/>
              </w:rPr>
            </w:pPr>
          </w:p>
        </w:tc>
        <w:tc>
          <w:tcPr>
            <w:tcW w:w="511"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1DA56245" w14:textId="77777777" w:rsidR="00EA2F88" w:rsidRPr="005C5C45" w:rsidRDefault="00EA2F88" w:rsidP="00091006">
            <w:pPr>
              <w:jc w:val="center"/>
              <w:rPr>
                <w:sz w:val="20"/>
              </w:rPr>
            </w:pPr>
            <w:r w:rsidRPr="005C5C45">
              <w:rPr>
                <w:rFonts w:ascii="Zapf Dingbats" w:hAnsi="Zapf Dingbats"/>
                <w:noProof/>
                <w:sz w:val="20"/>
              </w:rPr>
              <w:t>✔</w:t>
            </w:r>
          </w:p>
        </w:tc>
        <w:tc>
          <w:tcPr>
            <w:tcW w:w="47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90D479" w:themeFill="accent2" w:themeFillTint="99"/>
            <w:vAlign w:val="center"/>
          </w:tcPr>
          <w:p w14:paraId="6CB7BB18" w14:textId="77777777" w:rsidR="00EA2F88" w:rsidRPr="005C5C45" w:rsidRDefault="00EA2F88" w:rsidP="00091006">
            <w:pPr>
              <w:jc w:val="center"/>
              <w:rPr>
                <w:sz w:val="20"/>
              </w:rPr>
            </w:pPr>
          </w:p>
        </w:tc>
        <w:tc>
          <w:tcPr>
            <w:tcW w:w="9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vAlign w:val="center"/>
          </w:tcPr>
          <w:p w14:paraId="69FEDE2C" w14:textId="137A6092" w:rsidR="00EA2F88" w:rsidRPr="005C5C45" w:rsidRDefault="00E40251" w:rsidP="00091006">
            <w:pPr>
              <w:jc w:val="center"/>
              <w:rPr>
                <w:sz w:val="20"/>
              </w:rPr>
            </w:pPr>
            <w:r w:rsidRPr="00754971">
              <w:rPr>
                <w:noProof/>
                <w:szCs w:val="22"/>
              </w:rPr>
              <w:t>Yes</w:t>
            </w:r>
          </w:p>
        </w:tc>
        <w:tc>
          <w:tcPr>
            <w:tcW w:w="450"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719E3737" w14:textId="77777777" w:rsidR="00EA2F88" w:rsidRPr="005C5C45" w:rsidRDefault="00EA2F88" w:rsidP="00091006">
            <w:pPr>
              <w:jc w:val="center"/>
              <w:rPr>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5DB93523" w14:textId="77777777" w:rsidR="00EA2F88" w:rsidRPr="005C5C45" w:rsidRDefault="00EA2F88" w:rsidP="00091006">
            <w:pPr>
              <w:jc w:val="center"/>
              <w:rPr>
                <w:color w:val="BFBFBF" w:themeColor="background1" w:themeShade="BF"/>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253858CE" w14:textId="77777777" w:rsidR="00EA2F88" w:rsidRPr="005C5C45" w:rsidRDefault="00EA2F88" w:rsidP="00091006">
            <w:pPr>
              <w:jc w:val="center"/>
              <w:rPr>
                <w:sz w:val="20"/>
              </w:rPr>
            </w:pPr>
            <w:r w:rsidRPr="005C5C45">
              <w:rPr>
                <w:rFonts w:ascii="Zapf Dingbats" w:hAnsi="Zapf Dingbats"/>
                <w:noProof/>
                <w:sz w:val="20"/>
              </w:rPr>
              <w:t>✔</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7DB3AF8C" w14:textId="77777777" w:rsidR="00EA2F88" w:rsidRPr="005C5C45" w:rsidRDefault="00EA2F88" w:rsidP="00091006">
            <w:pPr>
              <w:jc w:val="center"/>
              <w:rPr>
                <w:rFonts w:ascii="Zapf Dingbats" w:hAnsi="Zapf Dingbats"/>
                <w:noProof/>
                <w:sz w:val="20"/>
              </w:rPr>
            </w:pPr>
          </w:p>
        </w:tc>
      </w:tr>
    </w:tbl>
    <w:p w14:paraId="6D4CC96B" w14:textId="77777777" w:rsidR="00EA2F88" w:rsidRPr="005C5C45" w:rsidRDefault="00EA2F88" w:rsidP="00D17B72">
      <w:pPr>
        <w:pStyle w:val="Heading3"/>
      </w:pPr>
      <w:r w:rsidRPr="005C5C45">
        <w:t xml:space="preserve">Context and Objectives </w:t>
      </w:r>
    </w:p>
    <w:p w14:paraId="35D803E2" w14:textId="0FC351D4" w:rsidR="007A429A" w:rsidRPr="005C5C45" w:rsidRDefault="00EA2F88" w:rsidP="00091006">
      <w:pPr>
        <w:pStyle w:val="Normalrglronly"/>
      </w:pPr>
      <w:bookmarkStart w:id="23" w:name="_Hlk492911214"/>
      <w:r w:rsidRPr="005C5C45">
        <w:t xml:space="preserve">The </w:t>
      </w:r>
      <w:r w:rsidR="003811C4" w:rsidRPr="005C5C45">
        <w:t>N</w:t>
      </w:r>
      <w:r w:rsidR="00B10756" w:rsidRPr="005C5C45">
        <w:t xml:space="preserve">ew </w:t>
      </w:r>
      <w:r w:rsidR="003811C4" w:rsidRPr="005C5C45">
        <w:t>Z</w:t>
      </w:r>
      <w:r w:rsidR="00B10756" w:rsidRPr="005C5C45">
        <w:t>ealand</w:t>
      </w:r>
      <w:r w:rsidRPr="005C5C45">
        <w:t xml:space="preserve"> Official Information Act 1982 (OIA) and the Local Government Official Information Amendment Act 1987 (LGOIMA) each established a regime of openness in central and local government.</w:t>
      </w:r>
      <w:r w:rsidR="004E03E8" w:rsidRPr="005C5C45">
        <w:rPr>
          <w:rStyle w:val="EndnoteReference"/>
          <w:bCs w:val="0"/>
        </w:rPr>
        <w:endnoteReference w:id="97"/>
      </w:r>
      <w:r w:rsidRPr="005C5C45">
        <w:t xml:space="preserve"> They changed </w:t>
      </w:r>
      <w:r w:rsidR="00082304" w:rsidRPr="005C5C45">
        <w:t xml:space="preserve">government practice </w:t>
      </w:r>
      <w:r w:rsidRPr="005C5C45">
        <w:t xml:space="preserve">from withholding to disclosing official information </w:t>
      </w:r>
      <w:r w:rsidR="00607F54">
        <w:t>absent</w:t>
      </w:r>
      <w:r w:rsidRPr="005C5C45">
        <w:t xml:space="preserve"> good reason </w:t>
      </w:r>
      <w:r w:rsidR="002A7C60" w:rsidRPr="005C5C45">
        <w:t>not to do so</w:t>
      </w:r>
      <w:r w:rsidRPr="005C5C45">
        <w:t xml:space="preserve">, and </w:t>
      </w:r>
      <w:r w:rsidR="007E0CF4" w:rsidRPr="005C5C45">
        <w:t xml:space="preserve">citizens </w:t>
      </w:r>
      <w:r w:rsidRPr="005C5C45">
        <w:t xml:space="preserve">have benefited </w:t>
      </w:r>
      <w:r w:rsidRPr="005C5C45">
        <w:lastRenderedPageBreak/>
        <w:t xml:space="preserve">for thirty years from this </w:t>
      </w:r>
      <w:proofErr w:type="gramStart"/>
      <w:r w:rsidRPr="005C5C45">
        <w:t>ground-breaking</w:t>
      </w:r>
      <w:proofErr w:type="gramEnd"/>
      <w:r w:rsidRPr="005C5C45">
        <w:t xml:space="preserve"> change toward openness. </w:t>
      </w:r>
      <w:r w:rsidR="0027365A" w:rsidRPr="005C5C45">
        <w:t xml:space="preserve">Government agencies have standard practices for complying with these acts. </w:t>
      </w:r>
      <w:r w:rsidR="00B50456" w:rsidRPr="005C5C45">
        <w:t>Over this period</w:t>
      </w:r>
      <w:r w:rsidR="003D2108">
        <w:t>,</w:t>
      </w:r>
      <w:r w:rsidRPr="005C5C45">
        <w:t xml:space="preserve"> the </w:t>
      </w:r>
      <w:proofErr w:type="gramStart"/>
      <w:r w:rsidR="003D2108">
        <w:t>i</w:t>
      </w:r>
      <w:r w:rsidRPr="005C5C45">
        <w:t>nternet</w:t>
      </w:r>
      <w:proofErr w:type="gramEnd"/>
      <w:r w:rsidRPr="005C5C45">
        <w:t xml:space="preserve"> and technology have made information much more readily available</w:t>
      </w:r>
      <w:r w:rsidR="00082304" w:rsidRPr="005C5C45">
        <w:t>.</w:t>
      </w:r>
      <w:r w:rsidRPr="005C5C45">
        <w:t xml:space="preserve"> </w:t>
      </w:r>
      <w:r w:rsidR="003811C4" w:rsidRPr="005C5C45">
        <w:t>N</w:t>
      </w:r>
      <w:r w:rsidR="00091006" w:rsidRPr="005C5C45">
        <w:t xml:space="preserve">ew </w:t>
      </w:r>
      <w:r w:rsidR="003811C4" w:rsidRPr="005C5C45">
        <w:t>Z</w:t>
      </w:r>
      <w:r w:rsidR="00091006" w:rsidRPr="005C5C45">
        <w:t>ealand</w:t>
      </w:r>
      <w:r w:rsidRPr="005C5C45">
        <w:t>ers have increased public expectations of openness</w:t>
      </w:r>
      <w:r w:rsidR="003D2108">
        <w:t>;</w:t>
      </w:r>
      <w:r w:rsidRPr="005C5C45">
        <w:t xml:space="preserve"> </w:t>
      </w:r>
      <w:r w:rsidR="00B50456" w:rsidRPr="005C5C45">
        <w:t xml:space="preserve">they </w:t>
      </w:r>
      <w:r w:rsidRPr="005C5C45">
        <w:t>seek proactive release of information without the necessity of anyone asking for it and many state agencies and local authority entities now operate in the marketplace where they deal with, or are in competition with, private organisations</w:t>
      </w:r>
      <w:r w:rsidR="00CE5A83" w:rsidRPr="005C5C45">
        <w:t>.</w:t>
      </w:r>
      <w:r w:rsidRPr="005C5C45">
        <w:rPr>
          <w:rStyle w:val="EndnoteReference"/>
          <w:rFonts w:ascii="Cambria" w:hAnsi="Cambria"/>
        </w:rPr>
        <w:endnoteReference w:id="98"/>
      </w:r>
    </w:p>
    <w:p w14:paraId="68A33F88" w14:textId="13C552D0" w:rsidR="004E7452" w:rsidRPr="005C5C45" w:rsidRDefault="00EA2F88" w:rsidP="00091006">
      <w:pPr>
        <w:pStyle w:val="Normalrglronly"/>
      </w:pPr>
      <w:r w:rsidRPr="005C5C45">
        <w:t xml:space="preserve">Proposed changes by the independent </w:t>
      </w:r>
      <w:r w:rsidR="00B50456" w:rsidRPr="005C5C45">
        <w:t>N</w:t>
      </w:r>
      <w:r w:rsidR="00B10756" w:rsidRPr="005C5C45">
        <w:t xml:space="preserve">ew </w:t>
      </w:r>
      <w:r w:rsidR="00B50456" w:rsidRPr="005C5C45">
        <w:t>Z</w:t>
      </w:r>
      <w:r w:rsidR="00B10756" w:rsidRPr="005C5C45">
        <w:t>ealand</w:t>
      </w:r>
      <w:r w:rsidR="00B50456" w:rsidRPr="005C5C45">
        <w:t xml:space="preserve"> </w:t>
      </w:r>
      <w:r w:rsidRPr="005C5C45">
        <w:t>Law Commission in 2012</w:t>
      </w:r>
      <w:r w:rsidR="00915EDF" w:rsidRPr="005C5C45">
        <w:t xml:space="preserve"> t</w:t>
      </w:r>
      <w:r w:rsidRPr="005C5C45">
        <w:t xml:space="preserve">o update the legislation and its administration </w:t>
      </w:r>
      <w:r w:rsidR="00AB2908" w:rsidRPr="005C5C45">
        <w:t>were not</w:t>
      </w:r>
      <w:r w:rsidRPr="005C5C45">
        <w:t xml:space="preserve"> adopted by the </w:t>
      </w:r>
      <w:r w:rsidR="00AB2908" w:rsidRPr="005C5C45">
        <w:t xml:space="preserve">then </w:t>
      </w:r>
      <w:r w:rsidRPr="005C5C45">
        <w:t xml:space="preserve">Government. </w:t>
      </w:r>
      <w:r w:rsidR="008E0326" w:rsidRPr="005C5C45">
        <w:t>These included enhancing guidance about the legislation, simplifying unclear withholding grounds, better protecting commercially sensitive information, encouraging proactive release of public information, improving operational processes</w:t>
      </w:r>
      <w:r w:rsidR="00C4027C" w:rsidRPr="005C5C45">
        <w:t xml:space="preserve">, </w:t>
      </w:r>
      <w:r w:rsidR="008E0326" w:rsidRPr="005C5C45">
        <w:t>establishing statutory oversight functions, and clarifying the reach of the legislation</w:t>
      </w:r>
      <w:r w:rsidR="008E0326" w:rsidRPr="005C5C45">
        <w:rPr>
          <w:rFonts w:ascii="Arial" w:hAnsi="Arial" w:cs="Arial"/>
          <w:color w:val="666666"/>
          <w:shd w:val="clear" w:color="auto" w:fill="FDFCF7"/>
        </w:rPr>
        <w:t>.</w:t>
      </w:r>
      <w:r w:rsidR="00F57A8B">
        <w:rPr>
          <w:rStyle w:val="EndnoteReference"/>
          <w:rFonts w:ascii="Arial" w:hAnsi="Arial" w:cs="Arial"/>
          <w:color w:val="666666"/>
          <w:shd w:val="clear" w:color="auto" w:fill="FDFCF7"/>
        </w:rPr>
        <w:endnoteReference w:id="99"/>
      </w:r>
    </w:p>
    <w:p w14:paraId="151B573B" w14:textId="1349062E" w:rsidR="00F161E3" w:rsidRPr="005C5C45" w:rsidRDefault="00337929" w:rsidP="00091006">
      <w:pPr>
        <w:pStyle w:val="Normalrglronly"/>
      </w:pPr>
      <w:r w:rsidRPr="005C5C45">
        <w:t xml:space="preserve">The role of Ministers and their offices in agencies’ decisions </w:t>
      </w:r>
      <w:r w:rsidR="00FD52E4">
        <w:t>to</w:t>
      </w:r>
      <w:r w:rsidR="00FD52E4" w:rsidRPr="005C5C45">
        <w:t xml:space="preserve"> </w:t>
      </w:r>
      <w:r w:rsidRPr="005C5C45">
        <w:t xml:space="preserve">release </w:t>
      </w:r>
      <w:r w:rsidR="00FD52E4">
        <w:t>requested</w:t>
      </w:r>
      <w:r w:rsidR="00FD52E4" w:rsidRPr="005C5C45">
        <w:t xml:space="preserve"> </w:t>
      </w:r>
      <w:r w:rsidRPr="005C5C45">
        <w:t>information under OIA has increasingly become an issue of public co</w:t>
      </w:r>
      <w:r w:rsidR="00782B08" w:rsidRPr="005C5C45">
        <w:t xml:space="preserve">mment. </w:t>
      </w:r>
      <w:r w:rsidR="00782B08" w:rsidRPr="005C5C45">
        <w:rPr>
          <w:i/>
        </w:rPr>
        <w:t>The Press</w:t>
      </w:r>
      <w:r w:rsidR="00782B08" w:rsidRPr="005C5C45">
        <w:t xml:space="preserve"> noted </w:t>
      </w:r>
      <w:r w:rsidR="00E54995" w:rsidRPr="005C5C45">
        <w:t xml:space="preserve">on 17 June 2017 </w:t>
      </w:r>
      <w:r w:rsidR="00782B08" w:rsidRPr="005C5C45">
        <w:t xml:space="preserve">that </w:t>
      </w:r>
      <w:r w:rsidR="00415346">
        <w:t>‘</w:t>
      </w:r>
      <w:r w:rsidR="00782B08" w:rsidRPr="005C5C45">
        <w:t>OIA abuses and delays have unfortunately become almost routine.</w:t>
      </w:r>
      <w:r w:rsidR="001B2376">
        <w:rPr>
          <w:rStyle w:val="EndnoteReference"/>
        </w:rPr>
        <w:endnoteReference w:id="100"/>
      </w:r>
      <w:r w:rsidR="00E54995" w:rsidRPr="005C5C45">
        <w:t xml:space="preserve"> </w:t>
      </w:r>
      <w:hyperlink r:id="rId31" w:history="1">
        <w:r w:rsidR="00782B08" w:rsidRPr="005C5C45">
          <w:t>Form</w:t>
        </w:r>
        <w:r w:rsidR="0029782A" w:rsidRPr="005C5C45">
          <w:t xml:space="preserve">er Prime Minister John Key </w:t>
        </w:r>
        <w:r w:rsidR="00782B08" w:rsidRPr="005C5C45">
          <w:t>admitted in 2014</w:t>
        </w:r>
      </w:hyperlink>
      <w:r w:rsidR="00E54995" w:rsidRPr="005C5C45">
        <w:t xml:space="preserve"> </w:t>
      </w:r>
      <w:r w:rsidR="00782B08" w:rsidRPr="005C5C45">
        <w:t>that the Government likes t</w:t>
      </w:r>
      <w:r w:rsidR="00E54995" w:rsidRPr="005C5C45">
        <w:t xml:space="preserve">o wait the full 20 working days </w:t>
      </w:r>
      <w:r w:rsidR="00782B08" w:rsidRPr="005C5C45">
        <w:t>if it is in its interests to do so</w:t>
      </w:r>
      <w:r w:rsidR="00415346">
        <w:t>’</w:t>
      </w:r>
      <w:r w:rsidR="006856D4">
        <w:t>.</w:t>
      </w:r>
      <w:r w:rsidR="00782B08" w:rsidRPr="005C5C45">
        <w:rPr>
          <w:rStyle w:val="EndnoteReference"/>
        </w:rPr>
        <w:endnoteReference w:id="101"/>
      </w:r>
      <w:r w:rsidR="00445537" w:rsidRPr="005C5C45">
        <w:t xml:space="preserve"> </w:t>
      </w:r>
      <w:r w:rsidR="00C4027C" w:rsidRPr="005C5C45">
        <w:t xml:space="preserve">Preliminary results from </w:t>
      </w:r>
      <w:r w:rsidR="00F161E3" w:rsidRPr="005C5C45">
        <w:t xml:space="preserve">640 responses to a </w:t>
      </w:r>
      <w:r w:rsidR="00C4027C" w:rsidRPr="005C5C45">
        <w:t xml:space="preserve">public administration </w:t>
      </w:r>
      <w:r w:rsidR="00445537" w:rsidRPr="005C5C45">
        <w:t>survey by Massey University and Victoria University of Wellington</w:t>
      </w:r>
      <w:r w:rsidR="002E7235" w:rsidRPr="005C5C45">
        <w:t xml:space="preserve"> </w:t>
      </w:r>
      <w:r w:rsidR="00F161E3" w:rsidRPr="005C5C45">
        <w:t xml:space="preserve">state that </w:t>
      </w:r>
      <w:r w:rsidR="00415346">
        <w:rPr>
          <w:rFonts w:ascii="Arial" w:hAnsi="Arial" w:cs="Arial"/>
          <w:color w:val="222222"/>
          <w:sz w:val="19"/>
          <w:szCs w:val="19"/>
          <w:shd w:val="clear" w:color="auto" w:fill="FFFFFF"/>
        </w:rPr>
        <w:t>‘</w:t>
      </w:r>
      <w:r w:rsidR="00F161E3" w:rsidRPr="005C5C45">
        <w:t>it is also clear from our initial analysis that the Official Information Act is influencing behaviour in some departments or agencies and in some Beehive [Ministerial] offices</w:t>
      </w:r>
      <w:r w:rsidR="00C538ED">
        <w:t>.</w:t>
      </w:r>
      <w:r w:rsidR="00415346">
        <w:t>’</w:t>
      </w:r>
      <w:r w:rsidR="007B0350" w:rsidRPr="005C5C45">
        <w:rPr>
          <w:rStyle w:val="EndnoteReference"/>
          <w:bCs w:val="0"/>
        </w:rPr>
        <w:endnoteReference w:id="102"/>
      </w:r>
      <w:r w:rsidR="00CA3939" w:rsidRPr="005C5C45">
        <w:t xml:space="preserve"> The </w:t>
      </w:r>
      <w:proofErr w:type="gramStart"/>
      <w:r w:rsidR="00CA3939" w:rsidRPr="005C5C45">
        <w:t xml:space="preserve">researchers </w:t>
      </w:r>
      <w:r w:rsidR="00135130" w:rsidRPr="005C5C45">
        <w:t xml:space="preserve"> </w:t>
      </w:r>
      <w:r w:rsidR="00CA3939" w:rsidRPr="005C5C45">
        <w:t>comment</w:t>
      </w:r>
      <w:proofErr w:type="gramEnd"/>
      <w:r w:rsidR="00CA3939" w:rsidRPr="005C5C45">
        <w:t xml:space="preserve"> that </w:t>
      </w:r>
      <w:r w:rsidR="00415346">
        <w:t>‘</w:t>
      </w:r>
      <w:r w:rsidR="00CA3939" w:rsidRPr="005C5C45">
        <w:t xml:space="preserve">to the extent that some actions by </w:t>
      </w:r>
      <w:r w:rsidR="00AA1E1D">
        <w:t>‘</w:t>
      </w:r>
      <w:r w:rsidR="00CA3939" w:rsidRPr="005C5C45">
        <w:t>political advisers</w:t>
      </w:r>
      <w:r w:rsidR="00AA1E1D">
        <w:t>’</w:t>
      </w:r>
      <w:r w:rsidR="00CA3939" w:rsidRPr="005C5C45">
        <w:t xml:space="preserve"> are part of the problem, action could be taken to rein in those of a cavalier disposition and ensure those who occupy these privileged positions are aware of their responsibilities, which include not compromising the capacity of others to discharge theirs</w:t>
      </w:r>
      <w:r w:rsidR="00415346">
        <w:t>’</w:t>
      </w:r>
      <w:r w:rsidR="006856D4">
        <w:t>.</w:t>
      </w:r>
      <w:r w:rsidR="00082DA0" w:rsidRPr="00082DA0">
        <w:rPr>
          <w:rStyle w:val="EndnoteReference"/>
          <w:bCs w:val="0"/>
        </w:rPr>
        <w:t xml:space="preserve"> </w:t>
      </w:r>
      <w:r w:rsidR="00082DA0" w:rsidRPr="005C5C45">
        <w:rPr>
          <w:rStyle w:val="EndnoteReference"/>
          <w:bCs w:val="0"/>
        </w:rPr>
        <w:endnoteReference w:id="103"/>
      </w:r>
    </w:p>
    <w:p w14:paraId="529B0600" w14:textId="7BBC501A" w:rsidR="00EA2F88" w:rsidRPr="005C5C45" w:rsidRDefault="002E7235" w:rsidP="00091006">
      <w:pPr>
        <w:pStyle w:val="Normalrglronly"/>
      </w:pPr>
      <w:r w:rsidRPr="005C5C45">
        <w:t>Former Prime Minister, Sir Geoffrey Palmer, expressed his view on 24 August 2017 that</w:t>
      </w:r>
      <w:r w:rsidR="00AC6092" w:rsidRPr="005C5C45">
        <w:t xml:space="preserve"> </w:t>
      </w:r>
      <w:r w:rsidR="00415346">
        <w:t>‘</w:t>
      </w:r>
      <w:r w:rsidR="00AC6092" w:rsidRPr="005C5C45">
        <w:t>there are blocks against getting information that in a modern democracy is really quite dangerous</w:t>
      </w:r>
      <w:r w:rsidR="00415346">
        <w:t>’</w:t>
      </w:r>
      <w:r w:rsidR="006856D4">
        <w:t>,</w:t>
      </w:r>
      <w:r w:rsidR="00CA3939" w:rsidRPr="005C5C45">
        <w:rPr>
          <w:rStyle w:val="EndnoteReference"/>
          <w:bCs w:val="0"/>
        </w:rPr>
        <w:endnoteReference w:id="104"/>
      </w:r>
      <w:r w:rsidR="00915EDF" w:rsidRPr="005C5C45">
        <w:t xml:space="preserve"> </w:t>
      </w:r>
      <w:r w:rsidR="00C4027C" w:rsidRPr="005C5C45">
        <w:t xml:space="preserve">and expanded in a discussion </w:t>
      </w:r>
      <w:r w:rsidR="00915EDF" w:rsidRPr="005C5C45">
        <w:t xml:space="preserve">with the IRM researcher </w:t>
      </w:r>
      <w:r w:rsidR="00C4027C" w:rsidRPr="005C5C45">
        <w:t xml:space="preserve">on </w:t>
      </w:r>
      <w:r w:rsidR="00051347" w:rsidRPr="005C5C45">
        <w:t>1 September</w:t>
      </w:r>
      <w:r w:rsidR="00C4027C" w:rsidRPr="005C5C45">
        <w:t xml:space="preserve"> 2017</w:t>
      </w:r>
      <w:r w:rsidR="00915EDF" w:rsidRPr="005C5C45">
        <w:t>, stating</w:t>
      </w:r>
      <w:r w:rsidRPr="005C5C45">
        <w:t xml:space="preserve"> that </w:t>
      </w:r>
      <w:r w:rsidR="00415346">
        <w:t>‘</w:t>
      </w:r>
      <w:r w:rsidR="00A57A7E" w:rsidRPr="005C5C45">
        <w:t>the system is broken</w:t>
      </w:r>
      <w:r w:rsidR="00415346">
        <w:t>’</w:t>
      </w:r>
      <w:r w:rsidR="00A57A7E" w:rsidRPr="005C5C45">
        <w:t xml:space="preserve"> and that </w:t>
      </w:r>
      <w:r w:rsidR="00415346">
        <w:t>‘</w:t>
      </w:r>
      <w:r w:rsidR="00AC6092" w:rsidRPr="005C5C45">
        <w:t xml:space="preserve">the </w:t>
      </w:r>
      <w:r w:rsidR="00C4027C" w:rsidRPr="005C5C45">
        <w:t>OIA is a playground for Ministers</w:t>
      </w:r>
      <w:r w:rsidR="000F7681" w:rsidRPr="005C5C45">
        <w:t>, that this was not cons</w:t>
      </w:r>
      <w:r w:rsidR="004E7452" w:rsidRPr="005C5C45">
        <w:t>t</w:t>
      </w:r>
      <w:r w:rsidR="000F7681" w:rsidRPr="005C5C45">
        <w:t xml:space="preserve">itutional, and </w:t>
      </w:r>
      <w:r w:rsidR="004E7452" w:rsidRPr="005C5C45">
        <w:t xml:space="preserve">that </w:t>
      </w:r>
      <w:r w:rsidR="000F7681" w:rsidRPr="005C5C45">
        <w:t>this had been the case for more than nine years</w:t>
      </w:r>
      <w:r w:rsidR="00415346">
        <w:t>’</w:t>
      </w:r>
      <w:r w:rsidR="006856D4">
        <w:t>.</w:t>
      </w:r>
      <w:r w:rsidR="000F7681" w:rsidRPr="005C5C45">
        <w:rPr>
          <w:rFonts w:ascii="Arial" w:hAnsi="Arial" w:cs="Arial"/>
          <w:color w:val="000000"/>
        </w:rPr>
        <w:t xml:space="preserve"> </w:t>
      </w:r>
      <w:r w:rsidR="000F7681" w:rsidRPr="005C5C45">
        <w:t xml:space="preserve">He proposed </w:t>
      </w:r>
      <w:r w:rsidR="004D3ECB" w:rsidRPr="005C5C45">
        <w:t xml:space="preserve">that the OIA </w:t>
      </w:r>
      <w:r w:rsidRPr="005C5C45">
        <w:t xml:space="preserve">should </w:t>
      </w:r>
      <w:r w:rsidR="004D3ECB" w:rsidRPr="005C5C45">
        <w:t>be extended</w:t>
      </w:r>
      <w:r w:rsidRPr="005C5C45">
        <w:t xml:space="preserve"> to</w:t>
      </w:r>
      <w:r w:rsidR="00FD0AB4" w:rsidRPr="005C5C45">
        <w:t xml:space="preserve"> include</w:t>
      </w:r>
      <w:r w:rsidRPr="005C5C45">
        <w:t xml:space="preserve"> Parliamentary Services and the Office of the Clerk, exclude the constituency proces</w:t>
      </w:r>
      <w:r w:rsidR="00915EDF" w:rsidRPr="005C5C45">
        <w:t>s</w:t>
      </w:r>
      <w:r w:rsidRPr="005C5C45">
        <w:t>, and that an Information Authority should be set up to administer the OIA</w:t>
      </w:r>
      <w:r w:rsidR="004D3ECB" w:rsidRPr="005C5C45">
        <w:t>, endorsing the N</w:t>
      </w:r>
      <w:r w:rsidR="00B10756" w:rsidRPr="005C5C45">
        <w:t xml:space="preserve">ew </w:t>
      </w:r>
      <w:r w:rsidR="004D3ECB" w:rsidRPr="005C5C45">
        <w:t>Z</w:t>
      </w:r>
      <w:r w:rsidR="00B10756" w:rsidRPr="005C5C45">
        <w:t>ealand</w:t>
      </w:r>
      <w:r w:rsidR="004D3ECB" w:rsidRPr="005C5C45">
        <w:t xml:space="preserve"> Law Commis</w:t>
      </w:r>
      <w:r w:rsidR="00915EDF" w:rsidRPr="005C5C45">
        <w:t>s</w:t>
      </w:r>
      <w:r w:rsidR="004D3ECB" w:rsidRPr="005C5C45">
        <w:t>ion’s 2012 administrative recommendation</w:t>
      </w:r>
      <w:r w:rsidRPr="005C5C45">
        <w:t>.</w:t>
      </w:r>
      <w:r w:rsidR="00915EDF" w:rsidRPr="005C5C45">
        <w:t xml:space="preserve"> </w:t>
      </w:r>
      <w:r w:rsidR="00AC6092" w:rsidRPr="005C5C45">
        <w:t xml:space="preserve">With the exception of Members of Parliaments’ </w:t>
      </w:r>
      <w:r w:rsidR="00F441DC" w:rsidRPr="005C5C45">
        <w:t>work</w:t>
      </w:r>
      <w:r w:rsidR="00AC6092" w:rsidRPr="005C5C45">
        <w:t xml:space="preserve"> on behalf of their constituents, </w:t>
      </w:r>
      <w:r w:rsidR="00F441DC" w:rsidRPr="005C5C45">
        <w:t xml:space="preserve">the operations of </w:t>
      </w:r>
      <w:r w:rsidR="00AC6092" w:rsidRPr="005C5C45">
        <w:t xml:space="preserve">Parliamentary Services and the Office of the Clerk would be </w:t>
      </w:r>
      <w:r w:rsidR="00F441DC" w:rsidRPr="005C5C45">
        <w:t>covered by</w:t>
      </w:r>
      <w:r w:rsidR="00AC6092" w:rsidRPr="005C5C45">
        <w:t xml:space="preserve"> the OIA.</w:t>
      </w:r>
      <w:r w:rsidR="00F441DC" w:rsidRPr="005C5C45">
        <w:t xml:space="preserve"> This would include Ministerial offices. </w:t>
      </w:r>
      <w:r w:rsidR="004E7452" w:rsidRPr="005C5C45">
        <w:t xml:space="preserve">The </w:t>
      </w:r>
      <w:r w:rsidR="007A429A" w:rsidRPr="005C5C45">
        <w:t xml:space="preserve">submissions </w:t>
      </w:r>
      <w:r w:rsidR="004E7452" w:rsidRPr="005C5C45">
        <w:t xml:space="preserve">presented by the public when </w:t>
      </w:r>
      <w:r w:rsidR="007A429A" w:rsidRPr="005C5C45">
        <w:t>this</w:t>
      </w:r>
      <w:r w:rsidR="00EA2F88" w:rsidRPr="005C5C45">
        <w:t xml:space="preserve"> action plan </w:t>
      </w:r>
      <w:r w:rsidR="004E7452" w:rsidRPr="005C5C45">
        <w:t xml:space="preserve">was developed </w:t>
      </w:r>
      <w:r w:rsidR="00EA2F88" w:rsidRPr="005C5C45">
        <w:t>also sought improved OIA processes, performance data, proactive release of official information and strengthened OIA training.</w:t>
      </w:r>
      <w:r w:rsidR="00CA3939" w:rsidRPr="005C5C45">
        <w:t xml:space="preserve"> </w:t>
      </w:r>
    </w:p>
    <w:p w14:paraId="221C3ECB" w14:textId="4A0FC6CB" w:rsidR="00EA2F88" w:rsidRPr="005C5C45" w:rsidRDefault="002774B7" w:rsidP="00091006">
      <w:pPr>
        <w:pStyle w:val="Normalrglronly"/>
      </w:pPr>
      <w:r w:rsidRPr="005C5C45">
        <w:t>This commitment</w:t>
      </w:r>
      <w:r w:rsidR="00EA2F88" w:rsidRPr="005C5C45">
        <w:t xml:space="preserve"> </w:t>
      </w:r>
      <w:r w:rsidR="0014037A" w:rsidRPr="005C5C45">
        <w:t>meet</w:t>
      </w:r>
      <w:r w:rsidR="004E7452" w:rsidRPr="005C5C45">
        <w:t>s</w:t>
      </w:r>
      <w:r w:rsidR="00EA2F88" w:rsidRPr="005C5C45">
        <w:t xml:space="preserve"> the OGP values of access to information</w:t>
      </w:r>
      <w:r w:rsidR="00D615F3" w:rsidRPr="005C5C45">
        <w:t xml:space="preserve"> and</w:t>
      </w:r>
      <w:r w:rsidR="00EA2F88" w:rsidRPr="005C5C45">
        <w:t xml:space="preserve"> public accountability</w:t>
      </w:r>
      <w:r w:rsidR="00511F85" w:rsidRPr="005C5C45">
        <w:t xml:space="preserve">. </w:t>
      </w:r>
      <w:r w:rsidR="00AF5F82" w:rsidRPr="005C5C45">
        <w:t xml:space="preserve">It </w:t>
      </w:r>
      <w:r w:rsidR="0027365A" w:rsidRPr="005C5C45">
        <w:t>addresses</w:t>
      </w:r>
      <w:r w:rsidR="00AF5F82" w:rsidRPr="005C5C45">
        <w:t xml:space="preserve"> all requests for information under the OIA, it covers both proactive and reactive releases of information and </w:t>
      </w:r>
      <w:r w:rsidR="00060B09" w:rsidRPr="005C5C45">
        <w:t xml:space="preserve">it </w:t>
      </w:r>
      <w:r w:rsidR="00AF5F82" w:rsidRPr="005C5C45">
        <w:t xml:space="preserve">aims to strengthen the right to information. </w:t>
      </w:r>
      <w:r w:rsidR="00494BCF" w:rsidRPr="005C5C45">
        <w:t xml:space="preserve">It is relevant to public accountability because the government </w:t>
      </w:r>
      <w:r w:rsidR="004F4137" w:rsidRPr="005C5C45">
        <w:t xml:space="preserve">will be publishing information that calls upon specific agencies to justify their actions, including how many requests it receives and the time it takes the agency to respond. </w:t>
      </w:r>
      <w:r w:rsidR="00EA2F88" w:rsidRPr="005C5C45">
        <w:t>The IRM researcher notes that</w:t>
      </w:r>
      <w:r w:rsidR="00FD689B" w:rsidRPr="005C5C45">
        <w:t xml:space="preserve"> government updated this</w:t>
      </w:r>
      <w:r w:rsidR="00EA2F88" w:rsidRPr="005C5C45">
        <w:t xml:space="preserve"> commitment’s ambition in </w:t>
      </w:r>
      <w:r w:rsidR="004E7452" w:rsidRPr="005C5C45">
        <w:t xml:space="preserve">its </w:t>
      </w:r>
      <w:r w:rsidR="00F102B4" w:rsidRPr="005C5C45">
        <w:t>mid-term self-assessment</w:t>
      </w:r>
      <w:r w:rsidR="00EA2F88" w:rsidRPr="005C5C45">
        <w:t xml:space="preserve"> document to include </w:t>
      </w:r>
      <w:r w:rsidR="00415346">
        <w:t>‘</w:t>
      </w:r>
      <w:r w:rsidR="00EA2F88" w:rsidRPr="005C5C45">
        <w:t>enhancing public participation in decision-making</w:t>
      </w:r>
      <w:r w:rsidR="00415346">
        <w:t>’</w:t>
      </w:r>
      <w:r w:rsidR="00AE59F1" w:rsidRPr="005C5C45">
        <w:t xml:space="preserve"> but did not</w:t>
      </w:r>
      <w:r w:rsidR="00D06DE8" w:rsidRPr="005C5C45">
        <w:t xml:space="preserve"> include any </w:t>
      </w:r>
      <w:r w:rsidR="007A429A" w:rsidRPr="005C5C45">
        <w:t xml:space="preserve">participatory </w:t>
      </w:r>
      <w:r w:rsidR="00D06DE8" w:rsidRPr="005C5C45">
        <w:t xml:space="preserve">actions to </w:t>
      </w:r>
      <w:r w:rsidR="007A429A" w:rsidRPr="005C5C45">
        <w:t>work with</w:t>
      </w:r>
      <w:r w:rsidR="00B76678" w:rsidRPr="005C5C45">
        <w:t xml:space="preserve"> requesters of information.</w:t>
      </w:r>
      <w:r w:rsidR="00112479" w:rsidRPr="005C5C45">
        <w:t xml:space="preserve"> </w:t>
      </w:r>
    </w:p>
    <w:p w14:paraId="48799D45" w14:textId="5DC02234" w:rsidR="002774B7" w:rsidRPr="005C5C45" w:rsidRDefault="0016175B" w:rsidP="00091006">
      <w:pPr>
        <w:pStyle w:val="Normalrglronly"/>
      </w:pPr>
      <w:r w:rsidRPr="005C5C45">
        <w:t>Planned a</w:t>
      </w:r>
      <w:r w:rsidR="00511F85" w:rsidRPr="005C5C45">
        <w:t>ctivities</w:t>
      </w:r>
      <w:r w:rsidR="00363267" w:rsidRPr="005C5C45">
        <w:t xml:space="preserve"> under this commitment</w:t>
      </w:r>
      <w:r w:rsidR="00511F85" w:rsidRPr="005C5C45">
        <w:t xml:space="preserve"> are clear</w:t>
      </w:r>
      <w:r w:rsidRPr="005C5C45">
        <w:t xml:space="preserve">, </w:t>
      </w:r>
      <w:r w:rsidR="00511F85" w:rsidRPr="005C5C45">
        <w:t xml:space="preserve">objectively verifiable and </w:t>
      </w:r>
      <w:r w:rsidR="00091C69" w:rsidRPr="005C5C45">
        <w:t>are directly relevant to the stated objective</w:t>
      </w:r>
      <w:r w:rsidR="00363267" w:rsidRPr="005C5C45">
        <w:t>.</w:t>
      </w:r>
      <w:r w:rsidR="00646B97" w:rsidRPr="005C5C45">
        <w:t xml:space="preserve"> </w:t>
      </w:r>
      <w:r w:rsidR="00091C69" w:rsidRPr="005C5C45">
        <w:t xml:space="preserve">The commitment’s objective is supported by the development and supply of common OIA and proactive release policy, principles, resources, guidance and training. Clear policy and consistent practices are likely to reduce agencies’ </w:t>
      </w:r>
      <w:r w:rsidR="00091C69" w:rsidRPr="005C5C45">
        <w:lastRenderedPageBreak/>
        <w:t xml:space="preserve">administrative burden around official information requests and make it easier for the public to navigate agencies’ individual OIA systems. </w:t>
      </w:r>
      <w:r w:rsidR="00646B97" w:rsidRPr="005C5C45">
        <w:t>Each activity</w:t>
      </w:r>
      <w:r w:rsidR="007718AB" w:rsidRPr="005C5C45">
        <w:t xml:space="preserve"> contains clear deliverables</w:t>
      </w:r>
      <w:r w:rsidR="00091C69" w:rsidRPr="005C5C45">
        <w:t xml:space="preserve">; however, the commitment does </w:t>
      </w:r>
      <w:r w:rsidR="007718AB" w:rsidRPr="005C5C45">
        <w:t xml:space="preserve">not identify how the government will measure agency uptake of these </w:t>
      </w:r>
      <w:r w:rsidR="00646B97" w:rsidRPr="005C5C45">
        <w:t>changes</w:t>
      </w:r>
      <w:r w:rsidR="003A3122" w:rsidRPr="005C5C45">
        <w:t xml:space="preserve">, </w:t>
      </w:r>
      <w:r w:rsidR="00091C69" w:rsidRPr="005C5C45">
        <w:t xml:space="preserve">nor does it </w:t>
      </w:r>
      <w:r w:rsidR="003A3122" w:rsidRPr="005C5C45">
        <w:t>includ</w:t>
      </w:r>
      <w:r w:rsidR="00091C69" w:rsidRPr="005C5C45">
        <w:t>e</w:t>
      </w:r>
      <w:r w:rsidR="003A3122" w:rsidRPr="005C5C45">
        <w:t xml:space="preserve"> a process </w:t>
      </w:r>
      <w:r w:rsidR="00091C69" w:rsidRPr="005C5C45">
        <w:t>to seek</w:t>
      </w:r>
      <w:r w:rsidR="003A3122" w:rsidRPr="005C5C45">
        <w:t xml:space="preserve"> feedback from the public</w:t>
      </w:r>
      <w:r w:rsidR="007718AB" w:rsidRPr="005C5C45">
        <w:t>.</w:t>
      </w:r>
      <w:r w:rsidR="00AA671A" w:rsidRPr="005C5C45">
        <w:t xml:space="preserve"> Furthermore, t</w:t>
      </w:r>
      <w:r w:rsidR="00107A15" w:rsidRPr="005C5C45">
        <w:t>he commitment</w:t>
      </w:r>
      <w:r w:rsidR="002774B7" w:rsidRPr="005C5C45">
        <w:t xml:space="preserve"> does not pick up on the wider OIA </w:t>
      </w:r>
      <w:r w:rsidR="00246F39" w:rsidRPr="005C5C45">
        <w:t>scope</w:t>
      </w:r>
      <w:r w:rsidR="004C43D2" w:rsidRPr="005C5C45">
        <w:t>,</w:t>
      </w:r>
      <w:r w:rsidR="00246F39" w:rsidRPr="005C5C45">
        <w:t xml:space="preserve"> Ministerial role</w:t>
      </w:r>
      <w:r w:rsidR="004C43D2" w:rsidRPr="005C5C45">
        <w:t xml:space="preserve">, </w:t>
      </w:r>
      <w:r w:rsidR="00EC17C8">
        <w:t>or</w:t>
      </w:r>
      <w:r w:rsidR="00EC17C8" w:rsidRPr="005C5C45">
        <w:t xml:space="preserve"> </w:t>
      </w:r>
      <w:r w:rsidR="004C43D2" w:rsidRPr="005C5C45">
        <w:t>cultural</w:t>
      </w:r>
      <w:r w:rsidR="00246F39" w:rsidRPr="005C5C45">
        <w:t xml:space="preserve"> </w:t>
      </w:r>
      <w:r w:rsidR="002774B7" w:rsidRPr="005C5C45">
        <w:t xml:space="preserve">issues citizens </w:t>
      </w:r>
      <w:r w:rsidR="00AA671A" w:rsidRPr="005C5C45">
        <w:t>(</w:t>
      </w:r>
      <w:r w:rsidR="002774B7" w:rsidRPr="005C5C45">
        <w:t>and the earlier review</w:t>
      </w:r>
      <w:r w:rsidR="00AA671A" w:rsidRPr="005C5C45">
        <w:t>)</w:t>
      </w:r>
      <w:r w:rsidR="002774B7" w:rsidRPr="005C5C45">
        <w:t xml:space="preserve"> had </w:t>
      </w:r>
      <w:proofErr w:type="gramStart"/>
      <w:r w:rsidR="002774B7" w:rsidRPr="005C5C45">
        <w:t>raised</w:t>
      </w:r>
      <w:proofErr w:type="gramEnd"/>
      <w:r w:rsidR="00AA671A" w:rsidRPr="005C5C45">
        <w:t>.</w:t>
      </w:r>
      <w:r w:rsidR="002774B7" w:rsidRPr="005C5C45">
        <w:t xml:space="preserve"> </w:t>
      </w:r>
      <w:r w:rsidR="00AA671A" w:rsidRPr="005C5C45">
        <w:t>A more transformative change would also</w:t>
      </w:r>
      <w:r w:rsidR="002774B7" w:rsidRPr="005C5C45">
        <w:t xml:space="preserve"> propose technological opportunities such as providing a single government website where the public </w:t>
      </w:r>
      <w:r w:rsidR="00107A15" w:rsidRPr="005C5C45">
        <w:t xml:space="preserve">can make </w:t>
      </w:r>
      <w:r w:rsidR="002774B7" w:rsidRPr="005C5C45">
        <w:t xml:space="preserve">OIA requests </w:t>
      </w:r>
      <w:r w:rsidR="00107A15" w:rsidRPr="005C5C45">
        <w:t xml:space="preserve">easily </w:t>
      </w:r>
      <w:r w:rsidR="002774B7" w:rsidRPr="005C5C45">
        <w:t xml:space="preserve">and </w:t>
      </w:r>
      <w:r w:rsidR="00107A15" w:rsidRPr="005C5C45">
        <w:t>find agencies’</w:t>
      </w:r>
      <w:r w:rsidR="002774B7" w:rsidRPr="005C5C45">
        <w:t xml:space="preserve"> responses</w:t>
      </w:r>
      <w:r w:rsidR="00107A15" w:rsidRPr="005C5C45">
        <w:t xml:space="preserve"> in one place</w:t>
      </w:r>
      <w:r w:rsidR="002774B7" w:rsidRPr="005C5C45">
        <w:t>.</w:t>
      </w:r>
    </w:p>
    <w:p w14:paraId="37498925" w14:textId="1732DC8F" w:rsidR="00355423" w:rsidRPr="005C5C45" w:rsidRDefault="00363267" w:rsidP="00091006">
      <w:pPr>
        <w:pStyle w:val="Normalrglronly"/>
      </w:pPr>
      <w:r w:rsidRPr="005C5C45">
        <w:t>I</w:t>
      </w:r>
      <w:r w:rsidR="00E771E5" w:rsidRPr="005C5C45">
        <w:t>f fully implemented</w:t>
      </w:r>
      <w:r w:rsidR="00355423" w:rsidRPr="005C5C45">
        <w:t xml:space="preserve"> this commitment would have a moderate potential impact. </w:t>
      </w:r>
      <w:r w:rsidR="00E771E5" w:rsidRPr="005C5C45">
        <w:t>I</w:t>
      </w:r>
      <w:r w:rsidR="00246F39" w:rsidRPr="005C5C45">
        <w:t>t could be argued that this work is only updating existing OIA training</w:t>
      </w:r>
      <w:r w:rsidR="00DD52BE" w:rsidRPr="005C5C45">
        <w:t>, processes</w:t>
      </w:r>
      <w:r w:rsidR="00246F39" w:rsidRPr="005C5C45">
        <w:t xml:space="preserve"> and resources</w:t>
      </w:r>
      <w:r w:rsidR="00DD52BE" w:rsidRPr="005C5C45">
        <w:t>, and, therefore, of minor impact</w:t>
      </w:r>
      <w:r w:rsidR="00E771E5" w:rsidRPr="005C5C45">
        <w:t>.</w:t>
      </w:r>
      <w:r w:rsidR="00246F39" w:rsidRPr="005C5C45">
        <w:t xml:space="preserve"> </w:t>
      </w:r>
      <w:r w:rsidR="00E771E5" w:rsidRPr="005C5C45">
        <w:t>T</w:t>
      </w:r>
      <w:r w:rsidR="00246F39" w:rsidRPr="005C5C45">
        <w:t>he IRM researcher</w:t>
      </w:r>
      <w:r w:rsidR="00E771E5" w:rsidRPr="005C5C45">
        <w:t>, however,</w:t>
      </w:r>
      <w:r w:rsidR="00246F39" w:rsidRPr="005C5C45">
        <w:t xml:space="preserve"> sees </w:t>
      </w:r>
      <w:r w:rsidR="00DD52BE" w:rsidRPr="005C5C45">
        <w:t>regular</w:t>
      </w:r>
      <w:r w:rsidR="00246F39" w:rsidRPr="005C5C45">
        <w:t xml:space="preserve"> reporting on agencies</w:t>
      </w:r>
      <w:r w:rsidR="00DD52BE" w:rsidRPr="005C5C45">
        <w:t>’ OIA response rates</w:t>
      </w:r>
      <w:r w:rsidR="00246F39" w:rsidRPr="005C5C45">
        <w:t>, proactive release of Cabinet Papers and related material</w:t>
      </w:r>
      <w:r w:rsidR="00DD52BE" w:rsidRPr="005C5C45">
        <w:t xml:space="preserve">, and </w:t>
      </w:r>
      <w:r w:rsidR="00E771E5" w:rsidRPr="005C5C45">
        <w:t xml:space="preserve">promoting the </w:t>
      </w:r>
      <w:r w:rsidR="00DD52BE" w:rsidRPr="005C5C45">
        <w:t>proactive release of responses to OIA requests</w:t>
      </w:r>
      <w:r w:rsidR="00246F39" w:rsidRPr="005C5C45">
        <w:t xml:space="preserve"> </w:t>
      </w:r>
      <w:r w:rsidR="00DD52BE" w:rsidRPr="005C5C45">
        <w:t xml:space="preserve">as </w:t>
      </w:r>
      <w:r w:rsidR="004C43D2" w:rsidRPr="005C5C45">
        <w:t>essential</w:t>
      </w:r>
      <w:r w:rsidR="00355423" w:rsidRPr="005C5C45">
        <w:t>.</w:t>
      </w:r>
      <w:r w:rsidR="009C1DB8" w:rsidRPr="005C5C45">
        <w:t xml:space="preserve"> </w:t>
      </w:r>
      <w:r w:rsidR="004C43D2" w:rsidRPr="005C5C45">
        <w:t xml:space="preserve">The strong and active executive leadership </w:t>
      </w:r>
      <w:r w:rsidR="009C1DB8" w:rsidRPr="005C5C45">
        <w:t>by the State Services Commissioner and the Chief Ombudsman</w:t>
      </w:r>
      <w:r w:rsidR="004C43D2" w:rsidRPr="005C5C45">
        <w:t xml:space="preserve">, as indicated in their public statements, also </w:t>
      </w:r>
      <w:r w:rsidR="00E771E5" w:rsidRPr="005C5C45">
        <w:t>regard</w:t>
      </w:r>
      <w:r w:rsidR="004C43D2" w:rsidRPr="005C5C45">
        <w:t xml:space="preserve"> this is a major commitment</w:t>
      </w:r>
      <w:r w:rsidR="00C25845">
        <w:t xml:space="preserve"> and</w:t>
      </w:r>
      <w:r w:rsidR="004C43D2" w:rsidRPr="005C5C45">
        <w:t xml:space="preserve"> are including </w:t>
      </w:r>
      <w:r w:rsidR="006D5C37" w:rsidRPr="005C5C45">
        <w:t>statutory Crown entities to which the OIA applies</w:t>
      </w:r>
      <w:r w:rsidR="004C43D2" w:rsidRPr="005C5C45">
        <w:t>.</w:t>
      </w:r>
      <w:r w:rsidR="004C43D2" w:rsidRPr="005C5C45">
        <w:rPr>
          <w:rStyle w:val="EndnoteReference"/>
          <w:bCs w:val="0"/>
        </w:rPr>
        <w:endnoteReference w:id="105"/>
      </w:r>
    </w:p>
    <w:p w14:paraId="12AEFFF9" w14:textId="77777777" w:rsidR="00EA2F88" w:rsidRPr="005C5C45" w:rsidRDefault="00DD52BE" w:rsidP="00091006">
      <w:pPr>
        <w:pStyle w:val="Normalrglronly"/>
      </w:pPr>
      <w:r w:rsidRPr="005C5C45">
        <w:t>Howe</w:t>
      </w:r>
      <w:r w:rsidR="00355423" w:rsidRPr="005C5C45">
        <w:t xml:space="preserve">ver, </w:t>
      </w:r>
      <w:r w:rsidR="00D11BCF" w:rsidRPr="005C5C45">
        <w:t>the commitment</w:t>
      </w:r>
      <w:r w:rsidR="00355423" w:rsidRPr="005C5C45">
        <w:t xml:space="preserve"> remains limited in scope.</w:t>
      </w:r>
      <w:r w:rsidR="009C2356" w:rsidRPr="005C5C45">
        <w:t xml:space="preserve"> </w:t>
      </w:r>
      <w:r w:rsidR="00EA2F88" w:rsidRPr="005C5C45">
        <w:t xml:space="preserve">Transformative change would be achieved with </w:t>
      </w:r>
      <w:r w:rsidR="00D11BCF" w:rsidRPr="005C5C45">
        <w:t xml:space="preserve">a </w:t>
      </w:r>
      <w:r w:rsidR="00EA2F88" w:rsidRPr="005C5C45">
        <w:t>Ministerial and executive commitmen</w:t>
      </w:r>
      <w:r w:rsidR="00FC4BC5" w:rsidRPr="005C5C45">
        <w:t xml:space="preserve">t to </w:t>
      </w:r>
      <w:r w:rsidR="00DA0BC4" w:rsidRPr="005C5C45">
        <w:t>amend the l</w:t>
      </w:r>
      <w:r w:rsidR="00FC4BC5" w:rsidRPr="005C5C45">
        <w:t>egislation</w:t>
      </w:r>
      <w:r w:rsidR="00DA0BC4" w:rsidRPr="005C5C45">
        <w:t xml:space="preserve"> to encompass</w:t>
      </w:r>
      <w:r w:rsidR="00246F39" w:rsidRPr="005C5C45">
        <w:t xml:space="preserve"> Parliamentary Services and the Office of the Clerk</w:t>
      </w:r>
      <w:r w:rsidR="00FC4BC5" w:rsidRPr="005C5C45">
        <w:t xml:space="preserve">, </w:t>
      </w:r>
      <w:r w:rsidR="00D11BCF" w:rsidRPr="005C5C45">
        <w:t>and the concomitant</w:t>
      </w:r>
      <w:r w:rsidR="009C1DB8" w:rsidRPr="005C5C45">
        <w:t xml:space="preserve"> </w:t>
      </w:r>
      <w:r w:rsidR="00D11BCF" w:rsidRPr="005C5C45">
        <w:t xml:space="preserve">encouragement of </w:t>
      </w:r>
      <w:r w:rsidR="00EA2F88" w:rsidRPr="005C5C45">
        <w:t xml:space="preserve">cultural change </w:t>
      </w:r>
      <w:r w:rsidR="009C1DB8" w:rsidRPr="005C5C45">
        <w:t xml:space="preserve">to open government </w:t>
      </w:r>
      <w:r w:rsidR="00EA2F88" w:rsidRPr="005C5C45">
        <w:t>across</w:t>
      </w:r>
      <w:r w:rsidR="009C1DB8" w:rsidRPr="005C5C45">
        <w:t xml:space="preserve"> the public sector</w:t>
      </w:r>
      <w:r w:rsidR="00D11BCF" w:rsidRPr="005C5C45">
        <w:t>.</w:t>
      </w:r>
      <w:r w:rsidR="00FC4BC5" w:rsidRPr="005C5C45">
        <w:t xml:space="preserve"> </w:t>
      </w:r>
      <w:r w:rsidR="00D11BCF" w:rsidRPr="005C5C45">
        <w:t>This would be achieved through the provision of a cross-government OIA request and response website, or other virtual process.</w:t>
      </w:r>
    </w:p>
    <w:p w14:paraId="5E9EB445" w14:textId="77777777" w:rsidR="00EA2F88" w:rsidRPr="005C5C45" w:rsidRDefault="00EA2F88" w:rsidP="008F6D7B">
      <w:pPr>
        <w:pStyle w:val="Heading3"/>
      </w:pPr>
      <w:r w:rsidRPr="005C5C45">
        <w:t>Completion</w:t>
      </w:r>
    </w:p>
    <w:p w14:paraId="0976997B" w14:textId="7A4EC6DC" w:rsidR="00074A05" w:rsidRPr="005C5C45" w:rsidRDefault="00EA2F88" w:rsidP="00091006">
      <w:pPr>
        <w:pStyle w:val="Normalrglronly"/>
      </w:pPr>
      <w:r w:rsidRPr="005C5C45">
        <w:t>At the end of the first year</w:t>
      </w:r>
      <w:r w:rsidR="00503886" w:rsidRPr="005C5C45">
        <w:t>,</w:t>
      </w:r>
      <w:r w:rsidRPr="005C5C45">
        <w:t xml:space="preserve"> implementation </w:t>
      </w:r>
      <w:r w:rsidR="00A344DB" w:rsidRPr="005C5C45">
        <w:t xml:space="preserve">of </w:t>
      </w:r>
      <w:r w:rsidRPr="005C5C45">
        <w:t xml:space="preserve">the commitment is </w:t>
      </w:r>
      <w:r w:rsidR="006F2610" w:rsidRPr="005C5C45">
        <w:t>substantially</w:t>
      </w:r>
      <w:r w:rsidR="00363267" w:rsidRPr="005C5C45">
        <w:t xml:space="preserve"> completed and </w:t>
      </w:r>
      <w:r w:rsidRPr="005C5C45">
        <w:t xml:space="preserve">on schedule. </w:t>
      </w:r>
      <w:r w:rsidR="00503886" w:rsidRPr="005C5C45">
        <w:t xml:space="preserve">Of the listed activities, the government </w:t>
      </w:r>
      <w:r w:rsidR="00074A05" w:rsidRPr="005C5C45">
        <w:t xml:space="preserve">has fully completed three: they </w:t>
      </w:r>
      <w:r w:rsidR="0071733E" w:rsidRPr="005C5C45">
        <w:t xml:space="preserve">supplied </w:t>
      </w:r>
      <w:r w:rsidR="00EA54C3" w:rsidRPr="005C5C45">
        <w:t>agencies with</w:t>
      </w:r>
      <w:r w:rsidR="00503886" w:rsidRPr="005C5C45">
        <w:t xml:space="preserve"> information about the OIA </w:t>
      </w:r>
      <w:r w:rsidR="009D707F" w:rsidRPr="005C5C45">
        <w:t xml:space="preserve">and </w:t>
      </w:r>
      <w:r w:rsidR="00074A05" w:rsidRPr="005C5C45">
        <w:t xml:space="preserve">made </w:t>
      </w:r>
      <w:r w:rsidR="009D707F" w:rsidRPr="005C5C45">
        <w:t>respon</w:t>
      </w:r>
      <w:r w:rsidR="00074A05" w:rsidRPr="005C5C45">
        <w:t>ses</w:t>
      </w:r>
      <w:r w:rsidR="009D707F" w:rsidRPr="005C5C45">
        <w:t xml:space="preserve"> to requests </w:t>
      </w:r>
      <w:r w:rsidR="00074A05" w:rsidRPr="005C5C45">
        <w:t>easily accessible on</w:t>
      </w:r>
      <w:r w:rsidR="00503886" w:rsidRPr="005C5C45">
        <w:t xml:space="preserve"> </w:t>
      </w:r>
      <w:r w:rsidR="00EA54C3" w:rsidRPr="005C5C45">
        <w:t>their</w:t>
      </w:r>
      <w:r w:rsidR="00074A05" w:rsidRPr="005C5C45">
        <w:t xml:space="preserve"> websites;</w:t>
      </w:r>
      <w:r w:rsidR="00503886" w:rsidRPr="005C5C45">
        <w:t xml:space="preserve"> </w:t>
      </w:r>
      <w:r w:rsidR="00074A05" w:rsidRPr="005C5C45">
        <w:t>they published OIA statistics; and they</w:t>
      </w:r>
      <w:r w:rsidR="00503886" w:rsidRPr="005C5C45">
        <w:t xml:space="preserve"> developed </w:t>
      </w:r>
      <w:r w:rsidR="0071733E" w:rsidRPr="005C5C45">
        <w:t>policy</w:t>
      </w:r>
      <w:r w:rsidR="00503886" w:rsidRPr="005C5C45">
        <w:t xml:space="preserve"> for proactive release of information</w:t>
      </w:r>
      <w:r w:rsidR="00A344DB" w:rsidRPr="005C5C45">
        <w:t>:</w:t>
      </w:r>
      <w:r w:rsidR="00503886" w:rsidRPr="005C5C45">
        <w:t xml:space="preserve"> </w:t>
      </w:r>
    </w:p>
    <w:p w14:paraId="25EAB211" w14:textId="3BB955BD" w:rsidR="00074A05" w:rsidRPr="005C5C45" w:rsidRDefault="00EA2F88" w:rsidP="00F74D6D">
      <w:pPr>
        <w:pStyle w:val="Normalrglronly"/>
        <w:numPr>
          <w:ilvl w:val="0"/>
          <w:numId w:val="61"/>
        </w:numPr>
        <w:rPr>
          <w:rFonts w:cs="Gill Sans"/>
          <w:color w:val="222222"/>
        </w:rPr>
      </w:pPr>
      <w:r w:rsidRPr="005C5C45">
        <w:rPr>
          <w:rFonts w:cs="Gill Sans"/>
          <w:color w:val="222222"/>
        </w:rPr>
        <w:t xml:space="preserve">The </w:t>
      </w:r>
      <w:r w:rsidR="00503886" w:rsidRPr="005C5C45">
        <w:rPr>
          <w:rFonts w:cs="Gill Sans"/>
          <w:color w:val="222222"/>
        </w:rPr>
        <w:t>State Services Commission (</w:t>
      </w:r>
      <w:r w:rsidRPr="005C5C45">
        <w:rPr>
          <w:rFonts w:cs="Gill Sans"/>
          <w:color w:val="222222"/>
        </w:rPr>
        <w:t>SSC</w:t>
      </w:r>
      <w:r w:rsidR="00503886" w:rsidRPr="005C5C45">
        <w:rPr>
          <w:rFonts w:cs="Gill Sans"/>
          <w:color w:val="222222"/>
        </w:rPr>
        <w:t>)</w:t>
      </w:r>
      <w:r w:rsidRPr="005C5C45">
        <w:rPr>
          <w:rFonts w:cs="Gill Sans"/>
          <w:color w:val="222222"/>
        </w:rPr>
        <w:t xml:space="preserve"> and the Office of the Ombudsman announced their joint work to improve OIA responsiveness on 20 October 2016</w:t>
      </w:r>
      <w:r w:rsidR="00CE5A83" w:rsidRPr="005C5C45">
        <w:rPr>
          <w:rFonts w:cs="Gill Sans"/>
          <w:color w:val="222222"/>
        </w:rPr>
        <w:t>.</w:t>
      </w:r>
      <w:r w:rsidRPr="005C5C45">
        <w:rPr>
          <w:rStyle w:val="EndnoteReference"/>
          <w:rFonts w:cs="Gill Sans"/>
          <w:color w:val="222222"/>
        </w:rPr>
        <w:endnoteReference w:id="106"/>
      </w:r>
      <w:r w:rsidR="00CE5A83" w:rsidRPr="005C5C45">
        <w:rPr>
          <w:rFonts w:ascii="Arial" w:hAnsi="Arial" w:cs="Arial"/>
          <w:color w:val="333333"/>
          <w:sz w:val="23"/>
          <w:szCs w:val="23"/>
          <w:shd w:val="clear" w:color="auto" w:fill="FFFFFF"/>
        </w:rPr>
        <w:t xml:space="preserve"> </w:t>
      </w:r>
      <w:r w:rsidRPr="005C5C45">
        <w:rPr>
          <w:rFonts w:cs="Gill Sans"/>
          <w:color w:val="222222"/>
        </w:rPr>
        <w:t xml:space="preserve">On 29 June 2017, the SSC released </w:t>
      </w:r>
      <w:r w:rsidR="00074A05" w:rsidRPr="005C5C45">
        <w:t>guiding information for government agencies to place on their own websites. This guide included tips for those requesting official information.</w:t>
      </w:r>
      <w:r w:rsidR="00074A05" w:rsidRPr="005C5C45">
        <w:rPr>
          <w:rStyle w:val="EndnoteReference"/>
        </w:rPr>
        <w:endnoteReference w:id="107"/>
      </w:r>
      <w:r w:rsidR="00074A05" w:rsidRPr="005C5C45">
        <w:t xml:space="preserve"> The SSC provided all agencies an </w:t>
      </w:r>
      <w:r w:rsidR="005566BF">
        <w:t>.</w:t>
      </w:r>
      <w:r w:rsidR="00074A05" w:rsidRPr="005C5C45">
        <w:t>html template to ensure easy access.</w:t>
      </w:r>
      <w:r w:rsidRPr="005C5C45">
        <w:rPr>
          <w:rFonts w:cs="Gill Sans"/>
          <w:color w:val="222222"/>
        </w:rPr>
        <w:t xml:space="preserve"> </w:t>
      </w:r>
    </w:p>
    <w:p w14:paraId="37BDFA5D" w14:textId="54B53DF8" w:rsidR="006D5C37" w:rsidRPr="005C5C45" w:rsidRDefault="00EA2F88" w:rsidP="00F74D6D">
      <w:pPr>
        <w:pStyle w:val="Normalrglronly"/>
        <w:numPr>
          <w:ilvl w:val="0"/>
          <w:numId w:val="61"/>
        </w:numPr>
        <w:rPr>
          <w:rFonts w:cs="Gill Sans"/>
          <w:color w:val="222222"/>
        </w:rPr>
      </w:pPr>
      <w:r w:rsidRPr="005C5C45">
        <w:rPr>
          <w:rFonts w:cs="Gill Sans"/>
          <w:color w:val="222222"/>
        </w:rPr>
        <w:t>In January</w:t>
      </w:r>
      <w:r w:rsidR="00EA54C3" w:rsidRPr="005C5C45">
        <w:rPr>
          <w:rFonts w:cs="Gill Sans"/>
          <w:color w:val="222222"/>
        </w:rPr>
        <w:t xml:space="preserve"> 2017</w:t>
      </w:r>
      <w:r w:rsidRPr="005C5C45">
        <w:rPr>
          <w:rFonts w:cs="Gill Sans"/>
          <w:color w:val="222222"/>
        </w:rPr>
        <w:t>, the SSC published OIA statistics from 110 government agencies</w:t>
      </w:r>
      <w:r w:rsidR="00CE5A83" w:rsidRPr="005C5C45">
        <w:rPr>
          <w:rFonts w:cs="Gill Sans"/>
          <w:color w:val="222222"/>
        </w:rPr>
        <w:t>,</w:t>
      </w:r>
      <w:r w:rsidRPr="005C5C45">
        <w:rPr>
          <w:rStyle w:val="EndnoteReference"/>
        </w:rPr>
        <w:endnoteReference w:id="108"/>
      </w:r>
      <w:r w:rsidRPr="005C5C45">
        <w:rPr>
          <w:rFonts w:ascii="Arial" w:hAnsi="Arial" w:cs="Arial"/>
          <w:color w:val="000000"/>
          <w:shd w:val="clear" w:color="auto" w:fill="FFFFFF"/>
        </w:rPr>
        <w:t xml:space="preserve"> </w:t>
      </w:r>
      <w:r w:rsidRPr="005C5C45">
        <w:rPr>
          <w:rFonts w:cs="Gill Sans"/>
          <w:color w:val="222222"/>
        </w:rPr>
        <w:t>and the Chief Ombudsman published OIA complaints received against Ministers and agencies</w:t>
      </w:r>
      <w:r w:rsidR="00CE5A83" w:rsidRPr="005C5C45">
        <w:rPr>
          <w:rFonts w:cs="Gill Sans"/>
          <w:color w:val="222222"/>
        </w:rPr>
        <w:t>.</w:t>
      </w:r>
      <w:r w:rsidR="00A344DB" w:rsidRPr="005C5C45">
        <w:rPr>
          <w:rStyle w:val="EndnoteReference"/>
          <w:rFonts w:cs="Gill Sans"/>
          <w:color w:val="222222"/>
        </w:rPr>
        <w:endnoteReference w:id="109"/>
      </w:r>
      <w:r w:rsidRPr="005C5C45">
        <w:t xml:space="preserve"> </w:t>
      </w:r>
      <w:r w:rsidR="00F44E3E" w:rsidRPr="005C5C45">
        <w:rPr>
          <w:rFonts w:cs="Gill Sans"/>
          <w:color w:val="222222"/>
        </w:rPr>
        <w:t>These statistics</w:t>
      </w:r>
      <w:r w:rsidR="00EA54C3" w:rsidRPr="005C5C45">
        <w:rPr>
          <w:rFonts w:cs="Gill Sans"/>
          <w:color w:val="222222"/>
        </w:rPr>
        <w:t xml:space="preserve">, which will be updated </w:t>
      </w:r>
      <w:r w:rsidR="00074A05" w:rsidRPr="005C5C45">
        <w:rPr>
          <w:rFonts w:cs="Gill Sans"/>
          <w:color w:val="222222"/>
        </w:rPr>
        <w:t>every six months</w:t>
      </w:r>
      <w:r w:rsidR="00EA54C3" w:rsidRPr="005C5C45">
        <w:rPr>
          <w:rFonts w:cs="Gill Sans"/>
          <w:color w:val="222222"/>
        </w:rPr>
        <w:t>,</w:t>
      </w:r>
      <w:r w:rsidR="00F44E3E" w:rsidRPr="005C5C45">
        <w:rPr>
          <w:rFonts w:cs="Gill Sans"/>
          <w:color w:val="222222"/>
        </w:rPr>
        <w:t xml:space="preserve"> </w:t>
      </w:r>
      <w:r w:rsidR="007E7E99" w:rsidRPr="005C5C45">
        <w:rPr>
          <w:rFonts w:cs="Gill Sans"/>
          <w:color w:val="222222"/>
        </w:rPr>
        <w:t>are an accountability league table</w:t>
      </w:r>
      <w:r w:rsidR="00E40251">
        <w:rPr>
          <w:rFonts w:cs="Gill Sans"/>
          <w:color w:val="222222"/>
        </w:rPr>
        <w:t>—</w:t>
      </w:r>
      <w:r w:rsidR="007E7E99" w:rsidRPr="005C5C45">
        <w:rPr>
          <w:rFonts w:cs="Gill Sans"/>
          <w:color w:val="222222"/>
        </w:rPr>
        <w:t>the public</w:t>
      </w:r>
      <w:r w:rsidR="00F44E3E" w:rsidRPr="005C5C45">
        <w:rPr>
          <w:rFonts w:cs="Gill Sans"/>
          <w:color w:val="222222"/>
        </w:rPr>
        <w:t xml:space="preserve"> </w:t>
      </w:r>
      <w:r w:rsidR="007E7E99" w:rsidRPr="005C5C45">
        <w:rPr>
          <w:rFonts w:cs="Gill Sans"/>
          <w:color w:val="222222"/>
        </w:rPr>
        <w:t xml:space="preserve">can see </w:t>
      </w:r>
      <w:r w:rsidR="00F44E3E" w:rsidRPr="005C5C45">
        <w:rPr>
          <w:rFonts w:cs="Gill Sans"/>
          <w:color w:val="222222"/>
        </w:rPr>
        <w:t xml:space="preserve">how </w:t>
      </w:r>
      <w:r w:rsidR="007E7E99" w:rsidRPr="005C5C45">
        <w:rPr>
          <w:rFonts w:cs="Gill Sans"/>
          <w:color w:val="222222"/>
        </w:rPr>
        <w:t xml:space="preserve">well </w:t>
      </w:r>
      <w:r w:rsidR="00F44E3E" w:rsidRPr="005C5C45">
        <w:rPr>
          <w:rFonts w:cs="Gill Sans"/>
          <w:color w:val="222222"/>
        </w:rPr>
        <w:t>each agency is applying the OIA, and</w:t>
      </w:r>
      <w:r w:rsidR="007E7E99" w:rsidRPr="005C5C45">
        <w:rPr>
          <w:rFonts w:cs="Gill Sans"/>
          <w:color w:val="222222"/>
        </w:rPr>
        <w:t xml:space="preserve"> which </w:t>
      </w:r>
      <w:r w:rsidR="00074A05" w:rsidRPr="005C5C45">
        <w:rPr>
          <w:rFonts w:cs="Gill Sans"/>
          <w:color w:val="222222"/>
        </w:rPr>
        <w:t>agencies are</w:t>
      </w:r>
      <w:r w:rsidR="007E7E99" w:rsidRPr="005C5C45">
        <w:rPr>
          <w:rFonts w:cs="Gill Sans"/>
          <w:color w:val="222222"/>
        </w:rPr>
        <w:t xml:space="preserve"> </w:t>
      </w:r>
      <w:r w:rsidR="00074A05" w:rsidRPr="005C5C45">
        <w:rPr>
          <w:rFonts w:cs="Gill Sans"/>
          <w:color w:val="222222"/>
        </w:rPr>
        <w:t>making</w:t>
      </w:r>
      <w:r w:rsidR="00F44E3E" w:rsidRPr="005C5C45">
        <w:rPr>
          <w:rFonts w:cs="Gill Sans"/>
          <w:color w:val="222222"/>
        </w:rPr>
        <w:t xml:space="preserve"> information increasingly accessible.</w:t>
      </w:r>
    </w:p>
    <w:p w14:paraId="0E3A8081" w14:textId="77777777" w:rsidR="00C013AB" w:rsidRPr="005C5C45" w:rsidRDefault="00EA2F88" w:rsidP="00E40251">
      <w:pPr>
        <w:pStyle w:val="NormalWeb"/>
        <w:numPr>
          <w:ilvl w:val="0"/>
          <w:numId w:val="61"/>
        </w:numPr>
        <w:shd w:val="clear" w:color="auto" w:fill="FFFFFF"/>
        <w:spacing w:before="0" w:beforeAutospacing="0" w:after="0" w:afterAutospacing="0"/>
        <w:rPr>
          <w:rFonts w:ascii="Gill Sans" w:hAnsi="Gill Sans" w:cs="Gill Sans"/>
          <w:color w:val="222222"/>
        </w:rPr>
      </w:pPr>
      <w:r w:rsidRPr="005C5C45">
        <w:rPr>
          <w:rFonts w:ascii="Gill Sans" w:hAnsi="Gill Sans" w:cs="Gill Sans"/>
          <w:color w:val="222222"/>
        </w:rPr>
        <w:t xml:space="preserve">The </w:t>
      </w:r>
      <w:r w:rsidR="00AE59F1" w:rsidRPr="005C5C45">
        <w:rPr>
          <w:rFonts w:ascii="Gill Sans" w:hAnsi="Gill Sans" w:cs="Gill Sans"/>
          <w:color w:val="222222"/>
        </w:rPr>
        <w:t xml:space="preserve">Department of Prime Minister and Cabinet (DPMC) updated the </w:t>
      </w:r>
      <w:r w:rsidRPr="005C5C45">
        <w:rPr>
          <w:rFonts w:ascii="Gill Sans" w:hAnsi="Gill Sans" w:cs="Gill Sans"/>
          <w:color w:val="222222"/>
        </w:rPr>
        <w:t>Cabinet Manual to include government policy on the proactive release of Cabinet papers</w:t>
      </w:r>
      <w:r w:rsidR="00CE5A83" w:rsidRPr="005C5C45">
        <w:rPr>
          <w:rFonts w:ascii="Gill Sans" w:hAnsi="Gill Sans" w:cs="Gill Sans"/>
          <w:color w:val="222222"/>
        </w:rPr>
        <w:t>,</w:t>
      </w:r>
      <w:r w:rsidR="00E95082" w:rsidRPr="005C5C45">
        <w:rPr>
          <w:rStyle w:val="EndnoteReference"/>
          <w:rFonts w:ascii="Gill Sans" w:hAnsi="Gill Sans" w:cs="Gill Sans"/>
          <w:color w:val="222222"/>
        </w:rPr>
        <w:endnoteReference w:customMarkFollows="1" w:id="110"/>
        <w:t>12</w:t>
      </w:r>
      <w:r w:rsidRPr="005C5C45">
        <w:rPr>
          <w:rFonts w:ascii="Gill Sans" w:hAnsi="Gill Sans" w:cs="Gill Sans"/>
          <w:color w:val="222222"/>
        </w:rPr>
        <w:t xml:space="preserve"> </w:t>
      </w:r>
      <w:r w:rsidR="0095758D" w:rsidRPr="005C5C45">
        <w:rPr>
          <w:rFonts w:ascii="Gill Sans" w:hAnsi="Gill Sans" w:cs="Gill Sans"/>
          <w:color w:val="222222"/>
        </w:rPr>
        <w:t>and</w:t>
      </w:r>
      <w:r w:rsidRPr="005C5C45">
        <w:rPr>
          <w:rFonts w:ascii="Gill Sans" w:hAnsi="Gill Sans" w:cs="Gill Sans"/>
          <w:color w:val="222222"/>
        </w:rPr>
        <w:t xml:space="preserve"> the SSC </w:t>
      </w:r>
      <w:r w:rsidR="0095758D" w:rsidRPr="005C5C45">
        <w:rPr>
          <w:rFonts w:ascii="Gill Sans" w:hAnsi="Gill Sans" w:cs="Gill Sans"/>
          <w:color w:val="222222"/>
        </w:rPr>
        <w:t xml:space="preserve">and </w:t>
      </w:r>
      <w:r w:rsidR="00D06DE8" w:rsidRPr="005C5C45">
        <w:rPr>
          <w:rFonts w:ascii="Gill Sans" w:hAnsi="Gill Sans" w:cs="Gill Sans"/>
          <w:color w:val="222222"/>
        </w:rPr>
        <w:t>DPMC</w:t>
      </w:r>
      <w:r w:rsidR="0095758D" w:rsidRPr="005C5C45">
        <w:rPr>
          <w:rFonts w:ascii="Gill Sans" w:hAnsi="Gill Sans" w:cs="Gill Sans"/>
          <w:color w:val="222222"/>
        </w:rPr>
        <w:t xml:space="preserve"> </w:t>
      </w:r>
      <w:r w:rsidRPr="005C5C45">
        <w:rPr>
          <w:rFonts w:ascii="Gill Sans" w:hAnsi="Gill Sans" w:cs="Gill Sans"/>
          <w:color w:val="222222"/>
        </w:rPr>
        <w:t>released guidance on proactive releas</w:t>
      </w:r>
      <w:r w:rsidR="0095758D" w:rsidRPr="005C5C45">
        <w:rPr>
          <w:rFonts w:ascii="Gill Sans" w:hAnsi="Gill Sans" w:cs="Gill Sans"/>
          <w:color w:val="222222"/>
        </w:rPr>
        <w:t>e of official information on their</w:t>
      </w:r>
      <w:r w:rsidRPr="005C5C45">
        <w:rPr>
          <w:rFonts w:ascii="Gill Sans" w:hAnsi="Gill Sans" w:cs="Gill Sans"/>
          <w:color w:val="222222"/>
        </w:rPr>
        <w:t xml:space="preserve"> website</w:t>
      </w:r>
      <w:r w:rsidR="0095758D" w:rsidRPr="005C5C45">
        <w:rPr>
          <w:rFonts w:ascii="Gill Sans" w:hAnsi="Gill Sans" w:cs="Gill Sans"/>
          <w:color w:val="222222"/>
        </w:rPr>
        <w:t>s</w:t>
      </w:r>
      <w:r w:rsidRPr="005C5C45">
        <w:rPr>
          <w:rFonts w:ascii="Gill Sans" w:hAnsi="Gill Sans" w:cs="Gill Sans"/>
          <w:color w:val="222222"/>
        </w:rPr>
        <w:t>.</w:t>
      </w:r>
      <w:r w:rsidR="00E95082" w:rsidRPr="005C5C45">
        <w:rPr>
          <w:rStyle w:val="EndnoteReference"/>
          <w:rFonts w:ascii="Gill Sans" w:hAnsi="Gill Sans" w:cs="Gill Sans"/>
          <w:color w:val="222222"/>
        </w:rPr>
        <w:endnoteReference w:customMarkFollows="1" w:id="111"/>
        <w:t>13</w:t>
      </w:r>
      <w:r w:rsidR="0095758D" w:rsidRPr="005C5C45">
        <w:rPr>
          <w:rFonts w:ascii="Gill Sans" w:hAnsi="Gill Sans" w:cs="Gill Sans"/>
          <w:color w:val="222222"/>
        </w:rPr>
        <w:t xml:space="preserve"> </w:t>
      </w:r>
      <w:r w:rsidR="00AE59F1" w:rsidRPr="005C5C45">
        <w:rPr>
          <w:rFonts w:ascii="Gill Sans" w:hAnsi="Gill Sans" w:cs="Gill Sans"/>
          <w:color w:val="222222"/>
        </w:rPr>
        <w:t xml:space="preserve">DPMC released </w:t>
      </w:r>
      <w:r w:rsidR="0095758D" w:rsidRPr="005C5C45">
        <w:rPr>
          <w:rFonts w:ascii="Gill Sans" w:hAnsi="Gill Sans" w:cs="Gill Sans"/>
          <w:color w:val="222222"/>
        </w:rPr>
        <w:t>Cabinet Office Notice (</w:t>
      </w:r>
      <w:proofErr w:type="gramStart"/>
      <w:r w:rsidR="0095758D" w:rsidRPr="005C5C45">
        <w:rPr>
          <w:rFonts w:ascii="Gill Sans" w:hAnsi="Gill Sans" w:cs="Gill Sans"/>
          <w:color w:val="222222"/>
        </w:rPr>
        <w:t>15)3</w:t>
      </w:r>
      <w:proofErr w:type="gramEnd"/>
      <w:r w:rsidR="0095758D" w:rsidRPr="005C5C45">
        <w:rPr>
          <w:rFonts w:ascii="Gill Sans" w:hAnsi="Gill Sans" w:cs="Gill Sans"/>
          <w:color w:val="222222"/>
        </w:rPr>
        <w:t xml:space="preserve"> on the proactiv</w:t>
      </w:r>
      <w:r w:rsidR="00AE59F1" w:rsidRPr="005C5C45">
        <w:rPr>
          <w:rFonts w:ascii="Gill Sans" w:hAnsi="Gill Sans" w:cs="Gill Sans"/>
          <w:color w:val="222222"/>
        </w:rPr>
        <w:t xml:space="preserve">e release of Cabinet papers </w:t>
      </w:r>
      <w:r w:rsidR="007A429A" w:rsidRPr="005C5C45">
        <w:rPr>
          <w:rFonts w:ascii="Gill Sans" w:hAnsi="Gill Sans" w:cs="Gill Sans"/>
          <w:color w:val="222222"/>
        </w:rPr>
        <w:t>on the internal government website</w:t>
      </w:r>
      <w:r w:rsidR="0095758D" w:rsidRPr="005C5C45">
        <w:rPr>
          <w:rFonts w:ascii="Gill Sans" w:hAnsi="Gill Sans" w:cs="Gill Sans"/>
          <w:color w:val="222222"/>
        </w:rPr>
        <w:t>, but not publicly.</w:t>
      </w:r>
      <w:r w:rsidR="00F44E3E" w:rsidRPr="005C5C45">
        <w:rPr>
          <w:rFonts w:ascii="Gill Sans" w:hAnsi="Gill Sans" w:cs="Gill Sans"/>
          <w:color w:val="222222"/>
        </w:rPr>
        <w:t xml:space="preserve"> These policy statements </w:t>
      </w:r>
      <w:r w:rsidR="00F06470" w:rsidRPr="005C5C45">
        <w:rPr>
          <w:rFonts w:ascii="Gill Sans" w:hAnsi="Gill Sans" w:cs="Gill Sans"/>
          <w:color w:val="222222"/>
        </w:rPr>
        <w:t xml:space="preserve">are clear but not mandatory. They state that Cabinet papers and minutes may be released proactively with the approval of the relevant portfolio minister. All Cabinet papers are deemed within scope, except for </w:t>
      </w:r>
      <w:r w:rsidR="00F06470" w:rsidRPr="00E40251">
        <w:rPr>
          <w:rFonts w:ascii="Gill Sans" w:hAnsi="Gill Sans" w:cs="Gill Sans"/>
          <w:color w:val="222222"/>
          <w:szCs w:val="22"/>
        </w:rPr>
        <w:t>those on Ministerial overseas travel, appointments, and legislation (draft Bills and regulations</w:t>
      </w:r>
      <w:r w:rsidR="00F06470" w:rsidRPr="00E40251">
        <w:rPr>
          <w:rFonts w:ascii="Gill Sans" w:hAnsi="Gill Sans" w:cs="Gill Sans"/>
          <w:color w:val="333333"/>
          <w:szCs w:val="22"/>
          <w:shd w:val="clear" w:color="auto" w:fill="FFFFFF"/>
        </w:rPr>
        <w:t>)</w:t>
      </w:r>
      <w:r w:rsidR="009802AF" w:rsidRPr="00E40251">
        <w:rPr>
          <w:rFonts w:ascii="Gill Sans" w:hAnsi="Gill Sans" w:cs="Gill Sans"/>
          <w:color w:val="333333"/>
          <w:szCs w:val="22"/>
          <w:shd w:val="clear" w:color="auto" w:fill="FFFFFF"/>
        </w:rPr>
        <w:t>.</w:t>
      </w:r>
      <w:r w:rsidR="009802AF" w:rsidRPr="005C5C45">
        <w:rPr>
          <w:rFonts w:ascii="Helvetica" w:hAnsi="Helvetica" w:cs="Helvetica"/>
          <w:color w:val="333333"/>
          <w:sz w:val="27"/>
          <w:szCs w:val="27"/>
          <w:shd w:val="clear" w:color="auto" w:fill="FFFFFF"/>
        </w:rPr>
        <w:t xml:space="preserve"> </w:t>
      </w:r>
    </w:p>
    <w:p w14:paraId="7560899C" w14:textId="2A539592" w:rsidR="00C013AB" w:rsidRPr="005C5C45" w:rsidRDefault="00C35539" w:rsidP="00C013AB">
      <w:pPr>
        <w:pStyle w:val="NormalWeb"/>
        <w:shd w:val="clear" w:color="auto" w:fill="FFFFFF"/>
        <w:rPr>
          <w:rFonts w:ascii="Gill Sans" w:hAnsi="Gill Sans" w:cs="Gill Sans"/>
          <w:color w:val="222222"/>
        </w:rPr>
      </w:pPr>
      <w:r w:rsidRPr="005C5C45">
        <w:rPr>
          <w:rFonts w:ascii="Gill Sans" w:hAnsi="Gill Sans" w:cs="Gill Sans"/>
          <w:color w:val="222222"/>
        </w:rPr>
        <w:lastRenderedPageBreak/>
        <w:t xml:space="preserve">There is progress </w:t>
      </w:r>
      <w:r w:rsidR="006C152F">
        <w:rPr>
          <w:rFonts w:ascii="Gill Sans" w:hAnsi="Gill Sans" w:cs="Gill Sans"/>
          <w:color w:val="222222"/>
        </w:rPr>
        <w:t>toward</w:t>
      </w:r>
      <w:r w:rsidRPr="005C5C45">
        <w:rPr>
          <w:rFonts w:ascii="Gill Sans" w:hAnsi="Gill Sans" w:cs="Gill Sans"/>
          <w:color w:val="222222"/>
        </w:rPr>
        <w:t xml:space="preserve"> a suite of consistent measures about OIA performance and support, such as development of appropriate guidance and training to agencies</w:t>
      </w:r>
      <w:r w:rsidR="00C013AB" w:rsidRPr="005C5C45">
        <w:rPr>
          <w:rFonts w:ascii="Gill Sans" w:hAnsi="Gill Sans" w:cs="Gill Sans"/>
          <w:color w:val="222222"/>
        </w:rPr>
        <w:t xml:space="preserve">. The SSC </w:t>
      </w:r>
      <w:r w:rsidRPr="005C5C45">
        <w:rPr>
          <w:rFonts w:ascii="Gill Sans" w:hAnsi="Gill Sans" w:cs="Gill Sans"/>
          <w:color w:val="222222"/>
        </w:rPr>
        <w:t xml:space="preserve">assured </w:t>
      </w:r>
      <w:r w:rsidR="00C013AB" w:rsidRPr="005C5C45">
        <w:rPr>
          <w:rFonts w:ascii="Gill Sans" w:hAnsi="Gill Sans" w:cs="Gill Sans"/>
          <w:color w:val="222222"/>
        </w:rPr>
        <w:t>the IRM researcher that it has worked on definitions with agencies</w:t>
      </w:r>
      <w:r w:rsidRPr="005C5C45">
        <w:rPr>
          <w:rFonts w:ascii="Gill Sans" w:hAnsi="Gill Sans" w:cs="Gill Sans"/>
          <w:color w:val="222222"/>
        </w:rPr>
        <w:t xml:space="preserve"> and</w:t>
      </w:r>
      <w:r w:rsidR="00C013AB" w:rsidRPr="005C5C45">
        <w:rPr>
          <w:rFonts w:ascii="Gill Sans" w:hAnsi="Gill Sans" w:cs="Gill Sans"/>
          <w:color w:val="222222"/>
        </w:rPr>
        <w:t xml:space="preserve"> is </w:t>
      </w:r>
      <w:r w:rsidRPr="005C5C45">
        <w:rPr>
          <w:rFonts w:ascii="Gill Sans" w:hAnsi="Gill Sans" w:cs="Gill Sans"/>
          <w:color w:val="222222"/>
        </w:rPr>
        <w:t xml:space="preserve">currently </w:t>
      </w:r>
      <w:r w:rsidR="00C013AB" w:rsidRPr="005C5C45">
        <w:rPr>
          <w:rFonts w:ascii="Gill Sans" w:hAnsi="Gill Sans" w:cs="Gill Sans"/>
          <w:color w:val="222222"/>
        </w:rPr>
        <w:t>completing the development of an agency self-assessment tool on official information capability</w:t>
      </w:r>
      <w:r w:rsidRPr="005C5C45">
        <w:rPr>
          <w:rFonts w:ascii="Gill Sans" w:hAnsi="Gill Sans" w:cs="Gill Sans"/>
          <w:color w:val="222222"/>
        </w:rPr>
        <w:t>.</w:t>
      </w:r>
      <w:r w:rsidR="00C013AB" w:rsidRPr="005C5C45">
        <w:rPr>
          <w:rFonts w:ascii="Gill Sans" w:hAnsi="Gill Sans" w:cs="Gill Sans"/>
          <w:color w:val="222222"/>
        </w:rPr>
        <w:t xml:space="preserve"> </w:t>
      </w:r>
      <w:r w:rsidRPr="005C5C45">
        <w:rPr>
          <w:rFonts w:ascii="Gill Sans" w:hAnsi="Gill Sans" w:cs="Gill Sans"/>
          <w:color w:val="222222"/>
        </w:rPr>
        <w:t>The SSC</w:t>
      </w:r>
      <w:r w:rsidR="00C013AB" w:rsidRPr="005C5C45">
        <w:rPr>
          <w:rFonts w:ascii="Gill Sans" w:hAnsi="Gill Sans" w:cs="Gill Sans"/>
          <w:color w:val="222222"/>
        </w:rPr>
        <w:t xml:space="preserve"> is piloting </w:t>
      </w:r>
      <w:r w:rsidRPr="005C5C45">
        <w:rPr>
          <w:rFonts w:ascii="Gill Sans" w:hAnsi="Gill Sans" w:cs="Gill Sans"/>
          <w:color w:val="222222"/>
        </w:rPr>
        <w:t xml:space="preserve">this self-assessment tool </w:t>
      </w:r>
      <w:r w:rsidR="00C013AB" w:rsidRPr="005C5C45">
        <w:rPr>
          <w:rFonts w:ascii="Gill Sans" w:hAnsi="Gill Sans" w:cs="Gill Sans"/>
          <w:color w:val="222222"/>
        </w:rPr>
        <w:t>with agencies</w:t>
      </w:r>
      <w:r w:rsidR="003E30BC" w:rsidRPr="005C5C45">
        <w:rPr>
          <w:rFonts w:ascii="Gill Sans" w:hAnsi="Gill Sans" w:cs="Gill Sans"/>
          <w:color w:val="222222"/>
        </w:rPr>
        <w:t xml:space="preserve">, and </w:t>
      </w:r>
      <w:r w:rsidR="00C013AB" w:rsidRPr="005C5C45">
        <w:rPr>
          <w:rFonts w:ascii="Gill Sans" w:hAnsi="Gill Sans" w:cs="Gill Sans"/>
          <w:color w:val="222222"/>
        </w:rPr>
        <w:t>has developed a prototype self-assessment tool.</w:t>
      </w:r>
      <w:r w:rsidR="003E30BC" w:rsidRPr="005C5C45">
        <w:rPr>
          <w:rFonts w:ascii="Gill Sans" w:hAnsi="Gill Sans" w:cs="Gill Sans"/>
          <w:color w:val="222222"/>
        </w:rPr>
        <w:t xml:space="preserve"> </w:t>
      </w:r>
      <w:r w:rsidR="00775FF3" w:rsidRPr="005C5C45">
        <w:rPr>
          <w:rFonts w:ascii="Gill Sans" w:hAnsi="Gill Sans" w:cs="Gill Sans"/>
          <w:color w:val="222222"/>
        </w:rPr>
        <w:t>The IRM researcher believes i</w:t>
      </w:r>
      <w:r w:rsidR="00C013AB" w:rsidRPr="005C5C45">
        <w:rPr>
          <w:rFonts w:ascii="Gill Sans" w:hAnsi="Gill Sans" w:cs="Gill Sans"/>
          <w:color w:val="222222"/>
        </w:rPr>
        <w:t xml:space="preserve">t would be helpful </w:t>
      </w:r>
      <w:r w:rsidR="003E30BC" w:rsidRPr="005C5C45">
        <w:rPr>
          <w:rFonts w:ascii="Gill Sans" w:hAnsi="Gill Sans" w:cs="Gill Sans"/>
          <w:color w:val="222222"/>
        </w:rPr>
        <w:t xml:space="preserve">if these </w:t>
      </w:r>
      <w:r w:rsidR="00775FF3" w:rsidRPr="005C5C45">
        <w:rPr>
          <w:rFonts w:ascii="Gill Sans" w:hAnsi="Gill Sans" w:cs="Gill Sans"/>
          <w:color w:val="222222"/>
        </w:rPr>
        <w:t xml:space="preserve">self-assessment tools </w:t>
      </w:r>
      <w:r w:rsidR="003E30BC" w:rsidRPr="005C5C45">
        <w:rPr>
          <w:rFonts w:ascii="Gill Sans" w:hAnsi="Gill Sans" w:cs="Gill Sans"/>
          <w:color w:val="222222"/>
        </w:rPr>
        <w:t>were piloted</w:t>
      </w:r>
      <w:r w:rsidR="00C013AB" w:rsidRPr="005C5C45">
        <w:rPr>
          <w:rFonts w:ascii="Gill Sans" w:hAnsi="Gill Sans" w:cs="Gill Sans"/>
          <w:color w:val="222222"/>
        </w:rPr>
        <w:t xml:space="preserve"> with the public.</w:t>
      </w:r>
    </w:p>
    <w:p w14:paraId="138C2115" w14:textId="77777777" w:rsidR="00EA2F88" w:rsidRPr="005C5C45" w:rsidRDefault="00EA2F88" w:rsidP="003962F7">
      <w:pPr>
        <w:pStyle w:val="Heading3"/>
      </w:pPr>
      <w:r w:rsidRPr="005C5C45">
        <w:t>Early Results</w:t>
      </w:r>
    </w:p>
    <w:p w14:paraId="01DDDC67" w14:textId="251BDCC5" w:rsidR="00D06DE8" w:rsidRPr="005C5C45" w:rsidRDefault="00597A42" w:rsidP="00E40251">
      <w:pPr>
        <w:spacing w:after="120"/>
      </w:pPr>
      <w:r w:rsidRPr="005C5C45">
        <w:t xml:space="preserve">Government has made </w:t>
      </w:r>
      <w:r w:rsidR="00A83268" w:rsidRPr="005C5C45">
        <w:t>significant progress</w:t>
      </w:r>
      <w:r w:rsidR="009D73AB" w:rsidRPr="005C5C45">
        <w:t xml:space="preserve"> </w:t>
      </w:r>
      <w:r w:rsidR="0014037A" w:rsidRPr="005C5C45">
        <w:t>on its ambition</w:t>
      </w:r>
      <w:r w:rsidR="007A429A" w:rsidRPr="005C5C45">
        <w:t xml:space="preserve"> to</w:t>
      </w:r>
      <w:r w:rsidR="00A83268" w:rsidRPr="005C5C45">
        <w:t xml:space="preserve"> </w:t>
      </w:r>
      <w:r w:rsidR="007A429A" w:rsidRPr="005C5C45">
        <w:t>improve agencies’</w:t>
      </w:r>
      <w:r w:rsidR="00B15839" w:rsidRPr="005C5C45">
        <w:t xml:space="preserve"> OIA practices</w:t>
      </w:r>
      <w:r w:rsidRPr="005C5C45">
        <w:t xml:space="preserve">. </w:t>
      </w:r>
      <w:r w:rsidR="00980B74" w:rsidRPr="005C5C45">
        <w:t xml:space="preserve">There </w:t>
      </w:r>
      <w:r w:rsidR="00A80E4A" w:rsidRPr="005C5C45">
        <w:t xml:space="preserve">is </w:t>
      </w:r>
      <w:proofErr w:type="spellStart"/>
      <w:r w:rsidR="00A80E4A" w:rsidRPr="005C5C45">
        <w:t>ongoing</w:t>
      </w:r>
      <w:proofErr w:type="spellEnd"/>
      <w:r w:rsidR="00980B74" w:rsidRPr="005C5C45">
        <w:t xml:space="preserve"> media coverage about the OIA statistics</w:t>
      </w:r>
      <w:r w:rsidR="000D6190" w:rsidRPr="005C5C45">
        <w:t xml:space="preserve"> proposals</w:t>
      </w:r>
      <w:r w:rsidR="006C152F">
        <w:t>,</w:t>
      </w:r>
      <w:r w:rsidR="00E95082" w:rsidRPr="005C5C45">
        <w:rPr>
          <w:rStyle w:val="EndnoteReference"/>
        </w:rPr>
        <w:endnoteReference w:customMarkFollows="1" w:id="112"/>
        <w:t>14</w:t>
      </w:r>
      <w:r w:rsidR="0076772A" w:rsidRPr="005C5C45">
        <w:t xml:space="preserve"> but the other activities have</w:t>
      </w:r>
      <w:r w:rsidR="00923146" w:rsidRPr="005C5C45">
        <w:t xml:space="preserve"> </w:t>
      </w:r>
      <w:r w:rsidR="00D06DE8" w:rsidRPr="005C5C45">
        <w:t>had</w:t>
      </w:r>
      <w:r w:rsidR="00923146" w:rsidRPr="005C5C45">
        <w:t xml:space="preserve"> </w:t>
      </w:r>
      <w:r w:rsidR="00A83268" w:rsidRPr="005C5C45">
        <w:t>little publicity beyond</w:t>
      </w:r>
      <w:r w:rsidR="007A429A" w:rsidRPr="005C5C45">
        <w:t xml:space="preserve"> reports to the EAP</w:t>
      </w:r>
      <w:r w:rsidR="0076772A" w:rsidRPr="005C5C45">
        <w:t xml:space="preserve"> and </w:t>
      </w:r>
      <w:r w:rsidR="00A83268" w:rsidRPr="005C5C45">
        <w:t>media statements on SSC’s</w:t>
      </w:r>
      <w:r w:rsidR="00B76678" w:rsidRPr="005C5C45">
        <w:t xml:space="preserve"> website</w:t>
      </w:r>
      <w:r w:rsidR="0076772A" w:rsidRPr="005C5C45">
        <w:t>.</w:t>
      </w:r>
      <w:r w:rsidR="00E95082" w:rsidRPr="005C5C45">
        <w:rPr>
          <w:rStyle w:val="EndnoteReference"/>
        </w:rPr>
        <w:endnoteReference w:customMarkFollows="1" w:id="113"/>
        <w:t>15</w:t>
      </w:r>
      <w:r w:rsidR="006C152F">
        <w:rPr>
          <w:rStyle w:val="EndnoteReference"/>
        </w:rPr>
        <w:t xml:space="preserve"> </w:t>
      </w:r>
      <w:r w:rsidR="001941F3" w:rsidRPr="005C5C45">
        <w:t>By the end of the evaluation period, t</w:t>
      </w:r>
      <w:r w:rsidR="009D73AB" w:rsidRPr="005C5C45">
        <w:t xml:space="preserve">he IRM researcher </w:t>
      </w:r>
      <w:r w:rsidR="006C152F">
        <w:t>had</w:t>
      </w:r>
      <w:r w:rsidR="006C152F" w:rsidRPr="005C5C45">
        <w:t xml:space="preserve"> </w:t>
      </w:r>
      <w:r w:rsidR="009D73AB" w:rsidRPr="005C5C45">
        <w:t xml:space="preserve">assessed the </w:t>
      </w:r>
      <w:r w:rsidR="009935E4" w:rsidRPr="005C5C45">
        <w:t xml:space="preserve">early </w:t>
      </w:r>
      <w:r w:rsidR="009D73AB" w:rsidRPr="005C5C45">
        <w:t>i</w:t>
      </w:r>
      <w:r w:rsidR="009935E4" w:rsidRPr="005C5C45">
        <w:t xml:space="preserve">mpact </w:t>
      </w:r>
      <w:r w:rsidR="009D73AB" w:rsidRPr="005C5C45">
        <w:t xml:space="preserve">of </w:t>
      </w:r>
      <w:r w:rsidR="00C013AB" w:rsidRPr="005C5C45">
        <w:t>the</w:t>
      </w:r>
      <w:r w:rsidR="009D73AB" w:rsidRPr="005C5C45">
        <w:t xml:space="preserve"> </w:t>
      </w:r>
      <w:r w:rsidR="00C013AB" w:rsidRPr="005C5C45">
        <w:t xml:space="preserve">completed </w:t>
      </w:r>
      <w:r w:rsidR="009C2356" w:rsidRPr="005C5C45">
        <w:t xml:space="preserve">commitment activities </w:t>
      </w:r>
      <w:r w:rsidR="007708DF">
        <w:t>two, three, and five:</w:t>
      </w:r>
    </w:p>
    <w:p w14:paraId="085355E5" w14:textId="689D91F3" w:rsidR="00EA2F88" w:rsidRPr="005C5C45" w:rsidRDefault="007708DF" w:rsidP="00E40251">
      <w:pPr>
        <w:pStyle w:val="NormalWeb"/>
        <w:shd w:val="clear" w:color="auto" w:fill="FFFFFF"/>
        <w:spacing w:before="0" w:beforeAutospacing="0" w:after="120" w:afterAutospacing="0"/>
        <w:rPr>
          <w:rFonts w:ascii="Gill Sans" w:hAnsi="Gill Sans" w:cs="Gill Sans"/>
          <w:color w:val="222222"/>
        </w:rPr>
      </w:pPr>
      <w:r>
        <w:rPr>
          <w:rFonts w:ascii="Gill Sans" w:hAnsi="Gill Sans" w:cs="Gill Sans"/>
          <w:color w:val="222222"/>
          <w:u w:val="single"/>
        </w:rPr>
        <w:t>A</w:t>
      </w:r>
      <w:r w:rsidR="009D07AD" w:rsidRPr="005C5C45">
        <w:rPr>
          <w:rFonts w:ascii="Gill Sans" w:hAnsi="Gill Sans" w:cs="Gill Sans"/>
          <w:color w:val="222222"/>
          <w:u w:val="single"/>
        </w:rPr>
        <w:t>ctivity two</w:t>
      </w:r>
      <w:r>
        <w:rPr>
          <w:rFonts w:ascii="Gill Sans" w:hAnsi="Gill Sans" w:cs="Gill Sans"/>
          <w:color w:val="222222"/>
          <w:u w:val="single"/>
        </w:rPr>
        <w:t>:</w:t>
      </w:r>
      <w:r w:rsidR="00EA2F88" w:rsidRPr="005C5C45">
        <w:rPr>
          <w:rFonts w:ascii="Gill Sans" w:hAnsi="Gill Sans" w:cs="Gill Sans"/>
          <w:color w:val="222222"/>
        </w:rPr>
        <w:t xml:space="preserve"> </w:t>
      </w:r>
      <w:r>
        <w:rPr>
          <w:rFonts w:ascii="Gill Sans" w:hAnsi="Gill Sans" w:cs="Gill Sans"/>
          <w:color w:val="333333"/>
          <w:szCs w:val="22"/>
          <w:shd w:val="clear" w:color="auto" w:fill="FFFFFF"/>
        </w:rPr>
        <w:t>T</w:t>
      </w:r>
      <w:r w:rsidR="00EA2F88" w:rsidRPr="005C5C45">
        <w:rPr>
          <w:rFonts w:ascii="Gill Sans" w:hAnsi="Gill Sans" w:cs="Gill Sans"/>
          <w:color w:val="333333"/>
          <w:szCs w:val="22"/>
          <w:shd w:val="clear" w:color="auto" w:fill="FFFFFF"/>
        </w:rPr>
        <w:t xml:space="preserve">he </w:t>
      </w:r>
      <w:r w:rsidR="009935E4" w:rsidRPr="005C5C45">
        <w:rPr>
          <w:rFonts w:ascii="Gill Sans" w:hAnsi="Gill Sans" w:cs="Gill Sans"/>
          <w:color w:val="333333"/>
          <w:szCs w:val="22"/>
          <w:shd w:val="clear" w:color="auto" w:fill="FFFFFF"/>
        </w:rPr>
        <w:t xml:space="preserve">OIA </w:t>
      </w:r>
      <w:r w:rsidR="00EA2F88" w:rsidRPr="005C5C45">
        <w:rPr>
          <w:rFonts w:ascii="Gill Sans" w:hAnsi="Gill Sans" w:cs="Gill Sans"/>
          <w:color w:val="333333"/>
          <w:szCs w:val="22"/>
          <w:shd w:val="clear" w:color="auto" w:fill="FFFFFF"/>
        </w:rPr>
        <w:t xml:space="preserve">statistics </w:t>
      </w:r>
      <w:r w:rsidR="00A344DB" w:rsidRPr="005C5C45">
        <w:rPr>
          <w:rFonts w:ascii="Gill Sans" w:hAnsi="Gill Sans" w:cs="Gill Sans"/>
          <w:color w:val="333333"/>
          <w:szCs w:val="22"/>
          <w:shd w:val="clear" w:color="auto" w:fill="FFFFFF"/>
        </w:rPr>
        <w:t xml:space="preserve">were </w:t>
      </w:r>
      <w:r w:rsidR="00EA2F88" w:rsidRPr="005C5C45">
        <w:rPr>
          <w:rFonts w:ascii="Gill Sans" w:hAnsi="Gill Sans" w:cs="Gill Sans"/>
          <w:color w:val="333333"/>
          <w:szCs w:val="22"/>
          <w:shd w:val="clear" w:color="auto" w:fill="FFFFFF"/>
        </w:rPr>
        <w:t xml:space="preserve">released </w:t>
      </w:r>
      <w:r w:rsidR="009D07AD" w:rsidRPr="005C5C45">
        <w:rPr>
          <w:rFonts w:ascii="Gill Sans" w:hAnsi="Gill Sans" w:cs="Gill Sans"/>
          <w:color w:val="333333"/>
          <w:szCs w:val="22"/>
          <w:shd w:val="clear" w:color="auto" w:fill="FFFFFF"/>
        </w:rPr>
        <w:t xml:space="preserve">in January 2017 </w:t>
      </w:r>
      <w:r w:rsidR="00B33746">
        <w:rPr>
          <w:rFonts w:ascii="Gill Sans" w:hAnsi="Gill Sans" w:cs="Gill Sans"/>
          <w:color w:val="333333"/>
          <w:szCs w:val="22"/>
          <w:shd w:val="clear" w:color="auto" w:fill="FFFFFF"/>
        </w:rPr>
        <w:t>and included</w:t>
      </w:r>
      <w:r w:rsidR="00B33746" w:rsidRPr="005C5C45">
        <w:rPr>
          <w:rFonts w:ascii="Gill Sans" w:hAnsi="Gill Sans" w:cs="Gill Sans"/>
          <w:color w:val="333333"/>
          <w:szCs w:val="22"/>
          <w:shd w:val="clear" w:color="auto" w:fill="FFFFFF"/>
        </w:rPr>
        <w:t xml:space="preserve"> </w:t>
      </w:r>
      <w:r w:rsidR="002B7F72" w:rsidRPr="005C5C45">
        <w:rPr>
          <w:rFonts w:ascii="Gill Sans" w:hAnsi="Gill Sans" w:cs="Gill Sans"/>
          <w:color w:val="333333"/>
          <w:szCs w:val="22"/>
          <w:shd w:val="clear" w:color="auto" w:fill="FFFFFF"/>
        </w:rPr>
        <w:t>information</w:t>
      </w:r>
      <w:r w:rsidR="000F0A82" w:rsidRPr="005C5C45">
        <w:rPr>
          <w:rFonts w:ascii="Gill Sans" w:hAnsi="Gill Sans" w:cs="Gill Sans"/>
          <w:color w:val="333333"/>
          <w:szCs w:val="22"/>
          <w:shd w:val="clear" w:color="auto" w:fill="FFFFFF"/>
        </w:rPr>
        <w:t xml:space="preserve"> </w:t>
      </w:r>
      <w:r w:rsidR="00B33746">
        <w:rPr>
          <w:rFonts w:ascii="Gill Sans" w:hAnsi="Gill Sans" w:cs="Gill Sans"/>
          <w:color w:val="333333"/>
          <w:szCs w:val="22"/>
          <w:shd w:val="clear" w:color="auto" w:fill="FFFFFF"/>
        </w:rPr>
        <w:t>like</w:t>
      </w:r>
      <w:r w:rsidR="002B7F72" w:rsidRPr="005C5C45">
        <w:rPr>
          <w:rFonts w:ascii="Gill Sans" w:hAnsi="Gill Sans" w:cs="Gill Sans"/>
          <w:color w:val="333333"/>
          <w:szCs w:val="22"/>
          <w:shd w:val="clear" w:color="auto" w:fill="FFFFFF"/>
        </w:rPr>
        <w:t xml:space="preserve"> </w:t>
      </w:r>
      <w:r w:rsidR="00EA2F88" w:rsidRPr="005C5C45">
        <w:rPr>
          <w:rFonts w:ascii="Gill Sans" w:hAnsi="Gill Sans" w:cs="Gill Sans"/>
          <w:color w:val="333333"/>
          <w:szCs w:val="22"/>
          <w:shd w:val="clear" w:color="auto" w:fill="FFFFFF"/>
        </w:rPr>
        <w:t xml:space="preserve">logged requests </w:t>
      </w:r>
      <w:r w:rsidR="00B33746" w:rsidRPr="005C5C45">
        <w:rPr>
          <w:rFonts w:ascii="Gill Sans" w:hAnsi="Gill Sans" w:cs="Gill Sans"/>
          <w:color w:val="333333"/>
          <w:szCs w:val="22"/>
          <w:shd w:val="clear" w:color="auto" w:fill="FFFFFF"/>
        </w:rPr>
        <w:t xml:space="preserve">completed during the period </w:t>
      </w:r>
      <w:r w:rsidR="00EA2F88" w:rsidRPr="005C5C45">
        <w:rPr>
          <w:rFonts w:ascii="Gill Sans" w:hAnsi="Gill Sans" w:cs="Gill Sans"/>
          <w:color w:val="333333"/>
          <w:szCs w:val="22"/>
          <w:shd w:val="clear" w:color="auto" w:fill="FFFFFF"/>
        </w:rPr>
        <w:t>(including requests subsequently transferred to another agency)</w:t>
      </w:r>
      <w:r w:rsidR="000F0A82" w:rsidRPr="005C5C45">
        <w:rPr>
          <w:rFonts w:ascii="Arial" w:hAnsi="Arial" w:cs="Arial"/>
          <w:color w:val="333333"/>
          <w:sz w:val="23"/>
          <w:szCs w:val="23"/>
          <w:shd w:val="clear" w:color="auto" w:fill="FFFFFF"/>
        </w:rPr>
        <w:t>,</w:t>
      </w:r>
      <w:r w:rsidR="00EA2F88" w:rsidRPr="005C5C45">
        <w:rPr>
          <w:rFonts w:ascii="Arial" w:hAnsi="Arial" w:cs="Arial"/>
          <w:color w:val="333333"/>
          <w:sz w:val="23"/>
          <w:szCs w:val="23"/>
          <w:shd w:val="clear" w:color="auto" w:fill="FFFFFF"/>
        </w:rPr>
        <w:t xml:space="preserve"> </w:t>
      </w:r>
      <w:r w:rsidR="00EA2F88" w:rsidRPr="005C5C45">
        <w:rPr>
          <w:rFonts w:ascii="Gill Sans" w:hAnsi="Gill Sans" w:cs="Gill Sans"/>
          <w:color w:val="222222"/>
        </w:rPr>
        <w:t>the extent to which responses were provided within legislated timeframe</w:t>
      </w:r>
      <w:r w:rsidR="000F0A82" w:rsidRPr="005C5C45">
        <w:rPr>
          <w:rFonts w:ascii="Arial" w:hAnsi="Arial" w:cs="Arial"/>
          <w:color w:val="333333"/>
          <w:sz w:val="23"/>
          <w:szCs w:val="23"/>
          <w:shd w:val="clear" w:color="auto" w:fill="FFFFFF"/>
        </w:rPr>
        <w:t>,</w:t>
      </w:r>
      <w:r w:rsidR="00EA2F88" w:rsidRPr="005C5C45">
        <w:rPr>
          <w:rFonts w:ascii="Gill Sans" w:hAnsi="Gill Sans" w:cs="Gill Sans"/>
          <w:color w:val="222222"/>
        </w:rPr>
        <w:t xml:space="preserve"> </w:t>
      </w:r>
      <w:r w:rsidR="00005BBE" w:rsidRPr="005C5C45">
        <w:rPr>
          <w:rFonts w:ascii="Gill Sans" w:hAnsi="Gill Sans" w:cs="Gill Sans"/>
          <w:color w:val="222222"/>
        </w:rPr>
        <w:t>and more</w:t>
      </w:r>
      <w:r w:rsidR="00EA2F88" w:rsidRPr="005C5C45">
        <w:rPr>
          <w:rFonts w:ascii="Gill Sans" w:hAnsi="Gill Sans" w:cs="Gill Sans"/>
          <w:color w:val="222222"/>
        </w:rPr>
        <w:t>.</w:t>
      </w:r>
      <w:r w:rsidR="00B1103C" w:rsidRPr="005C5C45">
        <w:rPr>
          <w:rFonts w:ascii="Gill Sans" w:hAnsi="Gill Sans" w:cs="Gill Sans"/>
          <w:color w:val="222222"/>
        </w:rPr>
        <w:t xml:space="preserve"> </w:t>
      </w:r>
      <w:r w:rsidR="00BE0923" w:rsidRPr="005C5C45">
        <w:rPr>
          <w:rFonts w:ascii="Gill Sans" w:hAnsi="Gill Sans" w:cs="Gill Sans"/>
          <w:color w:val="222222"/>
        </w:rPr>
        <w:t>Further i</w:t>
      </w:r>
      <w:r w:rsidR="00C75510" w:rsidRPr="005C5C45">
        <w:rPr>
          <w:rFonts w:ascii="Gill Sans" w:hAnsi="Gill Sans" w:cs="Gill Sans"/>
          <w:color w:val="222222"/>
        </w:rPr>
        <w:t xml:space="preserve">nformation </w:t>
      </w:r>
      <w:r w:rsidR="002E29D8" w:rsidRPr="005C5C45">
        <w:rPr>
          <w:rFonts w:ascii="Gill Sans" w:hAnsi="Gill Sans" w:cs="Gill Sans"/>
          <w:color w:val="222222"/>
        </w:rPr>
        <w:t xml:space="preserve">on differences among agencies </w:t>
      </w:r>
      <w:r w:rsidR="00005BBE" w:rsidRPr="005C5C45">
        <w:rPr>
          <w:rFonts w:ascii="Gill Sans" w:hAnsi="Gill Sans" w:cs="Gill Sans"/>
          <w:color w:val="222222"/>
        </w:rPr>
        <w:t xml:space="preserve">was also </w:t>
      </w:r>
      <w:r w:rsidR="00C75510" w:rsidRPr="005C5C45">
        <w:rPr>
          <w:rFonts w:ascii="Gill Sans" w:hAnsi="Gill Sans" w:cs="Gill Sans"/>
          <w:color w:val="222222"/>
        </w:rPr>
        <w:t>released with the statistics</w:t>
      </w:r>
      <w:r w:rsidR="00005BBE" w:rsidRPr="005C5C45">
        <w:rPr>
          <w:rFonts w:ascii="Gill Sans" w:hAnsi="Gill Sans" w:cs="Gill Sans"/>
          <w:color w:val="222222"/>
        </w:rPr>
        <w:t>.</w:t>
      </w:r>
      <w:r w:rsidR="009935E4" w:rsidRPr="005C5C45">
        <w:rPr>
          <w:rFonts w:ascii="Gill Sans" w:hAnsi="Gill Sans" w:cs="Gill Sans"/>
          <w:color w:val="222222"/>
        </w:rPr>
        <w:t xml:space="preserve"> </w:t>
      </w:r>
      <w:r w:rsidR="002E29D8" w:rsidRPr="005C5C45">
        <w:rPr>
          <w:rFonts w:ascii="Gill Sans" w:hAnsi="Gill Sans" w:cs="Gill Sans"/>
          <w:color w:val="222222"/>
        </w:rPr>
        <w:t xml:space="preserve">Released OIA statistics were reported in metropolitan newspapers and interviewed stakeholders had positive responses. </w:t>
      </w:r>
    </w:p>
    <w:p w14:paraId="70AE1B08" w14:textId="2F9D0E6E" w:rsidR="00ED2352" w:rsidRPr="005C5C45" w:rsidRDefault="007708DF" w:rsidP="00E40251">
      <w:pPr>
        <w:spacing w:after="120"/>
      </w:pPr>
      <w:r>
        <w:rPr>
          <w:u w:val="single"/>
        </w:rPr>
        <w:t>A</w:t>
      </w:r>
      <w:r w:rsidR="009D07AD" w:rsidRPr="005C5C45">
        <w:rPr>
          <w:u w:val="single"/>
        </w:rPr>
        <w:t>ctivity three</w:t>
      </w:r>
      <w:r>
        <w:rPr>
          <w:u w:val="single"/>
        </w:rPr>
        <w:t>:</w:t>
      </w:r>
      <w:r w:rsidR="00C11462">
        <w:t xml:space="preserve"> An</w:t>
      </w:r>
      <w:r w:rsidR="009C2356" w:rsidRPr="005C5C45">
        <w:t xml:space="preserve"> e</w:t>
      </w:r>
      <w:r w:rsidR="00DB2D44" w:rsidRPr="005C5C45">
        <w:t xml:space="preserve">xternal </w:t>
      </w:r>
      <w:r w:rsidR="00460343" w:rsidRPr="005C5C45">
        <w:t>s</w:t>
      </w:r>
      <w:r w:rsidR="00EA2F88" w:rsidRPr="005C5C45">
        <w:t>takeh</w:t>
      </w:r>
      <w:r w:rsidR="00460343" w:rsidRPr="005C5C45">
        <w:t>older</w:t>
      </w:r>
      <w:r w:rsidR="00AD7A36" w:rsidRPr="005C5C45">
        <w:t xml:space="preserve"> noted</w:t>
      </w:r>
      <w:r w:rsidR="00460343" w:rsidRPr="005C5C45">
        <w:t xml:space="preserve"> </w:t>
      </w:r>
      <w:r w:rsidR="00EA2F88" w:rsidRPr="005C5C45">
        <w:t xml:space="preserve">that the </w:t>
      </w:r>
      <w:r w:rsidR="00C11462">
        <w:t xml:space="preserve">government unilaterally created the </w:t>
      </w:r>
      <w:r w:rsidR="00A344DB" w:rsidRPr="005C5C45">
        <w:t xml:space="preserve">government </w:t>
      </w:r>
      <w:r w:rsidR="00B1103C" w:rsidRPr="005C5C45">
        <w:t>policy</w:t>
      </w:r>
      <w:r w:rsidR="00A344DB" w:rsidRPr="005C5C45">
        <w:t xml:space="preserve"> on the proactive release of Cabinet papers</w:t>
      </w:r>
      <w:r w:rsidR="009935E4" w:rsidRPr="005C5C45">
        <w:t xml:space="preserve"> </w:t>
      </w:r>
      <w:r w:rsidR="00E95082" w:rsidRPr="005C5C45">
        <w:t>(and related material)</w:t>
      </w:r>
      <w:r w:rsidR="009935E4" w:rsidRPr="005C5C45">
        <w:t xml:space="preserve"> </w:t>
      </w:r>
      <w:r w:rsidR="00D2678F" w:rsidRPr="005C5C45">
        <w:t>and</w:t>
      </w:r>
      <w:r w:rsidR="00127CBD" w:rsidRPr="005C5C45">
        <w:t xml:space="preserve"> </w:t>
      </w:r>
      <w:r w:rsidR="00C11462">
        <w:t xml:space="preserve">it </w:t>
      </w:r>
      <w:r w:rsidR="009935E4" w:rsidRPr="005C5C45">
        <w:t>is not binding</w:t>
      </w:r>
      <w:r w:rsidR="00D2678F" w:rsidRPr="005C5C45">
        <w:t xml:space="preserve">. </w:t>
      </w:r>
      <w:r w:rsidR="00B319BA" w:rsidRPr="005C5C45">
        <w:t>Because the policy’s</w:t>
      </w:r>
      <w:r w:rsidR="00EA2F88" w:rsidRPr="005C5C45">
        <w:t xml:space="preserve"> language seems weighted toward </w:t>
      </w:r>
      <w:r w:rsidR="00460343" w:rsidRPr="005C5C45">
        <w:t>protection rather than release</w:t>
      </w:r>
      <w:r w:rsidR="00EA2F88" w:rsidRPr="005C5C45">
        <w:t xml:space="preserve">, </w:t>
      </w:r>
      <w:r w:rsidR="00B319BA" w:rsidRPr="005C5C45">
        <w:t>the same</w:t>
      </w:r>
      <w:r w:rsidR="00AD7A36" w:rsidRPr="005C5C45">
        <w:t xml:space="preserve"> stakeholder</w:t>
      </w:r>
      <w:r w:rsidR="00127CBD" w:rsidRPr="005C5C45">
        <w:t xml:space="preserve"> </w:t>
      </w:r>
      <w:r w:rsidR="00AD7A36" w:rsidRPr="005C5C45">
        <w:t xml:space="preserve">sought </w:t>
      </w:r>
      <w:r w:rsidR="00930934" w:rsidRPr="005C5C45">
        <w:t xml:space="preserve">specific </w:t>
      </w:r>
      <w:r w:rsidR="009D07AD" w:rsidRPr="005C5C45">
        <w:t xml:space="preserve">guidelines </w:t>
      </w:r>
      <w:r w:rsidR="00B319BA" w:rsidRPr="005C5C45">
        <w:t xml:space="preserve">to </w:t>
      </w:r>
      <w:r w:rsidR="009D07AD" w:rsidRPr="005C5C45">
        <w:t>promot</w:t>
      </w:r>
      <w:r w:rsidR="00B319BA" w:rsidRPr="005C5C45">
        <w:t>e</w:t>
      </w:r>
      <w:r w:rsidR="00C013AB" w:rsidRPr="005C5C45">
        <w:t xml:space="preserve"> </w:t>
      </w:r>
      <w:r w:rsidR="00B319BA" w:rsidRPr="005C5C45">
        <w:t xml:space="preserve">the </w:t>
      </w:r>
      <w:r w:rsidR="00C013AB" w:rsidRPr="005C5C45">
        <w:t>proactive release in</w:t>
      </w:r>
      <w:r w:rsidR="00EA2F88" w:rsidRPr="005C5C45">
        <w:t xml:space="preserve"> agencies</w:t>
      </w:r>
      <w:r w:rsidR="00C013AB" w:rsidRPr="005C5C45">
        <w:t>.</w:t>
      </w:r>
      <w:r w:rsidR="00E95082" w:rsidRPr="005C5C45">
        <w:rPr>
          <w:rStyle w:val="EndnoteReference"/>
        </w:rPr>
        <w:endnoteReference w:customMarkFollows="1" w:id="114"/>
        <w:t>16</w:t>
      </w:r>
      <w:r w:rsidR="00AD7A36" w:rsidRPr="005C5C45">
        <w:t xml:space="preserve"> </w:t>
      </w:r>
      <w:r w:rsidR="00B319BA" w:rsidRPr="005C5C45">
        <w:t>Similarly, a</w:t>
      </w:r>
      <w:r w:rsidR="00AD7A36" w:rsidRPr="005C5C45">
        <w:t xml:space="preserve">nother </w:t>
      </w:r>
      <w:r w:rsidR="00D2678F" w:rsidRPr="005C5C45">
        <w:t xml:space="preserve">stakeholder </w:t>
      </w:r>
      <w:r w:rsidR="00AD7A36" w:rsidRPr="005C5C45">
        <w:t>proposed a regular process and timetable for Cabinet Paper release</w:t>
      </w:r>
      <w:r w:rsidR="00B319BA" w:rsidRPr="005C5C45">
        <w:t>.</w:t>
      </w:r>
    </w:p>
    <w:p w14:paraId="2FCD29D2" w14:textId="63B9FEAE" w:rsidR="00476E77" w:rsidRPr="005C5C45" w:rsidRDefault="007708DF" w:rsidP="00E40251">
      <w:pPr>
        <w:spacing w:after="120"/>
      </w:pPr>
      <w:r>
        <w:rPr>
          <w:u w:val="single"/>
        </w:rPr>
        <w:t>A</w:t>
      </w:r>
      <w:r w:rsidR="004C31A3" w:rsidRPr="005C5C45">
        <w:rPr>
          <w:u w:val="single"/>
        </w:rPr>
        <w:t>ctivity five</w:t>
      </w:r>
      <w:r>
        <w:rPr>
          <w:u w:val="single"/>
        </w:rPr>
        <w:t>:</w:t>
      </w:r>
      <w:r w:rsidR="00C013AB" w:rsidRPr="005C5C45">
        <w:t xml:space="preserve"> </w:t>
      </w:r>
      <w:r w:rsidR="00C11462">
        <w:t>N</w:t>
      </w:r>
      <w:r w:rsidR="00EA2F88" w:rsidRPr="005C5C45">
        <w:t>ine (27%) of the 33 departments</w:t>
      </w:r>
      <w:r w:rsidR="00C013AB" w:rsidRPr="005C5C45">
        <w:t xml:space="preserve"> surveyed </w:t>
      </w:r>
      <w:r w:rsidR="00B1103C" w:rsidRPr="005C5C45">
        <w:t>are</w:t>
      </w:r>
      <w:r w:rsidR="00C013AB" w:rsidRPr="005C5C45">
        <w:t xml:space="preserve"> publishing </w:t>
      </w:r>
      <w:r w:rsidR="00EA2F88" w:rsidRPr="005C5C45">
        <w:t>OIA request responses on their websites</w:t>
      </w:r>
      <w:r w:rsidR="004C31A3" w:rsidRPr="005C5C45">
        <w:t xml:space="preserve">. </w:t>
      </w:r>
      <w:r w:rsidR="00EA2F88" w:rsidRPr="005C5C45">
        <w:t xml:space="preserve">The Treasury and Statistics </w:t>
      </w:r>
      <w:r w:rsidR="003811C4" w:rsidRPr="005C5C45">
        <w:t>N</w:t>
      </w:r>
      <w:r w:rsidR="00542644" w:rsidRPr="005C5C45">
        <w:t xml:space="preserve">ew </w:t>
      </w:r>
      <w:r w:rsidR="003811C4" w:rsidRPr="005C5C45">
        <w:t>Z</w:t>
      </w:r>
      <w:r w:rsidR="00542644" w:rsidRPr="005C5C45">
        <w:t>ealand</w:t>
      </w:r>
      <w:r w:rsidR="00C013AB" w:rsidRPr="005C5C45">
        <w:t xml:space="preserve"> have</w:t>
      </w:r>
      <w:r w:rsidR="00720D9B" w:rsidRPr="005C5C45">
        <w:t xml:space="preserve"> </w:t>
      </w:r>
      <w:r w:rsidR="00DB2D44" w:rsidRPr="005C5C45">
        <w:t>been doing so since</w:t>
      </w:r>
      <w:r w:rsidR="00720D9B" w:rsidRPr="005C5C45">
        <w:t xml:space="preserve"> 2015.</w:t>
      </w:r>
      <w:r w:rsidR="009C2356" w:rsidRPr="005C5C45">
        <w:t xml:space="preserve"> </w:t>
      </w:r>
    </w:p>
    <w:p w14:paraId="210B88B1" w14:textId="6B4EC63C" w:rsidR="009C2356" w:rsidRPr="005C5C45" w:rsidRDefault="00393AC3" w:rsidP="00E40251">
      <w:pPr>
        <w:spacing w:after="120"/>
        <w:rPr>
          <w:rFonts w:eastAsia="Cambria"/>
          <w:bCs/>
          <w:szCs w:val="22"/>
        </w:rPr>
      </w:pPr>
      <w:r w:rsidRPr="005C5C45">
        <w:rPr>
          <w:rFonts w:eastAsia="Cambria"/>
          <w:bCs/>
          <w:szCs w:val="22"/>
        </w:rPr>
        <w:t>In sum, s</w:t>
      </w:r>
      <w:r w:rsidR="00476E77" w:rsidRPr="005C5C45">
        <w:rPr>
          <w:rFonts w:eastAsia="Cambria"/>
          <w:bCs/>
          <w:szCs w:val="22"/>
        </w:rPr>
        <w:t xml:space="preserve">takeholders generally saw this commitment as a commendable first step forward in developing common OIA compliance practice across government. Some saw it </w:t>
      </w:r>
      <w:r w:rsidR="00C11462">
        <w:rPr>
          <w:rFonts w:eastAsia="Cambria"/>
          <w:bCs/>
          <w:szCs w:val="22"/>
        </w:rPr>
        <w:t>merely as a token gesture</w:t>
      </w:r>
      <w:r w:rsidR="00476E77" w:rsidRPr="005C5C45">
        <w:rPr>
          <w:rFonts w:eastAsia="Cambria"/>
          <w:bCs/>
          <w:szCs w:val="22"/>
        </w:rPr>
        <w:t xml:space="preserve"> and wanted stronger government action </w:t>
      </w:r>
      <w:r w:rsidR="00443177">
        <w:rPr>
          <w:rFonts w:eastAsia="Cambria"/>
          <w:bCs/>
          <w:szCs w:val="22"/>
        </w:rPr>
        <w:t>committing</w:t>
      </w:r>
      <w:r w:rsidR="00443177" w:rsidRPr="005C5C45">
        <w:rPr>
          <w:rFonts w:eastAsia="Cambria"/>
          <w:bCs/>
          <w:szCs w:val="22"/>
        </w:rPr>
        <w:t xml:space="preserve"> </w:t>
      </w:r>
      <w:r w:rsidR="00476E77" w:rsidRPr="005C5C45">
        <w:rPr>
          <w:rFonts w:eastAsia="Cambria"/>
          <w:bCs/>
          <w:szCs w:val="22"/>
        </w:rPr>
        <w:t>to the purpose of the OIA. Others felt the proposed policy changes strengthened the OIA and sought actions in the next action plan to implement them. Internet N</w:t>
      </w:r>
      <w:r w:rsidR="00542644" w:rsidRPr="005C5C45">
        <w:rPr>
          <w:rFonts w:eastAsia="Cambria"/>
          <w:bCs/>
          <w:szCs w:val="22"/>
        </w:rPr>
        <w:t xml:space="preserve">ew </w:t>
      </w:r>
      <w:r w:rsidR="00476E77" w:rsidRPr="005C5C45">
        <w:rPr>
          <w:rFonts w:eastAsia="Cambria"/>
          <w:bCs/>
          <w:szCs w:val="22"/>
        </w:rPr>
        <w:t>Z</w:t>
      </w:r>
      <w:r w:rsidR="00542644" w:rsidRPr="005C5C45">
        <w:rPr>
          <w:rFonts w:eastAsia="Cambria"/>
          <w:bCs/>
          <w:szCs w:val="22"/>
        </w:rPr>
        <w:t>ealand</w:t>
      </w:r>
      <w:r w:rsidR="00476E77" w:rsidRPr="005C5C45">
        <w:rPr>
          <w:rFonts w:eastAsia="Cambria"/>
          <w:bCs/>
          <w:szCs w:val="22"/>
        </w:rPr>
        <w:t xml:space="preserve"> noted the age of the OIA legislation, commenting that</w:t>
      </w:r>
      <w:r w:rsidR="00476E77" w:rsidRPr="005C5C45">
        <w:rPr>
          <w:color w:val="000000"/>
          <w:szCs w:val="22"/>
        </w:rPr>
        <w:t xml:space="preserve"> it was written before the Internet came into existence,</w:t>
      </w:r>
      <w:r w:rsidR="00476E77" w:rsidRPr="005C5C45">
        <w:rPr>
          <w:rFonts w:eastAsia="Cambria"/>
          <w:bCs/>
          <w:szCs w:val="22"/>
        </w:rPr>
        <w:t xml:space="preserve"> and recommended </w:t>
      </w:r>
      <w:r w:rsidR="00443177">
        <w:rPr>
          <w:rFonts w:eastAsia="Cambria"/>
          <w:bCs/>
          <w:szCs w:val="22"/>
        </w:rPr>
        <w:t>a</w:t>
      </w:r>
      <w:r w:rsidR="00476E77" w:rsidRPr="005C5C45">
        <w:rPr>
          <w:rFonts w:eastAsia="Cambria"/>
          <w:bCs/>
          <w:szCs w:val="22"/>
        </w:rPr>
        <w:t xml:space="preserve"> </w:t>
      </w:r>
      <w:r w:rsidR="00415346">
        <w:rPr>
          <w:rFonts w:eastAsia="Cambria"/>
          <w:bCs/>
          <w:szCs w:val="22"/>
        </w:rPr>
        <w:t>‘</w:t>
      </w:r>
      <w:r w:rsidR="00476E77" w:rsidRPr="005C5C45">
        <w:rPr>
          <w:rFonts w:eastAsia="Cambria"/>
          <w:bCs/>
          <w:szCs w:val="22"/>
        </w:rPr>
        <w:t>look at its intent, beef up the presumption of disclosure, then let the technology work</w:t>
      </w:r>
      <w:r w:rsidR="00415346">
        <w:rPr>
          <w:rFonts w:eastAsia="Cambria"/>
          <w:bCs/>
          <w:szCs w:val="22"/>
        </w:rPr>
        <w:t>’</w:t>
      </w:r>
      <w:r w:rsidR="00E40251">
        <w:rPr>
          <w:rFonts w:eastAsia="Cambria"/>
          <w:bCs/>
          <w:szCs w:val="22"/>
        </w:rPr>
        <w:t>.</w:t>
      </w:r>
      <w:r w:rsidR="00E95082" w:rsidRPr="005C5C45">
        <w:rPr>
          <w:rStyle w:val="EndnoteReference"/>
          <w:rFonts w:eastAsia="Cambria"/>
          <w:bCs/>
          <w:szCs w:val="22"/>
        </w:rPr>
        <w:endnoteReference w:customMarkFollows="1" w:id="115"/>
        <w:t>17</w:t>
      </w:r>
    </w:p>
    <w:bookmarkEnd w:id="23"/>
    <w:p w14:paraId="5287C465" w14:textId="77777777" w:rsidR="00EA2F88" w:rsidRPr="005C5C45" w:rsidRDefault="00EA2F88" w:rsidP="006B1434">
      <w:pPr>
        <w:pStyle w:val="Heading3"/>
      </w:pPr>
      <w:r w:rsidRPr="005C5C45">
        <w:t>Next Steps</w:t>
      </w:r>
    </w:p>
    <w:p w14:paraId="3D862537" w14:textId="77777777" w:rsidR="00C64E7C" w:rsidRPr="005C5C45" w:rsidRDefault="00EA2F88" w:rsidP="00393AC3">
      <w:pPr>
        <w:pStyle w:val="NormalWeb"/>
        <w:shd w:val="clear" w:color="auto" w:fill="FFFFFF"/>
        <w:spacing w:before="0" w:beforeAutospacing="0" w:after="0" w:afterAutospacing="0"/>
      </w:pPr>
      <w:bookmarkStart w:id="24" w:name="_Hlk492911251"/>
      <w:r w:rsidRPr="005C5C45">
        <w:rPr>
          <w:rFonts w:ascii="Gill Sans" w:hAnsi="Gill Sans" w:cs="Gill Sans"/>
          <w:color w:val="222222"/>
        </w:rPr>
        <w:t>The IRM researcher recommends</w:t>
      </w:r>
      <w:r w:rsidR="007001A0" w:rsidRPr="005C5C45">
        <w:rPr>
          <w:rFonts w:ascii="Gill Sans" w:hAnsi="Gill Sans" w:cs="Gill Sans"/>
          <w:color w:val="222222"/>
        </w:rPr>
        <w:t xml:space="preserve"> </w:t>
      </w:r>
      <w:r w:rsidR="0026006F" w:rsidRPr="005C5C45">
        <w:rPr>
          <w:rFonts w:ascii="Gill Sans" w:hAnsi="Gill Sans" w:cs="Gill Sans"/>
          <w:color w:val="222222"/>
        </w:rPr>
        <w:t>th</w:t>
      </w:r>
      <w:r w:rsidR="00B106B0" w:rsidRPr="005C5C45">
        <w:rPr>
          <w:rFonts w:ascii="Gill Sans" w:hAnsi="Gill Sans" w:cs="Gill Sans"/>
          <w:color w:val="222222"/>
        </w:rPr>
        <w:t xml:space="preserve">at </w:t>
      </w:r>
      <w:r w:rsidR="007001A0" w:rsidRPr="005C5C45">
        <w:rPr>
          <w:rFonts w:ascii="Gill Sans" w:hAnsi="Gill Sans" w:cs="Gill Sans"/>
          <w:color w:val="222222"/>
        </w:rPr>
        <w:t xml:space="preserve">a clear statement of government policy on </w:t>
      </w:r>
      <w:r w:rsidR="0026006F" w:rsidRPr="005C5C45">
        <w:rPr>
          <w:rFonts w:ascii="Gill Sans" w:hAnsi="Gill Sans" w:cs="Gill Sans"/>
          <w:color w:val="222222"/>
        </w:rPr>
        <w:t xml:space="preserve">the </w:t>
      </w:r>
      <w:r w:rsidR="007001A0" w:rsidRPr="005C5C45">
        <w:rPr>
          <w:rFonts w:ascii="Gill Sans" w:hAnsi="Gill Sans" w:cs="Gill Sans"/>
          <w:color w:val="222222"/>
        </w:rPr>
        <w:t xml:space="preserve">proactive release of Cabinet papers </w:t>
      </w:r>
      <w:r w:rsidR="0026006F" w:rsidRPr="005C5C45">
        <w:rPr>
          <w:rFonts w:ascii="Gill Sans" w:hAnsi="Gill Sans" w:cs="Gill Sans"/>
          <w:color w:val="222222"/>
        </w:rPr>
        <w:t>(</w:t>
      </w:r>
      <w:r w:rsidR="007001A0" w:rsidRPr="005C5C45">
        <w:rPr>
          <w:rFonts w:ascii="Gill Sans" w:hAnsi="Gill Sans" w:cs="Gill Sans"/>
          <w:color w:val="222222"/>
        </w:rPr>
        <w:t>and related material</w:t>
      </w:r>
      <w:r w:rsidR="0026006F" w:rsidRPr="005C5C45">
        <w:rPr>
          <w:rFonts w:ascii="Gill Sans" w:hAnsi="Gill Sans" w:cs="Gill Sans"/>
          <w:color w:val="222222"/>
        </w:rPr>
        <w:t>)</w:t>
      </w:r>
      <w:r w:rsidR="007001A0" w:rsidRPr="005C5C45">
        <w:rPr>
          <w:rFonts w:ascii="Gill Sans" w:hAnsi="Gill Sans" w:cs="Gill Sans"/>
          <w:color w:val="222222"/>
        </w:rPr>
        <w:t xml:space="preserve"> </w:t>
      </w:r>
      <w:proofErr w:type="gramStart"/>
      <w:r w:rsidR="00B106B0" w:rsidRPr="005C5C45">
        <w:rPr>
          <w:rFonts w:ascii="Gill Sans" w:hAnsi="Gill Sans" w:cs="Gill Sans"/>
          <w:color w:val="222222"/>
        </w:rPr>
        <w:t>is</w:t>
      </w:r>
      <w:proofErr w:type="gramEnd"/>
      <w:r w:rsidR="00B106B0" w:rsidRPr="005C5C45">
        <w:rPr>
          <w:rFonts w:ascii="Gill Sans" w:hAnsi="Gill Sans" w:cs="Gill Sans"/>
          <w:color w:val="222222"/>
        </w:rPr>
        <w:t xml:space="preserve"> confirmed by </w:t>
      </w:r>
      <w:r w:rsidR="007001A0" w:rsidRPr="005C5C45">
        <w:rPr>
          <w:rFonts w:ascii="Gill Sans" w:hAnsi="Gill Sans" w:cs="Gill Sans"/>
          <w:color w:val="222222"/>
        </w:rPr>
        <w:t>the new government</w:t>
      </w:r>
      <w:r w:rsidR="0026006F" w:rsidRPr="005C5C45">
        <w:rPr>
          <w:rFonts w:ascii="Gill Sans" w:hAnsi="Gill Sans" w:cs="Gill Sans"/>
          <w:color w:val="222222"/>
        </w:rPr>
        <w:t xml:space="preserve">, as the policy originally only applied to the pre-23 September 2017 </w:t>
      </w:r>
      <w:r w:rsidR="00C80A3F" w:rsidRPr="005C5C45">
        <w:rPr>
          <w:rFonts w:ascii="Gill Sans" w:hAnsi="Gill Sans" w:cs="Gill Sans"/>
          <w:color w:val="222222"/>
        </w:rPr>
        <w:t>government</w:t>
      </w:r>
      <w:r w:rsidR="007001A0" w:rsidRPr="005C5C45">
        <w:rPr>
          <w:rFonts w:ascii="Gill Sans" w:hAnsi="Gill Sans" w:cs="Gill Sans"/>
          <w:color w:val="222222"/>
        </w:rPr>
        <w:t>.</w:t>
      </w:r>
      <w:r w:rsidR="007651C7" w:rsidRPr="005C5C45">
        <w:rPr>
          <w:rFonts w:ascii="Gill Sans" w:hAnsi="Gill Sans" w:cs="Gill Sans"/>
          <w:color w:val="222222"/>
        </w:rPr>
        <w:t xml:space="preserve"> The IRM researcher</w:t>
      </w:r>
      <w:r w:rsidR="007001A0" w:rsidRPr="005C5C45">
        <w:rPr>
          <w:rFonts w:ascii="Gill Sans" w:hAnsi="Gill Sans" w:cs="Gill Sans"/>
          <w:color w:val="222222"/>
        </w:rPr>
        <w:t xml:space="preserve"> recommends that </w:t>
      </w:r>
      <w:r w:rsidRPr="005C5C45">
        <w:rPr>
          <w:rFonts w:ascii="Gill Sans" w:hAnsi="Gill Sans" w:cs="Gill Sans"/>
          <w:color w:val="222222"/>
        </w:rPr>
        <w:t xml:space="preserve">the next action plan </w:t>
      </w:r>
      <w:r w:rsidR="0042083C" w:rsidRPr="005C5C45">
        <w:rPr>
          <w:rFonts w:ascii="Gill Sans" w:hAnsi="Gill Sans" w:cs="Gill Sans"/>
          <w:color w:val="222222"/>
        </w:rPr>
        <w:t>prioriti</w:t>
      </w:r>
      <w:r w:rsidR="00C64E7C" w:rsidRPr="005C5C45">
        <w:rPr>
          <w:rFonts w:ascii="Gill Sans" w:hAnsi="Gill Sans" w:cs="Gill Sans"/>
          <w:color w:val="222222"/>
        </w:rPr>
        <w:t>s</w:t>
      </w:r>
      <w:r w:rsidR="0042083C" w:rsidRPr="005C5C45">
        <w:rPr>
          <w:rFonts w:ascii="Gill Sans" w:hAnsi="Gill Sans" w:cs="Gill Sans"/>
          <w:color w:val="222222"/>
        </w:rPr>
        <w:t xml:space="preserve">e three key aspects: it should </w:t>
      </w:r>
      <w:r w:rsidRPr="005C5C45">
        <w:rPr>
          <w:rFonts w:ascii="Gill Sans" w:hAnsi="Gill Sans" w:cs="Gill Sans"/>
          <w:color w:val="222222"/>
        </w:rPr>
        <w:t>specif</w:t>
      </w:r>
      <w:r w:rsidR="0042083C" w:rsidRPr="005C5C45">
        <w:rPr>
          <w:rFonts w:ascii="Gill Sans" w:hAnsi="Gill Sans" w:cs="Gill Sans"/>
          <w:color w:val="222222"/>
        </w:rPr>
        <w:t>y</w:t>
      </w:r>
      <w:r w:rsidRPr="005C5C45">
        <w:rPr>
          <w:rFonts w:ascii="Gill Sans" w:hAnsi="Gill Sans" w:cs="Gill Sans"/>
          <w:color w:val="222222"/>
        </w:rPr>
        <w:t xml:space="preserve"> steps for monitoring agencies’ adoption of</w:t>
      </w:r>
      <w:r w:rsidR="00460343" w:rsidRPr="005C5C45">
        <w:rPr>
          <w:rFonts w:ascii="Gill Sans" w:hAnsi="Gill Sans" w:cs="Gill Sans"/>
          <w:color w:val="222222"/>
        </w:rPr>
        <w:t xml:space="preserve"> </w:t>
      </w:r>
      <w:r w:rsidR="00510BB1" w:rsidRPr="005C5C45">
        <w:rPr>
          <w:rFonts w:ascii="Gill Sans" w:hAnsi="Gill Sans" w:cs="Gill Sans"/>
          <w:color w:val="222222"/>
        </w:rPr>
        <w:t>these</w:t>
      </w:r>
      <w:r w:rsidR="00127CBD" w:rsidRPr="005C5C45">
        <w:rPr>
          <w:rFonts w:ascii="Gill Sans" w:hAnsi="Gill Sans" w:cs="Gill Sans"/>
          <w:color w:val="222222"/>
        </w:rPr>
        <w:t xml:space="preserve"> actions, </w:t>
      </w:r>
      <w:r w:rsidR="0026006F" w:rsidRPr="005C5C45">
        <w:rPr>
          <w:rFonts w:ascii="Gill Sans" w:hAnsi="Gill Sans" w:cs="Gill Sans"/>
          <w:color w:val="222222"/>
        </w:rPr>
        <w:t xml:space="preserve">it should </w:t>
      </w:r>
      <w:r w:rsidRPr="005C5C45">
        <w:rPr>
          <w:rFonts w:ascii="Gill Sans" w:hAnsi="Gill Sans" w:cs="Gill Sans"/>
          <w:color w:val="222222"/>
        </w:rPr>
        <w:t>test</w:t>
      </w:r>
      <w:r w:rsidR="0026006F" w:rsidRPr="005C5C45">
        <w:rPr>
          <w:rFonts w:ascii="Gill Sans" w:hAnsi="Gill Sans" w:cs="Gill Sans"/>
          <w:color w:val="222222"/>
        </w:rPr>
        <w:t xml:space="preserve"> </w:t>
      </w:r>
      <w:r w:rsidRPr="005C5C45">
        <w:rPr>
          <w:rFonts w:ascii="Gill Sans" w:hAnsi="Gill Sans" w:cs="Gill Sans"/>
          <w:color w:val="222222"/>
        </w:rPr>
        <w:t>whether th</w:t>
      </w:r>
      <w:r w:rsidR="00B1103C" w:rsidRPr="005C5C45">
        <w:rPr>
          <w:rFonts w:ascii="Gill Sans" w:hAnsi="Gill Sans" w:cs="Gill Sans"/>
          <w:color w:val="222222"/>
        </w:rPr>
        <w:t>is</w:t>
      </w:r>
      <w:r w:rsidRPr="005C5C45">
        <w:rPr>
          <w:rFonts w:ascii="Gill Sans" w:hAnsi="Gill Sans" w:cs="Gill Sans"/>
          <w:color w:val="222222"/>
        </w:rPr>
        <w:t xml:space="preserve"> commitment has met its</w:t>
      </w:r>
      <w:r w:rsidR="00127CBD" w:rsidRPr="005C5C45">
        <w:rPr>
          <w:rFonts w:ascii="Gill Sans" w:hAnsi="Gill Sans" w:cs="Gill Sans"/>
          <w:color w:val="222222"/>
        </w:rPr>
        <w:t xml:space="preserve"> ambition</w:t>
      </w:r>
      <w:r w:rsidR="0026006F" w:rsidRPr="005C5C45">
        <w:rPr>
          <w:rFonts w:ascii="Gill Sans" w:hAnsi="Gill Sans" w:cs="Gill Sans"/>
          <w:color w:val="222222"/>
        </w:rPr>
        <w:t xml:space="preserve"> by seeking public feedback</w:t>
      </w:r>
      <w:r w:rsidR="00127CBD" w:rsidRPr="005C5C45">
        <w:rPr>
          <w:rFonts w:ascii="Gill Sans" w:hAnsi="Gill Sans" w:cs="Gill Sans"/>
          <w:color w:val="222222"/>
        </w:rPr>
        <w:t xml:space="preserve">, and </w:t>
      </w:r>
      <w:r w:rsidR="0026006F" w:rsidRPr="005C5C45">
        <w:rPr>
          <w:rFonts w:ascii="Gill Sans" w:hAnsi="Gill Sans" w:cs="Gill Sans"/>
          <w:color w:val="222222"/>
        </w:rPr>
        <w:t xml:space="preserve">it should </w:t>
      </w:r>
      <w:r w:rsidRPr="005C5C45">
        <w:rPr>
          <w:rFonts w:ascii="Gill Sans" w:hAnsi="Gill Sans" w:cs="Gill Sans"/>
          <w:color w:val="222222"/>
        </w:rPr>
        <w:t xml:space="preserve">address the </w:t>
      </w:r>
      <w:r w:rsidR="00127CBD" w:rsidRPr="005C5C45">
        <w:rPr>
          <w:rFonts w:ascii="Gill Sans" w:hAnsi="Gill Sans" w:cs="Gill Sans"/>
          <w:color w:val="222222"/>
        </w:rPr>
        <w:t>broader outstanding OIA issues</w:t>
      </w:r>
      <w:r w:rsidR="00460343" w:rsidRPr="005C5C45">
        <w:rPr>
          <w:rFonts w:ascii="Gill Sans" w:hAnsi="Gill Sans" w:cs="Gill Sans"/>
          <w:color w:val="222222"/>
        </w:rPr>
        <w:t xml:space="preserve">. </w:t>
      </w:r>
      <w:r w:rsidR="00C64E7C" w:rsidRPr="005C5C45">
        <w:rPr>
          <w:rFonts w:ascii="Gill Sans" w:hAnsi="Gill Sans" w:cs="Gill Sans"/>
          <w:color w:val="222222"/>
        </w:rPr>
        <w:t>The following activities are recommended:</w:t>
      </w:r>
    </w:p>
    <w:p w14:paraId="5E4E969B" w14:textId="77777777" w:rsidR="00C64E7C" w:rsidRPr="005C5C45" w:rsidRDefault="00C64E7C" w:rsidP="008F6D7B"/>
    <w:p w14:paraId="07F49A2B" w14:textId="54CF2B2B" w:rsidR="00C80A3F" w:rsidRPr="005C5C45" w:rsidRDefault="00443177" w:rsidP="00C80A3F">
      <w:pPr>
        <w:pStyle w:val="ListParagraph"/>
        <w:numPr>
          <w:ilvl w:val="0"/>
          <w:numId w:val="54"/>
        </w:numPr>
      </w:pPr>
      <w:proofErr w:type="gramStart"/>
      <w:r>
        <w:t>t</w:t>
      </w:r>
      <w:r w:rsidR="00385CA7" w:rsidRPr="005C5C45">
        <w:t>o</w:t>
      </w:r>
      <w:proofErr w:type="gramEnd"/>
      <w:r w:rsidR="00385CA7" w:rsidRPr="005C5C45">
        <w:t xml:space="preserve"> include </w:t>
      </w:r>
      <w:r w:rsidR="00C80A3F" w:rsidRPr="005C5C45">
        <w:t>the numbers of requests withheld, actual time taken to respond, and the number transferred to Ministers’ offices</w:t>
      </w:r>
      <w:r w:rsidR="00E53399" w:rsidRPr="005C5C45">
        <w:t xml:space="preserve"> in future statistics</w:t>
      </w:r>
      <w:r w:rsidR="00C80A3F" w:rsidRPr="005C5C45">
        <w:t>;</w:t>
      </w:r>
    </w:p>
    <w:p w14:paraId="4DCB1FA3" w14:textId="6C57A919" w:rsidR="00A80E4A" w:rsidRPr="005C5C45" w:rsidRDefault="00802324" w:rsidP="00C80A3F">
      <w:pPr>
        <w:pStyle w:val="ListParagraph"/>
        <w:numPr>
          <w:ilvl w:val="0"/>
          <w:numId w:val="54"/>
        </w:numPr>
      </w:pPr>
      <w:proofErr w:type="gramStart"/>
      <w:r w:rsidRPr="005C5C45">
        <w:t>to</w:t>
      </w:r>
      <w:proofErr w:type="gramEnd"/>
      <w:r w:rsidRPr="005C5C45">
        <w:t xml:space="preserve"> </w:t>
      </w:r>
      <w:r w:rsidR="00EB50CB" w:rsidRPr="005C5C45">
        <w:t xml:space="preserve">consider </w:t>
      </w:r>
      <w:r w:rsidR="00DB418C" w:rsidRPr="005C5C45">
        <w:t>recommendation</w:t>
      </w:r>
      <w:r w:rsidR="00EB50CB" w:rsidRPr="005C5C45">
        <w:t>s by the</w:t>
      </w:r>
      <w:r w:rsidR="00EF5AEC" w:rsidRPr="005C5C45">
        <w:t xml:space="preserve"> NZ Law Commission </w:t>
      </w:r>
      <w:r w:rsidR="00EB50CB" w:rsidRPr="005C5C45">
        <w:t xml:space="preserve">and others </w:t>
      </w:r>
      <w:r w:rsidR="00EF5AEC" w:rsidRPr="005C5C45">
        <w:t xml:space="preserve">to </w:t>
      </w:r>
      <w:r w:rsidR="00DB418C" w:rsidRPr="005C5C45">
        <w:t>apply the OIA to certain parliamentary information</w:t>
      </w:r>
      <w:r w:rsidR="00443177">
        <w:t>;</w:t>
      </w:r>
      <w:r w:rsidR="00DB418C" w:rsidRPr="005C5C45">
        <w:rPr>
          <w:rStyle w:val="EndnoteReference"/>
        </w:rPr>
        <w:endnoteReference w:id="116"/>
      </w:r>
    </w:p>
    <w:p w14:paraId="04899D04" w14:textId="77777777" w:rsidR="00A80E4A" w:rsidRPr="005C5C45" w:rsidRDefault="00802324" w:rsidP="00C80A3F">
      <w:pPr>
        <w:pStyle w:val="ListParagraph"/>
        <w:numPr>
          <w:ilvl w:val="0"/>
          <w:numId w:val="54"/>
        </w:numPr>
      </w:pPr>
      <w:proofErr w:type="gramStart"/>
      <w:r w:rsidRPr="005C5C45">
        <w:t>to</w:t>
      </w:r>
      <w:proofErr w:type="gramEnd"/>
      <w:r w:rsidRPr="005C5C45">
        <w:t xml:space="preserve"> </w:t>
      </w:r>
      <w:r w:rsidR="00460343" w:rsidRPr="005C5C45">
        <w:t>add proactive release to</w:t>
      </w:r>
      <w:r w:rsidR="00EA2F88" w:rsidRPr="005C5C45">
        <w:t xml:space="preserve"> the intent of the OIA and LGOIMA</w:t>
      </w:r>
      <w:r w:rsidR="00A80E4A" w:rsidRPr="005C5C45">
        <w:t xml:space="preserve">, </w:t>
      </w:r>
      <w:r w:rsidR="00A80E4A" w:rsidRPr="005C5C45">
        <w:rPr>
          <w:rFonts w:eastAsia="Cambria" w:cs="Times New Roman"/>
          <w:bCs/>
          <w:color w:val="auto"/>
          <w:szCs w:val="22"/>
        </w:rPr>
        <w:t>simplifying unclear withholding grounds, and better protecting commercially sensitive information</w:t>
      </w:r>
      <w:r w:rsidR="00B1103C" w:rsidRPr="005C5C45">
        <w:rPr>
          <w:rFonts w:eastAsia="Cambria" w:cs="Times New Roman"/>
          <w:bCs/>
          <w:color w:val="auto"/>
          <w:szCs w:val="22"/>
        </w:rPr>
        <w:t>;</w:t>
      </w:r>
    </w:p>
    <w:p w14:paraId="2E594C0A" w14:textId="77777777" w:rsidR="00A80E4A" w:rsidRPr="005C5C45" w:rsidRDefault="00802324" w:rsidP="00C80A3F">
      <w:pPr>
        <w:pStyle w:val="ListParagraph"/>
        <w:numPr>
          <w:ilvl w:val="0"/>
          <w:numId w:val="54"/>
        </w:numPr>
      </w:pPr>
      <w:proofErr w:type="gramStart"/>
      <w:r w:rsidRPr="005C5C45">
        <w:lastRenderedPageBreak/>
        <w:t>to</w:t>
      </w:r>
      <w:proofErr w:type="gramEnd"/>
      <w:r w:rsidRPr="005C5C45">
        <w:t xml:space="preserve"> </w:t>
      </w:r>
      <w:r w:rsidR="00A80E4A" w:rsidRPr="005C5C45">
        <w:t>address</w:t>
      </w:r>
      <w:r w:rsidR="00EA2F88" w:rsidRPr="005C5C45">
        <w:t xml:space="preserve"> </w:t>
      </w:r>
      <w:r w:rsidR="003E30BC" w:rsidRPr="005C5C45">
        <w:t xml:space="preserve">the </w:t>
      </w:r>
      <w:r w:rsidR="00EA2F88" w:rsidRPr="005C5C45">
        <w:t>machinery of government</w:t>
      </w:r>
      <w:r w:rsidR="003E30BC" w:rsidRPr="005C5C45">
        <w:t xml:space="preserve"> question</w:t>
      </w:r>
      <w:r w:rsidR="00EA2F88" w:rsidRPr="005C5C45">
        <w:t xml:space="preserve"> </w:t>
      </w:r>
      <w:r w:rsidR="003E30BC" w:rsidRPr="005C5C45">
        <w:t>about where</w:t>
      </w:r>
      <w:r w:rsidR="00EA2F88" w:rsidRPr="005C5C45">
        <w:t xml:space="preserve"> the OIA function is best </w:t>
      </w:r>
      <w:r w:rsidR="00460343" w:rsidRPr="005C5C45">
        <w:t>placed in</w:t>
      </w:r>
      <w:r w:rsidR="003E30BC" w:rsidRPr="005C5C45">
        <w:t xml:space="preserve"> government</w:t>
      </w:r>
      <w:r w:rsidR="00A80E4A" w:rsidRPr="005C5C45">
        <w:t xml:space="preserve">, and </w:t>
      </w:r>
      <w:r w:rsidR="00A80E4A" w:rsidRPr="005C5C45">
        <w:rPr>
          <w:rFonts w:eastAsia="Cambria" w:cs="Times New Roman"/>
          <w:bCs/>
          <w:color w:val="auto"/>
          <w:szCs w:val="22"/>
        </w:rPr>
        <w:t>establishing statutory oversight functions</w:t>
      </w:r>
      <w:r w:rsidR="00B1103C" w:rsidRPr="005C5C45">
        <w:rPr>
          <w:rFonts w:eastAsia="Cambria" w:cs="Times New Roman"/>
          <w:bCs/>
          <w:color w:val="auto"/>
          <w:szCs w:val="22"/>
        </w:rPr>
        <w:t>;</w:t>
      </w:r>
      <w:r w:rsidR="00C80A3F" w:rsidRPr="005C5C45">
        <w:rPr>
          <w:rFonts w:eastAsia="Cambria" w:cs="Times New Roman"/>
          <w:bCs/>
          <w:color w:val="auto"/>
          <w:szCs w:val="22"/>
        </w:rPr>
        <w:t xml:space="preserve"> </w:t>
      </w:r>
    </w:p>
    <w:p w14:paraId="32C6EE34" w14:textId="77777777" w:rsidR="00EA2F88" w:rsidRPr="005C5C45" w:rsidRDefault="00802324" w:rsidP="00C80A3F">
      <w:pPr>
        <w:pStyle w:val="ListParagraph"/>
        <w:numPr>
          <w:ilvl w:val="0"/>
          <w:numId w:val="54"/>
        </w:numPr>
      </w:pPr>
      <w:proofErr w:type="gramStart"/>
      <w:r w:rsidRPr="005C5C45">
        <w:t>to</w:t>
      </w:r>
      <w:proofErr w:type="gramEnd"/>
      <w:r w:rsidRPr="005C5C45">
        <w:t xml:space="preserve"> </w:t>
      </w:r>
      <w:r w:rsidR="00A80E4A" w:rsidRPr="005C5C45">
        <w:t>review and provid</w:t>
      </w:r>
      <w:r w:rsidRPr="005C5C45">
        <w:t>e</w:t>
      </w:r>
      <w:r w:rsidR="00A80E4A" w:rsidRPr="005C5C45">
        <w:t xml:space="preserve"> </w:t>
      </w:r>
      <w:r w:rsidR="00A80E4A" w:rsidRPr="005C5C45">
        <w:rPr>
          <w:rFonts w:eastAsia="Cambria"/>
          <w:bCs/>
          <w:szCs w:val="22"/>
        </w:rPr>
        <w:t>a cross-government (including local government) OIA request and response website or a virtual process to achieve that</w:t>
      </w:r>
      <w:r w:rsidR="00B1103C" w:rsidRPr="005C5C45">
        <w:rPr>
          <w:rFonts w:eastAsia="Cambria"/>
          <w:bCs/>
          <w:szCs w:val="22"/>
        </w:rPr>
        <w:t>; and</w:t>
      </w:r>
      <w:bookmarkEnd w:id="24"/>
    </w:p>
    <w:p w14:paraId="14AD212D" w14:textId="32E11E24" w:rsidR="00BE7E73" w:rsidRPr="005C5C45" w:rsidRDefault="00802324" w:rsidP="00BE7E73">
      <w:pPr>
        <w:pStyle w:val="NormalWeb"/>
        <w:numPr>
          <w:ilvl w:val="0"/>
          <w:numId w:val="54"/>
        </w:numPr>
        <w:spacing w:before="0" w:beforeAutospacing="0" w:after="0" w:afterAutospacing="0"/>
        <w:rPr>
          <w:rFonts w:ascii="Gill Sans" w:eastAsia="Cambria" w:hAnsi="Gill Sans"/>
          <w:bCs/>
          <w:szCs w:val="22"/>
        </w:rPr>
      </w:pPr>
      <w:proofErr w:type="gramStart"/>
      <w:r w:rsidRPr="005C5C45">
        <w:rPr>
          <w:rFonts w:ascii="Gill Sans" w:eastAsia="Cambria" w:hAnsi="Gill Sans"/>
          <w:bCs/>
          <w:szCs w:val="22"/>
        </w:rPr>
        <w:t>to</w:t>
      </w:r>
      <w:proofErr w:type="gramEnd"/>
      <w:r w:rsidRPr="005C5C45">
        <w:rPr>
          <w:rFonts w:ascii="Gill Sans" w:eastAsia="Cambria" w:hAnsi="Gill Sans"/>
          <w:bCs/>
          <w:szCs w:val="22"/>
        </w:rPr>
        <w:t xml:space="preserve"> create </w:t>
      </w:r>
      <w:r w:rsidR="00B1103C" w:rsidRPr="005C5C45">
        <w:rPr>
          <w:rFonts w:ascii="Gill Sans" w:eastAsia="Cambria" w:hAnsi="Gill Sans"/>
          <w:bCs/>
          <w:szCs w:val="22"/>
        </w:rPr>
        <w:t xml:space="preserve">a </w:t>
      </w:r>
      <w:r w:rsidR="00830B07" w:rsidRPr="005C5C45">
        <w:rPr>
          <w:rFonts w:ascii="Gill Sans" w:eastAsia="Cambria" w:hAnsi="Gill Sans"/>
          <w:bCs/>
          <w:szCs w:val="22"/>
        </w:rPr>
        <w:t xml:space="preserve">cultural change </w:t>
      </w:r>
      <w:r w:rsidR="00B1103C" w:rsidRPr="005C5C45">
        <w:rPr>
          <w:rFonts w:ascii="Gill Sans" w:eastAsia="Cambria" w:hAnsi="Gill Sans"/>
          <w:bCs/>
          <w:szCs w:val="22"/>
        </w:rPr>
        <w:t xml:space="preserve">programme </w:t>
      </w:r>
      <w:r w:rsidR="00830B07" w:rsidRPr="005C5C45">
        <w:rPr>
          <w:rFonts w:ascii="Gill Sans" w:eastAsia="Cambria" w:hAnsi="Gill Sans"/>
          <w:bCs/>
          <w:szCs w:val="22"/>
        </w:rPr>
        <w:t xml:space="preserve">which encourages government officials to </w:t>
      </w:r>
      <w:r w:rsidR="00D24CC6" w:rsidRPr="005C5C45">
        <w:rPr>
          <w:rFonts w:ascii="Gill Sans" w:eastAsia="Cambria" w:hAnsi="Gill Sans"/>
          <w:bCs/>
          <w:szCs w:val="22"/>
        </w:rPr>
        <w:t xml:space="preserve">apply the new guidance and </w:t>
      </w:r>
      <w:r w:rsidR="00B1103C" w:rsidRPr="005C5C45">
        <w:rPr>
          <w:rFonts w:ascii="Gill Sans" w:eastAsia="Cambria" w:hAnsi="Gill Sans"/>
          <w:bCs/>
          <w:szCs w:val="22"/>
        </w:rPr>
        <w:t xml:space="preserve">adopt the </w:t>
      </w:r>
      <w:r w:rsidR="00BE7E73" w:rsidRPr="005C5C45">
        <w:rPr>
          <w:rFonts w:ascii="Gill Sans" w:eastAsia="Cambria" w:hAnsi="Gill Sans"/>
          <w:bCs/>
          <w:szCs w:val="22"/>
        </w:rPr>
        <w:t xml:space="preserve">open government </w:t>
      </w:r>
      <w:r w:rsidR="00B1103C" w:rsidRPr="005C5C45">
        <w:rPr>
          <w:rFonts w:ascii="Gill Sans" w:eastAsia="Cambria" w:hAnsi="Gill Sans"/>
          <w:bCs/>
          <w:szCs w:val="22"/>
        </w:rPr>
        <w:t>principles in the OIA and LGOIMA.</w:t>
      </w:r>
    </w:p>
    <w:p w14:paraId="50DE7E7C" w14:textId="77777777" w:rsidR="001567F0" w:rsidRPr="005C5C45" w:rsidRDefault="001567F0" w:rsidP="00F74D6D">
      <w:pPr>
        <w:pStyle w:val="ListParagraph"/>
        <w:numPr>
          <w:ilvl w:val="0"/>
          <w:numId w:val="0"/>
        </w:numPr>
        <w:ind w:left="720"/>
        <w:sectPr w:rsidR="001567F0" w:rsidRPr="005C5C45" w:rsidSect="0002581F">
          <w:endnotePr>
            <w:numFmt w:val="decimal"/>
            <w:numRestart w:val="eachSect"/>
          </w:endnotePr>
          <w:pgSz w:w="11900" w:h="16840" w:code="9"/>
          <w:pgMar w:top="1440" w:right="1800" w:bottom="1440" w:left="1800" w:header="720" w:footer="720" w:gutter="0"/>
          <w:cols w:space="720"/>
          <w:docGrid w:linePitch="360"/>
        </w:sectPr>
      </w:pPr>
    </w:p>
    <w:p w14:paraId="02A72B4D" w14:textId="77777777" w:rsidR="00EA2F88" w:rsidRPr="005C5C45" w:rsidRDefault="00EA2F88" w:rsidP="00AC624D">
      <w:pPr>
        <w:pStyle w:val="Heading2"/>
      </w:pPr>
      <w:bookmarkStart w:id="25" w:name="_Toc377998811"/>
      <w:r w:rsidRPr="005C5C45">
        <w:lastRenderedPageBreak/>
        <w:t>3. Improving open data access and practices</w:t>
      </w:r>
      <w:bookmarkEnd w:id="25"/>
    </w:p>
    <w:p w14:paraId="6234CAB0" w14:textId="77777777" w:rsidR="00EA2F88" w:rsidRPr="005C5C45" w:rsidRDefault="00EA2F88" w:rsidP="00B112EE">
      <w:pPr>
        <w:rPr>
          <w:b/>
        </w:rPr>
      </w:pPr>
      <w:r w:rsidRPr="005C5C45">
        <w:rPr>
          <w:b/>
        </w:rPr>
        <w:t xml:space="preserve">Commitment Text: </w:t>
      </w:r>
    </w:p>
    <w:p w14:paraId="1E50B81B" w14:textId="77777777" w:rsidR="00EA2F88" w:rsidRPr="005C5C45" w:rsidRDefault="00EA2F88" w:rsidP="00B112EE">
      <w:pPr>
        <w:rPr>
          <w:i/>
          <w:color w:val="auto"/>
        </w:rPr>
      </w:pPr>
      <w:r w:rsidRPr="005C5C45">
        <w:rPr>
          <w:i/>
          <w:color w:val="auto"/>
        </w:rPr>
        <w:t xml:space="preserve">We will enhance access to information by reviewing and strengthening the principles under which </w:t>
      </w:r>
      <w:r w:rsidR="003811C4" w:rsidRPr="005C5C45">
        <w:rPr>
          <w:i/>
          <w:color w:val="auto"/>
        </w:rPr>
        <w:t>N</w:t>
      </w:r>
      <w:r w:rsidR="0038619D" w:rsidRPr="005C5C45">
        <w:rPr>
          <w:i/>
          <w:color w:val="auto"/>
        </w:rPr>
        <w:t xml:space="preserve">ew </w:t>
      </w:r>
      <w:r w:rsidR="003811C4" w:rsidRPr="005C5C45">
        <w:rPr>
          <w:i/>
          <w:color w:val="auto"/>
        </w:rPr>
        <w:t>Z</w:t>
      </w:r>
      <w:r w:rsidR="0038619D" w:rsidRPr="005C5C45">
        <w:rPr>
          <w:i/>
          <w:color w:val="auto"/>
        </w:rPr>
        <w:t>ealand</w:t>
      </w:r>
      <w:r w:rsidRPr="005C5C45">
        <w:rPr>
          <w:i/>
          <w:color w:val="auto"/>
        </w:rPr>
        <w:t xml:space="preserve"> releases open data and information.</w:t>
      </w:r>
    </w:p>
    <w:p w14:paraId="19B39916" w14:textId="77777777" w:rsidR="00EA2F88" w:rsidRPr="005C5C45" w:rsidRDefault="00EA2F88" w:rsidP="00B112EE">
      <w:pPr>
        <w:rPr>
          <w:i/>
        </w:rPr>
      </w:pPr>
    </w:p>
    <w:p w14:paraId="1A049A17" w14:textId="77777777" w:rsidR="00EA2F88" w:rsidRPr="005C5C45" w:rsidRDefault="00EA2F88" w:rsidP="00B112EE">
      <w:pPr>
        <w:rPr>
          <w:i/>
        </w:rPr>
      </w:pPr>
      <w:r w:rsidRPr="005C5C45">
        <w:rPr>
          <w:i/>
        </w:rPr>
        <w:t xml:space="preserve">Objective: To review and strengthen the principles under which </w:t>
      </w:r>
      <w:r w:rsidR="003811C4" w:rsidRPr="005C5C45">
        <w:rPr>
          <w:i/>
        </w:rPr>
        <w:t>N</w:t>
      </w:r>
      <w:r w:rsidR="0038619D" w:rsidRPr="005C5C45">
        <w:rPr>
          <w:i/>
        </w:rPr>
        <w:t xml:space="preserve">ew </w:t>
      </w:r>
      <w:r w:rsidR="003811C4" w:rsidRPr="005C5C45">
        <w:rPr>
          <w:i/>
        </w:rPr>
        <w:t>Z</w:t>
      </w:r>
      <w:r w:rsidR="0038619D" w:rsidRPr="005C5C45">
        <w:rPr>
          <w:i/>
        </w:rPr>
        <w:t>ealand</w:t>
      </w:r>
      <w:r w:rsidRPr="005C5C45">
        <w:rPr>
          <w:i/>
        </w:rPr>
        <w:t xml:space="preserve"> releases open data and information.</w:t>
      </w:r>
    </w:p>
    <w:p w14:paraId="3D982791" w14:textId="77777777" w:rsidR="00EA2F88" w:rsidRPr="005C5C45" w:rsidRDefault="00EA2F88" w:rsidP="00B112EE">
      <w:pPr>
        <w:rPr>
          <w:i/>
        </w:rPr>
      </w:pPr>
    </w:p>
    <w:p w14:paraId="1132BCE5" w14:textId="77777777" w:rsidR="00EA2F88" w:rsidRPr="005C5C45" w:rsidRDefault="00EA2F88" w:rsidP="00B112EE">
      <w:pPr>
        <w:rPr>
          <w:i/>
        </w:rPr>
      </w:pPr>
      <w:r w:rsidRPr="005C5C45">
        <w:rPr>
          <w:i/>
        </w:rPr>
        <w:t xml:space="preserve">Status quo: </w:t>
      </w:r>
      <w:r w:rsidR="003811C4" w:rsidRPr="005C5C45">
        <w:rPr>
          <w:i/>
        </w:rPr>
        <w:t>N</w:t>
      </w:r>
      <w:r w:rsidR="0038619D" w:rsidRPr="005C5C45">
        <w:rPr>
          <w:i/>
        </w:rPr>
        <w:t xml:space="preserve">ew </w:t>
      </w:r>
      <w:r w:rsidR="003811C4" w:rsidRPr="005C5C45">
        <w:rPr>
          <w:i/>
        </w:rPr>
        <w:t>Z</w:t>
      </w:r>
      <w:r w:rsidR="0038619D" w:rsidRPr="005C5C45">
        <w:rPr>
          <w:i/>
        </w:rPr>
        <w:t>ealand</w:t>
      </w:r>
      <w:r w:rsidRPr="005C5C45">
        <w:rPr>
          <w:i/>
        </w:rPr>
        <w:t xml:space="preserve"> has a set of principles guiding the management of government data and information, including proactive release in reusable formats. But the </w:t>
      </w:r>
      <w:r w:rsidR="003811C4" w:rsidRPr="005C5C45">
        <w:rPr>
          <w:i/>
        </w:rPr>
        <w:t>N</w:t>
      </w:r>
      <w:r w:rsidR="0038619D" w:rsidRPr="005C5C45">
        <w:rPr>
          <w:i/>
        </w:rPr>
        <w:t xml:space="preserve">ew </w:t>
      </w:r>
      <w:r w:rsidR="003811C4" w:rsidRPr="005C5C45">
        <w:rPr>
          <w:i/>
        </w:rPr>
        <w:t>Z</w:t>
      </w:r>
      <w:r w:rsidR="0038619D" w:rsidRPr="005C5C45">
        <w:rPr>
          <w:i/>
        </w:rPr>
        <w:t>ealand</w:t>
      </w:r>
      <w:r w:rsidRPr="005C5C45">
        <w:rPr>
          <w:i/>
        </w:rPr>
        <w:t xml:space="preserve"> principles lack the 2016 level of specificity in the Open Data Charter for data, and include wider information management principles that are still required.</w:t>
      </w:r>
    </w:p>
    <w:p w14:paraId="62856126" w14:textId="77777777" w:rsidR="00EA2F88" w:rsidRPr="005C5C45" w:rsidRDefault="00EA2F88" w:rsidP="00B112EE">
      <w:pPr>
        <w:rPr>
          <w:i/>
        </w:rPr>
      </w:pPr>
    </w:p>
    <w:p w14:paraId="31ECE558" w14:textId="77777777" w:rsidR="00EA2F88" w:rsidRPr="005C5C45" w:rsidRDefault="00EA2F88" w:rsidP="00B112EE">
      <w:pPr>
        <w:rPr>
          <w:i/>
        </w:rPr>
      </w:pPr>
      <w:r w:rsidRPr="005C5C45">
        <w:rPr>
          <w:i/>
        </w:rPr>
        <w:t xml:space="preserve">Ambition: </w:t>
      </w:r>
      <w:r w:rsidR="003811C4" w:rsidRPr="005C5C45">
        <w:rPr>
          <w:i/>
        </w:rPr>
        <w:t>N</w:t>
      </w:r>
      <w:r w:rsidR="0038619D" w:rsidRPr="005C5C45">
        <w:rPr>
          <w:i/>
        </w:rPr>
        <w:t xml:space="preserve">ew </w:t>
      </w:r>
      <w:r w:rsidR="003811C4" w:rsidRPr="005C5C45">
        <w:rPr>
          <w:i/>
        </w:rPr>
        <w:t>Z</w:t>
      </w:r>
      <w:r w:rsidR="0038619D" w:rsidRPr="005C5C45">
        <w:rPr>
          <w:i/>
        </w:rPr>
        <w:t>ealand</w:t>
      </w:r>
      <w:r w:rsidRPr="005C5C45">
        <w:rPr>
          <w:i/>
        </w:rPr>
        <w:t xml:space="preserve"> has fully modernised and world-leading principles for government-held data and information that provide a strong foundation for open access to data and information, building capability for data reuse, improving the openness of government operations and supporting informed participation by citizens in government decisions through the availability of open data</w:t>
      </w:r>
      <w:r w:rsidR="00ED2352" w:rsidRPr="005C5C45">
        <w:rPr>
          <w:i/>
        </w:rPr>
        <w:t>.</w:t>
      </w:r>
    </w:p>
    <w:p w14:paraId="68272214" w14:textId="77777777" w:rsidR="0038619D" w:rsidRPr="005C5C45" w:rsidRDefault="0038619D" w:rsidP="00B112EE">
      <w:pPr>
        <w:rPr>
          <w:i/>
        </w:rPr>
      </w:pPr>
    </w:p>
    <w:p w14:paraId="4053538D" w14:textId="77777777" w:rsidR="0038619D" w:rsidRPr="005C5C45" w:rsidRDefault="0038619D" w:rsidP="00B112EE">
      <w:pPr>
        <w:rPr>
          <w:i/>
        </w:rPr>
      </w:pPr>
      <w:r w:rsidRPr="005C5C45">
        <w:rPr>
          <w:i/>
        </w:rPr>
        <w:t>Milestones:</w:t>
      </w:r>
    </w:p>
    <w:p w14:paraId="57B90C7B" w14:textId="77777777" w:rsidR="0038619D" w:rsidRPr="005C5C45" w:rsidRDefault="0038619D" w:rsidP="00ED65E1">
      <w:pPr>
        <w:pStyle w:val="APQuotefeaturetol"/>
        <w:numPr>
          <w:ilvl w:val="0"/>
          <w:numId w:val="62"/>
        </w:numPr>
      </w:pPr>
      <w:r w:rsidRPr="005C5C45">
        <w:t>Review potential adoption of the International Open Data Charter, using public feedback</w:t>
      </w:r>
    </w:p>
    <w:p w14:paraId="7120B6BA" w14:textId="77777777" w:rsidR="0038619D" w:rsidRPr="005C5C45" w:rsidRDefault="0038619D" w:rsidP="00ED65E1">
      <w:pPr>
        <w:pStyle w:val="APQuotefeaturetol"/>
        <w:numPr>
          <w:ilvl w:val="0"/>
          <w:numId w:val="62"/>
        </w:numPr>
      </w:pPr>
      <w:r w:rsidRPr="005C5C45">
        <w:t>Review New Zealand Data and Information Management Principles</w:t>
      </w:r>
    </w:p>
    <w:p w14:paraId="0F0EFAEE" w14:textId="77777777" w:rsidR="0038619D" w:rsidRPr="005C5C45" w:rsidRDefault="0038619D" w:rsidP="00ED65E1">
      <w:pPr>
        <w:pStyle w:val="APQuotefeaturetol"/>
        <w:numPr>
          <w:ilvl w:val="0"/>
          <w:numId w:val="62"/>
        </w:numPr>
      </w:pPr>
      <w:r w:rsidRPr="005C5C45">
        <w:t>Determine what principles will guide release of, and access to, New Zealand open data and information, using public feedback</w:t>
      </w:r>
    </w:p>
    <w:p w14:paraId="4CBD2B97" w14:textId="77777777" w:rsidR="0038619D" w:rsidRPr="005C5C45" w:rsidRDefault="0038619D" w:rsidP="00ED65E1">
      <w:pPr>
        <w:pStyle w:val="APQuotefeaturetol"/>
        <w:numPr>
          <w:ilvl w:val="0"/>
          <w:numId w:val="62"/>
        </w:numPr>
      </w:pPr>
      <w:r w:rsidRPr="005C5C45">
        <w:t>Engage with citizens and government on application of the new/amended open data principles</w:t>
      </w:r>
    </w:p>
    <w:p w14:paraId="103E235D" w14:textId="77777777" w:rsidR="0038619D" w:rsidRPr="005C5C45" w:rsidRDefault="0038619D" w:rsidP="00ED65E1">
      <w:pPr>
        <w:pStyle w:val="APQuotefeaturetol"/>
        <w:numPr>
          <w:ilvl w:val="0"/>
          <w:numId w:val="62"/>
        </w:numPr>
      </w:pPr>
      <w:r w:rsidRPr="005C5C45">
        <w:t>Implement new/amended open data principles</w:t>
      </w:r>
    </w:p>
    <w:p w14:paraId="3ADF62A7" w14:textId="77777777" w:rsidR="00EA2F88" w:rsidRPr="005C5C45" w:rsidRDefault="00EA2F88" w:rsidP="00B112EE"/>
    <w:p w14:paraId="26D87F87" w14:textId="31B30A37" w:rsidR="00EA2F88" w:rsidRPr="005C5C45" w:rsidRDefault="00EA2F88" w:rsidP="00B112EE">
      <w:pPr>
        <w:pStyle w:val="Normalrglronly"/>
      </w:pPr>
      <w:r w:rsidRPr="005C5C45">
        <w:rPr>
          <w:b/>
        </w:rPr>
        <w:t>Responsible institution:</w:t>
      </w:r>
      <w:r w:rsidR="00460343" w:rsidRPr="005C5C45">
        <w:tab/>
      </w:r>
      <w:r w:rsidR="00163020" w:rsidRPr="005C5C45">
        <w:t xml:space="preserve"> </w:t>
      </w:r>
      <w:r w:rsidRPr="005C5C45">
        <w:t xml:space="preserve">Land Information </w:t>
      </w:r>
      <w:r w:rsidR="003811C4" w:rsidRPr="005C5C45">
        <w:t>N</w:t>
      </w:r>
      <w:r w:rsidR="00163020" w:rsidRPr="005C5C45">
        <w:t xml:space="preserve">ew </w:t>
      </w:r>
      <w:r w:rsidR="003811C4" w:rsidRPr="005C5C45">
        <w:t>Z</w:t>
      </w:r>
      <w:r w:rsidR="00163020" w:rsidRPr="005C5C45">
        <w:t>ealand</w:t>
      </w:r>
      <w:r w:rsidRPr="005C5C45">
        <w:t xml:space="preserve"> (</w:t>
      </w:r>
      <w:r w:rsidR="00395516" w:rsidRPr="005C5C45">
        <w:t xml:space="preserve">Lead from </w:t>
      </w:r>
      <w:r w:rsidRPr="005C5C45">
        <w:t>1 October 2016</w:t>
      </w:r>
      <w:r w:rsidR="00443177">
        <w:t xml:space="preserve"> – </w:t>
      </w:r>
      <w:r w:rsidRPr="005C5C45">
        <w:t xml:space="preserve">10 March 2017), Statistics </w:t>
      </w:r>
      <w:r w:rsidR="003811C4" w:rsidRPr="005C5C45">
        <w:t>N</w:t>
      </w:r>
      <w:r w:rsidR="000A61CE" w:rsidRPr="005C5C45">
        <w:t xml:space="preserve">ew </w:t>
      </w:r>
      <w:r w:rsidR="003811C4" w:rsidRPr="005C5C45">
        <w:t>Z</w:t>
      </w:r>
      <w:r w:rsidR="000A61CE" w:rsidRPr="005C5C45">
        <w:t>ealand (Stats NZ)</w:t>
      </w:r>
      <w:r w:rsidRPr="005C5C45">
        <w:t xml:space="preserve"> (</w:t>
      </w:r>
      <w:r w:rsidR="00395516" w:rsidRPr="005C5C45">
        <w:t xml:space="preserve">Lead from </w:t>
      </w:r>
      <w:r w:rsidRPr="005C5C45">
        <w:t xml:space="preserve">11 March 2017 </w:t>
      </w:r>
      <w:r w:rsidR="00395516" w:rsidRPr="005C5C45">
        <w:t>onwards</w:t>
      </w:r>
      <w:r w:rsidRPr="005C5C45">
        <w:t>)</w:t>
      </w:r>
    </w:p>
    <w:p w14:paraId="5AA1363B" w14:textId="77777777" w:rsidR="00EA2F88" w:rsidRPr="005C5C45" w:rsidRDefault="00EA2F88" w:rsidP="00B112EE">
      <w:pPr>
        <w:pStyle w:val="Normalrglronly"/>
      </w:pPr>
      <w:r w:rsidRPr="005C5C45">
        <w:rPr>
          <w:b/>
        </w:rPr>
        <w:t>Supporting institution(s</w:t>
      </w:r>
      <w:r w:rsidR="00460343" w:rsidRPr="005C5C45">
        <w:t>):</w:t>
      </w:r>
      <w:r w:rsidR="00460343" w:rsidRPr="005C5C45">
        <w:tab/>
      </w:r>
      <w:r w:rsidR="00163020" w:rsidRPr="005C5C45">
        <w:t xml:space="preserve"> </w:t>
      </w:r>
      <w:r w:rsidRPr="005C5C45">
        <w:rPr>
          <w:noProof/>
        </w:rPr>
        <w:t>Department of Internal Affairs</w:t>
      </w:r>
    </w:p>
    <w:p w14:paraId="35FEA434" w14:textId="3BCA8C5B" w:rsidR="00E40251" w:rsidRDefault="00EA2F88" w:rsidP="00AC624D">
      <w:pPr>
        <w:pStyle w:val="Normalrglronly"/>
      </w:pPr>
      <w:r w:rsidRPr="005C5C45">
        <w:rPr>
          <w:b/>
        </w:rPr>
        <w:t xml:space="preserve">Start date: </w:t>
      </w:r>
      <w:r w:rsidRPr="005C5C45">
        <w:t>October 2016</w:t>
      </w:r>
      <w:r w:rsidR="00163020" w:rsidRPr="005C5C45">
        <w:t xml:space="preserve"> </w:t>
      </w:r>
      <w:r w:rsidR="00E40251">
        <w:t xml:space="preserve">    </w:t>
      </w:r>
      <w:r w:rsidRPr="005C5C45">
        <w:tab/>
      </w:r>
      <w:r w:rsidR="00163020" w:rsidRPr="005C5C45">
        <w:t xml:space="preserve">    </w:t>
      </w:r>
    </w:p>
    <w:p w14:paraId="75AA6D9E" w14:textId="04EE22B4" w:rsidR="00EA2F88" w:rsidRPr="005C5C45" w:rsidRDefault="00EA2F88" w:rsidP="00AC624D">
      <w:pPr>
        <w:pStyle w:val="Normalrglronly"/>
      </w:pPr>
      <w:r w:rsidRPr="005C5C45">
        <w:rPr>
          <w:b/>
        </w:rPr>
        <w:t>End date:</w:t>
      </w:r>
      <w:r w:rsidRPr="005C5C45">
        <w:t xml:space="preserve"> June 2018</w:t>
      </w:r>
    </w:p>
    <w:tbl>
      <w:tblPr>
        <w:tblStyle w:val="TableGrid"/>
        <w:tblW w:w="10458" w:type="dxa"/>
        <w:jc w:val="center"/>
        <w:tblLayout w:type="fixed"/>
        <w:tblLook w:val="04A0" w:firstRow="1" w:lastRow="0" w:firstColumn="1" w:lastColumn="0" w:noHBand="0" w:noVBand="1"/>
      </w:tblPr>
      <w:tblGrid>
        <w:gridCol w:w="1600"/>
        <w:gridCol w:w="445"/>
        <w:gridCol w:w="352"/>
        <w:gridCol w:w="352"/>
        <w:gridCol w:w="444"/>
        <w:gridCol w:w="617"/>
        <w:gridCol w:w="443"/>
        <w:gridCol w:w="707"/>
        <w:gridCol w:w="924"/>
        <w:gridCol w:w="434"/>
        <w:gridCol w:w="450"/>
        <w:gridCol w:w="511"/>
        <w:gridCol w:w="476"/>
        <w:gridCol w:w="903"/>
        <w:gridCol w:w="450"/>
        <w:gridCol w:w="450"/>
        <w:gridCol w:w="450"/>
        <w:gridCol w:w="450"/>
      </w:tblGrid>
      <w:tr w:rsidR="00EA2F88" w:rsidRPr="005C5C45" w14:paraId="772ABD50" w14:textId="77777777" w:rsidTr="0052021D">
        <w:trPr>
          <w:trHeight w:val="441"/>
          <w:jc w:val="center"/>
        </w:trPr>
        <w:tc>
          <w:tcPr>
            <w:tcW w:w="1600" w:type="dxa"/>
            <w:vMerge w:val="restart"/>
            <w:tcBorders>
              <w:top w:val="single" w:sz="4" w:space="0" w:color="FFFFFF" w:themeColor="background1"/>
              <w:left w:val="single" w:sz="4" w:space="0" w:color="FFFFFF" w:themeColor="background1"/>
              <w:right w:val="single" w:sz="12" w:space="0" w:color="FFFFFF" w:themeColor="background1"/>
            </w:tcBorders>
            <w:shd w:val="clear" w:color="auto" w:fill="000000" w:themeFill="text1"/>
          </w:tcPr>
          <w:p w14:paraId="263C2DBA" w14:textId="77777777" w:rsidR="00EA2F88" w:rsidRPr="005C5C45" w:rsidRDefault="00EA2F88" w:rsidP="0052021D">
            <w:pPr>
              <w:rPr>
                <w:color w:val="FFFFFF" w:themeColor="background1"/>
              </w:rPr>
            </w:pPr>
            <w:r w:rsidRPr="005C5C45">
              <w:rPr>
                <w:color w:val="FFFFFF" w:themeColor="background1"/>
              </w:rPr>
              <w:t>Commitment Overview</w:t>
            </w:r>
          </w:p>
        </w:tc>
        <w:tc>
          <w:tcPr>
            <w:tcW w:w="1593"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1A7D1" w:themeFill="text2" w:themeFillTint="99"/>
          </w:tcPr>
          <w:p w14:paraId="6DB2FEA0" w14:textId="77777777" w:rsidR="00EA2F88" w:rsidRPr="005C5C45" w:rsidRDefault="00EA2F88" w:rsidP="0052021D">
            <w:r w:rsidRPr="005C5C45">
              <w:t>Specificity</w:t>
            </w:r>
          </w:p>
        </w:tc>
        <w:tc>
          <w:tcPr>
            <w:tcW w:w="2691"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B67B" w:themeFill="accent1" w:themeFillTint="99"/>
          </w:tcPr>
          <w:p w14:paraId="06DF39F6" w14:textId="77777777" w:rsidR="00EA2F88" w:rsidRPr="005C5C45" w:rsidRDefault="00EA2F88" w:rsidP="0052021D">
            <w:pPr>
              <w:rPr>
                <w:color w:val="000000" w:themeColor="text1"/>
              </w:rPr>
            </w:pPr>
            <w:r w:rsidRPr="005C5C45">
              <w:t>OGP Value Relevance</w:t>
            </w:r>
          </w:p>
        </w:tc>
        <w:tc>
          <w:tcPr>
            <w:tcW w:w="1871"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0D479" w:themeFill="accent2" w:themeFillTint="99"/>
          </w:tcPr>
          <w:p w14:paraId="3CBF5355" w14:textId="77777777" w:rsidR="00EA2F88" w:rsidRPr="005C5C45" w:rsidRDefault="00EA2F88" w:rsidP="0052021D">
            <w:r w:rsidRPr="005C5C45">
              <w:t>Potential Impact</w:t>
            </w:r>
          </w:p>
        </w:tc>
        <w:tc>
          <w:tcPr>
            <w:tcW w:w="903"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tcPr>
          <w:p w14:paraId="12ECA9DD" w14:textId="77777777" w:rsidR="00EA2F88" w:rsidRPr="005C5C45" w:rsidRDefault="00EA2F88" w:rsidP="0052021D">
            <w:r w:rsidRPr="005C5C45">
              <w:t>On Time?</w:t>
            </w:r>
          </w:p>
        </w:tc>
        <w:tc>
          <w:tcPr>
            <w:tcW w:w="1800" w:type="dxa"/>
            <w:gridSpan w:val="4"/>
            <w:tcBorders>
              <w:top w:val="single" w:sz="4"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tcPr>
          <w:p w14:paraId="1C3D4FCA" w14:textId="77777777" w:rsidR="00EA2F88" w:rsidRPr="005C5C45" w:rsidRDefault="00EA2F88" w:rsidP="0052021D">
            <w:r w:rsidRPr="005C5C45">
              <w:t>Completion</w:t>
            </w:r>
          </w:p>
        </w:tc>
      </w:tr>
      <w:tr w:rsidR="00EA2F88" w:rsidRPr="005C5C45" w14:paraId="6A2DA451" w14:textId="77777777" w:rsidTr="0052021D">
        <w:trPr>
          <w:cantSplit/>
          <w:trHeight w:val="1861"/>
          <w:jc w:val="center"/>
        </w:trPr>
        <w:tc>
          <w:tcPr>
            <w:tcW w:w="1600" w:type="dxa"/>
            <w:vMerge/>
            <w:tcBorders>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3DADAA76" w14:textId="77777777" w:rsidR="00EA2F88" w:rsidRPr="005C5C45" w:rsidRDefault="00EA2F88" w:rsidP="0052021D">
            <w:pPr>
              <w:rPr>
                <w:color w:val="FFFFFF" w:themeColor="background1"/>
              </w:rPr>
            </w:pPr>
          </w:p>
        </w:tc>
        <w:tc>
          <w:tcPr>
            <w:tcW w:w="445"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4A714935" w14:textId="77777777" w:rsidR="00EA2F88" w:rsidRPr="005C5C45" w:rsidRDefault="00EA2F88" w:rsidP="0052021D">
            <w:r w:rsidRPr="005C5C45">
              <w:t>None</w:t>
            </w: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77125602" w14:textId="77777777" w:rsidR="00EA2F88" w:rsidRPr="005C5C45" w:rsidRDefault="00EA2F88" w:rsidP="0052021D">
            <w:r w:rsidRPr="005C5C45">
              <w:t>Low</w:t>
            </w: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157A902D" w14:textId="77777777" w:rsidR="00EA2F88" w:rsidRPr="005C5C45" w:rsidRDefault="00EA2F88" w:rsidP="0052021D">
            <w:r w:rsidRPr="005C5C45">
              <w:t>Medium</w:t>
            </w:r>
          </w:p>
        </w:tc>
        <w:tc>
          <w:tcPr>
            <w:tcW w:w="44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81A7D1" w:themeFill="text2" w:themeFillTint="99"/>
            <w:textDirection w:val="btLr"/>
          </w:tcPr>
          <w:p w14:paraId="19F9D528" w14:textId="77777777" w:rsidR="00EA2F88" w:rsidRPr="005C5C45" w:rsidRDefault="00EA2F88" w:rsidP="0052021D">
            <w:r w:rsidRPr="005C5C45">
              <w:t>High</w:t>
            </w:r>
          </w:p>
        </w:tc>
        <w:tc>
          <w:tcPr>
            <w:tcW w:w="617"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20732BF6" w14:textId="77777777" w:rsidR="00EA2F88" w:rsidRPr="005C5C45" w:rsidRDefault="00EA2F88" w:rsidP="0052021D">
            <w:r w:rsidRPr="005C5C45">
              <w:t>Access to Information</w:t>
            </w:r>
          </w:p>
        </w:tc>
        <w:tc>
          <w:tcPr>
            <w:tcW w:w="443"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7D6A3A54" w14:textId="77777777" w:rsidR="00EA2F88" w:rsidRPr="005C5C45" w:rsidRDefault="00EA2F88" w:rsidP="0052021D">
            <w:r w:rsidRPr="005C5C45">
              <w:t>Civic Participation</w:t>
            </w:r>
          </w:p>
        </w:tc>
        <w:tc>
          <w:tcPr>
            <w:tcW w:w="707"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6F4CB108" w14:textId="77777777" w:rsidR="00EA2F88" w:rsidRPr="005C5C45" w:rsidRDefault="00EA2F88" w:rsidP="0052021D">
            <w:r w:rsidRPr="005C5C45">
              <w:t>Public Accountability</w:t>
            </w:r>
          </w:p>
        </w:tc>
        <w:tc>
          <w:tcPr>
            <w:tcW w:w="92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0B67B" w:themeFill="accent1" w:themeFillTint="99"/>
            <w:textDirection w:val="btLr"/>
          </w:tcPr>
          <w:p w14:paraId="6C307E4F" w14:textId="77777777" w:rsidR="00EA2F88" w:rsidRPr="005C5C45" w:rsidRDefault="00EA2F88" w:rsidP="0052021D">
            <w:r w:rsidRPr="005C5C45">
              <w:t xml:space="preserve">Tech. and </w:t>
            </w:r>
            <w:proofErr w:type="spellStart"/>
            <w:r w:rsidRPr="005C5C45">
              <w:t>Innov</w:t>
            </w:r>
            <w:proofErr w:type="spellEnd"/>
            <w:r w:rsidRPr="005C5C45">
              <w:t xml:space="preserve">. </w:t>
            </w:r>
            <w:proofErr w:type="gramStart"/>
            <w:r w:rsidRPr="005C5C45">
              <w:t>for</w:t>
            </w:r>
            <w:proofErr w:type="gramEnd"/>
            <w:r w:rsidRPr="005C5C45">
              <w:t xml:space="preserve"> Transparency and Accountability</w:t>
            </w:r>
          </w:p>
        </w:tc>
        <w:tc>
          <w:tcPr>
            <w:tcW w:w="434"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1B6A8706" w14:textId="77777777" w:rsidR="00EA2F88" w:rsidRPr="005C5C45" w:rsidRDefault="00EA2F88" w:rsidP="0052021D">
            <w:r w:rsidRPr="005C5C45">
              <w:t>None</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60CAC16D" w14:textId="77777777" w:rsidR="00EA2F88" w:rsidRPr="005C5C45" w:rsidRDefault="00EA2F88" w:rsidP="0052021D">
            <w:r w:rsidRPr="005C5C45">
              <w:t>Minor</w:t>
            </w:r>
          </w:p>
        </w:tc>
        <w:tc>
          <w:tcPr>
            <w:tcW w:w="511"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5D6B610A" w14:textId="77777777" w:rsidR="00EA2F88" w:rsidRPr="005C5C45" w:rsidRDefault="00EA2F88" w:rsidP="0052021D">
            <w:r w:rsidRPr="005C5C45">
              <w:t>Moderate</w:t>
            </w:r>
          </w:p>
        </w:tc>
        <w:tc>
          <w:tcPr>
            <w:tcW w:w="47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90D479" w:themeFill="accent2" w:themeFillTint="99"/>
            <w:textDirection w:val="btLr"/>
          </w:tcPr>
          <w:p w14:paraId="7B76B2CB" w14:textId="77777777" w:rsidR="00EA2F88" w:rsidRPr="005C5C45" w:rsidRDefault="00EA2F88" w:rsidP="0052021D">
            <w:r w:rsidRPr="005C5C45">
              <w:t>Transformative</w:t>
            </w:r>
          </w:p>
        </w:tc>
        <w:tc>
          <w:tcPr>
            <w:tcW w:w="9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textDirection w:val="btLr"/>
          </w:tcPr>
          <w:p w14:paraId="13B600BF" w14:textId="77777777" w:rsidR="00EA2F88" w:rsidRPr="005C5C45" w:rsidRDefault="00EA2F88" w:rsidP="0052021D"/>
        </w:tc>
        <w:tc>
          <w:tcPr>
            <w:tcW w:w="450"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4847618C" w14:textId="77777777" w:rsidR="00EA2F88" w:rsidRPr="005C5C45" w:rsidRDefault="00EA2F88" w:rsidP="0052021D">
            <w:r w:rsidRPr="005C5C45">
              <w:t>Not Started</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7576209B" w14:textId="77777777" w:rsidR="00EA2F88" w:rsidRPr="005C5C45" w:rsidRDefault="00EA2F88" w:rsidP="0052021D">
            <w:r w:rsidRPr="005C5C45">
              <w:t>Limited</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4FCDD7F6" w14:textId="77777777" w:rsidR="00EA2F88" w:rsidRPr="005C5C45" w:rsidRDefault="00EA2F88" w:rsidP="0052021D">
            <w:r w:rsidRPr="005C5C45">
              <w:t>Substantial</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26E2E9BC" w14:textId="77777777" w:rsidR="00EA2F88" w:rsidRPr="005C5C45" w:rsidRDefault="00EA2F88" w:rsidP="0052021D">
            <w:r w:rsidRPr="005C5C45">
              <w:t>Complete</w:t>
            </w:r>
          </w:p>
        </w:tc>
      </w:tr>
      <w:tr w:rsidR="00EA2F88" w:rsidRPr="005C5C45" w14:paraId="432C793E" w14:textId="77777777" w:rsidTr="00E40251">
        <w:trPr>
          <w:trHeight w:val="652"/>
          <w:jc w:val="center"/>
        </w:trPr>
        <w:tc>
          <w:tcPr>
            <w:tcW w:w="1600"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74059B27" w14:textId="77777777" w:rsidR="00EA2F88" w:rsidRPr="005C5C45" w:rsidRDefault="00EA2F88" w:rsidP="0052021D">
            <w:pPr>
              <w:rPr>
                <w:color w:val="FFFFFF" w:themeColor="background1"/>
              </w:rPr>
            </w:pPr>
            <w:r w:rsidRPr="005C5C45">
              <w:rPr>
                <w:color w:val="FFFFFF" w:themeColor="background1"/>
              </w:rPr>
              <w:t xml:space="preserve">3. </w:t>
            </w:r>
            <w:r w:rsidR="00FB3587" w:rsidRPr="005C5C45">
              <w:rPr>
                <w:color w:val="FFFFFF" w:themeColor="background1"/>
              </w:rPr>
              <w:t>Improving Open Data Access and Practices</w:t>
            </w:r>
          </w:p>
        </w:tc>
        <w:tc>
          <w:tcPr>
            <w:tcW w:w="445"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161E1E4F" w14:textId="77777777" w:rsidR="00EA2F88" w:rsidRPr="005C5C45" w:rsidRDefault="00EA2F88" w:rsidP="00E40251">
            <w:pPr>
              <w:jc w:val="center"/>
              <w:rPr>
                <w:sz w:val="20"/>
              </w:rPr>
            </w:pP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1C7D68FC" w14:textId="77777777" w:rsidR="00EA2F88" w:rsidRPr="005C5C45" w:rsidRDefault="00EA2F88" w:rsidP="00E40251">
            <w:pPr>
              <w:jc w:val="center"/>
              <w:rPr>
                <w:sz w:val="20"/>
              </w:rPr>
            </w:pP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12314C70" w14:textId="77777777" w:rsidR="00EA2F88" w:rsidRPr="005C5C45" w:rsidRDefault="00EA2F88" w:rsidP="00E40251">
            <w:pPr>
              <w:jc w:val="center"/>
              <w:rPr>
                <w:sz w:val="20"/>
              </w:rPr>
            </w:pPr>
          </w:p>
        </w:tc>
        <w:tc>
          <w:tcPr>
            <w:tcW w:w="44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81A7D1" w:themeFill="text2" w:themeFillTint="99"/>
            <w:vAlign w:val="center"/>
          </w:tcPr>
          <w:p w14:paraId="084E23B5" w14:textId="77777777" w:rsidR="00EA2F88" w:rsidRPr="005C5C45" w:rsidRDefault="00EA2F88" w:rsidP="00E40251">
            <w:pPr>
              <w:jc w:val="center"/>
              <w:rPr>
                <w:rFonts w:ascii="Zapf Dingbats" w:hAnsi="Zapf Dingbats"/>
                <w:noProof/>
                <w:sz w:val="20"/>
              </w:rPr>
            </w:pPr>
            <w:r w:rsidRPr="005C5C45">
              <w:rPr>
                <w:rFonts w:ascii="Zapf Dingbats" w:hAnsi="Zapf Dingbats"/>
                <w:noProof/>
                <w:sz w:val="20"/>
              </w:rPr>
              <w:t>✔</w:t>
            </w:r>
          </w:p>
        </w:tc>
        <w:tc>
          <w:tcPr>
            <w:tcW w:w="617"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38BC8104" w14:textId="77777777" w:rsidR="00EA2F88" w:rsidRPr="005C5C45" w:rsidRDefault="00EA2F88" w:rsidP="00E40251">
            <w:pPr>
              <w:jc w:val="center"/>
              <w:rPr>
                <w:rFonts w:ascii="Zapf Dingbats" w:hAnsi="Zapf Dingbats"/>
                <w:noProof/>
                <w:sz w:val="20"/>
              </w:rPr>
            </w:pPr>
            <w:r w:rsidRPr="005C5C45">
              <w:rPr>
                <w:rFonts w:ascii="Zapf Dingbats" w:hAnsi="Zapf Dingbats"/>
                <w:noProof/>
                <w:sz w:val="20"/>
              </w:rPr>
              <w:t>✔</w:t>
            </w:r>
          </w:p>
        </w:tc>
        <w:tc>
          <w:tcPr>
            <w:tcW w:w="443"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611AC3A5" w14:textId="77777777" w:rsidR="00480C28" w:rsidRPr="005C5C45" w:rsidRDefault="00480C28" w:rsidP="00E40251">
            <w:pPr>
              <w:rPr>
                <w:sz w:val="20"/>
              </w:rPr>
            </w:pPr>
            <w:r w:rsidRPr="005C5C45">
              <w:rPr>
                <w:rFonts w:ascii="Zapf Dingbats" w:hAnsi="Zapf Dingbats"/>
                <w:noProof/>
                <w:sz w:val="20"/>
              </w:rPr>
              <w:t>✔</w:t>
            </w:r>
          </w:p>
        </w:tc>
        <w:tc>
          <w:tcPr>
            <w:tcW w:w="707"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5AD07DD0" w14:textId="77777777" w:rsidR="00EA2F88" w:rsidRPr="005C5C45" w:rsidRDefault="00EA2F88" w:rsidP="00E40251">
            <w:pPr>
              <w:jc w:val="center"/>
              <w:rPr>
                <w:sz w:val="20"/>
              </w:rPr>
            </w:pPr>
          </w:p>
        </w:tc>
        <w:tc>
          <w:tcPr>
            <w:tcW w:w="92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0B67B" w:themeFill="accent1" w:themeFillTint="99"/>
            <w:vAlign w:val="center"/>
          </w:tcPr>
          <w:p w14:paraId="0B776B7C" w14:textId="77777777" w:rsidR="00EA2F88" w:rsidRPr="005C5C45" w:rsidRDefault="00EA2F88" w:rsidP="00E40251">
            <w:pPr>
              <w:jc w:val="center"/>
              <w:rPr>
                <w:sz w:val="20"/>
              </w:rPr>
            </w:pPr>
          </w:p>
        </w:tc>
        <w:tc>
          <w:tcPr>
            <w:tcW w:w="434"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7F631C21" w14:textId="77777777" w:rsidR="00EA2F88" w:rsidRPr="005C5C45" w:rsidRDefault="00EA2F88" w:rsidP="00E40251">
            <w:pPr>
              <w:jc w:val="center"/>
              <w:rPr>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183B2503" w14:textId="77777777" w:rsidR="00EA2F88" w:rsidRPr="005C5C45" w:rsidRDefault="00EE141B" w:rsidP="00E40251">
            <w:pPr>
              <w:jc w:val="center"/>
              <w:rPr>
                <w:rFonts w:ascii="Zapf Dingbats" w:hAnsi="Zapf Dingbats"/>
                <w:noProof/>
                <w:sz w:val="20"/>
              </w:rPr>
            </w:pPr>
            <w:r w:rsidRPr="005C5C45">
              <w:rPr>
                <w:rFonts w:ascii="Zapf Dingbats" w:hAnsi="Zapf Dingbats"/>
                <w:noProof/>
                <w:sz w:val="20"/>
              </w:rPr>
              <w:t>✔</w:t>
            </w:r>
          </w:p>
        </w:tc>
        <w:tc>
          <w:tcPr>
            <w:tcW w:w="511"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3007A3DB" w14:textId="77777777" w:rsidR="00EA2F88" w:rsidRPr="005C5C45" w:rsidRDefault="00EA2F88" w:rsidP="00E40251">
            <w:pPr>
              <w:jc w:val="center"/>
              <w:rPr>
                <w:sz w:val="20"/>
              </w:rPr>
            </w:pPr>
          </w:p>
        </w:tc>
        <w:tc>
          <w:tcPr>
            <w:tcW w:w="47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90D479" w:themeFill="accent2" w:themeFillTint="99"/>
            <w:vAlign w:val="center"/>
          </w:tcPr>
          <w:p w14:paraId="3025D224" w14:textId="77777777" w:rsidR="00EA2F88" w:rsidRPr="005C5C45" w:rsidRDefault="00EA2F88" w:rsidP="00E40251">
            <w:pPr>
              <w:jc w:val="center"/>
              <w:rPr>
                <w:sz w:val="20"/>
              </w:rPr>
            </w:pPr>
          </w:p>
        </w:tc>
        <w:tc>
          <w:tcPr>
            <w:tcW w:w="9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vAlign w:val="center"/>
          </w:tcPr>
          <w:p w14:paraId="0A22DAB1" w14:textId="5B009493" w:rsidR="00EA2F88" w:rsidRPr="005C5C45" w:rsidRDefault="00E40251" w:rsidP="00E40251">
            <w:pPr>
              <w:jc w:val="center"/>
              <w:rPr>
                <w:sz w:val="20"/>
              </w:rPr>
            </w:pPr>
            <w:r w:rsidRPr="00754971">
              <w:rPr>
                <w:noProof/>
                <w:szCs w:val="22"/>
              </w:rPr>
              <w:t>Yes</w:t>
            </w:r>
          </w:p>
        </w:tc>
        <w:tc>
          <w:tcPr>
            <w:tcW w:w="450"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762C5B97" w14:textId="77777777" w:rsidR="00EA2F88" w:rsidRPr="005C5C45" w:rsidRDefault="00EA2F88" w:rsidP="00E40251">
            <w:pPr>
              <w:jc w:val="center"/>
              <w:rPr>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1EC29EE7" w14:textId="77777777" w:rsidR="00EA2F88" w:rsidRPr="005C5C45" w:rsidRDefault="00EA2F88" w:rsidP="00E40251">
            <w:pPr>
              <w:jc w:val="center"/>
              <w:rPr>
                <w:color w:val="BFBFBF" w:themeColor="background1" w:themeShade="BF"/>
                <w:sz w:val="20"/>
              </w:rPr>
            </w:pPr>
            <w:r w:rsidRPr="005C5C45">
              <w:rPr>
                <w:rFonts w:ascii="Zapf Dingbats" w:hAnsi="Zapf Dingbats"/>
                <w:noProof/>
                <w:sz w:val="20"/>
              </w:rPr>
              <w:t>✔</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2B56BEE3" w14:textId="77777777" w:rsidR="00EA2F88" w:rsidRPr="005C5C45" w:rsidRDefault="00EA2F88" w:rsidP="00E40251">
            <w:pPr>
              <w:jc w:val="center"/>
              <w:rPr>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39E5E26E" w14:textId="77777777" w:rsidR="00EA2F88" w:rsidRPr="005C5C45" w:rsidRDefault="00EA2F88" w:rsidP="00E40251">
            <w:pPr>
              <w:jc w:val="center"/>
              <w:rPr>
                <w:rFonts w:ascii="Zapf Dingbats" w:hAnsi="Zapf Dingbats"/>
                <w:noProof/>
                <w:sz w:val="20"/>
              </w:rPr>
            </w:pPr>
          </w:p>
        </w:tc>
      </w:tr>
    </w:tbl>
    <w:p w14:paraId="1C340CDA" w14:textId="77777777" w:rsidR="00EA2F88" w:rsidRPr="005C5C45" w:rsidRDefault="00EA2F88" w:rsidP="00E2002D">
      <w:pPr>
        <w:pStyle w:val="Heading3"/>
      </w:pPr>
      <w:r w:rsidRPr="005C5C45">
        <w:t>Context and Objectives</w:t>
      </w:r>
    </w:p>
    <w:p w14:paraId="13DDCC0F" w14:textId="2C664B19" w:rsidR="00F56A71" w:rsidRPr="005C5C45" w:rsidRDefault="001D3542" w:rsidP="00E2002D">
      <w:pPr>
        <w:pStyle w:val="Normalrglronly"/>
      </w:pPr>
      <w:r w:rsidRPr="005C5C45">
        <w:t>The Declaration on Open and Transparent Government requires agencies to release high-value public data in accordance with</w:t>
      </w:r>
      <w:r w:rsidR="00F56A71" w:rsidRPr="005C5C45">
        <w:t xml:space="preserve"> </w:t>
      </w:r>
      <w:r w:rsidRPr="005C5C45">
        <w:t>policies</w:t>
      </w:r>
      <w:r w:rsidR="003A3BED" w:rsidRPr="005C5C45">
        <w:t xml:space="preserve"> such as </w:t>
      </w:r>
      <w:r w:rsidR="00CE48FB" w:rsidRPr="005C5C45">
        <w:t>N</w:t>
      </w:r>
      <w:r w:rsidR="0052021D" w:rsidRPr="005C5C45">
        <w:t xml:space="preserve">ew </w:t>
      </w:r>
      <w:r w:rsidR="00CE48FB" w:rsidRPr="005C5C45">
        <w:t>Z</w:t>
      </w:r>
      <w:r w:rsidR="0052021D" w:rsidRPr="005C5C45">
        <w:t>ealand</w:t>
      </w:r>
      <w:r w:rsidR="00CE48FB" w:rsidRPr="005C5C45">
        <w:t xml:space="preserve"> Government Open </w:t>
      </w:r>
      <w:r w:rsidR="00CE48FB" w:rsidRPr="005C5C45">
        <w:lastRenderedPageBreak/>
        <w:t xml:space="preserve">Access and Licensing (NZGOAL) framework and </w:t>
      </w:r>
      <w:r w:rsidR="003A3BED" w:rsidRPr="005C5C45">
        <w:t>the N</w:t>
      </w:r>
      <w:r w:rsidR="0052021D" w:rsidRPr="005C5C45">
        <w:t xml:space="preserve">ew </w:t>
      </w:r>
      <w:r w:rsidR="003A3BED" w:rsidRPr="005C5C45">
        <w:t>Z</w:t>
      </w:r>
      <w:r w:rsidR="0052021D" w:rsidRPr="005C5C45">
        <w:t>ealand</w:t>
      </w:r>
      <w:r w:rsidR="003A3BED" w:rsidRPr="005C5C45">
        <w:t xml:space="preserve"> Data and Information Management Principle</w:t>
      </w:r>
      <w:r w:rsidR="00CE48FB" w:rsidRPr="005C5C45">
        <w:t>s</w:t>
      </w:r>
      <w:r w:rsidRPr="005C5C45">
        <w:t>.</w:t>
      </w:r>
      <w:r w:rsidR="00F046B0" w:rsidRPr="005C5C45">
        <w:rPr>
          <w:rStyle w:val="EndnoteReference"/>
          <w:rFonts w:ascii="Arial" w:eastAsiaTheme="minorEastAsia" w:hAnsi="Arial" w:cs="Arial"/>
          <w:bCs w:val="0"/>
          <w:color w:val="000000"/>
          <w:sz w:val="23"/>
          <w:szCs w:val="23"/>
          <w:shd w:val="clear" w:color="auto" w:fill="FFFFFF"/>
        </w:rPr>
        <w:endnoteReference w:id="117"/>
      </w:r>
      <w:r w:rsidR="00F56A71" w:rsidRPr="005C5C45">
        <w:t xml:space="preserve"> </w:t>
      </w:r>
      <w:r w:rsidR="00CE48FB" w:rsidRPr="005C5C45">
        <w:t xml:space="preserve">In other words, data must be released in open machine-readable formats, and licensed for legal re-use in accordance with NZGOAL. </w:t>
      </w:r>
      <w:r w:rsidR="00F56A71" w:rsidRPr="005C5C45">
        <w:t xml:space="preserve">High value public data is non-personal and </w:t>
      </w:r>
      <w:r w:rsidR="00F046B0" w:rsidRPr="005C5C45">
        <w:t>unrestricted</w:t>
      </w:r>
      <w:r w:rsidR="00F56A71" w:rsidRPr="005C5C45">
        <w:t xml:space="preserve"> data that agencies’ stakeholders and users </w:t>
      </w:r>
      <w:r w:rsidR="00892772" w:rsidRPr="005C5C45">
        <w:t>say</w:t>
      </w:r>
      <w:r w:rsidR="00F56A71" w:rsidRPr="005C5C45">
        <w:t xml:space="preserve"> they wish to re-use for economic, social, cultural or environmental benefit. This means that ag</w:t>
      </w:r>
      <w:r w:rsidR="00876C84" w:rsidRPr="005C5C45">
        <w:t xml:space="preserve">encies’ </w:t>
      </w:r>
      <w:r w:rsidR="00F56A71" w:rsidRPr="005C5C45">
        <w:t xml:space="preserve">open data release </w:t>
      </w:r>
      <w:r w:rsidR="00E254E1" w:rsidRPr="005C5C45">
        <w:t xml:space="preserve">programmes </w:t>
      </w:r>
      <w:r w:rsidR="00876C84" w:rsidRPr="005C5C45">
        <w:t xml:space="preserve">must be </w:t>
      </w:r>
      <w:r w:rsidR="00F56A71" w:rsidRPr="005C5C45">
        <w:t xml:space="preserve">based on </w:t>
      </w:r>
      <w:r w:rsidR="00E254E1" w:rsidRPr="005C5C45">
        <w:t xml:space="preserve">identified </w:t>
      </w:r>
      <w:r w:rsidR="00F56A71" w:rsidRPr="005C5C45">
        <w:t xml:space="preserve">user demand, not on the agencies’ own </w:t>
      </w:r>
      <w:r w:rsidR="00876C84" w:rsidRPr="005C5C45">
        <w:t xml:space="preserve">open data release </w:t>
      </w:r>
      <w:r w:rsidR="00F56A71" w:rsidRPr="005C5C45">
        <w:t>priorities.</w:t>
      </w:r>
      <w:r w:rsidR="00E254E1" w:rsidRPr="005C5C45">
        <w:t xml:space="preserve"> </w:t>
      </w:r>
    </w:p>
    <w:p w14:paraId="3EEA0C27" w14:textId="1AD13410" w:rsidR="00F56A71" w:rsidRPr="005C5C45" w:rsidRDefault="0008596E" w:rsidP="00E2002D">
      <w:pPr>
        <w:pStyle w:val="Normalrglronly"/>
      </w:pPr>
      <w:r w:rsidRPr="005C5C45">
        <w:t>N</w:t>
      </w:r>
      <w:r w:rsidR="0052021D" w:rsidRPr="005C5C45">
        <w:t xml:space="preserve">ew </w:t>
      </w:r>
      <w:r w:rsidRPr="005C5C45">
        <w:t>Z</w:t>
      </w:r>
      <w:r w:rsidR="0052021D" w:rsidRPr="005C5C45">
        <w:t>ealand</w:t>
      </w:r>
      <w:r w:rsidR="00F56A71" w:rsidRPr="005C5C45">
        <w:t xml:space="preserve"> has consistently scored well in international open data surveys</w:t>
      </w:r>
      <w:r w:rsidR="00271A5C" w:rsidRPr="005C5C45">
        <w:t xml:space="preserve">, but has scored quite low </w:t>
      </w:r>
      <w:r w:rsidR="00480C28" w:rsidRPr="005C5C45">
        <w:t xml:space="preserve">on implementation </w:t>
      </w:r>
      <w:r w:rsidR="00271A5C" w:rsidRPr="005C5C45">
        <w:t>(58% according to the Open Data Barometer)</w:t>
      </w:r>
      <w:r w:rsidR="00271A5C" w:rsidRPr="005C5C45">
        <w:rPr>
          <w:rStyle w:val="EndnoteReference"/>
        </w:rPr>
        <w:endnoteReference w:id="118"/>
      </w:r>
      <w:proofErr w:type="gramStart"/>
      <w:r w:rsidR="00271A5C" w:rsidRPr="005C5C45">
        <w:t xml:space="preserve">  partly</w:t>
      </w:r>
      <w:proofErr w:type="gramEnd"/>
      <w:r w:rsidR="00271A5C" w:rsidRPr="005C5C45">
        <w:t xml:space="preserve"> due to </w:t>
      </w:r>
      <w:r w:rsidR="00403608" w:rsidRPr="005C5C45">
        <w:t xml:space="preserve">low scores on </w:t>
      </w:r>
      <w:r w:rsidR="00484592" w:rsidRPr="005C5C45">
        <w:t xml:space="preserve">some of </w:t>
      </w:r>
      <w:r w:rsidRPr="005C5C45">
        <w:t>the</w:t>
      </w:r>
      <w:r w:rsidR="00A103D8">
        <w:t xml:space="preserve"> </w:t>
      </w:r>
      <w:r w:rsidR="00484592" w:rsidRPr="005C5C45">
        <w:t xml:space="preserve">15 </w:t>
      </w:r>
      <w:r w:rsidR="00E07BBB" w:rsidRPr="005C5C45">
        <w:t xml:space="preserve">government </w:t>
      </w:r>
      <w:r w:rsidR="00484592" w:rsidRPr="005C5C45">
        <w:t xml:space="preserve">datasets assessed internationally by the </w:t>
      </w:r>
      <w:r w:rsidRPr="005C5C45">
        <w:t>ODB</w:t>
      </w:r>
      <w:r w:rsidR="00876C84" w:rsidRPr="005C5C45">
        <w:t xml:space="preserve"> and </w:t>
      </w:r>
      <w:r w:rsidR="00403608" w:rsidRPr="005C5C45">
        <w:t>the</w:t>
      </w:r>
      <w:r w:rsidR="00876C84" w:rsidRPr="005C5C45">
        <w:t xml:space="preserve"> </w:t>
      </w:r>
      <w:r w:rsidR="00892772" w:rsidRPr="005C5C45">
        <w:t xml:space="preserve">Ministerial and </w:t>
      </w:r>
      <w:r w:rsidR="00876C84" w:rsidRPr="005C5C45">
        <w:t>administrative changes affecting N</w:t>
      </w:r>
      <w:r w:rsidR="0052021D" w:rsidRPr="005C5C45">
        <w:t xml:space="preserve">ew </w:t>
      </w:r>
      <w:r w:rsidR="00876C84" w:rsidRPr="005C5C45">
        <w:t>Z</w:t>
      </w:r>
      <w:r w:rsidR="0052021D" w:rsidRPr="005C5C45">
        <w:t>ealand</w:t>
      </w:r>
      <w:r w:rsidR="00876C84" w:rsidRPr="005C5C45">
        <w:t>’s Open Government Information and Data Programme.</w:t>
      </w:r>
    </w:p>
    <w:p w14:paraId="33E1108E" w14:textId="22E2FC99" w:rsidR="00480C28" w:rsidRPr="005C5C45" w:rsidRDefault="0027399B" w:rsidP="00E2002D">
      <w:pPr>
        <w:pStyle w:val="Normalrglronly"/>
      </w:pPr>
      <w:r w:rsidRPr="005C5C45">
        <w:t xml:space="preserve">The </w:t>
      </w:r>
      <w:r w:rsidR="00BD4C18" w:rsidRPr="005C5C45">
        <w:t>Open Data Charter (</w:t>
      </w:r>
      <w:r w:rsidRPr="005C5C45">
        <w:t>ODC</w:t>
      </w:r>
      <w:r w:rsidR="00BD4C18" w:rsidRPr="005C5C45">
        <w:t>)</w:t>
      </w:r>
      <w:r w:rsidRPr="005C5C45">
        <w:t xml:space="preserve"> was launched at the October 2015 OGP Summit in Mexico</w:t>
      </w:r>
      <w:r w:rsidR="00D07149" w:rsidRPr="005C5C45">
        <w:t>.</w:t>
      </w:r>
      <w:r w:rsidR="00672C9C" w:rsidRPr="005C5C45">
        <w:t xml:space="preserve"> </w:t>
      </w:r>
      <w:r w:rsidR="00EA2F88" w:rsidRPr="005C5C45">
        <w:t xml:space="preserve">The six principles of the </w:t>
      </w:r>
      <w:r w:rsidR="006435B0" w:rsidRPr="005C5C45">
        <w:t>I</w:t>
      </w:r>
      <w:r w:rsidR="00EA2F88" w:rsidRPr="005C5C45">
        <w:t>nternational Open Data Charter</w:t>
      </w:r>
      <w:r w:rsidR="00B63B3D" w:rsidRPr="005C5C45">
        <w:t xml:space="preserve"> </w:t>
      </w:r>
      <w:r w:rsidR="001F3263" w:rsidRPr="005C5C45">
        <w:t>(</w:t>
      </w:r>
      <w:r w:rsidR="00B63B3D" w:rsidRPr="005C5C45">
        <w:t>ODC)</w:t>
      </w:r>
      <w:r w:rsidR="00CE5A83" w:rsidRPr="005C5C45">
        <w:t>,</w:t>
      </w:r>
      <w:r w:rsidR="00EA2F88" w:rsidRPr="005C5C45">
        <w:rPr>
          <w:rStyle w:val="EndnoteReference"/>
          <w:rFonts w:ascii="Arial" w:eastAsiaTheme="minorEastAsia" w:hAnsi="Arial" w:cs="Arial"/>
          <w:bCs w:val="0"/>
          <w:color w:val="000000"/>
          <w:sz w:val="23"/>
          <w:szCs w:val="23"/>
          <w:shd w:val="clear" w:color="auto" w:fill="FFFFFF"/>
        </w:rPr>
        <w:endnoteReference w:id="119"/>
      </w:r>
      <w:r w:rsidR="00CE5A83" w:rsidRPr="005C5C45">
        <w:t xml:space="preserve"> </w:t>
      </w:r>
      <w:r w:rsidR="00EA2F88" w:rsidRPr="005C5C45">
        <w:t xml:space="preserve">released in 2015, essentially match and update </w:t>
      </w:r>
      <w:r w:rsidR="003811C4" w:rsidRPr="005C5C45">
        <w:t>N</w:t>
      </w:r>
      <w:r w:rsidR="0052021D" w:rsidRPr="005C5C45">
        <w:t xml:space="preserve">ew </w:t>
      </w:r>
      <w:r w:rsidR="003811C4" w:rsidRPr="005C5C45">
        <w:t>Z</w:t>
      </w:r>
      <w:r w:rsidR="0052021D" w:rsidRPr="005C5C45">
        <w:t>ealand</w:t>
      </w:r>
      <w:r w:rsidR="00EA2F88" w:rsidRPr="005C5C45">
        <w:t xml:space="preserve">’s </w:t>
      </w:r>
      <w:r w:rsidR="0008596E" w:rsidRPr="005C5C45">
        <w:t>Data and Information Management P</w:t>
      </w:r>
      <w:r w:rsidR="00EA2F88" w:rsidRPr="005C5C45">
        <w:t>rinciples, and add principles covering governance and citizen engagement and inclusive development and innovation.</w:t>
      </w:r>
      <w:r w:rsidR="00405E55" w:rsidRPr="005C5C45">
        <w:t xml:space="preserve"> They also set out practices and procedures for governments to apply when adopting </w:t>
      </w:r>
      <w:r w:rsidR="00876C84" w:rsidRPr="005C5C45">
        <w:t>each</w:t>
      </w:r>
      <w:r w:rsidR="00405E55" w:rsidRPr="005C5C45">
        <w:t xml:space="preserve"> ODC</w:t>
      </w:r>
      <w:r w:rsidR="00876C84" w:rsidRPr="005C5C45">
        <w:t xml:space="preserve"> principle</w:t>
      </w:r>
      <w:r w:rsidR="00405E55" w:rsidRPr="005C5C45">
        <w:t>.</w:t>
      </w:r>
      <w:r w:rsidR="00EA2F88" w:rsidRPr="005C5C45">
        <w:t xml:space="preserve"> But the </w:t>
      </w:r>
      <w:r w:rsidR="00892772" w:rsidRPr="005C5C45">
        <w:t>ODC</w:t>
      </w:r>
      <w:r w:rsidR="00EA2F88" w:rsidRPr="005C5C45">
        <w:t xml:space="preserve"> is limited to data, whereas </w:t>
      </w:r>
      <w:r w:rsidR="003811C4" w:rsidRPr="005C5C45">
        <w:t>N</w:t>
      </w:r>
      <w:r w:rsidR="0052021D" w:rsidRPr="005C5C45">
        <w:t xml:space="preserve">ew </w:t>
      </w:r>
      <w:r w:rsidR="003811C4" w:rsidRPr="005C5C45">
        <w:t>Z</w:t>
      </w:r>
      <w:r w:rsidR="0052021D" w:rsidRPr="005C5C45">
        <w:t>ealand</w:t>
      </w:r>
      <w:r w:rsidR="00EA2F88" w:rsidRPr="005C5C45">
        <w:t xml:space="preserve">’s </w:t>
      </w:r>
      <w:r w:rsidR="00876C84" w:rsidRPr="005C5C45">
        <w:t xml:space="preserve">principles relate to </w:t>
      </w:r>
      <w:r w:rsidR="00EA2F88" w:rsidRPr="005C5C45">
        <w:t>all government-held information</w:t>
      </w:r>
      <w:r w:rsidR="00876C84" w:rsidRPr="005C5C45">
        <w:t xml:space="preserve"> and data</w:t>
      </w:r>
      <w:r w:rsidR="00EA2F88" w:rsidRPr="005C5C45">
        <w:t>, including personal and restricted information.</w:t>
      </w:r>
      <w:r w:rsidR="00137D29" w:rsidRPr="005C5C45">
        <w:t xml:space="preserve"> Consequently</w:t>
      </w:r>
      <w:r w:rsidR="0008596E" w:rsidRPr="005C5C45">
        <w:t>,</w:t>
      </w:r>
      <w:r w:rsidR="00137D29" w:rsidRPr="005C5C45">
        <w:t xml:space="preserve"> any work to adopt the ODC requires parallel work to </w:t>
      </w:r>
      <w:r w:rsidR="00876C84" w:rsidRPr="005C5C45">
        <w:t>consider</w:t>
      </w:r>
      <w:r w:rsidR="00137D29" w:rsidRPr="005C5C45">
        <w:t xml:space="preserve"> the more </w:t>
      </w:r>
      <w:proofErr w:type="gramStart"/>
      <w:r w:rsidR="00137D29" w:rsidRPr="005C5C45">
        <w:t>broadly-based</w:t>
      </w:r>
      <w:proofErr w:type="gramEnd"/>
      <w:r w:rsidR="00137D29" w:rsidRPr="005C5C45">
        <w:t xml:space="preserve"> N</w:t>
      </w:r>
      <w:r w:rsidR="0052021D" w:rsidRPr="005C5C45">
        <w:t xml:space="preserve">ew </w:t>
      </w:r>
      <w:r w:rsidR="00137D29" w:rsidRPr="005C5C45">
        <w:t>Z</w:t>
      </w:r>
      <w:r w:rsidR="0052021D" w:rsidRPr="005C5C45">
        <w:t>ealand</w:t>
      </w:r>
      <w:r w:rsidR="00137D29" w:rsidRPr="005C5C45">
        <w:t xml:space="preserve"> Data and Information Management Principles, the Declaration on Open and Transparent Government, and also</w:t>
      </w:r>
      <w:r w:rsidR="00876C84" w:rsidRPr="005C5C45">
        <w:t xml:space="preserve"> </w:t>
      </w:r>
      <w:r w:rsidR="00137D29" w:rsidRPr="005C5C45">
        <w:t>any possible</w:t>
      </w:r>
      <w:r w:rsidR="0008596E" w:rsidRPr="005C5C45">
        <w:t xml:space="preserve"> impact on the New Zealand Government Open Access and Licensing framework.</w:t>
      </w:r>
      <w:r w:rsidR="00876911" w:rsidRPr="005C5C45">
        <w:t xml:space="preserve"> </w:t>
      </w:r>
    </w:p>
    <w:p w14:paraId="5C44F000" w14:textId="609AD00F" w:rsidR="00EA2F88" w:rsidRPr="005C5C45" w:rsidRDefault="00876911" w:rsidP="00E2002D">
      <w:pPr>
        <w:pStyle w:val="Normalrglronly"/>
      </w:pPr>
      <w:r w:rsidRPr="005C5C45">
        <w:t xml:space="preserve">The problem is </w:t>
      </w:r>
      <w:r w:rsidR="00D93411" w:rsidRPr="005C5C45">
        <w:t>to find</w:t>
      </w:r>
      <w:r w:rsidR="00221F3B" w:rsidRPr="005C5C45">
        <w:t xml:space="preserve"> a solution that </w:t>
      </w:r>
      <w:r w:rsidR="005972E0" w:rsidRPr="005C5C45">
        <w:t>embrace</w:t>
      </w:r>
      <w:r w:rsidR="00221F3B" w:rsidRPr="005C5C45">
        <w:t xml:space="preserve">s the </w:t>
      </w:r>
      <w:r w:rsidR="00892772" w:rsidRPr="005C5C45">
        <w:t xml:space="preserve">more comprehensive </w:t>
      </w:r>
      <w:r w:rsidR="00221F3B" w:rsidRPr="005C5C45">
        <w:t xml:space="preserve">ODC principles </w:t>
      </w:r>
      <w:r w:rsidR="00405E55" w:rsidRPr="005C5C45">
        <w:t xml:space="preserve">and practices </w:t>
      </w:r>
      <w:r w:rsidR="00892772" w:rsidRPr="005C5C45">
        <w:t>and also retains</w:t>
      </w:r>
      <w:r w:rsidR="00221F3B" w:rsidRPr="005C5C45">
        <w:t xml:space="preserve"> the </w:t>
      </w:r>
      <w:r w:rsidR="00876C84" w:rsidRPr="005C5C45">
        <w:t xml:space="preserve">broader scope and intent of </w:t>
      </w:r>
      <w:r w:rsidR="00221F3B" w:rsidRPr="005C5C45">
        <w:t>N</w:t>
      </w:r>
      <w:r w:rsidR="00DE7A0B" w:rsidRPr="005C5C45">
        <w:t xml:space="preserve">ew </w:t>
      </w:r>
      <w:r w:rsidR="00221F3B" w:rsidRPr="005C5C45">
        <w:t>Z</w:t>
      </w:r>
      <w:r w:rsidR="00DE7A0B" w:rsidRPr="005C5C45">
        <w:t>ealand</w:t>
      </w:r>
      <w:r w:rsidR="00876C84" w:rsidRPr="005C5C45">
        <w:t xml:space="preserve">’s </w:t>
      </w:r>
      <w:r w:rsidR="00221F3B" w:rsidRPr="005C5C45">
        <w:t>principles</w:t>
      </w:r>
      <w:r w:rsidR="00876C84" w:rsidRPr="005C5C45">
        <w:t xml:space="preserve"> for managing government-held information</w:t>
      </w:r>
      <w:r w:rsidR="00221F3B" w:rsidRPr="005C5C45">
        <w:t>.</w:t>
      </w:r>
    </w:p>
    <w:p w14:paraId="5BB816BA" w14:textId="4FF8EE5B" w:rsidR="00EA2F88" w:rsidRPr="005C5C45" w:rsidRDefault="00EA2F88" w:rsidP="00E2002D">
      <w:pPr>
        <w:pStyle w:val="Normalrglronly"/>
        <w:rPr>
          <w:bCs w:val="0"/>
        </w:rPr>
      </w:pPr>
      <w:r w:rsidRPr="005C5C45">
        <w:t xml:space="preserve">This commitment </w:t>
      </w:r>
      <w:r w:rsidR="00D669B2" w:rsidRPr="005C5C45">
        <w:t>looks at</w:t>
      </w:r>
      <w:r w:rsidR="00B63B3D" w:rsidRPr="005C5C45">
        <w:t xml:space="preserve"> adopting</w:t>
      </w:r>
      <w:r w:rsidR="007D0061" w:rsidRPr="005C5C45">
        <w:t xml:space="preserve"> the </w:t>
      </w:r>
      <w:r w:rsidR="00B63B3D" w:rsidRPr="005C5C45">
        <w:t>ODC</w:t>
      </w:r>
      <w:r w:rsidRPr="005C5C45">
        <w:t xml:space="preserve"> </w:t>
      </w:r>
      <w:r w:rsidR="00D669B2" w:rsidRPr="005C5C45">
        <w:t xml:space="preserve">and </w:t>
      </w:r>
      <w:r w:rsidR="00892772" w:rsidRPr="005C5C45">
        <w:t xml:space="preserve">determining </w:t>
      </w:r>
      <w:r w:rsidR="009C166E" w:rsidRPr="005C5C45">
        <w:t xml:space="preserve">what will be </w:t>
      </w:r>
      <w:r w:rsidR="003811C4" w:rsidRPr="005C5C45">
        <w:t>N</w:t>
      </w:r>
      <w:r w:rsidR="00DE7A0B" w:rsidRPr="005C5C45">
        <w:t xml:space="preserve">ew </w:t>
      </w:r>
      <w:r w:rsidR="003811C4" w:rsidRPr="005C5C45">
        <w:t>Z</w:t>
      </w:r>
      <w:r w:rsidR="00DE7A0B" w:rsidRPr="005C5C45">
        <w:t>ealand</w:t>
      </w:r>
      <w:r w:rsidRPr="005C5C45">
        <w:t>’s data and information manag</w:t>
      </w:r>
      <w:r w:rsidR="007D0061" w:rsidRPr="005C5C45">
        <w:t xml:space="preserve">ement </w:t>
      </w:r>
      <w:r w:rsidR="00892772" w:rsidRPr="005C5C45">
        <w:t>principles</w:t>
      </w:r>
      <w:r w:rsidR="007D0061" w:rsidRPr="005C5C45">
        <w:t>. Its ambition is</w:t>
      </w:r>
      <w:r w:rsidRPr="005C5C45">
        <w:t xml:space="preserve"> to strengthen the principles behind open government</w:t>
      </w:r>
      <w:r w:rsidRPr="005C5C45">
        <w:rPr>
          <w:bCs w:val="0"/>
        </w:rPr>
        <w:t xml:space="preserve"> data and information release.</w:t>
      </w:r>
      <w:r w:rsidR="00405E55" w:rsidRPr="005C5C45">
        <w:rPr>
          <w:bCs w:val="0"/>
        </w:rPr>
        <w:t xml:space="preserve"> </w:t>
      </w:r>
      <w:proofErr w:type="gramStart"/>
      <w:r w:rsidR="00405E55" w:rsidRPr="005C5C45">
        <w:rPr>
          <w:bCs w:val="0"/>
        </w:rPr>
        <w:t xml:space="preserve">The activities will be led initially by </w:t>
      </w:r>
      <w:r w:rsidR="00480C28" w:rsidRPr="005C5C45">
        <w:rPr>
          <w:bCs w:val="0"/>
        </w:rPr>
        <w:t>Land Information New Zealand (</w:t>
      </w:r>
      <w:r w:rsidR="00405E55" w:rsidRPr="005C5C45">
        <w:rPr>
          <w:bCs w:val="0"/>
        </w:rPr>
        <w:t>LINZ</w:t>
      </w:r>
      <w:r w:rsidR="00480C28" w:rsidRPr="005C5C45">
        <w:rPr>
          <w:bCs w:val="0"/>
        </w:rPr>
        <w:t>)</w:t>
      </w:r>
      <w:r w:rsidR="00405E55" w:rsidRPr="005C5C45">
        <w:rPr>
          <w:bCs w:val="0"/>
        </w:rPr>
        <w:t xml:space="preserve"> and then by </w:t>
      </w:r>
      <w:r w:rsidR="000A61CE" w:rsidRPr="005C5C45">
        <w:rPr>
          <w:bCs w:val="0"/>
        </w:rPr>
        <w:t xml:space="preserve">Stats </w:t>
      </w:r>
      <w:r w:rsidR="00BA728B" w:rsidRPr="005C5C45">
        <w:rPr>
          <w:bCs w:val="0"/>
        </w:rPr>
        <w:t>NZ,</w:t>
      </w:r>
      <w:r w:rsidR="00405E55" w:rsidRPr="005C5C45">
        <w:rPr>
          <w:bCs w:val="0"/>
        </w:rPr>
        <w:t xml:space="preserve"> following the transfer of </w:t>
      </w:r>
      <w:r w:rsidR="00405E55" w:rsidRPr="005C5C45">
        <w:t>N</w:t>
      </w:r>
      <w:r w:rsidR="0052021D" w:rsidRPr="005C5C45">
        <w:t xml:space="preserve">ew </w:t>
      </w:r>
      <w:r w:rsidR="00405E55" w:rsidRPr="005C5C45">
        <w:t>Z</w:t>
      </w:r>
      <w:r w:rsidR="0052021D" w:rsidRPr="005C5C45">
        <w:t>ealand</w:t>
      </w:r>
      <w:r w:rsidR="00405E55" w:rsidRPr="005C5C45">
        <w:t>’s Open Government Information and Data Programme in March 2017</w:t>
      </w:r>
      <w:proofErr w:type="gramEnd"/>
      <w:r w:rsidR="00405E55" w:rsidRPr="005C5C45">
        <w:t xml:space="preserve">. </w:t>
      </w:r>
      <w:r w:rsidR="005972E0" w:rsidRPr="005C5C45">
        <w:t xml:space="preserve">While each of these departments is a leader in government data management and release, neither </w:t>
      </w:r>
      <w:r w:rsidR="00876C84" w:rsidRPr="005C5C45">
        <w:t>has held responsibility for N</w:t>
      </w:r>
      <w:r w:rsidR="0052021D" w:rsidRPr="005C5C45">
        <w:t xml:space="preserve">ew </w:t>
      </w:r>
      <w:r w:rsidR="00876C84" w:rsidRPr="005C5C45">
        <w:t>Z</w:t>
      </w:r>
      <w:r w:rsidR="0052021D" w:rsidRPr="005C5C45">
        <w:t>ealand</w:t>
      </w:r>
      <w:r w:rsidR="00876C84" w:rsidRPr="005C5C45">
        <w:t xml:space="preserve">’s </w:t>
      </w:r>
      <w:r w:rsidR="009C166E" w:rsidRPr="005C5C45">
        <w:t xml:space="preserve">broader </w:t>
      </w:r>
      <w:r w:rsidR="00876C84" w:rsidRPr="005C5C45">
        <w:t xml:space="preserve">cross-government information management policy. </w:t>
      </w:r>
      <w:r w:rsidR="00545BF6" w:rsidRPr="005C5C45">
        <w:t>It will be necessary for the</w:t>
      </w:r>
      <w:r w:rsidR="009C166E" w:rsidRPr="005C5C45">
        <w:t xml:space="preserve"> departments</w:t>
      </w:r>
      <w:r w:rsidR="00545BF6" w:rsidRPr="005C5C45">
        <w:t xml:space="preserve"> to bring in information policy experts to assist </w:t>
      </w:r>
      <w:r w:rsidR="002A6423">
        <w:t xml:space="preserve">with </w:t>
      </w:r>
      <w:r w:rsidR="00545BF6" w:rsidRPr="005C5C45">
        <w:t xml:space="preserve">the broader </w:t>
      </w:r>
      <w:r w:rsidR="009C166E" w:rsidRPr="005C5C45">
        <w:t xml:space="preserve">policy issues in </w:t>
      </w:r>
      <w:r w:rsidR="00545BF6" w:rsidRPr="005C5C45">
        <w:t>this commitment.</w:t>
      </w:r>
    </w:p>
    <w:p w14:paraId="404CB889" w14:textId="0C1CABAE" w:rsidR="00ED2352" w:rsidRPr="005C5C45" w:rsidRDefault="00EA2F88" w:rsidP="00DE7A0B">
      <w:pPr>
        <w:pStyle w:val="Normalrglronly"/>
      </w:pPr>
      <w:r w:rsidRPr="005C5C45">
        <w:t xml:space="preserve">The commitment </w:t>
      </w:r>
      <w:r w:rsidR="00A2514D" w:rsidRPr="005C5C45">
        <w:t xml:space="preserve">is highly specific and </w:t>
      </w:r>
      <w:r w:rsidRPr="005C5C45">
        <w:t>meets the OGP values of access to information</w:t>
      </w:r>
      <w:r w:rsidR="009508E7" w:rsidRPr="005C5C45">
        <w:t xml:space="preserve"> and </w:t>
      </w:r>
      <w:r w:rsidR="004117D2" w:rsidRPr="005C5C45">
        <w:t>civic participation</w:t>
      </w:r>
      <w:r w:rsidR="009508E7" w:rsidRPr="005C5C45">
        <w:t xml:space="preserve">. The government is improving the quality of </w:t>
      </w:r>
      <w:r w:rsidR="00876C84" w:rsidRPr="005C5C45">
        <w:t>the data</w:t>
      </w:r>
      <w:r w:rsidR="009508E7" w:rsidRPr="005C5C45">
        <w:t xml:space="preserve"> disclosed to the public </w:t>
      </w:r>
      <w:r w:rsidR="009A1140" w:rsidRPr="005C5C45">
        <w:t>by reviewing and strengthening N</w:t>
      </w:r>
      <w:r w:rsidR="0052021D" w:rsidRPr="005C5C45">
        <w:t xml:space="preserve">ew </w:t>
      </w:r>
      <w:r w:rsidR="009A1140" w:rsidRPr="005C5C45">
        <w:t>Z</w:t>
      </w:r>
      <w:r w:rsidR="0052021D" w:rsidRPr="005C5C45">
        <w:t>ealand</w:t>
      </w:r>
      <w:r w:rsidR="009A1140" w:rsidRPr="005C5C45">
        <w:t xml:space="preserve">’s information </w:t>
      </w:r>
      <w:r w:rsidR="00545BF6" w:rsidRPr="005C5C45">
        <w:t>and data</w:t>
      </w:r>
      <w:r w:rsidR="009A1140" w:rsidRPr="005C5C45">
        <w:t xml:space="preserve"> principles</w:t>
      </w:r>
      <w:r w:rsidR="0059127C">
        <w:t>. The government also is</w:t>
      </w:r>
      <w:r w:rsidR="009508E7" w:rsidRPr="005C5C45">
        <w:t xml:space="preserve"> creating opportunities and capabilities for the public to influence or inform decisions</w:t>
      </w:r>
      <w:r w:rsidR="009A1140" w:rsidRPr="005C5C45">
        <w:t xml:space="preserve"> on the ODC and on the content and application of the new or amended principles</w:t>
      </w:r>
      <w:r w:rsidR="009508E7" w:rsidRPr="005C5C45">
        <w:t>.</w:t>
      </w:r>
      <w:r w:rsidRPr="005C5C45">
        <w:t xml:space="preserve"> </w:t>
      </w:r>
    </w:p>
    <w:p w14:paraId="4FF047AD" w14:textId="42F2F546" w:rsidR="00CE31B9" w:rsidRPr="005C5C45" w:rsidRDefault="00CE31B9" w:rsidP="00DE7A0B">
      <w:pPr>
        <w:pStyle w:val="Normalrglronly"/>
      </w:pPr>
      <w:r w:rsidRPr="005C5C45">
        <w:t>If fully implemented, this commitment would have a minor potential impact. Adopting international data policy and/or updating existing data and information management policy is an incremental change in improve open data access and practices. Updating policy to adopt ODC could potentia</w:t>
      </w:r>
      <w:r w:rsidR="003F2981" w:rsidRPr="005C5C45">
        <w:t xml:space="preserve">lly act as a major step forward, especially because </w:t>
      </w:r>
      <w:r w:rsidR="009C166E" w:rsidRPr="005C5C45">
        <w:t xml:space="preserve">the </w:t>
      </w:r>
      <w:r w:rsidR="003F2981" w:rsidRPr="005C5C45">
        <w:t xml:space="preserve">ODC principles </w:t>
      </w:r>
      <w:r w:rsidR="009C166E" w:rsidRPr="005C5C45">
        <w:t>extend</w:t>
      </w:r>
      <w:r w:rsidR="003F2981" w:rsidRPr="005C5C45">
        <w:t xml:space="preserve"> existing policies to improve access to information. For example, Principle Three of ODC releases data </w:t>
      </w:r>
      <w:r w:rsidR="00415346">
        <w:t>‘</w:t>
      </w:r>
      <w:r w:rsidR="003F2981" w:rsidRPr="005C5C45">
        <w:t>free of charge</w:t>
      </w:r>
      <w:r w:rsidR="00053011">
        <w:t>,</w:t>
      </w:r>
      <w:r w:rsidR="00415346">
        <w:t>’</w:t>
      </w:r>
      <w:r w:rsidR="003F2981" w:rsidRPr="005C5C45">
        <w:t xml:space="preserve"> whereas N</w:t>
      </w:r>
      <w:r w:rsidR="0052021D" w:rsidRPr="005C5C45">
        <w:t xml:space="preserve">ew </w:t>
      </w:r>
      <w:r w:rsidR="003F2981" w:rsidRPr="005C5C45">
        <w:t>Z</w:t>
      </w:r>
      <w:r w:rsidR="0052021D" w:rsidRPr="005C5C45">
        <w:t>ealand</w:t>
      </w:r>
      <w:r w:rsidR="003F2981" w:rsidRPr="005C5C45">
        <w:t xml:space="preserve">’s current policy releases </w:t>
      </w:r>
      <w:r w:rsidR="00415346">
        <w:t>‘</w:t>
      </w:r>
      <w:r w:rsidR="003F2981" w:rsidRPr="005C5C45">
        <w:t>reasonably priced</w:t>
      </w:r>
      <w:r w:rsidR="00415346">
        <w:t>’</w:t>
      </w:r>
      <w:r w:rsidR="003F2981" w:rsidRPr="005C5C45">
        <w:t xml:space="preserve"> data. </w:t>
      </w:r>
    </w:p>
    <w:p w14:paraId="4B6EC8CF" w14:textId="04968DBD" w:rsidR="003F2981" w:rsidRPr="005C5C45" w:rsidRDefault="003F2981" w:rsidP="00DE7A0B">
      <w:pPr>
        <w:pStyle w:val="Normalrglronly"/>
      </w:pPr>
      <w:r w:rsidRPr="005C5C45">
        <w:t xml:space="preserve">However, the IRM researcher codes this variable to be minor and not moderate because the policy update </w:t>
      </w:r>
      <w:r w:rsidR="00DF7DB7" w:rsidRPr="005C5C45">
        <w:t>could</w:t>
      </w:r>
      <w:r w:rsidRPr="005C5C45">
        <w:t xml:space="preserve"> confuse agencies </w:t>
      </w:r>
      <w:r w:rsidR="00DF7DB7" w:rsidRPr="005C5C45">
        <w:t xml:space="preserve">already applying the </w:t>
      </w:r>
      <w:r w:rsidRPr="005C5C45">
        <w:t xml:space="preserve">broader </w:t>
      </w:r>
      <w:r w:rsidR="00DF7DB7" w:rsidRPr="005C5C45">
        <w:t xml:space="preserve">government policy </w:t>
      </w:r>
      <w:r w:rsidRPr="005C5C45">
        <w:t xml:space="preserve">covering all government-held information. Since 2010, the broader principles and </w:t>
      </w:r>
      <w:r w:rsidRPr="005C5C45">
        <w:lastRenderedPageBreak/>
        <w:t>procedures N</w:t>
      </w:r>
      <w:r w:rsidR="00DE7A0B" w:rsidRPr="005C5C45">
        <w:t xml:space="preserve">ew </w:t>
      </w:r>
      <w:r w:rsidRPr="005C5C45">
        <w:t>Z</w:t>
      </w:r>
      <w:r w:rsidR="00DE7A0B" w:rsidRPr="005C5C45">
        <w:t>ealand</w:t>
      </w:r>
      <w:r w:rsidRPr="005C5C45">
        <w:t xml:space="preserve"> currently uses to release data and information ha</w:t>
      </w:r>
      <w:r w:rsidR="00DF7DB7" w:rsidRPr="005C5C45">
        <w:t>ve</w:t>
      </w:r>
      <w:r w:rsidRPr="005C5C45">
        <w:t xml:space="preserve"> been embedded in many government departments and agencies across central and local government</w:t>
      </w:r>
      <w:r w:rsidR="00DF7DB7" w:rsidRPr="005C5C45">
        <w:t>, resulting in widespread release of publications, images, reports as well as data</w:t>
      </w:r>
      <w:r w:rsidRPr="005C5C45">
        <w:t xml:space="preserve">. </w:t>
      </w:r>
      <w:r w:rsidR="00DF7DB7" w:rsidRPr="005C5C45">
        <w:t>Because ODC only applies to data, t</w:t>
      </w:r>
      <w:r w:rsidRPr="005C5C45">
        <w:t xml:space="preserve">his update could signal a reverse of data and information management policy, if the </w:t>
      </w:r>
      <w:r w:rsidR="00DF7DB7" w:rsidRPr="005C5C45">
        <w:t xml:space="preserve">volume </w:t>
      </w:r>
      <w:r w:rsidRPr="005C5C45">
        <w:t xml:space="preserve">of data and information disclosed </w:t>
      </w:r>
      <w:r w:rsidR="00815038" w:rsidRPr="005C5C45">
        <w:t>is limited.</w:t>
      </w:r>
    </w:p>
    <w:p w14:paraId="741A83D0" w14:textId="77777777" w:rsidR="00EA2F88" w:rsidRPr="005C5C45" w:rsidRDefault="00EA2F88" w:rsidP="00AC624D">
      <w:pPr>
        <w:pStyle w:val="Heading3"/>
      </w:pPr>
      <w:r w:rsidRPr="005C5C45">
        <w:t>Completion</w:t>
      </w:r>
    </w:p>
    <w:p w14:paraId="383FC1DE" w14:textId="55709174" w:rsidR="00EA2F88" w:rsidRPr="005C5C45" w:rsidRDefault="00741051" w:rsidP="00192C23">
      <w:pPr>
        <w:pStyle w:val="NormalWeb"/>
        <w:spacing w:before="0" w:beforeAutospacing="0" w:after="240" w:afterAutospacing="0"/>
        <w:textAlignment w:val="baseline"/>
        <w:rPr>
          <w:rFonts w:ascii="Gill Sans" w:eastAsia="Cambria" w:hAnsi="Gill Sans"/>
          <w:bCs/>
          <w:szCs w:val="22"/>
        </w:rPr>
      </w:pPr>
      <w:r w:rsidRPr="005C5C45">
        <w:rPr>
          <w:rFonts w:ascii="Gill Sans" w:eastAsia="Cambria" w:hAnsi="Gill Sans"/>
          <w:bCs/>
          <w:szCs w:val="22"/>
        </w:rPr>
        <w:t xml:space="preserve">In March 2017, </w:t>
      </w:r>
      <w:r w:rsidR="0027399B" w:rsidRPr="005C5C45">
        <w:rPr>
          <w:rFonts w:ascii="Gill Sans" w:eastAsia="Cambria" w:hAnsi="Gill Sans"/>
          <w:bCs/>
          <w:szCs w:val="22"/>
        </w:rPr>
        <w:t>the N</w:t>
      </w:r>
      <w:r w:rsidR="00DE7A0B" w:rsidRPr="005C5C45">
        <w:rPr>
          <w:rFonts w:ascii="Gill Sans" w:eastAsia="Cambria" w:hAnsi="Gill Sans"/>
          <w:bCs/>
          <w:szCs w:val="22"/>
        </w:rPr>
        <w:t xml:space="preserve">ew </w:t>
      </w:r>
      <w:r w:rsidR="0027399B" w:rsidRPr="005C5C45">
        <w:rPr>
          <w:rFonts w:ascii="Gill Sans" w:eastAsia="Cambria" w:hAnsi="Gill Sans"/>
          <w:bCs/>
          <w:szCs w:val="22"/>
        </w:rPr>
        <w:t>Z</w:t>
      </w:r>
      <w:r w:rsidR="00DE7A0B" w:rsidRPr="005C5C45">
        <w:rPr>
          <w:rFonts w:ascii="Gill Sans" w:eastAsia="Cambria" w:hAnsi="Gill Sans"/>
          <w:bCs/>
          <w:szCs w:val="22"/>
        </w:rPr>
        <w:t>ealand</w:t>
      </w:r>
      <w:r w:rsidR="0027399B" w:rsidRPr="005C5C45">
        <w:rPr>
          <w:rFonts w:ascii="Gill Sans" w:eastAsia="Cambria" w:hAnsi="Gill Sans"/>
          <w:bCs/>
          <w:szCs w:val="22"/>
        </w:rPr>
        <w:t xml:space="preserve"> Government Inf</w:t>
      </w:r>
      <w:r w:rsidRPr="005C5C45">
        <w:rPr>
          <w:rFonts w:ascii="Gill Sans" w:eastAsia="Cambria" w:hAnsi="Gill Sans"/>
          <w:bCs/>
          <w:szCs w:val="22"/>
        </w:rPr>
        <w:t xml:space="preserve">ormation and Data Programme </w:t>
      </w:r>
      <w:r w:rsidR="0027399B" w:rsidRPr="005C5C45">
        <w:rPr>
          <w:rFonts w:ascii="Gill Sans" w:eastAsia="Cambria" w:hAnsi="Gill Sans"/>
          <w:bCs/>
          <w:szCs w:val="22"/>
        </w:rPr>
        <w:t xml:space="preserve">moved from LINZ </w:t>
      </w:r>
      <w:r w:rsidRPr="005C5C45">
        <w:rPr>
          <w:rFonts w:ascii="Gill Sans" w:eastAsia="Cambria" w:hAnsi="Gill Sans"/>
          <w:bCs/>
          <w:szCs w:val="22"/>
        </w:rPr>
        <w:t xml:space="preserve">to </w:t>
      </w:r>
      <w:r w:rsidR="000A61CE" w:rsidRPr="005C5C45">
        <w:rPr>
          <w:rFonts w:ascii="Gill Sans" w:eastAsia="Cambria" w:hAnsi="Gill Sans"/>
          <w:bCs/>
          <w:szCs w:val="22"/>
        </w:rPr>
        <w:t>Stats NZ</w:t>
      </w:r>
      <w:r w:rsidR="0027399B" w:rsidRPr="005C5C45">
        <w:rPr>
          <w:rFonts w:ascii="Gill Sans" w:eastAsia="Cambria" w:hAnsi="Gill Sans"/>
          <w:bCs/>
          <w:szCs w:val="22"/>
        </w:rPr>
        <w:t xml:space="preserve">. </w:t>
      </w:r>
      <w:r w:rsidRPr="005C5C45">
        <w:rPr>
          <w:rFonts w:ascii="Gill Sans" w:eastAsia="Cambria" w:hAnsi="Gill Sans"/>
          <w:bCs/>
          <w:szCs w:val="22"/>
        </w:rPr>
        <w:t>Between October 2016 and March 2017</w:t>
      </w:r>
      <w:r w:rsidR="006D5B80">
        <w:rPr>
          <w:rFonts w:ascii="Gill Sans" w:eastAsia="Cambria" w:hAnsi="Gill Sans"/>
          <w:bCs/>
          <w:szCs w:val="22"/>
        </w:rPr>
        <w:t>,</w:t>
      </w:r>
      <w:r w:rsidRPr="005C5C45">
        <w:rPr>
          <w:rFonts w:ascii="Gill Sans" w:eastAsia="Cambria" w:hAnsi="Gill Sans"/>
          <w:bCs/>
          <w:szCs w:val="22"/>
        </w:rPr>
        <w:t xml:space="preserve"> t</w:t>
      </w:r>
      <w:r w:rsidR="0027399B" w:rsidRPr="005C5C45">
        <w:rPr>
          <w:rFonts w:ascii="Gill Sans" w:eastAsia="Cambria" w:hAnsi="Gill Sans"/>
          <w:bCs/>
          <w:szCs w:val="22"/>
        </w:rPr>
        <w:t xml:space="preserve">here was a period of uncertainty and inaction while the </w:t>
      </w:r>
      <w:r w:rsidR="009E2E7B" w:rsidRPr="005C5C45">
        <w:rPr>
          <w:rFonts w:ascii="Gill Sans" w:eastAsia="Cambria" w:hAnsi="Gill Sans"/>
          <w:bCs/>
          <w:szCs w:val="22"/>
        </w:rPr>
        <w:t xml:space="preserve">location of the </w:t>
      </w:r>
      <w:r w:rsidR="0027399B" w:rsidRPr="005C5C45">
        <w:rPr>
          <w:rFonts w:ascii="Gill Sans" w:eastAsia="Cambria" w:hAnsi="Gill Sans"/>
          <w:bCs/>
          <w:szCs w:val="22"/>
        </w:rPr>
        <w:t>programme</w:t>
      </w:r>
      <w:r w:rsidR="009E2E7B" w:rsidRPr="005C5C45">
        <w:rPr>
          <w:rFonts w:ascii="Gill Sans" w:eastAsia="Cambria" w:hAnsi="Gill Sans"/>
          <w:bCs/>
          <w:szCs w:val="22"/>
        </w:rPr>
        <w:t xml:space="preserve"> </w:t>
      </w:r>
      <w:r w:rsidR="0027399B" w:rsidRPr="005C5C45">
        <w:rPr>
          <w:rFonts w:ascii="Gill Sans" w:eastAsia="Cambria" w:hAnsi="Gill Sans"/>
          <w:bCs/>
          <w:szCs w:val="22"/>
        </w:rPr>
        <w:t>was discussed</w:t>
      </w:r>
      <w:r w:rsidR="00190EAD" w:rsidRPr="005C5C45">
        <w:rPr>
          <w:rFonts w:ascii="Gill Sans" w:eastAsia="Cambria" w:hAnsi="Gill Sans"/>
          <w:bCs/>
          <w:szCs w:val="22"/>
        </w:rPr>
        <w:t xml:space="preserve">, </w:t>
      </w:r>
      <w:r w:rsidR="0027399B" w:rsidRPr="005C5C45">
        <w:rPr>
          <w:rFonts w:ascii="Gill Sans" w:eastAsia="Cambria" w:hAnsi="Gill Sans"/>
          <w:bCs/>
          <w:szCs w:val="22"/>
        </w:rPr>
        <w:t xml:space="preserve">its new </w:t>
      </w:r>
      <w:r w:rsidR="00AA76E9" w:rsidRPr="005C5C45">
        <w:rPr>
          <w:rFonts w:ascii="Gill Sans" w:eastAsia="Cambria" w:hAnsi="Gill Sans"/>
          <w:bCs/>
          <w:szCs w:val="22"/>
        </w:rPr>
        <w:t>home</w:t>
      </w:r>
      <w:r w:rsidR="0027399B" w:rsidRPr="005C5C45">
        <w:rPr>
          <w:rFonts w:ascii="Gill Sans" w:eastAsia="Cambria" w:hAnsi="Gill Sans"/>
          <w:bCs/>
          <w:szCs w:val="22"/>
        </w:rPr>
        <w:t xml:space="preserve"> agreed</w:t>
      </w:r>
      <w:r w:rsidR="00190EAD" w:rsidRPr="005C5C45">
        <w:rPr>
          <w:rFonts w:ascii="Gill Sans" w:eastAsia="Cambria" w:hAnsi="Gill Sans"/>
          <w:bCs/>
          <w:szCs w:val="22"/>
        </w:rPr>
        <w:t xml:space="preserve"> and the programme transferred</w:t>
      </w:r>
      <w:r w:rsidR="0027399B" w:rsidRPr="005C5C45">
        <w:rPr>
          <w:rFonts w:ascii="Gill Sans" w:eastAsia="Cambria" w:hAnsi="Gill Sans"/>
          <w:bCs/>
          <w:szCs w:val="22"/>
        </w:rPr>
        <w:t>. To accommodate this delay, t</w:t>
      </w:r>
      <w:r w:rsidR="00EA2F88" w:rsidRPr="005C5C45">
        <w:rPr>
          <w:rFonts w:ascii="Gill Sans" w:eastAsia="Cambria" w:hAnsi="Gill Sans"/>
          <w:bCs/>
          <w:szCs w:val="22"/>
        </w:rPr>
        <w:t>his commitment’s timeline was officially</w:t>
      </w:r>
      <w:r w:rsidR="00D669B2" w:rsidRPr="005C5C45">
        <w:rPr>
          <w:rFonts w:ascii="Gill Sans" w:eastAsia="Cambria" w:hAnsi="Gill Sans"/>
          <w:bCs/>
          <w:szCs w:val="22"/>
        </w:rPr>
        <w:t xml:space="preserve"> changed on 30 June 2017, with </w:t>
      </w:r>
      <w:r w:rsidR="0084550A" w:rsidRPr="005C5C45">
        <w:rPr>
          <w:rFonts w:ascii="Gill Sans" w:eastAsia="Cambria" w:hAnsi="Gill Sans"/>
          <w:bCs/>
          <w:szCs w:val="22"/>
        </w:rPr>
        <w:t xml:space="preserve">the final three commitment activities </w:t>
      </w:r>
      <w:r w:rsidR="00D669B2" w:rsidRPr="005C5C45">
        <w:rPr>
          <w:rFonts w:ascii="Gill Sans" w:eastAsia="Cambria" w:hAnsi="Gill Sans"/>
          <w:bCs/>
          <w:szCs w:val="22"/>
        </w:rPr>
        <w:t xml:space="preserve">extended to 31 July 2017, 30 August 2017 and </w:t>
      </w:r>
      <w:r w:rsidR="00EA2F88" w:rsidRPr="005C5C45">
        <w:rPr>
          <w:rFonts w:ascii="Gill Sans" w:eastAsia="Cambria" w:hAnsi="Gill Sans"/>
          <w:bCs/>
          <w:szCs w:val="22"/>
        </w:rPr>
        <w:t>June 2018</w:t>
      </w:r>
      <w:r w:rsidR="0084550A" w:rsidRPr="005C5C45">
        <w:rPr>
          <w:rFonts w:ascii="Gill Sans" w:eastAsia="Cambria" w:hAnsi="Gill Sans"/>
          <w:bCs/>
          <w:szCs w:val="22"/>
        </w:rPr>
        <w:t xml:space="preserve"> respectively</w:t>
      </w:r>
      <w:r w:rsidR="00EA2F88" w:rsidRPr="005C5C45">
        <w:rPr>
          <w:rFonts w:ascii="Gill Sans" w:eastAsia="Cambria" w:hAnsi="Gill Sans"/>
          <w:bCs/>
          <w:szCs w:val="22"/>
        </w:rPr>
        <w:t>.</w:t>
      </w:r>
      <w:r w:rsidR="00AA76E9" w:rsidRPr="005C5C45">
        <w:rPr>
          <w:rStyle w:val="EndnoteReference"/>
          <w:rFonts w:ascii="Gill Sans" w:eastAsia="Cambria" w:hAnsi="Gill Sans"/>
          <w:bCs/>
          <w:szCs w:val="22"/>
        </w:rPr>
        <w:endnoteReference w:id="120"/>
      </w:r>
      <w:r w:rsidR="00EA2F88" w:rsidRPr="005C5C45">
        <w:rPr>
          <w:rFonts w:ascii="Gill Sans" w:eastAsia="Cambria" w:hAnsi="Gill Sans"/>
          <w:bCs/>
          <w:szCs w:val="22"/>
        </w:rPr>
        <w:t xml:space="preserve"> Government </w:t>
      </w:r>
      <w:r w:rsidR="00192C23" w:rsidRPr="005C5C45">
        <w:rPr>
          <w:rFonts w:ascii="Gill Sans" w:eastAsia="Cambria" w:hAnsi="Gill Sans"/>
          <w:bCs/>
          <w:szCs w:val="22"/>
        </w:rPr>
        <w:t xml:space="preserve">explained </w:t>
      </w:r>
      <w:r w:rsidR="00EA2F88" w:rsidRPr="005C5C45">
        <w:rPr>
          <w:rFonts w:ascii="Gill Sans" w:eastAsia="Cambria" w:hAnsi="Gill Sans"/>
          <w:bCs/>
          <w:szCs w:val="22"/>
        </w:rPr>
        <w:t xml:space="preserve">that the delays were due to </w:t>
      </w:r>
      <w:r w:rsidR="00415346">
        <w:rPr>
          <w:rFonts w:ascii="Gill Sans" w:eastAsia="Cambria" w:hAnsi="Gill Sans"/>
          <w:bCs/>
          <w:szCs w:val="22"/>
        </w:rPr>
        <w:t>‘</w:t>
      </w:r>
      <w:r w:rsidR="00EA2F88" w:rsidRPr="005C5C45">
        <w:rPr>
          <w:rFonts w:ascii="Gill Sans" w:eastAsia="Cambria" w:hAnsi="Gill Sans"/>
          <w:bCs/>
          <w:szCs w:val="22"/>
        </w:rPr>
        <w:t>the reallocation of Ministerial portfolios, budget timing and transfer of the Open Government Data Programme from LINZ to Stats N</w:t>
      </w:r>
      <w:r w:rsidR="00DE7A0B" w:rsidRPr="005C5C45">
        <w:rPr>
          <w:rFonts w:ascii="Gill Sans" w:eastAsia="Cambria" w:hAnsi="Gill Sans"/>
          <w:bCs/>
          <w:szCs w:val="22"/>
        </w:rPr>
        <w:t xml:space="preserve">ew </w:t>
      </w:r>
      <w:r w:rsidR="00EA2F88" w:rsidRPr="005C5C45">
        <w:rPr>
          <w:rFonts w:ascii="Gill Sans" w:eastAsia="Cambria" w:hAnsi="Gill Sans"/>
          <w:bCs/>
          <w:szCs w:val="22"/>
        </w:rPr>
        <w:t>Z</w:t>
      </w:r>
      <w:r w:rsidR="00DE7A0B" w:rsidRPr="005C5C45">
        <w:rPr>
          <w:rFonts w:ascii="Gill Sans" w:eastAsia="Cambria" w:hAnsi="Gill Sans"/>
          <w:bCs/>
          <w:szCs w:val="22"/>
        </w:rPr>
        <w:t>ealand</w:t>
      </w:r>
      <w:r w:rsidR="00EA2F88" w:rsidRPr="005C5C45">
        <w:rPr>
          <w:rFonts w:ascii="Gill Sans" w:eastAsia="Cambria" w:hAnsi="Gill Sans"/>
          <w:bCs/>
          <w:szCs w:val="22"/>
        </w:rPr>
        <w:t xml:space="preserve"> in March this year</w:t>
      </w:r>
      <w:r w:rsidR="00D26E55">
        <w:rPr>
          <w:rFonts w:ascii="Gill Sans" w:eastAsia="Cambria" w:hAnsi="Gill Sans"/>
          <w:bCs/>
          <w:szCs w:val="22"/>
        </w:rPr>
        <w:t>.</w:t>
      </w:r>
      <w:r w:rsidR="00415346">
        <w:rPr>
          <w:rFonts w:ascii="Gill Sans" w:eastAsia="Cambria" w:hAnsi="Gill Sans"/>
          <w:bCs/>
          <w:szCs w:val="22"/>
        </w:rPr>
        <w:t>’</w:t>
      </w:r>
      <w:r w:rsidR="00F6209C" w:rsidRPr="005C5C45">
        <w:rPr>
          <w:rStyle w:val="EndnoteReference"/>
          <w:rFonts w:ascii="Gill Sans" w:eastAsia="Cambria" w:hAnsi="Gill Sans"/>
          <w:bCs/>
          <w:szCs w:val="22"/>
        </w:rPr>
        <w:endnoteReference w:id="121"/>
      </w:r>
      <w:r w:rsidRPr="005C5C45" w:rsidDel="00741051">
        <w:rPr>
          <w:rFonts w:ascii="Gill Sans" w:eastAsia="Cambria" w:hAnsi="Gill Sans"/>
          <w:bCs/>
          <w:szCs w:val="22"/>
        </w:rPr>
        <w:t xml:space="preserve"> </w:t>
      </w:r>
      <w:r w:rsidR="00EA2F88" w:rsidRPr="005C5C45">
        <w:rPr>
          <w:rFonts w:ascii="Gill Sans" w:eastAsia="Cambria" w:hAnsi="Gill Sans"/>
          <w:bCs/>
          <w:szCs w:val="22"/>
        </w:rPr>
        <w:t xml:space="preserve">Official consultation on the timeline change was </w:t>
      </w:r>
      <w:r w:rsidR="000B7C85" w:rsidRPr="005C5C45">
        <w:rPr>
          <w:rFonts w:ascii="Gill Sans" w:eastAsia="Cambria" w:hAnsi="Gill Sans"/>
          <w:bCs/>
          <w:szCs w:val="22"/>
        </w:rPr>
        <w:t>set for</w:t>
      </w:r>
      <w:r w:rsidR="00EA2F88" w:rsidRPr="005C5C45">
        <w:rPr>
          <w:rFonts w:ascii="Gill Sans" w:eastAsia="Cambria" w:hAnsi="Gill Sans"/>
          <w:bCs/>
          <w:szCs w:val="22"/>
        </w:rPr>
        <w:t xml:space="preserve"> </w:t>
      </w:r>
      <w:r w:rsidR="007D0061" w:rsidRPr="005C5C45">
        <w:rPr>
          <w:rFonts w:ascii="Gill Sans" w:eastAsia="Cambria" w:hAnsi="Gill Sans"/>
          <w:bCs/>
          <w:szCs w:val="22"/>
        </w:rPr>
        <w:t>16 June</w:t>
      </w:r>
      <w:r w:rsidR="00EA2F88" w:rsidRPr="005C5C45">
        <w:rPr>
          <w:rFonts w:ascii="Gill Sans" w:eastAsia="Cambria" w:hAnsi="Gill Sans"/>
          <w:bCs/>
          <w:szCs w:val="22"/>
        </w:rPr>
        <w:t xml:space="preserve"> to 29 June 2017</w:t>
      </w:r>
      <w:r w:rsidR="00CE5A83" w:rsidRPr="005C5C45">
        <w:rPr>
          <w:rFonts w:ascii="Gill Sans" w:eastAsia="Cambria" w:hAnsi="Gill Sans"/>
          <w:bCs/>
          <w:szCs w:val="22"/>
        </w:rPr>
        <w:t>.</w:t>
      </w:r>
      <w:r w:rsidR="00EA2F88" w:rsidRPr="005C5C45">
        <w:rPr>
          <w:rStyle w:val="EndnoteReference"/>
          <w:rFonts w:cs="Gill Sans"/>
          <w:color w:val="222222"/>
        </w:rPr>
        <w:endnoteReference w:id="122"/>
      </w:r>
      <w:r w:rsidR="00EA2F88" w:rsidRPr="005C5C45">
        <w:rPr>
          <w:rFonts w:ascii="Gill Sans" w:eastAsia="Cambria" w:hAnsi="Gill Sans"/>
          <w:bCs/>
          <w:szCs w:val="22"/>
        </w:rPr>
        <w:t xml:space="preserve"> The actual period was shorter</w:t>
      </w:r>
      <w:r w:rsidR="00D26E55">
        <w:rPr>
          <w:rFonts w:ascii="Gill Sans" w:eastAsia="Cambria" w:hAnsi="Gill Sans"/>
          <w:bCs/>
          <w:szCs w:val="22"/>
        </w:rPr>
        <w:t xml:space="preserve">; </w:t>
      </w:r>
      <w:r w:rsidR="00EA2F88" w:rsidRPr="005C5C45">
        <w:rPr>
          <w:rFonts w:ascii="Gill Sans" w:eastAsia="Cambria" w:hAnsi="Gill Sans"/>
          <w:bCs/>
          <w:szCs w:val="22"/>
        </w:rPr>
        <w:t xml:space="preserve">consultation was announced </w:t>
      </w:r>
      <w:r w:rsidR="00D26E55">
        <w:rPr>
          <w:rFonts w:ascii="Gill Sans" w:eastAsia="Cambria" w:hAnsi="Gill Sans"/>
          <w:bCs/>
          <w:szCs w:val="22"/>
        </w:rPr>
        <w:t>via</w:t>
      </w:r>
      <w:r w:rsidR="00D26E55" w:rsidRPr="005C5C45">
        <w:rPr>
          <w:rFonts w:ascii="Gill Sans" w:eastAsia="Cambria" w:hAnsi="Gill Sans"/>
          <w:bCs/>
          <w:szCs w:val="22"/>
        </w:rPr>
        <w:t xml:space="preserve"> </w:t>
      </w:r>
      <w:r w:rsidR="00EA2F88" w:rsidRPr="005C5C45">
        <w:rPr>
          <w:rFonts w:ascii="Gill Sans" w:eastAsia="Cambria" w:hAnsi="Gill Sans"/>
          <w:bCs/>
          <w:szCs w:val="22"/>
        </w:rPr>
        <w:t>Twitter on 20 June, and on the Open N</w:t>
      </w:r>
      <w:r w:rsidR="00DE7A0B" w:rsidRPr="005C5C45">
        <w:rPr>
          <w:rFonts w:ascii="Gill Sans" w:eastAsia="Cambria" w:hAnsi="Gill Sans"/>
          <w:bCs/>
          <w:szCs w:val="22"/>
        </w:rPr>
        <w:t xml:space="preserve">ew </w:t>
      </w:r>
      <w:r w:rsidR="00EA2F88" w:rsidRPr="005C5C45">
        <w:rPr>
          <w:rFonts w:ascii="Gill Sans" w:eastAsia="Cambria" w:hAnsi="Gill Sans"/>
          <w:bCs/>
          <w:szCs w:val="22"/>
        </w:rPr>
        <w:t>Z</w:t>
      </w:r>
      <w:r w:rsidR="00DE7A0B" w:rsidRPr="005C5C45">
        <w:rPr>
          <w:rFonts w:ascii="Gill Sans" w:eastAsia="Cambria" w:hAnsi="Gill Sans"/>
          <w:bCs/>
          <w:szCs w:val="22"/>
        </w:rPr>
        <w:t>ealand</w:t>
      </w:r>
      <w:r w:rsidR="00EA2F88" w:rsidRPr="005C5C45">
        <w:rPr>
          <w:rFonts w:ascii="Gill Sans" w:eastAsia="Cambria" w:hAnsi="Gill Sans"/>
          <w:bCs/>
          <w:szCs w:val="22"/>
        </w:rPr>
        <w:t xml:space="preserve"> discussion list on 26 June, and the final decision </w:t>
      </w:r>
      <w:r w:rsidR="00D26E55">
        <w:rPr>
          <w:rFonts w:ascii="Gill Sans" w:eastAsia="Cambria" w:hAnsi="Gill Sans"/>
          <w:bCs/>
          <w:szCs w:val="22"/>
        </w:rPr>
        <w:t>made</w:t>
      </w:r>
      <w:r w:rsidR="00D26E55" w:rsidRPr="005C5C45">
        <w:rPr>
          <w:rFonts w:ascii="Gill Sans" w:eastAsia="Cambria" w:hAnsi="Gill Sans"/>
          <w:bCs/>
          <w:szCs w:val="22"/>
        </w:rPr>
        <w:t xml:space="preserve"> </w:t>
      </w:r>
      <w:r w:rsidR="00EA2F88" w:rsidRPr="005C5C45">
        <w:rPr>
          <w:rFonts w:ascii="Gill Sans" w:eastAsia="Cambria" w:hAnsi="Gill Sans"/>
          <w:bCs/>
          <w:szCs w:val="22"/>
        </w:rPr>
        <w:t xml:space="preserve">on 30 June. The IRM researcher understands there was minimal feedback from the </w:t>
      </w:r>
      <w:proofErr w:type="gramStart"/>
      <w:r w:rsidR="00EA2F88" w:rsidRPr="005C5C45">
        <w:rPr>
          <w:rFonts w:ascii="Gill Sans" w:eastAsia="Cambria" w:hAnsi="Gill Sans"/>
          <w:bCs/>
          <w:szCs w:val="22"/>
        </w:rPr>
        <w:t>public which</w:t>
      </w:r>
      <w:proofErr w:type="gramEnd"/>
      <w:r w:rsidR="00EA2F88" w:rsidRPr="005C5C45">
        <w:rPr>
          <w:rFonts w:ascii="Gill Sans" w:eastAsia="Cambria" w:hAnsi="Gill Sans"/>
          <w:bCs/>
          <w:szCs w:val="22"/>
        </w:rPr>
        <w:t xml:space="preserve"> is not surprising given the </w:t>
      </w:r>
      <w:r w:rsidR="007D0061" w:rsidRPr="005C5C45">
        <w:rPr>
          <w:rFonts w:ascii="Gill Sans" w:eastAsia="Cambria" w:hAnsi="Gill Sans"/>
          <w:bCs/>
          <w:szCs w:val="22"/>
        </w:rPr>
        <w:t>short</w:t>
      </w:r>
      <w:r w:rsidR="00EA2F88" w:rsidRPr="005C5C45">
        <w:rPr>
          <w:rFonts w:ascii="Gill Sans" w:eastAsia="Cambria" w:hAnsi="Gill Sans"/>
          <w:bCs/>
          <w:szCs w:val="22"/>
        </w:rPr>
        <w:t xml:space="preserve"> timeline.</w:t>
      </w:r>
    </w:p>
    <w:p w14:paraId="00FD2C82" w14:textId="5002E681" w:rsidR="00EA2F88" w:rsidRPr="005C5C45" w:rsidRDefault="00173056" w:rsidP="00DE7A0B">
      <w:pPr>
        <w:pStyle w:val="Normalrglronly"/>
      </w:pPr>
      <w:r w:rsidRPr="005C5C45">
        <w:t>The first two commitment activities, to review potential adoption of ODC and to review N</w:t>
      </w:r>
      <w:r w:rsidR="00DE7A0B" w:rsidRPr="005C5C45">
        <w:t xml:space="preserve">ew </w:t>
      </w:r>
      <w:r w:rsidRPr="005C5C45">
        <w:t>Z</w:t>
      </w:r>
      <w:r w:rsidR="00DE7A0B" w:rsidRPr="005C5C45">
        <w:t>ealand</w:t>
      </w:r>
      <w:r w:rsidRPr="005C5C45">
        <w:t xml:space="preserve"> Data and Information Management Principles,</w:t>
      </w:r>
      <w:r w:rsidR="00EA2F88" w:rsidRPr="005C5C45">
        <w:t xml:space="preserve"> have been completed. Government consulted the public</w:t>
      </w:r>
      <w:r w:rsidR="00D669B2" w:rsidRPr="005C5C45">
        <w:t xml:space="preserve"> widely on the ODC</w:t>
      </w:r>
      <w:r w:rsidR="00EA2F88" w:rsidRPr="005C5C45">
        <w:t xml:space="preserve"> and the N</w:t>
      </w:r>
      <w:r w:rsidR="00DE7A0B" w:rsidRPr="005C5C45">
        <w:t xml:space="preserve">ew </w:t>
      </w:r>
      <w:r w:rsidR="00EA2F88" w:rsidRPr="005C5C45">
        <w:t>Z</w:t>
      </w:r>
      <w:r w:rsidR="00DE7A0B" w:rsidRPr="005C5C45">
        <w:t>ealand</w:t>
      </w:r>
      <w:r w:rsidR="00EA2F88" w:rsidRPr="005C5C45">
        <w:t xml:space="preserve"> Data and Information Management Principles in August and September 2016, initially as part of the </w:t>
      </w:r>
      <w:r w:rsidR="007D0061" w:rsidRPr="005C5C45">
        <w:t xml:space="preserve">public engagement </w:t>
      </w:r>
      <w:r w:rsidR="00D669B2" w:rsidRPr="005C5C45">
        <w:t xml:space="preserve">process </w:t>
      </w:r>
      <w:r w:rsidR="00EA2F88" w:rsidRPr="005C5C45">
        <w:t xml:space="preserve">to develop the action plan. One workshop in </w:t>
      </w:r>
      <w:r w:rsidR="00EA2F88" w:rsidRPr="005C5C45">
        <w:rPr>
          <w:color w:val="000000"/>
        </w:rPr>
        <w:t xml:space="preserve">Auckland </w:t>
      </w:r>
      <w:r w:rsidR="00E2002D" w:rsidRPr="005C5C45">
        <w:rPr>
          <w:color w:val="000000"/>
        </w:rPr>
        <w:t xml:space="preserve">and two in Wellington sought </w:t>
      </w:r>
      <w:r w:rsidR="009B02B9" w:rsidRPr="005C5C45">
        <w:rPr>
          <w:color w:val="000000"/>
        </w:rPr>
        <w:t>public feedback on</w:t>
      </w:r>
      <w:r w:rsidR="00EA2F88" w:rsidRPr="005C5C45">
        <w:rPr>
          <w:color w:val="000000"/>
        </w:rPr>
        <w:t xml:space="preserve"> whether to ad</w:t>
      </w:r>
      <w:r w:rsidR="00D669B2" w:rsidRPr="005C5C45">
        <w:rPr>
          <w:color w:val="000000"/>
        </w:rPr>
        <w:t>opt the ODC</w:t>
      </w:r>
      <w:r w:rsidR="009B02B9" w:rsidRPr="005C5C45">
        <w:rPr>
          <w:color w:val="000000"/>
        </w:rPr>
        <w:t>.</w:t>
      </w:r>
      <w:r w:rsidR="00DD02EE" w:rsidRPr="005C5C45">
        <w:rPr>
          <w:color w:val="000000"/>
        </w:rPr>
        <w:t xml:space="preserve"> </w:t>
      </w:r>
      <w:r w:rsidR="008C6796" w:rsidRPr="005C5C45">
        <w:rPr>
          <w:color w:val="000000"/>
        </w:rPr>
        <w:t xml:space="preserve">There was </w:t>
      </w:r>
      <w:r w:rsidR="008C6796" w:rsidRPr="005C5C45">
        <w:t>an invitation from the responsible Minister to participate</w:t>
      </w:r>
      <w:r w:rsidR="00434D33" w:rsidRPr="005C5C45">
        <w:t>,</w:t>
      </w:r>
      <w:r w:rsidR="008C6796" w:rsidRPr="005C5C45">
        <w:rPr>
          <w:rStyle w:val="EndnoteReference"/>
          <w:rFonts w:cs="Gill Sans"/>
          <w:color w:val="222222"/>
        </w:rPr>
        <w:endnoteReference w:id="123"/>
      </w:r>
      <w:r w:rsidR="008C6796" w:rsidRPr="005C5C45">
        <w:t xml:space="preserve"> </w:t>
      </w:r>
      <w:r w:rsidR="008C6796" w:rsidRPr="005C5C45">
        <w:rPr>
          <w:color w:val="000000"/>
        </w:rPr>
        <w:t>an open call for participation</w:t>
      </w:r>
      <w:r w:rsidR="008D2906" w:rsidRPr="005C5C45">
        <w:rPr>
          <w:color w:val="000000"/>
        </w:rPr>
        <w:t xml:space="preserve"> using social media (Twitter)</w:t>
      </w:r>
      <w:r w:rsidR="003B1F42" w:rsidRPr="005C5C45">
        <w:rPr>
          <w:color w:val="000000"/>
        </w:rPr>
        <w:t>, consultations on</w:t>
      </w:r>
      <w:r w:rsidR="00AA76E9" w:rsidRPr="005C5C45">
        <w:rPr>
          <w:color w:val="000000"/>
        </w:rPr>
        <w:t xml:space="preserve"> the N</w:t>
      </w:r>
      <w:r w:rsidR="00DE7A0B" w:rsidRPr="005C5C45">
        <w:rPr>
          <w:color w:val="000000"/>
        </w:rPr>
        <w:t xml:space="preserve">ew </w:t>
      </w:r>
      <w:r w:rsidR="00AA76E9" w:rsidRPr="005C5C45">
        <w:rPr>
          <w:color w:val="000000"/>
        </w:rPr>
        <w:t>Z</w:t>
      </w:r>
      <w:r w:rsidR="00DE7A0B" w:rsidRPr="005C5C45">
        <w:rPr>
          <w:color w:val="000000"/>
        </w:rPr>
        <w:t>ealand</w:t>
      </w:r>
      <w:r w:rsidR="00AA76E9" w:rsidRPr="005C5C45">
        <w:rPr>
          <w:color w:val="000000"/>
        </w:rPr>
        <w:t xml:space="preserve"> government website,</w:t>
      </w:r>
      <w:r w:rsidR="003B1F42" w:rsidRPr="005C5C45">
        <w:rPr>
          <w:color w:val="000000"/>
        </w:rPr>
        <w:t xml:space="preserve"> govt.nz,</w:t>
      </w:r>
      <w:r w:rsidR="008C6796" w:rsidRPr="005C5C45">
        <w:rPr>
          <w:color w:val="000000"/>
        </w:rPr>
        <w:t xml:space="preserve"> the Open N</w:t>
      </w:r>
      <w:r w:rsidR="00DE7A0B" w:rsidRPr="005C5C45">
        <w:rPr>
          <w:color w:val="000000"/>
        </w:rPr>
        <w:t xml:space="preserve">ew </w:t>
      </w:r>
      <w:r w:rsidR="008C6796" w:rsidRPr="005C5C45">
        <w:rPr>
          <w:color w:val="000000"/>
        </w:rPr>
        <w:t>Z</w:t>
      </w:r>
      <w:r w:rsidR="00DE7A0B" w:rsidRPr="005C5C45">
        <w:rPr>
          <w:color w:val="000000"/>
        </w:rPr>
        <w:t>ealand</w:t>
      </w:r>
      <w:r w:rsidR="008C6796" w:rsidRPr="005C5C45">
        <w:rPr>
          <w:color w:val="000000"/>
        </w:rPr>
        <w:t xml:space="preserve"> discussion list</w:t>
      </w:r>
      <w:r w:rsidR="00464640">
        <w:rPr>
          <w:color w:val="000000"/>
        </w:rPr>
        <w:t>,</w:t>
      </w:r>
      <w:r w:rsidR="008D2906" w:rsidRPr="005C5C45">
        <w:rPr>
          <w:rStyle w:val="EndnoteReference"/>
          <w:rFonts w:cs="Gill Sans"/>
          <w:color w:val="000000"/>
        </w:rPr>
        <w:endnoteReference w:id="124"/>
      </w:r>
      <w:r w:rsidR="008C6796" w:rsidRPr="005C5C45">
        <w:rPr>
          <w:color w:val="000000"/>
        </w:rPr>
        <w:t xml:space="preserve"> and through the avenues used by Engage. Subsequent activities included a</w:t>
      </w:r>
      <w:r w:rsidR="00EA2F88" w:rsidRPr="005C5C45">
        <w:t xml:space="preserve"> teleconference</w:t>
      </w:r>
      <w:r w:rsidR="008C6796" w:rsidRPr="005C5C45">
        <w:t xml:space="preserve"> with respondents who could not attend the workshop and </w:t>
      </w:r>
      <w:r w:rsidR="00EA2F88" w:rsidRPr="005C5C45">
        <w:t>online engagement</w:t>
      </w:r>
      <w:r w:rsidR="008D2906" w:rsidRPr="005C5C45">
        <w:t xml:space="preserve"> via the Open N</w:t>
      </w:r>
      <w:r w:rsidR="00DE7A0B" w:rsidRPr="005C5C45">
        <w:t xml:space="preserve">ew </w:t>
      </w:r>
      <w:r w:rsidR="008D2906" w:rsidRPr="005C5C45">
        <w:t>Z</w:t>
      </w:r>
      <w:r w:rsidR="00DE7A0B" w:rsidRPr="005C5C45">
        <w:t>ealand</w:t>
      </w:r>
      <w:r w:rsidR="008D2906" w:rsidRPr="005C5C45">
        <w:t xml:space="preserve"> discussion list</w:t>
      </w:r>
      <w:r w:rsidR="00C5337A" w:rsidRPr="005C5C45">
        <w:t>.</w:t>
      </w:r>
    </w:p>
    <w:p w14:paraId="3DD3D0E3" w14:textId="431374BE" w:rsidR="00EA2F88" w:rsidRPr="005C5C45" w:rsidRDefault="002E0966" w:rsidP="00DE7A0B">
      <w:pPr>
        <w:pStyle w:val="Normalrglronly"/>
      </w:pPr>
      <w:r w:rsidRPr="005C5C45">
        <w:rPr>
          <w:color w:val="000000"/>
        </w:rPr>
        <w:t xml:space="preserve">What has not yet been completed </w:t>
      </w:r>
      <w:r w:rsidR="00464640">
        <w:rPr>
          <w:color w:val="000000"/>
        </w:rPr>
        <w:t>as of</w:t>
      </w:r>
      <w:r w:rsidR="00464640" w:rsidRPr="005C5C45">
        <w:rPr>
          <w:color w:val="000000"/>
        </w:rPr>
        <w:t xml:space="preserve"> </w:t>
      </w:r>
      <w:r w:rsidR="003B1F42" w:rsidRPr="005C5C45">
        <w:rPr>
          <w:color w:val="000000"/>
        </w:rPr>
        <w:t xml:space="preserve">30 June 2017 </w:t>
      </w:r>
      <w:r w:rsidRPr="005C5C45">
        <w:rPr>
          <w:color w:val="000000"/>
        </w:rPr>
        <w:t xml:space="preserve">are </w:t>
      </w:r>
      <w:r w:rsidR="00464640">
        <w:rPr>
          <w:color w:val="000000"/>
        </w:rPr>
        <w:t>two actions</w:t>
      </w:r>
      <w:r w:rsidRPr="005C5C45">
        <w:rPr>
          <w:color w:val="000000"/>
        </w:rPr>
        <w:t xml:space="preserve">: </w:t>
      </w:r>
      <w:r w:rsidR="003B1F42" w:rsidRPr="005C5C45">
        <w:rPr>
          <w:color w:val="000000"/>
        </w:rPr>
        <w:t xml:space="preserve">a formal decision on adoption of the ODC, </w:t>
      </w:r>
      <w:r w:rsidR="00464640">
        <w:rPr>
          <w:color w:val="000000"/>
        </w:rPr>
        <w:t>which</w:t>
      </w:r>
      <w:r w:rsidRPr="005C5C45">
        <w:rPr>
          <w:color w:val="000000"/>
        </w:rPr>
        <w:t xml:space="preserve"> will guide release of and access to N</w:t>
      </w:r>
      <w:r w:rsidR="00DE7A0B" w:rsidRPr="005C5C45">
        <w:rPr>
          <w:color w:val="000000"/>
        </w:rPr>
        <w:t xml:space="preserve">ew </w:t>
      </w:r>
      <w:r w:rsidRPr="005C5C45">
        <w:rPr>
          <w:color w:val="000000"/>
        </w:rPr>
        <w:t>Z</w:t>
      </w:r>
      <w:r w:rsidR="00DE7A0B" w:rsidRPr="005C5C45">
        <w:rPr>
          <w:color w:val="000000"/>
        </w:rPr>
        <w:t>ealand</w:t>
      </w:r>
      <w:r w:rsidR="00224E65" w:rsidRPr="005C5C45">
        <w:rPr>
          <w:color w:val="000000"/>
        </w:rPr>
        <w:t xml:space="preserve"> </w:t>
      </w:r>
      <w:r w:rsidRPr="005C5C45">
        <w:rPr>
          <w:color w:val="000000"/>
        </w:rPr>
        <w:t>data</w:t>
      </w:r>
      <w:r w:rsidR="002D0E28" w:rsidRPr="005C5C45">
        <w:rPr>
          <w:color w:val="000000"/>
        </w:rPr>
        <w:t xml:space="preserve"> and information</w:t>
      </w:r>
      <w:r w:rsidRPr="005C5C45">
        <w:rPr>
          <w:color w:val="000000"/>
        </w:rPr>
        <w:t xml:space="preserve">, and engagement </w:t>
      </w:r>
      <w:r w:rsidR="00464640">
        <w:rPr>
          <w:color w:val="000000"/>
        </w:rPr>
        <w:t>between</w:t>
      </w:r>
      <w:r w:rsidR="00464640" w:rsidRPr="005C5C45">
        <w:rPr>
          <w:color w:val="000000"/>
        </w:rPr>
        <w:t xml:space="preserve"> </w:t>
      </w:r>
      <w:r w:rsidRPr="005C5C45">
        <w:rPr>
          <w:color w:val="000000"/>
        </w:rPr>
        <w:t>citizens and government on the application of</w:t>
      </w:r>
      <w:r w:rsidR="008514E4" w:rsidRPr="005C5C45">
        <w:rPr>
          <w:color w:val="000000"/>
        </w:rPr>
        <w:t xml:space="preserve"> new open data principles.</w:t>
      </w:r>
      <w:r w:rsidR="00EA2F88" w:rsidRPr="005C5C45">
        <w:t xml:space="preserve"> Stakeholders</w:t>
      </w:r>
      <w:r w:rsidR="00F13291" w:rsidRPr="005C5C45">
        <w:t xml:space="preserve"> interviewed by the IRM Researcher</w:t>
      </w:r>
      <w:r w:rsidR="00EA2F88" w:rsidRPr="005C5C45">
        <w:t xml:space="preserve"> expressed frustration that they received no acknowledgement of their submissions and that there has been no progress to address matters they raised, such as updating the pricing policy in the N</w:t>
      </w:r>
      <w:r w:rsidR="00DE7A0B" w:rsidRPr="005C5C45">
        <w:t xml:space="preserve">ew </w:t>
      </w:r>
      <w:r w:rsidR="00EA2F88" w:rsidRPr="005C5C45">
        <w:t>Z</w:t>
      </w:r>
      <w:r w:rsidR="00DE7A0B" w:rsidRPr="005C5C45">
        <w:t>ealand</w:t>
      </w:r>
      <w:r w:rsidR="00EA2F88" w:rsidRPr="005C5C45">
        <w:t xml:space="preserve"> Data and Information Management Principles to match the ‘free of charge’ st</w:t>
      </w:r>
      <w:r w:rsidR="00D669B2" w:rsidRPr="005C5C45">
        <w:t>atement in the ODC</w:t>
      </w:r>
      <w:r w:rsidR="00EA2F88" w:rsidRPr="005C5C45">
        <w:t>. Stakeholders are also unclear about which agency has responsibility for</w:t>
      </w:r>
      <w:r w:rsidR="00DD02EE" w:rsidRPr="005C5C45">
        <w:t xml:space="preserve"> leading</w:t>
      </w:r>
      <w:r w:rsidR="00EA2F88" w:rsidRPr="005C5C45">
        <w:t xml:space="preserve"> th</w:t>
      </w:r>
      <w:r w:rsidR="00F13291" w:rsidRPr="005C5C45">
        <w:t>e</w:t>
      </w:r>
      <w:r w:rsidR="00EA2F88" w:rsidRPr="005C5C45">
        <w:t xml:space="preserve"> wider government-held information</w:t>
      </w:r>
      <w:r w:rsidR="00E2002D" w:rsidRPr="005C5C45">
        <w:t xml:space="preserve"> policy</w:t>
      </w:r>
      <w:r w:rsidR="00EA2F88" w:rsidRPr="005C5C45">
        <w:t xml:space="preserve"> work.</w:t>
      </w:r>
    </w:p>
    <w:p w14:paraId="0C322510" w14:textId="2EB4090B" w:rsidR="00EA2F88" w:rsidRPr="005C5C45" w:rsidRDefault="006E1F84" w:rsidP="00DE7A0B">
      <w:pPr>
        <w:pStyle w:val="Normalrglronly"/>
      </w:pPr>
      <w:r w:rsidRPr="005C5C45">
        <w:t xml:space="preserve">The </w:t>
      </w:r>
      <w:r w:rsidR="003B1F42" w:rsidRPr="005C5C45">
        <w:t xml:space="preserve">adoption of the ODC, </w:t>
      </w:r>
      <w:r w:rsidRPr="005C5C45">
        <w:t xml:space="preserve">determination of principles, engagement with citizens and government, and subsequent implementation of new open data principles </w:t>
      </w:r>
      <w:r w:rsidR="00EA2F88" w:rsidRPr="005C5C45">
        <w:t>will be further reported on in the end</w:t>
      </w:r>
      <w:r w:rsidR="00464640">
        <w:t>-</w:t>
      </w:r>
      <w:r w:rsidR="00EA2F88" w:rsidRPr="005C5C45">
        <w:t>of</w:t>
      </w:r>
      <w:r w:rsidR="00464640">
        <w:t>-</w:t>
      </w:r>
      <w:r w:rsidR="00EA2F88" w:rsidRPr="005C5C45">
        <w:t>term report.</w:t>
      </w:r>
    </w:p>
    <w:p w14:paraId="7AC49CB8" w14:textId="77777777" w:rsidR="00EA2F88" w:rsidRPr="005C5C45" w:rsidRDefault="00EA2F88" w:rsidP="006B1434">
      <w:pPr>
        <w:pStyle w:val="Heading3"/>
      </w:pPr>
      <w:r w:rsidRPr="005C5C45">
        <w:t>Next Steps</w:t>
      </w:r>
    </w:p>
    <w:p w14:paraId="63BD41BB" w14:textId="46F00BF0" w:rsidR="00F13291" w:rsidRPr="005C5C45" w:rsidRDefault="00EA2F88" w:rsidP="00DE7A0B">
      <w:pPr>
        <w:pStyle w:val="Normalrglronly"/>
      </w:pPr>
      <w:r w:rsidRPr="005C5C45">
        <w:t>The IRM researcher recommends that this commitment</w:t>
      </w:r>
      <w:r w:rsidR="00F13291" w:rsidRPr="005C5C45">
        <w:t>’s activities</w:t>
      </w:r>
      <w:r w:rsidRPr="005C5C45">
        <w:t xml:space="preserve"> </w:t>
      </w:r>
      <w:proofErr w:type="gramStart"/>
      <w:r w:rsidR="00F13291" w:rsidRPr="005C5C45">
        <w:t>are</w:t>
      </w:r>
      <w:proofErr w:type="gramEnd"/>
      <w:r w:rsidRPr="005C5C45">
        <w:t xml:space="preserve"> completed in the remaining period of the action plan</w:t>
      </w:r>
      <w:r w:rsidR="00F13291" w:rsidRPr="005C5C45">
        <w:t>.</w:t>
      </w:r>
      <w:r w:rsidR="00EE30BF" w:rsidRPr="005C5C45">
        <w:t xml:space="preserve"> It is assumed that the delay in adopting the ODC is due to the programme’s tr</w:t>
      </w:r>
      <w:r w:rsidR="00AA26E3" w:rsidRPr="005C5C45">
        <w:t>ansfer to</w:t>
      </w:r>
      <w:r w:rsidR="000A61CE" w:rsidRPr="005C5C45">
        <w:t xml:space="preserve"> Stats NZ </w:t>
      </w:r>
      <w:r w:rsidR="00AA26E3" w:rsidRPr="005C5C45">
        <w:t xml:space="preserve">and </w:t>
      </w:r>
      <w:r w:rsidR="00EE30BF" w:rsidRPr="005C5C45">
        <w:t>changes in Minister</w:t>
      </w:r>
      <w:r w:rsidR="00AA26E3" w:rsidRPr="005C5C45">
        <w:t xml:space="preserve">ial portfolios, </w:t>
      </w:r>
      <w:r w:rsidR="00EE30BF" w:rsidRPr="005C5C45">
        <w:t xml:space="preserve">and that an announcement </w:t>
      </w:r>
      <w:r w:rsidR="00CF7754" w:rsidRPr="005C5C45">
        <w:t>is expected soon after 30 June 2017</w:t>
      </w:r>
      <w:r w:rsidR="00EE30BF" w:rsidRPr="005C5C45">
        <w:t xml:space="preserve">. With respect to the remaining activities, it is recommended that </w:t>
      </w:r>
      <w:r w:rsidR="000A61CE" w:rsidRPr="005C5C45">
        <w:t xml:space="preserve">Stats NZ </w:t>
      </w:r>
      <w:proofErr w:type="gramStart"/>
      <w:r w:rsidR="00EE30BF" w:rsidRPr="005C5C45">
        <w:t>leads</w:t>
      </w:r>
      <w:proofErr w:type="gramEnd"/>
      <w:r w:rsidR="00EE30BF" w:rsidRPr="005C5C45">
        <w:t xml:space="preserve"> a cross-government </w:t>
      </w:r>
      <w:r w:rsidR="00BD67EE" w:rsidRPr="005C5C45">
        <w:t xml:space="preserve">information management </w:t>
      </w:r>
      <w:r w:rsidR="00EE30BF" w:rsidRPr="005C5C45">
        <w:t xml:space="preserve">activity to determine any changes or updates to the NZ Data and Information Management Principles </w:t>
      </w:r>
      <w:r w:rsidR="008A55A8" w:rsidRPr="005C5C45">
        <w:t>following approval of</w:t>
      </w:r>
      <w:r w:rsidR="00EE30BF" w:rsidRPr="005C5C45">
        <w:t xml:space="preserve"> the ODC</w:t>
      </w:r>
      <w:r w:rsidR="00BD67EE" w:rsidRPr="005C5C45">
        <w:t xml:space="preserve">. This would include engagement with government’s information management community and citizens on </w:t>
      </w:r>
      <w:r w:rsidR="008A55A8" w:rsidRPr="005C5C45">
        <w:t xml:space="preserve">any subsequent changes, </w:t>
      </w:r>
      <w:r w:rsidR="00BD67EE" w:rsidRPr="005C5C45">
        <w:lastRenderedPageBreak/>
        <w:t xml:space="preserve">using the programme’s well-established </w:t>
      </w:r>
      <w:r w:rsidR="008A55A8" w:rsidRPr="005C5C45">
        <w:t xml:space="preserve">engagement </w:t>
      </w:r>
      <w:r w:rsidR="00BD67EE" w:rsidRPr="005C5C45">
        <w:t>channel</w:t>
      </w:r>
      <w:r w:rsidR="008A55A8" w:rsidRPr="005C5C45">
        <w:t>s</w:t>
      </w:r>
      <w:r w:rsidR="00AA26E3" w:rsidRPr="005C5C45">
        <w:t xml:space="preserve">. </w:t>
      </w:r>
      <w:r w:rsidR="00B55BD2" w:rsidRPr="005C5C45">
        <w:t xml:space="preserve">This would establish consistent practice across the public sector. </w:t>
      </w:r>
      <w:r w:rsidR="00AA26E3" w:rsidRPr="005C5C45">
        <w:t>The finalised principles</w:t>
      </w:r>
      <w:r w:rsidR="00B71920" w:rsidRPr="005C5C45">
        <w:t xml:space="preserve"> and their relationship to the ODC</w:t>
      </w:r>
      <w:r w:rsidR="00AA26E3" w:rsidRPr="005C5C45">
        <w:t xml:space="preserve"> would then be presented to </w:t>
      </w:r>
      <w:r w:rsidR="00BD67EE" w:rsidRPr="005C5C45">
        <w:t>government’s Information Group</w:t>
      </w:r>
      <w:r w:rsidR="00BD67EE" w:rsidRPr="005C5C45">
        <w:rPr>
          <w:rStyle w:val="EndnoteReference"/>
        </w:rPr>
        <w:endnoteReference w:id="125"/>
      </w:r>
      <w:r w:rsidR="00AA26E3" w:rsidRPr="005C5C45">
        <w:t xml:space="preserve"> for approval ahead of being submitted to Cabinet for approval.</w:t>
      </w:r>
    </w:p>
    <w:p w14:paraId="14429671" w14:textId="56EF0E66" w:rsidR="00EA2F88" w:rsidRPr="005C5C45" w:rsidRDefault="00F13291" w:rsidP="00DE7A0B">
      <w:pPr>
        <w:pStyle w:val="Normalrglronly"/>
      </w:pPr>
      <w:r w:rsidRPr="005C5C45">
        <w:t xml:space="preserve">The IRM researcher also recommends </w:t>
      </w:r>
      <w:r w:rsidR="00AA26E3" w:rsidRPr="005C5C45">
        <w:t>a concurrent</w:t>
      </w:r>
      <w:r w:rsidR="00EA2F88" w:rsidRPr="005C5C45">
        <w:t xml:space="preserve"> new </w:t>
      </w:r>
      <w:r w:rsidRPr="005C5C45">
        <w:t xml:space="preserve">activity </w:t>
      </w:r>
      <w:r w:rsidR="00EA2F88" w:rsidRPr="005C5C45">
        <w:t xml:space="preserve">to clarify the </w:t>
      </w:r>
      <w:r w:rsidR="007D0061" w:rsidRPr="005C5C45">
        <w:t xml:space="preserve">lead agency for </w:t>
      </w:r>
      <w:r w:rsidRPr="005C5C45">
        <w:t xml:space="preserve">developing </w:t>
      </w:r>
      <w:r w:rsidR="00EA2F88" w:rsidRPr="005C5C45">
        <w:t>government</w:t>
      </w:r>
      <w:r w:rsidR="007D0061" w:rsidRPr="005C5C45">
        <w:t>-held</w:t>
      </w:r>
      <w:r w:rsidR="00EA2F88" w:rsidRPr="005C5C45">
        <w:t xml:space="preserve"> information </w:t>
      </w:r>
      <w:r w:rsidRPr="005C5C45">
        <w:t xml:space="preserve">and data </w:t>
      </w:r>
      <w:r w:rsidR="00EA2F88" w:rsidRPr="005C5C45">
        <w:t xml:space="preserve">policy. It is unclear which of government’s functional leaders </w:t>
      </w:r>
      <w:r w:rsidR="00283B88" w:rsidRPr="005C5C45">
        <w:t>holds</w:t>
      </w:r>
      <w:r w:rsidR="00EA2F88" w:rsidRPr="005C5C45">
        <w:t xml:space="preserve"> this</w:t>
      </w:r>
      <w:r w:rsidR="00AA26E3" w:rsidRPr="005C5C45">
        <w:t xml:space="preserve"> </w:t>
      </w:r>
      <w:r w:rsidR="00B71920" w:rsidRPr="005C5C45">
        <w:t xml:space="preserve">broader </w:t>
      </w:r>
      <w:r w:rsidR="00EA2F88" w:rsidRPr="005C5C45">
        <w:t xml:space="preserve">responsibility. </w:t>
      </w:r>
      <w:r w:rsidR="00AA76E9" w:rsidRPr="005C5C45">
        <w:t xml:space="preserve">Statistics New Zealand’s role as </w:t>
      </w:r>
      <w:r w:rsidR="00B71920" w:rsidRPr="005C5C45">
        <w:t>Chief Data Steward</w:t>
      </w:r>
      <w:r w:rsidR="00AA76E9" w:rsidRPr="005C5C45">
        <w:t xml:space="preserve"> is known, but </w:t>
      </w:r>
      <w:r w:rsidR="00B71920" w:rsidRPr="005C5C45">
        <w:t>appears to exclude government-held information.</w:t>
      </w:r>
      <w:r w:rsidR="00AA76E9" w:rsidRPr="005C5C45">
        <w:t xml:space="preserve"> </w:t>
      </w:r>
      <w:r w:rsidR="00EE30BF" w:rsidRPr="005C5C45">
        <w:t xml:space="preserve">When this </w:t>
      </w:r>
      <w:r w:rsidR="00AA76E9" w:rsidRPr="005C5C45">
        <w:t>decision is made</w:t>
      </w:r>
      <w:r w:rsidR="00EE30BF" w:rsidRPr="005C5C45">
        <w:t>, the IRM researc</w:t>
      </w:r>
      <w:r w:rsidR="0014416E" w:rsidRPr="005C5C45">
        <w:t xml:space="preserve">her recommends </w:t>
      </w:r>
      <w:r w:rsidR="00830335">
        <w:t>it be</w:t>
      </w:r>
      <w:r w:rsidR="00EE30BF" w:rsidRPr="005C5C45">
        <w:t xml:space="preserve"> announced publicly as well as across government’s own media channels. </w:t>
      </w:r>
      <w:r w:rsidR="00EA2F88" w:rsidRPr="005C5C45">
        <w:t xml:space="preserve">An example </w:t>
      </w:r>
      <w:r w:rsidR="00BD67EE" w:rsidRPr="005C5C45">
        <w:t>activity</w:t>
      </w:r>
      <w:r w:rsidR="00EA2F88" w:rsidRPr="005C5C45">
        <w:t xml:space="preserve"> could be:</w:t>
      </w:r>
    </w:p>
    <w:p w14:paraId="59923BB9" w14:textId="79A573E7" w:rsidR="001567F0" w:rsidRPr="005C5C45" w:rsidRDefault="00EA2F88" w:rsidP="00987687">
      <w:pPr>
        <w:pStyle w:val="ListParagraph"/>
        <w:numPr>
          <w:ilvl w:val="0"/>
          <w:numId w:val="28"/>
        </w:numPr>
        <w:sectPr w:rsidR="001567F0" w:rsidRPr="005C5C45" w:rsidSect="0002581F">
          <w:endnotePr>
            <w:numFmt w:val="decimal"/>
            <w:numRestart w:val="eachSect"/>
          </w:endnotePr>
          <w:pgSz w:w="11900" w:h="16840" w:code="9"/>
          <w:pgMar w:top="1440" w:right="1800" w:bottom="1440" w:left="1800" w:header="720" w:footer="720" w:gutter="0"/>
          <w:cols w:space="720"/>
          <w:docGrid w:linePitch="360"/>
        </w:sectPr>
      </w:pPr>
      <w:r w:rsidRPr="005C5C45">
        <w:t xml:space="preserve">Clarify </w:t>
      </w:r>
      <w:r w:rsidR="00E873EB" w:rsidRPr="005C5C45">
        <w:t>the functional leadership for</w:t>
      </w:r>
      <w:r w:rsidRPr="005C5C45">
        <w:t xml:space="preserve"> government and information policy development</w:t>
      </w:r>
      <w:r w:rsidR="00830335">
        <w:t xml:space="preserve">, including </w:t>
      </w:r>
      <w:r w:rsidRPr="005C5C45">
        <w:t>appropri</w:t>
      </w:r>
      <w:r w:rsidR="00073C14" w:rsidRPr="005C5C45">
        <w:t>ate Ministerial and Head of Profession responsibilit</w:t>
      </w:r>
      <w:r w:rsidR="00830335">
        <w:t>ies.</w:t>
      </w:r>
      <w:r w:rsidR="00CE31B9" w:rsidRPr="005C5C45">
        <w:t xml:space="preserve"> (Start date: January 2018, End date: March 2018).</w:t>
      </w:r>
    </w:p>
    <w:p w14:paraId="5A0A1DC5" w14:textId="77777777" w:rsidR="00EA2F88" w:rsidRPr="005C5C45" w:rsidRDefault="00EA2F88" w:rsidP="00EA62D6">
      <w:pPr>
        <w:pStyle w:val="Heading2"/>
      </w:pPr>
      <w:bookmarkStart w:id="26" w:name="_Toc377998812"/>
      <w:r w:rsidRPr="005C5C45">
        <w:lastRenderedPageBreak/>
        <w:t>4. Tracking progress and outcomes of open government data release</w:t>
      </w:r>
      <w:bookmarkEnd w:id="26"/>
    </w:p>
    <w:p w14:paraId="5124E82E" w14:textId="77777777" w:rsidR="00EA2F88" w:rsidRPr="005C5C45" w:rsidRDefault="00EA2F88" w:rsidP="00EA62D6">
      <w:pPr>
        <w:rPr>
          <w:b/>
        </w:rPr>
      </w:pPr>
      <w:r w:rsidRPr="005C5C45">
        <w:rPr>
          <w:b/>
        </w:rPr>
        <w:t xml:space="preserve">Commitment Text: </w:t>
      </w:r>
    </w:p>
    <w:p w14:paraId="0FEC0FD8" w14:textId="77777777" w:rsidR="00EA2F88" w:rsidRPr="005C5C45" w:rsidRDefault="00EA2F88" w:rsidP="00EA62D6">
      <w:pPr>
        <w:rPr>
          <w:i/>
          <w:color w:val="auto"/>
        </w:rPr>
      </w:pPr>
      <w:r w:rsidRPr="005C5C45">
        <w:rPr>
          <w:i/>
          <w:color w:val="auto"/>
        </w:rPr>
        <w:t>We will help government agencies improve public access to, and outcomes of, non-personal, government-held data by openly tracking progress on efforts to open up data stores.</w:t>
      </w:r>
    </w:p>
    <w:p w14:paraId="6E2890DB" w14:textId="77777777" w:rsidR="00EA2F88" w:rsidRPr="005C5C45" w:rsidRDefault="00EA2F88" w:rsidP="00EA62D6">
      <w:pPr>
        <w:rPr>
          <w:i/>
          <w:color w:val="auto"/>
        </w:rPr>
      </w:pPr>
    </w:p>
    <w:p w14:paraId="254A1506" w14:textId="77777777" w:rsidR="00EA2F88" w:rsidRPr="005C5C45" w:rsidRDefault="00EA2F88" w:rsidP="00EA62D6">
      <w:pPr>
        <w:rPr>
          <w:i/>
        </w:rPr>
      </w:pPr>
      <w:r w:rsidRPr="005C5C45">
        <w:rPr>
          <w:i/>
        </w:rPr>
        <w:t xml:space="preserve">Objective: To help drive the government agency culture change required </w:t>
      </w:r>
      <w:proofErr w:type="gramStart"/>
      <w:r w:rsidRPr="005C5C45">
        <w:rPr>
          <w:i/>
        </w:rPr>
        <w:t>to gain</w:t>
      </w:r>
      <w:proofErr w:type="gramEnd"/>
      <w:r w:rsidRPr="005C5C45">
        <w:rPr>
          <w:i/>
        </w:rPr>
        <w:t xml:space="preserve"> value from open government data.</w:t>
      </w:r>
    </w:p>
    <w:p w14:paraId="26155D93" w14:textId="77777777" w:rsidR="00EA2F88" w:rsidRPr="005C5C45" w:rsidRDefault="00EA2F88" w:rsidP="00EA62D6">
      <w:pPr>
        <w:rPr>
          <w:i/>
        </w:rPr>
      </w:pPr>
    </w:p>
    <w:p w14:paraId="1CB39471" w14:textId="77777777" w:rsidR="00EA2F88" w:rsidRPr="005C5C45" w:rsidRDefault="00EA2F88" w:rsidP="00EA62D6">
      <w:pPr>
        <w:rPr>
          <w:i/>
        </w:rPr>
      </w:pPr>
      <w:r w:rsidRPr="005C5C45">
        <w:rPr>
          <w:i/>
        </w:rPr>
        <w:t>Status quo: Open data is not currently managed through a set of consistent or cohesive objectives across government. One result of this is that government agencies have a limited understanding of how and why to address barriers to releasing open data.</w:t>
      </w:r>
    </w:p>
    <w:p w14:paraId="305263D5" w14:textId="77777777" w:rsidR="00EA2F88" w:rsidRPr="005C5C45" w:rsidRDefault="00EA2F88" w:rsidP="00EA62D6">
      <w:pPr>
        <w:rPr>
          <w:i/>
        </w:rPr>
      </w:pPr>
    </w:p>
    <w:p w14:paraId="63CC9F5E" w14:textId="77777777" w:rsidR="00EA2F88" w:rsidRPr="005C5C45" w:rsidRDefault="00EA2F88" w:rsidP="00EA62D6">
      <w:pPr>
        <w:rPr>
          <w:i/>
        </w:rPr>
      </w:pPr>
      <w:r w:rsidRPr="005C5C45">
        <w:rPr>
          <w:i/>
        </w:rPr>
        <w:t>Ambition: Government agencies will be knowledgeable about what data they should and should not publicly release and why, how to remove obstacles to reuse, and will be consistently applying these filters to their data holdings. This will increase the amount and quality of data released.</w:t>
      </w:r>
    </w:p>
    <w:p w14:paraId="3C0AD3CE" w14:textId="77777777" w:rsidR="00D92A03" w:rsidRPr="005C5C45" w:rsidRDefault="00D92A03" w:rsidP="00EA62D6">
      <w:pPr>
        <w:rPr>
          <w:i/>
        </w:rPr>
      </w:pPr>
    </w:p>
    <w:p w14:paraId="066C6CF1" w14:textId="77777777" w:rsidR="00D92A03" w:rsidRPr="005C5C45" w:rsidRDefault="00D92A03" w:rsidP="00EA62D6">
      <w:pPr>
        <w:rPr>
          <w:i/>
        </w:rPr>
      </w:pPr>
      <w:r w:rsidRPr="005C5C45">
        <w:rPr>
          <w:i/>
        </w:rPr>
        <w:t>Milestones:</w:t>
      </w:r>
    </w:p>
    <w:p w14:paraId="089C0AA2" w14:textId="77777777" w:rsidR="00D92A03" w:rsidRPr="005C5C45" w:rsidRDefault="002B0B71" w:rsidP="005F7B12">
      <w:pPr>
        <w:pStyle w:val="APQuotefeaturetol"/>
        <w:numPr>
          <w:ilvl w:val="0"/>
          <w:numId w:val="63"/>
        </w:numPr>
      </w:pPr>
      <w:r w:rsidRPr="005C5C45">
        <w:t>Develop an open government data action plan, based on feedback gathered from the open data community and government officials</w:t>
      </w:r>
    </w:p>
    <w:p w14:paraId="65509B5A" w14:textId="77777777" w:rsidR="002B0B71" w:rsidRPr="005C5C45" w:rsidRDefault="002B0B71" w:rsidP="005F7B12">
      <w:pPr>
        <w:pStyle w:val="APQuotefeaturetol"/>
        <w:numPr>
          <w:ilvl w:val="0"/>
          <w:numId w:val="63"/>
        </w:numPr>
      </w:pPr>
      <w:r w:rsidRPr="005C5C45">
        <w:t>Publish the action plan</w:t>
      </w:r>
    </w:p>
    <w:p w14:paraId="6064B5DE" w14:textId="77777777" w:rsidR="002B0B71" w:rsidRPr="005C5C45" w:rsidRDefault="002B0B71" w:rsidP="005F7B12">
      <w:pPr>
        <w:pStyle w:val="APQuotefeaturetol"/>
        <w:numPr>
          <w:ilvl w:val="0"/>
          <w:numId w:val="63"/>
        </w:numPr>
      </w:pPr>
      <w:r w:rsidRPr="005C5C45">
        <w:t>Develop a public dashboard for reporting against the action plan goals</w:t>
      </w:r>
    </w:p>
    <w:p w14:paraId="12A1EE40" w14:textId="77777777" w:rsidR="002B0B71" w:rsidRPr="005C5C45" w:rsidRDefault="002B0B71" w:rsidP="005F7B12">
      <w:pPr>
        <w:pStyle w:val="APQuotefeaturetol"/>
        <w:numPr>
          <w:ilvl w:val="0"/>
          <w:numId w:val="63"/>
        </w:numPr>
      </w:pPr>
      <w:r w:rsidRPr="005C5C45">
        <w:t>Seek public feedback on the proposed public dashboard</w:t>
      </w:r>
    </w:p>
    <w:p w14:paraId="693DD69A" w14:textId="77777777" w:rsidR="002B0B71" w:rsidRPr="005C5C45" w:rsidRDefault="002B0B71" w:rsidP="005F7B12">
      <w:pPr>
        <w:pStyle w:val="APQuotefeaturetol"/>
        <w:numPr>
          <w:ilvl w:val="0"/>
          <w:numId w:val="63"/>
        </w:numPr>
      </w:pPr>
      <w:r w:rsidRPr="005C5C45">
        <w:t>Regularly update the public dashboard on government progress toward the goals</w:t>
      </w:r>
    </w:p>
    <w:p w14:paraId="045ECB7C" w14:textId="77777777" w:rsidR="00EA2F88" w:rsidRPr="005C5C45" w:rsidRDefault="00EA2F88" w:rsidP="00EA62D6"/>
    <w:p w14:paraId="43B0F8FD" w14:textId="77777777" w:rsidR="00EA2F88" w:rsidRPr="005C5C45" w:rsidRDefault="00EA2F88" w:rsidP="00EA62D6">
      <w:pPr>
        <w:pStyle w:val="Normalrglronly"/>
      </w:pPr>
      <w:r w:rsidRPr="005C5C45">
        <w:rPr>
          <w:b/>
        </w:rPr>
        <w:t>Responsible institution:</w:t>
      </w:r>
      <w:r w:rsidRPr="005C5C45">
        <w:t xml:space="preserve"> </w:t>
      </w:r>
      <w:r w:rsidR="00395516" w:rsidRPr="005C5C45">
        <w:t>Land Information New Zealand (lead from 1 October 2016-10 March 2017), Statistics NZ (lead from 11 March 2017 onwards)</w:t>
      </w:r>
    </w:p>
    <w:p w14:paraId="774CCA70" w14:textId="77777777" w:rsidR="00EA2F88" w:rsidRPr="005C5C45" w:rsidRDefault="00EA2F88" w:rsidP="00EA62D6">
      <w:pPr>
        <w:pStyle w:val="Normalrglronly"/>
      </w:pPr>
      <w:r w:rsidRPr="005C5C45">
        <w:rPr>
          <w:b/>
        </w:rPr>
        <w:t>Supporting institution(s</w:t>
      </w:r>
      <w:r w:rsidR="00E2002D" w:rsidRPr="005C5C45">
        <w:t>):</w:t>
      </w:r>
      <w:r w:rsidR="00E2002D" w:rsidRPr="005C5C45">
        <w:tab/>
      </w:r>
      <w:r w:rsidR="002B0B71" w:rsidRPr="005C5C45">
        <w:t xml:space="preserve"> </w:t>
      </w:r>
      <w:r w:rsidR="00F90E28" w:rsidRPr="005C5C45">
        <w:rPr>
          <w:noProof/>
        </w:rPr>
        <w:t>None specified</w:t>
      </w:r>
    </w:p>
    <w:p w14:paraId="547A5F91" w14:textId="0D630334" w:rsidR="00E40251" w:rsidRDefault="00EA2F88" w:rsidP="00EA62D6">
      <w:pPr>
        <w:pStyle w:val="Normalrglronly"/>
      </w:pPr>
      <w:r w:rsidRPr="005C5C45">
        <w:rPr>
          <w:b/>
        </w:rPr>
        <w:t xml:space="preserve">Start date: </w:t>
      </w:r>
      <w:r w:rsidRPr="005C5C45">
        <w:t>October 2016</w:t>
      </w:r>
      <w:r w:rsidR="00E40251">
        <w:t xml:space="preserve">     </w:t>
      </w:r>
      <w:r w:rsidRPr="005C5C45">
        <w:tab/>
      </w:r>
      <w:r w:rsidR="002B0B71" w:rsidRPr="005C5C45">
        <w:t xml:space="preserve">     </w:t>
      </w:r>
    </w:p>
    <w:p w14:paraId="57FF244C" w14:textId="75B11304" w:rsidR="00EA2F88" w:rsidRPr="005C5C45" w:rsidRDefault="00EA2F88" w:rsidP="00EA62D6">
      <w:pPr>
        <w:pStyle w:val="Normalrglronly"/>
      </w:pPr>
      <w:r w:rsidRPr="005C5C45">
        <w:rPr>
          <w:b/>
        </w:rPr>
        <w:t>End date:</w:t>
      </w:r>
      <w:r w:rsidRPr="005C5C45">
        <w:t xml:space="preserve"> June 2018</w:t>
      </w:r>
    </w:p>
    <w:tbl>
      <w:tblPr>
        <w:tblStyle w:val="TableGrid"/>
        <w:tblW w:w="10458" w:type="dxa"/>
        <w:jc w:val="center"/>
        <w:tblLayout w:type="fixed"/>
        <w:tblLook w:val="04A0" w:firstRow="1" w:lastRow="0" w:firstColumn="1" w:lastColumn="0" w:noHBand="0" w:noVBand="1"/>
      </w:tblPr>
      <w:tblGrid>
        <w:gridCol w:w="1600"/>
        <w:gridCol w:w="445"/>
        <w:gridCol w:w="352"/>
        <w:gridCol w:w="352"/>
        <w:gridCol w:w="444"/>
        <w:gridCol w:w="617"/>
        <w:gridCol w:w="443"/>
        <w:gridCol w:w="707"/>
        <w:gridCol w:w="924"/>
        <w:gridCol w:w="434"/>
        <w:gridCol w:w="450"/>
        <w:gridCol w:w="511"/>
        <w:gridCol w:w="476"/>
        <w:gridCol w:w="903"/>
        <w:gridCol w:w="450"/>
        <w:gridCol w:w="450"/>
        <w:gridCol w:w="450"/>
        <w:gridCol w:w="450"/>
      </w:tblGrid>
      <w:tr w:rsidR="00EA2F88" w:rsidRPr="005C5C45" w14:paraId="010E0BC6" w14:textId="77777777" w:rsidTr="00372BDD">
        <w:trPr>
          <w:trHeight w:val="441"/>
          <w:jc w:val="center"/>
        </w:trPr>
        <w:tc>
          <w:tcPr>
            <w:tcW w:w="1600" w:type="dxa"/>
            <w:vMerge w:val="restart"/>
            <w:tcBorders>
              <w:top w:val="single" w:sz="4" w:space="0" w:color="FFFFFF" w:themeColor="background1"/>
              <w:left w:val="single" w:sz="4" w:space="0" w:color="FFFFFF" w:themeColor="background1"/>
              <w:right w:val="single" w:sz="12" w:space="0" w:color="FFFFFF" w:themeColor="background1"/>
            </w:tcBorders>
            <w:shd w:val="clear" w:color="auto" w:fill="000000" w:themeFill="text1"/>
          </w:tcPr>
          <w:p w14:paraId="722049F4" w14:textId="77777777" w:rsidR="00EA2F88" w:rsidRPr="005C5C45" w:rsidRDefault="00EA2F88" w:rsidP="00372BDD">
            <w:pPr>
              <w:rPr>
                <w:color w:val="FFFFFF" w:themeColor="background1"/>
              </w:rPr>
            </w:pPr>
            <w:r w:rsidRPr="005C5C45">
              <w:rPr>
                <w:color w:val="FFFFFF" w:themeColor="background1"/>
              </w:rPr>
              <w:t>Commitment Overview</w:t>
            </w:r>
          </w:p>
        </w:tc>
        <w:tc>
          <w:tcPr>
            <w:tcW w:w="1593"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1A7D1" w:themeFill="text2" w:themeFillTint="99"/>
          </w:tcPr>
          <w:p w14:paraId="5BC20761" w14:textId="77777777" w:rsidR="00EA2F88" w:rsidRPr="005C5C45" w:rsidRDefault="00EA2F88" w:rsidP="00372BDD">
            <w:r w:rsidRPr="005C5C45">
              <w:t>Specificity</w:t>
            </w:r>
          </w:p>
        </w:tc>
        <w:tc>
          <w:tcPr>
            <w:tcW w:w="2691"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B67B" w:themeFill="accent1" w:themeFillTint="99"/>
          </w:tcPr>
          <w:p w14:paraId="3DA20A40" w14:textId="77777777" w:rsidR="00EA2F88" w:rsidRPr="005C5C45" w:rsidRDefault="00EA2F88" w:rsidP="00372BDD">
            <w:pPr>
              <w:rPr>
                <w:color w:val="000000" w:themeColor="text1"/>
              </w:rPr>
            </w:pPr>
            <w:r w:rsidRPr="005C5C45">
              <w:t>OGP Value Relevance</w:t>
            </w:r>
          </w:p>
        </w:tc>
        <w:tc>
          <w:tcPr>
            <w:tcW w:w="1871"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0D479" w:themeFill="accent2" w:themeFillTint="99"/>
          </w:tcPr>
          <w:p w14:paraId="0C701650" w14:textId="77777777" w:rsidR="00EA2F88" w:rsidRPr="005C5C45" w:rsidRDefault="00EA2F88" w:rsidP="00372BDD">
            <w:r w:rsidRPr="005C5C45">
              <w:t>Potential Impact</w:t>
            </w:r>
          </w:p>
        </w:tc>
        <w:tc>
          <w:tcPr>
            <w:tcW w:w="903"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tcPr>
          <w:p w14:paraId="4314C577" w14:textId="77777777" w:rsidR="00EA2F88" w:rsidRPr="005C5C45" w:rsidRDefault="00EA2F88" w:rsidP="00372BDD">
            <w:r w:rsidRPr="005C5C45">
              <w:t>On Time?</w:t>
            </w:r>
          </w:p>
        </w:tc>
        <w:tc>
          <w:tcPr>
            <w:tcW w:w="1800" w:type="dxa"/>
            <w:gridSpan w:val="4"/>
            <w:tcBorders>
              <w:top w:val="single" w:sz="4"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tcPr>
          <w:p w14:paraId="0EE84E3C" w14:textId="77777777" w:rsidR="00EA2F88" w:rsidRPr="005C5C45" w:rsidRDefault="00EA2F88" w:rsidP="00372BDD">
            <w:r w:rsidRPr="005C5C45">
              <w:t>Completion</w:t>
            </w:r>
          </w:p>
        </w:tc>
      </w:tr>
      <w:tr w:rsidR="00EA2F88" w:rsidRPr="005C5C45" w14:paraId="1755D876" w14:textId="77777777" w:rsidTr="00372BDD">
        <w:trPr>
          <w:cantSplit/>
          <w:trHeight w:val="1861"/>
          <w:jc w:val="center"/>
        </w:trPr>
        <w:tc>
          <w:tcPr>
            <w:tcW w:w="1600" w:type="dxa"/>
            <w:vMerge/>
            <w:tcBorders>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12E65258" w14:textId="77777777" w:rsidR="00EA2F88" w:rsidRPr="005C5C45" w:rsidRDefault="00EA2F88" w:rsidP="00372BDD">
            <w:pPr>
              <w:rPr>
                <w:color w:val="FFFFFF" w:themeColor="background1"/>
              </w:rPr>
            </w:pPr>
          </w:p>
        </w:tc>
        <w:tc>
          <w:tcPr>
            <w:tcW w:w="445"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28F1C247" w14:textId="77777777" w:rsidR="00EA2F88" w:rsidRPr="005C5C45" w:rsidRDefault="00EA2F88" w:rsidP="00372BDD">
            <w:r w:rsidRPr="005C5C45">
              <w:t>None</w:t>
            </w: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5DB6E7A2" w14:textId="77777777" w:rsidR="00EA2F88" w:rsidRPr="005C5C45" w:rsidRDefault="00EA2F88" w:rsidP="00372BDD">
            <w:r w:rsidRPr="005C5C45">
              <w:t>Low</w:t>
            </w: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4CE11F22" w14:textId="77777777" w:rsidR="00EA2F88" w:rsidRPr="005C5C45" w:rsidRDefault="00EA2F88" w:rsidP="00372BDD">
            <w:r w:rsidRPr="005C5C45">
              <w:t>Medium</w:t>
            </w:r>
          </w:p>
        </w:tc>
        <w:tc>
          <w:tcPr>
            <w:tcW w:w="44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81A7D1" w:themeFill="text2" w:themeFillTint="99"/>
            <w:textDirection w:val="btLr"/>
          </w:tcPr>
          <w:p w14:paraId="73744572" w14:textId="77777777" w:rsidR="00EA2F88" w:rsidRPr="005C5C45" w:rsidRDefault="00EA2F88" w:rsidP="00372BDD">
            <w:r w:rsidRPr="005C5C45">
              <w:t>High</w:t>
            </w:r>
          </w:p>
        </w:tc>
        <w:tc>
          <w:tcPr>
            <w:tcW w:w="617"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4E992E69" w14:textId="77777777" w:rsidR="00EA2F88" w:rsidRPr="005C5C45" w:rsidRDefault="00EA2F88" w:rsidP="00372BDD">
            <w:r w:rsidRPr="005C5C45">
              <w:t>Access to Information</w:t>
            </w:r>
          </w:p>
        </w:tc>
        <w:tc>
          <w:tcPr>
            <w:tcW w:w="443"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65963FB1" w14:textId="77777777" w:rsidR="00EA2F88" w:rsidRPr="005C5C45" w:rsidRDefault="00EA2F88" w:rsidP="00372BDD">
            <w:r w:rsidRPr="005C5C45">
              <w:t>Civic Participation</w:t>
            </w:r>
          </w:p>
        </w:tc>
        <w:tc>
          <w:tcPr>
            <w:tcW w:w="707"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5016696D" w14:textId="77777777" w:rsidR="00EA2F88" w:rsidRPr="005C5C45" w:rsidRDefault="00EA2F88" w:rsidP="00372BDD">
            <w:r w:rsidRPr="005C5C45">
              <w:t>Public Accountability</w:t>
            </w:r>
          </w:p>
        </w:tc>
        <w:tc>
          <w:tcPr>
            <w:tcW w:w="92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0B67B" w:themeFill="accent1" w:themeFillTint="99"/>
            <w:textDirection w:val="btLr"/>
          </w:tcPr>
          <w:p w14:paraId="06D76BAB" w14:textId="77777777" w:rsidR="00EA2F88" w:rsidRPr="005C5C45" w:rsidRDefault="00EA2F88" w:rsidP="00372BDD">
            <w:r w:rsidRPr="005C5C45">
              <w:t xml:space="preserve">Tech. and </w:t>
            </w:r>
            <w:proofErr w:type="spellStart"/>
            <w:r w:rsidRPr="005C5C45">
              <w:t>Innov</w:t>
            </w:r>
            <w:proofErr w:type="spellEnd"/>
            <w:r w:rsidRPr="005C5C45">
              <w:t xml:space="preserve">. </w:t>
            </w:r>
            <w:proofErr w:type="gramStart"/>
            <w:r w:rsidRPr="005C5C45">
              <w:t>for</w:t>
            </w:r>
            <w:proofErr w:type="gramEnd"/>
            <w:r w:rsidRPr="005C5C45">
              <w:t xml:space="preserve"> Transparency and Accountability</w:t>
            </w:r>
          </w:p>
        </w:tc>
        <w:tc>
          <w:tcPr>
            <w:tcW w:w="434"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114A3646" w14:textId="77777777" w:rsidR="00EA2F88" w:rsidRPr="005C5C45" w:rsidRDefault="00EA2F88" w:rsidP="00372BDD">
            <w:r w:rsidRPr="005C5C45">
              <w:t>None</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6710C2EA" w14:textId="77777777" w:rsidR="00EA2F88" w:rsidRPr="005C5C45" w:rsidRDefault="00EA2F88" w:rsidP="00372BDD">
            <w:r w:rsidRPr="005C5C45">
              <w:t>Minor</w:t>
            </w:r>
          </w:p>
        </w:tc>
        <w:tc>
          <w:tcPr>
            <w:tcW w:w="511"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091280A6" w14:textId="77777777" w:rsidR="00EA2F88" w:rsidRPr="005C5C45" w:rsidRDefault="00EA2F88" w:rsidP="00372BDD">
            <w:r w:rsidRPr="005C5C45">
              <w:t>Moderate</w:t>
            </w:r>
          </w:p>
        </w:tc>
        <w:tc>
          <w:tcPr>
            <w:tcW w:w="47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90D479" w:themeFill="accent2" w:themeFillTint="99"/>
            <w:textDirection w:val="btLr"/>
          </w:tcPr>
          <w:p w14:paraId="25DE1A87" w14:textId="77777777" w:rsidR="00EA2F88" w:rsidRPr="005C5C45" w:rsidRDefault="00EA2F88" w:rsidP="00372BDD">
            <w:r w:rsidRPr="005C5C45">
              <w:t>Transformative</w:t>
            </w:r>
          </w:p>
        </w:tc>
        <w:tc>
          <w:tcPr>
            <w:tcW w:w="9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textDirection w:val="btLr"/>
          </w:tcPr>
          <w:p w14:paraId="54AC65B0" w14:textId="77777777" w:rsidR="00EA2F88" w:rsidRPr="005C5C45" w:rsidRDefault="00EA2F88" w:rsidP="00372BDD"/>
        </w:tc>
        <w:tc>
          <w:tcPr>
            <w:tcW w:w="450"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74C5F710" w14:textId="77777777" w:rsidR="00EA2F88" w:rsidRPr="005C5C45" w:rsidRDefault="00EA2F88" w:rsidP="00372BDD">
            <w:r w:rsidRPr="005C5C45">
              <w:t>Not Started</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69A410C1" w14:textId="77777777" w:rsidR="00EA2F88" w:rsidRPr="005C5C45" w:rsidRDefault="00EA2F88" w:rsidP="00372BDD">
            <w:r w:rsidRPr="005C5C45">
              <w:t>Limited</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5623A456" w14:textId="77777777" w:rsidR="00EA2F88" w:rsidRPr="005C5C45" w:rsidRDefault="00EA2F88" w:rsidP="00372BDD">
            <w:r w:rsidRPr="005C5C45">
              <w:t>Substantial</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30646A7C" w14:textId="77777777" w:rsidR="00EA2F88" w:rsidRPr="005C5C45" w:rsidRDefault="00EA2F88" w:rsidP="00372BDD">
            <w:r w:rsidRPr="005C5C45">
              <w:t>Complete</w:t>
            </w:r>
          </w:p>
        </w:tc>
      </w:tr>
      <w:tr w:rsidR="00EA2F88" w:rsidRPr="005C5C45" w14:paraId="26861C78" w14:textId="77777777" w:rsidTr="00372BDD">
        <w:trPr>
          <w:trHeight w:val="652"/>
          <w:jc w:val="center"/>
        </w:trPr>
        <w:tc>
          <w:tcPr>
            <w:tcW w:w="1600"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535DF04C" w14:textId="77777777" w:rsidR="00EA2F88" w:rsidRPr="005C5C45" w:rsidRDefault="00EA2F88" w:rsidP="00372BDD">
            <w:pPr>
              <w:rPr>
                <w:color w:val="FFFFFF" w:themeColor="background1"/>
              </w:rPr>
            </w:pPr>
            <w:r w:rsidRPr="005C5C45">
              <w:rPr>
                <w:color w:val="FFFFFF" w:themeColor="background1"/>
              </w:rPr>
              <w:t xml:space="preserve">4. </w:t>
            </w:r>
            <w:r w:rsidR="00FB3587" w:rsidRPr="005C5C45">
              <w:rPr>
                <w:color w:val="FFFFFF" w:themeColor="background1"/>
              </w:rPr>
              <w:t>Tracking Progress and Outcomes for Open Government Data Release</w:t>
            </w:r>
          </w:p>
        </w:tc>
        <w:tc>
          <w:tcPr>
            <w:tcW w:w="445"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55D86DBF" w14:textId="77777777" w:rsidR="00EA2F88" w:rsidRPr="005C5C45" w:rsidRDefault="00EA2F88" w:rsidP="00372BDD">
            <w:pPr>
              <w:jc w:val="center"/>
              <w:rPr>
                <w:sz w:val="20"/>
              </w:rPr>
            </w:pP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6AF725EE" w14:textId="77777777" w:rsidR="00EA2F88" w:rsidRPr="005C5C45" w:rsidRDefault="00EA2F88" w:rsidP="00372BDD">
            <w:pPr>
              <w:jc w:val="center"/>
              <w:rPr>
                <w:sz w:val="20"/>
              </w:rPr>
            </w:pP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26770ABB" w14:textId="77777777" w:rsidR="00EA2F88" w:rsidRPr="005C5C45" w:rsidRDefault="00EA2F88" w:rsidP="00372BDD">
            <w:pPr>
              <w:jc w:val="center"/>
              <w:rPr>
                <w:sz w:val="20"/>
              </w:rPr>
            </w:pPr>
          </w:p>
        </w:tc>
        <w:tc>
          <w:tcPr>
            <w:tcW w:w="44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81A7D1" w:themeFill="text2" w:themeFillTint="99"/>
            <w:vAlign w:val="center"/>
          </w:tcPr>
          <w:p w14:paraId="3FE377BC" w14:textId="77777777" w:rsidR="00EA2F88" w:rsidRPr="005C5C45" w:rsidRDefault="00EA2F88" w:rsidP="00372BDD">
            <w:pPr>
              <w:jc w:val="center"/>
              <w:rPr>
                <w:rFonts w:ascii="Zapf Dingbats" w:hAnsi="Zapf Dingbats"/>
                <w:noProof/>
                <w:sz w:val="20"/>
              </w:rPr>
            </w:pPr>
            <w:r w:rsidRPr="005C5C45">
              <w:rPr>
                <w:rFonts w:ascii="Zapf Dingbats" w:hAnsi="Zapf Dingbats"/>
                <w:noProof/>
                <w:sz w:val="20"/>
              </w:rPr>
              <w:t>✔</w:t>
            </w:r>
          </w:p>
        </w:tc>
        <w:tc>
          <w:tcPr>
            <w:tcW w:w="617"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14752BEF" w14:textId="77777777" w:rsidR="00EA2F88" w:rsidRPr="005C5C45" w:rsidRDefault="00EA2F88" w:rsidP="00372BDD">
            <w:pPr>
              <w:jc w:val="center"/>
              <w:rPr>
                <w:rFonts w:ascii="Zapf Dingbats" w:hAnsi="Zapf Dingbats"/>
                <w:noProof/>
                <w:sz w:val="20"/>
              </w:rPr>
            </w:pPr>
            <w:r w:rsidRPr="005C5C45">
              <w:rPr>
                <w:rFonts w:ascii="Zapf Dingbats" w:hAnsi="Zapf Dingbats"/>
                <w:noProof/>
                <w:sz w:val="20"/>
              </w:rPr>
              <w:t>✔</w:t>
            </w:r>
          </w:p>
        </w:tc>
        <w:tc>
          <w:tcPr>
            <w:tcW w:w="443"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6E2331FC" w14:textId="77777777" w:rsidR="00EA2F88" w:rsidRPr="005C5C45" w:rsidRDefault="00EA2F88" w:rsidP="00372BDD">
            <w:pPr>
              <w:jc w:val="center"/>
              <w:rPr>
                <w:sz w:val="20"/>
              </w:rPr>
            </w:pPr>
            <w:r w:rsidRPr="005C5C45">
              <w:rPr>
                <w:rFonts w:ascii="Zapf Dingbats" w:hAnsi="Zapf Dingbats"/>
                <w:noProof/>
                <w:sz w:val="20"/>
              </w:rPr>
              <w:t>✔</w:t>
            </w:r>
          </w:p>
        </w:tc>
        <w:tc>
          <w:tcPr>
            <w:tcW w:w="707"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5741794C" w14:textId="77777777" w:rsidR="00EA2F88" w:rsidRPr="005C5C45" w:rsidRDefault="00EA2F88" w:rsidP="00372BDD">
            <w:pPr>
              <w:jc w:val="center"/>
              <w:rPr>
                <w:sz w:val="20"/>
              </w:rPr>
            </w:pPr>
          </w:p>
        </w:tc>
        <w:tc>
          <w:tcPr>
            <w:tcW w:w="92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0B67B" w:themeFill="accent1" w:themeFillTint="99"/>
            <w:vAlign w:val="center"/>
          </w:tcPr>
          <w:p w14:paraId="05D7300E" w14:textId="77777777" w:rsidR="00EA2F88" w:rsidRPr="005C5C45" w:rsidRDefault="00EA2F88" w:rsidP="00372BDD">
            <w:pPr>
              <w:jc w:val="center"/>
              <w:rPr>
                <w:sz w:val="20"/>
              </w:rPr>
            </w:pPr>
            <w:r w:rsidRPr="005C5C45">
              <w:rPr>
                <w:rFonts w:ascii="Zapf Dingbats" w:hAnsi="Zapf Dingbats"/>
                <w:noProof/>
                <w:sz w:val="20"/>
              </w:rPr>
              <w:t>✔</w:t>
            </w:r>
          </w:p>
        </w:tc>
        <w:tc>
          <w:tcPr>
            <w:tcW w:w="434"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2B5B3B97" w14:textId="77777777" w:rsidR="00EA2F88" w:rsidRPr="005C5C45" w:rsidRDefault="00EA2F88" w:rsidP="00372BDD">
            <w:pPr>
              <w:jc w:val="center"/>
              <w:rPr>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6609D3AA" w14:textId="77777777" w:rsidR="00EA2F88" w:rsidRPr="005C5C45" w:rsidRDefault="00EA2F88" w:rsidP="00372BDD">
            <w:pPr>
              <w:jc w:val="center"/>
              <w:rPr>
                <w:rFonts w:ascii="Zapf Dingbats" w:hAnsi="Zapf Dingbats"/>
                <w:noProof/>
                <w:sz w:val="20"/>
              </w:rPr>
            </w:pPr>
          </w:p>
        </w:tc>
        <w:tc>
          <w:tcPr>
            <w:tcW w:w="511"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220A095C" w14:textId="77777777" w:rsidR="00EA2F88" w:rsidRPr="005C5C45" w:rsidRDefault="00EA2F88" w:rsidP="00372BDD">
            <w:pPr>
              <w:jc w:val="center"/>
              <w:rPr>
                <w:sz w:val="20"/>
              </w:rPr>
            </w:pPr>
            <w:r w:rsidRPr="005C5C45">
              <w:rPr>
                <w:rFonts w:ascii="Zapf Dingbats" w:hAnsi="Zapf Dingbats"/>
                <w:noProof/>
                <w:sz w:val="20"/>
              </w:rPr>
              <w:t>✔</w:t>
            </w:r>
          </w:p>
        </w:tc>
        <w:tc>
          <w:tcPr>
            <w:tcW w:w="47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90D479" w:themeFill="accent2" w:themeFillTint="99"/>
            <w:vAlign w:val="center"/>
          </w:tcPr>
          <w:p w14:paraId="7615D7C6" w14:textId="77777777" w:rsidR="00EA2F88" w:rsidRPr="005C5C45" w:rsidRDefault="00EA2F88" w:rsidP="00372BDD">
            <w:pPr>
              <w:jc w:val="center"/>
              <w:rPr>
                <w:sz w:val="20"/>
              </w:rPr>
            </w:pPr>
          </w:p>
        </w:tc>
        <w:tc>
          <w:tcPr>
            <w:tcW w:w="9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vAlign w:val="center"/>
          </w:tcPr>
          <w:p w14:paraId="0DFB60B0" w14:textId="61AE7A83" w:rsidR="00EA2F88" w:rsidRPr="005C5C45" w:rsidRDefault="00E40251" w:rsidP="00372BDD">
            <w:pPr>
              <w:jc w:val="center"/>
              <w:rPr>
                <w:sz w:val="20"/>
              </w:rPr>
            </w:pPr>
            <w:r w:rsidRPr="00754971">
              <w:rPr>
                <w:noProof/>
                <w:szCs w:val="22"/>
              </w:rPr>
              <w:t>Yes</w:t>
            </w:r>
          </w:p>
        </w:tc>
        <w:tc>
          <w:tcPr>
            <w:tcW w:w="450"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7FB8F00A" w14:textId="77777777" w:rsidR="00EA2F88" w:rsidRPr="005C5C45" w:rsidRDefault="00EA2F88" w:rsidP="00372BDD">
            <w:pPr>
              <w:jc w:val="center"/>
              <w:rPr>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74DDA0FF" w14:textId="77777777" w:rsidR="00EA2F88" w:rsidRPr="005C5C45" w:rsidRDefault="00EA2F88" w:rsidP="00372BDD">
            <w:pPr>
              <w:jc w:val="center"/>
              <w:rPr>
                <w:color w:val="BFBFBF" w:themeColor="background1" w:themeShade="BF"/>
                <w:sz w:val="20"/>
              </w:rPr>
            </w:pPr>
            <w:r w:rsidRPr="005C5C45">
              <w:rPr>
                <w:rFonts w:ascii="Zapf Dingbats" w:hAnsi="Zapf Dingbats"/>
                <w:noProof/>
                <w:sz w:val="20"/>
              </w:rPr>
              <w:t>✔</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75765018" w14:textId="77777777" w:rsidR="00EA2F88" w:rsidRPr="005C5C45" w:rsidRDefault="00EA2F88" w:rsidP="00372BDD">
            <w:pPr>
              <w:jc w:val="center"/>
              <w:rPr>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56EB937E" w14:textId="77777777" w:rsidR="00EA2F88" w:rsidRPr="005C5C45" w:rsidRDefault="00EA2F88" w:rsidP="00372BDD">
            <w:pPr>
              <w:jc w:val="center"/>
              <w:rPr>
                <w:rFonts w:ascii="Zapf Dingbats" w:hAnsi="Zapf Dingbats"/>
                <w:noProof/>
                <w:sz w:val="20"/>
              </w:rPr>
            </w:pPr>
          </w:p>
        </w:tc>
      </w:tr>
    </w:tbl>
    <w:p w14:paraId="01FEFD51" w14:textId="77777777" w:rsidR="00EA2F88" w:rsidRPr="005C5C45" w:rsidRDefault="00EA2F88" w:rsidP="00D17B72">
      <w:pPr>
        <w:pStyle w:val="Heading3"/>
      </w:pPr>
      <w:r w:rsidRPr="005C5C45">
        <w:lastRenderedPageBreak/>
        <w:t xml:space="preserve">Context and Objectives </w:t>
      </w:r>
    </w:p>
    <w:p w14:paraId="2E48B81C" w14:textId="37F82D8C" w:rsidR="00F82B9A" w:rsidRPr="005C5C45" w:rsidRDefault="00D72C4F" w:rsidP="006E0487">
      <w:pPr>
        <w:pStyle w:val="Normalrglronly"/>
      </w:pPr>
      <w:r w:rsidRPr="005C5C45">
        <w:t>Shifting N</w:t>
      </w:r>
      <w:r w:rsidR="006E0487" w:rsidRPr="005C5C45">
        <w:t xml:space="preserve">ew </w:t>
      </w:r>
      <w:r w:rsidRPr="005C5C45">
        <w:t>Z</w:t>
      </w:r>
      <w:r w:rsidR="006E0487" w:rsidRPr="005C5C45">
        <w:t>ealand</w:t>
      </w:r>
      <w:r w:rsidRPr="005C5C45">
        <w:t>’s government agenc</w:t>
      </w:r>
      <w:r w:rsidR="00C066C4" w:rsidRPr="005C5C45">
        <w:t>ies’</w:t>
      </w:r>
      <w:r w:rsidRPr="005C5C45">
        <w:t xml:space="preserve"> </w:t>
      </w:r>
      <w:r w:rsidR="00E1351D" w:rsidRPr="005C5C45">
        <w:t xml:space="preserve">data release </w:t>
      </w:r>
      <w:r w:rsidRPr="005C5C45">
        <w:t xml:space="preserve">culture to an </w:t>
      </w:r>
      <w:r w:rsidR="00415346">
        <w:t>‘</w:t>
      </w:r>
      <w:r w:rsidRPr="005C5C45">
        <w:t>open by default</w:t>
      </w:r>
      <w:r w:rsidR="00415346">
        <w:t>’</w:t>
      </w:r>
      <w:r w:rsidRPr="005C5C45">
        <w:t xml:space="preserve"> approach remains a </w:t>
      </w:r>
      <w:r w:rsidR="001B1041" w:rsidRPr="005C5C45">
        <w:t>sizeable</w:t>
      </w:r>
      <w:r w:rsidR="001B1041" w:rsidRPr="005C5C45" w:rsidDel="00E1351D">
        <w:t xml:space="preserve"> </w:t>
      </w:r>
      <w:r w:rsidRPr="005C5C45">
        <w:t xml:space="preserve">challenge. </w:t>
      </w:r>
      <w:r w:rsidR="00F82B9A" w:rsidRPr="005C5C45">
        <w:t>While N</w:t>
      </w:r>
      <w:r w:rsidR="006E0487" w:rsidRPr="005C5C45">
        <w:t xml:space="preserve">ew </w:t>
      </w:r>
      <w:r w:rsidR="00F82B9A" w:rsidRPr="005C5C45">
        <w:t>Z</w:t>
      </w:r>
      <w:r w:rsidR="006E0487" w:rsidRPr="005C5C45">
        <w:t>ealand</w:t>
      </w:r>
      <w:r w:rsidR="00F82B9A" w:rsidRPr="005C5C45">
        <w:t xml:space="preserve"> has excellent examples of innovative re-use of government’s open data, and scored 99% in the 2016 Open Data Barometer’s potential impact ranking</w:t>
      </w:r>
      <w:r w:rsidR="00EA29B3" w:rsidRPr="005C5C45">
        <w:t>,</w:t>
      </w:r>
      <w:r w:rsidR="00F82B9A" w:rsidRPr="005C5C45">
        <w:t xml:space="preserve"> </w:t>
      </w:r>
      <w:r w:rsidR="00EA29B3" w:rsidRPr="005C5C45">
        <w:t>it only scored 58% for its implementation of government policy.</w:t>
      </w:r>
      <w:r w:rsidR="00EA29B3" w:rsidRPr="005C5C45">
        <w:rPr>
          <w:rStyle w:val="EndnoteReference"/>
          <w:bCs w:val="0"/>
        </w:rPr>
        <w:endnoteReference w:id="126"/>
      </w:r>
      <w:r w:rsidR="00EA29B3" w:rsidRPr="005C5C45">
        <w:t xml:space="preserve"> M</w:t>
      </w:r>
      <w:r w:rsidR="00C066C4" w:rsidRPr="005C5C45">
        <w:t>any a</w:t>
      </w:r>
      <w:r w:rsidR="00E1351D" w:rsidRPr="005C5C45">
        <w:t>genci</w:t>
      </w:r>
      <w:r w:rsidR="007E5BE2" w:rsidRPr="005C5C45">
        <w:t xml:space="preserve">es </w:t>
      </w:r>
      <w:r w:rsidR="00E1351D" w:rsidRPr="005C5C45">
        <w:t xml:space="preserve">still </w:t>
      </w:r>
      <w:r w:rsidR="007E5BE2" w:rsidRPr="005C5C45">
        <w:t xml:space="preserve">need </w:t>
      </w:r>
      <w:r w:rsidR="001B1041" w:rsidRPr="005C5C45">
        <w:t>assistance with incorporating</w:t>
      </w:r>
      <w:r w:rsidR="00E1351D" w:rsidRPr="005C5C45">
        <w:t xml:space="preserve"> </w:t>
      </w:r>
      <w:r w:rsidR="00AF79C5" w:rsidRPr="005C5C45">
        <w:t xml:space="preserve">open </w:t>
      </w:r>
      <w:r w:rsidR="00E1351D" w:rsidRPr="005C5C45">
        <w:t>data release into their daily publishing pr</w:t>
      </w:r>
      <w:r w:rsidR="007E5BE2" w:rsidRPr="005C5C45">
        <w:t>ocesses. Perceived obstacles include</w:t>
      </w:r>
      <w:r w:rsidR="00C64307">
        <w:t>:</w:t>
      </w:r>
      <w:r w:rsidR="00E1351D" w:rsidRPr="005C5C45">
        <w:t xml:space="preserve"> a concern that </w:t>
      </w:r>
      <w:r w:rsidR="006A48C3" w:rsidRPr="005C5C45">
        <w:t>public data must be</w:t>
      </w:r>
      <w:r w:rsidR="00E1351D" w:rsidRPr="005C5C45">
        <w:t xml:space="preserve"> 100% accurate even when agencies use that </w:t>
      </w:r>
      <w:r w:rsidR="00AF79C5" w:rsidRPr="005C5C45">
        <w:t>same</w:t>
      </w:r>
      <w:r w:rsidR="006A48C3" w:rsidRPr="005C5C45">
        <w:t xml:space="preserve"> </w:t>
      </w:r>
      <w:r w:rsidR="00E1351D" w:rsidRPr="005C5C45">
        <w:t xml:space="preserve">data to deliver their </w:t>
      </w:r>
      <w:r w:rsidR="006A48C3" w:rsidRPr="005C5C45">
        <w:t xml:space="preserve">own </w:t>
      </w:r>
      <w:r w:rsidR="00E1351D" w:rsidRPr="005C5C45">
        <w:t>daily business</w:t>
      </w:r>
      <w:r w:rsidR="00C64307">
        <w:t>;</w:t>
      </w:r>
      <w:r w:rsidR="00E1351D" w:rsidRPr="005C5C45">
        <w:t xml:space="preserve"> that there is no additional budget for preparing the data for publication</w:t>
      </w:r>
      <w:r w:rsidR="005C187C" w:rsidRPr="005C5C45">
        <w:t xml:space="preserve"> in open formats</w:t>
      </w:r>
      <w:r w:rsidR="00C64307">
        <w:t>;</w:t>
      </w:r>
      <w:r w:rsidR="00E1351D" w:rsidRPr="005C5C45">
        <w:t xml:space="preserve"> that applying open licensing is difficult</w:t>
      </w:r>
      <w:r w:rsidR="00C64307">
        <w:t>;</w:t>
      </w:r>
      <w:r w:rsidR="00E1351D" w:rsidRPr="005C5C45">
        <w:t xml:space="preserve"> and that there is a risk that personal data will inadvertently be released</w:t>
      </w:r>
      <w:r w:rsidRPr="005C5C45">
        <w:t>.</w:t>
      </w:r>
    </w:p>
    <w:p w14:paraId="465ED69E" w14:textId="1A5067D7" w:rsidR="00F82B9A" w:rsidRPr="005C5C45" w:rsidRDefault="001B1041" w:rsidP="006E0487">
      <w:pPr>
        <w:pStyle w:val="Normalrglronly"/>
      </w:pPr>
      <w:r w:rsidRPr="005C5C45">
        <w:t xml:space="preserve">This commitment aims to address these concerns through an agreed </w:t>
      </w:r>
      <w:r w:rsidR="00F82B9A" w:rsidRPr="005C5C45">
        <w:t xml:space="preserve">open government data </w:t>
      </w:r>
      <w:r w:rsidRPr="005C5C45">
        <w:t>action plan developed by the public and government officials</w:t>
      </w:r>
      <w:r w:rsidR="006A48C3" w:rsidRPr="005C5C45">
        <w:t>,</w:t>
      </w:r>
      <w:r w:rsidRPr="005C5C45">
        <w:t xml:space="preserve"> and </w:t>
      </w:r>
      <w:r w:rsidR="006A48C3" w:rsidRPr="005C5C45">
        <w:t xml:space="preserve">by </w:t>
      </w:r>
      <w:r w:rsidR="00F82B9A" w:rsidRPr="005C5C45">
        <w:t xml:space="preserve">monitoring agencies’ subsequent progress </w:t>
      </w:r>
      <w:r w:rsidR="00C64307">
        <w:t>making their data available</w:t>
      </w:r>
      <w:r w:rsidR="00F82B9A" w:rsidRPr="005C5C45">
        <w:t xml:space="preserve">. </w:t>
      </w:r>
      <w:r w:rsidR="007E0226" w:rsidRPr="005C5C45">
        <w:t xml:space="preserve">This approach replaces the earlier annual progress reports to Cabinet. </w:t>
      </w:r>
    </w:p>
    <w:p w14:paraId="54686958" w14:textId="7E536663" w:rsidR="005C187C" w:rsidRPr="005C5C45" w:rsidRDefault="00A40073" w:rsidP="006E0487">
      <w:pPr>
        <w:pStyle w:val="Normalrglronly"/>
      </w:pPr>
      <w:r w:rsidRPr="005C5C45">
        <w:t xml:space="preserve">This commitment </w:t>
      </w:r>
      <w:r w:rsidR="00881E29" w:rsidRPr="005C5C45">
        <w:t xml:space="preserve">proposes </w:t>
      </w:r>
      <w:r w:rsidR="00AF79C5" w:rsidRPr="005C5C45">
        <w:t>an online</w:t>
      </w:r>
      <w:r w:rsidR="005D4B26" w:rsidRPr="005C5C45">
        <w:t xml:space="preserve"> </w:t>
      </w:r>
      <w:r w:rsidR="00EA29B3" w:rsidRPr="005C5C45">
        <w:t>monitoring mechanism</w:t>
      </w:r>
      <w:r w:rsidR="006A48C3" w:rsidRPr="005C5C45">
        <w:t xml:space="preserve"> which </w:t>
      </w:r>
      <w:r w:rsidR="00881E29" w:rsidRPr="005C5C45">
        <w:t>would track efforts to open up data stores</w:t>
      </w:r>
      <w:r w:rsidR="00AF79C5" w:rsidRPr="005C5C45">
        <w:t xml:space="preserve"> and </w:t>
      </w:r>
      <w:r w:rsidR="009A54C5">
        <w:t>the implementation of</w:t>
      </w:r>
      <w:r w:rsidR="006A48C3" w:rsidRPr="005C5C45">
        <w:t xml:space="preserve"> </w:t>
      </w:r>
      <w:r w:rsidR="00881E29" w:rsidRPr="005C5C45">
        <w:t xml:space="preserve">an open government data action plan </w:t>
      </w:r>
      <w:r w:rsidR="00030425" w:rsidRPr="005C5C45">
        <w:t xml:space="preserve">co-created </w:t>
      </w:r>
      <w:r w:rsidR="006A48C3" w:rsidRPr="005C5C45">
        <w:t>with the p</w:t>
      </w:r>
      <w:r w:rsidR="00AF79C5" w:rsidRPr="005C5C45">
        <w:t>ublic and government officials</w:t>
      </w:r>
      <w:r w:rsidR="006A48C3" w:rsidRPr="005C5C45">
        <w:t xml:space="preserve">. </w:t>
      </w:r>
      <w:r w:rsidR="00030425" w:rsidRPr="005C5C45">
        <w:t>This c</w:t>
      </w:r>
      <w:r w:rsidR="00EA29B3" w:rsidRPr="005C5C45">
        <w:t>ould meet reporting requirements at Ministerial, executive and</w:t>
      </w:r>
      <w:r w:rsidR="00AF79C5" w:rsidRPr="005C5C45">
        <w:t xml:space="preserve"> management level and </w:t>
      </w:r>
      <w:r w:rsidR="00EA29B3" w:rsidRPr="005C5C45">
        <w:t>present a comprehensive online picture of N</w:t>
      </w:r>
      <w:r w:rsidR="006E0487" w:rsidRPr="005C5C45">
        <w:t xml:space="preserve">ew </w:t>
      </w:r>
      <w:r w:rsidR="00EA29B3" w:rsidRPr="005C5C45">
        <w:t>Z</w:t>
      </w:r>
      <w:r w:rsidR="006E0487" w:rsidRPr="005C5C45">
        <w:t>ealand</w:t>
      </w:r>
      <w:r w:rsidR="006A48C3" w:rsidRPr="005C5C45">
        <w:t>’s open data progress</w:t>
      </w:r>
      <w:r w:rsidR="00905727" w:rsidRPr="005C5C45">
        <w:t xml:space="preserve"> to a local </w:t>
      </w:r>
      <w:r w:rsidR="00AF79C5" w:rsidRPr="005C5C45">
        <w:t>and international audience</w:t>
      </w:r>
      <w:r w:rsidR="00EA29B3" w:rsidRPr="005C5C45">
        <w:t xml:space="preserve">. </w:t>
      </w:r>
      <w:r w:rsidR="00AF79C5" w:rsidRPr="005C5C45">
        <w:t>The</w:t>
      </w:r>
      <w:r w:rsidR="006A48C3" w:rsidRPr="005C5C45">
        <w:t xml:space="preserve"> public dashboard </w:t>
      </w:r>
      <w:r w:rsidR="00EA29B3" w:rsidRPr="005C5C45">
        <w:t xml:space="preserve">would enable continued feedback from the public on whether government is </w:t>
      </w:r>
      <w:r w:rsidR="006A48C3" w:rsidRPr="005C5C45">
        <w:t xml:space="preserve">releasing </w:t>
      </w:r>
      <w:r w:rsidR="00EA29B3" w:rsidRPr="005C5C45">
        <w:t xml:space="preserve">the high value data </w:t>
      </w:r>
      <w:r w:rsidR="006A48C3" w:rsidRPr="005C5C45">
        <w:t>anticipated by</w:t>
      </w:r>
      <w:r w:rsidR="00EA29B3" w:rsidRPr="005C5C45">
        <w:t xml:space="preserve"> the Declaration on Open and Transparent Government.</w:t>
      </w:r>
      <w:r w:rsidR="00EA29B3" w:rsidRPr="005C5C45">
        <w:rPr>
          <w:rStyle w:val="EndnoteReference"/>
          <w:bCs w:val="0"/>
        </w:rPr>
        <w:endnoteReference w:id="127"/>
      </w:r>
    </w:p>
    <w:p w14:paraId="0650AC07" w14:textId="608BE61D" w:rsidR="00C65F92" w:rsidRPr="005C5C45" w:rsidRDefault="002856BF" w:rsidP="006E0487">
      <w:pPr>
        <w:pStyle w:val="Normalrglronly"/>
      </w:pPr>
      <w:r w:rsidRPr="005C5C45">
        <w:t>The commitment is highly specific and it i</w:t>
      </w:r>
      <w:r w:rsidR="00EA2F88" w:rsidRPr="005C5C45">
        <w:t xml:space="preserve">s relevant to the OGP values of access to information, civic participation, and technology and innovation. </w:t>
      </w:r>
      <w:r w:rsidR="00FC7C4F" w:rsidRPr="005C5C45">
        <w:t>Government is disclosing more data in machine-readable formats; it is opening up decision</w:t>
      </w:r>
      <w:r w:rsidR="00104C83">
        <w:t>-</w:t>
      </w:r>
      <w:r w:rsidR="00FC7C4F" w:rsidRPr="005C5C45">
        <w:t>making to any interested member of the public; it is disclosing performance data</w:t>
      </w:r>
      <w:r w:rsidR="00C65F92" w:rsidRPr="005C5C45">
        <w:t>;</w:t>
      </w:r>
      <w:r w:rsidR="00FC7C4F" w:rsidRPr="005C5C45">
        <w:t xml:space="preserve"> and it is promoting n</w:t>
      </w:r>
      <w:r w:rsidR="00C65F92" w:rsidRPr="005C5C45">
        <w:t>e</w:t>
      </w:r>
      <w:r w:rsidR="00FC7C4F" w:rsidRPr="005C5C45">
        <w:t>w technologies that offer opportunities for information sharing, public participation and collaboration</w:t>
      </w:r>
      <w:r w:rsidR="00EA2F88" w:rsidRPr="005C5C45">
        <w:t>.</w:t>
      </w:r>
    </w:p>
    <w:p w14:paraId="502A7125" w14:textId="75525454" w:rsidR="00905727" w:rsidRPr="005C5C45" w:rsidRDefault="002856BF" w:rsidP="006E0487">
      <w:pPr>
        <w:pStyle w:val="Normalrglronly"/>
      </w:pPr>
      <w:r w:rsidRPr="005C5C45">
        <w:t xml:space="preserve">If </w:t>
      </w:r>
      <w:r w:rsidR="00573E8F" w:rsidRPr="005C5C45">
        <w:t>fully implemented,</w:t>
      </w:r>
      <w:r w:rsidR="00EA2F88" w:rsidRPr="005C5C45">
        <w:t xml:space="preserve"> </w:t>
      </w:r>
      <w:r w:rsidRPr="005C5C45">
        <w:t xml:space="preserve">this commitment </w:t>
      </w:r>
      <w:r w:rsidR="00EA2F88" w:rsidRPr="005C5C45">
        <w:t xml:space="preserve">would have a moderate </w:t>
      </w:r>
      <w:r w:rsidR="00573E8F" w:rsidRPr="005C5C45">
        <w:t xml:space="preserve">potential </w:t>
      </w:r>
      <w:r w:rsidR="00EA2F88" w:rsidRPr="005C5C45">
        <w:t xml:space="preserve">impact. </w:t>
      </w:r>
      <w:r w:rsidR="006C6FBC" w:rsidRPr="005C5C45">
        <w:t>It is a major step forward in improving implementation of the government’s open data policy</w:t>
      </w:r>
      <w:r w:rsidR="00437230" w:rsidRPr="005C5C45">
        <w:t>.</w:t>
      </w:r>
      <w:r w:rsidR="0060524F" w:rsidRPr="005C5C45">
        <w:t xml:space="preserve"> It is premised on releasing the high value public data </w:t>
      </w:r>
      <w:r w:rsidR="005E0884" w:rsidRPr="005C5C45">
        <w:t>held across the wider public service</w:t>
      </w:r>
      <w:r w:rsidR="003B4BDE" w:rsidRPr="005C5C45">
        <w:t xml:space="preserve">, including </w:t>
      </w:r>
      <w:r w:rsidR="00DD1477">
        <w:t>C</w:t>
      </w:r>
      <w:r w:rsidR="003B4BDE" w:rsidRPr="005C5C45">
        <w:t>rown entities and local government</w:t>
      </w:r>
      <w:r w:rsidR="005E0884" w:rsidRPr="005C5C45">
        <w:t>, and proposes an action plan and a mechanism to report uptake.</w:t>
      </w:r>
      <w:r w:rsidR="006C6FBC" w:rsidRPr="005C5C45">
        <w:t xml:space="preserve"> </w:t>
      </w:r>
      <w:r w:rsidR="00EA2F88" w:rsidRPr="005C5C45">
        <w:t>On the data supply side</w:t>
      </w:r>
      <w:r w:rsidR="00B93F96" w:rsidRPr="005C5C45">
        <w:t>,</w:t>
      </w:r>
      <w:r w:rsidR="000042DA" w:rsidRPr="005C5C45">
        <w:t xml:space="preserve"> </w:t>
      </w:r>
      <w:r w:rsidR="00EA2F88" w:rsidRPr="005C5C45">
        <w:t xml:space="preserve">open government data release </w:t>
      </w:r>
      <w:r w:rsidR="003B4BDE" w:rsidRPr="005C5C45">
        <w:t xml:space="preserve">based on user demand </w:t>
      </w:r>
      <w:r w:rsidR="00EA2F88" w:rsidRPr="005C5C45">
        <w:t>would become a regular business-as-usual act</w:t>
      </w:r>
      <w:r w:rsidR="004B7268" w:rsidRPr="005C5C45">
        <w:t xml:space="preserve">ivity across </w:t>
      </w:r>
      <w:r w:rsidR="00A55A35" w:rsidRPr="005C5C45">
        <w:t>the public sector</w:t>
      </w:r>
      <w:r w:rsidR="000E6C24" w:rsidRPr="005C5C45">
        <w:t>,</w:t>
      </w:r>
      <w:r w:rsidR="00EA2F88" w:rsidRPr="005C5C45">
        <w:t xml:space="preserve"> </w:t>
      </w:r>
      <w:r w:rsidR="004B7268" w:rsidRPr="005C5C45">
        <w:t>the quality of the data would be improved</w:t>
      </w:r>
      <w:r w:rsidR="005E0884" w:rsidRPr="005C5C45">
        <w:t>, and performance would be monitored</w:t>
      </w:r>
      <w:r w:rsidR="00EA2F88" w:rsidRPr="005C5C45">
        <w:t xml:space="preserve">. </w:t>
      </w:r>
      <w:r w:rsidR="003B4BDE" w:rsidRPr="005C5C45">
        <w:t xml:space="preserve">Government officials would have assistance to address concerns about releasing </w:t>
      </w:r>
      <w:r w:rsidR="00AF79C5" w:rsidRPr="005C5C45">
        <w:t>open</w:t>
      </w:r>
      <w:r w:rsidR="003B4BDE" w:rsidRPr="005C5C45">
        <w:t xml:space="preserve"> data, and to increase their data management skills. </w:t>
      </w:r>
      <w:r w:rsidR="00EA2F88" w:rsidRPr="005C5C45">
        <w:t xml:space="preserve">On the demand side, the public would influence data release priorities and have greater opportunities </w:t>
      </w:r>
      <w:r w:rsidR="004B7268" w:rsidRPr="005C5C45">
        <w:t>to re-use and add value to the data.</w:t>
      </w:r>
    </w:p>
    <w:p w14:paraId="4355B0E1" w14:textId="29FF11C2" w:rsidR="00EA2F88" w:rsidRPr="005C5C45" w:rsidRDefault="00905727" w:rsidP="006E0487">
      <w:pPr>
        <w:pStyle w:val="Normalrglronly"/>
      </w:pPr>
      <w:r w:rsidRPr="005C5C45">
        <w:t>F</w:t>
      </w:r>
      <w:r w:rsidR="00EA2F88" w:rsidRPr="005C5C45">
        <w:t xml:space="preserve">or this commitment to be transformative, </w:t>
      </w:r>
      <w:r w:rsidR="00437230" w:rsidRPr="005C5C45">
        <w:t xml:space="preserve">however, </w:t>
      </w:r>
      <w:r w:rsidR="004B7268" w:rsidRPr="005C5C45">
        <w:t xml:space="preserve">the work </w:t>
      </w:r>
      <w:r w:rsidR="00DD1477">
        <w:t>must</w:t>
      </w:r>
      <w:r w:rsidR="002D37E3" w:rsidRPr="005C5C45">
        <w:t xml:space="preserve"> </w:t>
      </w:r>
      <w:r w:rsidR="003B4BDE" w:rsidRPr="005C5C45">
        <w:t xml:space="preserve">extend beyond </w:t>
      </w:r>
      <w:r w:rsidR="00DD1477">
        <w:t>initial</w:t>
      </w:r>
      <w:r w:rsidR="003B4BDE" w:rsidRPr="005C5C45">
        <w:t xml:space="preserve"> stages and </w:t>
      </w:r>
      <w:r w:rsidR="006C6FBC" w:rsidRPr="005C5C45">
        <w:t>include</w:t>
      </w:r>
      <w:r w:rsidR="0060524F" w:rsidRPr="005C5C45">
        <w:t xml:space="preserve"> </w:t>
      </w:r>
      <w:r w:rsidR="00DD1477">
        <w:t>strategies</w:t>
      </w:r>
      <w:r w:rsidR="00AA0D2B" w:rsidRPr="005C5C45">
        <w:t xml:space="preserve"> </w:t>
      </w:r>
      <w:r w:rsidR="002D37E3" w:rsidRPr="005C5C45">
        <w:t>to maintain Ministerial</w:t>
      </w:r>
      <w:r w:rsidR="00182724" w:rsidRPr="005C5C45">
        <w:t xml:space="preserve">, </w:t>
      </w:r>
      <w:r w:rsidR="002D37E3" w:rsidRPr="005C5C45">
        <w:t xml:space="preserve">executive </w:t>
      </w:r>
      <w:r w:rsidR="00182724" w:rsidRPr="005C5C45">
        <w:t xml:space="preserve">and management </w:t>
      </w:r>
      <w:r w:rsidR="002D37E3" w:rsidRPr="005C5C45">
        <w:t xml:space="preserve">support. The IRM researcher suggests </w:t>
      </w:r>
      <w:r w:rsidR="005E0884" w:rsidRPr="005C5C45">
        <w:t xml:space="preserve">further milestones </w:t>
      </w:r>
      <w:r w:rsidR="00DD1477">
        <w:t>for</w:t>
      </w:r>
      <w:r w:rsidR="00DD1477" w:rsidRPr="005C5C45">
        <w:t xml:space="preserve"> </w:t>
      </w:r>
      <w:r w:rsidR="006C6FBC" w:rsidRPr="005C5C45">
        <w:t>regular reporting to Ministers</w:t>
      </w:r>
      <w:r w:rsidR="00182724" w:rsidRPr="005C5C45">
        <w:t>,</w:t>
      </w:r>
      <w:r w:rsidR="0060524F" w:rsidRPr="005C5C45">
        <w:t xml:space="preserve"> agency executives</w:t>
      </w:r>
      <w:r w:rsidR="00182724" w:rsidRPr="005C5C45">
        <w:t xml:space="preserve"> and the cross-government Information Group</w:t>
      </w:r>
      <w:r w:rsidR="0060524F" w:rsidRPr="005C5C45">
        <w:t xml:space="preserve">, </w:t>
      </w:r>
      <w:r w:rsidR="006C6FBC" w:rsidRPr="005C5C45">
        <w:t>and</w:t>
      </w:r>
      <w:r w:rsidR="0060524F" w:rsidRPr="005C5C45">
        <w:t xml:space="preserve"> </w:t>
      </w:r>
      <w:r w:rsidR="005E0884" w:rsidRPr="005C5C45">
        <w:t>reviewing agency uptake of the dashboard mechanism</w:t>
      </w:r>
      <w:r w:rsidR="003B4BDE" w:rsidRPr="005C5C45">
        <w:t>.</w:t>
      </w:r>
      <w:r w:rsidRPr="005C5C45">
        <w:t xml:space="preserve"> </w:t>
      </w:r>
      <w:r w:rsidR="00DD1477">
        <w:t>Also</w:t>
      </w:r>
      <w:r w:rsidRPr="005C5C45">
        <w:t>,</w:t>
      </w:r>
      <w:r w:rsidR="008E23FB" w:rsidRPr="005C5C45">
        <w:t xml:space="preserve"> the commitment </w:t>
      </w:r>
      <w:r w:rsidR="00DD1477">
        <w:t>sh</w:t>
      </w:r>
      <w:r w:rsidR="00182724" w:rsidRPr="005C5C45">
        <w:t xml:space="preserve">ould </w:t>
      </w:r>
      <w:r w:rsidR="00353313" w:rsidRPr="005C5C45">
        <w:t>report on agencies’ adoption of NZGOAL and the N</w:t>
      </w:r>
      <w:r w:rsidR="006E0487" w:rsidRPr="005C5C45">
        <w:t xml:space="preserve">ew </w:t>
      </w:r>
      <w:r w:rsidR="00353313" w:rsidRPr="005C5C45">
        <w:t>Z</w:t>
      </w:r>
      <w:r w:rsidR="006E0487" w:rsidRPr="005C5C45">
        <w:t>ealand</w:t>
      </w:r>
      <w:r w:rsidR="00353313" w:rsidRPr="005C5C45">
        <w:t xml:space="preserve"> Data and Information Management Principles</w:t>
      </w:r>
      <w:r w:rsidR="006A54C3" w:rsidRPr="005C5C45">
        <w:t>, government’s</w:t>
      </w:r>
      <w:r w:rsidR="00353313" w:rsidRPr="005C5C45">
        <w:t xml:space="preserve"> other </w:t>
      </w:r>
      <w:r w:rsidR="006A54C3" w:rsidRPr="005C5C45">
        <w:t>information and data policies.</w:t>
      </w:r>
      <w:r w:rsidR="00182724" w:rsidRPr="005C5C45">
        <w:t xml:space="preserve"> As written</w:t>
      </w:r>
      <w:r w:rsidR="00DD1477">
        <w:t>,</w:t>
      </w:r>
      <w:r w:rsidR="00182724" w:rsidRPr="005C5C45">
        <w:t xml:space="preserve"> the commitment only covers non-personal data, not government-held information that is openly licensed and released for re-use.</w:t>
      </w:r>
    </w:p>
    <w:p w14:paraId="496F71B1" w14:textId="77777777" w:rsidR="00EA2F88" w:rsidRPr="005C5C45" w:rsidRDefault="00EA2F88" w:rsidP="000E1975">
      <w:pPr>
        <w:pStyle w:val="Heading3"/>
      </w:pPr>
      <w:r w:rsidRPr="005C5C45">
        <w:t>Completion</w:t>
      </w:r>
    </w:p>
    <w:p w14:paraId="536977DB" w14:textId="7B9223D1" w:rsidR="00ED76C4" w:rsidRPr="005C5C45" w:rsidRDefault="00F165CB" w:rsidP="006E0487">
      <w:pPr>
        <w:pStyle w:val="Normalrglronly"/>
      </w:pPr>
      <w:r w:rsidRPr="005C5C45">
        <w:t xml:space="preserve">For the same reasons as </w:t>
      </w:r>
      <w:r w:rsidR="00905727" w:rsidRPr="005C5C45">
        <w:t xml:space="preserve">for </w:t>
      </w:r>
      <w:r w:rsidR="00151265">
        <w:t>c</w:t>
      </w:r>
      <w:r w:rsidR="00905727" w:rsidRPr="005C5C45">
        <w:t xml:space="preserve">ommitment </w:t>
      </w:r>
      <w:r w:rsidR="00437230" w:rsidRPr="005C5C45">
        <w:t>three</w:t>
      </w:r>
      <w:r w:rsidR="00905727" w:rsidRPr="005C5C45">
        <w:t xml:space="preserve"> </w:t>
      </w:r>
      <w:r w:rsidR="00F42165" w:rsidRPr="005C5C45">
        <w:t>(improving open data access and principles)</w:t>
      </w:r>
      <w:r w:rsidR="00EA2F88" w:rsidRPr="005C5C45">
        <w:t xml:space="preserve">, this commitment’s timeline was also officially changed at the end of June 2017, with later </w:t>
      </w:r>
      <w:r w:rsidR="00A01EF8" w:rsidRPr="005C5C45">
        <w:t>completion dates set for all its</w:t>
      </w:r>
      <w:r w:rsidR="00EA2F88" w:rsidRPr="005C5C45">
        <w:t xml:space="preserve"> </w:t>
      </w:r>
      <w:r w:rsidR="00437230" w:rsidRPr="005C5C45">
        <w:t>activities</w:t>
      </w:r>
      <w:r w:rsidR="00EA2F88" w:rsidRPr="005C5C45">
        <w:t xml:space="preserve">. </w:t>
      </w:r>
      <w:r w:rsidR="00F42165" w:rsidRPr="005C5C45">
        <w:t>The first two activities, to develop and publi</w:t>
      </w:r>
      <w:r w:rsidR="002856BF" w:rsidRPr="005C5C45">
        <w:t>sh</w:t>
      </w:r>
      <w:r w:rsidR="00F42165" w:rsidRPr="005C5C45">
        <w:t xml:space="preserve"> an </w:t>
      </w:r>
      <w:r w:rsidR="00F42165" w:rsidRPr="005C5C45">
        <w:lastRenderedPageBreak/>
        <w:t xml:space="preserve">open government data action plan, </w:t>
      </w:r>
      <w:r w:rsidR="00175F11" w:rsidRPr="005C5C45">
        <w:t>were</w:t>
      </w:r>
      <w:r w:rsidR="00F42165" w:rsidRPr="005C5C45">
        <w:t xml:space="preserve"> completed on time. </w:t>
      </w:r>
      <w:r w:rsidR="003B0E7B" w:rsidRPr="005C5C45">
        <w:t>Initial consultation on the content of an open government data action plan took place between June and 30 September 2016.</w:t>
      </w:r>
      <w:r w:rsidR="00ED76C4" w:rsidRPr="005C5C45">
        <w:rPr>
          <w:rStyle w:val="EndnoteReference"/>
          <w:rFonts w:cs="Gill Sans"/>
          <w:color w:val="222222"/>
        </w:rPr>
        <w:endnoteReference w:id="128"/>
      </w:r>
      <w:r w:rsidR="004D0294" w:rsidRPr="005C5C45">
        <w:t xml:space="preserve"> </w:t>
      </w:r>
      <w:r w:rsidR="00A01EF8" w:rsidRPr="005C5C45">
        <w:t xml:space="preserve">Activity </w:t>
      </w:r>
      <w:r w:rsidR="00905727" w:rsidRPr="005C5C45">
        <w:t>on the commitment droppe</w:t>
      </w:r>
      <w:r w:rsidR="000E6C24" w:rsidRPr="005C5C45">
        <w:t>d</w:t>
      </w:r>
      <w:r w:rsidR="00EA2F88" w:rsidRPr="005C5C45">
        <w:t xml:space="preserve"> until the programme moved to Statistics N</w:t>
      </w:r>
      <w:r w:rsidR="006E0487" w:rsidRPr="005C5C45">
        <w:t xml:space="preserve">ew </w:t>
      </w:r>
      <w:r w:rsidR="00EA2F88" w:rsidRPr="005C5C45">
        <w:t>Z</w:t>
      </w:r>
      <w:r w:rsidR="006E0487" w:rsidRPr="005C5C45">
        <w:t>ealand</w:t>
      </w:r>
      <w:r w:rsidR="00EA2F88" w:rsidRPr="005C5C45">
        <w:t xml:space="preserve"> in March 2017. </w:t>
      </w:r>
      <w:r w:rsidR="003B0E7B" w:rsidRPr="005C5C45">
        <w:t xml:space="preserve">There was </w:t>
      </w:r>
      <w:r w:rsidR="00175F11" w:rsidRPr="005C5C45">
        <w:t xml:space="preserve">a </w:t>
      </w:r>
      <w:r w:rsidR="00182724" w:rsidRPr="005C5C45">
        <w:t xml:space="preserve">short </w:t>
      </w:r>
      <w:r w:rsidR="00175F11" w:rsidRPr="005C5C45">
        <w:t xml:space="preserve">period of </w:t>
      </w:r>
      <w:r w:rsidR="00A01EF8" w:rsidRPr="005C5C45">
        <w:t xml:space="preserve">public </w:t>
      </w:r>
      <w:r w:rsidR="00EA2F88" w:rsidRPr="005C5C45">
        <w:t>online co</w:t>
      </w:r>
      <w:r w:rsidR="00A01EF8" w:rsidRPr="005C5C45">
        <w:t>nsultation</w:t>
      </w:r>
      <w:r w:rsidR="00EA2F88" w:rsidRPr="005C5C45">
        <w:t xml:space="preserve"> </w:t>
      </w:r>
      <w:r w:rsidR="00ED76C4" w:rsidRPr="005C5C45">
        <w:t>on the</w:t>
      </w:r>
      <w:r w:rsidR="003B0E7B" w:rsidRPr="005C5C45">
        <w:t xml:space="preserve"> draft </w:t>
      </w:r>
      <w:r w:rsidR="00182724" w:rsidRPr="005C5C45">
        <w:t xml:space="preserve">action plan </w:t>
      </w:r>
      <w:r w:rsidR="00EA2F88" w:rsidRPr="005C5C45">
        <w:t xml:space="preserve">between 21 June </w:t>
      </w:r>
      <w:r w:rsidR="00C80793" w:rsidRPr="005C5C45">
        <w:t xml:space="preserve">and 30 June </w:t>
      </w:r>
      <w:r w:rsidR="003B0E7B" w:rsidRPr="005C5C45">
        <w:t>2017</w:t>
      </w:r>
      <w:r w:rsidR="00175F11" w:rsidRPr="005C5C45">
        <w:t xml:space="preserve"> with feedback invited on N</w:t>
      </w:r>
      <w:r w:rsidR="006E0487" w:rsidRPr="005C5C45">
        <w:t xml:space="preserve">ew </w:t>
      </w:r>
      <w:r w:rsidR="00175F11" w:rsidRPr="005C5C45">
        <w:t>Z</w:t>
      </w:r>
      <w:r w:rsidR="006E0487" w:rsidRPr="005C5C45">
        <w:t>ealand</w:t>
      </w:r>
      <w:r w:rsidR="00175F11" w:rsidRPr="005C5C45">
        <w:t>’s OGP website, via email or on Twitter.</w:t>
      </w:r>
      <w:r w:rsidR="00175F11" w:rsidRPr="005C5C45">
        <w:rPr>
          <w:rStyle w:val="EndnoteReference"/>
          <w:rFonts w:cs="Gill Sans"/>
          <w:color w:val="222222"/>
        </w:rPr>
        <w:endnoteReference w:id="129"/>
      </w:r>
      <w:r w:rsidR="00175F11" w:rsidRPr="005C5C45">
        <w:t xml:space="preserve"> An informative update on commitments </w:t>
      </w:r>
      <w:r w:rsidR="00437230" w:rsidRPr="005C5C45">
        <w:t>three</w:t>
      </w:r>
      <w:r w:rsidR="00175F11" w:rsidRPr="005C5C45">
        <w:t xml:space="preserve"> and </w:t>
      </w:r>
      <w:r w:rsidR="00437230" w:rsidRPr="005C5C45">
        <w:t>four</w:t>
      </w:r>
      <w:r w:rsidR="00C1039A" w:rsidRPr="005C5C45">
        <w:t>,</w:t>
      </w:r>
      <w:r w:rsidR="00175F11" w:rsidRPr="005C5C45">
        <w:t xml:space="preserve"> published on the </w:t>
      </w:r>
      <w:proofErr w:type="spellStart"/>
      <w:r w:rsidR="00175F11" w:rsidRPr="005C5C45">
        <w:t>OpenNZ</w:t>
      </w:r>
      <w:proofErr w:type="spellEnd"/>
      <w:r w:rsidR="00175F11" w:rsidRPr="005C5C45">
        <w:t xml:space="preserve"> discussion list on 26 June, </w:t>
      </w:r>
      <w:r w:rsidR="00C1039A" w:rsidRPr="005C5C45">
        <w:t xml:space="preserve">advised that the </w:t>
      </w:r>
      <w:r w:rsidR="00AE7A3A" w:rsidRPr="005C5C45">
        <w:t>finali</w:t>
      </w:r>
      <w:r w:rsidR="00B55BD2" w:rsidRPr="005C5C45">
        <w:t>s</w:t>
      </w:r>
      <w:r w:rsidR="00AE7A3A" w:rsidRPr="005C5C45">
        <w:t xml:space="preserve">ed action plan would be published on 7 July 2017, </w:t>
      </w:r>
      <w:r w:rsidR="00175F11" w:rsidRPr="005C5C45">
        <w:t>prompting stakeholder praise.</w:t>
      </w:r>
      <w:r w:rsidR="00175F11" w:rsidRPr="005C5C45">
        <w:rPr>
          <w:rStyle w:val="EndnoteReference"/>
          <w:rFonts w:cs="Gill Sans"/>
          <w:color w:val="222222"/>
        </w:rPr>
        <w:endnoteReference w:id="130"/>
      </w:r>
      <w:r w:rsidR="00175F11" w:rsidRPr="005C5C45">
        <w:t xml:space="preserve"> The </w:t>
      </w:r>
      <w:r w:rsidR="00943F07" w:rsidRPr="005C5C45">
        <w:t xml:space="preserve">public </w:t>
      </w:r>
      <w:r w:rsidR="00175F11" w:rsidRPr="005C5C45">
        <w:t xml:space="preserve">stakeholders interviewed by the IRM researcher </w:t>
      </w:r>
      <w:r w:rsidR="00182724" w:rsidRPr="005C5C45">
        <w:t xml:space="preserve">either </w:t>
      </w:r>
      <w:r w:rsidR="00175F11" w:rsidRPr="005C5C45">
        <w:t xml:space="preserve">had little comment on this </w:t>
      </w:r>
      <w:r w:rsidR="00182724" w:rsidRPr="005C5C45">
        <w:t>activity</w:t>
      </w:r>
      <w:r w:rsidR="007A58A1">
        <w:t>—</w:t>
      </w:r>
      <w:r w:rsidR="00175F11" w:rsidRPr="005C5C45">
        <w:t xml:space="preserve">they had participated in the development of the action plan and were looking ahead to </w:t>
      </w:r>
      <w:r w:rsidR="003C1C0C" w:rsidRPr="005C5C45">
        <w:t xml:space="preserve">more </w:t>
      </w:r>
      <w:r w:rsidR="00175F11" w:rsidRPr="005C5C45">
        <w:t>i</w:t>
      </w:r>
      <w:r w:rsidR="003C1C0C" w:rsidRPr="005C5C45">
        <w:t>mplementation details</w:t>
      </w:r>
      <w:r w:rsidR="007A58A1">
        <w:t>—</w:t>
      </w:r>
      <w:r w:rsidR="00182724" w:rsidRPr="005C5C45">
        <w:t>or they were unaware of the progress</w:t>
      </w:r>
      <w:r w:rsidR="00175F11" w:rsidRPr="005C5C45">
        <w:t>.</w:t>
      </w:r>
    </w:p>
    <w:p w14:paraId="645FF881" w14:textId="77777777" w:rsidR="00EA2F88" w:rsidRPr="005C5C45" w:rsidRDefault="00ED76C4" w:rsidP="006E0487">
      <w:pPr>
        <w:pStyle w:val="Normalrglronly"/>
      </w:pPr>
      <w:r w:rsidRPr="005C5C45">
        <w:t xml:space="preserve">Progress </w:t>
      </w:r>
      <w:r w:rsidR="008C0194" w:rsidRPr="005C5C45">
        <w:t xml:space="preserve">on </w:t>
      </w:r>
      <w:r w:rsidR="00276F4A" w:rsidRPr="005C5C45">
        <w:t xml:space="preserve">the </w:t>
      </w:r>
      <w:r w:rsidR="00905727" w:rsidRPr="005C5C45">
        <w:t xml:space="preserve">remaining </w:t>
      </w:r>
      <w:r w:rsidR="00276F4A" w:rsidRPr="005C5C45">
        <w:t>three commitment activities concerning the public dashboard</w:t>
      </w:r>
      <w:r w:rsidR="00C177C1" w:rsidRPr="005C5C45">
        <w:t xml:space="preserve"> will be covered in the end-of-term report.</w:t>
      </w:r>
    </w:p>
    <w:p w14:paraId="50CD4A4C" w14:textId="77777777" w:rsidR="00EA2F88" w:rsidRPr="005C5C45" w:rsidRDefault="00EA2F88" w:rsidP="006B1434">
      <w:pPr>
        <w:pStyle w:val="Heading3"/>
      </w:pPr>
      <w:r w:rsidRPr="005C5C45">
        <w:t>Early Results (if any)</w:t>
      </w:r>
    </w:p>
    <w:p w14:paraId="45B3CEF4" w14:textId="6942A545" w:rsidR="00943F07" w:rsidRPr="005C5C45" w:rsidRDefault="00EA2F88" w:rsidP="006E0487">
      <w:pPr>
        <w:pStyle w:val="Normalrglronly"/>
      </w:pPr>
      <w:r w:rsidRPr="005C5C45">
        <w:t>Stakehol</w:t>
      </w:r>
      <w:r w:rsidR="000B7C85" w:rsidRPr="005C5C45">
        <w:t xml:space="preserve">ders interviewed </w:t>
      </w:r>
      <w:r w:rsidR="00943F07" w:rsidRPr="005C5C45">
        <w:t xml:space="preserve">who were aware that the three-year action plan had been released, </w:t>
      </w:r>
      <w:r w:rsidR="000B7C85" w:rsidRPr="005C5C45">
        <w:t xml:space="preserve">supported </w:t>
      </w:r>
      <w:r w:rsidR="00943F07" w:rsidRPr="005C5C45">
        <w:t>its</w:t>
      </w:r>
      <w:r w:rsidRPr="005C5C45">
        <w:t xml:space="preserve"> six focus are</w:t>
      </w:r>
      <w:r w:rsidR="00C80793" w:rsidRPr="005C5C45">
        <w:t>as</w:t>
      </w:r>
      <w:r w:rsidR="00943F07" w:rsidRPr="005C5C45">
        <w:t>:</w:t>
      </w:r>
    </w:p>
    <w:p w14:paraId="1E1746ED" w14:textId="77777777" w:rsidR="00943F07" w:rsidRPr="005C5C45" w:rsidRDefault="00943F07" w:rsidP="00437230">
      <w:pPr>
        <w:pStyle w:val="ListParagraph"/>
        <w:numPr>
          <w:ilvl w:val="0"/>
          <w:numId w:val="28"/>
        </w:numPr>
      </w:pPr>
      <w:proofErr w:type="gramStart"/>
      <w:r w:rsidRPr="005C5C45">
        <w:t>adopt</w:t>
      </w:r>
      <w:proofErr w:type="gramEnd"/>
      <w:r w:rsidRPr="005C5C45">
        <w:t xml:space="preserve"> a core set of principles for open government data;</w:t>
      </w:r>
    </w:p>
    <w:p w14:paraId="7E08B53B" w14:textId="77777777" w:rsidR="00943F07" w:rsidRPr="005C5C45" w:rsidRDefault="00943F07" w:rsidP="00437230">
      <w:pPr>
        <w:pStyle w:val="ListParagraph"/>
        <w:numPr>
          <w:ilvl w:val="0"/>
          <w:numId w:val="28"/>
        </w:numPr>
      </w:pPr>
      <w:proofErr w:type="gramStart"/>
      <w:r w:rsidRPr="005C5C45">
        <w:t>expand</w:t>
      </w:r>
      <w:proofErr w:type="gramEnd"/>
      <w:r w:rsidRPr="005C5C45">
        <w:t xml:space="preserve"> and deepen open data practice;</w:t>
      </w:r>
    </w:p>
    <w:p w14:paraId="2F1D8F0C" w14:textId="77777777" w:rsidR="00943F07" w:rsidRPr="005C5C45" w:rsidRDefault="00943F07" w:rsidP="00437230">
      <w:pPr>
        <w:pStyle w:val="ListParagraph"/>
        <w:numPr>
          <w:ilvl w:val="0"/>
          <w:numId w:val="28"/>
        </w:numPr>
      </w:pPr>
      <w:proofErr w:type="gramStart"/>
      <w:r w:rsidRPr="005C5C45">
        <w:t>make</w:t>
      </w:r>
      <w:proofErr w:type="gramEnd"/>
      <w:r w:rsidRPr="005C5C45">
        <w:t xml:space="preserve"> sure the open government data published is truly open;</w:t>
      </w:r>
    </w:p>
    <w:p w14:paraId="1C058785" w14:textId="77777777" w:rsidR="00943F07" w:rsidRPr="005C5C45" w:rsidRDefault="00943F07" w:rsidP="00437230">
      <w:pPr>
        <w:pStyle w:val="ListParagraph"/>
        <w:numPr>
          <w:ilvl w:val="0"/>
          <w:numId w:val="28"/>
        </w:numPr>
      </w:pPr>
      <w:proofErr w:type="gramStart"/>
      <w:r w:rsidRPr="005C5C45">
        <w:t>harmonise</w:t>
      </w:r>
      <w:proofErr w:type="gramEnd"/>
      <w:r w:rsidRPr="005C5C45">
        <w:t xml:space="preserve"> open data, privacy and freedom of information efforts;</w:t>
      </w:r>
    </w:p>
    <w:p w14:paraId="4DFED1D6" w14:textId="77777777" w:rsidR="000C5E3E" w:rsidRDefault="00943F07" w:rsidP="00437230">
      <w:pPr>
        <w:pStyle w:val="ListParagraph"/>
        <w:numPr>
          <w:ilvl w:val="0"/>
          <w:numId w:val="28"/>
        </w:numPr>
      </w:pPr>
      <w:proofErr w:type="gramStart"/>
      <w:r w:rsidRPr="005C5C45">
        <w:t>consult</w:t>
      </w:r>
      <w:proofErr w:type="gramEnd"/>
      <w:r w:rsidRPr="005C5C45">
        <w:t xml:space="preserve"> data users and prioritise what data citizens and data users want; and </w:t>
      </w:r>
    </w:p>
    <w:p w14:paraId="1B2CA9B9" w14:textId="0512EDEC" w:rsidR="00943F07" w:rsidRDefault="00943F07" w:rsidP="00437230">
      <w:pPr>
        <w:pStyle w:val="ListParagraph"/>
        <w:numPr>
          <w:ilvl w:val="0"/>
          <w:numId w:val="28"/>
        </w:numPr>
      </w:pPr>
      <w:proofErr w:type="gramStart"/>
      <w:r w:rsidRPr="005C5C45">
        <w:t>provide</w:t>
      </w:r>
      <w:proofErr w:type="gramEnd"/>
      <w:r w:rsidRPr="005C5C45">
        <w:t xml:space="preserve"> funding, training and support to close the data gap.</w:t>
      </w:r>
    </w:p>
    <w:p w14:paraId="423E209F" w14:textId="77777777" w:rsidR="000C5E3E" w:rsidRPr="005C5C45" w:rsidRDefault="000C5E3E" w:rsidP="005A54BF">
      <w:pPr>
        <w:pStyle w:val="ListParagraph"/>
        <w:numPr>
          <w:ilvl w:val="0"/>
          <w:numId w:val="0"/>
        </w:numPr>
        <w:ind w:left="720"/>
      </w:pPr>
    </w:p>
    <w:p w14:paraId="2D235B41" w14:textId="258A4643" w:rsidR="00EA2F88" w:rsidRPr="005C5C45" w:rsidRDefault="002856BF" w:rsidP="006E0487">
      <w:pPr>
        <w:pStyle w:val="Normalrglronly"/>
        <w:rPr>
          <w:rFonts w:ascii="Times New Roman" w:eastAsia="Times New Roman" w:hAnsi="Times New Roman"/>
          <w:sz w:val="24"/>
          <w:szCs w:val="24"/>
          <w:lang w:eastAsia="en-NZ"/>
        </w:rPr>
      </w:pPr>
      <w:r w:rsidRPr="005C5C45">
        <w:t>Stakeholder</w:t>
      </w:r>
      <w:r w:rsidR="00A006D1" w:rsidRPr="005C5C45">
        <w:t>s</w:t>
      </w:r>
      <w:r w:rsidRPr="005C5C45">
        <w:t xml:space="preserve"> would like to see </w:t>
      </w:r>
      <w:r w:rsidR="000C5E3E">
        <w:t xml:space="preserve">a </w:t>
      </w:r>
      <w:r w:rsidR="00EA2F88" w:rsidRPr="005C5C45">
        <w:t xml:space="preserve">more detailed timeline with deliverable dates </w:t>
      </w:r>
      <w:r w:rsidR="000C5E3E">
        <w:t>for</w:t>
      </w:r>
      <w:r w:rsidR="00EA2F88" w:rsidRPr="005C5C45">
        <w:t xml:space="preserve"> the lead government agencies</w:t>
      </w:r>
      <w:r w:rsidR="0041053E" w:rsidRPr="005C5C45">
        <w:t xml:space="preserve">. </w:t>
      </w:r>
      <w:r w:rsidR="00943F07" w:rsidRPr="005C5C45">
        <w:t>S</w:t>
      </w:r>
      <w:r w:rsidR="00F9714F" w:rsidRPr="005C5C45">
        <w:t>tatistics N</w:t>
      </w:r>
      <w:r w:rsidR="006E0487" w:rsidRPr="005C5C45">
        <w:t xml:space="preserve">ew </w:t>
      </w:r>
      <w:r w:rsidR="00F9714F" w:rsidRPr="005C5C45">
        <w:t>Z</w:t>
      </w:r>
      <w:r w:rsidR="006E0487" w:rsidRPr="005C5C45">
        <w:t>ealand</w:t>
      </w:r>
      <w:r w:rsidR="00F9714F" w:rsidRPr="005C5C45">
        <w:t xml:space="preserve"> has announced </w:t>
      </w:r>
      <w:r w:rsidR="00943F07" w:rsidRPr="005C5C45">
        <w:t>the open data action plan</w:t>
      </w:r>
      <w:r w:rsidR="00F9714F" w:rsidRPr="005C5C45">
        <w:t xml:space="preserve"> will be updated by 31 October</w:t>
      </w:r>
      <w:r w:rsidR="0041053E" w:rsidRPr="005C5C45">
        <w:t xml:space="preserve"> 2017</w:t>
      </w:r>
      <w:r w:rsidR="00F9714F" w:rsidRPr="005C5C45">
        <w:t>.</w:t>
      </w:r>
      <w:r w:rsidR="00F9714F" w:rsidRPr="005C5C45">
        <w:rPr>
          <w:rStyle w:val="EndnoteReference"/>
          <w:rFonts w:cs="Gill Sans"/>
          <w:color w:val="222222"/>
        </w:rPr>
        <w:endnoteReference w:id="131"/>
      </w:r>
    </w:p>
    <w:p w14:paraId="40708F4D" w14:textId="77777777" w:rsidR="00EA2F88" w:rsidRPr="005C5C45" w:rsidRDefault="00EA2F88" w:rsidP="006B1434">
      <w:pPr>
        <w:pStyle w:val="Heading3"/>
      </w:pPr>
      <w:r w:rsidRPr="005C5C45">
        <w:t>Next Steps</w:t>
      </w:r>
    </w:p>
    <w:p w14:paraId="393649C6" w14:textId="1833504B" w:rsidR="001567F0" w:rsidRPr="005C5C45" w:rsidRDefault="00EA2F88" w:rsidP="006E0487">
      <w:pPr>
        <w:pStyle w:val="Normalrglronly"/>
        <w:rPr>
          <w:b/>
        </w:rPr>
        <w:sectPr w:rsidR="001567F0" w:rsidRPr="005C5C45" w:rsidSect="0002581F">
          <w:endnotePr>
            <w:numFmt w:val="decimal"/>
            <w:numRestart w:val="eachSect"/>
          </w:endnotePr>
          <w:pgSz w:w="11900" w:h="16840" w:code="9"/>
          <w:pgMar w:top="1440" w:right="1800" w:bottom="1440" w:left="1800" w:header="720" w:footer="720" w:gutter="0"/>
          <w:cols w:space="720"/>
          <w:docGrid w:linePitch="360"/>
        </w:sectPr>
      </w:pPr>
      <w:r w:rsidRPr="005C5C45">
        <w:t>The</w:t>
      </w:r>
      <w:r w:rsidR="000E6C24" w:rsidRPr="005C5C45">
        <w:t xml:space="preserve"> IRM researcher recommends</w:t>
      </w:r>
      <w:r w:rsidR="004D0294" w:rsidRPr="005C5C45">
        <w:t xml:space="preserve"> that</w:t>
      </w:r>
      <w:r w:rsidR="000E6C24" w:rsidRPr="005C5C45">
        <w:t xml:space="preserve"> </w:t>
      </w:r>
      <w:r w:rsidRPr="005C5C45">
        <w:t xml:space="preserve">this commitment is completed in the remaining period of the action plan and </w:t>
      </w:r>
      <w:r w:rsidR="00C80793" w:rsidRPr="005C5C45">
        <w:t>that</w:t>
      </w:r>
      <w:r w:rsidR="004D0294" w:rsidRPr="005C5C45">
        <w:t xml:space="preserve"> government consider merging the remaining work on </w:t>
      </w:r>
      <w:r w:rsidR="00051347" w:rsidRPr="005C5C45">
        <w:t xml:space="preserve">action plan </w:t>
      </w:r>
      <w:r w:rsidR="004D0294" w:rsidRPr="005C5C45">
        <w:t xml:space="preserve">commitments </w:t>
      </w:r>
      <w:r w:rsidR="00437230" w:rsidRPr="005C5C45">
        <w:t>three</w:t>
      </w:r>
      <w:r w:rsidR="004D0294" w:rsidRPr="005C5C45">
        <w:t xml:space="preserve"> and </w:t>
      </w:r>
      <w:r w:rsidR="00437230" w:rsidRPr="005C5C45">
        <w:t>four</w:t>
      </w:r>
      <w:r w:rsidR="004D0294" w:rsidRPr="005C5C45">
        <w:t xml:space="preserve"> </w:t>
      </w:r>
      <w:r w:rsidR="000C5E3E">
        <w:t>as</w:t>
      </w:r>
      <w:r w:rsidR="004D0294" w:rsidRPr="005C5C45">
        <w:t xml:space="preserve"> the activities relating to </w:t>
      </w:r>
      <w:r w:rsidR="000C5E3E">
        <w:t xml:space="preserve">adopting </w:t>
      </w:r>
      <w:r w:rsidR="004D0294" w:rsidRPr="005C5C45">
        <w:t xml:space="preserve">the Open Data Charter have been completed. </w:t>
      </w:r>
      <w:r w:rsidR="00CF6D60" w:rsidRPr="005C5C45">
        <w:t>Based on the 26 June 2017 update referred to</w:t>
      </w:r>
      <w:r w:rsidR="00182724" w:rsidRPr="005C5C45">
        <w:t xml:space="preserve"> above</w:t>
      </w:r>
      <w:r w:rsidR="00CF6D60" w:rsidRPr="005C5C45">
        <w:t xml:space="preserve">, </w:t>
      </w:r>
      <w:r w:rsidR="00752D50" w:rsidRPr="005C5C45">
        <w:t>there is currently one programme of work delivering commitments three and four as part of the broader O</w:t>
      </w:r>
      <w:r w:rsidR="00267A7E" w:rsidRPr="005C5C45">
        <w:t>pen Government Data</w:t>
      </w:r>
      <w:r w:rsidR="00752D50" w:rsidRPr="005C5C45">
        <w:t xml:space="preserve"> work programme. </w:t>
      </w:r>
    </w:p>
    <w:p w14:paraId="72B911BC" w14:textId="77777777" w:rsidR="00EA2F88" w:rsidRPr="005C5C45" w:rsidRDefault="00EA2F88" w:rsidP="00CE328A">
      <w:pPr>
        <w:pStyle w:val="Heading2"/>
      </w:pPr>
      <w:bookmarkStart w:id="27" w:name="_Toc377998813"/>
      <w:r w:rsidRPr="005C5C45">
        <w:lastRenderedPageBreak/>
        <w:t xml:space="preserve">5. </w:t>
      </w:r>
      <w:proofErr w:type="spellStart"/>
      <w:r w:rsidRPr="005C5C45">
        <w:t>Ongoing</w:t>
      </w:r>
      <w:proofErr w:type="spellEnd"/>
      <w:r w:rsidRPr="005C5C45">
        <w:t xml:space="preserve"> engagement for OGP</w:t>
      </w:r>
      <w:bookmarkEnd w:id="27"/>
    </w:p>
    <w:p w14:paraId="40EA4D36" w14:textId="77777777" w:rsidR="00EA2F88" w:rsidRPr="005C5C45" w:rsidRDefault="00EA2F88" w:rsidP="00CE328A">
      <w:pPr>
        <w:rPr>
          <w:b/>
        </w:rPr>
      </w:pPr>
      <w:r w:rsidRPr="005C5C45">
        <w:rPr>
          <w:b/>
        </w:rPr>
        <w:t xml:space="preserve">Commitment Text: </w:t>
      </w:r>
    </w:p>
    <w:p w14:paraId="77A0EA74" w14:textId="77777777" w:rsidR="00EA2F88" w:rsidRPr="005C5C45" w:rsidRDefault="00EA2F88" w:rsidP="00CE328A">
      <w:pPr>
        <w:rPr>
          <w:i/>
          <w:color w:val="auto"/>
        </w:rPr>
      </w:pPr>
      <w:r w:rsidRPr="005C5C45">
        <w:rPr>
          <w:i/>
          <w:color w:val="auto"/>
        </w:rPr>
        <w:t xml:space="preserve">We will build a flexible and enduring platform for engagement between the </w:t>
      </w:r>
      <w:r w:rsidR="003811C4" w:rsidRPr="005C5C45">
        <w:rPr>
          <w:i/>
          <w:color w:val="auto"/>
        </w:rPr>
        <w:t>N</w:t>
      </w:r>
      <w:r w:rsidR="00C02D8D" w:rsidRPr="005C5C45">
        <w:rPr>
          <w:i/>
          <w:color w:val="auto"/>
        </w:rPr>
        <w:t xml:space="preserve">ew </w:t>
      </w:r>
      <w:r w:rsidR="003811C4" w:rsidRPr="005C5C45">
        <w:rPr>
          <w:i/>
          <w:color w:val="auto"/>
        </w:rPr>
        <w:t>Z</w:t>
      </w:r>
      <w:r w:rsidR="00C02D8D" w:rsidRPr="005C5C45">
        <w:rPr>
          <w:i/>
          <w:color w:val="auto"/>
        </w:rPr>
        <w:t>ealand</w:t>
      </w:r>
      <w:r w:rsidRPr="005C5C45">
        <w:rPr>
          <w:i/>
          <w:color w:val="auto"/>
        </w:rPr>
        <w:t xml:space="preserve"> government and </w:t>
      </w:r>
      <w:r w:rsidR="003811C4" w:rsidRPr="005C5C45">
        <w:rPr>
          <w:i/>
          <w:color w:val="auto"/>
        </w:rPr>
        <w:t>N</w:t>
      </w:r>
      <w:r w:rsidR="00C02D8D" w:rsidRPr="005C5C45">
        <w:rPr>
          <w:i/>
          <w:color w:val="auto"/>
        </w:rPr>
        <w:t xml:space="preserve">ew </w:t>
      </w:r>
      <w:r w:rsidR="003811C4" w:rsidRPr="005C5C45">
        <w:rPr>
          <w:i/>
          <w:color w:val="auto"/>
        </w:rPr>
        <w:t>Z</w:t>
      </w:r>
      <w:r w:rsidR="00C02D8D" w:rsidRPr="005C5C45">
        <w:rPr>
          <w:i/>
          <w:color w:val="auto"/>
        </w:rPr>
        <w:t>ealand</w:t>
      </w:r>
      <w:r w:rsidRPr="005C5C45">
        <w:rPr>
          <w:i/>
          <w:color w:val="auto"/>
        </w:rPr>
        <w:t xml:space="preserve"> communities around the Open Government Partnership.</w:t>
      </w:r>
    </w:p>
    <w:p w14:paraId="734F5C2C" w14:textId="77777777" w:rsidR="00EA2F88" w:rsidRPr="005C5C45" w:rsidRDefault="00EA2F88" w:rsidP="00CE328A">
      <w:pPr>
        <w:rPr>
          <w:i/>
        </w:rPr>
      </w:pPr>
    </w:p>
    <w:p w14:paraId="469003E3" w14:textId="77777777" w:rsidR="00EA2F88" w:rsidRPr="005C5C45" w:rsidRDefault="00EA2F88" w:rsidP="00CE328A">
      <w:pPr>
        <w:rPr>
          <w:i/>
        </w:rPr>
      </w:pPr>
      <w:r w:rsidRPr="005C5C45">
        <w:rPr>
          <w:i/>
        </w:rPr>
        <w:t>Objective: To ensure that government and communities are able to engage on open government topics using a variety of stable methods – including online platforms and face-to-face meetings and other forums – as part of a wider engagement plan.</w:t>
      </w:r>
    </w:p>
    <w:p w14:paraId="1DF1F7B4" w14:textId="77777777" w:rsidR="00EA2F88" w:rsidRPr="005C5C45" w:rsidRDefault="00EA2F88" w:rsidP="00CE328A">
      <w:pPr>
        <w:rPr>
          <w:i/>
        </w:rPr>
      </w:pPr>
    </w:p>
    <w:p w14:paraId="66B87EDE" w14:textId="77777777" w:rsidR="00EA2F88" w:rsidRPr="005C5C45" w:rsidRDefault="00EA2F88" w:rsidP="00CE328A">
      <w:pPr>
        <w:rPr>
          <w:i/>
        </w:rPr>
      </w:pPr>
      <w:r w:rsidRPr="005C5C45">
        <w:rPr>
          <w:i/>
        </w:rPr>
        <w:t xml:space="preserve">Status quo: In facilitating the development of </w:t>
      </w:r>
      <w:r w:rsidR="003811C4" w:rsidRPr="005C5C45">
        <w:rPr>
          <w:i/>
        </w:rPr>
        <w:t>N</w:t>
      </w:r>
      <w:r w:rsidR="00C02D8D" w:rsidRPr="005C5C45">
        <w:rPr>
          <w:i/>
        </w:rPr>
        <w:t xml:space="preserve">ew </w:t>
      </w:r>
      <w:r w:rsidR="003811C4" w:rsidRPr="005C5C45">
        <w:rPr>
          <w:i/>
        </w:rPr>
        <w:t>Z</w:t>
      </w:r>
      <w:r w:rsidR="00C02D8D" w:rsidRPr="005C5C45">
        <w:rPr>
          <w:i/>
        </w:rPr>
        <w:t>ealand</w:t>
      </w:r>
      <w:r w:rsidRPr="005C5C45">
        <w:rPr>
          <w:i/>
        </w:rPr>
        <w:t xml:space="preserve">’s National Action Plan for the OGP, the State Services Commission (SSC) has built an online platform to engage with </w:t>
      </w:r>
      <w:r w:rsidR="003811C4" w:rsidRPr="005C5C45">
        <w:rPr>
          <w:i/>
        </w:rPr>
        <w:t>N</w:t>
      </w:r>
      <w:r w:rsidR="00C02D8D" w:rsidRPr="005C5C45">
        <w:rPr>
          <w:i/>
        </w:rPr>
        <w:t xml:space="preserve">ew </w:t>
      </w:r>
      <w:r w:rsidR="003811C4" w:rsidRPr="005C5C45">
        <w:rPr>
          <w:i/>
        </w:rPr>
        <w:t>Z</w:t>
      </w:r>
      <w:r w:rsidR="00C02D8D" w:rsidRPr="005C5C45">
        <w:rPr>
          <w:i/>
        </w:rPr>
        <w:t>ealand</w:t>
      </w:r>
      <w:r w:rsidRPr="005C5C45">
        <w:rPr>
          <w:i/>
        </w:rPr>
        <w:t xml:space="preserve"> communities, using both government tools and software provided by an independent vendor. The SSC wants to build on this to improve engagement over the life of the next action plan. </w:t>
      </w:r>
      <w:proofErr w:type="gramStart"/>
      <w:r w:rsidRPr="005C5C45">
        <w:rPr>
          <w:i/>
        </w:rPr>
        <w:t>It is also supported in its work by an independent Expert Advisory Panel and a government officials group</w:t>
      </w:r>
      <w:proofErr w:type="gramEnd"/>
      <w:r w:rsidRPr="005C5C45">
        <w:rPr>
          <w:i/>
        </w:rPr>
        <w:t>. The SSC intends to expand the ways people can get involved</w:t>
      </w:r>
      <w:r w:rsidR="00ED2352" w:rsidRPr="005C5C45">
        <w:rPr>
          <w:i/>
        </w:rPr>
        <w:t xml:space="preserve"> over the duration of the plan.</w:t>
      </w:r>
    </w:p>
    <w:p w14:paraId="4EE7F99E" w14:textId="77777777" w:rsidR="00EA2F88" w:rsidRPr="005C5C45" w:rsidRDefault="00EA2F88" w:rsidP="00CE328A">
      <w:pPr>
        <w:rPr>
          <w:i/>
        </w:rPr>
      </w:pPr>
    </w:p>
    <w:p w14:paraId="345FFC9D" w14:textId="77777777" w:rsidR="00EA2F88" w:rsidRPr="005C5C45" w:rsidRDefault="00EA2F88" w:rsidP="00CE328A">
      <w:pPr>
        <w:rPr>
          <w:i/>
        </w:rPr>
      </w:pPr>
      <w:r w:rsidRPr="005C5C45">
        <w:rPr>
          <w:i/>
        </w:rPr>
        <w:t xml:space="preserve">Ambition: The SSC is committed to building a stable, fit-for-purpose platform for </w:t>
      </w:r>
      <w:r w:rsidR="003811C4" w:rsidRPr="005C5C45">
        <w:rPr>
          <w:i/>
        </w:rPr>
        <w:t>N</w:t>
      </w:r>
      <w:r w:rsidR="00C02D8D" w:rsidRPr="005C5C45">
        <w:rPr>
          <w:i/>
        </w:rPr>
        <w:t xml:space="preserve">ew </w:t>
      </w:r>
      <w:r w:rsidR="003811C4" w:rsidRPr="005C5C45">
        <w:rPr>
          <w:i/>
        </w:rPr>
        <w:t>Z</w:t>
      </w:r>
      <w:r w:rsidR="00C02D8D" w:rsidRPr="005C5C45">
        <w:rPr>
          <w:i/>
        </w:rPr>
        <w:t>ealand</w:t>
      </w:r>
      <w:r w:rsidRPr="005C5C45">
        <w:rPr>
          <w:i/>
        </w:rPr>
        <w:t xml:space="preserve">ers to engage with their government, using the technology and channels that people expect to use in a modern society. It will work toward ways of managing </w:t>
      </w:r>
      <w:r w:rsidR="003811C4" w:rsidRPr="005C5C45">
        <w:rPr>
          <w:i/>
        </w:rPr>
        <w:t>NZ</w:t>
      </w:r>
      <w:r w:rsidRPr="005C5C45">
        <w:rPr>
          <w:i/>
        </w:rPr>
        <w:t>’s participation in OGP that will reflect a spirit of co-creation with communities.</w:t>
      </w:r>
    </w:p>
    <w:p w14:paraId="616AE12F" w14:textId="77777777" w:rsidR="004973F6" w:rsidRPr="005C5C45" w:rsidRDefault="004973F6" w:rsidP="00CE328A">
      <w:pPr>
        <w:rPr>
          <w:i/>
        </w:rPr>
      </w:pPr>
    </w:p>
    <w:p w14:paraId="5C4DB338" w14:textId="77777777" w:rsidR="004973F6" w:rsidRPr="005C5C45" w:rsidRDefault="004973F6" w:rsidP="00CE328A">
      <w:pPr>
        <w:rPr>
          <w:i/>
        </w:rPr>
      </w:pPr>
      <w:r w:rsidRPr="005C5C45">
        <w:rPr>
          <w:i/>
        </w:rPr>
        <w:t xml:space="preserve">Milestones: </w:t>
      </w:r>
    </w:p>
    <w:p w14:paraId="2BE161CF" w14:textId="77777777" w:rsidR="004973F6" w:rsidRPr="005C5C45" w:rsidRDefault="007F1B2A" w:rsidP="00FA4B36">
      <w:pPr>
        <w:pStyle w:val="APQuotefeaturetol"/>
        <w:numPr>
          <w:ilvl w:val="0"/>
          <w:numId w:val="64"/>
        </w:numPr>
      </w:pPr>
      <w:r w:rsidRPr="005C5C45">
        <w:t>Work with the Department of Internal Affairs to improve government’s access to, and use of, digital public engagement tools</w:t>
      </w:r>
    </w:p>
    <w:p w14:paraId="0071FC59" w14:textId="77777777" w:rsidR="007F1B2A" w:rsidRPr="005C5C45" w:rsidRDefault="007F1B2A" w:rsidP="00FA4B36">
      <w:pPr>
        <w:pStyle w:val="APQuotefeaturetol"/>
        <w:numPr>
          <w:ilvl w:val="0"/>
          <w:numId w:val="64"/>
        </w:numPr>
      </w:pPr>
      <w:r w:rsidRPr="005C5C45">
        <w:t>Work with the Expert Advisory Panel to decide how best to report on progress against OGP milestones</w:t>
      </w:r>
    </w:p>
    <w:p w14:paraId="2FEA9403" w14:textId="77777777" w:rsidR="007F1B2A" w:rsidRPr="005C5C45" w:rsidRDefault="007F1B2A" w:rsidP="00FA4B36">
      <w:pPr>
        <w:pStyle w:val="APQuotefeaturetol"/>
        <w:numPr>
          <w:ilvl w:val="0"/>
          <w:numId w:val="64"/>
        </w:numPr>
      </w:pPr>
      <w:r w:rsidRPr="005C5C45">
        <w:t>Engage with New Zealanders to develop the approach to the next plan</w:t>
      </w:r>
    </w:p>
    <w:p w14:paraId="553CFAFA" w14:textId="77777777" w:rsidR="00EA2F88" w:rsidRPr="005C5C45" w:rsidRDefault="00EA2F88" w:rsidP="00CE328A"/>
    <w:p w14:paraId="1F751D87" w14:textId="77777777" w:rsidR="00EA2F88" w:rsidRPr="005C5C45" w:rsidRDefault="00EA2F88" w:rsidP="00437230">
      <w:pPr>
        <w:pStyle w:val="Normalrglronly"/>
        <w:tabs>
          <w:tab w:val="left" w:pos="3523"/>
        </w:tabs>
      </w:pPr>
      <w:r w:rsidRPr="005C5C45">
        <w:rPr>
          <w:b/>
        </w:rPr>
        <w:t>Responsible institution:</w:t>
      </w:r>
      <w:r w:rsidR="007F1B2A" w:rsidRPr="005C5C45">
        <w:t xml:space="preserve"> </w:t>
      </w:r>
      <w:r w:rsidR="007F1B2A" w:rsidRPr="005C5C45">
        <w:tab/>
      </w:r>
      <w:r w:rsidRPr="005C5C45">
        <w:t>State Services Commission</w:t>
      </w:r>
    </w:p>
    <w:p w14:paraId="6AFA97F6" w14:textId="77777777" w:rsidR="00EA2F88" w:rsidRPr="005C5C45" w:rsidRDefault="00EA2F88" w:rsidP="00CE328A">
      <w:pPr>
        <w:pStyle w:val="Normalrglronly"/>
      </w:pPr>
      <w:r w:rsidRPr="005C5C45">
        <w:rPr>
          <w:b/>
        </w:rPr>
        <w:t>Supporting institution(s</w:t>
      </w:r>
      <w:r w:rsidR="00C80793" w:rsidRPr="00D92756">
        <w:rPr>
          <w:b/>
        </w:rPr>
        <w:t>):</w:t>
      </w:r>
      <w:r w:rsidR="00C80793" w:rsidRPr="00D92756">
        <w:rPr>
          <w:b/>
        </w:rPr>
        <w:tab/>
      </w:r>
      <w:r w:rsidR="007F1B2A" w:rsidRPr="005C5C45">
        <w:t xml:space="preserve"> </w:t>
      </w:r>
      <w:r w:rsidRPr="005C5C45">
        <w:rPr>
          <w:noProof/>
        </w:rPr>
        <w:t>Department of Internal Affairs</w:t>
      </w:r>
    </w:p>
    <w:p w14:paraId="1CFB597C" w14:textId="77777777" w:rsidR="00D92756" w:rsidRDefault="00EA2F88" w:rsidP="00CE328A">
      <w:pPr>
        <w:pStyle w:val="Normalrglronly"/>
      </w:pPr>
      <w:r w:rsidRPr="005C5C45">
        <w:rPr>
          <w:b/>
        </w:rPr>
        <w:t xml:space="preserve">Start date: </w:t>
      </w:r>
      <w:r w:rsidRPr="005C5C45">
        <w:t>October 2016</w:t>
      </w:r>
      <w:r w:rsidR="007F1B2A" w:rsidRPr="005C5C45">
        <w:t xml:space="preserve"> </w:t>
      </w:r>
      <w:r w:rsidR="00414063">
        <w:t xml:space="preserve">   </w:t>
      </w:r>
    </w:p>
    <w:p w14:paraId="2AA4A2FE" w14:textId="0E544F27" w:rsidR="00EA2F88" w:rsidRPr="005C5C45" w:rsidRDefault="00EA2F88" w:rsidP="00CE328A">
      <w:pPr>
        <w:pStyle w:val="Normalrglronly"/>
      </w:pPr>
      <w:r w:rsidRPr="005C5C45">
        <w:rPr>
          <w:b/>
        </w:rPr>
        <w:t>End date:</w:t>
      </w:r>
      <w:r w:rsidRPr="005C5C45">
        <w:t xml:space="preserve"> June 2018</w:t>
      </w:r>
    </w:p>
    <w:tbl>
      <w:tblPr>
        <w:tblStyle w:val="TableGrid"/>
        <w:tblW w:w="10458" w:type="dxa"/>
        <w:jc w:val="center"/>
        <w:tblLayout w:type="fixed"/>
        <w:tblLook w:val="04A0" w:firstRow="1" w:lastRow="0" w:firstColumn="1" w:lastColumn="0" w:noHBand="0" w:noVBand="1"/>
      </w:tblPr>
      <w:tblGrid>
        <w:gridCol w:w="1600"/>
        <w:gridCol w:w="445"/>
        <w:gridCol w:w="352"/>
        <w:gridCol w:w="352"/>
        <w:gridCol w:w="444"/>
        <w:gridCol w:w="617"/>
        <w:gridCol w:w="443"/>
        <w:gridCol w:w="707"/>
        <w:gridCol w:w="924"/>
        <w:gridCol w:w="434"/>
        <w:gridCol w:w="450"/>
        <w:gridCol w:w="511"/>
        <w:gridCol w:w="476"/>
        <w:gridCol w:w="903"/>
        <w:gridCol w:w="450"/>
        <w:gridCol w:w="450"/>
        <w:gridCol w:w="450"/>
        <w:gridCol w:w="450"/>
      </w:tblGrid>
      <w:tr w:rsidR="00EA2F88" w:rsidRPr="005C5C45" w14:paraId="6626E5E2" w14:textId="77777777" w:rsidTr="002D5132">
        <w:trPr>
          <w:trHeight w:val="441"/>
          <w:jc w:val="center"/>
        </w:trPr>
        <w:tc>
          <w:tcPr>
            <w:tcW w:w="1600" w:type="dxa"/>
            <w:vMerge w:val="restart"/>
            <w:tcBorders>
              <w:top w:val="single" w:sz="4" w:space="0" w:color="FFFFFF" w:themeColor="background1"/>
              <w:left w:val="single" w:sz="4" w:space="0" w:color="FFFFFF" w:themeColor="background1"/>
              <w:right w:val="single" w:sz="12" w:space="0" w:color="FFFFFF" w:themeColor="background1"/>
            </w:tcBorders>
            <w:shd w:val="clear" w:color="auto" w:fill="000000" w:themeFill="text1"/>
          </w:tcPr>
          <w:p w14:paraId="090DB009" w14:textId="77777777" w:rsidR="00EA2F88" w:rsidRPr="005C5C45" w:rsidRDefault="00EA2F88" w:rsidP="002D5132">
            <w:pPr>
              <w:rPr>
                <w:color w:val="FFFFFF" w:themeColor="background1"/>
              </w:rPr>
            </w:pPr>
            <w:r w:rsidRPr="005C5C45">
              <w:rPr>
                <w:color w:val="FFFFFF" w:themeColor="background1"/>
              </w:rPr>
              <w:t>Commitment Overview</w:t>
            </w:r>
          </w:p>
        </w:tc>
        <w:tc>
          <w:tcPr>
            <w:tcW w:w="1593"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1A7D1" w:themeFill="text2" w:themeFillTint="99"/>
          </w:tcPr>
          <w:p w14:paraId="6D2700DD" w14:textId="77777777" w:rsidR="00EA2F88" w:rsidRPr="005C5C45" w:rsidRDefault="00EA2F88" w:rsidP="002D5132">
            <w:r w:rsidRPr="005C5C45">
              <w:t>Specificity</w:t>
            </w:r>
          </w:p>
        </w:tc>
        <w:tc>
          <w:tcPr>
            <w:tcW w:w="2691"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B67B" w:themeFill="accent1" w:themeFillTint="99"/>
          </w:tcPr>
          <w:p w14:paraId="0C5915F3" w14:textId="77777777" w:rsidR="00EA2F88" w:rsidRPr="005C5C45" w:rsidRDefault="00EA2F88" w:rsidP="002D5132">
            <w:pPr>
              <w:rPr>
                <w:color w:val="000000" w:themeColor="text1"/>
              </w:rPr>
            </w:pPr>
            <w:r w:rsidRPr="005C5C45">
              <w:t>OGP Value Relevance</w:t>
            </w:r>
          </w:p>
        </w:tc>
        <w:tc>
          <w:tcPr>
            <w:tcW w:w="1871"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0D479" w:themeFill="accent2" w:themeFillTint="99"/>
          </w:tcPr>
          <w:p w14:paraId="50ABC1E6" w14:textId="77777777" w:rsidR="00EA2F88" w:rsidRPr="005C5C45" w:rsidRDefault="00EA2F88" w:rsidP="002D5132">
            <w:r w:rsidRPr="005C5C45">
              <w:t>Potential Impact</w:t>
            </w:r>
          </w:p>
        </w:tc>
        <w:tc>
          <w:tcPr>
            <w:tcW w:w="903"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tcPr>
          <w:p w14:paraId="683A7E5A" w14:textId="77777777" w:rsidR="00EA2F88" w:rsidRPr="005C5C45" w:rsidRDefault="00EA2F88" w:rsidP="002D5132">
            <w:r w:rsidRPr="005C5C45">
              <w:t>On Time?</w:t>
            </w:r>
          </w:p>
        </w:tc>
        <w:tc>
          <w:tcPr>
            <w:tcW w:w="1800" w:type="dxa"/>
            <w:gridSpan w:val="4"/>
            <w:tcBorders>
              <w:top w:val="single" w:sz="4"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tcPr>
          <w:p w14:paraId="270E2ED2" w14:textId="77777777" w:rsidR="00EA2F88" w:rsidRPr="005C5C45" w:rsidRDefault="00EA2F88" w:rsidP="002D5132">
            <w:r w:rsidRPr="005C5C45">
              <w:t>Completion</w:t>
            </w:r>
          </w:p>
        </w:tc>
      </w:tr>
      <w:tr w:rsidR="00EA2F88" w:rsidRPr="005C5C45" w14:paraId="05C1117A" w14:textId="77777777" w:rsidTr="002D5132">
        <w:trPr>
          <w:cantSplit/>
          <w:trHeight w:val="1861"/>
          <w:jc w:val="center"/>
        </w:trPr>
        <w:tc>
          <w:tcPr>
            <w:tcW w:w="1600" w:type="dxa"/>
            <w:vMerge/>
            <w:tcBorders>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7D4E06C2" w14:textId="77777777" w:rsidR="00EA2F88" w:rsidRPr="005C5C45" w:rsidRDefault="00EA2F88" w:rsidP="002D5132">
            <w:pPr>
              <w:rPr>
                <w:color w:val="FFFFFF" w:themeColor="background1"/>
              </w:rPr>
            </w:pPr>
          </w:p>
        </w:tc>
        <w:tc>
          <w:tcPr>
            <w:tcW w:w="445"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356643C0" w14:textId="77777777" w:rsidR="00EA2F88" w:rsidRPr="005C5C45" w:rsidRDefault="00EA2F88" w:rsidP="002D5132">
            <w:r w:rsidRPr="005C5C45">
              <w:t>None</w:t>
            </w: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2F41FF95" w14:textId="77777777" w:rsidR="00EA2F88" w:rsidRPr="005C5C45" w:rsidRDefault="00EA2F88" w:rsidP="002D5132">
            <w:r w:rsidRPr="005C5C45">
              <w:t>Low</w:t>
            </w: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11F6C103" w14:textId="77777777" w:rsidR="00EA2F88" w:rsidRPr="005C5C45" w:rsidRDefault="00EA2F88" w:rsidP="002D5132">
            <w:r w:rsidRPr="005C5C45">
              <w:t>Medium</w:t>
            </w:r>
          </w:p>
        </w:tc>
        <w:tc>
          <w:tcPr>
            <w:tcW w:w="44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81A7D1" w:themeFill="text2" w:themeFillTint="99"/>
            <w:textDirection w:val="btLr"/>
          </w:tcPr>
          <w:p w14:paraId="42574750" w14:textId="77777777" w:rsidR="00EA2F88" w:rsidRPr="005C5C45" w:rsidRDefault="00EA2F88" w:rsidP="002D5132">
            <w:r w:rsidRPr="005C5C45">
              <w:t>High</w:t>
            </w:r>
          </w:p>
        </w:tc>
        <w:tc>
          <w:tcPr>
            <w:tcW w:w="617"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29579CE2" w14:textId="77777777" w:rsidR="00EA2F88" w:rsidRPr="005C5C45" w:rsidRDefault="00EA2F88" w:rsidP="002D5132">
            <w:r w:rsidRPr="005C5C45">
              <w:t>Access to Information</w:t>
            </w:r>
          </w:p>
        </w:tc>
        <w:tc>
          <w:tcPr>
            <w:tcW w:w="443"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212A5542" w14:textId="77777777" w:rsidR="00EA2F88" w:rsidRPr="005C5C45" w:rsidRDefault="00EA2F88" w:rsidP="002D5132">
            <w:r w:rsidRPr="005C5C45">
              <w:t>Civic Participation</w:t>
            </w:r>
          </w:p>
        </w:tc>
        <w:tc>
          <w:tcPr>
            <w:tcW w:w="707"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70157F91" w14:textId="77777777" w:rsidR="00EA2F88" w:rsidRPr="005C5C45" w:rsidRDefault="00EA2F88" w:rsidP="002D5132">
            <w:r w:rsidRPr="005C5C45">
              <w:t>Public Accountability</w:t>
            </w:r>
          </w:p>
        </w:tc>
        <w:tc>
          <w:tcPr>
            <w:tcW w:w="92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0B67B" w:themeFill="accent1" w:themeFillTint="99"/>
            <w:textDirection w:val="btLr"/>
          </w:tcPr>
          <w:p w14:paraId="03CBDF88" w14:textId="77777777" w:rsidR="00EA2F88" w:rsidRPr="005C5C45" w:rsidRDefault="00EA2F88" w:rsidP="002D5132">
            <w:r w:rsidRPr="005C5C45">
              <w:t xml:space="preserve">Tech. and </w:t>
            </w:r>
            <w:proofErr w:type="spellStart"/>
            <w:r w:rsidRPr="005C5C45">
              <w:t>Innov</w:t>
            </w:r>
            <w:proofErr w:type="spellEnd"/>
            <w:r w:rsidRPr="005C5C45">
              <w:t xml:space="preserve">. </w:t>
            </w:r>
            <w:proofErr w:type="gramStart"/>
            <w:r w:rsidRPr="005C5C45">
              <w:t>for</w:t>
            </w:r>
            <w:proofErr w:type="gramEnd"/>
            <w:r w:rsidRPr="005C5C45">
              <w:t xml:space="preserve"> Transparency and Accountability</w:t>
            </w:r>
          </w:p>
        </w:tc>
        <w:tc>
          <w:tcPr>
            <w:tcW w:w="434"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3F4B0FA4" w14:textId="77777777" w:rsidR="00EA2F88" w:rsidRPr="005C5C45" w:rsidRDefault="00EA2F88" w:rsidP="002D5132">
            <w:r w:rsidRPr="005C5C45">
              <w:t>None</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3DA3D900" w14:textId="77777777" w:rsidR="00EA2F88" w:rsidRPr="005C5C45" w:rsidRDefault="00EA2F88" w:rsidP="002D5132">
            <w:r w:rsidRPr="005C5C45">
              <w:t>Minor</w:t>
            </w:r>
          </w:p>
        </w:tc>
        <w:tc>
          <w:tcPr>
            <w:tcW w:w="511"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51C8A758" w14:textId="77777777" w:rsidR="00EA2F88" w:rsidRPr="005C5C45" w:rsidRDefault="00EA2F88" w:rsidP="002D5132">
            <w:r w:rsidRPr="005C5C45">
              <w:t>Moderate</w:t>
            </w:r>
          </w:p>
        </w:tc>
        <w:tc>
          <w:tcPr>
            <w:tcW w:w="47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90D479" w:themeFill="accent2" w:themeFillTint="99"/>
            <w:textDirection w:val="btLr"/>
          </w:tcPr>
          <w:p w14:paraId="19C8CCB6" w14:textId="77777777" w:rsidR="00EA2F88" w:rsidRPr="005C5C45" w:rsidRDefault="00EA2F88" w:rsidP="002D5132">
            <w:r w:rsidRPr="005C5C45">
              <w:t>Transformative</w:t>
            </w:r>
          </w:p>
        </w:tc>
        <w:tc>
          <w:tcPr>
            <w:tcW w:w="9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textDirection w:val="btLr"/>
          </w:tcPr>
          <w:p w14:paraId="4762319E" w14:textId="77777777" w:rsidR="00EA2F88" w:rsidRPr="005C5C45" w:rsidRDefault="00EA2F88" w:rsidP="002D5132"/>
        </w:tc>
        <w:tc>
          <w:tcPr>
            <w:tcW w:w="450"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1D164986" w14:textId="77777777" w:rsidR="00EA2F88" w:rsidRPr="005C5C45" w:rsidRDefault="00EA2F88" w:rsidP="002D5132">
            <w:r w:rsidRPr="005C5C45">
              <w:t>Not Started</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7B0F6C53" w14:textId="77777777" w:rsidR="00EA2F88" w:rsidRPr="005C5C45" w:rsidRDefault="00EA2F88" w:rsidP="002D5132">
            <w:r w:rsidRPr="005C5C45">
              <w:t>Limited</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19BB9368" w14:textId="77777777" w:rsidR="00EA2F88" w:rsidRPr="005C5C45" w:rsidRDefault="00EA2F88" w:rsidP="002D5132">
            <w:r w:rsidRPr="005C5C45">
              <w:t>Substantial</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4C12BBF2" w14:textId="77777777" w:rsidR="00EA2F88" w:rsidRPr="005C5C45" w:rsidRDefault="00EA2F88" w:rsidP="002D5132">
            <w:r w:rsidRPr="005C5C45">
              <w:t>Complete</w:t>
            </w:r>
          </w:p>
        </w:tc>
      </w:tr>
      <w:tr w:rsidR="00EA2F88" w:rsidRPr="005C5C45" w14:paraId="2246FA73" w14:textId="77777777" w:rsidTr="002D5132">
        <w:trPr>
          <w:trHeight w:val="652"/>
          <w:jc w:val="center"/>
        </w:trPr>
        <w:tc>
          <w:tcPr>
            <w:tcW w:w="1600"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5AC831A3" w14:textId="77777777" w:rsidR="00EA2F88" w:rsidRPr="005C5C45" w:rsidRDefault="00EA2F88" w:rsidP="002D5132">
            <w:pPr>
              <w:rPr>
                <w:color w:val="FFFFFF" w:themeColor="background1"/>
              </w:rPr>
            </w:pPr>
            <w:r w:rsidRPr="005C5C45">
              <w:rPr>
                <w:color w:val="FFFFFF" w:themeColor="background1"/>
              </w:rPr>
              <w:t>5</w:t>
            </w:r>
            <w:r w:rsidR="00AB2B21" w:rsidRPr="005C5C45">
              <w:rPr>
                <w:color w:val="FFFFFF" w:themeColor="background1"/>
              </w:rPr>
              <w:t xml:space="preserve">. </w:t>
            </w:r>
            <w:proofErr w:type="spellStart"/>
            <w:r w:rsidR="00AB2B21" w:rsidRPr="005C5C45">
              <w:rPr>
                <w:color w:val="FFFFFF" w:themeColor="background1"/>
              </w:rPr>
              <w:t>Ongoing</w:t>
            </w:r>
            <w:proofErr w:type="spellEnd"/>
            <w:r w:rsidR="00AB2B21" w:rsidRPr="005C5C45">
              <w:rPr>
                <w:color w:val="FFFFFF" w:themeColor="background1"/>
              </w:rPr>
              <w:t xml:space="preserve"> Engagement for OGP</w:t>
            </w:r>
          </w:p>
        </w:tc>
        <w:tc>
          <w:tcPr>
            <w:tcW w:w="445"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4D251C85" w14:textId="77777777" w:rsidR="00EA2F88" w:rsidRPr="005C5C45" w:rsidRDefault="00EA2F88" w:rsidP="002D5132">
            <w:pPr>
              <w:jc w:val="center"/>
              <w:rPr>
                <w:sz w:val="20"/>
              </w:rPr>
            </w:pP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23C40025" w14:textId="77777777" w:rsidR="00EA2F88" w:rsidRPr="005C5C45" w:rsidRDefault="00EA2F88" w:rsidP="002D5132">
            <w:pPr>
              <w:jc w:val="center"/>
              <w:rPr>
                <w:sz w:val="20"/>
              </w:rPr>
            </w:pP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31465F83" w14:textId="77777777" w:rsidR="00EA2F88" w:rsidRPr="005C5C45" w:rsidRDefault="00D72CAF" w:rsidP="002D5132">
            <w:pPr>
              <w:jc w:val="center"/>
              <w:rPr>
                <w:sz w:val="20"/>
              </w:rPr>
            </w:pPr>
            <w:r w:rsidRPr="005C5C45">
              <w:rPr>
                <w:rFonts w:ascii="Zapf Dingbats" w:hAnsi="Zapf Dingbats"/>
                <w:noProof/>
                <w:sz w:val="20"/>
              </w:rPr>
              <w:t>✔</w:t>
            </w:r>
          </w:p>
        </w:tc>
        <w:tc>
          <w:tcPr>
            <w:tcW w:w="44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81A7D1" w:themeFill="text2" w:themeFillTint="99"/>
            <w:vAlign w:val="center"/>
          </w:tcPr>
          <w:p w14:paraId="73CAF6C9" w14:textId="77777777" w:rsidR="00EA2F88" w:rsidRPr="005C5C45" w:rsidRDefault="00EA2F88" w:rsidP="002D5132">
            <w:pPr>
              <w:jc w:val="center"/>
              <w:rPr>
                <w:rFonts w:ascii="Zapf Dingbats" w:hAnsi="Zapf Dingbats"/>
                <w:noProof/>
                <w:sz w:val="20"/>
              </w:rPr>
            </w:pPr>
          </w:p>
        </w:tc>
        <w:tc>
          <w:tcPr>
            <w:tcW w:w="617"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4C6A60D3" w14:textId="77777777" w:rsidR="00EA2F88" w:rsidRPr="005C5C45" w:rsidRDefault="00EA2F88" w:rsidP="002D5132">
            <w:pPr>
              <w:jc w:val="center"/>
              <w:rPr>
                <w:rFonts w:ascii="Zapf Dingbats" w:hAnsi="Zapf Dingbats"/>
                <w:noProof/>
                <w:sz w:val="20"/>
              </w:rPr>
            </w:pPr>
          </w:p>
        </w:tc>
        <w:tc>
          <w:tcPr>
            <w:tcW w:w="443"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28115665" w14:textId="77777777" w:rsidR="00EA2F88" w:rsidRPr="005C5C45" w:rsidRDefault="00EA2F88" w:rsidP="002D5132">
            <w:pPr>
              <w:jc w:val="center"/>
              <w:rPr>
                <w:sz w:val="20"/>
              </w:rPr>
            </w:pPr>
            <w:r w:rsidRPr="005C5C45">
              <w:rPr>
                <w:rFonts w:ascii="Zapf Dingbats" w:hAnsi="Zapf Dingbats"/>
                <w:noProof/>
                <w:sz w:val="20"/>
              </w:rPr>
              <w:t>✔</w:t>
            </w:r>
          </w:p>
        </w:tc>
        <w:tc>
          <w:tcPr>
            <w:tcW w:w="707"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3C2C2F11" w14:textId="77777777" w:rsidR="00EA2F88" w:rsidRPr="005C5C45" w:rsidRDefault="00EA2F88" w:rsidP="002D5132">
            <w:pPr>
              <w:jc w:val="center"/>
              <w:rPr>
                <w:sz w:val="20"/>
              </w:rPr>
            </w:pPr>
          </w:p>
        </w:tc>
        <w:tc>
          <w:tcPr>
            <w:tcW w:w="92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0B67B" w:themeFill="accent1" w:themeFillTint="99"/>
            <w:vAlign w:val="center"/>
          </w:tcPr>
          <w:p w14:paraId="061678DE" w14:textId="77777777" w:rsidR="00EA2F88" w:rsidRPr="005C5C45" w:rsidRDefault="00EA2F88" w:rsidP="002D5132">
            <w:pPr>
              <w:jc w:val="center"/>
              <w:rPr>
                <w:sz w:val="20"/>
              </w:rPr>
            </w:pPr>
            <w:r w:rsidRPr="005C5C45">
              <w:rPr>
                <w:rFonts w:ascii="Zapf Dingbats" w:hAnsi="Zapf Dingbats"/>
                <w:noProof/>
                <w:sz w:val="20"/>
              </w:rPr>
              <w:t>✔</w:t>
            </w:r>
          </w:p>
        </w:tc>
        <w:tc>
          <w:tcPr>
            <w:tcW w:w="434"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2727A063" w14:textId="77777777" w:rsidR="00EA2F88" w:rsidRPr="005C5C45" w:rsidRDefault="00EA2F88" w:rsidP="002D5132">
            <w:pPr>
              <w:jc w:val="center"/>
              <w:rPr>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3640B13C" w14:textId="77777777" w:rsidR="00EA2F88" w:rsidRPr="005C5C45" w:rsidRDefault="00EA2F88" w:rsidP="002D5132">
            <w:pPr>
              <w:jc w:val="center"/>
              <w:rPr>
                <w:rFonts w:ascii="Zapf Dingbats" w:hAnsi="Zapf Dingbats"/>
                <w:noProof/>
                <w:sz w:val="20"/>
              </w:rPr>
            </w:pPr>
          </w:p>
        </w:tc>
        <w:tc>
          <w:tcPr>
            <w:tcW w:w="511"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6ADC1845" w14:textId="77777777" w:rsidR="00EA2F88" w:rsidRPr="005C5C45" w:rsidRDefault="00EB057A" w:rsidP="002D5132">
            <w:pPr>
              <w:jc w:val="center"/>
              <w:rPr>
                <w:sz w:val="20"/>
              </w:rPr>
            </w:pPr>
            <w:r w:rsidRPr="005C5C45">
              <w:rPr>
                <w:rFonts w:ascii="Zapf Dingbats" w:hAnsi="Zapf Dingbats"/>
                <w:noProof/>
                <w:sz w:val="20"/>
              </w:rPr>
              <w:t>✔</w:t>
            </w:r>
          </w:p>
        </w:tc>
        <w:tc>
          <w:tcPr>
            <w:tcW w:w="47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90D479" w:themeFill="accent2" w:themeFillTint="99"/>
            <w:vAlign w:val="center"/>
          </w:tcPr>
          <w:p w14:paraId="189C083A" w14:textId="77777777" w:rsidR="00EA2F88" w:rsidRPr="005C5C45" w:rsidRDefault="00EA2F88" w:rsidP="002D5132">
            <w:pPr>
              <w:jc w:val="center"/>
              <w:rPr>
                <w:sz w:val="20"/>
              </w:rPr>
            </w:pPr>
          </w:p>
        </w:tc>
        <w:tc>
          <w:tcPr>
            <w:tcW w:w="9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vAlign w:val="center"/>
          </w:tcPr>
          <w:p w14:paraId="1F457933" w14:textId="0088D90C" w:rsidR="00EA2F88" w:rsidRPr="005C5C45" w:rsidRDefault="00D92756" w:rsidP="002D5132">
            <w:pPr>
              <w:jc w:val="center"/>
              <w:rPr>
                <w:sz w:val="20"/>
              </w:rPr>
            </w:pPr>
            <w:r w:rsidRPr="00754971">
              <w:rPr>
                <w:noProof/>
                <w:szCs w:val="22"/>
              </w:rPr>
              <w:t>Yes</w:t>
            </w:r>
          </w:p>
        </w:tc>
        <w:tc>
          <w:tcPr>
            <w:tcW w:w="450"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474766C7" w14:textId="77777777" w:rsidR="00EA2F88" w:rsidRPr="005C5C45" w:rsidRDefault="00EA2F88" w:rsidP="002D5132">
            <w:pPr>
              <w:jc w:val="center"/>
              <w:rPr>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193EC48D" w14:textId="77777777" w:rsidR="00EA2F88" w:rsidRPr="005C5C45" w:rsidRDefault="00EA2F88" w:rsidP="002D5132">
            <w:pPr>
              <w:jc w:val="center"/>
              <w:rPr>
                <w:color w:val="BFBFBF" w:themeColor="background1" w:themeShade="BF"/>
                <w:sz w:val="20"/>
              </w:rPr>
            </w:pPr>
            <w:r w:rsidRPr="005C5C45">
              <w:rPr>
                <w:rFonts w:ascii="Zapf Dingbats" w:hAnsi="Zapf Dingbats"/>
                <w:noProof/>
                <w:sz w:val="20"/>
              </w:rPr>
              <w:t>✔</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18070A0D" w14:textId="77777777" w:rsidR="00EA2F88" w:rsidRPr="005C5C45" w:rsidRDefault="00EA2F88" w:rsidP="002D5132">
            <w:pPr>
              <w:jc w:val="center"/>
              <w:rPr>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61194A5F" w14:textId="77777777" w:rsidR="00EA2F88" w:rsidRPr="005C5C45" w:rsidRDefault="00EA2F88" w:rsidP="002D5132">
            <w:pPr>
              <w:jc w:val="center"/>
              <w:rPr>
                <w:rFonts w:ascii="Zapf Dingbats" w:hAnsi="Zapf Dingbats"/>
                <w:noProof/>
                <w:sz w:val="20"/>
              </w:rPr>
            </w:pPr>
          </w:p>
        </w:tc>
      </w:tr>
    </w:tbl>
    <w:p w14:paraId="1802E2C0" w14:textId="77777777" w:rsidR="00EA2F88" w:rsidRPr="005C5C45" w:rsidRDefault="00EA2F88" w:rsidP="00D17B72">
      <w:pPr>
        <w:pStyle w:val="Heading3"/>
      </w:pPr>
      <w:r w:rsidRPr="005C5C45">
        <w:t xml:space="preserve">Context and Objectives </w:t>
      </w:r>
    </w:p>
    <w:p w14:paraId="41C1927A" w14:textId="3958CC41" w:rsidR="003B3B82" w:rsidRPr="005C5C45" w:rsidRDefault="003B3B82" w:rsidP="002D5132">
      <w:pPr>
        <w:pStyle w:val="Normalrglronly"/>
      </w:pPr>
      <w:r w:rsidRPr="005C5C45">
        <w:t xml:space="preserve">The government offers </w:t>
      </w:r>
      <w:r w:rsidR="00415346">
        <w:t>‘</w:t>
      </w:r>
      <w:r w:rsidR="0015201A" w:rsidRPr="005C5C45">
        <w:t xml:space="preserve">a </w:t>
      </w:r>
      <w:r w:rsidRPr="005C5C45">
        <w:t>range of guidance materials to help the public sector engage effectively with the public to increase transparency and support participatory government</w:t>
      </w:r>
      <w:r w:rsidR="00415346">
        <w:t>’</w:t>
      </w:r>
      <w:r w:rsidR="00D92756">
        <w:t>.</w:t>
      </w:r>
      <w:r w:rsidRPr="005C5C45">
        <w:rPr>
          <w:rStyle w:val="EndnoteReference"/>
          <w:bCs w:val="0"/>
        </w:rPr>
        <w:endnoteReference w:id="132"/>
      </w:r>
      <w:r w:rsidR="0015201A" w:rsidRPr="005C5C45">
        <w:rPr>
          <w:rFonts w:ascii="Trebuchet MS" w:hAnsi="Trebuchet MS"/>
          <w:color w:val="333333"/>
          <w:sz w:val="21"/>
          <w:szCs w:val="21"/>
          <w:shd w:val="clear" w:color="auto" w:fill="FFFFFF"/>
        </w:rPr>
        <w:t xml:space="preserve"> </w:t>
      </w:r>
      <w:r w:rsidRPr="005C5C45">
        <w:t>Its</w:t>
      </w:r>
      <w:r w:rsidR="00EA2F88" w:rsidRPr="005C5C45">
        <w:t xml:space="preserve"> online engagement guidance, released in September 2015</w:t>
      </w:r>
      <w:r w:rsidR="008D7D04" w:rsidRPr="005C5C45">
        <w:t>,</w:t>
      </w:r>
      <w:r w:rsidR="00EA2F88" w:rsidRPr="005C5C45">
        <w:rPr>
          <w:rStyle w:val="EndnoteReference"/>
          <w:bCs w:val="0"/>
        </w:rPr>
        <w:endnoteReference w:id="133"/>
      </w:r>
      <w:r w:rsidR="002751E0" w:rsidRPr="005C5C45">
        <w:t xml:space="preserve"> is the</w:t>
      </w:r>
      <w:r w:rsidR="00EA2F88" w:rsidRPr="005C5C45">
        <w:t xml:space="preserve"> </w:t>
      </w:r>
      <w:r w:rsidR="00283B88" w:rsidRPr="005C5C45">
        <w:t>starting point</w:t>
      </w:r>
      <w:r w:rsidR="00EA2F88" w:rsidRPr="005C5C45">
        <w:t xml:space="preserve"> for agencies. </w:t>
      </w:r>
      <w:r w:rsidR="00162250" w:rsidRPr="005C5C45">
        <w:t>G</w:t>
      </w:r>
      <w:r w:rsidR="00EA2F88" w:rsidRPr="005C5C45">
        <w:t xml:space="preserve">ovt.nz </w:t>
      </w:r>
      <w:r w:rsidR="0015201A" w:rsidRPr="005C5C45">
        <w:t>provides</w:t>
      </w:r>
      <w:r w:rsidR="002751E0" w:rsidRPr="005C5C45">
        <w:t xml:space="preserve"> a consultation </w:t>
      </w:r>
      <w:r w:rsidR="00162250" w:rsidRPr="005C5C45">
        <w:t xml:space="preserve">listing </w:t>
      </w:r>
      <w:r w:rsidR="002751E0" w:rsidRPr="005C5C45">
        <w:t>for</w:t>
      </w:r>
      <w:r w:rsidR="00EA2F88" w:rsidRPr="005C5C45">
        <w:t xml:space="preserve"> central and</w:t>
      </w:r>
      <w:r w:rsidR="002751E0" w:rsidRPr="005C5C45">
        <w:t xml:space="preserve"> local government agencies </w:t>
      </w:r>
      <w:r w:rsidR="002751E0" w:rsidRPr="005C5C45">
        <w:lastRenderedPageBreak/>
        <w:t>and the public</w:t>
      </w:r>
      <w:r w:rsidR="00EA2F88" w:rsidRPr="005C5C45">
        <w:t>.</w:t>
      </w:r>
      <w:r w:rsidRPr="005C5C45">
        <w:rPr>
          <w:rStyle w:val="EndnoteReference"/>
          <w:bCs w:val="0"/>
        </w:rPr>
        <w:endnoteReference w:id="134"/>
      </w:r>
      <w:r w:rsidR="00EA2F88" w:rsidRPr="005C5C45">
        <w:t xml:space="preserve"> </w:t>
      </w:r>
      <w:r w:rsidRPr="005C5C45">
        <w:t xml:space="preserve">The </w:t>
      </w:r>
      <w:r w:rsidR="00CF7754" w:rsidRPr="005C5C45">
        <w:t xml:space="preserve">pilot </w:t>
      </w:r>
      <w:r w:rsidRPr="005C5C45">
        <w:t>Government Online Engagement Service (GOES)</w:t>
      </w:r>
      <w:r w:rsidR="00CF7754" w:rsidRPr="005C5C45">
        <w:t xml:space="preserve"> is the survey software tool built on government’s common web platform.</w:t>
      </w:r>
      <w:r w:rsidRPr="005C5C45">
        <w:t xml:space="preserve"> </w:t>
      </w:r>
      <w:r w:rsidR="00EA2F88" w:rsidRPr="005C5C45">
        <w:t>Other agencies have their own tools, platforms or processes for engagement with the public.</w:t>
      </w:r>
    </w:p>
    <w:p w14:paraId="0C08D482" w14:textId="398A117A" w:rsidR="0085756F" w:rsidRPr="005C5C45" w:rsidRDefault="00EA2F88" w:rsidP="002D5132">
      <w:pPr>
        <w:pStyle w:val="Normalrglronly"/>
      </w:pPr>
      <w:r w:rsidRPr="005C5C45">
        <w:t xml:space="preserve">When developing this action plan, the SSC used two platforms: </w:t>
      </w:r>
      <w:r w:rsidR="0015201A" w:rsidRPr="005C5C45">
        <w:t>GOES</w:t>
      </w:r>
      <w:r w:rsidR="002751E0" w:rsidRPr="005C5C45">
        <w:t xml:space="preserve"> and the tool used </w:t>
      </w:r>
      <w:r w:rsidRPr="005C5C45">
        <w:t>by</w:t>
      </w:r>
      <w:r w:rsidR="006402A6" w:rsidRPr="005C5C45">
        <w:t xml:space="preserve"> Engage2</w:t>
      </w:r>
      <w:r w:rsidR="001601D7">
        <w:t xml:space="preserve">. </w:t>
      </w:r>
      <w:r w:rsidRPr="005C5C45">
        <w:t xml:space="preserve">While </w:t>
      </w:r>
      <w:r w:rsidR="0085756F" w:rsidRPr="005C5C45">
        <w:t>government used</w:t>
      </w:r>
      <w:r w:rsidR="005A575E" w:rsidRPr="005C5C45">
        <w:t xml:space="preserve"> these</w:t>
      </w:r>
      <w:r w:rsidR="0085756F" w:rsidRPr="005C5C45">
        <w:t xml:space="preserve"> </w:t>
      </w:r>
      <w:r w:rsidRPr="005C5C45">
        <w:t xml:space="preserve">two </w:t>
      </w:r>
      <w:r w:rsidR="0085756F" w:rsidRPr="005C5C45">
        <w:t xml:space="preserve">existing </w:t>
      </w:r>
      <w:r w:rsidRPr="005C5C45">
        <w:t xml:space="preserve">platforms </w:t>
      </w:r>
      <w:r w:rsidR="0085756F" w:rsidRPr="005C5C45">
        <w:t>to broaden</w:t>
      </w:r>
      <w:r w:rsidRPr="005C5C45">
        <w:t xml:space="preserve"> the</w:t>
      </w:r>
      <w:r w:rsidR="00785763" w:rsidRPr="005C5C45">
        <w:t xml:space="preserve"> scope of</w:t>
      </w:r>
      <w:r w:rsidRPr="005C5C45">
        <w:t xml:space="preserve"> engagement, </w:t>
      </w:r>
      <w:r w:rsidR="009A20EF" w:rsidRPr="005C5C45">
        <w:t>s</w:t>
      </w:r>
      <w:r w:rsidR="00F83834" w:rsidRPr="005C5C45">
        <w:t xml:space="preserve">ome </w:t>
      </w:r>
      <w:r w:rsidRPr="005C5C45">
        <w:t xml:space="preserve">stakeholders </w:t>
      </w:r>
      <w:r w:rsidR="00F83834" w:rsidRPr="005C5C45">
        <w:t xml:space="preserve">felt that this </w:t>
      </w:r>
      <w:r w:rsidR="004A29D4" w:rsidRPr="005C5C45">
        <w:t xml:space="preserve">approach </w:t>
      </w:r>
      <w:r w:rsidR="00F83834" w:rsidRPr="005C5C45">
        <w:t xml:space="preserve">complicated their ability to engage in the development of the action plan, and others were </w:t>
      </w:r>
      <w:r w:rsidR="00886AF1" w:rsidRPr="005C5C45">
        <w:t xml:space="preserve">frustrated by the </w:t>
      </w:r>
      <w:r w:rsidR="0054138F" w:rsidRPr="005C5C45">
        <w:t>process for entering multiple submissions</w:t>
      </w:r>
      <w:r w:rsidR="004A29D4" w:rsidRPr="005C5C45">
        <w:t xml:space="preserve"> and wished to present formal off-line submissions</w:t>
      </w:r>
      <w:r w:rsidR="00BD2A77" w:rsidRPr="005C5C45">
        <w:t>.</w:t>
      </w:r>
      <w:r w:rsidR="00BD2A77" w:rsidRPr="005C5C45">
        <w:rPr>
          <w:rStyle w:val="EndnoteReference"/>
          <w:bCs w:val="0"/>
        </w:rPr>
        <w:endnoteReference w:id="135"/>
      </w:r>
      <w:r w:rsidR="00F97941" w:rsidRPr="005C5C45">
        <w:t xml:space="preserve"> </w:t>
      </w:r>
      <w:r w:rsidR="0085756F" w:rsidRPr="005C5C45">
        <w:t xml:space="preserve">There was also a question as to </w:t>
      </w:r>
      <w:r w:rsidR="00F83834" w:rsidRPr="005C5C45">
        <w:t xml:space="preserve">why </w:t>
      </w:r>
      <w:r w:rsidR="006402A6" w:rsidRPr="005C5C45">
        <w:t>an external contractor</w:t>
      </w:r>
      <w:r w:rsidR="00F97941" w:rsidRPr="005C5C45">
        <w:t xml:space="preserve">’s site </w:t>
      </w:r>
      <w:r w:rsidR="00F83834" w:rsidRPr="005C5C45">
        <w:t>was</w:t>
      </w:r>
      <w:r w:rsidR="00F97941" w:rsidRPr="005C5C45">
        <w:t xml:space="preserve"> used</w:t>
      </w:r>
      <w:r w:rsidR="00F83834" w:rsidRPr="005C5C45">
        <w:t>.</w:t>
      </w:r>
      <w:r w:rsidR="00F83834" w:rsidRPr="005C5C45">
        <w:rPr>
          <w:rStyle w:val="EndnoteReference"/>
          <w:bCs w:val="0"/>
        </w:rPr>
        <w:endnoteReference w:id="136"/>
      </w:r>
      <w:r w:rsidR="00EC5422" w:rsidRPr="005C5C45">
        <w:t xml:space="preserve"> </w:t>
      </w:r>
      <w:r w:rsidR="004A29D4" w:rsidRPr="005C5C45">
        <w:t xml:space="preserve">All </w:t>
      </w:r>
      <w:r w:rsidR="00C80336" w:rsidRPr="005C5C45">
        <w:t xml:space="preserve">stakeholders </w:t>
      </w:r>
      <w:r w:rsidR="004A29D4" w:rsidRPr="005C5C45">
        <w:t xml:space="preserve">wanted </w:t>
      </w:r>
      <w:proofErr w:type="spellStart"/>
      <w:r w:rsidR="004A29D4" w:rsidRPr="005C5C45">
        <w:t>ongoing</w:t>
      </w:r>
      <w:proofErr w:type="spellEnd"/>
      <w:r w:rsidR="004A29D4" w:rsidRPr="005C5C45">
        <w:t xml:space="preserve"> engagement for OGP over a long period, using a variety of mechanisms, two-way communication and feedback</w:t>
      </w:r>
      <w:r w:rsidR="00E40251">
        <w:t>—</w:t>
      </w:r>
      <w:r w:rsidR="004A29D4" w:rsidRPr="005C5C45">
        <w:t>all premised on partnership and co-creation values.</w:t>
      </w:r>
    </w:p>
    <w:p w14:paraId="63916D5C" w14:textId="1843A0A3" w:rsidR="00EA2F88" w:rsidRPr="005C5C45" w:rsidRDefault="00EA2F88" w:rsidP="002D5132">
      <w:pPr>
        <w:pStyle w:val="Normalrglronly"/>
      </w:pPr>
      <w:r w:rsidRPr="005C5C45">
        <w:t xml:space="preserve">This commitment seeks to reflect </w:t>
      </w:r>
      <w:r w:rsidR="00415346">
        <w:t>‘</w:t>
      </w:r>
      <w:r w:rsidRPr="005C5C45">
        <w:t>a spirit of co-creation with communities</w:t>
      </w:r>
      <w:r w:rsidR="00415346">
        <w:t>’</w:t>
      </w:r>
      <w:r w:rsidRPr="005C5C45">
        <w:t xml:space="preserve"> when developing and implementing future OGP action plans. The stated ambition is </w:t>
      </w:r>
      <w:r w:rsidR="00614C62" w:rsidRPr="005C5C45">
        <w:t>the creation of a</w:t>
      </w:r>
      <w:r w:rsidRPr="005C5C45">
        <w:t xml:space="preserve"> stable and enduring platform for </w:t>
      </w:r>
      <w:r w:rsidR="003811C4" w:rsidRPr="005C5C45">
        <w:t>N</w:t>
      </w:r>
      <w:r w:rsidR="00657AF6" w:rsidRPr="005C5C45">
        <w:t xml:space="preserve">ew </w:t>
      </w:r>
      <w:r w:rsidR="003811C4" w:rsidRPr="005C5C45">
        <w:t>Z</w:t>
      </w:r>
      <w:r w:rsidR="00657AF6" w:rsidRPr="005C5C45">
        <w:t>ealand</w:t>
      </w:r>
      <w:r w:rsidRPr="005C5C45">
        <w:t xml:space="preserve">ers to engage with government, </w:t>
      </w:r>
      <w:r w:rsidR="00415346">
        <w:t>‘</w:t>
      </w:r>
      <w:r w:rsidRPr="005C5C45">
        <w:t>using the technology and channels that people expect to use in a modern society</w:t>
      </w:r>
      <w:r w:rsidR="00415346">
        <w:t>’</w:t>
      </w:r>
      <w:r w:rsidR="00D92756">
        <w:t>.</w:t>
      </w:r>
      <w:r w:rsidR="00BD5EF6" w:rsidRPr="005C5C45">
        <w:t xml:space="preserve"> </w:t>
      </w:r>
      <w:proofErr w:type="gramStart"/>
      <w:r w:rsidR="00BD5EF6" w:rsidRPr="005C5C45">
        <w:t xml:space="preserve">It is led by the influential </w:t>
      </w:r>
      <w:r w:rsidR="00614C62" w:rsidRPr="005C5C45">
        <w:t>State Services Commission (</w:t>
      </w:r>
      <w:r w:rsidR="00BD5EF6" w:rsidRPr="005C5C45">
        <w:t>SSC</w:t>
      </w:r>
      <w:r w:rsidR="00614C62" w:rsidRPr="005C5C45">
        <w:t>)</w:t>
      </w:r>
      <w:proofErr w:type="gramEnd"/>
      <w:r w:rsidR="002C267D" w:rsidRPr="005C5C45">
        <w:t xml:space="preserve"> with assistance from the Department of Internal Affairs</w:t>
      </w:r>
      <w:r w:rsidR="00614C62" w:rsidRPr="005C5C45">
        <w:t>. I</w:t>
      </w:r>
      <w:r w:rsidR="002C267D" w:rsidRPr="005C5C45">
        <w:t xml:space="preserve">t will also need to work with </w:t>
      </w:r>
      <w:r w:rsidR="0066111E" w:rsidRPr="005C5C45">
        <w:t>the Department of the Prime Minister and Cabinet (</w:t>
      </w:r>
      <w:r w:rsidR="002C267D" w:rsidRPr="005C5C45">
        <w:t>DPMC</w:t>
      </w:r>
      <w:r w:rsidR="0066111E" w:rsidRPr="005C5C45">
        <w:t>)</w:t>
      </w:r>
      <w:r w:rsidR="002C267D" w:rsidRPr="005C5C45">
        <w:t xml:space="preserve"> to </w:t>
      </w:r>
      <w:r w:rsidR="000E6C24" w:rsidRPr="005C5C45">
        <w:t>align government’s participation advice</w:t>
      </w:r>
      <w:r w:rsidR="0085756F" w:rsidRPr="005C5C45">
        <w:t xml:space="preserve"> with </w:t>
      </w:r>
      <w:r w:rsidR="00D92756">
        <w:t>Commitment 7’s</w:t>
      </w:r>
      <w:r w:rsidR="0085756F" w:rsidRPr="005C5C45">
        <w:t xml:space="preserve"> activities</w:t>
      </w:r>
      <w:r w:rsidR="002C267D" w:rsidRPr="005C5C45">
        <w:t>.</w:t>
      </w:r>
    </w:p>
    <w:p w14:paraId="45AC075D" w14:textId="77777777" w:rsidR="00D72CAF" w:rsidRPr="005C5C45" w:rsidRDefault="00EA2F88" w:rsidP="002D5132">
      <w:pPr>
        <w:pStyle w:val="Normalrglronly"/>
      </w:pPr>
      <w:r w:rsidRPr="005C5C45">
        <w:t xml:space="preserve">The commitment meets the OGP values of civic participation, and technology and innovation. </w:t>
      </w:r>
      <w:r w:rsidR="00B878E9" w:rsidRPr="005C5C45">
        <w:t>Government is improving opportunities and capabilities for the public to influence decisions and to c</w:t>
      </w:r>
      <w:r w:rsidR="00F97941" w:rsidRPr="005C5C45">
        <w:t xml:space="preserve">o-create the next action plan. </w:t>
      </w:r>
      <w:r w:rsidR="00B878E9" w:rsidRPr="005C5C45">
        <w:t xml:space="preserve">Technological innovation </w:t>
      </w:r>
      <w:r w:rsidR="00F97941" w:rsidRPr="005C5C45">
        <w:t>is planned to</w:t>
      </w:r>
      <w:r w:rsidR="00B878E9" w:rsidRPr="005C5C45">
        <w:t xml:space="preserve"> advance </w:t>
      </w:r>
      <w:r w:rsidR="00F97941" w:rsidRPr="005C5C45">
        <w:t>transparency and accountability, by</w:t>
      </w:r>
      <w:r w:rsidRPr="005C5C45">
        <w:t xml:space="preserve"> open</w:t>
      </w:r>
      <w:r w:rsidR="00F97941" w:rsidRPr="005C5C45">
        <w:t>ing</w:t>
      </w:r>
      <w:r w:rsidRPr="005C5C45">
        <w:t xml:space="preserve"> up an </w:t>
      </w:r>
      <w:r w:rsidR="00B2036B" w:rsidRPr="005C5C45">
        <w:t>interactive information suite of tools</w:t>
      </w:r>
      <w:r w:rsidRPr="005C5C45">
        <w:t xml:space="preserve"> for engaging with the public and jointly developing the next OGP commitments.</w:t>
      </w:r>
      <w:r w:rsidR="00B878E9" w:rsidRPr="005C5C45">
        <w:t xml:space="preserve"> </w:t>
      </w:r>
    </w:p>
    <w:p w14:paraId="5E8A51EC" w14:textId="654D90B2" w:rsidR="005A575E" w:rsidRPr="005C5C45" w:rsidRDefault="00B878E9" w:rsidP="002D5132">
      <w:pPr>
        <w:pStyle w:val="Normalrglronly"/>
      </w:pPr>
      <w:r w:rsidRPr="005C5C45">
        <w:t>The speci</w:t>
      </w:r>
      <w:r w:rsidR="00BA224B" w:rsidRPr="005C5C45">
        <w:t>ficity of the commitment is medium</w:t>
      </w:r>
      <w:r w:rsidRPr="005C5C45">
        <w:t xml:space="preserve">. </w:t>
      </w:r>
      <w:r w:rsidR="002625DA" w:rsidRPr="005C5C45">
        <w:t xml:space="preserve">While </w:t>
      </w:r>
      <w:r w:rsidR="00221AF0" w:rsidRPr="005C5C45">
        <w:t>the commitment text is fairly clear regard</w:t>
      </w:r>
      <w:r w:rsidR="00BE2BA4">
        <w:t>ing</w:t>
      </w:r>
      <w:r w:rsidR="00221AF0" w:rsidRPr="005C5C45">
        <w:t xml:space="preserve"> the online platform to promote engagement between N</w:t>
      </w:r>
      <w:r w:rsidR="00657AF6" w:rsidRPr="005C5C45">
        <w:t xml:space="preserve">ew </w:t>
      </w:r>
      <w:r w:rsidR="00221AF0" w:rsidRPr="005C5C45">
        <w:t>Z</w:t>
      </w:r>
      <w:r w:rsidR="00657AF6" w:rsidRPr="005C5C45">
        <w:t>ealand</w:t>
      </w:r>
      <w:r w:rsidR="00221AF0" w:rsidRPr="005C5C45">
        <w:t xml:space="preserve"> government and communities, the reader </w:t>
      </w:r>
      <w:r w:rsidR="00D51277">
        <w:t>must</w:t>
      </w:r>
      <w:r w:rsidR="00221AF0" w:rsidRPr="005C5C45">
        <w:t xml:space="preserve"> interpret how the listed activities are relevant to the overall objective. For example, the objective lists certain methods for engagement (e.g. online platforms, face-to-face meetings) but the listed activities do no</w:t>
      </w:r>
      <w:r w:rsidR="00051347" w:rsidRPr="005C5C45">
        <w:t>t</w:t>
      </w:r>
      <w:r w:rsidR="00221AF0" w:rsidRPr="005C5C45">
        <w:t xml:space="preserve"> ensure that these methods for engagement will occur. Furthermore, m</w:t>
      </w:r>
      <w:r w:rsidR="002625DA" w:rsidRPr="005C5C45">
        <w:t>easuring the completion of such deliverables is not straightforward</w:t>
      </w:r>
      <w:r w:rsidR="005A575E" w:rsidRPr="005C5C45">
        <w:t>.</w:t>
      </w:r>
    </w:p>
    <w:p w14:paraId="0D218574" w14:textId="4CC2E73A" w:rsidR="00573AE4" w:rsidRPr="005C5C45" w:rsidRDefault="004C1E97" w:rsidP="002D5132">
      <w:pPr>
        <w:pStyle w:val="Normalrglronly"/>
      </w:pPr>
      <w:r w:rsidRPr="005C5C45">
        <w:t>If fully implemented, this</w:t>
      </w:r>
      <w:r w:rsidR="00450D24" w:rsidRPr="005C5C45">
        <w:t xml:space="preserve"> commitment would have</w:t>
      </w:r>
      <w:r w:rsidR="00EB057A" w:rsidRPr="005C5C45">
        <w:t xml:space="preserve"> moderate</w:t>
      </w:r>
      <w:r w:rsidRPr="005C5C45">
        <w:t xml:space="preserve"> potential impact. </w:t>
      </w:r>
      <w:r w:rsidR="00F36C26" w:rsidRPr="005C5C45">
        <w:t>While</w:t>
      </w:r>
      <w:r w:rsidRPr="005C5C45">
        <w:t xml:space="preserve"> </w:t>
      </w:r>
      <w:r w:rsidR="00D1568E" w:rsidRPr="005C5C45">
        <w:t>this commitment could significantly and positively enable co-creation with stakeholders when cr</w:t>
      </w:r>
      <w:r w:rsidR="00F36C26" w:rsidRPr="005C5C45">
        <w:t>eating OGP action plans</w:t>
      </w:r>
      <w:r w:rsidR="00D1568E" w:rsidRPr="005C5C45">
        <w:t xml:space="preserve">, the commitment text does not indicate whether this platform will be used for other policy areas. While participation and engagement in the OGP process is important, this commitment does not transform government and civil society </w:t>
      </w:r>
      <w:proofErr w:type="gramStart"/>
      <w:r w:rsidR="00D1568E" w:rsidRPr="005C5C45">
        <w:t>decision making</w:t>
      </w:r>
      <w:proofErr w:type="gramEnd"/>
      <w:r w:rsidR="00D1568E" w:rsidRPr="005C5C45">
        <w:t xml:space="preserve"> on big policy issues.</w:t>
      </w:r>
    </w:p>
    <w:p w14:paraId="5A097CCB" w14:textId="77777777" w:rsidR="00EA2F88" w:rsidRPr="005C5C45" w:rsidRDefault="00EA2F88" w:rsidP="00CE328A">
      <w:pPr>
        <w:pStyle w:val="Heading3"/>
      </w:pPr>
      <w:r w:rsidRPr="005C5C45">
        <w:t>Completion</w:t>
      </w:r>
    </w:p>
    <w:p w14:paraId="390566CA" w14:textId="32616A97" w:rsidR="00B2036B" w:rsidRPr="005C5C45" w:rsidRDefault="00EA2F88" w:rsidP="00160A84">
      <w:pPr>
        <w:pStyle w:val="Normalrglronly"/>
      </w:pPr>
      <w:r w:rsidRPr="005C5C45">
        <w:t>At the end of the first year of implementation</w:t>
      </w:r>
      <w:r w:rsidR="005E2A20" w:rsidRPr="005C5C45">
        <w:t>,</w:t>
      </w:r>
      <w:r w:rsidRPr="005C5C45">
        <w:t xml:space="preserve"> </w:t>
      </w:r>
      <w:r w:rsidR="00417987" w:rsidRPr="005C5C45">
        <w:t xml:space="preserve">the </w:t>
      </w:r>
      <w:r w:rsidR="003B3B82" w:rsidRPr="005C5C45">
        <w:t xml:space="preserve">SSC </w:t>
      </w:r>
      <w:r w:rsidR="00DF5E2C" w:rsidRPr="005C5C45">
        <w:t xml:space="preserve">has begun </w:t>
      </w:r>
      <w:r w:rsidR="00E44C91" w:rsidRPr="005C5C45">
        <w:t>the</w:t>
      </w:r>
      <w:r w:rsidR="00417987" w:rsidRPr="005C5C45">
        <w:t xml:space="preserve"> work with the Department of Internal Affairs </w:t>
      </w:r>
      <w:r w:rsidR="003B3B82" w:rsidRPr="005C5C45">
        <w:t xml:space="preserve">(DIA) </w:t>
      </w:r>
      <w:r w:rsidR="00417987" w:rsidRPr="005C5C45">
        <w:t>to improve government’s access to, and use of, digital public engagement tools</w:t>
      </w:r>
      <w:r w:rsidR="00B2036B" w:rsidRPr="005C5C45">
        <w:t>.</w:t>
      </w:r>
      <w:r w:rsidR="00442B40" w:rsidRPr="005C5C45">
        <w:t xml:space="preserve"> </w:t>
      </w:r>
      <w:r w:rsidR="003B3B82" w:rsidRPr="005C5C45">
        <w:t xml:space="preserve">DIA </w:t>
      </w:r>
      <w:r w:rsidR="00442B40" w:rsidRPr="005C5C45">
        <w:t xml:space="preserve">has </w:t>
      </w:r>
      <w:r w:rsidR="003B3B82" w:rsidRPr="005C5C45">
        <w:t xml:space="preserve">reviewed and </w:t>
      </w:r>
      <w:r w:rsidR="00442B40" w:rsidRPr="005C5C45">
        <w:t xml:space="preserve">analysed </w:t>
      </w:r>
      <w:r w:rsidR="003B3B82" w:rsidRPr="005C5C45">
        <w:t>government’s</w:t>
      </w:r>
      <w:r w:rsidRPr="005C5C45">
        <w:t xml:space="preserve"> current engagement process. </w:t>
      </w:r>
      <w:r w:rsidR="00442B40" w:rsidRPr="005C5C45">
        <w:t>The</w:t>
      </w:r>
      <w:r w:rsidR="00CD5B70" w:rsidRPr="005C5C45">
        <w:t>ir</w:t>
      </w:r>
      <w:r w:rsidR="00442B40" w:rsidRPr="005C5C45">
        <w:t xml:space="preserve"> draft review, provided to the IRM researcher on 26 September 2017, </w:t>
      </w:r>
      <w:r w:rsidR="000D2D8B" w:rsidRPr="005C5C45">
        <w:t xml:space="preserve">but not yet published, </w:t>
      </w:r>
      <w:r w:rsidR="00B2036B" w:rsidRPr="005C5C45">
        <w:t>concludes</w:t>
      </w:r>
      <w:r w:rsidR="009A4F75" w:rsidRPr="005C5C45">
        <w:t xml:space="preserve"> that</w:t>
      </w:r>
      <w:r w:rsidR="00355F21" w:rsidRPr="005C5C45">
        <w:t xml:space="preserve"> </w:t>
      </w:r>
      <w:r w:rsidR="00B2036B" w:rsidRPr="005C5C45">
        <w:t xml:space="preserve">there is a </w:t>
      </w:r>
      <w:r w:rsidR="00442B40" w:rsidRPr="005C5C45">
        <w:t xml:space="preserve">broader </w:t>
      </w:r>
      <w:r w:rsidR="00355F21" w:rsidRPr="005C5C45">
        <w:t>demand for</w:t>
      </w:r>
      <w:r w:rsidR="00442B40" w:rsidRPr="005C5C45">
        <w:t xml:space="preserve"> tools that cover a variety of engagement methods e.g. co-design and participatory design. These user-centric methods support better decision</w:t>
      </w:r>
      <w:r w:rsidR="00D51277">
        <w:t>-</w:t>
      </w:r>
      <w:r w:rsidR="00442B40" w:rsidRPr="005C5C45">
        <w:t>making, more successful policy implementation, social engagement and trust in government</w:t>
      </w:r>
      <w:r w:rsidR="00355F21" w:rsidRPr="005C5C45">
        <w:t xml:space="preserve">. The review also pointed out that </w:t>
      </w:r>
      <w:r w:rsidR="00B2036B" w:rsidRPr="005C5C45">
        <w:t>agencies would value a single source for advice and guidance about consultations and engagement.</w:t>
      </w:r>
      <w:r w:rsidR="007960A3" w:rsidRPr="005C5C45">
        <w:rPr>
          <w:rStyle w:val="EndnoteReference"/>
        </w:rPr>
        <w:endnoteReference w:id="137"/>
      </w:r>
    </w:p>
    <w:p w14:paraId="3CFE68B5" w14:textId="2795E9E5" w:rsidR="00B2036B" w:rsidRPr="005C5C45" w:rsidRDefault="003B3B82" w:rsidP="00160A84">
      <w:pPr>
        <w:pStyle w:val="Normalrglronly"/>
      </w:pPr>
      <w:r w:rsidRPr="005C5C45">
        <w:t>The n</w:t>
      </w:r>
      <w:r w:rsidR="00442B40" w:rsidRPr="005C5C45">
        <w:t xml:space="preserve">ext steps </w:t>
      </w:r>
      <w:r w:rsidRPr="005C5C45">
        <w:t xml:space="preserve">proposed by DIA </w:t>
      </w:r>
      <w:r w:rsidR="00C745EB" w:rsidRPr="005C5C45">
        <w:t xml:space="preserve">in the draft review </w:t>
      </w:r>
      <w:r w:rsidR="00B2036B" w:rsidRPr="005C5C45">
        <w:t>are</w:t>
      </w:r>
      <w:r w:rsidR="00442B40" w:rsidRPr="005C5C45">
        <w:t xml:space="preserve"> </w:t>
      </w:r>
      <w:r w:rsidR="00415346">
        <w:t>‘</w:t>
      </w:r>
      <w:r w:rsidR="00442B40" w:rsidRPr="005C5C45">
        <w:t>a discovery piece to identify and define options to extend the digital engagement service beyond the present online engagement service (GOES) pilot</w:t>
      </w:r>
      <w:r w:rsidR="00B2036B" w:rsidRPr="005C5C45">
        <w:t xml:space="preserve">; and </w:t>
      </w:r>
      <w:r w:rsidR="00D30DF6" w:rsidRPr="005C5C45">
        <w:t>phasing out</w:t>
      </w:r>
      <w:r w:rsidR="00442B40" w:rsidRPr="005C5C45">
        <w:t xml:space="preserve"> the GOE</w:t>
      </w:r>
      <w:r w:rsidR="00B2036B" w:rsidRPr="005C5C45">
        <w:t xml:space="preserve">S software tool in order to </w:t>
      </w:r>
      <w:r w:rsidR="00415346">
        <w:lastRenderedPageBreak/>
        <w:t>‘</w:t>
      </w:r>
      <w:r w:rsidR="00B2036B" w:rsidRPr="005C5C45">
        <w:t>support 2-way citizen conversation and deliberative participation</w:t>
      </w:r>
      <w:r w:rsidR="00E40251">
        <w:t>’.</w:t>
      </w:r>
      <w:r w:rsidR="00DC10BF" w:rsidRPr="005C5C45">
        <w:rPr>
          <w:rStyle w:val="EndnoteReference"/>
        </w:rPr>
        <w:endnoteReference w:id="138"/>
      </w:r>
      <w:r w:rsidR="00C745EB" w:rsidRPr="005C5C45">
        <w:t xml:space="preserve"> </w:t>
      </w:r>
      <w:r w:rsidR="009A4F75" w:rsidRPr="005C5C45">
        <w:t>Interviews with the public are planned.</w:t>
      </w:r>
    </w:p>
    <w:p w14:paraId="330D5996" w14:textId="77777777" w:rsidR="00EA2F88" w:rsidRPr="005C5C45" w:rsidRDefault="00485DF3" w:rsidP="00160A84">
      <w:pPr>
        <w:pStyle w:val="Normalrglronly"/>
        <w:rPr>
          <w:rFonts w:cs="Gill Sans"/>
        </w:rPr>
      </w:pPr>
      <w:r w:rsidRPr="005C5C45">
        <w:rPr>
          <w:rFonts w:cs="Gill Sans"/>
        </w:rPr>
        <w:t xml:space="preserve">The government has completed </w:t>
      </w:r>
      <w:r w:rsidR="00C745EB" w:rsidRPr="005C5C45">
        <w:rPr>
          <w:rFonts w:cs="Gill Sans"/>
        </w:rPr>
        <w:t>work</w:t>
      </w:r>
      <w:r w:rsidRPr="005C5C45">
        <w:rPr>
          <w:rFonts w:cs="Gill Sans"/>
        </w:rPr>
        <w:t xml:space="preserve"> with the Expert Advisory Panel (EAP)</w:t>
      </w:r>
      <w:r w:rsidR="00C745EB" w:rsidRPr="005C5C45">
        <w:rPr>
          <w:rFonts w:cs="Gill Sans"/>
        </w:rPr>
        <w:t xml:space="preserve"> to </w:t>
      </w:r>
      <w:r w:rsidRPr="005C5C45">
        <w:rPr>
          <w:rFonts w:cs="Gill Sans"/>
        </w:rPr>
        <w:t>decide how to best report progress of OGP milestones</w:t>
      </w:r>
      <w:r w:rsidR="00EA2F88" w:rsidRPr="005C5C45">
        <w:rPr>
          <w:rFonts w:cs="Gill Sans"/>
        </w:rPr>
        <w:t>. Officials now report to the EAP using a commonly agreed template</w:t>
      </w:r>
      <w:r w:rsidR="007651C7" w:rsidRPr="005C5C45">
        <w:rPr>
          <w:rFonts w:cs="Gill Sans"/>
        </w:rPr>
        <w:t xml:space="preserve">, and these </w:t>
      </w:r>
      <w:r w:rsidR="007844DA" w:rsidRPr="005C5C45">
        <w:rPr>
          <w:rFonts w:cs="Gill Sans"/>
        </w:rPr>
        <w:t xml:space="preserve">reports are published on the </w:t>
      </w:r>
      <w:r w:rsidR="007651C7" w:rsidRPr="005C5C45">
        <w:rPr>
          <w:rFonts w:cs="Gill Sans"/>
        </w:rPr>
        <w:t>OGP</w:t>
      </w:r>
      <w:r w:rsidR="007844DA" w:rsidRPr="005C5C45">
        <w:rPr>
          <w:rFonts w:cs="Gill Sans"/>
        </w:rPr>
        <w:t>NZ</w:t>
      </w:r>
      <w:r w:rsidR="007651C7" w:rsidRPr="005C5C45">
        <w:rPr>
          <w:rFonts w:cs="Gill Sans"/>
        </w:rPr>
        <w:t xml:space="preserve"> website following approval</w:t>
      </w:r>
      <w:r w:rsidR="00EA2F88" w:rsidRPr="005C5C45">
        <w:rPr>
          <w:rFonts w:cs="Gill Sans"/>
        </w:rPr>
        <w:t>.</w:t>
      </w:r>
      <w:r w:rsidR="00E41BF6" w:rsidRPr="005C5C45">
        <w:rPr>
          <w:rStyle w:val="EndnoteReference"/>
          <w:rFonts w:cs="Gill Sans"/>
        </w:rPr>
        <w:endnoteReference w:id="139"/>
      </w:r>
    </w:p>
    <w:p w14:paraId="0A804B9C" w14:textId="7ED6DB67" w:rsidR="00A5010E" w:rsidRPr="005C5C45" w:rsidRDefault="00485DF3" w:rsidP="00160A84">
      <w:pPr>
        <w:pStyle w:val="Normalrglronly"/>
        <w:rPr>
          <w:rFonts w:cs="Gill Sans"/>
          <w:color w:val="222222"/>
        </w:rPr>
      </w:pPr>
      <w:r w:rsidRPr="005C5C45">
        <w:rPr>
          <w:rFonts w:cs="Gill Sans"/>
          <w:color w:val="222222"/>
        </w:rPr>
        <w:t xml:space="preserve">The </w:t>
      </w:r>
      <w:r w:rsidR="00C745EB" w:rsidRPr="005C5C45">
        <w:rPr>
          <w:rFonts w:cs="Gill Sans"/>
          <w:color w:val="222222"/>
        </w:rPr>
        <w:t>activity to</w:t>
      </w:r>
      <w:r w:rsidRPr="005C5C45">
        <w:rPr>
          <w:rFonts w:cs="Gill Sans"/>
          <w:color w:val="222222"/>
        </w:rPr>
        <w:t xml:space="preserve"> engage with New Zealanders </w:t>
      </w:r>
      <w:r w:rsidR="00C745EB" w:rsidRPr="005C5C45">
        <w:rPr>
          <w:rFonts w:cs="Gill Sans"/>
          <w:color w:val="222222"/>
        </w:rPr>
        <w:t xml:space="preserve">to develop the approach </w:t>
      </w:r>
      <w:r w:rsidR="002859DB">
        <w:rPr>
          <w:rFonts w:cs="Gill Sans"/>
          <w:color w:val="222222"/>
        </w:rPr>
        <w:t>for</w:t>
      </w:r>
      <w:r w:rsidR="002859DB" w:rsidRPr="005C5C45">
        <w:rPr>
          <w:rFonts w:cs="Gill Sans"/>
          <w:color w:val="222222"/>
        </w:rPr>
        <w:t xml:space="preserve"> </w:t>
      </w:r>
      <w:r w:rsidR="00F67375" w:rsidRPr="005C5C45">
        <w:rPr>
          <w:rFonts w:cs="Gill Sans"/>
          <w:color w:val="222222"/>
        </w:rPr>
        <w:t>the next</w:t>
      </w:r>
      <w:r w:rsidRPr="005C5C45">
        <w:rPr>
          <w:rFonts w:cs="Gill Sans"/>
          <w:color w:val="222222"/>
        </w:rPr>
        <w:t xml:space="preserve"> action plan</w:t>
      </w:r>
      <w:r w:rsidR="002751E0" w:rsidRPr="005C5C45">
        <w:rPr>
          <w:rFonts w:cs="Gill Sans"/>
          <w:color w:val="222222"/>
        </w:rPr>
        <w:t xml:space="preserve"> was started ahead of</w:t>
      </w:r>
      <w:r w:rsidR="00EA2F88" w:rsidRPr="005C5C45">
        <w:rPr>
          <w:rFonts w:cs="Gill Sans"/>
          <w:color w:val="222222"/>
        </w:rPr>
        <w:t xml:space="preserve"> its formal s</w:t>
      </w:r>
      <w:r w:rsidR="00283B88" w:rsidRPr="005C5C45">
        <w:rPr>
          <w:rFonts w:cs="Gill Sans"/>
          <w:color w:val="222222"/>
        </w:rPr>
        <w:t>tart date of October 2017</w:t>
      </w:r>
      <w:r w:rsidRPr="005C5C45">
        <w:rPr>
          <w:rFonts w:cs="Gill Sans"/>
          <w:color w:val="222222"/>
        </w:rPr>
        <w:t>. This was done</w:t>
      </w:r>
      <w:r w:rsidR="00283B88" w:rsidRPr="005C5C45">
        <w:rPr>
          <w:rFonts w:cs="Gill Sans"/>
          <w:color w:val="222222"/>
        </w:rPr>
        <w:t xml:space="preserve"> to enable progress </w:t>
      </w:r>
      <w:r w:rsidR="00EA2F88" w:rsidRPr="005C5C45">
        <w:rPr>
          <w:rFonts w:cs="Gill Sans"/>
          <w:color w:val="222222"/>
        </w:rPr>
        <w:t>ahead of the 23 Sept</w:t>
      </w:r>
      <w:r w:rsidR="00283B88" w:rsidRPr="005C5C45">
        <w:rPr>
          <w:rFonts w:cs="Gill Sans"/>
          <w:color w:val="222222"/>
        </w:rPr>
        <w:t>ember 2017 general election. Government’s</w:t>
      </w:r>
      <w:r w:rsidR="00EA2F88" w:rsidRPr="005C5C45">
        <w:rPr>
          <w:rFonts w:cs="Gill Sans"/>
          <w:color w:val="222222"/>
        </w:rPr>
        <w:t xml:space="preserve"> </w:t>
      </w:r>
      <w:r w:rsidR="00CE4F5C" w:rsidRPr="005C5C45">
        <w:rPr>
          <w:rFonts w:cs="Gill Sans"/>
          <w:color w:val="222222"/>
        </w:rPr>
        <w:t xml:space="preserve">mid-term </w:t>
      </w:r>
      <w:r w:rsidR="00EA2F88" w:rsidRPr="005C5C45">
        <w:rPr>
          <w:rFonts w:cs="Gill Sans"/>
          <w:color w:val="222222"/>
        </w:rPr>
        <w:t xml:space="preserve">self-assessment report states that the SSC has been laying the ground work for developing the next plan by </w:t>
      </w:r>
      <w:r w:rsidR="00415346">
        <w:rPr>
          <w:rFonts w:cs="Gill Sans"/>
          <w:color w:val="222222"/>
        </w:rPr>
        <w:t>‘</w:t>
      </w:r>
      <w:r w:rsidR="00EA2F88" w:rsidRPr="005C5C45">
        <w:rPr>
          <w:rFonts w:cs="Gill Sans"/>
          <w:color w:val="222222"/>
        </w:rPr>
        <w:t xml:space="preserve">gathering insights from key stakeholder groups, building a more dynamic stream of information for </w:t>
      </w:r>
      <w:proofErr w:type="spellStart"/>
      <w:r w:rsidR="003811C4" w:rsidRPr="005C5C45">
        <w:rPr>
          <w:rFonts w:cs="Gill Sans"/>
          <w:color w:val="222222"/>
        </w:rPr>
        <w:t>NZ</w:t>
      </w:r>
      <w:r w:rsidR="00EA2F88" w:rsidRPr="005C5C45">
        <w:rPr>
          <w:rFonts w:cs="Gill Sans"/>
          <w:color w:val="222222"/>
        </w:rPr>
        <w:t>ers</w:t>
      </w:r>
      <w:proofErr w:type="spellEnd"/>
      <w:r w:rsidR="00415346">
        <w:rPr>
          <w:rFonts w:cs="Gill Sans"/>
          <w:color w:val="222222"/>
        </w:rPr>
        <w:t>’</w:t>
      </w:r>
      <w:r w:rsidR="00D92756">
        <w:rPr>
          <w:rFonts w:cs="Gill Sans"/>
          <w:color w:val="222222"/>
        </w:rPr>
        <w:t>,</w:t>
      </w:r>
      <w:r w:rsidR="00EA2F88" w:rsidRPr="005C5C45">
        <w:rPr>
          <w:rFonts w:cs="Gill Sans"/>
          <w:color w:val="222222"/>
        </w:rPr>
        <w:t xml:space="preserve"> and </w:t>
      </w:r>
      <w:r w:rsidR="00415346">
        <w:rPr>
          <w:rFonts w:cs="Gill Sans"/>
          <w:color w:val="222222"/>
        </w:rPr>
        <w:t>‘</w:t>
      </w:r>
      <w:r w:rsidR="00EA2F88" w:rsidRPr="005C5C45">
        <w:rPr>
          <w:rFonts w:cs="Gill Sans"/>
          <w:color w:val="222222"/>
        </w:rPr>
        <w:t>working to secure use of a digital platform for co-production, and neutral consultancy services to facilitate co-production</w:t>
      </w:r>
      <w:r w:rsidR="00415346">
        <w:rPr>
          <w:rFonts w:cs="Gill Sans"/>
          <w:color w:val="222222"/>
        </w:rPr>
        <w:t>’</w:t>
      </w:r>
      <w:r w:rsidR="00EA2F88" w:rsidRPr="005C5C45">
        <w:rPr>
          <w:rFonts w:cs="Gill Sans"/>
          <w:color w:val="222222"/>
        </w:rPr>
        <w:t xml:space="preserve"> of the next action plan.</w:t>
      </w:r>
      <w:r w:rsidR="00CE4F5C" w:rsidRPr="005C5C45">
        <w:rPr>
          <w:rStyle w:val="EndnoteReference"/>
          <w:rFonts w:cs="Gill Sans"/>
          <w:color w:val="222222"/>
        </w:rPr>
        <w:endnoteReference w:id="140"/>
      </w:r>
      <w:r w:rsidR="00BF57D4" w:rsidRPr="005C5C45">
        <w:rPr>
          <w:rFonts w:cs="Gill Sans"/>
          <w:color w:val="222222"/>
        </w:rPr>
        <w:t xml:space="preserve"> </w:t>
      </w:r>
      <w:r w:rsidR="00A5010E" w:rsidRPr="005C5C45">
        <w:rPr>
          <w:rFonts w:cs="Gill Sans"/>
          <w:color w:val="222222"/>
        </w:rPr>
        <w:t xml:space="preserve">It states that commitment lead officials and the Ministry of Business, Innovation and Employment are meeting regularly and assessing international initiatives such as engagement work by the UK foundation, NESTA. They are looking at how to </w:t>
      </w:r>
      <w:r w:rsidR="00415346">
        <w:rPr>
          <w:rFonts w:cs="Gill Sans"/>
          <w:color w:val="222222"/>
        </w:rPr>
        <w:t>‘</w:t>
      </w:r>
      <w:r w:rsidR="00A5010E" w:rsidRPr="005C5C45">
        <w:rPr>
          <w:rFonts w:cs="Gill Sans"/>
          <w:color w:val="222222"/>
        </w:rPr>
        <w:t xml:space="preserve">draw in voices beyond the easier to reach </w:t>
      </w:r>
      <w:r w:rsidR="00D669DB" w:rsidRPr="005C5C45">
        <w:rPr>
          <w:rFonts w:cs="Gill Sans"/>
          <w:color w:val="222222"/>
        </w:rPr>
        <w:t>‘</w:t>
      </w:r>
      <w:r w:rsidR="00A5010E" w:rsidRPr="005C5C45">
        <w:rPr>
          <w:rFonts w:cs="Gill Sans"/>
          <w:color w:val="222222"/>
        </w:rPr>
        <w:t>usual suspects</w:t>
      </w:r>
      <w:r w:rsidR="00D92756">
        <w:rPr>
          <w:rFonts w:cs="Gill Sans"/>
          <w:color w:val="222222"/>
        </w:rPr>
        <w:t>’.</w:t>
      </w:r>
    </w:p>
    <w:p w14:paraId="3D11AC8C" w14:textId="77777777" w:rsidR="00EA2F88" w:rsidRPr="005C5C45" w:rsidRDefault="00EA2F88" w:rsidP="00160A84">
      <w:pPr>
        <w:pStyle w:val="Normalrglronly"/>
        <w:rPr>
          <w:rFonts w:cs="Gill Sans"/>
          <w:color w:val="222222"/>
        </w:rPr>
      </w:pPr>
      <w:r w:rsidRPr="005C5C45">
        <w:rPr>
          <w:rFonts w:cs="Gill Sans"/>
          <w:color w:val="222222"/>
        </w:rPr>
        <w:t>Several stakeholder organisations (</w:t>
      </w:r>
      <w:proofErr w:type="spellStart"/>
      <w:r w:rsidRPr="005C5C45">
        <w:rPr>
          <w:rFonts w:cs="Gill Sans"/>
          <w:color w:val="222222"/>
        </w:rPr>
        <w:t>HuiE</w:t>
      </w:r>
      <w:proofErr w:type="spellEnd"/>
      <w:r w:rsidRPr="005C5C45">
        <w:rPr>
          <w:rFonts w:cs="Gill Sans"/>
          <w:color w:val="222222"/>
        </w:rPr>
        <w:t xml:space="preserve">, </w:t>
      </w:r>
      <w:proofErr w:type="spellStart"/>
      <w:r w:rsidRPr="005C5C45">
        <w:rPr>
          <w:rFonts w:cs="Gill Sans"/>
          <w:color w:val="222222"/>
        </w:rPr>
        <w:t>CommVoices</w:t>
      </w:r>
      <w:proofErr w:type="spellEnd"/>
      <w:r w:rsidRPr="005C5C45">
        <w:rPr>
          <w:rFonts w:cs="Gill Sans"/>
          <w:color w:val="222222"/>
        </w:rPr>
        <w:t>, Public Service Association, Combined T</w:t>
      </w:r>
      <w:r w:rsidR="00A5010E" w:rsidRPr="005C5C45">
        <w:rPr>
          <w:rFonts w:cs="Gill Sans"/>
          <w:color w:val="222222"/>
        </w:rPr>
        <w:t xml:space="preserve">rade Unions, </w:t>
      </w:r>
      <w:proofErr w:type="spellStart"/>
      <w:r w:rsidR="00A5010E" w:rsidRPr="005C5C45">
        <w:rPr>
          <w:rFonts w:cs="Gill Sans"/>
          <w:color w:val="222222"/>
        </w:rPr>
        <w:t>VolunteeringNZ</w:t>
      </w:r>
      <w:proofErr w:type="spellEnd"/>
      <w:r w:rsidR="00A5010E" w:rsidRPr="005C5C45">
        <w:rPr>
          <w:rFonts w:cs="Gill Sans"/>
          <w:color w:val="222222"/>
        </w:rPr>
        <w:t xml:space="preserve">) </w:t>
      </w:r>
      <w:r w:rsidR="009A4F75" w:rsidRPr="005C5C45">
        <w:rPr>
          <w:rFonts w:cs="Gill Sans"/>
          <w:color w:val="222222"/>
        </w:rPr>
        <w:t xml:space="preserve">have </w:t>
      </w:r>
      <w:r w:rsidR="00A5010E" w:rsidRPr="005C5C45">
        <w:rPr>
          <w:rFonts w:cs="Gill Sans"/>
          <w:color w:val="222222"/>
        </w:rPr>
        <w:t>advise</w:t>
      </w:r>
      <w:r w:rsidR="009A4F75" w:rsidRPr="005C5C45">
        <w:rPr>
          <w:rFonts w:cs="Gill Sans"/>
          <w:color w:val="222222"/>
        </w:rPr>
        <w:t>d the IRM researcher</w:t>
      </w:r>
      <w:r w:rsidR="00A5010E" w:rsidRPr="005C5C45">
        <w:rPr>
          <w:rFonts w:cs="Gill Sans"/>
          <w:color w:val="222222"/>
        </w:rPr>
        <w:t xml:space="preserve"> that they are</w:t>
      </w:r>
      <w:r w:rsidRPr="005C5C45">
        <w:rPr>
          <w:rFonts w:cs="Gill Sans"/>
          <w:color w:val="222222"/>
        </w:rPr>
        <w:t xml:space="preserve"> meeting regularly with the SSC ahead of t</w:t>
      </w:r>
      <w:r w:rsidR="00A5010E" w:rsidRPr="005C5C45">
        <w:rPr>
          <w:rFonts w:cs="Gill Sans"/>
          <w:color w:val="222222"/>
        </w:rPr>
        <w:t>he formal start</w:t>
      </w:r>
      <w:r w:rsidR="000D2D8B" w:rsidRPr="005C5C45">
        <w:rPr>
          <w:rFonts w:cs="Gill Sans"/>
          <w:color w:val="222222"/>
        </w:rPr>
        <w:t xml:space="preserve"> in </w:t>
      </w:r>
      <w:r w:rsidR="00DF5E2C" w:rsidRPr="005C5C45">
        <w:rPr>
          <w:rFonts w:cs="Gill Sans"/>
          <w:color w:val="222222"/>
        </w:rPr>
        <w:t>October 2017</w:t>
      </w:r>
      <w:r w:rsidR="00A5010E" w:rsidRPr="005C5C45">
        <w:rPr>
          <w:rFonts w:cs="Gill Sans"/>
          <w:color w:val="222222"/>
        </w:rPr>
        <w:t>.</w:t>
      </w:r>
    </w:p>
    <w:p w14:paraId="4D1C47D7" w14:textId="36545713" w:rsidR="00EA2F88" w:rsidRPr="005C5C45" w:rsidRDefault="00C745EB" w:rsidP="00160A84">
      <w:pPr>
        <w:pStyle w:val="Normalrglronly"/>
        <w:rPr>
          <w:rFonts w:cs="Gill Sans"/>
        </w:rPr>
      </w:pPr>
      <w:r w:rsidRPr="005C5C45">
        <w:rPr>
          <w:rFonts w:cs="Gill Sans"/>
        </w:rPr>
        <w:t>The w</w:t>
      </w:r>
      <w:r w:rsidR="00DF5E2C" w:rsidRPr="005C5C45">
        <w:rPr>
          <w:rFonts w:cs="Gill Sans"/>
        </w:rPr>
        <w:t xml:space="preserve">ork with </w:t>
      </w:r>
      <w:r w:rsidRPr="005C5C45">
        <w:rPr>
          <w:rFonts w:cs="Gill Sans"/>
        </w:rPr>
        <w:t>DIA</w:t>
      </w:r>
      <w:r w:rsidR="00DF5E2C" w:rsidRPr="005C5C45">
        <w:rPr>
          <w:rFonts w:cs="Gill Sans"/>
        </w:rPr>
        <w:t xml:space="preserve"> </w:t>
      </w:r>
      <w:r w:rsidRPr="005C5C45">
        <w:rPr>
          <w:rFonts w:cs="Gill Sans"/>
        </w:rPr>
        <w:t xml:space="preserve">on digital tools for better </w:t>
      </w:r>
      <w:r w:rsidR="00DF5E2C" w:rsidRPr="005C5C45">
        <w:rPr>
          <w:rFonts w:cs="Gill Sans"/>
        </w:rPr>
        <w:t>engagement with New Zealanders</w:t>
      </w:r>
      <w:r w:rsidR="00EA2F88" w:rsidRPr="005C5C45">
        <w:rPr>
          <w:rFonts w:cs="Gill Sans"/>
        </w:rPr>
        <w:t xml:space="preserve"> </w:t>
      </w:r>
      <w:r w:rsidR="004A29D4" w:rsidRPr="005C5C45">
        <w:rPr>
          <w:rFonts w:cs="Gill Sans"/>
        </w:rPr>
        <w:t xml:space="preserve">and the engagement with New Zealanders to develop the approach to the next plan </w:t>
      </w:r>
      <w:r w:rsidR="00EA2F88" w:rsidRPr="005C5C45">
        <w:rPr>
          <w:rFonts w:cs="Gill Sans"/>
        </w:rPr>
        <w:t>will be further reported on in the end</w:t>
      </w:r>
      <w:r w:rsidR="002859DB">
        <w:rPr>
          <w:rFonts w:cs="Gill Sans"/>
        </w:rPr>
        <w:t>-</w:t>
      </w:r>
      <w:r w:rsidR="00EA2F88" w:rsidRPr="005C5C45">
        <w:rPr>
          <w:rFonts w:cs="Gill Sans"/>
        </w:rPr>
        <w:t>of</w:t>
      </w:r>
      <w:r w:rsidR="002859DB">
        <w:rPr>
          <w:rFonts w:cs="Gill Sans"/>
        </w:rPr>
        <w:t>-</w:t>
      </w:r>
      <w:r w:rsidR="00EA2F88" w:rsidRPr="005C5C45">
        <w:rPr>
          <w:rFonts w:cs="Gill Sans"/>
        </w:rPr>
        <w:t>term report.</w:t>
      </w:r>
    </w:p>
    <w:p w14:paraId="50FCD899" w14:textId="77777777" w:rsidR="00EA2F88" w:rsidRPr="005C5C45" w:rsidRDefault="00EA2F88" w:rsidP="006B1434">
      <w:pPr>
        <w:pStyle w:val="Heading3"/>
      </w:pPr>
      <w:r w:rsidRPr="005C5C45">
        <w:t>Early Results</w:t>
      </w:r>
    </w:p>
    <w:p w14:paraId="0F0E4917" w14:textId="7B67C6E1" w:rsidR="005E2A20" w:rsidRPr="005C5C45" w:rsidRDefault="002751E0" w:rsidP="00160A84">
      <w:pPr>
        <w:pStyle w:val="Normalrglronly"/>
      </w:pPr>
      <w:r w:rsidRPr="005C5C45">
        <w:t xml:space="preserve">Government’s draft </w:t>
      </w:r>
      <w:r w:rsidR="00C745EB" w:rsidRPr="005C5C45">
        <w:t>review</w:t>
      </w:r>
      <w:r w:rsidR="00DC10BF" w:rsidRPr="005C5C45">
        <w:t xml:space="preserve"> of its current engagement process</w:t>
      </w:r>
      <w:r w:rsidR="00DC10BF" w:rsidRPr="005C5C45" w:rsidDel="00DC10BF">
        <w:t xml:space="preserve"> </w:t>
      </w:r>
      <w:r w:rsidR="005E2A20" w:rsidRPr="005C5C45">
        <w:t>looks ahead to achieving system-wide tra</w:t>
      </w:r>
      <w:r w:rsidRPr="005C5C45">
        <w:t>nsformative change through</w:t>
      </w:r>
      <w:r w:rsidR="005E2A20" w:rsidRPr="005C5C45">
        <w:t xml:space="preserve"> two-way citizen conversation and deliberative participation.</w:t>
      </w:r>
      <w:r w:rsidR="00265771" w:rsidRPr="005C5C45">
        <w:t xml:space="preserve"> The </w:t>
      </w:r>
      <w:r w:rsidR="00DC10BF" w:rsidRPr="005C5C45">
        <w:t xml:space="preserve">IRM researcher </w:t>
      </w:r>
      <w:r w:rsidR="00C745EB" w:rsidRPr="005C5C45">
        <w:t>consider</w:t>
      </w:r>
      <w:r w:rsidR="00DC10BF" w:rsidRPr="005C5C45">
        <w:t xml:space="preserve">s </w:t>
      </w:r>
      <w:r w:rsidR="009A4F75" w:rsidRPr="005C5C45">
        <w:t>planned interviews</w:t>
      </w:r>
      <w:r w:rsidR="005E2A20" w:rsidRPr="005C5C45">
        <w:t xml:space="preserve"> </w:t>
      </w:r>
      <w:r w:rsidR="00415346">
        <w:t>‘</w:t>
      </w:r>
      <w:r w:rsidR="005E2A20" w:rsidRPr="005C5C45">
        <w:t>to ensure that government engagement is genuinely people-centred and it is easier to participate</w:t>
      </w:r>
      <w:r w:rsidR="00415346">
        <w:t>’</w:t>
      </w:r>
      <w:r w:rsidR="00C745EB" w:rsidRPr="005C5C45">
        <w:rPr>
          <w:rStyle w:val="EndnoteReference"/>
          <w:rFonts w:eastAsiaTheme="minorEastAsia" w:cs="Gill Sans"/>
          <w:szCs w:val="20"/>
        </w:rPr>
        <w:t xml:space="preserve"> </w:t>
      </w:r>
      <w:r w:rsidR="00C745EB" w:rsidRPr="005C5C45">
        <w:rPr>
          <w:rStyle w:val="EndnoteReference"/>
          <w:rFonts w:eastAsiaTheme="minorEastAsia" w:cs="Gill Sans"/>
          <w:szCs w:val="20"/>
        </w:rPr>
        <w:endnoteReference w:id="141"/>
      </w:r>
      <w:r w:rsidRPr="005C5C45">
        <w:t xml:space="preserve"> </w:t>
      </w:r>
      <w:r w:rsidR="00351BF7" w:rsidRPr="005C5C45">
        <w:t>to be</w:t>
      </w:r>
      <w:r w:rsidR="00BB5CDC" w:rsidRPr="005C5C45">
        <w:t xml:space="preserve"> a welcome</w:t>
      </w:r>
      <w:r w:rsidRPr="005C5C45">
        <w:t xml:space="preserve"> step</w:t>
      </w:r>
      <w:r w:rsidR="00265771" w:rsidRPr="005C5C45">
        <w:t>.</w:t>
      </w:r>
    </w:p>
    <w:p w14:paraId="3216B339" w14:textId="073ED83E" w:rsidR="007E4153" w:rsidRPr="005C5C45" w:rsidRDefault="007F419B" w:rsidP="00160A84">
      <w:pPr>
        <w:pStyle w:val="Normalrglronly"/>
      </w:pPr>
      <w:r w:rsidRPr="005C5C45">
        <w:t>S</w:t>
      </w:r>
      <w:r w:rsidR="008B0FC0" w:rsidRPr="005C5C45">
        <w:t>ome s</w:t>
      </w:r>
      <w:r w:rsidR="00987AB4" w:rsidRPr="005C5C45">
        <w:t>takeholder</w:t>
      </w:r>
      <w:r w:rsidRPr="005C5C45">
        <w:t>s interviewed by the IRM researcher</w:t>
      </w:r>
      <w:r w:rsidR="001F2CA9" w:rsidRPr="005C5C45">
        <w:t xml:space="preserve"> </w:t>
      </w:r>
      <w:r w:rsidR="008B0FC0" w:rsidRPr="005C5C45">
        <w:t>find the OGPNZ website difficult to navigate, they want OGP work and progress on the commitments actively publicised through other social media outlets, noting there was little evidence of activities beyond Wellington since the action plan was announced in October 2016. Some seek the ability for a wider group of the public to co-create the next action plan.</w:t>
      </w:r>
      <w:r w:rsidR="008B0FC0" w:rsidRPr="005C5C45">
        <w:rPr>
          <w:rStyle w:val="EndnoteReference"/>
          <w:rFonts w:cs="Gill Sans"/>
        </w:rPr>
        <w:endnoteReference w:id="142"/>
      </w:r>
      <w:r w:rsidR="008B0FC0" w:rsidRPr="005C5C45">
        <w:t xml:space="preserve"> Others seek inclusion of commitment activities outside of Wellington.</w:t>
      </w:r>
      <w:r w:rsidR="008B0FC0" w:rsidRPr="005C5C45">
        <w:rPr>
          <w:rStyle w:val="EndnoteReference"/>
          <w:rFonts w:cs="Gill Sans"/>
        </w:rPr>
        <w:endnoteReference w:id="143"/>
      </w:r>
      <w:r w:rsidR="008B0FC0" w:rsidRPr="005C5C45">
        <w:t xml:space="preserve"> They endorse the commitment</w:t>
      </w:r>
      <w:r w:rsidR="00051347" w:rsidRPr="005C5C45">
        <w:t>’</w:t>
      </w:r>
      <w:r w:rsidR="008B0FC0" w:rsidRPr="005C5C45">
        <w:t>s activities to use</w:t>
      </w:r>
      <w:r w:rsidR="002756BB" w:rsidRPr="005C5C45">
        <w:t xml:space="preserve"> a variety of stable methods</w:t>
      </w:r>
      <w:r w:rsidR="008B0FC0" w:rsidRPr="005C5C45">
        <w:t xml:space="preserve"> and an OGP action plan process based on partnership between government and the public. Some </w:t>
      </w:r>
      <w:r w:rsidR="00BD50F2" w:rsidRPr="005C5C45">
        <w:t>seek</w:t>
      </w:r>
      <w:r w:rsidR="008B0FC0" w:rsidRPr="005C5C45">
        <w:t xml:space="preserve"> a stronger social infrastructure to allow for open communication for civil society groups and for tracking OGP action plan progress</w:t>
      </w:r>
      <w:r w:rsidR="008E7B09">
        <w:t>,</w:t>
      </w:r>
      <w:r w:rsidR="008B0FC0" w:rsidRPr="005C5C45">
        <w:rPr>
          <w:rStyle w:val="EndnoteReference"/>
          <w:rFonts w:cs="Gill Sans"/>
        </w:rPr>
        <w:endnoteReference w:id="144"/>
      </w:r>
      <w:r w:rsidR="008B0FC0" w:rsidRPr="005C5C45">
        <w:t xml:space="preserve"> a good, </w:t>
      </w:r>
      <w:r w:rsidR="008E7B09">
        <w:t>simple</w:t>
      </w:r>
      <w:r w:rsidR="008B0FC0" w:rsidRPr="005C5C45">
        <w:t xml:space="preserve"> and clear platform, not just a holding place for discussion, </w:t>
      </w:r>
      <w:r w:rsidR="00415346">
        <w:t>‘</w:t>
      </w:r>
      <w:r w:rsidR="008B0FC0" w:rsidRPr="005C5C45">
        <w:t>using more bespoke technology designed to support deliberation</w:t>
      </w:r>
      <w:r w:rsidR="00415346">
        <w:t>’</w:t>
      </w:r>
      <w:r w:rsidR="008B0FC0" w:rsidRPr="005C5C45">
        <w:t xml:space="preserve"> and report back to all who deliberated on what was done and why ideas were rejected</w:t>
      </w:r>
      <w:r w:rsidR="008E7B09">
        <w:t>,</w:t>
      </w:r>
      <w:r w:rsidR="00930934" w:rsidRPr="005C5C45">
        <w:rPr>
          <w:rStyle w:val="EndnoteReference"/>
        </w:rPr>
        <w:endnoteReference w:id="145"/>
      </w:r>
      <w:r w:rsidR="003952DC" w:rsidRPr="005C5C45">
        <w:t xml:space="preserve"> </w:t>
      </w:r>
      <w:r w:rsidR="00BD50F2" w:rsidRPr="005C5C45">
        <w:t xml:space="preserve">an </w:t>
      </w:r>
      <w:r w:rsidR="003952DC" w:rsidRPr="005C5C45">
        <w:t xml:space="preserve">appreciation of </w:t>
      </w:r>
      <w:r w:rsidR="00415346">
        <w:t>‘</w:t>
      </w:r>
      <w:r w:rsidR="003952DC" w:rsidRPr="005C5C45">
        <w:t>co-ownership with the public</w:t>
      </w:r>
      <w:r w:rsidR="00415346">
        <w:t>’</w:t>
      </w:r>
      <w:r w:rsidR="001C6D87">
        <w:t>,</w:t>
      </w:r>
      <w:r w:rsidR="00930934" w:rsidRPr="005C5C45">
        <w:rPr>
          <w:rStyle w:val="EndnoteReference"/>
        </w:rPr>
        <w:endnoteReference w:id="146"/>
      </w:r>
      <w:r w:rsidR="003952DC" w:rsidRPr="005C5C45">
        <w:t xml:space="preserve"> and Internet N</w:t>
      </w:r>
      <w:r w:rsidR="00160A84" w:rsidRPr="005C5C45">
        <w:t xml:space="preserve">ew </w:t>
      </w:r>
      <w:r w:rsidR="003952DC" w:rsidRPr="005C5C45">
        <w:t>Z</w:t>
      </w:r>
      <w:r w:rsidR="00160A84" w:rsidRPr="005C5C45">
        <w:t>ealand</w:t>
      </w:r>
      <w:r w:rsidR="003952DC" w:rsidRPr="005C5C45">
        <w:t xml:space="preserve"> advocated for only one platform and asked </w:t>
      </w:r>
      <w:r w:rsidR="00415346">
        <w:t>‘</w:t>
      </w:r>
      <w:r w:rsidR="003952DC" w:rsidRPr="005C5C45">
        <w:t>Why build it ourselves?</w:t>
      </w:r>
      <w:r w:rsidR="00415346">
        <w:t>’</w:t>
      </w:r>
      <w:r w:rsidR="00930934" w:rsidRPr="005C5C45">
        <w:rPr>
          <w:rStyle w:val="EndnoteReference"/>
        </w:rPr>
        <w:endnoteReference w:id="147"/>
      </w:r>
      <w:r w:rsidR="00930934" w:rsidRPr="005C5C45" w:rsidDel="00930934">
        <w:t xml:space="preserve"> </w:t>
      </w:r>
      <w:r w:rsidR="00611778" w:rsidRPr="005C5C45">
        <w:t>Some stakeholders are sceptical about government’s commitment to co-creat</w:t>
      </w:r>
      <w:r w:rsidR="009A4F75" w:rsidRPr="005C5C45">
        <w:t>e the next action plan.</w:t>
      </w:r>
    </w:p>
    <w:p w14:paraId="427942DE" w14:textId="2D7836F4" w:rsidR="00DF0CFF" w:rsidRPr="005C5C45" w:rsidRDefault="00DF0CFF" w:rsidP="001C6D87">
      <w:pPr>
        <w:pStyle w:val="CommentText"/>
      </w:pPr>
      <w:r w:rsidRPr="005C5C45">
        <w:rPr>
          <w:rFonts w:ascii="Gill Sans" w:hAnsi="Gill Sans"/>
          <w:bCs/>
          <w:szCs w:val="22"/>
        </w:rPr>
        <w:t>Given the delay in publishing</w:t>
      </w:r>
      <w:r w:rsidR="00BD50F2" w:rsidRPr="005C5C45">
        <w:rPr>
          <w:rFonts w:ascii="Gill Sans" w:hAnsi="Gill Sans"/>
          <w:bCs/>
          <w:szCs w:val="22"/>
        </w:rPr>
        <w:t xml:space="preserve"> the review, </w:t>
      </w:r>
      <w:r w:rsidRPr="005C5C45">
        <w:rPr>
          <w:rFonts w:ascii="Gill Sans" w:hAnsi="Gill Sans"/>
          <w:bCs/>
          <w:szCs w:val="22"/>
        </w:rPr>
        <w:t>t</w:t>
      </w:r>
      <w:r w:rsidR="00611778" w:rsidRPr="005C5C45">
        <w:rPr>
          <w:rFonts w:ascii="Gill Sans" w:hAnsi="Gill Sans"/>
          <w:bCs/>
          <w:szCs w:val="22"/>
        </w:rPr>
        <w:t>he</w:t>
      </w:r>
      <w:r w:rsidRPr="005C5C45">
        <w:rPr>
          <w:rFonts w:ascii="Gill Sans" w:hAnsi="Gill Sans"/>
          <w:bCs/>
          <w:szCs w:val="22"/>
        </w:rPr>
        <w:t xml:space="preserve"> IRM researcher questions whether the intention to have improved </w:t>
      </w:r>
      <w:r w:rsidR="00E324EE" w:rsidRPr="005C5C45">
        <w:rPr>
          <w:rFonts w:ascii="Gill Sans" w:hAnsi="Gill Sans"/>
          <w:bCs/>
          <w:szCs w:val="22"/>
        </w:rPr>
        <w:t>digital public engagement tools</w:t>
      </w:r>
      <w:r w:rsidRPr="005C5C45">
        <w:rPr>
          <w:rFonts w:ascii="Gill Sans" w:hAnsi="Gill Sans"/>
          <w:bCs/>
          <w:szCs w:val="22"/>
        </w:rPr>
        <w:t xml:space="preserve"> </w:t>
      </w:r>
      <w:r w:rsidR="00084802" w:rsidRPr="005C5C45">
        <w:rPr>
          <w:rFonts w:ascii="Gill Sans" w:hAnsi="Gill Sans"/>
          <w:bCs/>
          <w:szCs w:val="22"/>
        </w:rPr>
        <w:t>by the start date of</w:t>
      </w:r>
      <w:r w:rsidRPr="005C5C45">
        <w:rPr>
          <w:rFonts w:ascii="Gill Sans" w:hAnsi="Gill Sans"/>
          <w:bCs/>
          <w:szCs w:val="22"/>
        </w:rPr>
        <w:t xml:space="preserve"> developing the next action plan </w:t>
      </w:r>
      <w:r w:rsidR="00084802" w:rsidRPr="005C5C45">
        <w:rPr>
          <w:rFonts w:ascii="Gill Sans" w:hAnsi="Gill Sans"/>
          <w:bCs/>
          <w:szCs w:val="22"/>
        </w:rPr>
        <w:t>(</w:t>
      </w:r>
      <w:r w:rsidRPr="005C5C45">
        <w:rPr>
          <w:rFonts w:ascii="Gill Sans" w:hAnsi="Gill Sans"/>
          <w:bCs/>
          <w:szCs w:val="22"/>
        </w:rPr>
        <w:t>January 2018</w:t>
      </w:r>
      <w:r w:rsidR="00084802" w:rsidRPr="005C5C45">
        <w:rPr>
          <w:rFonts w:ascii="Gill Sans" w:hAnsi="Gill Sans"/>
          <w:bCs/>
          <w:szCs w:val="22"/>
        </w:rPr>
        <w:t>)</w:t>
      </w:r>
      <w:r w:rsidRPr="005C5C45">
        <w:rPr>
          <w:rFonts w:ascii="Gill Sans" w:hAnsi="Gill Sans"/>
          <w:bCs/>
          <w:szCs w:val="22"/>
        </w:rPr>
        <w:t xml:space="preserve"> is achievable</w:t>
      </w:r>
      <w:r w:rsidR="00E324EE" w:rsidRPr="005C5C45">
        <w:rPr>
          <w:rFonts w:ascii="Gill Sans" w:hAnsi="Gill Sans"/>
          <w:bCs/>
          <w:szCs w:val="22"/>
        </w:rPr>
        <w:t>.</w:t>
      </w:r>
      <w:r w:rsidR="00CF30D3" w:rsidRPr="005C5C45">
        <w:rPr>
          <w:rFonts w:ascii="Gill Sans" w:hAnsi="Gill Sans"/>
          <w:bCs/>
          <w:szCs w:val="22"/>
        </w:rPr>
        <w:t xml:space="preserve"> </w:t>
      </w:r>
      <w:r w:rsidR="001A75F0" w:rsidRPr="005C5C45">
        <w:rPr>
          <w:rFonts w:ascii="Gill Sans" w:hAnsi="Gill Sans"/>
          <w:bCs/>
          <w:szCs w:val="22"/>
        </w:rPr>
        <w:t>The SSC has stated</w:t>
      </w:r>
      <w:r w:rsidR="00CF30D3" w:rsidRPr="005C5C45">
        <w:rPr>
          <w:rFonts w:ascii="Gill Sans" w:hAnsi="Gill Sans"/>
          <w:bCs/>
          <w:szCs w:val="22"/>
        </w:rPr>
        <w:t xml:space="preserve"> that </w:t>
      </w:r>
      <w:r w:rsidR="00FC3FB3" w:rsidRPr="005C5C45">
        <w:rPr>
          <w:rFonts w:ascii="Gill Sans" w:hAnsi="Gill Sans"/>
          <w:bCs/>
          <w:szCs w:val="22"/>
        </w:rPr>
        <w:t>p</w:t>
      </w:r>
      <w:r w:rsidR="00CF30D3" w:rsidRPr="005C5C45">
        <w:rPr>
          <w:rFonts w:ascii="Gill Sans" w:hAnsi="Gill Sans"/>
          <w:bCs/>
          <w:szCs w:val="22"/>
        </w:rPr>
        <w:t xml:space="preserve">reparation for the public engagement process to develop the next National Action Plan is underway. </w:t>
      </w:r>
      <w:r w:rsidR="00317348" w:rsidRPr="005C5C45">
        <w:rPr>
          <w:rFonts w:ascii="Gill Sans" w:hAnsi="Gill Sans"/>
          <w:bCs/>
          <w:szCs w:val="22"/>
        </w:rPr>
        <w:t>It</w:t>
      </w:r>
      <w:r w:rsidR="00CF30D3" w:rsidRPr="005C5C45">
        <w:rPr>
          <w:rFonts w:ascii="Gill Sans" w:hAnsi="Gill Sans"/>
          <w:bCs/>
          <w:szCs w:val="22"/>
        </w:rPr>
        <w:t xml:space="preserve"> will utilize digital tools</w:t>
      </w:r>
      <w:r w:rsidR="00317348" w:rsidRPr="005C5C45">
        <w:rPr>
          <w:rFonts w:ascii="Gill Sans" w:hAnsi="Gill Sans"/>
          <w:bCs/>
          <w:szCs w:val="22"/>
        </w:rPr>
        <w:t xml:space="preserve"> and i</w:t>
      </w:r>
      <w:r w:rsidR="00CF30D3" w:rsidRPr="005C5C45">
        <w:rPr>
          <w:rFonts w:ascii="Gill Sans" w:hAnsi="Gill Sans"/>
          <w:bCs/>
          <w:szCs w:val="22"/>
        </w:rPr>
        <w:t xml:space="preserve">nsights developed in the course of this </w:t>
      </w:r>
      <w:r w:rsidR="00317348" w:rsidRPr="005C5C45">
        <w:rPr>
          <w:rFonts w:ascii="Gill Sans" w:hAnsi="Gill Sans"/>
          <w:bCs/>
          <w:szCs w:val="22"/>
        </w:rPr>
        <w:t>m</w:t>
      </w:r>
      <w:r w:rsidR="00CF30D3" w:rsidRPr="005C5C45">
        <w:rPr>
          <w:rFonts w:ascii="Gill Sans" w:hAnsi="Gill Sans"/>
          <w:bCs/>
          <w:szCs w:val="22"/>
        </w:rPr>
        <w:t xml:space="preserve">ilestone will feed into the planning for the engagement. Milestone </w:t>
      </w:r>
      <w:r w:rsidR="001A75F0" w:rsidRPr="005C5C45">
        <w:rPr>
          <w:rFonts w:ascii="Gill Sans" w:hAnsi="Gill Sans"/>
          <w:bCs/>
          <w:szCs w:val="22"/>
        </w:rPr>
        <w:t>one</w:t>
      </w:r>
      <w:r w:rsidR="00CF30D3" w:rsidRPr="005C5C45">
        <w:rPr>
          <w:rFonts w:ascii="Gill Sans" w:hAnsi="Gill Sans"/>
          <w:bCs/>
          <w:szCs w:val="22"/>
        </w:rPr>
        <w:t xml:space="preserve">’s finish date is June 2018. It isn’t tied to the next </w:t>
      </w:r>
      <w:r w:rsidR="00CF30D3" w:rsidRPr="005C5C45">
        <w:rPr>
          <w:rFonts w:ascii="Gill Sans" w:hAnsi="Gill Sans"/>
          <w:bCs/>
          <w:szCs w:val="22"/>
        </w:rPr>
        <w:lastRenderedPageBreak/>
        <w:t>National Action Plan.</w:t>
      </w:r>
      <w:r w:rsidR="0097477F" w:rsidRPr="005C5C45">
        <w:rPr>
          <w:rStyle w:val="EndnoteReference"/>
          <w:rFonts w:ascii="Gill Sans" w:hAnsi="Gill Sans"/>
          <w:bCs/>
          <w:szCs w:val="22"/>
        </w:rPr>
        <w:endnoteReference w:id="148"/>
      </w:r>
      <w:r w:rsidR="008E7B09">
        <w:rPr>
          <w:rFonts w:ascii="Gill Sans" w:hAnsi="Gill Sans"/>
          <w:bCs/>
          <w:szCs w:val="22"/>
        </w:rPr>
        <w:br/>
      </w:r>
    </w:p>
    <w:p w14:paraId="404FCDB8" w14:textId="77E0EB7B" w:rsidR="00611778" w:rsidRPr="005C5C45" w:rsidRDefault="00615814" w:rsidP="00160A84">
      <w:pPr>
        <w:pStyle w:val="Normalrglronly"/>
      </w:pPr>
      <w:r w:rsidRPr="005C5C45">
        <w:t>One set of p</w:t>
      </w:r>
      <w:r w:rsidR="00BD50F2" w:rsidRPr="005C5C45">
        <w:t>rogress reports</w:t>
      </w:r>
      <w:r w:rsidRPr="005C5C45">
        <w:t xml:space="preserve"> against OGP milestones ha</w:t>
      </w:r>
      <w:r w:rsidR="00051347" w:rsidRPr="005C5C45">
        <w:t>s been</w:t>
      </w:r>
      <w:r w:rsidR="00BD50F2" w:rsidRPr="005C5C45">
        <w:t xml:space="preserve"> published </w:t>
      </w:r>
      <w:r w:rsidR="003773F0" w:rsidRPr="005C5C45">
        <w:t>at the</w:t>
      </w:r>
      <w:r w:rsidR="00BD50F2" w:rsidRPr="005C5C45">
        <w:t xml:space="preserve"> What’s Happening section of N</w:t>
      </w:r>
      <w:r w:rsidR="00160A84" w:rsidRPr="005C5C45">
        <w:t xml:space="preserve">ew </w:t>
      </w:r>
      <w:r w:rsidR="00BD50F2" w:rsidRPr="005C5C45">
        <w:t>Z</w:t>
      </w:r>
      <w:r w:rsidR="00160A84" w:rsidRPr="005C5C45">
        <w:t>ealand</w:t>
      </w:r>
      <w:r w:rsidR="00BD50F2" w:rsidRPr="005C5C45">
        <w:t>’s OGP website using the format agreed with the Expert Advisory Panel</w:t>
      </w:r>
      <w:r w:rsidR="008E7B09">
        <w:t>.</w:t>
      </w:r>
      <w:r w:rsidR="00BD50F2" w:rsidRPr="005C5C45">
        <w:rPr>
          <w:rStyle w:val="EndnoteReference"/>
          <w:rFonts w:cs="Gill Sans"/>
        </w:rPr>
        <w:endnoteReference w:id="149"/>
      </w:r>
      <w:r w:rsidR="00BD50F2" w:rsidRPr="005C5C45">
        <w:t xml:space="preserve"> </w:t>
      </w:r>
    </w:p>
    <w:p w14:paraId="5093D858" w14:textId="49A07F04" w:rsidR="00611778" w:rsidRPr="005C5C45" w:rsidRDefault="00611778" w:rsidP="00160A84">
      <w:pPr>
        <w:pStyle w:val="Normalrglronly"/>
      </w:pPr>
      <w:r w:rsidRPr="005C5C45">
        <w:t xml:space="preserve">Many stakeholders </w:t>
      </w:r>
      <w:r w:rsidR="00615814" w:rsidRPr="005C5C45">
        <w:t xml:space="preserve">interviewed by the IRM researcher </w:t>
      </w:r>
      <w:r w:rsidRPr="005C5C45">
        <w:t xml:space="preserve">discussed how OGP participation </w:t>
      </w:r>
      <w:proofErr w:type="gramStart"/>
      <w:r w:rsidRPr="005C5C45">
        <w:t>can</w:t>
      </w:r>
      <w:proofErr w:type="gramEnd"/>
      <w:r w:rsidRPr="005C5C45">
        <w:t xml:space="preserve"> address the seeming tension between representative democracy and participatory (or deliberative) democracy</w:t>
      </w:r>
      <w:r w:rsidR="00615814" w:rsidRPr="005C5C45">
        <w:t>.</w:t>
      </w:r>
      <w:r w:rsidRPr="005C5C45">
        <w:t xml:space="preserve"> They noted that N</w:t>
      </w:r>
      <w:r w:rsidR="00160A84" w:rsidRPr="005C5C45">
        <w:t xml:space="preserve">ew </w:t>
      </w:r>
      <w:r w:rsidRPr="005C5C45">
        <w:t>Z</w:t>
      </w:r>
      <w:r w:rsidR="00160A84" w:rsidRPr="005C5C45">
        <w:t>ealand</w:t>
      </w:r>
      <w:r w:rsidRPr="005C5C45">
        <w:t xml:space="preserve">’s representative system of government requires public participation in </w:t>
      </w:r>
      <w:proofErr w:type="gramStart"/>
      <w:r w:rsidRPr="005C5C45">
        <w:t>decision making</w:t>
      </w:r>
      <w:proofErr w:type="gramEnd"/>
      <w:r w:rsidRPr="005C5C45">
        <w:t xml:space="preserve"> and politics and gave examples of requirements for consultation in many N</w:t>
      </w:r>
      <w:r w:rsidR="00160A84" w:rsidRPr="005C5C45">
        <w:t xml:space="preserve">ew </w:t>
      </w:r>
      <w:r w:rsidRPr="005C5C45">
        <w:t>Z</w:t>
      </w:r>
      <w:r w:rsidR="00160A84" w:rsidRPr="005C5C45">
        <w:t>ealand</w:t>
      </w:r>
      <w:r w:rsidRPr="005C5C45">
        <w:t xml:space="preserve"> laws (e.g. Local Government Act, Resource Management Act, Conservation Act) and institutions (e.g. select committees, petitions, freedom of the press). They described deliberative democracy as an approach to particularly difficult issues that complements existing institutions between elections, not as a replacement for representative democracy, and they looked forward to using it to develop the next plan. They sought a two-way </w:t>
      </w:r>
      <w:r w:rsidR="009A4F75" w:rsidRPr="005C5C45">
        <w:t xml:space="preserve">OGP </w:t>
      </w:r>
      <w:r w:rsidRPr="005C5C45">
        <w:t xml:space="preserve">communications </w:t>
      </w:r>
      <w:proofErr w:type="gramStart"/>
      <w:r w:rsidRPr="005C5C45">
        <w:t>strategy which</w:t>
      </w:r>
      <w:proofErr w:type="gramEnd"/>
      <w:r w:rsidRPr="005C5C45">
        <w:t xml:space="preserve"> includes listening to each group’s views so that all gain trust and confidence.</w:t>
      </w:r>
      <w:r w:rsidR="005F4929" w:rsidRPr="005C5C45">
        <w:rPr>
          <w:rStyle w:val="EndnoteReference"/>
          <w:rFonts w:cs="Gill Sans"/>
        </w:rPr>
        <w:endnoteReference w:id="150"/>
      </w:r>
    </w:p>
    <w:p w14:paraId="52DF9344" w14:textId="77777777" w:rsidR="00EA2F88" w:rsidRPr="005C5C45" w:rsidRDefault="00EA2F88" w:rsidP="006B1434">
      <w:pPr>
        <w:pStyle w:val="Heading3"/>
      </w:pPr>
      <w:r w:rsidRPr="005C5C45">
        <w:t>Next Steps</w:t>
      </w:r>
    </w:p>
    <w:p w14:paraId="662175BC" w14:textId="084BF791" w:rsidR="00402511" w:rsidRPr="005C5C45" w:rsidRDefault="00EA2F88" w:rsidP="00160A84">
      <w:pPr>
        <w:pStyle w:val="Normalrglronly"/>
      </w:pPr>
      <w:r w:rsidRPr="005C5C45">
        <w:t xml:space="preserve">The IRM researcher recommends that this commitment </w:t>
      </w:r>
      <w:r w:rsidR="008E7B09">
        <w:t>be</w:t>
      </w:r>
      <w:r w:rsidR="008E7B09" w:rsidRPr="005C5C45">
        <w:t xml:space="preserve"> </w:t>
      </w:r>
      <w:r w:rsidRPr="005C5C45">
        <w:t xml:space="preserve">completed in the remaining period of the action plan and </w:t>
      </w:r>
      <w:proofErr w:type="gramStart"/>
      <w:r w:rsidRPr="005C5C45">
        <w:t xml:space="preserve">that </w:t>
      </w:r>
      <w:r w:rsidR="003E1F0A" w:rsidRPr="005C5C45">
        <w:t>commitment activities</w:t>
      </w:r>
      <w:proofErr w:type="gramEnd"/>
      <w:r w:rsidR="003E1F0A" w:rsidRPr="005C5C45">
        <w:t xml:space="preserve"> one and three</w:t>
      </w:r>
      <w:r w:rsidRPr="005C5C45">
        <w:t xml:space="preserve"> are updated to ensure effective development of the next action plan</w:t>
      </w:r>
      <w:r w:rsidR="003773F0" w:rsidRPr="005C5C45">
        <w:t>. These recommendations build on the feedback from stakeholder interviews</w:t>
      </w:r>
      <w:r w:rsidR="00754E35" w:rsidRPr="005C5C45">
        <w:t xml:space="preserve">. For commitment activity one, the SSC should bolster work with the Department of Internal Affairs by selecting a suite of tools and procedures to be used for public engagement across central and local government. For commitment activity three, engaging with New Zealanders should be modified to </w:t>
      </w:r>
      <w:r w:rsidR="00415346">
        <w:t>‘</w:t>
      </w:r>
      <w:r w:rsidR="00754E35" w:rsidRPr="005C5C45">
        <w:t>co-creating</w:t>
      </w:r>
      <w:r w:rsidR="00415346">
        <w:t>’</w:t>
      </w:r>
      <w:r w:rsidR="002C6928">
        <w:t>.</w:t>
      </w:r>
      <w:r w:rsidR="00754E35" w:rsidRPr="005C5C45">
        <w:t xml:space="preserve"> Action plan development should include greater participatory involvement. </w:t>
      </w:r>
      <w:r w:rsidR="00402511" w:rsidRPr="005C5C45">
        <w:t xml:space="preserve">As for the second and completed </w:t>
      </w:r>
      <w:r w:rsidR="003E1F0A" w:rsidRPr="005C5C45">
        <w:t>commitment activity</w:t>
      </w:r>
      <w:r w:rsidR="00402511" w:rsidRPr="005C5C45">
        <w:t>, the IRM researcher recommends that reporting of each milestone against its end-date is added to the template, to assist with OGP progress reporting.</w:t>
      </w:r>
    </w:p>
    <w:p w14:paraId="68600AD7" w14:textId="2D35A115" w:rsidR="00AB4A71" w:rsidRPr="005C5C45" w:rsidRDefault="00AB4A71" w:rsidP="00160A84">
      <w:pPr>
        <w:pStyle w:val="Normalrglronly"/>
        <w:sectPr w:rsidR="00AB4A71" w:rsidRPr="005C5C45" w:rsidSect="0002581F">
          <w:endnotePr>
            <w:numFmt w:val="decimal"/>
            <w:numRestart w:val="eachSect"/>
          </w:endnotePr>
          <w:pgSz w:w="11900" w:h="16840" w:code="9"/>
          <w:pgMar w:top="1440" w:right="1800" w:bottom="1440" w:left="1800" w:header="720" w:footer="720" w:gutter="0"/>
          <w:cols w:space="720"/>
          <w:docGrid w:linePitch="360"/>
        </w:sectPr>
      </w:pPr>
      <w:r w:rsidRPr="005C5C45">
        <w:t xml:space="preserve">The IRM researcher also notes that activities foreseen by this commitment are essential for a country to participate in OGP. Therefore, it is advisable for the government to successfully develop an enduring platform as an OGP mechanism to develop and implement an effective action plan, </w:t>
      </w:r>
      <w:r w:rsidR="00E41BF6" w:rsidRPr="005C5C45">
        <w:t xml:space="preserve">and to do this as a regular OGP operational activity </w:t>
      </w:r>
      <w:r w:rsidRPr="005C5C45">
        <w:t>rather than including it as a</w:t>
      </w:r>
      <w:r w:rsidR="00E41BF6" w:rsidRPr="005C5C45">
        <w:t>n</w:t>
      </w:r>
      <w:r w:rsidRPr="005C5C45">
        <w:t xml:space="preserve"> action plan commitment. </w:t>
      </w:r>
      <w:r w:rsidR="002178A0" w:rsidRPr="005C5C45">
        <w:t xml:space="preserve">The </w:t>
      </w:r>
      <w:r w:rsidRPr="005C5C45">
        <w:t xml:space="preserve">IRM assesses the consultation mechanism during development and implementation of the action plan in a separate chapter of the IRM report. </w:t>
      </w:r>
    </w:p>
    <w:p w14:paraId="478CC973" w14:textId="0A73699F" w:rsidR="00EA2F88" w:rsidRPr="005C5C45" w:rsidRDefault="00A868DF" w:rsidP="00974DCD">
      <w:pPr>
        <w:pStyle w:val="Heading2"/>
      </w:pPr>
      <w:bookmarkStart w:id="28" w:name="_Toc377998814"/>
      <w:r w:rsidRPr="005C5C45">
        <w:rPr>
          <w:rFonts w:ascii="MS Mincho" w:eastAsia="MS Mincho" w:hAnsi="MS Mincho" w:cs="MS Mincho"/>
          <w:smallCaps/>
          <w:sz w:val="20"/>
        </w:rPr>
        <w:lastRenderedPageBreak/>
        <w:t>✪</w:t>
      </w:r>
      <w:r w:rsidR="00EA2F88" w:rsidRPr="005C5C45">
        <w:t>6. Improving access to legislation</w:t>
      </w:r>
      <w:bookmarkEnd w:id="28"/>
    </w:p>
    <w:p w14:paraId="7F191777" w14:textId="77777777" w:rsidR="00EA2F88" w:rsidRPr="005C5C45" w:rsidRDefault="00EA2F88" w:rsidP="00CE328A">
      <w:pPr>
        <w:rPr>
          <w:b/>
        </w:rPr>
      </w:pPr>
      <w:r w:rsidRPr="005C5C45">
        <w:rPr>
          <w:b/>
        </w:rPr>
        <w:t xml:space="preserve">Commitment Text: </w:t>
      </w:r>
    </w:p>
    <w:p w14:paraId="00A63682" w14:textId="77777777" w:rsidR="00EA2F88" w:rsidRPr="005C5C45" w:rsidRDefault="00EA2F88" w:rsidP="00CE328A">
      <w:pPr>
        <w:rPr>
          <w:i/>
          <w:color w:val="auto"/>
        </w:rPr>
      </w:pPr>
      <w:r w:rsidRPr="005C5C45">
        <w:rPr>
          <w:i/>
          <w:color w:val="auto"/>
        </w:rPr>
        <w:t>To improve access to legislation by ensuring there is a single source for this information online</w:t>
      </w:r>
    </w:p>
    <w:p w14:paraId="0385B986" w14:textId="77777777" w:rsidR="00EA2F88" w:rsidRPr="005C5C45" w:rsidRDefault="00EA2F88" w:rsidP="00CE328A">
      <w:pPr>
        <w:rPr>
          <w:i/>
        </w:rPr>
      </w:pPr>
    </w:p>
    <w:p w14:paraId="3C2B082C" w14:textId="77777777" w:rsidR="00EA2F88" w:rsidRPr="005C5C45" w:rsidRDefault="00EA2F88" w:rsidP="00CE328A">
      <w:pPr>
        <w:rPr>
          <w:i/>
        </w:rPr>
      </w:pPr>
      <w:r w:rsidRPr="005C5C45">
        <w:rPr>
          <w:i/>
        </w:rPr>
        <w:t xml:space="preserve">Objective: To improve access to legislation by publishing all subordinate instruments (regardless of who drafts them) on the </w:t>
      </w:r>
      <w:r w:rsidR="003811C4" w:rsidRPr="005C5C45">
        <w:rPr>
          <w:i/>
        </w:rPr>
        <w:t>NZ</w:t>
      </w:r>
      <w:r w:rsidRPr="005C5C45">
        <w:rPr>
          <w:i/>
        </w:rPr>
        <w:t xml:space="preserve"> Legislation (NZL) website. The result will be a single, comprehensive, official, public source of all </w:t>
      </w:r>
      <w:r w:rsidR="003811C4" w:rsidRPr="005C5C45">
        <w:rPr>
          <w:i/>
        </w:rPr>
        <w:t>NZ</w:t>
      </w:r>
      <w:r w:rsidRPr="005C5C45">
        <w:rPr>
          <w:i/>
        </w:rPr>
        <w:t>’s legislation.</w:t>
      </w:r>
    </w:p>
    <w:p w14:paraId="59E551B0" w14:textId="77777777" w:rsidR="00EA2F88" w:rsidRPr="005C5C45" w:rsidRDefault="00EA2F88" w:rsidP="00CE328A">
      <w:pPr>
        <w:rPr>
          <w:i/>
        </w:rPr>
      </w:pPr>
    </w:p>
    <w:p w14:paraId="4D7BB563" w14:textId="77777777" w:rsidR="00EA2F88" w:rsidRPr="005C5C45" w:rsidRDefault="00EA2F88" w:rsidP="00CE328A">
      <w:pPr>
        <w:rPr>
          <w:i/>
        </w:rPr>
      </w:pPr>
      <w:r w:rsidRPr="005C5C45">
        <w:rPr>
          <w:i/>
        </w:rPr>
        <w:t xml:space="preserve">Status quo: There is no single place where people can see all of </w:t>
      </w:r>
      <w:r w:rsidR="003811C4" w:rsidRPr="005C5C45">
        <w:rPr>
          <w:i/>
        </w:rPr>
        <w:t>NZ</w:t>
      </w:r>
      <w:r w:rsidRPr="005C5C45">
        <w:rPr>
          <w:i/>
        </w:rPr>
        <w:t xml:space="preserve">’s legislation. All Acts of Parliament are published in full on the NZL website. Subordinate instruments (often referred to as regulations) are made under the delegated law-making authority of Parliament. Those that are drafted by the Parliamentary Counsel Office (PCO) are called legislative instruments and are also published in full on the NZL website. Those that are drafted by government departments and agencies, and by other non-governmental bodies, are published either in the Gazette or on a variety of different websites, in newspapers or are not readily available to the public. This has a direct impact on the cost of doing business in </w:t>
      </w:r>
      <w:r w:rsidR="003811C4" w:rsidRPr="005C5C45">
        <w:rPr>
          <w:i/>
        </w:rPr>
        <w:t>NZ</w:t>
      </w:r>
      <w:r w:rsidRPr="005C5C45">
        <w:rPr>
          <w:i/>
        </w:rPr>
        <w:t>, people’s ability to comply with the</w:t>
      </w:r>
      <w:r w:rsidR="00ED2352" w:rsidRPr="005C5C45">
        <w:rPr>
          <w:i/>
        </w:rPr>
        <w:t xml:space="preserve"> law, and people’s rights.</w:t>
      </w:r>
    </w:p>
    <w:p w14:paraId="1DEA78C0" w14:textId="77777777" w:rsidR="00EA2F88" w:rsidRPr="005C5C45" w:rsidRDefault="00EA2F88" w:rsidP="00CE328A">
      <w:pPr>
        <w:rPr>
          <w:i/>
        </w:rPr>
      </w:pPr>
    </w:p>
    <w:p w14:paraId="472712CD" w14:textId="77777777" w:rsidR="00EA2F88" w:rsidRPr="005C5C45" w:rsidRDefault="00EA2F88" w:rsidP="00CE328A">
      <w:pPr>
        <w:rPr>
          <w:i/>
        </w:rPr>
      </w:pPr>
      <w:r w:rsidRPr="005C5C45">
        <w:rPr>
          <w:i/>
        </w:rPr>
        <w:t>Ambition: We are committed to improving access to legislation – access to the law is central to the rule of law, and people expect easy access to legislation.</w:t>
      </w:r>
    </w:p>
    <w:p w14:paraId="41090D07" w14:textId="77777777" w:rsidR="00D97A42" w:rsidRPr="005C5C45" w:rsidRDefault="00D97A42" w:rsidP="00CE328A">
      <w:pPr>
        <w:rPr>
          <w:i/>
        </w:rPr>
      </w:pPr>
    </w:p>
    <w:p w14:paraId="1345951F" w14:textId="77777777" w:rsidR="00D97A42" w:rsidRPr="005C5C45" w:rsidRDefault="00D97A42" w:rsidP="00CE328A">
      <w:pPr>
        <w:rPr>
          <w:i/>
        </w:rPr>
      </w:pPr>
      <w:r w:rsidRPr="005C5C45">
        <w:rPr>
          <w:i/>
        </w:rPr>
        <w:t xml:space="preserve">Milestones: </w:t>
      </w:r>
    </w:p>
    <w:p w14:paraId="6F7675FD" w14:textId="77777777" w:rsidR="00D97A42" w:rsidRPr="005C5C45" w:rsidRDefault="00D97A42" w:rsidP="00555FB0">
      <w:pPr>
        <w:pStyle w:val="APQuotefeaturetol"/>
        <w:numPr>
          <w:ilvl w:val="0"/>
          <w:numId w:val="65"/>
        </w:numPr>
      </w:pPr>
      <w:r w:rsidRPr="005C5C45">
        <w:t>Consultation and engagement with all involved actors, including all government and regulatory agencies and Crown entities that produce legislation or regulation</w:t>
      </w:r>
    </w:p>
    <w:p w14:paraId="2E995FCD" w14:textId="77777777" w:rsidR="00D97A42" w:rsidRPr="005C5C45" w:rsidRDefault="00D97A42" w:rsidP="00555FB0">
      <w:pPr>
        <w:pStyle w:val="APQuotefeaturetol"/>
        <w:numPr>
          <w:ilvl w:val="0"/>
          <w:numId w:val="65"/>
        </w:numPr>
      </w:pPr>
      <w:r w:rsidRPr="005C5C45">
        <w:t>Consideration for approval by Cabinet</w:t>
      </w:r>
    </w:p>
    <w:p w14:paraId="20789A28" w14:textId="77777777" w:rsidR="00EA2F88" w:rsidRPr="005C5C45" w:rsidRDefault="00EA2F88" w:rsidP="00CE328A">
      <w:pPr>
        <w:pStyle w:val="Normalrglronly"/>
      </w:pPr>
      <w:r w:rsidRPr="005C5C45">
        <w:rPr>
          <w:b/>
        </w:rPr>
        <w:t>Responsible institution:</w:t>
      </w:r>
      <w:r w:rsidR="00C80793" w:rsidRPr="005C5C45">
        <w:tab/>
      </w:r>
      <w:r w:rsidR="00D97A42" w:rsidRPr="005C5C45">
        <w:t xml:space="preserve"> </w:t>
      </w:r>
      <w:r w:rsidRPr="005C5C45">
        <w:t>Parliamentary Counsel Office (PCO)</w:t>
      </w:r>
    </w:p>
    <w:p w14:paraId="4DBEAC8C" w14:textId="77777777" w:rsidR="00EA2F88" w:rsidRPr="005C5C45" w:rsidRDefault="00EA2F88" w:rsidP="00CE328A">
      <w:pPr>
        <w:pStyle w:val="Normalrglronly"/>
        <w:rPr>
          <w:b/>
        </w:rPr>
      </w:pPr>
      <w:r w:rsidRPr="005C5C45">
        <w:rPr>
          <w:b/>
        </w:rPr>
        <w:t>Supporting institution(s</w:t>
      </w:r>
      <w:r w:rsidR="00C80793" w:rsidRPr="00D92756">
        <w:rPr>
          <w:b/>
        </w:rPr>
        <w:t>):</w:t>
      </w:r>
      <w:r w:rsidR="00C80793" w:rsidRPr="00D92756">
        <w:rPr>
          <w:b/>
        </w:rPr>
        <w:tab/>
      </w:r>
      <w:r w:rsidR="00D97A42" w:rsidRPr="005C5C45">
        <w:t xml:space="preserve"> </w:t>
      </w:r>
      <w:r w:rsidRPr="005C5C45">
        <w:t>More than 100 agencies who have delegated power to make secondary legislation</w:t>
      </w:r>
    </w:p>
    <w:p w14:paraId="44A21293" w14:textId="77777777" w:rsidR="00D92756" w:rsidRDefault="00EA2F88" w:rsidP="00CE328A">
      <w:pPr>
        <w:pStyle w:val="Normalrglronly"/>
      </w:pPr>
      <w:r w:rsidRPr="005C5C45">
        <w:rPr>
          <w:b/>
        </w:rPr>
        <w:t xml:space="preserve">Start date: </w:t>
      </w:r>
      <w:r w:rsidRPr="005C5C45">
        <w:t>October 2016</w:t>
      </w:r>
      <w:r w:rsidR="00D97A42" w:rsidRPr="005C5C45">
        <w:t xml:space="preserve"> </w:t>
      </w:r>
      <w:r w:rsidR="007E4906">
        <w:t xml:space="preserve">  </w:t>
      </w:r>
    </w:p>
    <w:p w14:paraId="26EE63A8" w14:textId="788D2604" w:rsidR="00EA2F88" w:rsidRPr="005C5C45" w:rsidRDefault="00EA2F88" w:rsidP="00CE328A">
      <w:pPr>
        <w:pStyle w:val="Normalrglronly"/>
      </w:pPr>
      <w:r w:rsidRPr="005C5C45">
        <w:rPr>
          <w:b/>
        </w:rPr>
        <w:t>End date:</w:t>
      </w:r>
      <w:r w:rsidRPr="005C5C45">
        <w:t xml:space="preserve"> June 2018</w:t>
      </w:r>
    </w:p>
    <w:tbl>
      <w:tblPr>
        <w:tblStyle w:val="TableGrid"/>
        <w:tblW w:w="10458" w:type="dxa"/>
        <w:jc w:val="center"/>
        <w:tblLayout w:type="fixed"/>
        <w:tblLook w:val="04A0" w:firstRow="1" w:lastRow="0" w:firstColumn="1" w:lastColumn="0" w:noHBand="0" w:noVBand="1"/>
      </w:tblPr>
      <w:tblGrid>
        <w:gridCol w:w="1600"/>
        <w:gridCol w:w="445"/>
        <w:gridCol w:w="352"/>
        <w:gridCol w:w="352"/>
        <w:gridCol w:w="444"/>
        <w:gridCol w:w="617"/>
        <w:gridCol w:w="443"/>
        <w:gridCol w:w="707"/>
        <w:gridCol w:w="924"/>
        <w:gridCol w:w="434"/>
        <w:gridCol w:w="450"/>
        <w:gridCol w:w="511"/>
        <w:gridCol w:w="476"/>
        <w:gridCol w:w="903"/>
        <w:gridCol w:w="450"/>
        <w:gridCol w:w="450"/>
        <w:gridCol w:w="450"/>
        <w:gridCol w:w="450"/>
      </w:tblGrid>
      <w:tr w:rsidR="00EA2F88" w:rsidRPr="005C5C45" w14:paraId="4961EEA2" w14:textId="77777777" w:rsidTr="00160A84">
        <w:trPr>
          <w:trHeight w:val="441"/>
          <w:jc w:val="center"/>
        </w:trPr>
        <w:tc>
          <w:tcPr>
            <w:tcW w:w="1600" w:type="dxa"/>
            <w:vMerge w:val="restart"/>
            <w:tcBorders>
              <w:top w:val="single" w:sz="4" w:space="0" w:color="FFFFFF" w:themeColor="background1"/>
              <w:left w:val="single" w:sz="4" w:space="0" w:color="FFFFFF" w:themeColor="background1"/>
              <w:right w:val="single" w:sz="12" w:space="0" w:color="FFFFFF" w:themeColor="background1"/>
            </w:tcBorders>
            <w:shd w:val="clear" w:color="auto" w:fill="000000" w:themeFill="text1"/>
          </w:tcPr>
          <w:p w14:paraId="2271F3FB" w14:textId="77777777" w:rsidR="00EA2F88" w:rsidRPr="005C5C45" w:rsidRDefault="00EA2F88" w:rsidP="00160A84">
            <w:pPr>
              <w:rPr>
                <w:color w:val="FFFFFF" w:themeColor="background1"/>
              </w:rPr>
            </w:pPr>
            <w:r w:rsidRPr="005C5C45">
              <w:rPr>
                <w:color w:val="FFFFFF" w:themeColor="background1"/>
              </w:rPr>
              <w:t>Commitment Overview</w:t>
            </w:r>
          </w:p>
        </w:tc>
        <w:tc>
          <w:tcPr>
            <w:tcW w:w="1593"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1A7D1" w:themeFill="text2" w:themeFillTint="99"/>
          </w:tcPr>
          <w:p w14:paraId="08A9B6C2" w14:textId="77777777" w:rsidR="00EA2F88" w:rsidRPr="005C5C45" w:rsidRDefault="00EA2F88" w:rsidP="00160A84">
            <w:r w:rsidRPr="005C5C45">
              <w:t>Specificity</w:t>
            </w:r>
          </w:p>
        </w:tc>
        <w:tc>
          <w:tcPr>
            <w:tcW w:w="2691"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B67B" w:themeFill="accent1" w:themeFillTint="99"/>
          </w:tcPr>
          <w:p w14:paraId="71D4EA65" w14:textId="77777777" w:rsidR="00EA2F88" w:rsidRPr="005C5C45" w:rsidRDefault="00EA2F88" w:rsidP="00160A84">
            <w:pPr>
              <w:rPr>
                <w:color w:val="000000" w:themeColor="text1"/>
              </w:rPr>
            </w:pPr>
            <w:r w:rsidRPr="005C5C45">
              <w:t>OGP Value Relevance</w:t>
            </w:r>
          </w:p>
        </w:tc>
        <w:tc>
          <w:tcPr>
            <w:tcW w:w="1871"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0D479" w:themeFill="accent2" w:themeFillTint="99"/>
          </w:tcPr>
          <w:p w14:paraId="10310E32" w14:textId="77777777" w:rsidR="00EA2F88" w:rsidRPr="005C5C45" w:rsidRDefault="00EA2F88" w:rsidP="00160A84">
            <w:r w:rsidRPr="005C5C45">
              <w:t>Potential Impact</w:t>
            </w:r>
          </w:p>
        </w:tc>
        <w:tc>
          <w:tcPr>
            <w:tcW w:w="903"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tcPr>
          <w:p w14:paraId="44FA3E0D" w14:textId="77777777" w:rsidR="00EA2F88" w:rsidRPr="005C5C45" w:rsidRDefault="00EA2F88" w:rsidP="00160A84">
            <w:r w:rsidRPr="005C5C45">
              <w:t>On Time?</w:t>
            </w:r>
          </w:p>
        </w:tc>
        <w:tc>
          <w:tcPr>
            <w:tcW w:w="1800" w:type="dxa"/>
            <w:gridSpan w:val="4"/>
            <w:tcBorders>
              <w:top w:val="single" w:sz="4"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tcPr>
          <w:p w14:paraId="4F2B40CE" w14:textId="77777777" w:rsidR="00EA2F88" w:rsidRPr="005C5C45" w:rsidRDefault="00EA2F88" w:rsidP="00160A84">
            <w:r w:rsidRPr="005C5C45">
              <w:t>Completion</w:t>
            </w:r>
          </w:p>
        </w:tc>
      </w:tr>
      <w:tr w:rsidR="00EA2F88" w:rsidRPr="005C5C45" w14:paraId="1E7AE6D2" w14:textId="77777777" w:rsidTr="00160A84">
        <w:trPr>
          <w:cantSplit/>
          <w:trHeight w:val="1861"/>
          <w:jc w:val="center"/>
        </w:trPr>
        <w:tc>
          <w:tcPr>
            <w:tcW w:w="1600" w:type="dxa"/>
            <w:vMerge/>
            <w:tcBorders>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4D0CA7D9" w14:textId="77777777" w:rsidR="00EA2F88" w:rsidRPr="005C5C45" w:rsidRDefault="00EA2F88" w:rsidP="00160A84">
            <w:pPr>
              <w:rPr>
                <w:color w:val="FFFFFF" w:themeColor="background1"/>
              </w:rPr>
            </w:pPr>
          </w:p>
        </w:tc>
        <w:tc>
          <w:tcPr>
            <w:tcW w:w="445"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7990185B" w14:textId="77777777" w:rsidR="00EA2F88" w:rsidRPr="005C5C45" w:rsidRDefault="00EA2F88" w:rsidP="00160A84">
            <w:r w:rsidRPr="005C5C45">
              <w:t>None</w:t>
            </w: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280343CF" w14:textId="77777777" w:rsidR="00EA2F88" w:rsidRPr="005C5C45" w:rsidRDefault="00EA2F88" w:rsidP="00160A84">
            <w:r w:rsidRPr="005C5C45">
              <w:t>Low</w:t>
            </w: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204D33A5" w14:textId="77777777" w:rsidR="00EA2F88" w:rsidRPr="005C5C45" w:rsidRDefault="00EA2F88" w:rsidP="00160A84">
            <w:r w:rsidRPr="005C5C45">
              <w:t>Medium</w:t>
            </w:r>
          </w:p>
        </w:tc>
        <w:tc>
          <w:tcPr>
            <w:tcW w:w="44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81A7D1" w:themeFill="text2" w:themeFillTint="99"/>
            <w:textDirection w:val="btLr"/>
          </w:tcPr>
          <w:p w14:paraId="4CC2F371" w14:textId="77777777" w:rsidR="00EA2F88" w:rsidRPr="005C5C45" w:rsidRDefault="00EA2F88" w:rsidP="00160A84">
            <w:r w:rsidRPr="005C5C45">
              <w:t>High</w:t>
            </w:r>
          </w:p>
        </w:tc>
        <w:tc>
          <w:tcPr>
            <w:tcW w:w="617"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6E022039" w14:textId="77777777" w:rsidR="00EA2F88" w:rsidRPr="005C5C45" w:rsidRDefault="00EA2F88" w:rsidP="00160A84">
            <w:r w:rsidRPr="005C5C45">
              <w:t>Access to Information</w:t>
            </w:r>
          </w:p>
        </w:tc>
        <w:tc>
          <w:tcPr>
            <w:tcW w:w="443"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629B134E" w14:textId="77777777" w:rsidR="00EA2F88" w:rsidRPr="005C5C45" w:rsidRDefault="00EA2F88" w:rsidP="00160A84">
            <w:r w:rsidRPr="005C5C45">
              <w:t>Civic Participation</w:t>
            </w:r>
          </w:p>
        </w:tc>
        <w:tc>
          <w:tcPr>
            <w:tcW w:w="707"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7240870D" w14:textId="77777777" w:rsidR="00EA2F88" w:rsidRPr="005C5C45" w:rsidRDefault="00EA2F88" w:rsidP="00160A84">
            <w:r w:rsidRPr="005C5C45">
              <w:t>Public Accountability</w:t>
            </w:r>
          </w:p>
        </w:tc>
        <w:tc>
          <w:tcPr>
            <w:tcW w:w="92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0B67B" w:themeFill="accent1" w:themeFillTint="99"/>
            <w:textDirection w:val="btLr"/>
          </w:tcPr>
          <w:p w14:paraId="3089F742" w14:textId="77777777" w:rsidR="00EA2F88" w:rsidRPr="005C5C45" w:rsidRDefault="00EA2F88" w:rsidP="00160A84">
            <w:r w:rsidRPr="005C5C45">
              <w:t xml:space="preserve">Tech. and </w:t>
            </w:r>
            <w:proofErr w:type="spellStart"/>
            <w:r w:rsidRPr="005C5C45">
              <w:t>Innov</w:t>
            </w:r>
            <w:proofErr w:type="spellEnd"/>
            <w:r w:rsidRPr="005C5C45">
              <w:t xml:space="preserve">. </w:t>
            </w:r>
            <w:proofErr w:type="gramStart"/>
            <w:r w:rsidRPr="005C5C45">
              <w:t>for</w:t>
            </w:r>
            <w:proofErr w:type="gramEnd"/>
            <w:r w:rsidRPr="005C5C45">
              <w:t xml:space="preserve"> Transparency and Accountability</w:t>
            </w:r>
          </w:p>
        </w:tc>
        <w:tc>
          <w:tcPr>
            <w:tcW w:w="434"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37DF6A6E" w14:textId="77777777" w:rsidR="00EA2F88" w:rsidRPr="005C5C45" w:rsidRDefault="00EA2F88" w:rsidP="00160A84">
            <w:r w:rsidRPr="005C5C45">
              <w:t>None</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1102D46E" w14:textId="77777777" w:rsidR="00EA2F88" w:rsidRPr="005C5C45" w:rsidRDefault="00EA2F88" w:rsidP="00160A84">
            <w:r w:rsidRPr="005C5C45">
              <w:t>Minor</w:t>
            </w:r>
          </w:p>
        </w:tc>
        <w:tc>
          <w:tcPr>
            <w:tcW w:w="511"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349C4AF7" w14:textId="77777777" w:rsidR="00EA2F88" w:rsidRPr="005C5C45" w:rsidRDefault="00EA2F88" w:rsidP="00160A84">
            <w:r w:rsidRPr="005C5C45">
              <w:t>Moderate</w:t>
            </w:r>
          </w:p>
        </w:tc>
        <w:tc>
          <w:tcPr>
            <w:tcW w:w="47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90D479" w:themeFill="accent2" w:themeFillTint="99"/>
            <w:textDirection w:val="btLr"/>
          </w:tcPr>
          <w:p w14:paraId="6AF4B8C0" w14:textId="77777777" w:rsidR="00EA2F88" w:rsidRPr="005C5C45" w:rsidRDefault="00EA2F88" w:rsidP="00160A84">
            <w:r w:rsidRPr="005C5C45">
              <w:t>Transformative</w:t>
            </w:r>
          </w:p>
        </w:tc>
        <w:tc>
          <w:tcPr>
            <w:tcW w:w="9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textDirection w:val="btLr"/>
          </w:tcPr>
          <w:p w14:paraId="4960817B" w14:textId="77777777" w:rsidR="00EA2F88" w:rsidRPr="005C5C45" w:rsidRDefault="00EA2F88" w:rsidP="00160A84"/>
        </w:tc>
        <w:tc>
          <w:tcPr>
            <w:tcW w:w="450"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16541C89" w14:textId="77777777" w:rsidR="00EA2F88" w:rsidRPr="005C5C45" w:rsidRDefault="00EA2F88" w:rsidP="00160A84">
            <w:r w:rsidRPr="005C5C45">
              <w:t>Not Started</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33D766DF" w14:textId="77777777" w:rsidR="00EA2F88" w:rsidRPr="005C5C45" w:rsidRDefault="00EA2F88" w:rsidP="00160A84">
            <w:r w:rsidRPr="005C5C45">
              <w:t>Limited</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69924E34" w14:textId="77777777" w:rsidR="00EA2F88" w:rsidRPr="005C5C45" w:rsidRDefault="00EA2F88" w:rsidP="00160A84">
            <w:r w:rsidRPr="005C5C45">
              <w:t>Substantial</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2CCF0EE3" w14:textId="77777777" w:rsidR="00EA2F88" w:rsidRPr="005C5C45" w:rsidRDefault="00EA2F88" w:rsidP="00160A84">
            <w:r w:rsidRPr="005C5C45">
              <w:t>Complete</w:t>
            </w:r>
          </w:p>
        </w:tc>
      </w:tr>
      <w:tr w:rsidR="00EA2F88" w:rsidRPr="005C5C45" w14:paraId="73411DAE" w14:textId="77777777" w:rsidTr="00160A84">
        <w:trPr>
          <w:trHeight w:val="652"/>
          <w:jc w:val="center"/>
        </w:trPr>
        <w:tc>
          <w:tcPr>
            <w:tcW w:w="1600"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6BF5BD49" w14:textId="08A7AEDD" w:rsidR="00EA2F88" w:rsidRPr="005C5C45" w:rsidRDefault="00A868DF" w:rsidP="00160A84">
            <w:pPr>
              <w:rPr>
                <w:color w:val="FFFFFF" w:themeColor="background1"/>
              </w:rPr>
            </w:pPr>
            <w:r w:rsidRPr="005C5C45">
              <w:rPr>
                <w:rFonts w:ascii="MS Mincho" w:eastAsia="MS Mincho" w:hAnsi="MS Mincho" w:cs="MS Mincho"/>
                <w:smallCaps/>
                <w:color w:val="FFFFFF" w:themeColor="background1"/>
                <w:sz w:val="20"/>
              </w:rPr>
              <w:t>✪</w:t>
            </w:r>
            <w:r w:rsidR="00EA2F88" w:rsidRPr="005C5C45">
              <w:rPr>
                <w:color w:val="FFFFFF" w:themeColor="background1"/>
              </w:rPr>
              <w:t xml:space="preserve">6. </w:t>
            </w:r>
            <w:r w:rsidR="00D06130" w:rsidRPr="005C5C45">
              <w:rPr>
                <w:color w:val="FFFFFF" w:themeColor="background1"/>
              </w:rPr>
              <w:t>Improving Access to Legislation</w:t>
            </w:r>
          </w:p>
        </w:tc>
        <w:tc>
          <w:tcPr>
            <w:tcW w:w="445"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4D6B7FCC" w14:textId="77777777" w:rsidR="00EA2F88" w:rsidRPr="005C5C45" w:rsidRDefault="00EA2F88" w:rsidP="00160A84">
            <w:pPr>
              <w:jc w:val="center"/>
              <w:rPr>
                <w:sz w:val="20"/>
              </w:rPr>
            </w:pP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30128CB4" w14:textId="77777777" w:rsidR="00EA2F88" w:rsidRPr="005C5C45" w:rsidRDefault="00EA2F88" w:rsidP="00160A84">
            <w:pPr>
              <w:jc w:val="center"/>
              <w:rPr>
                <w:sz w:val="20"/>
              </w:rPr>
            </w:pP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52AC95D4" w14:textId="77777777" w:rsidR="00EA2F88" w:rsidRPr="005C5C45" w:rsidRDefault="00EA2F88" w:rsidP="00160A84">
            <w:pPr>
              <w:jc w:val="center"/>
              <w:rPr>
                <w:sz w:val="20"/>
              </w:rPr>
            </w:pPr>
          </w:p>
        </w:tc>
        <w:tc>
          <w:tcPr>
            <w:tcW w:w="44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81A7D1" w:themeFill="text2" w:themeFillTint="99"/>
            <w:vAlign w:val="center"/>
          </w:tcPr>
          <w:p w14:paraId="41FCC7F2" w14:textId="77777777" w:rsidR="00EA2F88" w:rsidRPr="005C5C45" w:rsidRDefault="00EA2F88" w:rsidP="00160A84">
            <w:pPr>
              <w:jc w:val="center"/>
              <w:rPr>
                <w:rFonts w:ascii="Zapf Dingbats" w:hAnsi="Zapf Dingbats"/>
                <w:noProof/>
                <w:sz w:val="20"/>
              </w:rPr>
            </w:pPr>
            <w:r w:rsidRPr="005C5C45">
              <w:rPr>
                <w:rFonts w:ascii="Zapf Dingbats" w:hAnsi="Zapf Dingbats"/>
                <w:noProof/>
                <w:sz w:val="20"/>
              </w:rPr>
              <w:t>✔</w:t>
            </w:r>
          </w:p>
        </w:tc>
        <w:tc>
          <w:tcPr>
            <w:tcW w:w="617"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198F7844" w14:textId="77777777" w:rsidR="00EA2F88" w:rsidRPr="005C5C45" w:rsidRDefault="00EA2F88" w:rsidP="00160A84">
            <w:pPr>
              <w:jc w:val="center"/>
              <w:rPr>
                <w:rFonts w:ascii="Zapf Dingbats" w:hAnsi="Zapf Dingbats"/>
                <w:noProof/>
                <w:sz w:val="20"/>
              </w:rPr>
            </w:pPr>
            <w:r w:rsidRPr="005C5C45">
              <w:rPr>
                <w:rFonts w:ascii="Zapf Dingbats" w:hAnsi="Zapf Dingbats"/>
                <w:noProof/>
                <w:sz w:val="20"/>
              </w:rPr>
              <w:t>✔</w:t>
            </w:r>
          </w:p>
        </w:tc>
        <w:tc>
          <w:tcPr>
            <w:tcW w:w="443"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30058B04" w14:textId="77777777" w:rsidR="00EA2F88" w:rsidRPr="005C5C45" w:rsidRDefault="00EA2F88" w:rsidP="00160A84">
            <w:pPr>
              <w:jc w:val="center"/>
              <w:rPr>
                <w:sz w:val="20"/>
              </w:rPr>
            </w:pPr>
          </w:p>
        </w:tc>
        <w:tc>
          <w:tcPr>
            <w:tcW w:w="707"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5FB2E8C6" w14:textId="77777777" w:rsidR="00EA2F88" w:rsidRPr="005C5C45" w:rsidRDefault="00EA2F88" w:rsidP="00160A84">
            <w:pPr>
              <w:jc w:val="center"/>
              <w:rPr>
                <w:sz w:val="20"/>
              </w:rPr>
            </w:pPr>
          </w:p>
        </w:tc>
        <w:tc>
          <w:tcPr>
            <w:tcW w:w="92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0B67B" w:themeFill="accent1" w:themeFillTint="99"/>
            <w:vAlign w:val="center"/>
          </w:tcPr>
          <w:p w14:paraId="6D98E957" w14:textId="77777777" w:rsidR="00EA2F88" w:rsidRPr="005C5C45" w:rsidRDefault="00EA2F88" w:rsidP="00160A84">
            <w:pPr>
              <w:jc w:val="center"/>
              <w:rPr>
                <w:sz w:val="20"/>
              </w:rPr>
            </w:pPr>
            <w:r w:rsidRPr="005C5C45">
              <w:rPr>
                <w:rFonts w:ascii="Zapf Dingbats" w:hAnsi="Zapf Dingbats"/>
                <w:noProof/>
                <w:sz w:val="20"/>
              </w:rPr>
              <w:t>✔</w:t>
            </w:r>
          </w:p>
        </w:tc>
        <w:tc>
          <w:tcPr>
            <w:tcW w:w="434"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1E3CA0A6" w14:textId="77777777" w:rsidR="00EA2F88" w:rsidRPr="005C5C45" w:rsidRDefault="00EA2F88" w:rsidP="00160A84">
            <w:pPr>
              <w:jc w:val="center"/>
              <w:rPr>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16EBC577" w14:textId="77777777" w:rsidR="00EA2F88" w:rsidRPr="005C5C45" w:rsidRDefault="00EA2F88" w:rsidP="00160A84">
            <w:pPr>
              <w:jc w:val="center"/>
              <w:rPr>
                <w:rFonts w:ascii="Zapf Dingbats" w:hAnsi="Zapf Dingbats"/>
                <w:noProof/>
                <w:sz w:val="20"/>
              </w:rPr>
            </w:pPr>
          </w:p>
        </w:tc>
        <w:tc>
          <w:tcPr>
            <w:tcW w:w="511"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6E0332CE" w14:textId="77777777" w:rsidR="00EA2F88" w:rsidRPr="005C5C45" w:rsidRDefault="00EA2F88" w:rsidP="00160A84">
            <w:pPr>
              <w:jc w:val="center"/>
              <w:rPr>
                <w:sz w:val="20"/>
              </w:rPr>
            </w:pPr>
          </w:p>
        </w:tc>
        <w:tc>
          <w:tcPr>
            <w:tcW w:w="47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90D479" w:themeFill="accent2" w:themeFillTint="99"/>
            <w:vAlign w:val="center"/>
          </w:tcPr>
          <w:p w14:paraId="0BC0FB1B" w14:textId="77777777" w:rsidR="00EA2F88" w:rsidRPr="005C5C45" w:rsidRDefault="00F32CEC" w:rsidP="00160A84">
            <w:pPr>
              <w:jc w:val="center"/>
              <w:rPr>
                <w:sz w:val="20"/>
              </w:rPr>
            </w:pPr>
            <w:r w:rsidRPr="005C5C45">
              <w:rPr>
                <w:rFonts w:ascii="Zapf Dingbats" w:hAnsi="Zapf Dingbats"/>
                <w:noProof/>
                <w:sz w:val="20"/>
              </w:rPr>
              <w:t>✔</w:t>
            </w:r>
          </w:p>
        </w:tc>
        <w:tc>
          <w:tcPr>
            <w:tcW w:w="9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vAlign w:val="center"/>
          </w:tcPr>
          <w:p w14:paraId="6560F7EE" w14:textId="72C69F90" w:rsidR="00EA2F88" w:rsidRPr="005C5C45" w:rsidRDefault="00754971" w:rsidP="00160A84">
            <w:pPr>
              <w:jc w:val="center"/>
              <w:rPr>
                <w:sz w:val="20"/>
              </w:rPr>
            </w:pPr>
            <w:r w:rsidRPr="00754971">
              <w:rPr>
                <w:noProof/>
                <w:szCs w:val="22"/>
              </w:rPr>
              <w:t>Yes</w:t>
            </w:r>
          </w:p>
        </w:tc>
        <w:tc>
          <w:tcPr>
            <w:tcW w:w="450"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54145CF8" w14:textId="77777777" w:rsidR="00EA2F88" w:rsidRPr="005C5C45" w:rsidRDefault="00EA2F88" w:rsidP="00160A84">
            <w:pPr>
              <w:jc w:val="center"/>
              <w:rPr>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2C3F8B6F" w14:textId="77777777" w:rsidR="00EA2F88" w:rsidRPr="005C5C45" w:rsidRDefault="00EA2F88" w:rsidP="00160A84">
            <w:pPr>
              <w:jc w:val="center"/>
              <w:rPr>
                <w:color w:val="BFBFBF" w:themeColor="background1" w:themeShade="BF"/>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1CD4E609" w14:textId="77777777" w:rsidR="00EA2F88" w:rsidRPr="005C5C45" w:rsidRDefault="00EA2F88" w:rsidP="00160A84">
            <w:pPr>
              <w:jc w:val="center"/>
              <w:rPr>
                <w:sz w:val="20"/>
              </w:rPr>
            </w:pPr>
            <w:r w:rsidRPr="005C5C45">
              <w:rPr>
                <w:rFonts w:ascii="Zapf Dingbats" w:hAnsi="Zapf Dingbats"/>
                <w:noProof/>
                <w:sz w:val="20"/>
              </w:rPr>
              <w:t>✔</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2E89B067" w14:textId="77777777" w:rsidR="00EA2F88" w:rsidRPr="005C5C45" w:rsidRDefault="00EA2F88" w:rsidP="00160A84">
            <w:pPr>
              <w:jc w:val="center"/>
              <w:rPr>
                <w:rFonts w:ascii="Zapf Dingbats" w:hAnsi="Zapf Dingbats"/>
                <w:noProof/>
                <w:sz w:val="20"/>
              </w:rPr>
            </w:pPr>
          </w:p>
        </w:tc>
      </w:tr>
    </w:tbl>
    <w:p w14:paraId="241C9A3E" w14:textId="77777777" w:rsidR="00EA2F88" w:rsidRPr="005C5C45" w:rsidRDefault="00EA2F88" w:rsidP="0029655F">
      <w:pPr>
        <w:pStyle w:val="Heading3"/>
      </w:pPr>
      <w:r w:rsidRPr="005C5C45">
        <w:t xml:space="preserve">Context and Objectives </w:t>
      </w:r>
    </w:p>
    <w:p w14:paraId="78560414" w14:textId="7C1BD1E2" w:rsidR="004F56FE" w:rsidRPr="005C5C45" w:rsidRDefault="004F56FE" w:rsidP="00A868DF">
      <w:pPr>
        <w:pStyle w:val="Normalrglronly"/>
      </w:pPr>
      <w:r w:rsidRPr="005C5C45">
        <w:t>Legislation.govt.nz provides free public online access in open machine-readable formats to up-to-d</w:t>
      </w:r>
      <w:r w:rsidR="000F01C2" w:rsidRPr="005C5C45">
        <w:t>ate versions of N</w:t>
      </w:r>
      <w:r w:rsidR="00A868DF" w:rsidRPr="005C5C45">
        <w:t xml:space="preserve">ew </w:t>
      </w:r>
      <w:r w:rsidR="000F01C2" w:rsidRPr="005C5C45">
        <w:t>Z</w:t>
      </w:r>
      <w:r w:rsidR="00A868DF" w:rsidRPr="005C5C45">
        <w:t>ealand</w:t>
      </w:r>
      <w:r w:rsidR="000F01C2" w:rsidRPr="005C5C45">
        <w:t xml:space="preserve"> Acts, Bills </w:t>
      </w:r>
      <w:r w:rsidRPr="005C5C45">
        <w:t xml:space="preserve">(proposed Acts), and </w:t>
      </w:r>
      <w:hyperlink r:id="rId32" w:anchor="li" w:history="1">
        <w:r w:rsidRPr="005C5C45">
          <w:t>Legislative Instruments</w:t>
        </w:r>
      </w:hyperlink>
      <w:r w:rsidRPr="005C5C45">
        <w:t xml:space="preserve"> drafted by the Parliamentary Counsel Office (PCO). This legislation scored 95% for openness and dataset quality in the 2016 Global Open Data</w:t>
      </w:r>
      <w:r w:rsidR="000F01C2" w:rsidRPr="005C5C45">
        <w:t xml:space="preserve"> </w:t>
      </w:r>
      <w:r w:rsidRPr="005C5C45">
        <w:t>Barometer 2016 survey.</w:t>
      </w:r>
      <w:r w:rsidRPr="005C5C45">
        <w:rPr>
          <w:rStyle w:val="EndnoteReference"/>
          <w:bCs w:val="0"/>
        </w:rPr>
        <w:endnoteReference w:id="151"/>
      </w:r>
      <w:r w:rsidRPr="005C5C45">
        <w:t xml:space="preserve"> Under the PCO’s continuing programme to improve access to legislation in N</w:t>
      </w:r>
      <w:r w:rsidR="00A868DF" w:rsidRPr="005C5C45">
        <w:t xml:space="preserve">ew </w:t>
      </w:r>
      <w:r w:rsidRPr="005C5C45">
        <w:t>Z</w:t>
      </w:r>
      <w:r w:rsidR="00A868DF" w:rsidRPr="005C5C45">
        <w:t>ealand</w:t>
      </w:r>
      <w:r w:rsidRPr="005C5C45">
        <w:t xml:space="preserve">, the Access to </w:t>
      </w:r>
      <w:r w:rsidR="00926A6D" w:rsidRPr="005C5C45">
        <w:t xml:space="preserve">Secondary Legislation </w:t>
      </w:r>
      <w:r w:rsidRPr="005C5C45">
        <w:t>Project</w:t>
      </w:r>
      <w:r w:rsidRPr="005C5C45">
        <w:rPr>
          <w:rStyle w:val="EndnoteReference"/>
        </w:rPr>
        <w:endnoteReference w:id="152"/>
      </w:r>
      <w:r w:rsidRPr="005C5C45">
        <w:t xml:space="preserve"> </w:t>
      </w:r>
      <w:r w:rsidR="00926A6D" w:rsidRPr="005C5C45">
        <w:t xml:space="preserve">(originally called the Access to Subordinate </w:t>
      </w:r>
      <w:r w:rsidR="00684A3E" w:rsidRPr="005C5C45">
        <w:t xml:space="preserve">Instruments Project) </w:t>
      </w:r>
      <w:r w:rsidRPr="005C5C45">
        <w:t>seeks to broaden the coverage of N</w:t>
      </w:r>
      <w:r w:rsidR="00A868DF" w:rsidRPr="005C5C45">
        <w:t xml:space="preserve">ew </w:t>
      </w:r>
      <w:r w:rsidRPr="005C5C45">
        <w:t>Z</w:t>
      </w:r>
      <w:r w:rsidR="00A868DF" w:rsidRPr="005C5C45">
        <w:t>ealand</w:t>
      </w:r>
      <w:r w:rsidRPr="005C5C45">
        <w:t xml:space="preserve">’s legislation website. It </w:t>
      </w:r>
      <w:r w:rsidRPr="005C5C45">
        <w:lastRenderedPageBreak/>
        <w:t xml:space="preserve">is adding </w:t>
      </w:r>
      <w:r w:rsidR="00926A6D" w:rsidRPr="005C5C45">
        <w:t>secondary legislation</w:t>
      </w:r>
      <w:r w:rsidRPr="005C5C45">
        <w:t xml:space="preserve"> made under the delegated law-making authority of Parliament, which will provide a single, official, public source for all N</w:t>
      </w:r>
      <w:r w:rsidR="00A868DF" w:rsidRPr="005C5C45">
        <w:t xml:space="preserve">ew </w:t>
      </w:r>
      <w:r w:rsidRPr="005C5C45">
        <w:t>Z</w:t>
      </w:r>
      <w:r w:rsidR="00A868DF" w:rsidRPr="005C5C45">
        <w:t>ealand</w:t>
      </w:r>
      <w:r w:rsidRPr="005C5C45">
        <w:t xml:space="preserve"> legislation.</w:t>
      </w:r>
      <w:r w:rsidRPr="005C5C45">
        <w:rPr>
          <w:rStyle w:val="EndnoteReference"/>
        </w:rPr>
        <w:endnoteReference w:id="153"/>
      </w:r>
      <w:r w:rsidR="00C3071F" w:rsidRPr="005C5C45">
        <w:t xml:space="preserve"> Typical </w:t>
      </w:r>
      <w:r w:rsidR="00926A6D" w:rsidRPr="005C5C45">
        <w:t xml:space="preserve">secondary legislation </w:t>
      </w:r>
      <w:proofErr w:type="gramStart"/>
      <w:r w:rsidR="00C3071F" w:rsidRPr="005C5C45">
        <w:t>are</w:t>
      </w:r>
      <w:proofErr w:type="gramEnd"/>
      <w:r w:rsidR="00C3071F" w:rsidRPr="005C5C45">
        <w:t xml:space="preserve"> most regulations and rules, and many notices, orders, determinations, and warrants.</w:t>
      </w:r>
      <w:r w:rsidR="00C3071F" w:rsidRPr="005C5C45">
        <w:rPr>
          <w:rStyle w:val="EndnoteReference"/>
          <w:bCs w:val="0"/>
        </w:rPr>
        <w:endnoteReference w:id="154"/>
      </w:r>
      <w:r w:rsidR="00C3071F" w:rsidRPr="005C5C45">
        <w:t xml:space="preserve"> </w:t>
      </w:r>
      <w:r w:rsidR="00926A6D" w:rsidRPr="005C5C45">
        <w:t xml:space="preserve">Secondary legislation </w:t>
      </w:r>
      <w:r w:rsidR="002441D8" w:rsidRPr="005C5C45">
        <w:t xml:space="preserve">currently </w:t>
      </w:r>
      <w:proofErr w:type="gramStart"/>
      <w:r w:rsidR="007A3CBF" w:rsidRPr="005C5C45">
        <w:t>available</w:t>
      </w:r>
      <w:r w:rsidR="002441D8" w:rsidRPr="005C5C45">
        <w:t>,</w:t>
      </w:r>
      <w:proofErr w:type="gramEnd"/>
      <w:r w:rsidR="002441D8" w:rsidRPr="005C5C45">
        <w:t xml:space="preserve"> </w:t>
      </w:r>
      <w:r w:rsidR="00926A6D" w:rsidRPr="005C5C45">
        <w:t xml:space="preserve">is </w:t>
      </w:r>
      <w:r w:rsidR="00C3071F" w:rsidRPr="005C5C45">
        <w:t>published in the N</w:t>
      </w:r>
      <w:r w:rsidR="00A868DF" w:rsidRPr="005C5C45">
        <w:t xml:space="preserve">ew </w:t>
      </w:r>
      <w:r w:rsidR="00C3071F" w:rsidRPr="005C5C45">
        <w:t>Z</w:t>
      </w:r>
      <w:r w:rsidR="00A868DF" w:rsidRPr="005C5C45">
        <w:t>ealand</w:t>
      </w:r>
      <w:r w:rsidR="00C3071F" w:rsidRPr="005C5C45">
        <w:t xml:space="preserve"> Gazette, or</w:t>
      </w:r>
      <w:r w:rsidR="00926A6D" w:rsidRPr="005C5C45">
        <w:t xml:space="preserve"> in</w:t>
      </w:r>
      <w:r w:rsidR="00C3071F" w:rsidRPr="005C5C45">
        <w:t xml:space="preserve"> various </w:t>
      </w:r>
      <w:r w:rsidR="007A3CBF" w:rsidRPr="005C5C45">
        <w:t xml:space="preserve">newspapers and </w:t>
      </w:r>
      <w:r w:rsidR="00C3071F" w:rsidRPr="005C5C45">
        <w:t>websites</w:t>
      </w:r>
      <w:r w:rsidR="007A3CBF" w:rsidRPr="005C5C45">
        <w:t>.</w:t>
      </w:r>
    </w:p>
    <w:p w14:paraId="4534D7B9" w14:textId="524FD293" w:rsidR="00F32CEC" w:rsidRPr="005C5C45" w:rsidRDefault="00EA2F88" w:rsidP="00A868DF">
      <w:pPr>
        <w:pStyle w:val="Normalrglronly"/>
      </w:pPr>
      <w:r w:rsidRPr="005C5C45">
        <w:t>This commitment</w:t>
      </w:r>
      <w:r w:rsidR="009A5AED" w:rsidRPr="005C5C45">
        <w:t xml:space="preserve"> </w:t>
      </w:r>
      <w:r w:rsidR="00CF30D3" w:rsidRPr="005C5C45">
        <w:t>picks up</w:t>
      </w:r>
      <w:r w:rsidR="009A5AED" w:rsidRPr="005C5C45">
        <w:t xml:space="preserve"> </w:t>
      </w:r>
      <w:r w:rsidR="00891F04" w:rsidRPr="005C5C45">
        <w:t xml:space="preserve">the Access to </w:t>
      </w:r>
      <w:r w:rsidR="00926A6D" w:rsidRPr="005C5C45">
        <w:t xml:space="preserve">Secondary Legislation </w:t>
      </w:r>
      <w:proofErr w:type="gramStart"/>
      <w:r w:rsidR="00891F04" w:rsidRPr="005C5C45">
        <w:t>Project</w:t>
      </w:r>
      <w:r w:rsidR="00891F04" w:rsidRPr="005C5C45" w:rsidDel="00891F04">
        <w:t xml:space="preserve"> </w:t>
      </w:r>
      <w:r w:rsidR="00FB3F4C" w:rsidRPr="005C5C45">
        <w:t>which</w:t>
      </w:r>
      <w:proofErr w:type="gramEnd"/>
      <w:r w:rsidR="00FB3F4C" w:rsidRPr="005C5C45">
        <w:t xml:space="preserve"> commenced in September 2015</w:t>
      </w:r>
      <w:r w:rsidR="005D58E5" w:rsidRPr="005C5C45">
        <w:t xml:space="preserve">. </w:t>
      </w:r>
      <w:r w:rsidR="004578CF" w:rsidRPr="005C5C45">
        <w:t xml:space="preserve">Building on </w:t>
      </w:r>
      <w:r w:rsidR="004E6471" w:rsidRPr="005C5C45">
        <w:t>the</w:t>
      </w:r>
      <w:r w:rsidR="00A33B3D" w:rsidRPr="005C5C45">
        <w:t xml:space="preserve"> success of the primary legislation website for the</w:t>
      </w:r>
      <w:r w:rsidR="004E6471" w:rsidRPr="005C5C45">
        <w:t xml:space="preserve"> legal profession, business and the public</w:t>
      </w:r>
      <w:r w:rsidR="00A33B3D" w:rsidRPr="005C5C45">
        <w:t xml:space="preserve">, </w:t>
      </w:r>
      <w:r w:rsidR="00F834B7" w:rsidRPr="005C5C45">
        <w:t xml:space="preserve">the </w:t>
      </w:r>
      <w:r w:rsidR="004E6471" w:rsidRPr="005C5C45">
        <w:t>government</w:t>
      </w:r>
      <w:r w:rsidR="004578CF" w:rsidRPr="005C5C45">
        <w:t xml:space="preserve"> wishes to </w:t>
      </w:r>
      <w:r w:rsidR="00BC6FEF" w:rsidRPr="005C5C45">
        <w:t xml:space="preserve">make central government’s </w:t>
      </w:r>
      <w:r w:rsidR="00926A6D" w:rsidRPr="005C5C45">
        <w:t xml:space="preserve">secondary legislation </w:t>
      </w:r>
      <w:r w:rsidR="00BC6FEF" w:rsidRPr="005C5C45">
        <w:t>equally accessible. Many of these are</w:t>
      </w:r>
      <w:r w:rsidR="00F32CEC" w:rsidRPr="005C5C45">
        <w:t xml:space="preserve"> not available in open machine-readable formats</w:t>
      </w:r>
      <w:r w:rsidR="00891F04" w:rsidRPr="005C5C45">
        <w:t xml:space="preserve"> or not published at all</w:t>
      </w:r>
      <w:r w:rsidR="004E6471" w:rsidRPr="005C5C45">
        <w:t xml:space="preserve">. </w:t>
      </w:r>
      <w:r w:rsidRPr="005C5C45">
        <w:t xml:space="preserve">Government expects the expanded site will lessen the cost of doing business in </w:t>
      </w:r>
      <w:r w:rsidR="003811C4" w:rsidRPr="005C5C45">
        <w:t>N</w:t>
      </w:r>
      <w:r w:rsidR="00A868DF" w:rsidRPr="005C5C45">
        <w:t xml:space="preserve">ew </w:t>
      </w:r>
      <w:r w:rsidR="003811C4" w:rsidRPr="005C5C45">
        <w:t>Z</w:t>
      </w:r>
      <w:r w:rsidR="00A868DF" w:rsidRPr="005C5C45">
        <w:t>ealand</w:t>
      </w:r>
      <w:r w:rsidRPr="005C5C45">
        <w:t xml:space="preserve"> and improve the ability of individuals and businesses to identify their rights and obligations</w:t>
      </w:r>
      <w:r w:rsidR="005D58E5" w:rsidRPr="005C5C45">
        <w:t>.</w:t>
      </w:r>
      <w:r w:rsidR="00F32CEC" w:rsidRPr="005C5C45">
        <w:t xml:space="preserve"> Parliament will also use the site to oversee </w:t>
      </w:r>
      <w:r w:rsidR="00891F04" w:rsidRPr="005C5C45">
        <w:t xml:space="preserve">and monitor </w:t>
      </w:r>
      <w:r w:rsidR="000F01C2" w:rsidRPr="005C5C45">
        <w:t>these instruments</w:t>
      </w:r>
      <w:r w:rsidR="00F32CEC" w:rsidRPr="005C5C45">
        <w:t>. The law will be up-to-date, free</w:t>
      </w:r>
      <w:r w:rsidR="00F726AE">
        <w:t>ly accessible</w:t>
      </w:r>
      <w:r w:rsidR="00F32CEC" w:rsidRPr="005C5C45">
        <w:t>, encourage informed public comment and potentially increase participation in central government work</w:t>
      </w:r>
      <w:r w:rsidR="00465864">
        <w:t xml:space="preserve"> which was </w:t>
      </w:r>
      <w:r w:rsidR="00F32CEC" w:rsidRPr="005C5C45">
        <w:t>previously less visible.</w:t>
      </w:r>
      <w:r w:rsidR="00255B95" w:rsidRPr="005C5C45">
        <w:t xml:space="preserve"> By improving public accessib</w:t>
      </w:r>
      <w:r w:rsidR="00051347" w:rsidRPr="005C5C45">
        <w:t>i</w:t>
      </w:r>
      <w:r w:rsidR="00255B95" w:rsidRPr="005C5C45">
        <w:t>l</w:t>
      </w:r>
      <w:r w:rsidR="00051347" w:rsidRPr="005C5C45">
        <w:t>it</w:t>
      </w:r>
      <w:r w:rsidR="00255B95" w:rsidRPr="005C5C45">
        <w:t>y of N</w:t>
      </w:r>
      <w:r w:rsidR="00A868DF" w:rsidRPr="005C5C45">
        <w:t xml:space="preserve">ew </w:t>
      </w:r>
      <w:r w:rsidR="00255B95" w:rsidRPr="005C5C45">
        <w:t>Z</w:t>
      </w:r>
      <w:r w:rsidR="00A868DF" w:rsidRPr="005C5C45">
        <w:t>ealand</w:t>
      </w:r>
      <w:r w:rsidR="00255B95" w:rsidRPr="005C5C45">
        <w:t xml:space="preserve">’s </w:t>
      </w:r>
      <w:r w:rsidR="00926A6D" w:rsidRPr="005C5C45">
        <w:t xml:space="preserve">secondary legislation </w:t>
      </w:r>
      <w:r w:rsidR="00255B95" w:rsidRPr="005C5C45">
        <w:t xml:space="preserve">this commitment is relevant to OGP value of access to information. </w:t>
      </w:r>
    </w:p>
    <w:p w14:paraId="3EFB895F" w14:textId="3A1746D2" w:rsidR="00EA2F88" w:rsidRPr="005C5C45" w:rsidRDefault="00F32CEC" w:rsidP="00A868DF">
      <w:pPr>
        <w:pStyle w:val="Normalrglronly"/>
      </w:pPr>
      <w:r w:rsidRPr="005C5C45">
        <w:rPr>
          <w:lang w:eastAsia="en-NZ"/>
        </w:rPr>
        <w:t>T</w:t>
      </w:r>
      <w:r w:rsidR="00C01AFF" w:rsidRPr="005C5C45">
        <w:rPr>
          <w:lang w:eastAsia="en-NZ"/>
        </w:rPr>
        <w:t>he N</w:t>
      </w:r>
      <w:r w:rsidR="00A868DF" w:rsidRPr="005C5C45">
        <w:rPr>
          <w:lang w:eastAsia="en-NZ"/>
        </w:rPr>
        <w:t xml:space="preserve">ew </w:t>
      </w:r>
      <w:r w:rsidR="00C01AFF" w:rsidRPr="005C5C45">
        <w:rPr>
          <w:lang w:eastAsia="en-NZ"/>
        </w:rPr>
        <w:t>Z</w:t>
      </w:r>
      <w:r w:rsidR="00A868DF" w:rsidRPr="005C5C45">
        <w:rPr>
          <w:lang w:eastAsia="en-NZ"/>
        </w:rPr>
        <w:t>ealand</w:t>
      </w:r>
      <w:r w:rsidR="00C01AFF" w:rsidRPr="005C5C45">
        <w:rPr>
          <w:lang w:eastAsia="en-NZ"/>
        </w:rPr>
        <w:t xml:space="preserve"> Law Society considers</w:t>
      </w:r>
      <w:r w:rsidRPr="005C5C45">
        <w:rPr>
          <w:lang w:eastAsia="en-NZ"/>
        </w:rPr>
        <w:t xml:space="preserve"> that this commitment </w:t>
      </w:r>
      <w:r w:rsidR="00051347" w:rsidRPr="005C5C45">
        <w:rPr>
          <w:lang w:eastAsia="en-NZ"/>
        </w:rPr>
        <w:t>is</w:t>
      </w:r>
      <w:r w:rsidR="00255B95" w:rsidRPr="005C5C45">
        <w:rPr>
          <w:lang w:eastAsia="en-NZ"/>
        </w:rPr>
        <w:t xml:space="preserve"> </w:t>
      </w:r>
      <w:r w:rsidR="00C01AFF" w:rsidRPr="005C5C45">
        <w:rPr>
          <w:lang w:eastAsia="en-NZ"/>
        </w:rPr>
        <w:t xml:space="preserve">a progressive development in improving access to legislation and advised the IRM researcher that the Law Society </w:t>
      </w:r>
      <w:r w:rsidR="0086715C" w:rsidRPr="005C5C45">
        <w:rPr>
          <w:lang w:eastAsia="en-NZ"/>
        </w:rPr>
        <w:t xml:space="preserve">has </w:t>
      </w:r>
      <w:r w:rsidR="00C01AFF" w:rsidRPr="005C5C45">
        <w:rPr>
          <w:lang w:eastAsia="en-NZ"/>
        </w:rPr>
        <w:t xml:space="preserve">expressed support for initiatives to improve the identification and publication of </w:t>
      </w:r>
      <w:r w:rsidR="00926A6D" w:rsidRPr="005C5C45">
        <w:rPr>
          <w:lang w:eastAsia="en-NZ"/>
        </w:rPr>
        <w:t xml:space="preserve">secondary </w:t>
      </w:r>
      <w:r w:rsidR="00C01AFF" w:rsidRPr="005C5C45">
        <w:rPr>
          <w:lang w:eastAsia="en-NZ"/>
        </w:rPr>
        <w:t xml:space="preserve">legislation. </w:t>
      </w:r>
      <w:r w:rsidR="0086715C" w:rsidRPr="005C5C45">
        <w:rPr>
          <w:lang w:eastAsia="en-NZ"/>
        </w:rPr>
        <w:t xml:space="preserve">They went on to say that improving access to legislation </w:t>
      </w:r>
      <w:proofErr w:type="gramStart"/>
      <w:r w:rsidR="0086715C" w:rsidRPr="005C5C45">
        <w:rPr>
          <w:lang w:eastAsia="en-NZ"/>
        </w:rPr>
        <w:t>will</w:t>
      </w:r>
      <w:proofErr w:type="gramEnd"/>
      <w:r w:rsidR="00C01AFF" w:rsidRPr="005C5C45">
        <w:rPr>
          <w:lang w:eastAsia="en-NZ"/>
        </w:rPr>
        <w:t xml:space="preserve"> have </w:t>
      </w:r>
      <w:r w:rsidR="00415346">
        <w:rPr>
          <w:lang w:eastAsia="en-NZ"/>
        </w:rPr>
        <w:t>‘</w:t>
      </w:r>
      <w:r w:rsidR="00C01AFF" w:rsidRPr="005C5C45">
        <w:rPr>
          <w:lang w:eastAsia="en-NZ"/>
        </w:rPr>
        <w:t>considerable consequential benefits in improving the quality of legislative</w:t>
      </w:r>
      <w:r w:rsidRPr="005C5C45">
        <w:rPr>
          <w:lang w:eastAsia="en-NZ"/>
        </w:rPr>
        <w:t xml:space="preserve"> </w:t>
      </w:r>
      <w:r w:rsidR="00C01AFF" w:rsidRPr="005C5C45">
        <w:rPr>
          <w:lang w:eastAsia="en-NZ"/>
        </w:rPr>
        <w:t>instruments and public confidence in the law-making process</w:t>
      </w:r>
      <w:r w:rsidR="00415346">
        <w:rPr>
          <w:lang w:eastAsia="en-NZ"/>
        </w:rPr>
        <w:t>’</w:t>
      </w:r>
      <w:r w:rsidR="002C6928">
        <w:rPr>
          <w:lang w:eastAsia="en-NZ"/>
        </w:rPr>
        <w:t>.</w:t>
      </w:r>
      <w:r w:rsidR="00C01AFF" w:rsidRPr="005C5C45">
        <w:rPr>
          <w:lang w:eastAsia="en-NZ"/>
        </w:rPr>
        <w:t xml:space="preserve"> The Law Society recommended that the Regulations Review Committee </w:t>
      </w:r>
      <w:r w:rsidR="00415346">
        <w:rPr>
          <w:lang w:eastAsia="en-NZ"/>
        </w:rPr>
        <w:t>‘</w:t>
      </w:r>
      <w:r w:rsidR="00C01AFF" w:rsidRPr="005C5C45">
        <w:rPr>
          <w:lang w:eastAsia="en-NZ"/>
        </w:rPr>
        <w:t>consider proposing the</w:t>
      </w:r>
      <w:r w:rsidR="0086715C" w:rsidRPr="005C5C45">
        <w:rPr>
          <w:lang w:eastAsia="en-NZ"/>
        </w:rPr>
        <w:t xml:space="preserve"> </w:t>
      </w:r>
      <w:r w:rsidR="00C01AFF" w:rsidRPr="005C5C45">
        <w:rPr>
          <w:lang w:eastAsia="en-NZ"/>
        </w:rPr>
        <w:t>adoption of a register of legislative instruments ... to ensure enforceability, publicity and notification of legislative instruments</w:t>
      </w:r>
      <w:r w:rsidR="00415346">
        <w:rPr>
          <w:lang w:eastAsia="en-NZ"/>
        </w:rPr>
        <w:t>’</w:t>
      </w:r>
      <w:r w:rsidR="002C6928">
        <w:rPr>
          <w:lang w:eastAsia="en-NZ"/>
        </w:rPr>
        <w:t>.</w:t>
      </w:r>
      <w:r w:rsidR="00C01AFF" w:rsidRPr="005C5C45">
        <w:rPr>
          <w:rStyle w:val="EndnoteReference"/>
          <w:lang w:eastAsia="en-NZ"/>
        </w:rPr>
        <w:endnoteReference w:id="155"/>
      </w:r>
    </w:p>
    <w:p w14:paraId="56325061" w14:textId="366FE7AE" w:rsidR="00EA2F88" w:rsidRPr="005C5C45" w:rsidRDefault="00255B95" w:rsidP="00A868DF">
      <w:pPr>
        <w:pStyle w:val="Normalrglronly"/>
      </w:pPr>
      <w:r w:rsidRPr="005C5C45">
        <w:t>This</w:t>
      </w:r>
      <w:r w:rsidR="00EA2F88" w:rsidRPr="005C5C45">
        <w:t xml:space="preserve"> commitment </w:t>
      </w:r>
      <w:r w:rsidRPr="005C5C45">
        <w:t>could</w:t>
      </w:r>
      <w:r w:rsidR="002E6C1A" w:rsidRPr="005C5C45">
        <w:t xml:space="preserve"> </w:t>
      </w:r>
      <w:r w:rsidR="00EA2F88" w:rsidRPr="005C5C45">
        <w:t>have a</w:t>
      </w:r>
      <w:r w:rsidR="00FE2614" w:rsidRPr="005C5C45">
        <w:t xml:space="preserve"> </w:t>
      </w:r>
      <w:r w:rsidR="00EA2F88" w:rsidRPr="005C5C45">
        <w:t xml:space="preserve">transformative </w:t>
      </w:r>
      <w:r w:rsidR="002E6C1A" w:rsidRPr="005C5C45">
        <w:t xml:space="preserve">potential </w:t>
      </w:r>
      <w:r w:rsidR="00EA2F88" w:rsidRPr="005C5C45">
        <w:t>impact</w:t>
      </w:r>
      <w:r w:rsidR="00F37BDB" w:rsidRPr="005C5C45">
        <w:t xml:space="preserve">. </w:t>
      </w:r>
      <w:r w:rsidR="003755AE" w:rsidRPr="005C5C45">
        <w:t>At present</w:t>
      </w:r>
      <w:r w:rsidR="00F37BDB" w:rsidRPr="005C5C45">
        <w:t>,</w:t>
      </w:r>
      <w:r w:rsidR="003755AE" w:rsidRPr="005C5C45">
        <w:t xml:space="preserve"> </w:t>
      </w:r>
      <w:r w:rsidR="00A33B3D" w:rsidRPr="005C5C45">
        <w:t xml:space="preserve">only </w:t>
      </w:r>
      <w:r w:rsidR="003755AE" w:rsidRPr="005C5C45">
        <w:t xml:space="preserve">all acts of </w:t>
      </w:r>
      <w:r w:rsidR="00051347" w:rsidRPr="005C5C45">
        <w:t>P</w:t>
      </w:r>
      <w:r w:rsidR="003755AE" w:rsidRPr="005C5C45">
        <w:t xml:space="preserve">arliament and the </w:t>
      </w:r>
      <w:r w:rsidR="00926A6D" w:rsidRPr="005C5C45">
        <w:t xml:space="preserve">secondary legislation </w:t>
      </w:r>
      <w:r w:rsidR="003755AE" w:rsidRPr="005C5C45">
        <w:t xml:space="preserve">drafted by the PCO are published on the legislation website. This </w:t>
      </w:r>
      <w:r w:rsidR="00A33B3D" w:rsidRPr="005C5C45">
        <w:t xml:space="preserve">commitment </w:t>
      </w:r>
      <w:r w:rsidR="003755AE" w:rsidRPr="005C5C45">
        <w:t>will add those that are drafted by government departments</w:t>
      </w:r>
      <w:r w:rsidR="00926A6D" w:rsidRPr="005C5C45">
        <w:t>,</w:t>
      </w:r>
      <w:r w:rsidR="003755AE" w:rsidRPr="005C5C45">
        <w:t xml:space="preserve"> </w:t>
      </w:r>
      <w:r w:rsidR="00926A6D" w:rsidRPr="005C5C45">
        <w:t xml:space="preserve">Crown </w:t>
      </w:r>
      <w:r w:rsidR="00DB1747">
        <w:t>e</w:t>
      </w:r>
      <w:r w:rsidR="00926A6D" w:rsidRPr="005C5C45">
        <w:t xml:space="preserve">ntities and statutory bodies </w:t>
      </w:r>
      <w:r w:rsidR="003755AE" w:rsidRPr="005C5C45">
        <w:t>under the delegated law-making authority of Parliament and by other non-government bodies, and offer a single site for all users</w:t>
      </w:r>
      <w:r w:rsidR="00A33B3D" w:rsidRPr="005C5C45">
        <w:t xml:space="preserve"> of N</w:t>
      </w:r>
      <w:r w:rsidR="00A868DF" w:rsidRPr="005C5C45">
        <w:t xml:space="preserve">ew </w:t>
      </w:r>
      <w:r w:rsidR="00A33B3D" w:rsidRPr="005C5C45">
        <w:t>Z</w:t>
      </w:r>
      <w:r w:rsidR="00A868DF" w:rsidRPr="005C5C45">
        <w:t>ealand</w:t>
      </w:r>
      <w:r w:rsidR="00A33B3D" w:rsidRPr="005C5C45">
        <w:t>’s law</w:t>
      </w:r>
      <w:r w:rsidR="003755AE" w:rsidRPr="005C5C45">
        <w:t>.</w:t>
      </w:r>
      <w:r w:rsidR="00AB164C" w:rsidRPr="005C5C45">
        <w:t xml:space="preserve"> </w:t>
      </w:r>
      <w:r w:rsidR="00A33B3D" w:rsidRPr="005C5C45">
        <w:t>This</w:t>
      </w:r>
      <w:r w:rsidR="00AB164C" w:rsidRPr="005C5C45">
        <w:t xml:space="preserve"> provides an inherent public good.</w:t>
      </w:r>
      <w:r w:rsidR="00EA2F88" w:rsidRPr="005C5C45">
        <w:t xml:space="preserve"> It modernises practice for all agencies that produce </w:t>
      </w:r>
      <w:r w:rsidR="00926A6D" w:rsidRPr="005C5C45">
        <w:t xml:space="preserve">secondary </w:t>
      </w:r>
      <w:r w:rsidR="00EA2F88" w:rsidRPr="005C5C45">
        <w:t>legislation or regulation</w:t>
      </w:r>
      <w:r w:rsidR="00AB164C" w:rsidRPr="005C5C45">
        <w:t xml:space="preserve">, </w:t>
      </w:r>
      <w:r w:rsidR="00EA2F88" w:rsidRPr="005C5C45">
        <w:t xml:space="preserve">significantly improves access for </w:t>
      </w:r>
      <w:r w:rsidR="00AB164C" w:rsidRPr="005C5C45">
        <w:t>businesses and the public, and changes the traditional process for publishing official notices</w:t>
      </w:r>
      <w:r w:rsidR="00EA2F88" w:rsidRPr="005C5C45">
        <w:t>.</w:t>
      </w:r>
      <w:r w:rsidR="00A33B3D" w:rsidRPr="005C5C45">
        <w:t xml:space="preserve"> </w:t>
      </w:r>
      <w:r w:rsidR="003B2203" w:rsidRPr="005C5C45">
        <w:t>In line with the formats for primary legislation, t</w:t>
      </w:r>
      <w:r w:rsidR="00A33B3D" w:rsidRPr="005C5C45">
        <w:t>he</w:t>
      </w:r>
      <w:r w:rsidR="00684A3E" w:rsidRPr="005C5C45">
        <w:t xml:space="preserve"> secondary legislation </w:t>
      </w:r>
      <w:r w:rsidR="00A33B3D" w:rsidRPr="005C5C45">
        <w:t>will be presented in open machine-readable formats, which is a transformative change.</w:t>
      </w:r>
    </w:p>
    <w:p w14:paraId="63426A9C" w14:textId="77777777" w:rsidR="00EA2F88" w:rsidRPr="005C5C45" w:rsidRDefault="00EA2F88" w:rsidP="00CE328A">
      <w:pPr>
        <w:pStyle w:val="Heading3"/>
      </w:pPr>
      <w:r w:rsidRPr="005C5C45">
        <w:t>Completion</w:t>
      </w:r>
    </w:p>
    <w:p w14:paraId="0600C68E" w14:textId="37BE0B71" w:rsidR="00D6576D" w:rsidRPr="005C5C45" w:rsidRDefault="00EA2F88" w:rsidP="00A868DF">
      <w:pPr>
        <w:pStyle w:val="Normalrglronly"/>
      </w:pPr>
      <w:r w:rsidRPr="005C5C45">
        <w:t>At the end of the first year of implementation</w:t>
      </w:r>
      <w:r w:rsidR="00AB164C" w:rsidRPr="005C5C45">
        <w:t>,</w:t>
      </w:r>
      <w:r w:rsidRPr="005C5C45">
        <w:t xml:space="preserve"> </w:t>
      </w:r>
      <w:r w:rsidR="00820DD9" w:rsidRPr="005C5C45">
        <w:t>PCO</w:t>
      </w:r>
      <w:r w:rsidR="00891F04" w:rsidRPr="005C5C45">
        <w:t xml:space="preserve">’s consultation and engagement </w:t>
      </w:r>
      <w:r w:rsidR="00BC6FEF" w:rsidRPr="005C5C45">
        <w:t xml:space="preserve">activities </w:t>
      </w:r>
      <w:r w:rsidR="00891F04" w:rsidRPr="005C5C45">
        <w:t>with all involved actors</w:t>
      </w:r>
      <w:r w:rsidR="00BC6FEF" w:rsidRPr="005C5C45">
        <w:t xml:space="preserve"> are</w:t>
      </w:r>
      <w:r w:rsidRPr="005C5C45">
        <w:t xml:space="preserve"> on t</w:t>
      </w:r>
      <w:r w:rsidR="00BC6FEF" w:rsidRPr="005C5C45">
        <w:t>rack</w:t>
      </w:r>
      <w:r w:rsidR="00D23CF9" w:rsidRPr="005C5C45">
        <w:t>. It</w:t>
      </w:r>
      <w:r w:rsidRPr="005C5C45">
        <w:t xml:space="preserve"> has completed most of </w:t>
      </w:r>
      <w:r w:rsidR="00891F04" w:rsidRPr="005C5C45">
        <w:t>its</w:t>
      </w:r>
      <w:r w:rsidRPr="005C5C45">
        <w:t xml:space="preserve"> analysis of empowering provisions in </w:t>
      </w:r>
      <w:r w:rsidR="00D23CF9" w:rsidRPr="005C5C45">
        <w:t xml:space="preserve">New Zealand’s </w:t>
      </w:r>
      <w:r w:rsidRPr="005C5C45">
        <w:t>statute book</w:t>
      </w:r>
      <w:r w:rsidR="00BC6FEF" w:rsidRPr="005C5C45">
        <w:t xml:space="preserve">. </w:t>
      </w:r>
      <w:r w:rsidR="003B2203" w:rsidRPr="005C5C45">
        <w:t>PCO advised the IRM researcher that it</w:t>
      </w:r>
      <w:r w:rsidR="00D23CF9" w:rsidRPr="005C5C45">
        <w:t xml:space="preserve"> has researched</w:t>
      </w:r>
      <w:r w:rsidRPr="005C5C45">
        <w:t xml:space="preserve"> </w:t>
      </w:r>
      <w:r w:rsidR="00D23CF9" w:rsidRPr="005C5C45">
        <w:t xml:space="preserve">the </w:t>
      </w:r>
      <w:r w:rsidRPr="005C5C45">
        <w:t>empowering provis</w:t>
      </w:r>
      <w:r w:rsidR="008A6D64" w:rsidRPr="005C5C45">
        <w:t>ion</w:t>
      </w:r>
      <w:r w:rsidR="00D23CF9" w:rsidRPr="005C5C45">
        <w:t>s</w:t>
      </w:r>
      <w:r w:rsidR="008A6D64" w:rsidRPr="005C5C45">
        <w:t xml:space="preserve"> </w:t>
      </w:r>
      <w:r w:rsidRPr="005C5C45">
        <w:t xml:space="preserve">for 1831 </w:t>
      </w:r>
      <w:proofErr w:type="gramStart"/>
      <w:r w:rsidRPr="005C5C45">
        <w:t>Acts</w:t>
      </w:r>
      <w:proofErr w:type="gramEnd"/>
      <w:r w:rsidRPr="005C5C45">
        <w:t xml:space="preserve"> (out of the total collection of 2095), and </w:t>
      </w:r>
      <w:r w:rsidR="00D23CF9" w:rsidRPr="005C5C45">
        <w:t xml:space="preserve">completed </w:t>
      </w:r>
      <w:r w:rsidRPr="005C5C45">
        <w:t xml:space="preserve">work to reach a preliminary judgment about which of those provisions empowered the making of legislation (as opposed to merely administrative provisions) for 1575 (out of 2095) Acts. </w:t>
      </w:r>
      <w:r w:rsidR="00D23CF9" w:rsidRPr="005C5C45">
        <w:t xml:space="preserve">It </w:t>
      </w:r>
      <w:r w:rsidR="009A5AED" w:rsidRPr="005C5C45">
        <w:t xml:space="preserve">has </w:t>
      </w:r>
      <w:r w:rsidR="008A6D64" w:rsidRPr="005C5C45">
        <w:t xml:space="preserve">also discussed </w:t>
      </w:r>
      <w:r w:rsidR="00D23CF9" w:rsidRPr="005C5C45">
        <w:t xml:space="preserve">its </w:t>
      </w:r>
      <w:r w:rsidRPr="005C5C45">
        <w:t>legal research of their empowerin</w:t>
      </w:r>
      <w:r w:rsidR="008A6D64" w:rsidRPr="005C5C45">
        <w:t xml:space="preserve">g provisions </w:t>
      </w:r>
      <w:r w:rsidRPr="005C5C45">
        <w:t xml:space="preserve">with 23 of </w:t>
      </w:r>
      <w:r w:rsidR="00D23CF9" w:rsidRPr="005C5C45">
        <w:t xml:space="preserve">the </w:t>
      </w:r>
      <w:r w:rsidRPr="005C5C45">
        <w:t>33 administering agencies.</w:t>
      </w:r>
      <w:r w:rsidR="00D6576D" w:rsidRPr="005C5C45">
        <w:t xml:space="preserve"> Its next step will be reaching agreement with each government </w:t>
      </w:r>
      <w:r w:rsidR="00684A3E" w:rsidRPr="005C5C45">
        <w:t xml:space="preserve">department, Crown </w:t>
      </w:r>
      <w:r w:rsidR="00706BF7">
        <w:t>e</w:t>
      </w:r>
      <w:r w:rsidR="00684A3E" w:rsidRPr="005C5C45">
        <w:t xml:space="preserve">ntity and statutory body that has delegated law-making authority </w:t>
      </w:r>
      <w:r w:rsidR="00D6576D" w:rsidRPr="005C5C45">
        <w:t>to publish their instruments with legislative effect on the website.</w:t>
      </w:r>
    </w:p>
    <w:p w14:paraId="052DB415" w14:textId="0A4772B3" w:rsidR="00EA2F88" w:rsidRPr="005C5C45" w:rsidRDefault="00D23CF9" w:rsidP="00A868DF">
      <w:pPr>
        <w:pStyle w:val="Normalrglronly"/>
      </w:pPr>
      <w:r w:rsidRPr="005C5C45">
        <w:t xml:space="preserve">This </w:t>
      </w:r>
      <w:r w:rsidR="00D6576D" w:rsidRPr="005C5C45">
        <w:t>complex and detailed</w:t>
      </w:r>
      <w:r w:rsidRPr="005C5C45">
        <w:t xml:space="preserve"> </w:t>
      </w:r>
      <w:r w:rsidR="003B2203" w:rsidRPr="005C5C45">
        <w:t>work illustrates the vast scope</w:t>
      </w:r>
      <w:r w:rsidR="00D6576D" w:rsidRPr="005C5C45">
        <w:t xml:space="preserve"> </w:t>
      </w:r>
      <w:r w:rsidRPr="005C5C45">
        <w:t>of this project</w:t>
      </w:r>
      <w:r w:rsidR="002C6928">
        <w:t>—</w:t>
      </w:r>
      <w:r w:rsidR="00D6576D" w:rsidRPr="005C5C45">
        <w:t>it is changing the prod</w:t>
      </w:r>
      <w:r w:rsidR="003B2203" w:rsidRPr="005C5C45">
        <w:t>uction and publication of</w:t>
      </w:r>
      <w:r w:rsidR="00D6576D" w:rsidRPr="005C5C45">
        <w:t xml:space="preserve"> </w:t>
      </w:r>
      <w:r w:rsidR="0097477F" w:rsidRPr="005C5C45">
        <w:t>secondary legislation</w:t>
      </w:r>
      <w:r w:rsidRPr="005C5C45">
        <w:t>.</w:t>
      </w:r>
      <w:r w:rsidR="002A79A9" w:rsidRPr="005C5C45">
        <w:t xml:space="preserve"> The IRM researcher notes that this activity will continue throughout the project, and that there is at this stage no end date for the project.</w:t>
      </w:r>
      <w:r w:rsidR="00B2267F" w:rsidRPr="005C5C45">
        <w:t xml:space="preserve"> It is important to note that for the purposes of coding, the IRM researcher assessed level of completion against the end date of the action plan, June 2018. </w:t>
      </w:r>
    </w:p>
    <w:p w14:paraId="64D7A617" w14:textId="148EAC2C" w:rsidR="00EA2F88" w:rsidRPr="005C5C45" w:rsidRDefault="00D23CF9" w:rsidP="00A868DF">
      <w:pPr>
        <w:pStyle w:val="Normalrglronly"/>
      </w:pPr>
      <w:r w:rsidRPr="005C5C45">
        <w:t xml:space="preserve">The </w:t>
      </w:r>
      <w:r w:rsidR="00D6576D" w:rsidRPr="005C5C45">
        <w:t xml:space="preserve">commitment activity to submit this work for </w:t>
      </w:r>
      <w:r w:rsidRPr="005C5C45">
        <w:t>c</w:t>
      </w:r>
      <w:r w:rsidR="0042068E" w:rsidRPr="005C5C45">
        <w:t xml:space="preserve">onsideration for approval by </w:t>
      </w:r>
      <w:r w:rsidRPr="005C5C45">
        <w:t>C</w:t>
      </w:r>
      <w:r w:rsidR="0042068E" w:rsidRPr="005C5C45">
        <w:t xml:space="preserve">abinet </w:t>
      </w:r>
      <w:r w:rsidRPr="005C5C45">
        <w:t xml:space="preserve">activity </w:t>
      </w:r>
      <w:r w:rsidR="0042068E" w:rsidRPr="005C5C45">
        <w:t xml:space="preserve">has been completed. </w:t>
      </w:r>
      <w:r w:rsidR="00EA2F88" w:rsidRPr="005C5C45">
        <w:t xml:space="preserve">In December 2016, Cabinet gave its approval for the Access to </w:t>
      </w:r>
      <w:r w:rsidR="00684A3E" w:rsidRPr="005C5C45">
        <w:lastRenderedPageBreak/>
        <w:t>Secondary Legislation</w:t>
      </w:r>
      <w:r w:rsidR="00EA2F88" w:rsidRPr="005C5C45">
        <w:t xml:space="preserve"> Project to proceed, and for a </w:t>
      </w:r>
      <w:r w:rsidR="00706BF7">
        <w:t>b</w:t>
      </w:r>
      <w:r w:rsidR="00EA2F88" w:rsidRPr="005C5C45">
        <w:t xml:space="preserve">ill to be drafted to implement the </w:t>
      </w:r>
      <w:r w:rsidR="00706BF7">
        <w:t>p</w:t>
      </w:r>
      <w:r w:rsidR="00EA2F88" w:rsidRPr="005C5C45">
        <w:t xml:space="preserve">roject. The Legislation Bill was introduced into Parliament on 20 June 2017. It </w:t>
      </w:r>
      <w:r w:rsidR="00F40F41" w:rsidRPr="005C5C45">
        <w:t>can</w:t>
      </w:r>
      <w:r w:rsidR="00EA2F88" w:rsidRPr="005C5C45">
        <w:t xml:space="preserve">not proceed until after </w:t>
      </w:r>
      <w:r w:rsidR="00EC056B" w:rsidRPr="005C5C45">
        <w:t xml:space="preserve">Parliament reconvenes after </w:t>
      </w:r>
      <w:r w:rsidR="00EA2F88" w:rsidRPr="005C5C45">
        <w:t>the 23 September 2017 general election</w:t>
      </w:r>
      <w:r w:rsidR="00EC056B" w:rsidRPr="005C5C45">
        <w:t xml:space="preserve"> and</w:t>
      </w:r>
      <w:r w:rsidR="003B2203" w:rsidRPr="005C5C45">
        <w:t xml:space="preserve"> a new legislative programme </w:t>
      </w:r>
      <w:r w:rsidR="00706BF7">
        <w:t xml:space="preserve">is </w:t>
      </w:r>
      <w:r w:rsidR="00EC056B" w:rsidRPr="005C5C45">
        <w:t>drawn up</w:t>
      </w:r>
      <w:r w:rsidR="00EA2F88" w:rsidRPr="005C5C45">
        <w:t>.</w:t>
      </w:r>
    </w:p>
    <w:p w14:paraId="400BB3BF" w14:textId="77777777" w:rsidR="00EA2F88" w:rsidRPr="005C5C45" w:rsidRDefault="00EA2F88" w:rsidP="006B1434">
      <w:pPr>
        <w:pStyle w:val="Heading3"/>
      </w:pPr>
      <w:r w:rsidRPr="005C5C45">
        <w:t>Early Results</w:t>
      </w:r>
    </w:p>
    <w:p w14:paraId="1BFB75BD" w14:textId="34B09D14" w:rsidR="00821A69" w:rsidRPr="005C5C45" w:rsidRDefault="00440082" w:rsidP="00D6143A">
      <w:pPr>
        <w:pStyle w:val="Normalrglronly"/>
        <w:rPr>
          <w:lang w:eastAsia="en-NZ"/>
        </w:rPr>
      </w:pPr>
      <w:r w:rsidRPr="005C5C45">
        <w:rPr>
          <w:lang w:eastAsia="en-NZ"/>
        </w:rPr>
        <w:t>Government added this commitment to the action plan after the August 2016 co-creation workshop with the support of the EAP, but without any other public engagement.</w:t>
      </w:r>
      <w:r w:rsidR="00EA2F88" w:rsidRPr="005C5C45">
        <w:rPr>
          <w:lang w:eastAsia="en-NZ"/>
        </w:rPr>
        <w:t xml:space="preserve"> </w:t>
      </w:r>
      <w:r w:rsidR="00821A69" w:rsidRPr="005C5C45">
        <w:rPr>
          <w:lang w:eastAsia="en-NZ"/>
        </w:rPr>
        <w:t>Internet NZ praised the addition of relevant projects to the action plan.</w:t>
      </w:r>
      <w:r w:rsidR="00F1072C" w:rsidRPr="005C5C45">
        <w:rPr>
          <w:rStyle w:val="EndnoteReference"/>
          <w:lang w:eastAsia="en-NZ"/>
        </w:rPr>
        <w:endnoteReference w:id="156"/>
      </w:r>
      <w:r w:rsidR="00821A69" w:rsidRPr="005C5C45">
        <w:rPr>
          <w:lang w:eastAsia="en-NZ"/>
        </w:rPr>
        <w:t xml:space="preserve"> </w:t>
      </w:r>
      <w:r w:rsidR="00E256B0" w:rsidRPr="005C5C45">
        <w:rPr>
          <w:lang w:eastAsia="en-NZ"/>
        </w:rPr>
        <w:t xml:space="preserve">The Environment </w:t>
      </w:r>
      <w:r w:rsidR="00EE0C81" w:rsidRPr="005C5C45">
        <w:rPr>
          <w:lang w:eastAsia="en-NZ"/>
        </w:rPr>
        <w:t xml:space="preserve">and </w:t>
      </w:r>
      <w:r w:rsidR="00E256B0" w:rsidRPr="005C5C45">
        <w:rPr>
          <w:lang w:eastAsia="en-NZ"/>
        </w:rPr>
        <w:t xml:space="preserve">Conservation Organisation </w:t>
      </w:r>
      <w:r w:rsidR="00EE0C81" w:rsidRPr="005C5C45">
        <w:rPr>
          <w:lang w:eastAsia="en-NZ"/>
        </w:rPr>
        <w:t xml:space="preserve">of </w:t>
      </w:r>
      <w:proofErr w:type="spellStart"/>
      <w:r w:rsidR="00EE0C81" w:rsidRPr="005C5C45">
        <w:rPr>
          <w:lang w:eastAsia="en-NZ"/>
        </w:rPr>
        <w:t>Aotearoa</w:t>
      </w:r>
      <w:proofErr w:type="spellEnd"/>
      <w:r w:rsidR="00EE0C81" w:rsidRPr="005C5C45">
        <w:rPr>
          <w:lang w:eastAsia="en-NZ"/>
        </w:rPr>
        <w:t xml:space="preserve"> New Zealand </w:t>
      </w:r>
      <w:r w:rsidR="00E256B0" w:rsidRPr="005C5C45">
        <w:rPr>
          <w:lang w:eastAsia="en-NZ"/>
        </w:rPr>
        <w:t>(</w:t>
      </w:r>
      <w:r w:rsidR="00821A69" w:rsidRPr="005C5C45">
        <w:rPr>
          <w:lang w:eastAsia="en-NZ"/>
        </w:rPr>
        <w:t>ECO</w:t>
      </w:r>
      <w:r w:rsidR="00E256B0" w:rsidRPr="005C5C45">
        <w:rPr>
          <w:lang w:eastAsia="en-NZ"/>
        </w:rPr>
        <w:t>)</w:t>
      </w:r>
      <w:r w:rsidR="00821A69" w:rsidRPr="005C5C45">
        <w:rPr>
          <w:lang w:eastAsia="en-NZ"/>
        </w:rPr>
        <w:t xml:space="preserve"> felt </w:t>
      </w:r>
      <w:r w:rsidRPr="005C5C45">
        <w:rPr>
          <w:lang w:eastAsia="en-NZ"/>
        </w:rPr>
        <w:t xml:space="preserve">that the commitment description needed </w:t>
      </w:r>
      <w:r w:rsidR="009A5AED" w:rsidRPr="005C5C45">
        <w:rPr>
          <w:lang w:eastAsia="en-NZ"/>
        </w:rPr>
        <w:t>more detail, for example,</w:t>
      </w:r>
      <w:r w:rsidR="00ED6314" w:rsidRPr="005C5C45">
        <w:rPr>
          <w:lang w:eastAsia="en-NZ"/>
        </w:rPr>
        <w:t xml:space="preserve"> stating</w:t>
      </w:r>
      <w:r w:rsidR="009A5AED" w:rsidRPr="005C5C45">
        <w:rPr>
          <w:lang w:eastAsia="en-NZ"/>
        </w:rPr>
        <w:t xml:space="preserve"> </w:t>
      </w:r>
      <w:r w:rsidR="00FB3F4C" w:rsidRPr="005C5C45">
        <w:rPr>
          <w:lang w:eastAsia="en-NZ"/>
        </w:rPr>
        <w:t>its relationship</w:t>
      </w:r>
      <w:r w:rsidR="00821A69" w:rsidRPr="005C5C45">
        <w:rPr>
          <w:lang w:eastAsia="en-NZ"/>
        </w:rPr>
        <w:t xml:space="preserve"> to the Access to </w:t>
      </w:r>
      <w:r w:rsidR="00684A3E" w:rsidRPr="005C5C45">
        <w:rPr>
          <w:lang w:eastAsia="en-NZ"/>
        </w:rPr>
        <w:t xml:space="preserve">Secondary Legislation </w:t>
      </w:r>
      <w:r w:rsidR="00821A69" w:rsidRPr="005C5C45">
        <w:rPr>
          <w:lang w:eastAsia="en-NZ"/>
        </w:rPr>
        <w:t>Project and the earlier Regulations Review Committee</w:t>
      </w:r>
      <w:r w:rsidR="00BF176E" w:rsidRPr="005C5C45">
        <w:rPr>
          <w:lang w:eastAsia="en-NZ"/>
        </w:rPr>
        <w:t>.</w:t>
      </w:r>
      <w:r w:rsidR="00821A69" w:rsidRPr="005C5C45">
        <w:rPr>
          <w:lang w:eastAsia="en-NZ"/>
        </w:rPr>
        <w:t xml:space="preserve"> </w:t>
      </w:r>
      <w:r w:rsidR="00ED6314" w:rsidRPr="005C5C45">
        <w:rPr>
          <w:lang w:eastAsia="en-NZ"/>
        </w:rPr>
        <w:t xml:space="preserve">ECO </w:t>
      </w:r>
      <w:r w:rsidR="00BF176E" w:rsidRPr="005C5C45">
        <w:rPr>
          <w:lang w:eastAsia="en-NZ"/>
        </w:rPr>
        <w:t xml:space="preserve">also </w:t>
      </w:r>
      <w:r w:rsidR="00FB3F4C" w:rsidRPr="005C5C45">
        <w:rPr>
          <w:lang w:eastAsia="en-NZ"/>
        </w:rPr>
        <w:t>sought new</w:t>
      </w:r>
      <w:r w:rsidR="00D16BAC" w:rsidRPr="005C5C45">
        <w:rPr>
          <w:lang w:eastAsia="en-NZ"/>
        </w:rPr>
        <w:t xml:space="preserve"> milestones</w:t>
      </w:r>
      <w:r w:rsidR="00FB3F4C" w:rsidRPr="005C5C45">
        <w:rPr>
          <w:lang w:eastAsia="en-NZ"/>
        </w:rPr>
        <w:t xml:space="preserve"> </w:t>
      </w:r>
      <w:r w:rsidR="00BF176E" w:rsidRPr="005C5C45">
        <w:rPr>
          <w:lang w:eastAsia="en-NZ"/>
        </w:rPr>
        <w:t>to further enable</w:t>
      </w:r>
      <w:r w:rsidR="00B71E05" w:rsidRPr="005C5C45">
        <w:rPr>
          <w:lang w:eastAsia="en-NZ"/>
        </w:rPr>
        <w:t xml:space="preserve"> legislation</w:t>
      </w:r>
      <w:r w:rsidR="00FB3F4C" w:rsidRPr="005C5C45">
        <w:rPr>
          <w:lang w:eastAsia="en-NZ"/>
        </w:rPr>
        <w:t xml:space="preserve"> and all other stages</w:t>
      </w:r>
      <w:r w:rsidR="00D16BAC" w:rsidRPr="005C5C45">
        <w:rPr>
          <w:lang w:eastAsia="en-NZ"/>
        </w:rPr>
        <w:t>.</w:t>
      </w:r>
      <w:r w:rsidR="00F1072C" w:rsidRPr="005C5C45">
        <w:rPr>
          <w:rStyle w:val="EndnoteReference"/>
          <w:lang w:eastAsia="en-NZ"/>
        </w:rPr>
        <w:endnoteReference w:id="157"/>
      </w:r>
    </w:p>
    <w:p w14:paraId="18E094DA" w14:textId="6856D7A1" w:rsidR="00EA2F88" w:rsidRPr="005C5C45" w:rsidRDefault="00FB3F4C" w:rsidP="00D17C57">
      <w:pPr>
        <w:pStyle w:val="Normalrglronly"/>
        <w:rPr>
          <w:lang w:eastAsia="en-NZ"/>
        </w:rPr>
      </w:pPr>
      <w:r w:rsidRPr="005C5C45">
        <w:rPr>
          <w:lang w:eastAsia="en-NZ"/>
        </w:rPr>
        <w:t>There is</w:t>
      </w:r>
      <w:r w:rsidR="00EA2F88" w:rsidRPr="005C5C45">
        <w:rPr>
          <w:lang w:eastAsia="en-NZ"/>
        </w:rPr>
        <w:t xml:space="preserve"> broad s</w:t>
      </w:r>
      <w:r w:rsidR="00821A69" w:rsidRPr="005C5C45">
        <w:rPr>
          <w:lang w:eastAsia="en-NZ"/>
        </w:rPr>
        <w:t xml:space="preserve">upport for the </w:t>
      </w:r>
      <w:r w:rsidR="00ED6314" w:rsidRPr="005C5C45">
        <w:rPr>
          <w:lang w:eastAsia="en-NZ"/>
        </w:rPr>
        <w:t>c</w:t>
      </w:r>
      <w:r w:rsidR="00821A69" w:rsidRPr="005C5C45">
        <w:rPr>
          <w:lang w:eastAsia="en-NZ"/>
        </w:rPr>
        <w:t xml:space="preserve">ommitment. </w:t>
      </w:r>
      <w:r w:rsidR="00EA2F88" w:rsidRPr="005C5C45">
        <w:rPr>
          <w:lang w:eastAsia="en-NZ"/>
        </w:rPr>
        <w:t>Sir Geoffrey Palmer, former Prime Minister, Attorney General, and Minister of Justice</w:t>
      </w:r>
      <w:r w:rsidR="00821A69" w:rsidRPr="005C5C45">
        <w:rPr>
          <w:lang w:eastAsia="en-NZ"/>
        </w:rPr>
        <w:t>,</w:t>
      </w:r>
      <w:r w:rsidR="00EA2F88" w:rsidRPr="005C5C45">
        <w:rPr>
          <w:lang w:eastAsia="en-NZ"/>
        </w:rPr>
        <w:t xml:space="preserve"> </w:t>
      </w:r>
      <w:r w:rsidR="008D7D04" w:rsidRPr="005C5C45">
        <w:rPr>
          <w:lang w:eastAsia="en-NZ"/>
        </w:rPr>
        <w:t>advised the IRM researcher</w:t>
      </w:r>
      <w:r w:rsidR="00EA2F88" w:rsidRPr="005C5C45">
        <w:rPr>
          <w:lang w:eastAsia="en-NZ"/>
        </w:rPr>
        <w:t xml:space="preserve"> </w:t>
      </w:r>
      <w:r w:rsidR="008D7D04" w:rsidRPr="005C5C45">
        <w:rPr>
          <w:lang w:eastAsia="en-NZ"/>
        </w:rPr>
        <w:t xml:space="preserve">on 1 September 2017 </w:t>
      </w:r>
      <w:r w:rsidR="00EA2F88" w:rsidRPr="005C5C45">
        <w:rPr>
          <w:lang w:eastAsia="en-NZ"/>
        </w:rPr>
        <w:t xml:space="preserve">that </w:t>
      </w:r>
      <w:r w:rsidR="00415346">
        <w:rPr>
          <w:lang w:eastAsia="en-NZ"/>
        </w:rPr>
        <w:t>‘</w:t>
      </w:r>
      <w:r w:rsidR="00EA2F88" w:rsidRPr="005C5C45">
        <w:rPr>
          <w:lang w:eastAsia="en-NZ"/>
        </w:rPr>
        <w:t xml:space="preserve">Commitment </w:t>
      </w:r>
      <w:r w:rsidR="00D17C57" w:rsidRPr="005C5C45">
        <w:rPr>
          <w:lang w:eastAsia="en-NZ"/>
        </w:rPr>
        <w:t>6</w:t>
      </w:r>
      <w:r w:rsidR="00EA2F88" w:rsidRPr="005C5C45">
        <w:rPr>
          <w:lang w:eastAsia="en-NZ"/>
        </w:rPr>
        <w:t xml:space="preserve"> is excellent work. Access to the law is fundamental</w:t>
      </w:r>
      <w:r w:rsidR="00415346">
        <w:rPr>
          <w:lang w:eastAsia="en-NZ"/>
        </w:rPr>
        <w:t>’</w:t>
      </w:r>
      <w:r w:rsidR="002C6928">
        <w:rPr>
          <w:lang w:eastAsia="en-NZ"/>
        </w:rPr>
        <w:t>.</w:t>
      </w:r>
      <w:r w:rsidR="00EA2F88" w:rsidRPr="005C5C45">
        <w:rPr>
          <w:lang w:eastAsia="en-NZ"/>
        </w:rPr>
        <w:t xml:space="preserve"> </w:t>
      </w:r>
      <w:proofErr w:type="spellStart"/>
      <w:r w:rsidR="00EA2F88" w:rsidRPr="005C5C45">
        <w:t>Fuimaono</w:t>
      </w:r>
      <w:proofErr w:type="spellEnd"/>
      <w:r w:rsidR="00EA2F88" w:rsidRPr="005C5C45">
        <w:t xml:space="preserve"> </w:t>
      </w:r>
      <w:proofErr w:type="spellStart"/>
      <w:r w:rsidR="00EA2F88" w:rsidRPr="005C5C45">
        <w:t>Tuiasau</w:t>
      </w:r>
      <w:proofErr w:type="spellEnd"/>
      <w:r w:rsidR="00EA2F88" w:rsidRPr="005C5C45">
        <w:t>, a</w:t>
      </w:r>
      <w:r w:rsidR="00B71E05" w:rsidRPr="005C5C45">
        <w:t xml:space="preserve">n </w:t>
      </w:r>
      <w:r w:rsidR="00ED6314" w:rsidRPr="005C5C45">
        <w:t xml:space="preserve">Expert Advisory Committee </w:t>
      </w:r>
      <w:r w:rsidR="00B71E05" w:rsidRPr="005C5C45">
        <w:t>member</w:t>
      </w:r>
      <w:r w:rsidR="00821A69" w:rsidRPr="005C5C45">
        <w:t>, stated</w:t>
      </w:r>
      <w:r w:rsidR="00EA2F88" w:rsidRPr="005C5C45">
        <w:t xml:space="preserve"> that </w:t>
      </w:r>
      <w:r w:rsidR="00415346">
        <w:t>‘</w:t>
      </w:r>
      <w:r w:rsidR="00EA2F88" w:rsidRPr="005C5C45">
        <w:t>the legislation commitment makes it easier for the average punter to understand</w:t>
      </w:r>
      <w:r w:rsidR="002C6928">
        <w:t>—</w:t>
      </w:r>
      <w:r w:rsidR="00EA2F88" w:rsidRPr="005C5C45">
        <w:t>for example, making building a fence is made simpler</w:t>
      </w:r>
      <w:r w:rsidR="002C6928">
        <w:t>’.</w:t>
      </w:r>
      <w:r w:rsidR="00EE0C81" w:rsidRPr="005C5C45">
        <w:rPr>
          <w:rStyle w:val="EndnoteReference"/>
        </w:rPr>
        <w:endnoteReference w:id="158"/>
      </w:r>
    </w:p>
    <w:p w14:paraId="7ABB23B7" w14:textId="52AD083C" w:rsidR="00EA2F88" w:rsidRPr="005C5C45" w:rsidRDefault="00FB3F4C" w:rsidP="002334AF">
      <w:r w:rsidRPr="005C5C45">
        <w:rPr>
          <w:rFonts w:eastAsia="Cambria"/>
          <w:bCs/>
          <w:szCs w:val="22"/>
        </w:rPr>
        <w:t>At this</w:t>
      </w:r>
      <w:r w:rsidR="00821A69" w:rsidRPr="005C5C45">
        <w:t xml:space="preserve"> early </w:t>
      </w:r>
      <w:r w:rsidRPr="005C5C45">
        <w:t>stage</w:t>
      </w:r>
      <w:r w:rsidR="00482213" w:rsidRPr="005C5C45">
        <w:t>, only the impact on contributing agencies can be assessed.</w:t>
      </w:r>
      <w:r w:rsidR="00821A69" w:rsidRPr="005C5C45">
        <w:rPr>
          <w:rFonts w:eastAsia="Cambria"/>
          <w:bCs/>
          <w:szCs w:val="22"/>
        </w:rPr>
        <w:t xml:space="preserve"> PCO</w:t>
      </w:r>
      <w:r w:rsidR="00E8112B" w:rsidRPr="005C5C45">
        <w:rPr>
          <w:rFonts w:eastAsia="Cambria"/>
          <w:bCs/>
          <w:szCs w:val="22"/>
        </w:rPr>
        <w:t>, when speaking with</w:t>
      </w:r>
      <w:r w:rsidR="00821A69" w:rsidRPr="005C5C45">
        <w:rPr>
          <w:rFonts w:eastAsia="Cambria"/>
          <w:bCs/>
          <w:szCs w:val="22"/>
        </w:rPr>
        <w:t xml:space="preserve"> </w:t>
      </w:r>
      <w:r w:rsidR="00D16BAC" w:rsidRPr="005C5C45">
        <w:rPr>
          <w:rFonts w:eastAsia="Cambria"/>
          <w:bCs/>
          <w:szCs w:val="22"/>
        </w:rPr>
        <w:t>the IRM researcher</w:t>
      </w:r>
      <w:r w:rsidR="00E8112B" w:rsidRPr="005C5C45">
        <w:rPr>
          <w:rFonts w:eastAsia="Cambria"/>
          <w:bCs/>
          <w:szCs w:val="22"/>
        </w:rPr>
        <w:t xml:space="preserve">, has praised the willing, forthcoming, and supportive response from all agencies. PCO went on to say, </w:t>
      </w:r>
      <w:r w:rsidR="00415346">
        <w:rPr>
          <w:rFonts w:eastAsia="Cambria"/>
          <w:bCs/>
          <w:szCs w:val="22"/>
        </w:rPr>
        <w:t>‘</w:t>
      </w:r>
      <w:r w:rsidR="00EA2F88" w:rsidRPr="005C5C45">
        <w:rPr>
          <w:rFonts w:eastAsia="Cambria"/>
          <w:bCs/>
          <w:szCs w:val="22"/>
        </w:rPr>
        <w:t>They have actively engaged with the analysis we have produced, and shown a strong desire to ensure that a mutually agreed view is formed on the instruments that are considered to be secondary legislation</w:t>
      </w:r>
      <w:r w:rsidR="002C6928">
        <w:rPr>
          <w:rFonts w:eastAsia="Cambria"/>
          <w:bCs/>
          <w:szCs w:val="22"/>
        </w:rPr>
        <w:t>’.</w:t>
      </w:r>
      <w:r w:rsidR="00430DB4" w:rsidRPr="005C5C45">
        <w:rPr>
          <w:rStyle w:val="EndnoteReference"/>
          <w:rFonts w:eastAsia="Cambria"/>
          <w:bCs/>
          <w:szCs w:val="22"/>
        </w:rPr>
        <w:endnoteReference w:id="159"/>
      </w:r>
      <w:r w:rsidR="004E70C0" w:rsidRPr="005C5C45">
        <w:rPr>
          <w:rFonts w:eastAsia="Cambria"/>
          <w:bCs/>
          <w:szCs w:val="22"/>
        </w:rPr>
        <w:t xml:space="preserve"> </w:t>
      </w:r>
      <w:r w:rsidR="00ED6314" w:rsidRPr="005C5C45">
        <w:rPr>
          <w:rFonts w:eastAsia="Cambria"/>
          <w:bCs/>
          <w:szCs w:val="22"/>
        </w:rPr>
        <w:t>The IRM researcher interviewed t</w:t>
      </w:r>
      <w:r w:rsidR="004E70C0" w:rsidRPr="005C5C45">
        <w:rPr>
          <w:rFonts w:eastAsia="Cambria"/>
          <w:bCs/>
          <w:szCs w:val="22"/>
        </w:rPr>
        <w:t>hree agencies that are pilot agencies or are working on putting the regulatory frameworks in place</w:t>
      </w:r>
      <w:r w:rsidR="00ED6314" w:rsidRPr="005C5C45">
        <w:rPr>
          <w:rFonts w:eastAsia="Cambria"/>
          <w:bCs/>
          <w:szCs w:val="22"/>
        </w:rPr>
        <w:t>. They essentially</w:t>
      </w:r>
      <w:r w:rsidR="004E70C0" w:rsidRPr="005C5C45">
        <w:rPr>
          <w:rFonts w:eastAsia="Cambria"/>
          <w:bCs/>
          <w:szCs w:val="22"/>
        </w:rPr>
        <w:t xml:space="preserve"> endorse</w:t>
      </w:r>
      <w:r w:rsidR="00E1780A" w:rsidRPr="005C5C45">
        <w:rPr>
          <w:rFonts w:eastAsia="Cambria"/>
          <w:bCs/>
          <w:szCs w:val="22"/>
        </w:rPr>
        <w:t>d</w:t>
      </w:r>
      <w:r w:rsidR="004E70C0" w:rsidRPr="005C5C45">
        <w:rPr>
          <w:rFonts w:eastAsia="Cambria"/>
          <w:bCs/>
          <w:szCs w:val="22"/>
        </w:rPr>
        <w:t xml:space="preserve"> this statement</w:t>
      </w:r>
      <w:r w:rsidR="00ED6314" w:rsidRPr="005C5C45">
        <w:rPr>
          <w:rFonts w:eastAsia="Cambria"/>
          <w:bCs/>
          <w:szCs w:val="22"/>
        </w:rPr>
        <w:t>, with</w:t>
      </w:r>
      <w:r w:rsidR="00482213" w:rsidRPr="005C5C45">
        <w:rPr>
          <w:rFonts w:eastAsia="Cambria"/>
          <w:bCs/>
          <w:szCs w:val="22"/>
        </w:rPr>
        <w:t xml:space="preserve"> one agency testing the </w:t>
      </w:r>
      <w:r w:rsidR="00A7206B" w:rsidRPr="005C5C45">
        <w:rPr>
          <w:rFonts w:eastAsia="Cambria"/>
          <w:bCs/>
          <w:szCs w:val="22"/>
        </w:rPr>
        <w:t xml:space="preserve">proposed drafting </w:t>
      </w:r>
      <w:r w:rsidR="00482213" w:rsidRPr="005C5C45">
        <w:rPr>
          <w:rFonts w:eastAsia="Cambria"/>
          <w:bCs/>
          <w:szCs w:val="22"/>
        </w:rPr>
        <w:t>template</w:t>
      </w:r>
      <w:r w:rsidR="00A7206B" w:rsidRPr="005C5C45">
        <w:rPr>
          <w:rFonts w:eastAsia="Cambria"/>
          <w:bCs/>
          <w:szCs w:val="22"/>
        </w:rPr>
        <w:t xml:space="preserve"> </w:t>
      </w:r>
      <w:r w:rsidR="00ED6314" w:rsidRPr="005C5C45">
        <w:rPr>
          <w:rFonts w:eastAsia="Cambria"/>
          <w:bCs/>
          <w:szCs w:val="22"/>
        </w:rPr>
        <w:t>commenting that</w:t>
      </w:r>
      <w:r w:rsidR="00A7206B" w:rsidRPr="005C5C45">
        <w:rPr>
          <w:rFonts w:eastAsia="Cambria"/>
          <w:bCs/>
          <w:szCs w:val="22"/>
        </w:rPr>
        <w:t xml:space="preserve"> it is </w:t>
      </w:r>
      <w:r w:rsidR="00415346">
        <w:rPr>
          <w:rFonts w:eastAsia="Cambria"/>
          <w:bCs/>
          <w:szCs w:val="22"/>
        </w:rPr>
        <w:t>‘</w:t>
      </w:r>
      <w:r w:rsidR="00A7206B" w:rsidRPr="005C5C45">
        <w:rPr>
          <w:rFonts w:eastAsia="Cambria"/>
          <w:bCs/>
          <w:szCs w:val="22"/>
        </w:rPr>
        <w:t>wonderfully user-friendly</w:t>
      </w:r>
      <w:r w:rsidR="002C6928">
        <w:rPr>
          <w:rFonts w:eastAsia="Cambria"/>
          <w:bCs/>
          <w:szCs w:val="22"/>
        </w:rPr>
        <w:t>’.</w:t>
      </w:r>
      <w:r w:rsidR="002A79A9" w:rsidRPr="005C5C45">
        <w:rPr>
          <w:rStyle w:val="EndnoteReference"/>
          <w:lang w:eastAsia="en-NZ"/>
        </w:rPr>
        <w:t xml:space="preserve"> </w:t>
      </w:r>
      <w:r w:rsidR="002A79A9" w:rsidRPr="005C5C45">
        <w:rPr>
          <w:rStyle w:val="EndnoteReference"/>
          <w:lang w:eastAsia="en-NZ"/>
        </w:rPr>
        <w:endnoteReference w:id="160"/>
      </w:r>
    </w:p>
    <w:p w14:paraId="78563058" w14:textId="77777777" w:rsidR="00EA2F88" w:rsidRPr="005C5C45" w:rsidRDefault="00EA2F88" w:rsidP="006B1434">
      <w:pPr>
        <w:pStyle w:val="Heading3"/>
      </w:pPr>
      <w:r w:rsidRPr="005C5C45">
        <w:t>Next Steps</w:t>
      </w:r>
    </w:p>
    <w:p w14:paraId="40DBABE0" w14:textId="1C133069" w:rsidR="001567F0" w:rsidRPr="005C5C45" w:rsidRDefault="00EA2F88" w:rsidP="00A868DF">
      <w:pPr>
        <w:pStyle w:val="Normalrglronly"/>
        <w:sectPr w:rsidR="001567F0" w:rsidRPr="005C5C45" w:rsidSect="0002581F">
          <w:endnotePr>
            <w:numFmt w:val="decimal"/>
            <w:numRestart w:val="eachSect"/>
          </w:endnotePr>
          <w:pgSz w:w="11900" w:h="16840" w:code="9"/>
          <w:pgMar w:top="1440" w:right="1800" w:bottom="1440" w:left="1800" w:header="720" w:footer="720" w:gutter="0"/>
          <w:cols w:space="720"/>
          <w:docGrid w:linePitch="360"/>
        </w:sectPr>
      </w:pPr>
      <w:r w:rsidRPr="005C5C45">
        <w:t>The IRM researcher recommends that this commitment is retained in future action plans until it is ful</w:t>
      </w:r>
      <w:r w:rsidR="00821A69" w:rsidRPr="005C5C45">
        <w:t>ly co</w:t>
      </w:r>
      <w:r w:rsidR="00AB164C" w:rsidRPr="005C5C45">
        <w:t>mpleted. N</w:t>
      </w:r>
      <w:r w:rsidR="00821A69" w:rsidRPr="005C5C45">
        <w:t xml:space="preserve">ew </w:t>
      </w:r>
      <w:r w:rsidR="008162C0" w:rsidRPr="005C5C45">
        <w:t>activities</w:t>
      </w:r>
      <w:r w:rsidR="004F56FE" w:rsidRPr="005C5C45">
        <w:t xml:space="preserve"> for this commitment</w:t>
      </w:r>
      <w:r w:rsidR="008162C0" w:rsidRPr="005C5C45">
        <w:t xml:space="preserve"> will need to be outlined</w:t>
      </w:r>
      <w:r w:rsidR="004F56FE" w:rsidRPr="005C5C45">
        <w:t xml:space="preserve">, </w:t>
      </w:r>
      <w:r w:rsidR="006321F0" w:rsidRPr="005C5C45">
        <w:t>such as</w:t>
      </w:r>
      <w:r w:rsidR="004F56FE" w:rsidRPr="005C5C45">
        <w:t xml:space="preserve"> </w:t>
      </w:r>
      <w:r w:rsidR="00706BF7">
        <w:t>promoting</w:t>
      </w:r>
      <w:r w:rsidR="00706BF7" w:rsidRPr="005C5C45">
        <w:t xml:space="preserve"> </w:t>
      </w:r>
      <w:r w:rsidR="004F56FE" w:rsidRPr="005C5C45">
        <w:t xml:space="preserve">the Legislation Bill </w:t>
      </w:r>
      <w:r w:rsidR="000F01C2" w:rsidRPr="005C5C45">
        <w:t xml:space="preserve">and subsequent legislation </w:t>
      </w:r>
      <w:r w:rsidR="004F56FE" w:rsidRPr="005C5C45">
        <w:t xml:space="preserve">through Parliament, testing new technologies with the drafters of the instruments, and seeking users’ comfort with the new format of the published instruments. The IRM researcher also recommends that the scope of the commitment </w:t>
      </w:r>
      <w:r w:rsidR="00706BF7">
        <w:t>be</w:t>
      </w:r>
      <w:r w:rsidR="00706BF7" w:rsidRPr="005C5C45">
        <w:t xml:space="preserve"> </w:t>
      </w:r>
      <w:r w:rsidR="00AF048E" w:rsidRPr="005C5C45">
        <w:t>extend</w:t>
      </w:r>
      <w:r w:rsidR="004F56FE" w:rsidRPr="005C5C45">
        <w:t xml:space="preserve">ed to cover </w:t>
      </w:r>
      <w:r w:rsidRPr="005C5C45">
        <w:t>local authorities that produce legislation or regulation under the delegated law-making authority of Parliament</w:t>
      </w:r>
      <w:r w:rsidR="004F56FE" w:rsidRPr="005C5C45">
        <w:t xml:space="preserve">. </w:t>
      </w:r>
    </w:p>
    <w:p w14:paraId="465D7828" w14:textId="77777777" w:rsidR="00EA2F88" w:rsidRPr="005C5C45" w:rsidRDefault="00EA2F88" w:rsidP="00CE328A">
      <w:pPr>
        <w:pStyle w:val="Heading2"/>
      </w:pPr>
      <w:bookmarkStart w:id="29" w:name="_Toc377998815"/>
      <w:r w:rsidRPr="005C5C45">
        <w:lastRenderedPageBreak/>
        <w:t>7. Improving policy practices</w:t>
      </w:r>
      <w:bookmarkEnd w:id="29"/>
    </w:p>
    <w:p w14:paraId="0AD770D3" w14:textId="77777777" w:rsidR="00EA2F88" w:rsidRPr="005C5C45" w:rsidRDefault="00EA2F88" w:rsidP="00CE328A">
      <w:pPr>
        <w:rPr>
          <w:b/>
        </w:rPr>
      </w:pPr>
      <w:r w:rsidRPr="005C5C45">
        <w:rPr>
          <w:b/>
        </w:rPr>
        <w:t xml:space="preserve">Commitment Text: </w:t>
      </w:r>
    </w:p>
    <w:p w14:paraId="060FFD69" w14:textId="77777777" w:rsidR="00EA2F88" w:rsidRPr="005C5C45" w:rsidRDefault="00EA2F88" w:rsidP="00CE328A">
      <w:pPr>
        <w:rPr>
          <w:i/>
          <w:color w:val="auto"/>
        </w:rPr>
      </w:pPr>
      <w:r w:rsidRPr="005C5C45">
        <w:rPr>
          <w:i/>
          <w:color w:val="auto"/>
        </w:rPr>
        <w:t>We will improve knowledge of tools and techniques policy makers can use to create more open and user-led policy.</w:t>
      </w:r>
    </w:p>
    <w:p w14:paraId="2E7965CF" w14:textId="77777777" w:rsidR="00EA2F88" w:rsidRPr="005C5C45" w:rsidRDefault="00EA2F88" w:rsidP="00CE328A">
      <w:pPr>
        <w:rPr>
          <w:i/>
          <w:color w:val="auto"/>
        </w:rPr>
      </w:pPr>
    </w:p>
    <w:p w14:paraId="024386AD" w14:textId="77777777" w:rsidR="00EA2F88" w:rsidRPr="005C5C45" w:rsidRDefault="00EA2F88" w:rsidP="00CE328A">
      <w:pPr>
        <w:rPr>
          <w:i/>
        </w:rPr>
      </w:pPr>
      <w:r w:rsidRPr="005C5C45">
        <w:rPr>
          <w:i/>
        </w:rPr>
        <w:t>Objective: To ensure that policy advice to government is better informed by insights from those most affected by government policy and programmes, by input from diverse points of view, and by data and evidence.</w:t>
      </w:r>
    </w:p>
    <w:p w14:paraId="73925178" w14:textId="77777777" w:rsidR="00EA2F88" w:rsidRPr="005C5C45" w:rsidRDefault="00EA2F88" w:rsidP="00CE328A">
      <w:pPr>
        <w:rPr>
          <w:i/>
        </w:rPr>
      </w:pPr>
    </w:p>
    <w:p w14:paraId="4F4C5265" w14:textId="77777777" w:rsidR="00EA2F88" w:rsidRPr="005C5C45" w:rsidRDefault="00EA2F88" w:rsidP="00CE328A">
      <w:pPr>
        <w:rPr>
          <w:i/>
        </w:rPr>
      </w:pPr>
      <w:r w:rsidRPr="005C5C45">
        <w:rPr>
          <w:i/>
        </w:rPr>
        <w:t xml:space="preserve">Status quo: Commitments to consult interest groups have long been part of </w:t>
      </w:r>
      <w:r w:rsidR="003811C4" w:rsidRPr="005C5C45">
        <w:rPr>
          <w:i/>
        </w:rPr>
        <w:t>NZ</w:t>
      </w:r>
      <w:r w:rsidRPr="005C5C45">
        <w:rPr>
          <w:i/>
        </w:rPr>
        <w:t xml:space="preserve"> policy making – for example, it is written into </w:t>
      </w:r>
      <w:r w:rsidR="003811C4" w:rsidRPr="005C5C45">
        <w:rPr>
          <w:i/>
        </w:rPr>
        <w:t>NZ</w:t>
      </w:r>
      <w:r w:rsidRPr="005C5C45">
        <w:rPr>
          <w:i/>
        </w:rPr>
        <w:t xml:space="preserve">’s </w:t>
      </w:r>
      <w:proofErr w:type="spellStart"/>
      <w:r w:rsidRPr="005C5C45">
        <w:rPr>
          <w:i/>
        </w:rPr>
        <w:t>CabGuide</w:t>
      </w:r>
      <w:proofErr w:type="spellEnd"/>
      <w:r w:rsidRPr="005C5C45">
        <w:rPr>
          <w:i/>
        </w:rPr>
        <w:t xml:space="preserve"> (Guide to Cabinet and Cabinet Committee Processes) and regulation analysis practices. We can improve consultation practices, for example, by exploring digital tools and evolving fit-for-purpose participatory decision-making practices. There is also an array of new approaches, to engage directly with ‘customers’, or those that will be affected by government decisions, that can add value to the design of policy and subsequently deliver greater public value.</w:t>
      </w:r>
    </w:p>
    <w:p w14:paraId="3E01C987" w14:textId="77777777" w:rsidR="00EA2F88" w:rsidRPr="005C5C45" w:rsidRDefault="00EA2F88" w:rsidP="00CE328A">
      <w:pPr>
        <w:rPr>
          <w:i/>
        </w:rPr>
      </w:pPr>
    </w:p>
    <w:p w14:paraId="659D1BE7" w14:textId="77777777" w:rsidR="00EA2F88" w:rsidRPr="005C5C45" w:rsidRDefault="00EA2F88" w:rsidP="00CE328A">
      <w:pPr>
        <w:rPr>
          <w:i/>
        </w:rPr>
      </w:pPr>
      <w:r w:rsidRPr="005C5C45">
        <w:rPr>
          <w:i/>
        </w:rPr>
        <w:t>Ambition: We will create accessible, easy-to-digest guidance material on: being an ‘intelligent customer/user’ of data and evidence; methods for gathering and generating insights from others, particularly those directly affected by policy and public services; using collaborative approaches, so that policy is informed by a broad range of input and expertise and meets user needs; testing and improving policy and services with citizens-as-users.</w:t>
      </w:r>
    </w:p>
    <w:p w14:paraId="57446148" w14:textId="77777777" w:rsidR="002761C6" w:rsidRPr="005C5C45" w:rsidRDefault="002761C6" w:rsidP="00CE328A">
      <w:pPr>
        <w:rPr>
          <w:i/>
        </w:rPr>
      </w:pPr>
    </w:p>
    <w:p w14:paraId="7554E45D" w14:textId="77777777" w:rsidR="002761C6" w:rsidRPr="005C5C45" w:rsidRDefault="002761C6" w:rsidP="00CE328A">
      <w:pPr>
        <w:rPr>
          <w:i/>
        </w:rPr>
      </w:pPr>
      <w:r w:rsidRPr="005C5C45">
        <w:rPr>
          <w:i/>
        </w:rPr>
        <w:t>Milestones:</w:t>
      </w:r>
    </w:p>
    <w:p w14:paraId="54C9C27D" w14:textId="77777777" w:rsidR="002761C6" w:rsidRPr="005C5C45" w:rsidRDefault="002761C6" w:rsidP="00730EF7">
      <w:pPr>
        <w:pStyle w:val="APQuotefeaturetol"/>
        <w:numPr>
          <w:ilvl w:val="0"/>
          <w:numId w:val="66"/>
        </w:numPr>
        <w:rPr>
          <w:color w:val="auto"/>
        </w:rPr>
      </w:pPr>
      <w:r w:rsidRPr="005C5C45">
        <w:t>Map evidence and insights ecosystem, existing practice, expertise and guidance sources</w:t>
      </w:r>
    </w:p>
    <w:p w14:paraId="5B37153E" w14:textId="77777777" w:rsidR="002761C6" w:rsidRPr="005C5C45" w:rsidRDefault="002761C6" w:rsidP="00730EF7">
      <w:pPr>
        <w:pStyle w:val="APQuotefeaturetol"/>
        <w:numPr>
          <w:ilvl w:val="0"/>
          <w:numId w:val="66"/>
        </w:numPr>
        <w:rPr>
          <w:color w:val="auto"/>
        </w:rPr>
      </w:pPr>
      <w:r w:rsidRPr="005C5C45">
        <w:t>Test buy-in and support for all-of-government guidance</w:t>
      </w:r>
    </w:p>
    <w:p w14:paraId="6B36D193" w14:textId="77777777" w:rsidR="002761C6" w:rsidRPr="005C5C45" w:rsidRDefault="002761C6" w:rsidP="00730EF7">
      <w:pPr>
        <w:pStyle w:val="APQuotefeaturetol"/>
        <w:numPr>
          <w:ilvl w:val="0"/>
          <w:numId w:val="66"/>
        </w:numPr>
        <w:rPr>
          <w:color w:val="auto"/>
        </w:rPr>
      </w:pPr>
      <w:r w:rsidRPr="005C5C45">
        <w:t>Design prototype and refine the format of the guidance for optimal usability</w:t>
      </w:r>
    </w:p>
    <w:p w14:paraId="3112DD61" w14:textId="77777777" w:rsidR="002761C6" w:rsidRPr="005C5C45" w:rsidRDefault="002761C6" w:rsidP="00730EF7">
      <w:pPr>
        <w:pStyle w:val="APQuotefeaturetol"/>
        <w:numPr>
          <w:ilvl w:val="0"/>
          <w:numId w:val="66"/>
        </w:numPr>
        <w:rPr>
          <w:color w:val="auto"/>
        </w:rPr>
      </w:pPr>
      <w:r w:rsidRPr="005C5C45">
        <w:t>Co-produce contents with, and for, the government policy community</w:t>
      </w:r>
    </w:p>
    <w:p w14:paraId="3BC39826" w14:textId="08842BCA" w:rsidR="002761C6" w:rsidRPr="005C5C45" w:rsidRDefault="002761C6" w:rsidP="00730EF7">
      <w:pPr>
        <w:pStyle w:val="APQuotefeaturetol"/>
        <w:numPr>
          <w:ilvl w:val="0"/>
          <w:numId w:val="66"/>
        </w:numPr>
        <w:rPr>
          <w:color w:val="auto"/>
        </w:rPr>
      </w:pPr>
      <w:r w:rsidRPr="005C5C45">
        <w:t>Launch and commence change management and communications campaign</w:t>
      </w:r>
    </w:p>
    <w:p w14:paraId="59B0AF56" w14:textId="77777777" w:rsidR="00EA2F88" w:rsidRPr="005C5C45" w:rsidRDefault="00EA2F88" w:rsidP="00CE328A"/>
    <w:p w14:paraId="6A4365A9" w14:textId="77777777" w:rsidR="00EA2F88" w:rsidRPr="005C5C45" w:rsidRDefault="00EA2F88" w:rsidP="00CE328A">
      <w:pPr>
        <w:pStyle w:val="Normalrglronly"/>
      </w:pPr>
      <w:r w:rsidRPr="005C5C45">
        <w:rPr>
          <w:b/>
        </w:rPr>
        <w:t>Responsible institution:</w:t>
      </w:r>
      <w:r w:rsidRPr="005C5C45">
        <w:t xml:space="preserve"> </w:t>
      </w:r>
      <w:r w:rsidR="00362C15" w:rsidRPr="005C5C45">
        <w:tab/>
      </w:r>
      <w:r w:rsidRPr="005C5C45">
        <w:t>Department of the Prime Minister and Cabinet</w:t>
      </w:r>
    </w:p>
    <w:p w14:paraId="369FE20E" w14:textId="77777777" w:rsidR="00EA2F88" w:rsidRPr="005C5C45" w:rsidRDefault="00EA2F88" w:rsidP="00CE328A">
      <w:pPr>
        <w:pStyle w:val="Normalrglronly"/>
      </w:pPr>
      <w:r w:rsidRPr="005C5C45">
        <w:rPr>
          <w:b/>
        </w:rPr>
        <w:t>Supporting institution(s</w:t>
      </w:r>
      <w:r w:rsidRPr="00D92756">
        <w:rPr>
          <w:b/>
        </w:rPr>
        <w:t>):</w:t>
      </w:r>
      <w:r w:rsidRPr="005C5C45">
        <w:t xml:space="preserve"> </w:t>
      </w:r>
      <w:r w:rsidR="00362C15" w:rsidRPr="005C5C45">
        <w:tab/>
      </w:r>
      <w:r w:rsidR="00362C15" w:rsidRPr="005C5C45">
        <w:rPr>
          <w:noProof/>
        </w:rPr>
        <w:t>Other policy making departments</w:t>
      </w:r>
    </w:p>
    <w:p w14:paraId="4BFEC751" w14:textId="0B64167C" w:rsidR="00754971" w:rsidRDefault="00EA2F88" w:rsidP="00F92BE1">
      <w:pPr>
        <w:pStyle w:val="Normalrglronly"/>
      </w:pPr>
      <w:r w:rsidRPr="005C5C45">
        <w:rPr>
          <w:b/>
        </w:rPr>
        <w:t xml:space="preserve">Start date: </w:t>
      </w:r>
      <w:r w:rsidRPr="005C5C45">
        <w:t>October 2016</w:t>
      </w:r>
      <w:r w:rsidR="002761C6" w:rsidRPr="005C5C45">
        <w:t xml:space="preserve"> </w:t>
      </w:r>
      <w:r w:rsidR="00754971">
        <w:t xml:space="preserve">     </w:t>
      </w:r>
      <w:r w:rsidRPr="005C5C45">
        <w:tab/>
      </w:r>
      <w:r w:rsidR="00980759">
        <w:t xml:space="preserve">   </w:t>
      </w:r>
    </w:p>
    <w:p w14:paraId="33376E68" w14:textId="0831474B" w:rsidR="00135CF6" w:rsidRPr="005C5C45" w:rsidRDefault="00EA2F88" w:rsidP="00F92BE1">
      <w:pPr>
        <w:pStyle w:val="Normalrglronly"/>
        <w:rPr>
          <w:b/>
          <w:color w:val="81A7D1" w:themeColor="text2" w:themeTint="99"/>
        </w:rPr>
      </w:pPr>
      <w:r w:rsidRPr="005C5C45">
        <w:rPr>
          <w:b/>
        </w:rPr>
        <w:t>End date:</w:t>
      </w:r>
      <w:r w:rsidRPr="005C5C45">
        <w:t xml:space="preserve"> June 2017</w:t>
      </w:r>
    </w:p>
    <w:tbl>
      <w:tblPr>
        <w:tblStyle w:val="TableGrid"/>
        <w:tblW w:w="10458" w:type="dxa"/>
        <w:jc w:val="center"/>
        <w:tblLayout w:type="fixed"/>
        <w:tblLook w:val="04A0" w:firstRow="1" w:lastRow="0" w:firstColumn="1" w:lastColumn="0" w:noHBand="0" w:noVBand="1"/>
      </w:tblPr>
      <w:tblGrid>
        <w:gridCol w:w="1600"/>
        <w:gridCol w:w="445"/>
        <w:gridCol w:w="352"/>
        <w:gridCol w:w="352"/>
        <w:gridCol w:w="444"/>
        <w:gridCol w:w="617"/>
        <w:gridCol w:w="443"/>
        <w:gridCol w:w="707"/>
        <w:gridCol w:w="924"/>
        <w:gridCol w:w="434"/>
        <w:gridCol w:w="481"/>
        <w:gridCol w:w="480"/>
        <w:gridCol w:w="476"/>
        <w:gridCol w:w="903"/>
        <w:gridCol w:w="450"/>
        <w:gridCol w:w="450"/>
        <w:gridCol w:w="450"/>
        <w:gridCol w:w="450"/>
      </w:tblGrid>
      <w:tr w:rsidR="00135CF6" w:rsidRPr="005C5C45" w14:paraId="0DC0E2F6" w14:textId="77777777" w:rsidTr="00F92BE1">
        <w:trPr>
          <w:trHeight w:val="441"/>
          <w:jc w:val="center"/>
        </w:trPr>
        <w:tc>
          <w:tcPr>
            <w:tcW w:w="1600" w:type="dxa"/>
            <w:vMerge w:val="restart"/>
            <w:tcBorders>
              <w:top w:val="single" w:sz="4" w:space="0" w:color="FFFFFF" w:themeColor="background1"/>
              <w:left w:val="single" w:sz="4" w:space="0" w:color="FFFFFF" w:themeColor="background1"/>
              <w:right w:val="single" w:sz="12" w:space="0" w:color="FFFFFF" w:themeColor="background1"/>
            </w:tcBorders>
            <w:shd w:val="clear" w:color="auto" w:fill="000000" w:themeFill="text1"/>
          </w:tcPr>
          <w:p w14:paraId="70936D1C" w14:textId="77777777" w:rsidR="00135CF6" w:rsidRPr="005C5C45" w:rsidRDefault="00135CF6" w:rsidP="00F92BE1">
            <w:pPr>
              <w:rPr>
                <w:color w:val="FFFFFF" w:themeColor="background1"/>
              </w:rPr>
            </w:pPr>
            <w:r w:rsidRPr="005C5C45">
              <w:rPr>
                <w:color w:val="FFFFFF" w:themeColor="background1"/>
              </w:rPr>
              <w:t>Commitment Overview</w:t>
            </w:r>
          </w:p>
        </w:tc>
        <w:tc>
          <w:tcPr>
            <w:tcW w:w="1593"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1A7D1" w:themeFill="text2" w:themeFillTint="99"/>
          </w:tcPr>
          <w:p w14:paraId="62CDC980" w14:textId="77777777" w:rsidR="00135CF6" w:rsidRPr="005C5C45" w:rsidRDefault="00135CF6" w:rsidP="00F92BE1">
            <w:r w:rsidRPr="005C5C45">
              <w:t>Specificity</w:t>
            </w:r>
          </w:p>
        </w:tc>
        <w:tc>
          <w:tcPr>
            <w:tcW w:w="2691"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B67B" w:themeFill="accent1" w:themeFillTint="99"/>
          </w:tcPr>
          <w:p w14:paraId="0BB816EF" w14:textId="77777777" w:rsidR="00135CF6" w:rsidRPr="005C5C45" w:rsidRDefault="00135CF6" w:rsidP="00F92BE1">
            <w:pPr>
              <w:rPr>
                <w:color w:val="000000" w:themeColor="text1"/>
              </w:rPr>
            </w:pPr>
            <w:r w:rsidRPr="005C5C45">
              <w:t>OGP Value Relevance</w:t>
            </w:r>
          </w:p>
        </w:tc>
        <w:tc>
          <w:tcPr>
            <w:tcW w:w="1871" w:type="dxa"/>
            <w:gridSpan w:val="4"/>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0D479" w:themeFill="accent2" w:themeFillTint="99"/>
          </w:tcPr>
          <w:p w14:paraId="305483BA" w14:textId="77777777" w:rsidR="00135CF6" w:rsidRPr="005C5C45" w:rsidRDefault="00135CF6" w:rsidP="00F92BE1">
            <w:r w:rsidRPr="005C5C45">
              <w:t>Potential Impact</w:t>
            </w:r>
          </w:p>
        </w:tc>
        <w:tc>
          <w:tcPr>
            <w:tcW w:w="903"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tcPr>
          <w:p w14:paraId="354E3330" w14:textId="77777777" w:rsidR="00135CF6" w:rsidRPr="005C5C45" w:rsidRDefault="00135CF6" w:rsidP="00F92BE1">
            <w:r w:rsidRPr="005C5C45">
              <w:t>On Time?</w:t>
            </w:r>
          </w:p>
        </w:tc>
        <w:tc>
          <w:tcPr>
            <w:tcW w:w="1800" w:type="dxa"/>
            <w:gridSpan w:val="4"/>
            <w:tcBorders>
              <w:top w:val="single" w:sz="4"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tcPr>
          <w:p w14:paraId="140E9042" w14:textId="77777777" w:rsidR="00135CF6" w:rsidRPr="005C5C45" w:rsidRDefault="00135CF6" w:rsidP="00F92BE1">
            <w:r w:rsidRPr="005C5C45">
              <w:t>Completion</w:t>
            </w:r>
          </w:p>
        </w:tc>
      </w:tr>
      <w:tr w:rsidR="00135CF6" w:rsidRPr="005C5C45" w14:paraId="213C229C" w14:textId="77777777" w:rsidTr="00F92BE1">
        <w:trPr>
          <w:cantSplit/>
          <w:trHeight w:val="1861"/>
          <w:jc w:val="center"/>
        </w:trPr>
        <w:tc>
          <w:tcPr>
            <w:tcW w:w="1600" w:type="dxa"/>
            <w:vMerge/>
            <w:tcBorders>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3BCFA693" w14:textId="77777777" w:rsidR="00135CF6" w:rsidRPr="005C5C45" w:rsidRDefault="00135CF6" w:rsidP="00F92BE1">
            <w:pPr>
              <w:rPr>
                <w:color w:val="FFFFFF" w:themeColor="background1"/>
              </w:rPr>
            </w:pPr>
          </w:p>
        </w:tc>
        <w:tc>
          <w:tcPr>
            <w:tcW w:w="445"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28361984" w14:textId="77777777" w:rsidR="00135CF6" w:rsidRPr="005C5C45" w:rsidRDefault="00135CF6" w:rsidP="00F92BE1">
            <w:r w:rsidRPr="005C5C45">
              <w:t>None</w:t>
            </w: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3E7D94B3" w14:textId="77777777" w:rsidR="00135CF6" w:rsidRPr="005C5C45" w:rsidRDefault="00135CF6" w:rsidP="00F92BE1">
            <w:r w:rsidRPr="005C5C45">
              <w:t>Low</w:t>
            </w: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textDirection w:val="btLr"/>
          </w:tcPr>
          <w:p w14:paraId="72BE7642" w14:textId="77777777" w:rsidR="00135CF6" w:rsidRPr="005C5C45" w:rsidRDefault="00135CF6" w:rsidP="00F92BE1">
            <w:r w:rsidRPr="005C5C45">
              <w:t>Medium</w:t>
            </w:r>
          </w:p>
        </w:tc>
        <w:tc>
          <w:tcPr>
            <w:tcW w:w="44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81A7D1" w:themeFill="text2" w:themeFillTint="99"/>
            <w:textDirection w:val="btLr"/>
          </w:tcPr>
          <w:p w14:paraId="0FCBBD03" w14:textId="77777777" w:rsidR="00135CF6" w:rsidRPr="005C5C45" w:rsidRDefault="00135CF6" w:rsidP="00F92BE1">
            <w:r w:rsidRPr="005C5C45">
              <w:t>High</w:t>
            </w:r>
          </w:p>
        </w:tc>
        <w:tc>
          <w:tcPr>
            <w:tcW w:w="617"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161ED976" w14:textId="77777777" w:rsidR="00135CF6" w:rsidRPr="005C5C45" w:rsidRDefault="00135CF6" w:rsidP="00F92BE1">
            <w:r w:rsidRPr="005C5C45">
              <w:t>Access to Information</w:t>
            </w:r>
          </w:p>
        </w:tc>
        <w:tc>
          <w:tcPr>
            <w:tcW w:w="443"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38892E47" w14:textId="77777777" w:rsidR="00135CF6" w:rsidRPr="005C5C45" w:rsidRDefault="00135CF6" w:rsidP="00F92BE1">
            <w:r w:rsidRPr="005C5C45">
              <w:t>Civic Participation</w:t>
            </w:r>
          </w:p>
        </w:tc>
        <w:tc>
          <w:tcPr>
            <w:tcW w:w="707"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textDirection w:val="btLr"/>
          </w:tcPr>
          <w:p w14:paraId="01C12C4B" w14:textId="77777777" w:rsidR="00135CF6" w:rsidRPr="005C5C45" w:rsidRDefault="00135CF6" w:rsidP="00F92BE1">
            <w:r w:rsidRPr="005C5C45">
              <w:t>Public Accountability</w:t>
            </w:r>
          </w:p>
        </w:tc>
        <w:tc>
          <w:tcPr>
            <w:tcW w:w="92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0B67B" w:themeFill="accent1" w:themeFillTint="99"/>
            <w:textDirection w:val="btLr"/>
          </w:tcPr>
          <w:p w14:paraId="6ACCEC32" w14:textId="77777777" w:rsidR="00135CF6" w:rsidRPr="005C5C45" w:rsidRDefault="00135CF6" w:rsidP="00F92BE1">
            <w:r w:rsidRPr="005C5C45">
              <w:t xml:space="preserve">Tech. and </w:t>
            </w:r>
            <w:proofErr w:type="spellStart"/>
            <w:r w:rsidRPr="005C5C45">
              <w:t>Innov</w:t>
            </w:r>
            <w:proofErr w:type="spellEnd"/>
            <w:r w:rsidRPr="005C5C45">
              <w:t xml:space="preserve">. </w:t>
            </w:r>
            <w:proofErr w:type="gramStart"/>
            <w:r w:rsidRPr="005C5C45">
              <w:t>for</w:t>
            </w:r>
            <w:proofErr w:type="gramEnd"/>
            <w:r w:rsidRPr="005C5C45">
              <w:t xml:space="preserve"> Transparency and Accountability</w:t>
            </w:r>
          </w:p>
        </w:tc>
        <w:tc>
          <w:tcPr>
            <w:tcW w:w="434"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528E27C9" w14:textId="77777777" w:rsidR="00135CF6" w:rsidRPr="005C5C45" w:rsidRDefault="00135CF6" w:rsidP="00F92BE1">
            <w:r w:rsidRPr="005C5C45">
              <w:t>None</w:t>
            </w:r>
          </w:p>
        </w:tc>
        <w:tc>
          <w:tcPr>
            <w:tcW w:w="481"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329930E6" w14:textId="77777777" w:rsidR="00135CF6" w:rsidRPr="005C5C45" w:rsidRDefault="00135CF6" w:rsidP="00F92BE1">
            <w:r w:rsidRPr="005C5C45">
              <w:t>Minor</w:t>
            </w:r>
          </w:p>
        </w:tc>
        <w:tc>
          <w:tcPr>
            <w:tcW w:w="48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textDirection w:val="btLr"/>
          </w:tcPr>
          <w:p w14:paraId="39F5AA17" w14:textId="77777777" w:rsidR="00135CF6" w:rsidRPr="005C5C45" w:rsidRDefault="00135CF6" w:rsidP="00F92BE1">
            <w:r w:rsidRPr="005C5C45">
              <w:t>Moderate</w:t>
            </w:r>
          </w:p>
        </w:tc>
        <w:tc>
          <w:tcPr>
            <w:tcW w:w="47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90D479" w:themeFill="accent2" w:themeFillTint="99"/>
            <w:textDirection w:val="btLr"/>
          </w:tcPr>
          <w:p w14:paraId="208B1996" w14:textId="77777777" w:rsidR="00135CF6" w:rsidRPr="005C5C45" w:rsidRDefault="00135CF6" w:rsidP="00F92BE1">
            <w:r w:rsidRPr="005C5C45">
              <w:t>Transformative</w:t>
            </w:r>
          </w:p>
        </w:tc>
        <w:tc>
          <w:tcPr>
            <w:tcW w:w="9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textDirection w:val="btLr"/>
          </w:tcPr>
          <w:p w14:paraId="1361522E" w14:textId="77777777" w:rsidR="00135CF6" w:rsidRPr="005C5C45" w:rsidRDefault="00135CF6" w:rsidP="00F92BE1"/>
        </w:tc>
        <w:tc>
          <w:tcPr>
            <w:tcW w:w="450"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179A7B84" w14:textId="77777777" w:rsidR="00135CF6" w:rsidRPr="005C5C45" w:rsidRDefault="00135CF6" w:rsidP="00F92BE1">
            <w:r w:rsidRPr="005C5C45">
              <w:t>Not Started</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1C813166" w14:textId="77777777" w:rsidR="00135CF6" w:rsidRPr="005C5C45" w:rsidRDefault="00135CF6" w:rsidP="00F92BE1">
            <w:r w:rsidRPr="005C5C45">
              <w:t>Limited</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2350E39C" w14:textId="77777777" w:rsidR="00135CF6" w:rsidRPr="005C5C45" w:rsidRDefault="00135CF6" w:rsidP="00F92BE1">
            <w:r w:rsidRPr="005C5C45">
              <w:t>Substantial</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textDirection w:val="btLr"/>
          </w:tcPr>
          <w:p w14:paraId="71388B12" w14:textId="77777777" w:rsidR="00135CF6" w:rsidRPr="005C5C45" w:rsidRDefault="00135CF6" w:rsidP="00F92BE1">
            <w:r w:rsidRPr="005C5C45">
              <w:t>Complete</w:t>
            </w:r>
          </w:p>
        </w:tc>
      </w:tr>
      <w:tr w:rsidR="00135CF6" w:rsidRPr="005C5C45" w14:paraId="6B0B876A" w14:textId="77777777" w:rsidTr="00F92BE1">
        <w:trPr>
          <w:trHeight w:val="652"/>
          <w:jc w:val="center"/>
        </w:trPr>
        <w:tc>
          <w:tcPr>
            <w:tcW w:w="1600"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00000" w:themeFill="text1"/>
          </w:tcPr>
          <w:p w14:paraId="1B0871E6" w14:textId="77777777" w:rsidR="00135CF6" w:rsidRPr="005C5C45" w:rsidRDefault="00135CF6" w:rsidP="00F92BE1">
            <w:pPr>
              <w:rPr>
                <w:color w:val="FFFFFF" w:themeColor="background1"/>
              </w:rPr>
            </w:pPr>
            <w:r w:rsidRPr="005C5C45">
              <w:rPr>
                <w:color w:val="FFFFFF" w:themeColor="background1"/>
              </w:rPr>
              <w:t>7. Improving Policy Practices</w:t>
            </w:r>
          </w:p>
        </w:tc>
        <w:tc>
          <w:tcPr>
            <w:tcW w:w="445"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2E063303" w14:textId="77777777" w:rsidR="00135CF6" w:rsidRPr="005C5C45" w:rsidRDefault="00135CF6" w:rsidP="00F92BE1">
            <w:pPr>
              <w:jc w:val="center"/>
              <w:rPr>
                <w:sz w:val="20"/>
              </w:rPr>
            </w:pP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3EDFC53E" w14:textId="77777777" w:rsidR="00135CF6" w:rsidRPr="005C5C45" w:rsidRDefault="00135CF6" w:rsidP="00F92BE1">
            <w:pPr>
              <w:jc w:val="center"/>
              <w:rPr>
                <w:sz w:val="20"/>
              </w:rPr>
            </w:pPr>
          </w:p>
        </w:tc>
        <w:tc>
          <w:tcPr>
            <w:tcW w:w="352"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81A7D1" w:themeFill="text2" w:themeFillTint="99"/>
            <w:vAlign w:val="center"/>
          </w:tcPr>
          <w:p w14:paraId="299EBC7B" w14:textId="77777777" w:rsidR="00135CF6" w:rsidRPr="005C5C45" w:rsidRDefault="00135CF6" w:rsidP="00F92BE1">
            <w:pPr>
              <w:jc w:val="center"/>
              <w:rPr>
                <w:sz w:val="20"/>
              </w:rPr>
            </w:pPr>
          </w:p>
        </w:tc>
        <w:tc>
          <w:tcPr>
            <w:tcW w:w="44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81A7D1" w:themeFill="text2" w:themeFillTint="99"/>
            <w:vAlign w:val="center"/>
          </w:tcPr>
          <w:p w14:paraId="49B1962C" w14:textId="77777777" w:rsidR="00135CF6" w:rsidRPr="005C5C45" w:rsidRDefault="00135CF6" w:rsidP="00F92BE1">
            <w:pPr>
              <w:jc w:val="center"/>
              <w:rPr>
                <w:rFonts w:ascii="Zapf Dingbats" w:hAnsi="Zapf Dingbats"/>
                <w:noProof/>
                <w:sz w:val="20"/>
              </w:rPr>
            </w:pPr>
            <w:r w:rsidRPr="005C5C45">
              <w:rPr>
                <w:rFonts w:ascii="Zapf Dingbats" w:hAnsi="Zapf Dingbats"/>
                <w:noProof/>
                <w:sz w:val="20"/>
              </w:rPr>
              <w:t>✔</w:t>
            </w:r>
          </w:p>
        </w:tc>
        <w:tc>
          <w:tcPr>
            <w:tcW w:w="617"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3CDAE782" w14:textId="77777777" w:rsidR="00135CF6" w:rsidRPr="005C5C45" w:rsidRDefault="00135CF6" w:rsidP="00F92BE1">
            <w:pPr>
              <w:jc w:val="center"/>
              <w:rPr>
                <w:rFonts w:ascii="Zapf Dingbats" w:hAnsi="Zapf Dingbats"/>
                <w:noProof/>
                <w:sz w:val="20"/>
              </w:rPr>
            </w:pPr>
          </w:p>
        </w:tc>
        <w:tc>
          <w:tcPr>
            <w:tcW w:w="443"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34F031AE" w14:textId="77777777" w:rsidR="00135CF6" w:rsidRPr="005C5C45" w:rsidRDefault="00135CF6" w:rsidP="00F92BE1">
            <w:pPr>
              <w:jc w:val="center"/>
              <w:rPr>
                <w:sz w:val="20"/>
                <w:highlight w:val="yellow"/>
              </w:rPr>
            </w:pPr>
            <w:r w:rsidRPr="005C5C45">
              <w:rPr>
                <w:rFonts w:ascii="Zapf Dingbats" w:hAnsi="Zapf Dingbats"/>
                <w:noProof/>
                <w:sz w:val="20"/>
              </w:rPr>
              <w:t>✔</w:t>
            </w:r>
          </w:p>
        </w:tc>
        <w:tc>
          <w:tcPr>
            <w:tcW w:w="707"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F0B67B" w:themeFill="accent1" w:themeFillTint="99"/>
            <w:vAlign w:val="center"/>
          </w:tcPr>
          <w:p w14:paraId="7DAEB6AD" w14:textId="77777777" w:rsidR="00135CF6" w:rsidRPr="005C5C45" w:rsidRDefault="00135CF6" w:rsidP="00F92BE1">
            <w:pPr>
              <w:jc w:val="center"/>
              <w:rPr>
                <w:sz w:val="20"/>
              </w:rPr>
            </w:pPr>
          </w:p>
        </w:tc>
        <w:tc>
          <w:tcPr>
            <w:tcW w:w="924"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0B67B" w:themeFill="accent1" w:themeFillTint="99"/>
            <w:vAlign w:val="center"/>
          </w:tcPr>
          <w:p w14:paraId="32A2FC37" w14:textId="77777777" w:rsidR="00135CF6" w:rsidRPr="005C5C45" w:rsidRDefault="00135CF6" w:rsidP="00F92BE1">
            <w:pPr>
              <w:jc w:val="center"/>
              <w:rPr>
                <w:sz w:val="20"/>
              </w:rPr>
            </w:pPr>
          </w:p>
        </w:tc>
        <w:tc>
          <w:tcPr>
            <w:tcW w:w="434"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31B29D14" w14:textId="77777777" w:rsidR="00135CF6" w:rsidRPr="005C5C45" w:rsidRDefault="00135CF6" w:rsidP="00F92BE1">
            <w:pPr>
              <w:jc w:val="center"/>
              <w:rPr>
                <w:sz w:val="20"/>
              </w:rPr>
            </w:pPr>
          </w:p>
        </w:tc>
        <w:tc>
          <w:tcPr>
            <w:tcW w:w="481"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2C40CC9A" w14:textId="77777777" w:rsidR="00135CF6" w:rsidRPr="005C5C45" w:rsidRDefault="00135CF6" w:rsidP="00F92BE1">
            <w:pPr>
              <w:jc w:val="center"/>
              <w:rPr>
                <w:rFonts w:ascii="Zapf Dingbats" w:hAnsi="Zapf Dingbats"/>
                <w:noProof/>
                <w:sz w:val="20"/>
              </w:rPr>
            </w:pPr>
            <w:r w:rsidRPr="005C5C45">
              <w:rPr>
                <w:rFonts w:ascii="Zapf Dingbats" w:hAnsi="Zapf Dingbats"/>
                <w:noProof/>
                <w:sz w:val="20"/>
              </w:rPr>
              <w:t>✔</w:t>
            </w:r>
          </w:p>
        </w:tc>
        <w:tc>
          <w:tcPr>
            <w:tcW w:w="48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90D479" w:themeFill="accent2" w:themeFillTint="99"/>
            <w:vAlign w:val="center"/>
          </w:tcPr>
          <w:p w14:paraId="4CF5FC99" w14:textId="77777777" w:rsidR="00135CF6" w:rsidRPr="005C5C45" w:rsidRDefault="00135CF6" w:rsidP="00F92BE1">
            <w:pPr>
              <w:jc w:val="center"/>
              <w:rPr>
                <w:sz w:val="20"/>
              </w:rPr>
            </w:pPr>
          </w:p>
        </w:tc>
        <w:tc>
          <w:tcPr>
            <w:tcW w:w="47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90D479" w:themeFill="accent2" w:themeFillTint="99"/>
            <w:vAlign w:val="center"/>
          </w:tcPr>
          <w:p w14:paraId="13E84C75" w14:textId="77777777" w:rsidR="00135CF6" w:rsidRPr="005C5C45" w:rsidRDefault="00135CF6" w:rsidP="00F92BE1">
            <w:pPr>
              <w:jc w:val="center"/>
              <w:rPr>
                <w:sz w:val="20"/>
              </w:rPr>
            </w:pPr>
          </w:p>
        </w:tc>
        <w:tc>
          <w:tcPr>
            <w:tcW w:w="9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4BACC6" w:themeFill="accent5"/>
            <w:vAlign w:val="center"/>
          </w:tcPr>
          <w:p w14:paraId="46D450D7" w14:textId="3E35C1F4" w:rsidR="00135CF6" w:rsidRPr="00754971" w:rsidRDefault="00754971" w:rsidP="00F92BE1">
            <w:pPr>
              <w:jc w:val="center"/>
              <w:rPr>
                <w:szCs w:val="22"/>
              </w:rPr>
            </w:pPr>
            <w:r w:rsidRPr="00754971">
              <w:rPr>
                <w:noProof/>
                <w:szCs w:val="22"/>
              </w:rPr>
              <w:t>Yes</w:t>
            </w:r>
          </w:p>
        </w:tc>
        <w:tc>
          <w:tcPr>
            <w:tcW w:w="450" w:type="dxa"/>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5A2E19DA" w14:textId="77777777" w:rsidR="00135CF6" w:rsidRPr="005C5C45" w:rsidRDefault="00135CF6" w:rsidP="00F92BE1">
            <w:pPr>
              <w:jc w:val="center"/>
              <w:rPr>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35A2A08E" w14:textId="77777777" w:rsidR="00135CF6" w:rsidRPr="005C5C45" w:rsidRDefault="00135CF6" w:rsidP="00F92BE1">
            <w:pPr>
              <w:jc w:val="center"/>
              <w:rPr>
                <w:color w:val="BFBFBF" w:themeColor="background1" w:themeShade="BF"/>
                <w:sz w:val="20"/>
              </w:rPr>
            </w:pP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3AF631B1" w14:textId="77777777" w:rsidR="00135CF6" w:rsidRPr="005C5C45" w:rsidRDefault="00135CF6" w:rsidP="00F92BE1">
            <w:pPr>
              <w:jc w:val="center"/>
              <w:rPr>
                <w:sz w:val="20"/>
              </w:rPr>
            </w:pPr>
            <w:r w:rsidRPr="005C5C45">
              <w:rPr>
                <w:rFonts w:ascii="Zapf Dingbats" w:hAnsi="Zapf Dingbats"/>
                <w:noProof/>
                <w:sz w:val="20"/>
              </w:rPr>
              <w:t>✔</w:t>
            </w:r>
          </w:p>
        </w:tc>
        <w:tc>
          <w:tcPr>
            <w:tcW w:w="450" w:type="dxa"/>
            <w:tcBorders>
              <w:top w:val="single" w:sz="12" w:space="0" w:color="FFFFFF" w:themeColor="background1"/>
              <w:left w:val="single" w:sz="4" w:space="0" w:color="FFFFFF" w:themeColor="background1"/>
              <w:bottom w:val="single" w:sz="12" w:space="0" w:color="FFFFFF" w:themeColor="background1"/>
              <w:right w:val="single" w:sz="4" w:space="0" w:color="FFFFFF" w:themeColor="background1"/>
            </w:tcBorders>
            <w:shd w:val="clear" w:color="auto" w:fill="C0CABF" w:themeFill="accent4" w:themeFillTint="99"/>
            <w:vAlign w:val="center"/>
          </w:tcPr>
          <w:p w14:paraId="11DD1F6E" w14:textId="77777777" w:rsidR="00135CF6" w:rsidRPr="005C5C45" w:rsidRDefault="00135CF6" w:rsidP="00F92BE1">
            <w:pPr>
              <w:jc w:val="center"/>
              <w:rPr>
                <w:rFonts w:ascii="Zapf Dingbats" w:hAnsi="Zapf Dingbats"/>
                <w:noProof/>
                <w:sz w:val="20"/>
              </w:rPr>
            </w:pPr>
          </w:p>
        </w:tc>
      </w:tr>
    </w:tbl>
    <w:p w14:paraId="3456E026" w14:textId="77777777" w:rsidR="00EA2F88" w:rsidRPr="005C5C45" w:rsidRDefault="00EA2F88" w:rsidP="00D17B72">
      <w:pPr>
        <w:pStyle w:val="Heading3"/>
      </w:pPr>
      <w:r w:rsidRPr="005C5C45">
        <w:t xml:space="preserve">Context and Objectives </w:t>
      </w:r>
    </w:p>
    <w:p w14:paraId="03E1E85A" w14:textId="196151A7" w:rsidR="003024C7" w:rsidRPr="005C5C45" w:rsidRDefault="00EA2F88" w:rsidP="00F92BE1">
      <w:pPr>
        <w:pStyle w:val="Normalrglronly"/>
      </w:pPr>
      <w:r w:rsidRPr="005C5C45">
        <w:t>The Chief Executive</w:t>
      </w:r>
      <w:r w:rsidR="0079381B" w:rsidRPr="005C5C45">
        <w:t xml:space="preserve"> of the</w:t>
      </w:r>
      <w:r w:rsidRPr="005C5C45">
        <w:t xml:space="preserve"> Department of Prime Minister and Cabinet</w:t>
      </w:r>
      <w:r w:rsidR="008316E6" w:rsidRPr="005C5C45">
        <w:t xml:space="preserve"> (DPMC)</w:t>
      </w:r>
      <w:r w:rsidRPr="005C5C45">
        <w:t xml:space="preserve"> </w:t>
      </w:r>
      <w:r w:rsidR="0079381B" w:rsidRPr="005C5C45">
        <w:t>is New Zealand’s Head of Policy Profession. This role is responsible for improving the policy system</w:t>
      </w:r>
      <w:r w:rsidR="00D21B6E" w:rsidRPr="005C5C45">
        <w:t>,</w:t>
      </w:r>
      <w:r w:rsidR="0079381B" w:rsidRPr="005C5C45">
        <w:t xml:space="preserve"> </w:t>
      </w:r>
      <w:r w:rsidR="006D3FC8" w:rsidRPr="005C5C45">
        <w:lastRenderedPageBreak/>
        <w:t>i.e.</w:t>
      </w:r>
      <w:r w:rsidR="0079381B" w:rsidRPr="005C5C45">
        <w:t>,</w:t>
      </w:r>
      <w:r w:rsidR="006D3FC8" w:rsidRPr="005C5C45">
        <w:t xml:space="preserve"> </w:t>
      </w:r>
      <w:r w:rsidR="0079381B" w:rsidRPr="005C5C45">
        <w:t xml:space="preserve">capabilities, systems, </w:t>
      </w:r>
      <w:r w:rsidR="001A2865" w:rsidRPr="005C5C45">
        <w:t>and methods</w:t>
      </w:r>
      <w:r w:rsidRPr="005C5C45">
        <w:t xml:space="preserve">. He leads the Policy </w:t>
      </w:r>
      <w:proofErr w:type="gramStart"/>
      <w:r w:rsidRPr="005C5C45">
        <w:t>Project which</w:t>
      </w:r>
      <w:proofErr w:type="gramEnd"/>
      <w:r w:rsidRPr="005C5C45">
        <w:t xml:space="preserve"> was established in 2014 to improve the quality of policy advice across government</w:t>
      </w:r>
      <w:r w:rsidR="005D275C" w:rsidRPr="005C5C45">
        <w:t>,</w:t>
      </w:r>
      <w:r w:rsidR="00E213E8" w:rsidRPr="005C5C45">
        <w:t xml:space="preserve"> and focuses on building a high performing policy system that supports and enables good government decision making. </w:t>
      </w:r>
      <w:r w:rsidR="0017231F" w:rsidRPr="005C5C45">
        <w:t>There are active professional programmes for policy leaders, policy managers and policy practitioners.</w:t>
      </w:r>
      <w:r w:rsidR="0017231F" w:rsidRPr="005C5C45">
        <w:rPr>
          <w:rStyle w:val="EndnoteReference"/>
          <w:bCs w:val="0"/>
        </w:rPr>
        <w:endnoteReference w:id="161"/>
      </w:r>
      <w:r w:rsidR="0017231F" w:rsidRPr="005C5C45">
        <w:t xml:space="preserve"> </w:t>
      </w:r>
      <w:r w:rsidR="006D3FC8" w:rsidRPr="005C5C45">
        <w:t>Three policy frameworks covering policy capability, policy quality and policy skills have been co-designed with government policy communities.</w:t>
      </w:r>
      <w:r w:rsidR="006D3FC8" w:rsidRPr="005C5C45">
        <w:rPr>
          <w:rStyle w:val="EndnoteReference"/>
          <w:bCs w:val="0"/>
        </w:rPr>
        <w:endnoteReference w:id="162"/>
      </w:r>
      <w:r w:rsidR="006D3FC8" w:rsidRPr="005C5C45">
        <w:t xml:space="preserve"> Although the policy capability framework has </w:t>
      </w:r>
      <w:proofErr w:type="gramStart"/>
      <w:r w:rsidR="00E43635" w:rsidRPr="005C5C45">
        <w:t xml:space="preserve">an </w:t>
      </w:r>
      <w:r w:rsidR="00415346">
        <w:t>‘</w:t>
      </w:r>
      <w:r w:rsidR="00E43635" w:rsidRPr="005C5C45">
        <w:t>engagement</w:t>
      </w:r>
      <w:proofErr w:type="gramEnd"/>
      <w:r w:rsidR="00E43635" w:rsidRPr="005C5C45">
        <w:t xml:space="preserve"> customer-centric</w:t>
      </w:r>
      <w:r w:rsidR="00415346">
        <w:t>’</w:t>
      </w:r>
      <w:r w:rsidR="006D3FC8" w:rsidRPr="005C5C45">
        <w:t xml:space="preserve"> focus</w:t>
      </w:r>
      <w:r w:rsidR="003C4156">
        <w:t>,</w:t>
      </w:r>
      <w:r w:rsidR="00F8262D" w:rsidRPr="005C5C45">
        <w:rPr>
          <w:rStyle w:val="EndnoteReference"/>
          <w:bCs w:val="0"/>
        </w:rPr>
        <w:endnoteReference w:id="163"/>
      </w:r>
      <w:r w:rsidR="006D3FC8" w:rsidRPr="005C5C45">
        <w:t xml:space="preserve"> the framewor</w:t>
      </w:r>
      <w:r w:rsidR="0017231F" w:rsidRPr="005C5C45">
        <w:t>k for</w:t>
      </w:r>
      <w:r w:rsidR="00F8262D" w:rsidRPr="005C5C45">
        <w:t xml:space="preserve"> creating user-led policy</w:t>
      </w:r>
      <w:r w:rsidR="001A2865" w:rsidRPr="005C5C45">
        <w:t xml:space="preserve"> is mostly covered outside their Frameworks by the Policy Methods Toolbox</w:t>
      </w:r>
      <w:r w:rsidR="0017231F" w:rsidRPr="005C5C45">
        <w:t>.</w:t>
      </w:r>
    </w:p>
    <w:p w14:paraId="4D90F4E7" w14:textId="49AF3B99" w:rsidR="00EA2F88" w:rsidRPr="005C5C45" w:rsidRDefault="00CE6DCE" w:rsidP="00F92BE1">
      <w:pPr>
        <w:pStyle w:val="Normalrglronly"/>
        <w:rPr>
          <w:shd w:val="clear" w:color="auto" w:fill="FFFFFF"/>
        </w:rPr>
      </w:pPr>
      <w:r w:rsidRPr="005C5C45">
        <w:t>This commitment</w:t>
      </w:r>
      <w:r w:rsidR="00006B04" w:rsidRPr="005C5C45">
        <w:t xml:space="preserve">, </w:t>
      </w:r>
      <w:r w:rsidR="00650F9B" w:rsidRPr="005C5C45">
        <w:t xml:space="preserve">a </w:t>
      </w:r>
      <w:r w:rsidR="004561E2" w:rsidRPr="005C5C45">
        <w:t>sub-project</w:t>
      </w:r>
      <w:r w:rsidR="00EA2F88" w:rsidRPr="005C5C45">
        <w:t xml:space="preserve"> </w:t>
      </w:r>
      <w:r w:rsidRPr="005C5C45">
        <w:t>of the Policy Project</w:t>
      </w:r>
      <w:r w:rsidR="0079381B" w:rsidRPr="005C5C45">
        <w:t xml:space="preserve">, </w:t>
      </w:r>
      <w:r w:rsidR="00006B04" w:rsidRPr="005C5C45">
        <w:t xml:space="preserve">states that it will </w:t>
      </w:r>
      <w:r w:rsidR="00C82074" w:rsidRPr="005C5C45">
        <w:t>improve</w:t>
      </w:r>
      <w:r w:rsidR="00D5262B" w:rsidRPr="005C5C45">
        <w:t xml:space="preserve"> knowledge of tools and techniques </w:t>
      </w:r>
      <w:r w:rsidR="00006B04" w:rsidRPr="005C5C45">
        <w:t>policymakers</w:t>
      </w:r>
      <w:r w:rsidR="00D5262B" w:rsidRPr="005C5C45">
        <w:t xml:space="preserve"> can use to create more open and user-led policy</w:t>
      </w:r>
      <w:r w:rsidR="00006B04" w:rsidRPr="005C5C45">
        <w:t xml:space="preserve">. </w:t>
      </w:r>
      <w:r w:rsidR="002F327D" w:rsidRPr="005C5C45">
        <w:t>The intent is to build</w:t>
      </w:r>
      <w:r w:rsidR="0001419A" w:rsidRPr="005C5C45">
        <w:t xml:space="preserve"> on existing consultation commitments</w:t>
      </w:r>
      <w:r w:rsidR="002F327D" w:rsidRPr="005C5C45">
        <w:t xml:space="preserve"> set out</w:t>
      </w:r>
      <w:r w:rsidR="0001419A" w:rsidRPr="005C5C45">
        <w:t xml:space="preserve">, for example, in the </w:t>
      </w:r>
      <w:proofErr w:type="spellStart"/>
      <w:r w:rsidR="00006B04" w:rsidRPr="005C5C45">
        <w:rPr>
          <w:i/>
        </w:rPr>
        <w:t>CabGuide</w:t>
      </w:r>
      <w:proofErr w:type="spellEnd"/>
      <w:r w:rsidR="00006B04" w:rsidRPr="005C5C45">
        <w:rPr>
          <w:i/>
        </w:rPr>
        <w:t>:</w:t>
      </w:r>
      <w:r w:rsidR="00006B04" w:rsidRPr="005C5C45">
        <w:t xml:space="preserve"> </w:t>
      </w:r>
      <w:r w:rsidR="0001419A" w:rsidRPr="005C5C45">
        <w:rPr>
          <w:i/>
        </w:rPr>
        <w:t>Guide to Cabinet and Cabinet Committee Processes</w:t>
      </w:r>
      <w:r w:rsidR="009B6F46">
        <w:rPr>
          <w:i/>
        </w:rPr>
        <w:t>,</w:t>
      </w:r>
      <w:r w:rsidR="00B20B7E" w:rsidRPr="005C5C45">
        <w:rPr>
          <w:rStyle w:val="EndnoteReference"/>
          <w:bCs w:val="0"/>
          <w:i/>
        </w:rPr>
        <w:endnoteReference w:id="164"/>
      </w:r>
      <w:r w:rsidR="0001419A" w:rsidRPr="005C5C45">
        <w:t xml:space="preserve"> and regulation analysis practices.</w:t>
      </w:r>
      <w:r w:rsidR="005D275C" w:rsidRPr="005C5C45">
        <w:t xml:space="preserve"> These</w:t>
      </w:r>
      <w:r w:rsidR="006D3FC8" w:rsidRPr="005C5C45">
        <w:t xml:space="preserve"> existing</w:t>
      </w:r>
      <w:r w:rsidR="005D275C" w:rsidRPr="005C5C45">
        <w:t xml:space="preserve"> commitments relate primarily to </w:t>
      </w:r>
      <w:r w:rsidR="006D3FC8" w:rsidRPr="005C5C45">
        <w:t xml:space="preserve">the </w:t>
      </w:r>
      <w:r w:rsidR="005D275C" w:rsidRPr="005C5C45">
        <w:t xml:space="preserve">consultation </w:t>
      </w:r>
      <w:r w:rsidR="006D3FC8" w:rsidRPr="005C5C45">
        <w:t xml:space="preserve">required </w:t>
      </w:r>
      <w:r w:rsidR="005D275C" w:rsidRPr="005C5C45">
        <w:t>for Cabinet Papers.</w:t>
      </w:r>
      <w:r w:rsidR="005D275C" w:rsidRPr="005C5C45">
        <w:rPr>
          <w:rStyle w:val="EndnoteReference"/>
          <w:bCs w:val="0"/>
        </w:rPr>
        <w:endnoteReference w:id="165"/>
      </w:r>
      <w:r w:rsidR="000E1188" w:rsidRPr="005C5C45">
        <w:t xml:space="preserve"> This commitment is relevant to civic participation. By creating easily accessible and understandable guidance material, the commitment will address the broader operating space that enables participation in civic space and educate policymakers in creating user-led policy. </w:t>
      </w:r>
      <w:r w:rsidR="000E1188" w:rsidRPr="005C5C45">
        <w:rPr>
          <w:shd w:val="clear" w:color="auto" w:fill="FFFFFF"/>
        </w:rPr>
        <w:t xml:space="preserve">It </w:t>
      </w:r>
      <w:r w:rsidR="001A2865" w:rsidRPr="005C5C45">
        <w:rPr>
          <w:shd w:val="clear" w:color="auto" w:fill="FFFFFF"/>
        </w:rPr>
        <w:t xml:space="preserve">is not intended to </w:t>
      </w:r>
      <w:r w:rsidR="000E1188" w:rsidRPr="005C5C45">
        <w:rPr>
          <w:shd w:val="clear" w:color="auto" w:fill="FFFFFF"/>
        </w:rPr>
        <w:t xml:space="preserve">contain any public-facing element of disclosure of information, or </w:t>
      </w:r>
      <w:r w:rsidR="001A2865" w:rsidRPr="005C5C45">
        <w:rPr>
          <w:shd w:val="clear" w:color="auto" w:fill="FFFFFF"/>
        </w:rPr>
        <w:t xml:space="preserve">to </w:t>
      </w:r>
      <w:r w:rsidR="000E1188" w:rsidRPr="005C5C45">
        <w:rPr>
          <w:shd w:val="clear" w:color="auto" w:fill="FFFFFF"/>
        </w:rPr>
        <w:t xml:space="preserve">hold government officials publicly accountable. </w:t>
      </w:r>
      <w:r w:rsidR="00EA2F88" w:rsidRPr="005C5C45">
        <w:t xml:space="preserve">The commitment’s ambition is to create accessible, easy-to-digest guidance material </w:t>
      </w:r>
      <w:r w:rsidR="00650F9B" w:rsidRPr="005C5C45">
        <w:t xml:space="preserve">for internal </w:t>
      </w:r>
      <w:r w:rsidR="00D5262B" w:rsidRPr="005C5C45">
        <w:t xml:space="preserve">government </w:t>
      </w:r>
      <w:r w:rsidR="00650F9B" w:rsidRPr="005C5C45">
        <w:t xml:space="preserve">policymakers </w:t>
      </w:r>
      <w:r w:rsidR="00D5262B" w:rsidRPr="005C5C45">
        <w:t>on</w:t>
      </w:r>
      <w:r w:rsidR="001A2865" w:rsidRPr="005C5C45">
        <w:t>:</w:t>
      </w:r>
      <w:r w:rsidR="00D5262B" w:rsidRPr="005C5C45">
        <w:t xml:space="preserve"> using data and evidence</w:t>
      </w:r>
      <w:r w:rsidR="001A2865" w:rsidRPr="005C5C45">
        <w:t xml:space="preserve"> in policy development</w:t>
      </w:r>
      <w:r w:rsidR="006D3FC8" w:rsidRPr="005C5C45">
        <w:t>;</w:t>
      </w:r>
      <w:r w:rsidR="00D5262B" w:rsidRPr="005C5C45">
        <w:t xml:space="preserve"> gather</w:t>
      </w:r>
      <w:r w:rsidR="001A2865" w:rsidRPr="005C5C45">
        <w:t>ing</w:t>
      </w:r>
      <w:r w:rsidR="00D5262B" w:rsidRPr="005C5C45">
        <w:t xml:space="preserve"> and generat</w:t>
      </w:r>
      <w:r w:rsidR="001A2865" w:rsidRPr="005C5C45">
        <w:t>ing user</w:t>
      </w:r>
      <w:r w:rsidR="00D5262B" w:rsidRPr="005C5C45">
        <w:t xml:space="preserve"> insights</w:t>
      </w:r>
      <w:r w:rsidR="001A2865" w:rsidRPr="005C5C45">
        <w:t xml:space="preserve"> for policy development</w:t>
      </w:r>
      <w:r w:rsidR="006D3FC8" w:rsidRPr="005C5C45">
        <w:t>;</w:t>
      </w:r>
      <w:r w:rsidR="00D5262B" w:rsidRPr="005C5C45">
        <w:t xml:space="preserve"> and </w:t>
      </w:r>
      <w:r w:rsidR="001A2865" w:rsidRPr="005C5C45">
        <w:t>improving the understanding of methods for involving the public in policy development</w:t>
      </w:r>
      <w:r w:rsidR="0017231F" w:rsidRPr="005C5C45">
        <w:t>.</w:t>
      </w:r>
    </w:p>
    <w:p w14:paraId="7C22C8DF" w14:textId="2B957A66" w:rsidR="00EA2F88" w:rsidRPr="005C5C45" w:rsidRDefault="00EA2F88" w:rsidP="00F92BE1">
      <w:pPr>
        <w:pStyle w:val="Normalrglronly"/>
      </w:pPr>
      <w:r w:rsidRPr="005C5C45">
        <w:t>The sp</w:t>
      </w:r>
      <w:r w:rsidR="00362C15" w:rsidRPr="005C5C45">
        <w:t xml:space="preserve">ecificity of the commitment is </w:t>
      </w:r>
      <w:r w:rsidR="002A5FE6" w:rsidRPr="005C5C45">
        <w:t>h</w:t>
      </w:r>
      <w:r w:rsidRPr="005C5C45">
        <w:t>igh. Over nine months</w:t>
      </w:r>
      <w:r w:rsidR="009B6F46">
        <w:t>,</w:t>
      </w:r>
      <w:r w:rsidRPr="005C5C45">
        <w:t xml:space="preserve"> the project will research and map existing approaches, design the format of the guidan</w:t>
      </w:r>
      <w:r w:rsidR="003D7754" w:rsidRPr="005C5C45">
        <w:t>ce, and prepare and publish it.</w:t>
      </w:r>
      <w:r w:rsidR="00FC710E" w:rsidRPr="005C5C45">
        <w:t xml:space="preserve"> All listed deliverables are clear and can be measured. </w:t>
      </w:r>
    </w:p>
    <w:p w14:paraId="3BFEB466" w14:textId="188BD4C2" w:rsidR="0007564B" w:rsidRPr="005C5C45" w:rsidRDefault="00EA2F88" w:rsidP="00F92BE1">
      <w:pPr>
        <w:pStyle w:val="Normalrglronly"/>
      </w:pPr>
      <w:r w:rsidRPr="005C5C45">
        <w:t xml:space="preserve">The IRM researcher considers that achievement of this commitment </w:t>
      </w:r>
      <w:r w:rsidR="00BD4660" w:rsidRPr="005C5C45">
        <w:t>w</w:t>
      </w:r>
      <w:r w:rsidRPr="005C5C45">
        <w:t xml:space="preserve">ould have a </w:t>
      </w:r>
      <w:r w:rsidR="0007564B" w:rsidRPr="005C5C45">
        <w:t>minor</w:t>
      </w:r>
      <w:r w:rsidR="00771DE3" w:rsidRPr="005C5C45">
        <w:t xml:space="preserve"> </w:t>
      </w:r>
      <w:r w:rsidR="007C4318" w:rsidRPr="005C5C45">
        <w:t xml:space="preserve">potential </w:t>
      </w:r>
      <w:r w:rsidRPr="005C5C45">
        <w:t xml:space="preserve">impact for stakeholders. </w:t>
      </w:r>
      <w:r w:rsidR="00771DE3" w:rsidRPr="005C5C45">
        <w:t>It</w:t>
      </w:r>
      <w:r w:rsidR="00451B02" w:rsidRPr="005C5C45">
        <w:t>s aim</w:t>
      </w:r>
      <w:r w:rsidR="00771DE3" w:rsidRPr="005C5C45">
        <w:t xml:space="preserve"> to add new approaches to those set out in the </w:t>
      </w:r>
      <w:proofErr w:type="spellStart"/>
      <w:r w:rsidR="00771DE3" w:rsidRPr="005C5C45">
        <w:rPr>
          <w:i/>
        </w:rPr>
        <w:t>CabGuide</w:t>
      </w:r>
      <w:proofErr w:type="spellEnd"/>
      <w:r w:rsidR="00771DE3" w:rsidRPr="005C5C45">
        <w:t xml:space="preserve"> </w:t>
      </w:r>
      <w:r w:rsidR="0007564B" w:rsidRPr="005C5C45">
        <w:t xml:space="preserve">by, for example, </w:t>
      </w:r>
      <w:r w:rsidR="00771DE3" w:rsidRPr="005C5C45">
        <w:t xml:space="preserve">engaging </w:t>
      </w:r>
      <w:r w:rsidR="00415346">
        <w:t>‘</w:t>
      </w:r>
      <w:r w:rsidR="00771DE3" w:rsidRPr="005C5C45">
        <w:t xml:space="preserve">directly with </w:t>
      </w:r>
      <w:r w:rsidR="002C6928">
        <w:t>“</w:t>
      </w:r>
      <w:r w:rsidR="00771DE3" w:rsidRPr="005C5C45">
        <w:t>customers</w:t>
      </w:r>
      <w:r w:rsidR="002C6928">
        <w:t>”</w:t>
      </w:r>
      <w:r w:rsidR="00771DE3" w:rsidRPr="005C5C45">
        <w:t xml:space="preserve"> or those that will be affected </w:t>
      </w:r>
      <w:r w:rsidR="00451B02" w:rsidRPr="005C5C45">
        <w:t>by government decisions</w:t>
      </w:r>
      <w:r w:rsidR="009471FB">
        <w:t>’</w:t>
      </w:r>
      <w:r w:rsidR="00451B02" w:rsidRPr="005C5C45">
        <w:t xml:space="preserve">, is a major step toward creating </w:t>
      </w:r>
      <w:r w:rsidR="00F8262D" w:rsidRPr="005C5C45">
        <w:t>a framework for creating user-led policy</w:t>
      </w:r>
      <w:r w:rsidR="00BD4660" w:rsidRPr="005C5C45">
        <w:t>.</w:t>
      </w:r>
      <w:r w:rsidR="00451B02" w:rsidRPr="005C5C45">
        <w:t xml:space="preserve"> </w:t>
      </w:r>
      <w:r w:rsidR="0007564B" w:rsidRPr="005C5C45">
        <w:t xml:space="preserve">The </w:t>
      </w:r>
      <w:proofErr w:type="gramStart"/>
      <w:r w:rsidR="0007564B" w:rsidRPr="005C5C45">
        <w:t>commitment</w:t>
      </w:r>
      <w:r w:rsidR="00451B02" w:rsidRPr="005C5C45">
        <w:t xml:space="preserve"> is also led by the Department of Prime Minister and Cabinet (DPMC)</w:t>
      </w:r>
      <w:proofErr w:type="gramEnd"/>
      <w:r w:rsidR="00451B02" w:rsidRPr="005C5C45">
        <w:t>, in partnership with deputy chief executives with policy responsibilities from across government</w:t>
      </w:r>
      <w:r w:rsidR="0007564B" w:rsidRPr="005C5C45">
        <w:t xml:space="preserve">. Improved policy practice and DPMC’s and senior executive’s leadership </w:t>
      </w:r>
      <w:r w:rsidR="00BD4660" w:rsidRPr="005C5C45">
        <w:t>are both</w:t>
      </w:r>
      <w:r w:rsidR="00F8262D" w:rsidRPr="005C5C45">
        <w:t xml:space="preserve"> factors</w:t>
      </w:r>
      <w:r w:rsidR="0007564B" w:rsidRPr="005C5C45">
        <w:t xml:space="preserve"> </w:t>
      </w:r>
      <w:r w:rsidR="00E01423" w:rsidRPr="005C5C45">
        <w:t xml:space="preserve">which would indicate a greater level of </w:t>
      </w:r>
      <w:r w:rsidR="0007564B" w:rsidRPr="005C5C45">
        <w:t>potential impact.</w:t>
      </w:r>
    </w:p>
    <w:p w14:paraId="14AEA138" w14:textId="73975E79" w:rsidR="00771DE3" w:rsidRPr="005C5C45" w:rsidRDefault="00E01423" w:rsidP="00F92BE1">
      <w:pPr>
        <w:pStyle w:val="Normalrglronly"/>
      </w:pPr>
      <w:r w:rsidRPr="005C5C45">
        <w:t xml:space="preserve">However, the Government added this commitment to the action plan after the August 2016 co-creation workshop with the support of the EAP, but without any other public engagement. </w:t>
      </w:r>
      <w:r w:rsidR="00FC3FB3" w:rsidRPr="005C5C45">
        <w:t xml:space="preserve">While it is necessary for </w:t>
      </w:r>
      <w:r w:rsidR="00D86ECB" w:rsidRPr="005C5C45">
        <w:t xml:space="preserve">government </w:t>
      </w:r>
      <w:r w:rsidR="00FC3FB3" w:rsidRPr="005C5C45">
        <w:t xml:space="preserve">policy development to have an internal focus, </w:t>
      </w:r>
      <w:r w:rsidRPr="005C5C45">
        <w:t xml:space="preserve">the guidance </w:t>
      </w:r>
      <w:r w:rsidR="00B2267F" w:rsidRPr="005C5C45">
        <w:t>will</w:t>
      </w:r>
      <w:r w:rsidRPr="005C5C45">
        <w:t xml:space="preserve"> not </w:t>
      </w:r>
      <w:r w:rsidR="00B2267F" w:rsidRPr="005C5C45">
        <w:t xml:space="preserve">be </w:t>
      </w:r>
      <w:r w:rsidRPr="005C5C45">
        <w:t>developed collaboratively nor tested with those with whom it wishes to engage</w:t>
      </w:r>
      <w:r w:rsidR="00FC3FB3" w:rsidRPr="005C5C45">
        <w:t>.</w:t>
      </w:r>
      <w:r w:rsidRPr="005C5C45">
        <w:t xml:space="preserve"> </w:t>
      </w:r>
      <w:r w:rsidR="00D86ECB" w:rsidRPr="005C5C45">
        <w:t>T</w:t>
      </w:r>
      <w:r w:rsidRPr="005C5C45">
        <w:t>here is significant risk that it will not gain the public’s trust and confidence.</w:t>
      </w:r>
      <w:r w:rsidR="00D86ECB" w:rsidRPr="005C5C45">
        <w:t xml:space="preserve"> </w:t>
      </w:r>
      <w:r w:rsidRPr="005C5C45">
        <w:t xml:space="preserve">While stakeholders were pleased to see a commitment focused on improving policy methods, all </w:t>
      </w:r>
      <w:r w:rsidR="00087B84">
        <w:t>questioned</w:t>
      </w:r>
      <w:r w:rsidR="00087B84" w:rsidRPr="005C5C45">
        <w:t xml:space="preserve"> </w:t>
      </w:r>
      <w:r w:rsidRPr="005C5C45">
        <w:t xml:space="preserve">its inclusion in the action plan, </w:t>
      </w:r>
      <w:r w:rsidR="00D86ECB" w:rsidRPr="005C5C45">
        <w:t>because of its lack of a public-facing element</w:t>
      </w:r>
      <w:r w:rsidRPr="005C5C45">
        <w:rPr>
          <w:lang w:eastAsia="en-NZ"/>
        </w:rPr>
        <w:t xml:space="preserve">. Another stakeholder noted its actions as being very removed from its outward-looking ambition statement. Furthermore, </w:t>
      </w:r>
      <w:r w:rsidRPr="005C5C45">
        <w:t>t</w:t>
      </w:r>
      <w:r w:rsidR="00A35CAA" w:rsidRPr="005C5C45">
        <w:t xml:space="preserve">he use of the term ‘customers’ in an open government commitment text is </w:t>
      </w:r>
      <w:r w:rsidR="00F8262D" w:rsidRPr="005C5C45">
        <w:t xml:space="preserve">also </w:t>
      </w:r>
      <w:r w:rsidR="00A35CAA" w:rsidRPr="005C5C45">
        <w:t>of concern as it focuses attention on a business rather than citizen relationship</w:t>
      </w:r>
      <w:r w:rsidR="00D86ECB" w:rsidRPr="005C5C45">
        <w:t xml:space="preserve"> even if uninten</w:t>
      </w:r>
      <w:r w:rsidR="00087B84">
        <w:t>tionally</w:t>
      </w:r>
      <w:r w:rsidR="00A35CAA" w:rsidRPr="005C5C45">
        <w:t xml:space="preserve">. The IRM researcher has, therefore, concluded that this commitment </w:t>
      </w:r>
      <w:r w:rsidR="00F8262D" w:rsidRPr="005C5C45">
        <w:t>has</w:t>
      </w:r>
      <w:r w:rsidR="002669D1" w:rsidRPr="005C5C45">
        <w:t xml:space="preserve"> only</w:t>
      </w:r>
      <w:r w:rsidR="00F8262D" w:rsidRPr="005C5C45">
        <w:t xml:space="preserve"> minor potential impact</w:t>
      </w:r>
      <w:r w:rsidR="002669D1" w:rsidRPr="005C5C45">
        <w:t>.</w:t>
      </w:r>
    </w:p>
    <w:p w14:paraId="0A6B9473" w14:textId="77777777" w:rsidR="00EA2F88" w:rsidRPr="005C5C45" w:rsidRDefault="00EA2F88" w:rsidP="00CE328A">
      <w:pPr>
        <w:pStyle w:val="Heading3"/>
      </w:pPr>
      <w:r w:rsidRPr="005C5C45">
        <w:t>Completion</w:t>
      </w:r>
    </w:p>
    <w:p w14:paraId="5C2AAE9B" w14:textId="11104949" w:rsidR="008674FF" w:rsidRPr="005C5C45" w:rsidRDefault="008674FF" w:rsidP="00F92BE1">
      <w:pPr>
        <w:pStyle w:val="Normalrglronly"/>
      </w:pPr>
      <w:r w:rsidRPr="005C5C45">
        <w:t>The March</w:t>
      </w:r>
      <w:r w:rsidR="00087B84">
        <w:t xml:space="preserve"> – </w:t>
      </w:r>
      <w:r w:rsidRPr="005C5C45">
        <w:t xml:space="preserve">May 2017 progress report to the Expert Advisory Panel </w:t>
      </w:r>
      <w:r w:rsidR="00440082" w:rsidRPr="005C5C45">
        <w:t xml:space="preserve">(EAP) </w:t>
      </w:r>
      <w:r w:rsidRPr="005C5C45">
        <w:t xml:space="preserve">reported </w:t>
      </w:r>
      <w:r w:rsidR="007844DA" w:rsidRPr="005C5C45">
        <w:t>progress has</w:t>
      </w:r>
      <w:r w:rsidRPr="005C5C45">
        <w:t xml:space="preserve"> been made on the delivery of an online policy toolkit. It stated that the toolkit is being designed to provide a number of web-based products for policy practitioners; </w:t>
      </w:r>
      <w:r w:rsidR="00440082" w:rsidRPr="005C5C45">
        <w:t xml:space="preserve">that </w:t>
      </w:r>
      <w:r w:rsidRPr="005C5C45">
        <w:t>it has bee</w:t>
      </w:r>
      <w:r w:rsidR="00440082" w:rsidRPr="005C5C45">
        <w:t>n built with users to ensure it is approachable and easy to use; that a</w:t>
      </w:r>
      <w:r w:rsidRPr="005C5C45">
        <w:t xml:space="preserve"> method of ensuring information is kept up-to-date post-launch has been confirmed, with a wiki-style </w:t>
      </w:r>
      <w:r w:rsidRPr="005C5C45">
        <w:lastRenderedPageBreak/>
        <w:t>approach to authorship agreed.</w:t>
      </w:r>
      <w:r w:rsidR="00440082" w:rsidRPr="005C5C45">
        <w:rPr>
          <w:rStyle w:val="EndnoteReference"/>
        </w:rPr>
        <w:endnoteReference w:id="166"/>
      </w:r>
      <w:r w:rsidR="00440082" w:rsidRPr="005C5C45">
        <w:t xml:space="preserve"> The IRM researcher notes that the users assisting with the build of the policy toolkit are government policy officials, not potential external contributors to policy development.</w:t>
      </w:r>
    </w:p>
    <w:p w14:paraId="0723A2B1" w14:textId="5AA06E2A" w:rsidR="008674FF" w:rsidRPr="005C5C45" w:rsidRDefault="00440082" w:rsidP="00F92BE1">
      <w:pPr>
        <w:pStyle w:val="Normalrglronly"/>
        <w:rPr>
          <w:rFonts w:ascii="Times New Roman" w:hAnsi="Times New Roman"/>
          <w:sz w:val="24"/>
          <w:szCs w:val="24"/>
          <w:lang w:eastAsia="en-NZ"/>
        </w:rPr>
      </w:pPr>
      <w:r w:rsidRPr="005C5C45">
        <w:rPr>
          <w:lang w:eastAsia="en-NZ"/>
        </w:rPr>
        <w:t>The end</w:t>
      </w:r>
      <w:r w:rsidR="00087B84">
        <w:rPr>
          <w:lang w:eastAsia="en-NZ"/>
        </w:rPr>
        <w:t>-</w:t>
      </w:r>
      <w:r w:rsidRPr="005C5C45">
        <w:rPr>
          <w:lang w:eastAsia="en-NZ"/>
        </w:rPr>
        <w:t>of</w:t>
      </w:r>
      <w:r w:rsidR="00087B84">
        <w:rPr>
          <w:lang w:eastAsia="en-NZ"/>
        </w:rPr>
        <w:t>-</w:t>
      </w:r>
      <w:r w:rsidRPr="005C5C45">
        <w:rPr>
          <w:lang w:eastAsia="en-NZ"/>
        </w:rPr>
        <w:t>term report will assess the online policy toolbox, its uptake and the impact of this commitment.</w:t>
      </w:r>
    </w:p>
    <w:p w14:paraId="7D25175F" w14:textId="77777777" w:rsidR="00BF7175" w:rsidRPr="005C5C45" w:rsidRDefault="00BF7175" w:rsidP="00BF7175">
      <w:pPr>
        <w:pStyle w:val="Heading3"/>
      </w:pPr>
      <w:r w:rsidRPr="005C5C45">
        <w:t>Next Steps</w:t>
      </w:r>
    </w:p>
    <w:p w14:paraId="55A3BAA8" w14:textId="57AF3339" w:rsidR="001C574F" w:rsidRPr="005C5C45" w:rsidRDefault="00BF7175" w:rsidP="00F92BE1">
      <w:pPr>
        <w:pStyle w:val="Normalrglronly"/>
      </w:pPr>
      <w:r w:rsidRPr="005C5C45">
        <w:t xml:space="preserve">The IRM researcher recommends that </w:t>
      </w:r>
      <w:r w:rsidR="001C574F" w:rsidRPr="005C5C45">
        <w:t xml:space="preserve">this commitment </w:t>
      </w:r>
      <w:r w:rsidR="00087B84">
        <w:t>be</w:t>
      </w:r>
      <w:r w:rsidR="00087B84" w:rsidRPr="005C5C45">
        <w:t xml:space="preserve"> </w:t>
      </w:r>
      <w:r w:rsidR="001C574F" w:rsidRPr="005C5C45">
        <w:t>extended to June 2018</w:t>
      </w:r>
      <w:r w:rsidR="00B87A22" w:rsidRPr="005C5C45">
        <w:t xml:space="preserve"> and </w:t>
      </w:r>
      <w:r w:rsidR="00005637" w:rsidRPr="005C5C45">
        <w:t xml:space="preserve">the </w:t>
      </w:r>
      <w:r w:rsidR="000E1188" w:rsidRPr="005C5C45">
        <w:t xml:space="preserve">following </w:t>
      </w:r>
      <w:r w:rsidR="001C574F" w:rsidRPr="005C5C45">
        <w:t>new activit</w:t>
      </w:r>
      <w:r w:rsidR="00D32D86" w:rsidRPr="005C5C45">
        <w:t xml:space="preserve">y </w:t>
      </w:r>
      <w:r w:rsidR="001C574F" w:rsidRPr="005C5C45">
        <w:t>added:</w:t>
      </w:r>
    </w:p>
    <w:p w14:paraId="5F7024C2" w14:textId="5E8A794B" w:rsidR="00D32D86" w:rsidRPr="005C5C45" w:rsidRDefault="001C574F" w:rsidP="008622AB">
      <w:pPr>
        <w:pStyle w:val="ListParagraph"/>
        <w:numPr>
          <w:ilvl w:val="0"/>
          <w:numId w:val="57"/>
        </w:numPr>
      </w:pPr>
      <w:r w:rsidRPr="005C5C45">
        <w:t xml:space="preserve">Test the </w:t>
      </w:r>
      <w:r w:rsidR="001B0260" w:rsidRPr="005C5C45">
        <w:t xml:space="preserve">guidance in the </w:t>
      </w:r>
      <w:r w:rsidRPr="005C5C45">
        <w:t>policy tool</w:t>
      </w:r>
      <w:r w:rsidR="001B0260" w:rsidRPr="005C5C45">
        <w:t>box</w:t>
      </w:r>
      <w:r w:rsidRPr="005C5C45">
        <w:t xml:space="preserve"> with </w:t>
      </w:r>
      <w:r w:rsidR="00BB16B9" w:rsidRPr="005C5C45">
        <w:t>stakeholders</w:t>
      </w:r>
      <w:r w:rsidR="000E1188" w:rsidRPr="005C5C45">
        <w:t xml:space="preserve"> by </w:t>
      </w:r>
      <w:r w:rsidR="00A2380E" w:rsidRPr="005C5C45">
        <w:t xml:space="preserve">June </w:t>
      </w:r>
      <w:r w:rsidR="00BB16B9" w:rsidRPr="005C5C45">
        <w:t>2018</w:t>
      </w:r>
      <w:r w:rsidR="00A2380E" w:rsidRPr="005C5C45">
        <w:t xml:space="preserve"> </w:t>
      </w:r>
      <w:r w:rsidR="00A844AE" w:rsidRPr="005C5C45">
        <w:t xml:space="preserve">using </w:t>
      </w:r>
      <w:r w:rsidR="00A2380E" w:rsidRPr="005C5C45">
        <w:t xml:space="preserve">the same process by which </w:t>
      </w:r>
      <w:r w:rsidR="00087B84">
        <w:t>c</w:t>
      </w:r>
      <w:r w:rsidR="00D32D86" w:rsidRPr="005C5C45">
        <w:t xml:space="preserve">ommitment </w:t>
      </w:r>
      <w:r w:rsidR="00087B84">
        <w:t>five</w:t>
      </w:r>
      <w:r w:rsidR="00D32D86" w:rsidRPr="005C5C45">
        <w:t xml:space="preserve">’s </w:t>
      </w:r>
      <w:r w:rsidR="00A2380E" w:rsidRPr="005C5C45">
        <w:t>online engagement guidance is tested</w:t>
      </w:r>
      <w:r w:rsidR="00D32D86" w:rsidRPr="005C5C45">
        <w:t>.</w:t>
      </w:r>
    </w:p>
    <w:p w14:paraId="0BC20A45" w14:textId="77777777" w:rsidR="00D32D86" w:rsidRPr="005C5C45" w:rsidRDefault="00D32D86" w:rsidP="00D32D86">
      <w:pPr>
        <w:pStyle w:val="Normalrglronly"/>
        <w:rPr>
          <w:rFonts w:eastAsiaTheme="minorEastAsia" w:cs="Gill Sans"/>
          <w:bCs w:val="0"/>
          <w:color w:val="222222"/>
          <w:szCs w:val="20"/>
        </w:rPr>
      </w:pPr>
    </w:p>
    <w:p w14:paraId="155AC989" w14:textId="482342AF" w:rsidR="00D32D86" w:rsidRPr="005C5C45" w:rsidRDefault="00D32D86" w:rsidP="0095030F">
      <w:pPr>
        <w:pStyle w:val="Normalrglronly"/>
      </w:pPr>
      <w:r w:rsidRPr="005C5C45">
        <w:t>For the next action plan, the IRM researcher recommends the following:</w:t>
      </w:r>
    </w:p>
    <w:p w14:paraId="000F3CB5" w14:textId="4B2DBC03" w:rsidR="001C574F" w:rsidRPr="005C5C45" w:rsidRDefault="005759F2" w:rsidP="0095030F">
      <w:pPr>
        <w:pStyle w:val="Normalrglronly"/>
        <w:numPr>
          <w:ilvl w:val="0"/>
          <w:numId w:val="57"/>
        </w:numPr>
      </w:pPr>
      <w:r w:rsidRPr="005C5C45">
        <w:t>Co</w:t>
      </w:r>
      <w:r w:rsidR="000E1188" w:rsidRPr="005C5C45">
        <w:t>llaboratively develop</w:t>
      </w:r>
      <w:r w:rsidRPr="005C5C45">
        <w:t xml:space="preserve"> </w:t>
      </w:r>
      <w:r w:rsidR="005A6ECF" w:rsidRPr="005C5C45">
        <w:t>standards</w:t>
      </w:r>
      <w:r w:rsidR="00BB16B9" w:rsidRPr="005C5C45">
        <w:t xml:space="preserve"> for public participation in developing future policy</w:t>
      </w:r>
      <w:r w:rsidR="008C489C" w:rsidRPr="005C5C45">
        <w:t>.</w:t>
      </w:r>
    </w:p>
    <w:p w14:paraId="639891BE" w14:textId="015C2C75" w:rsidR="006B1434" w:rsidRPr="005C5C45" w:rsidRDefault="008065EA" w:rsidP="00F92BE1">
      <w:pPr>
        <w:pStyle w:val="Normalrglronly"/>
      </w:pPr>
      <w:r w:rsidRPr="005C5C45">
        <w:t xml:space="preserve">This </w:t>
      </w:r>
      <w:r w:rsidR="00D32D86" w:rsidRPr="005C5C45">
        <w:t xml:space="preserve">new </w:t>
      </w:r>
      <w:r w:rsidRPr="005C5C45">
        <w:t xml:space="preserve">work would </w:t>
      </w:r>
      <w:r w:rsidR="00D32D86" w:rsidRPr="005C5C45">
        <w:t xml:space="preserve">complete </w:t>
      </w:r>
      <w:r w:rsidRPr="005C5C45">
        <w:t xml:space="preserve">the stated objective of this commitment: </w:t>
      </w:r>
      <w:r w:rsidR="00415346">
        <w:t>‘</w:t>
      </w:r>
      <w:r w:rsidRPr="005C5C45">
        <w:t>To ensure that policy advice to government is better informed by insights from those most affected by government policy and programmes, by input from diverse points of view, and by data and evidence</w:t>
      </w:r>
      <w:r w:rsidR="00087B84">
        <w:t>.</w:t>
      </w:r>
      <w:r w:rsidR="00415346">
        <w:t>’</w:t>
      </w:r>
    </w:p>
    <w:p w14:paraId="6F1C0362" w14:textId="77777777" w:rsidR="00074006" w:rsidRPr="005C5C45" w:rsidRDefault="00074006" w:rsidP="00B962C0">
      <w:pPr>
        <w:ind w:left="720" w:hanging="360"/>
        <w:rPr>
          <w:i/>
          <w:color w:val="000090"/>
        </w:rPr>
        <w:sectPr w:rsidR="00074006" w:rsidRPr="005C5C45" w:rsidSect="0002581F">
          <w:endnotePr>
            <w:numFmt w:val="decimal"/>
            <w:numRestart w:val="eachSect"/>
          </w:endnotePr>
          <w:pgSz w:w="11900" w:h="16840" w:code="9"/>
          <w:pgMar w:top="1440" w:right="1800" w:bottom="1440" w:left="1800" w:header="720" w:footer="720" w:gutter="0"/>
          <w:cols w:space="720"/>
          <w:docGrid w:linePitch="360"/>
        </w:sectPr>
      </w:pPr>
    </w:p>
    <w:p w14:paraId="20BABA85" w14:textId="77777777" w:rsidR="00156F1F" w:rsidRPr="005C5C45" w:rsidRDefault="00156F1F" w:rsidP="00156F1F">
      <w:pPr>
        <w:pStyle w:val="Heading1"/>
      </w:pPr>
      <w:bookmarkStart w:id="30" w:name="h.35nkun2" w:colFirst="0" w:colLast="0"/>
      <w:bookmarkStart w:id="31" w:name="_Toc266021004"/>
      <w:bookmarkStart w:id="32" w:name="_Toc377998816"/>
      <w:bookmarkEnd w:id="30"/>
      <w:r w:rsidRPr="005C5C45">
        <w:lastRenderedPageBreak/>
        <w:t>V. General Recommendations</w:t>
      </w:r>
      <w:bookmarkEnd w:id="31"/>
      <w:bookmarkEnd w:id="32"/>
    </w:p>
    <w:p w14:paraId="369233CB" w14:textId="7F3C6D98" w:rsidR="002F2BB8" w:rsidRDefault="006555FD" w:rsidP="002F2BB8">
      <w:pPr>
        <w:pStyle w:val="Pullquote"/>
      </w:pPr>
      <w:r w:rsidRPr="005C5C45">
        <w:t xml:space="preserve">Starting the development of the third national action plan immediately after the September 2017 general election provides a singular opportunity to pursue open government issues identified by external stakeholders. </w:t>
      </w:r>
      <w:r w:rsidR="00BA64A6" w:rsidRPr="005C5C45">
        <w:t xml:space="preserve">Under the new administration, it is critical that the government actively collaborate with the public in the development of the next action plan, broaden participation in the OGP process, and include ambitious commitments on </w:t>
      </w:r>
      <w:r w:rsidRPr="005C5C45">
        <w:t xml:space="preserve">access to information, </w:t>
      </w:r>
      <w:proofErr w:type="spellStart"/>
      <w:r w:rsidR="00BA64A6" w:rsidRPr="005C5C45">
        <w:t>whistleblower</w:t>
      </w:r>
      <w:proofErr w:type="spellEnd"/>
      <w:r w:rsidR="00BA64A6" w:rsidRPr="005C5C45">
        <w:t xml:space="preserve"> protection,</w:t>
      </w:r>
      <w:r w:rsidR="00180C84" w:rsidRPr="005C5C45">
        <w:t xml:space="preserve"> company beneficial ownership,</w:t>
      </w:r>
      <w:r w:rsidR="00BA64A6" w:rsidRPr="005C5C45">
        <w:t xml:space="preserve"> and other priority issues. </w:t>
      </w:r>
      <w:r w:rsidRPr="005C5C45">
        <w:t xml:space="preserve"> </w:t>
      </w:r>
    </w:p>
    <w:p w14:paraId="4C45624B" w14:textId="77777777" w:rsidR="005322BA" w:rsidRPr="001A4877" w:rsidRDefault="005322BA" w:rsidP="002C6928"/>
    <w:p w14:paraId="3A511643" w14:textId="0302E57B" w:rsidR="00156F1F" w:rsidRPr="005C5C45" w:rsidRDefault="00156F1F" w:rsidP="00F92BE1">
      <w:pPr>
        <w:pStyle w:val="Normalrglronly"/>
      </w:pPr>
      <w:r w:rsidRPr="005C5C45">
        <w:t xml:space="preserve">This section aims to inform development of the next action plan and guide completion of the current action plan. It is divided into two sections: 1) those </w:t>
      </w:r>
      <w:r w:rsidR="007A443C" w:rsidRPr="005C5C45">
        <w:t xml:space="preserve">priorities identified </w:t>
      </w:r>
      <w:r w:rsidR="007A443C">
        <w:t xml:space="preserve">by </w:t>
      </w:r>
      <w:r w:rsidRPr="005C5C45">
        <w:t xml:space="preserve">civil society and government while </w:t>
      </w:r>
      <w:r w:rsidR="007A443C">
        <w:t>contributing to</w:t>
      </w:r>
      <w:r w:rsidR="007A443C" w:rsidRPr="005C5C45">
        <w:t xml:space="preserve"> </w:t>
      </w:r>
      <w:r w:rsidRPr="005C5C45">
        <w:t>this report and 2) the recommendations of the IRM.</w:t>
      </w:r>
    </w:p>
    <w:p w14:paraId="53CFD690" w14:textId="77777777" w:rsidR="00156F1F" w:rsidRPr="005C5C45" w:rsidRDefault="00156F1F" w:rsidP="00156F1F">
      <w:pPr>
        <w:pStyle w:val="Heading3"/>
      </w:pPr>
      <w:r w:rsidRPr="005C5C45">
        <w:t>5.1 Stakeholder Priorities</w:t>
      </w:r>
    </w:p>
    <w:p w14:paraId="6767446D" w14:textId="77777777" w:rsidR="00156F1F" w:rsidRPr="005C5C45" w:rsidRDefault="00156F1F" w:rsidP="00F92BE1">
      <w:pPr>
        <w:pStyle w:val="Normalrglronly"/>
      </w:pPr>
      <w:r w:rsidRPr="005C5C45">
        <w:t xml:space="preserve">In the current action plan, tangible OIA compliance, routine public </w:t>
      </w:r>
      <w:r w:rsidR="00D96B9B" w:rsidRPr="005C5C45">
        <w:t>participation</w:t>
      </w:r>
      <w:r w:rsidRPr="005C5C45">
        <w:t xml:space="preserve"> in government </w:t>
      </w:r>
      <w:proofErr w:type="gramStart"/>
      <w:r w:rsidRPr="005C5C45">
        <w:t>policy making</w:t>
      </w:r>
      <w:proofErr w:type="gramEnd"/>
      <w:r w:rsidRPr="005C5C45">
        <w:t xml:space="preserve">, and </w:t>
      </w:r>
      <w:r w:rsidR="00D96B9B" w:rsidRPr="005C5C45">
        <w:t xml:space="preserve">more access to </w:t>
      </w:r>
      <w:r w:rsidRPr="005C5C45">
        <w:t>public information and data</w:t>
      </w:r>
      <w:r w:rsidR="001603AE" w:rsidRPr="005C5C45">
        <w:t xml:space="preserve"> </w:t>
      </w:r>
      <w:r w:rsidRPr="005C5C45">
        <w:t xml:space="preserve">were the most important themes. Stakeholders want commitments </w:t>
      </w:r>
      <w:r w:rsidR="00DB0513" w:rsidRPr="005C5C45">
        <w:t>one through six</w:t>
      </w:r>
      <w:r w:rsidRPr="005C5C45">
        <w:t xml:space="preserve"> carried forward and new public participation </w:t>
      </w:r>
      <w:r w:rsidR="001603AE" w:rsidRPr="005C5C45">
        <w:t xml:space="preserve">activities </w:t>
      </w:r>
      <w:r w:rsidRPr="005C5C45">
        <w:t xml:space="preserve">set for commitment </w:t>
      </w:r>
      <w:r w:rsidR="00DB0513" w:rsidRPr="005C5C45">
        <w:t>seven</w:t>
      </w:r>
      <w:r w:rsidRPr="005C5C45">
        <w:t>.</w:t>
      </w:r>
    </w:p>
    <w:p w14:paraId="5A6A1222" w14:textId="0E3E6723" w:rsidR="00D17C57" w:rsidRPr="005C5C45" w:rsidRDefault="00C20997" w:rsidP="00F92BE1">
      <w:pPr>
        <w:pStyle w:val="Normalrglronly"/>
      </w:pPr>
      <w:r w:rsidRPr="005C5C45">
        <w:t xml:space="preserve">Stakeholder </w:t>
      </w:r>
      <w:r w:rsidR="00156F1F" w:rsidRPr="005C5C45">
        <w:t xml:space="preserve">priorities for future action plans </w:t>
      </w:r>
      <w:r w:rsidR="00CE6E80" w:rsidRPr="005C5C45">
        <w:t>includ</w:t>
      </w:r>
      <w:r w:rsidR="00D17C57" w:rsidRPr="005C5C45">
        <w:t>e</w:t>
      </w:r>
      <w:r w:rsidR="00CE6E80" w:rsidRPr="005C5C45">
        <w:t xml:space="preserve"> the following areas</w:t>
      </w:r>
      <w:r w:rsidR="00156F1F" w:rsidRPr="005C5C45">
        <w:t>:</w:t>
      </w:r>
    </w:p>
    <w:p w14:paraId="32467F0A" w14:textId="77777777" w:rsidR="00156F1F" w:rsidRPr="005C5C45" w:rsidRDefault="00CE6E80" w:rsidP="00156F1F">
      <w:pPr>
        <w:rPr>
          <w:b/>
          <w:color w:val="auto"/>
        </w:rPr>
      </w:pPr>
      <w:r w:rsidRPr="005C5C45">
        <w:rPr>
          <w:b/>
          <w:color w:val="auto"/>
        </w:rPr>
        <w:t xml:space="preserve">Improve Access to Information Legislation and Practice </w:t>
      </w:r>
    </w:p>
    <w:p w14:paraId="5584708F" w14:textId="77777777" w:rsidR="00CE6E80" w:rsidRPr="005C5C45" w:rsidRDefault="002A1AF6" w:rsidP="00CE6E80">
      <w:pPr>
        <w:pStyle w:val="ListParagraph"/>
        <w:numPr>
          <w:ilvl w:val="0"/>
          <w:numId w:val="34"/>
        </w:numPr>
        <w:rPr>
          <w:color w:val="auto"/>
        </w:rPr>
      </w:pPr>
      <w:r w:rsidRPr="005C5C45">
        <w:rPr>
          <w:color w:val="auto"/>
        </w:rPr>
        <w:t>Extend</w:t>
      </w:r>
      <w:r w:rsidR="00CE6E80" w:rsidRPr="005C5C45">
        <w:rPr>
          <w:color w:val="auto"/>
        </w:rPr>
        <w:t xml:space="preserve"> the Official Information Act (OIA) to parliamentary bodies;</w:t>
      </w:r>
    </w:p>
    <w:p w14:paraId="54DEF431" w14:textId="77777777" w:rsidR="00CE6E80" w:rsidRPr="005C5C45" w:rsidRDefault="002A1AF6" w:rsidP="00CE6E80">
      <w:pPr>
        <w:pStyle w:val="ListParagraph"/>
        <w:numPr>
          <w:ilvl w:val="0"/>
          <w:numId w:val="34"/>
        </w:numPr>
        <w:rPr>
          <w:color w:val="auto"/>
        </w:rPr>
      </w:pPr>
      <w:r w:rsidRPr="005C5C45">
        <w:rPr>
          <w:color w:val="auto"/>
        </w:rPr>
        <w:t>Introduce new</w:t>
      </w:r>
      <w:r w:rsidR="00CE6E80" w:rsidRPr="005C5C45">
        <w:rPr>
          <w:color w:val="auto"/>
        </w:rPr>
        <w:t xml:space="preserve"> online tools to modernise OIA request and response practice</w:t>
      </w:r>
      <w:r w:rsidR="00B2267F" w:rsidRPr="005C5C45">
        <w:rPr>
          <w:color w:val="auto"/>
        </w:rPr>
        <w:t xml:space="preserve"> for the public and for government agencies</w:t>
      </w:r>
      <w:r w:rsidR="00CE6E80" w:rsidRPr="005C5C45">
        <w:rPr>
          <w:color w:val="auto"/>
        </w:rPr>
        <w:t>;</w:t>
      </w:r>
    </w:p>
    <w:p w14:paraId="084AD844" w14:textId="77777777" w:rsidR="00CE6E80" w:rsidRPr="005C5C45" w:rsidRDefault="002A1AF6" w:rsidP="00CE6E80">
      <w:pPr>
        <w:pStyle w:val="ListParagraph"/>
        <w:numPr>
          <w:ilvl w:val="0"/>
          <w:numId w:val="34"/>
        </w:numPr>
        <w:rPr>
          <w:color w:val="auto"/>
        </w:rPr>
      </w:pPr>
      <w:r w:rsidRPr="005C5C45">
        <w:rPr>
          <w:color w:val="auto"/>
        </w:rPr>
        <w:t>I</w:t>
      </w:r>
      <w:r w:rsidR="00CE6E80" w:rsidRPr="005C5C45">
        <w:rPr>
          <w:color w:val="auto"/>
        </w:rPr>
        <w:t>mplemen</w:t>
      </w:r>
      <w:r w:rsidRPr="005C5C45">
        <w:rPr>
          <w:color w:val="auto"/>
        </w:rPr>
        <w:t>t</w:t>
      </w:r>
      <w:r w:rsidR="00CE6E80" w:rsidRPr="005C5C45">
        <w:rPr>
          <w:color w:val="auto"/>
        </w:rPr>
        <w:t xml:space="preserve"> the remaining recommendations in the Chief Ombudsman’s OIA report </w:t>
      </w:r>
      <w:r w:rsidR="00CE6E80" w:rsidRPr="005C5C45">
        <w:rPr>
          <w:i/>
          <w:color w:val="auto"/>
        </w:rPr>
        <w:t>Not a Game of Hide and Seek;</w:t>
      </w:r>
    </w:p>
    <w:p w14:paraId="3A5761B9" w14:textId="77777777" w:rsidR="00CE6E80" w:rsidRPr="005C5C45" w:rsidRDefault="00E71300" w:rsidP="00D17C57">
      <w:pPr>
        <w:rPr>
          <w:b/>
          <w:color w:val="auto"/>
        </w:rPr>
      </w:pPr>
      <w:r w:rsidRPr="005C5C45">
        <w:rPr>
          <w:b/>
          <w:color w:val="auto"/>
        </w:rPr>
        <w:t>Improve Public Participation in Budgetary Matters</w:t>
      </w:r>
    </w:p>
    <w:p w14:paraId="454CD8D0" w14:textId="77481550" w:rsidR="00B2267F" w:rsidRPr="005C5C45" w:rsidRDefault="00B2267F" w:rsidP="00B2267F">
      <w:pPr>
        <w:pStyle w:val="ListParagraph"/>
        <w:numPr>
          <w:ilvl w:val="0"/>
          <w:numId w:val="34"/>
        </w:numPr>
        <w:rPr>
          <w:color w:val="auto"/>
        </w:rPr>
      </w:pPr>
      <w:r w:rsidRPr="005C5C45">
        <w:rPr>
          <w:color w:val="auto"/>
        </w:rPr>
        <w:t>Introduce new public engagement practices during the government’s development of the annual Budget Policy Statement and the annual Budget before they are submitted to Parliament, by inviting public input on fiscal strategy and fiscal policies, facilitating more external expert and general public deliberation on these issues, summarising and responding to public inputs, and by government responding to submissions made to the Finance and Expenditure Committee on the Budget Policy Statement</w:t>
      </w:r>
      <w:r w:rsidR="00797E23" w:rsidRPr="005C5C45">
        <w:rPr>
          <w:color w:val="auto"/>
        </w:rPr>
        <w:t>;</w:t>
      </w:r>
    </w:p>
    <w:p w14:paraId="30267EE7" w14:textId="77777777" w:rsidR="00E71300" w:rsidRPr="005C5C45" w:rsidRDefault="00B2267F" w:rsidP="00E71300">
      <w:pPr>
        <w:pStyle w:val="ListParagraph"/>
        <w:numPr>
          <w:ilvl w:val="0"/>
          <w:numId w:val="34"/>
        </w:numPr>
        <w:rPr>
          <w:color w:val="auto"/>
        </w:rPr>
      </w:pPr>
      <w:r w:rsidRPr="005C5C45">
        <w:rPr>
          <w:color w:val="auto"/>
        </w:rPr>
        <w:t>Expand p</w:t>
      </w:r>
      <w:r w:rsidR="00E71300" w:rsidRPr="005C5C45">
        <w:rPr>
          <w:color w:val="auto"/>
        </w:rPr>
        <w:t xml:space="preserve">ublic participation in annual </w:t>
      </w:r>
      <w:r w:rsidRPr="005C5C45">
        <w:rPr>
          <w:color w:val="auto"/>
        </w:rPr>
        <w:t>B</w:t>
      </w:r>
      <w:r w:rsidR="00E71300" w:rsidRPr="005C5C45">
        <w:rPr>
          <w:color w:val="auto"/>
        </w:rPr>
        <w:t>udget development</w:t>
      </w:r>
      <w:r w:rsidRPr="005C5C45">
        <w:rPr>
          <w:color w:val="auto"/>
        </w:rPr>
        <w:t xml:space="preserve"> by piloting participatory budgeting in central or local government to encourage greater democratic engagement in and understanding of government</w:t>
      </w:r>
      <w:r w:rsidR="00E71300" w:rsidRPr="005C5C45">
        <w:rPr>
          <w:color w:val="auto"/>
        </w:rPr>
        <w:t>;</w:t>
      </w:r>
      <w:r w:rsidR="002A1AF6" w:rsidRPr="005C5C45">
        <w:rPr>
          <w:color w:val="auto"/>
        </w:rPr>
        <w:t xml:space="preserve"> </w:t>
      </w:r>
    </w:p>
    <w:p w14:paraId="4FDF2781" w14:textId="3812A108" w:rsidR="00E71300" w:rsidRPr="005C5C45" w:rsidRDefault="002A1AF6" w:rsidP="00E71300">
      <w:pPr>
        <w:pStyle w:val="ListParagraph"/>
        <w:numPr>
          <w:ilvl w:val="0"/>
          <w:numId w:val="34"/>
        </w:numPr>
        <w:rPr>
          <w:color w:val="auto"/>
        </w:rPr>
      </w:pPr>
      <w:r w:rsidRPr="005C5C45">
        <w:rPr>
          <w:color w:val="auto"/>
        </w:rPr>
        <w:t>P</w:t>
      </w:r>
      <w:r w:rsidR="00E71300" w:rsidRPr="005C5C45">
        <w:rPr>
          <w:color w:val="auto"/>
        </w:rPr>
        <w:t>ubli</w:t>
      </w:r>
      <w:r w:rsidR="00B2267F" w:rsidRPr="005C5C45">
        <w:rPr>
          <w:color w:val="auto"/>
        </w:rPr>
        <w:t xml:space="preserve">sh actual Budget </w:t>
      </w:r>
      <w:r w:rsidR="00E71300" w:rsidRPr="005C5C45">
        <w:rPr>
          <w:color w:val="auto"/>
        </w:rPr>
        <w:t>expenditure</w:t>
      </w:r>
      <w:r w:rsidR="00B2267F" w:rsidRPr="005C5C45">
        <w:rPr>
          <w:color w:val="auto"/>
        </w:rPr>
        <w:t xml:space="preserve"> details. This information is hard to find if</w:t>
      </w:r>
      <w:r w:rsidR="00005B4A" w:rsidRPr="005C5C45">
        <w:rPr>
          <w:color w:val="auto"/>
        </w:rPr>
        <w:t xml:space="preserve"> </w:t>
      </w:r>
      <w:r w:rsidR="00B2267F" w:rsidRPr="005C5C45">
        <w:rPr>
          <w:color w:val="auto"/>
        </w:rPr>
        <w:t>not been made available following Select Committee scrutiny of government agencies’ expenditures</w:t>
      </w:r>
      <w:r w:rsidR="00E71300" w:rsidRPr="005C5C45">
        <w:rPr>
          <w:color w:val="auto"/>
        </w:rPr>
        <w:t>;</w:t>
      </w:r>
    </w:p>
    <w:p w14:paraId="3EFB538F" w14:textId="77777777" w:rsidR="00E71300" w:rsidRPr="005C5C45" w:rsidRDefault="002F09A2" w:rsidP="00E71300">
      <w:pPr>
        <w:pStyle w:val="ListParagraph"/>
        <w:numPr>
          <w:ilvl w:val="0"/>
          <w:numId w:val="34"/>
        </w:numPr>
        <w:rPr>
          <w:color w:val="auto"/>
        </w:rPr>
      </w:pPr>
      <w:r w:rsidRPr="005C5C45">
        <w:rPr>
          <w:color w:val="auto"/>
        </w:rPr>
        <w:t>Strengthen transparency and accountability for public procurement by releasing details of</w:t>
      </w:r>
      <w:r w:rsidR="00E71300" w:rsidRPr="005C5C45">
        <w:rPr>
          <w:color w:val="auto"/>
        </w:rPr>
        <w:t xml:space="preserve"> government’s procurement contracts</w:t>
      </w:r>
      <w:r w:rsidRPr="005C5C45">
        <w:rPr>
          <w:color w:val="auto"/>
        </w:rPr>
        <w:t xml:space="preserve"> with service providers</w:t>
      </w:r>
      <w:r w:rsidR="00E71300" w:rsidRPr="005C5C45">
        <w:rPr>
          <w:color w:val="auto"/>
        </w:rPr>
        <w:t>;</w:t>
      </w:r>
    </w:p>
    <w:p w14:paraId="4AC16AAB" w14:textId="77777777" w:rsidR="00E71300" w:rsidRPr="005C5C45" w:rsidRDefault="00E71300" w:rsidP="00D17C57">
      <w:pPr>
        <w:rPr>
          <w:b/>
          <w:color w:val="auto"/>
        </w:rPr>
      </w:pPr>
      <w:r w:rsidRPr="005C5C45">
        <w:rPr>
          <w:b/>
          <w:color w:val="auto"/>
        </w:rPr>
        <w:t xml:space="preserve">Other accountability mechanisms: </w:t>
      </w:r>
    </w:p>
    <w:p w14:paraId="7925F42A" w14:textId="77777777" w:rsidR="00156F1F" w:rsidRPr="005C5C45" w:rsidRDefault="002A1AF6" w:rsidP="00156F1F">
      <w:pPr>
        <w:pStyle w:val="ListParagraph"/>
        <w:numPr>
          <w:ilvl w:val="0"/>
          <w:numId w:val="34"/>
        </w:numPr>
        <w:rPr>
          <w:color w:val="auto"/>
        </w:rPr>
      </w:pPr>
      <w:r w:rsidRPr="005C5C45">
        <w:rPr>
          <w:color w:val="auto"/>
        </w:rPr>
        <w:t>S</w:t>
      </w:r>
      <w:r w:rsidR="00156F1F" w:rsidRPr="005C5C45">
        <w:rPr>
          <w:color w:val="auto"/>
        </w:rPr>
        <w:t>trengthen whistleblowing legislation</w:t>
      </w:r>
      <w:r w:rsidR="00ED2352" w:rsidRPr="005C5C45">
        <w:rPr>
          <w:color w:val="auto"/>
        </w:rPr>
        <w:t>;</w:t>
      </w:r>
    </w:p>
    <w:p w14:paraId="4014EB7D" w14:textId="77777777" w:rsidR="00156F1F" w:rsidRPr="005C5C45" w:rsidRDefault="002F09A2" w:rsidP="00156F1F">
      <w:pPr>
        <w:pStyle w:val="ListParagraph"/>
        <w:numPr>
          <w:ilvl w:val="0"/>
          <w:numId w:val="34"/>
        </w:numPr>
        <w:rPr>
          <w:color w:val="auto"/>
        </w:rPr>
      </w:pPr>
      <w:r w:rsidRPr="005C5C45">
        <w:rPr>
          <w:color w:val="auto"/>
        </w:rPr>
        <w:t>Introduce citizenship</w:t>
      </w:r>
      <w:r w:rsidR="00156F1F" w:rsidRPr="005C5C45">
        <w:rPr>
          <w:color w:val="auto"/>
        </w:rPr>
        <w:t xml:space="preserve"> education </w:t>
      </w:r>
      <w:r w:rsidR="0002306F" w:rsidRPr="005C5C45">
        <w:rPr>
          <w:color w:val="auto"/>
        </w:rPr>
        <w:t xml:space="preserve">to increase </w:t>
      </w:r>
      <w:r w:rsidRPr="005C5C45">
        <w:rPr>
          <w:color w:val="auto"/>
        </w:rPr>
        <w:t xml:space="preserve">youth and adults’ </w:t>
      </w:r>
      <w:r w:rsidR="0002306F" w:rsidRPr="005C5C45">
        <w:rPr>
          <w:color w:val="auto"/>
        </w:rPr>
        <w:t xml:space="preserve">understanding of </w:t>
      </w:r>
      <w:r w:rsidRPr="005C5C45">
        <w:rPr>
          <w:color w:val="auto"/>
        </w:rPr>
        <w:t>democracy</w:t>
      </w:r>
      <w:r w:rsidR="0002306F" w:rsidRPr="005C5C45">
        <w:rPr>
          <w:color w:val="auto"/>
        </w:rPr>
        <w:t xml:space="preserve"> and </w:t>
      </w:r>
      <w:r w:rsidRPr="005C5C45">
        <w:rPr>
          <w:color w:val="auto"/>
        </w:rPr>
        <w:t>to explain the relationship between the law and themselves</w:t>
      </w:r>
      <w:r w:rsidR="00ED2352" w:rsidRPr="005C5C45">
        <w:rPr>
          <w:color w:val="auto"/>
        </w:rPr>
        <w:t>;</w:t>
      </w:r>
    </w:p>
    <w:p w14:paraId="7D9AFA8A" w14:textId="77777777" w:rsidR="00156F1F" w:rsidRPr="005C5C45" w:rsidRDefault="002F09A2" w:rsidP="00156F1F">
      <w:pPr>
        <w:pStyle w:val="ListParagraph"/>
        <w:numPr>
          <w:ilvl w:val="0"/>
          <w:numId w:val="34"/>
        </w:numPr>
        <w:rPr>
          <w:color w:val="auto"/>
        </w:rPr>
      </w:pPr>
      <w:r w:rsidRPr="005C5C45">
        <w:rPr>
          <w:color w:val="auto"/>
        </w:rPr>
        <w:t xml:space="preserve">Through case studies and training activities, illustrate how </w:t>
      </w:r>
      <w:r w:rsidR="00156F1F" w:rsidRPr="005C5C45">
        <w:rPr>
          <w:color w:val="auto"/>
        </w:rPr>
        <w:t xml:space="preserve">open data </w:t>
      </w:r>
      <w:r w:rsidRPr="005C5C45">
        <w:rPr>
          <w:color w:val="auto"/>
        </w:rPr>
        <w:t>encourages transparency and openness through business and community involvement in government decision-making</w:t>
      </w:r>
      <w:r w:rsidR="00156F1F" w:rsidRPr="005C5C45">
        <w:rPr>
          <w:color w:val="auto"/>
        </w:rPr>
        <w:t>; and</w:t>
      </w:r>
    </w:p>
    <w:p w14:paraId="3D8A820F" w14:textId="30D2BF79" w:rsidR="00156F1F" w:rsidRPr="005C5C45" w:rsidRDefault="002F09A2" w:rsidP="00156F1F">
      <w:pPr>
        <w:pStyle w:val="ListParagraph"/>
        <w:numPr>
          <w:ilvl w:val="0"/>
          <w:numId w:val="34"/>
        </w:numPr>
        <w:rPr>
          <w:color w:val="auto"/>
        </w:rPr>
      </w:pPr>
      <w:r w:rsidRPr="005C5C45">
        <w:rPr>
          <w:color w:val="auto"/>
        </w:rPr>
        <w:t>Introduce a commitment to the online publication of all Ministers’ diaries</w:t>
      </w:r>
      <w:r w:rsidR="00156F1F" w:rsidRPr="005C5C45">
        <w:rPr>
          <w:color w:val="auto"/>
        </w:rPr>
        <w:t>.</w:t>
      </w:r>
    </w:p>
    <w:p w14:paraId="264089B2" w14:textId="77777777" w:rsidR="00802EA7" w:rsidRPr="005C5C45" w:rsidRDefault="00802EA7" w:rsidP="00F92BE1">
      <w:pPr>
        <w:pStyle w:val="Normalrglronly"/>
      </w:pPr>
    </w:p>
    <w:p w14:paraId="3ED611A0" w14:textId="2F2863CE" w:rsidR="00156F1F" w:rsidRPr="005C5C45" w:rsidRDefault="00062581" w:rsidP="00F92BE1">
      <w:pPr>
        <w:pStyle w:val="Normalrglronly"/>
      </w:pPr>
      <w:r w:rsidRPr="005C5C45">
        <w:lastRenderedPageBreak/>
        <w:t xml:space="preserve">As for </w:t>
      </w:r>
      <w:r w:rsidR="00AE1EAE" w:rsidRPr="005C5C45">
        <w:t>improving</w:t>
      </w:r>
      <w:r w:rsidR="002A1AF6" w:rsidRPr="005C5C45">
        <w:t xml:space="preserve"> the OGP </w:t>
      </w:r>
      <w:r w:rsidRPr="005C5C45">
        <w:t>process</w:t>
      </w:r>
      <w:r w:rsidR="002A1AF6" w:rsidRPr="005C5C45">
        <w:t>,</w:t>
      </w:r>
      <w:r w:rsidRPr="005C5C45">
        <w:t xml:space="preserve"> </w:t>
      </w:r>
      <w:r w:rsidR="00156F1F" w:rsidRPr="005C5C45">
        <w:t xml:space="preserve">the public </w:t>
      </w:r>
      <w:r w:rsidR="00C238AD" w:rsidRPr="005C5C45">
        <w:t xml:space="preserve">would like to </w:t>
      </w:r>
      <w:r w:rsidRPr="005C5C45">
        <w:t xml:space="preserve">improve the </w:t>
      </w:r>
      <w:r w:rsidR="00C238AD" w:rsidRPr="005C5C45">
        <w:t>co-creati</w:t>
      </w:r>
      <w:r w:rsidR="002A1AF6" w:rsidRPr="005C5C45">
        <w:t>on</w:t>
      </w:r>
      <w:r w:rsidR="00C238AD" w:rsidRPr="005C5C45">
        <w:t xml:space="preserve"> process</w:t>
      </w:r>
      <w:r w:rsidR="00B447EC">
        <w:t>—</w:t>
      </w:r>
      <w:r w:rsidR="00C238AD" w:rsidRPr="005C5C45">
        <w:t>within and outside of Wellington</w:t>
      </w:r>
      <w:r w:rsidR="00B447EC">
        <w:t>—</w:t>
      </w:r>
      <w:r w:rsidRPr="005C5C45">
        <w:t>by establishing</w:t>
      </w:r>
      <w:r w:rsidR="00C238AD" w:rsidRPr="005C5C45">
        <w:t xml:space="preserve"> relationships among the government, CSOs, and the general public </w:t>
      </w:r>
      <w:r w:rsidRPr="005C5C45">
        <w:t xml:space="preserve">early on </w:t>
      </w:r>
      <w:r w:rsidR="00C238AD" w:rsidRPr="005C5C45">
        <w:t xml:space="preserve">when developing the national action plan. </w:t>
      </w:r>
      <w:r w:rsidR="00AE1EAE" w:rsidRPr="005C5C45">
        <w:t xml:space="preserve">Stakeholders </w:t>
      </w:r>
      <w:r w:rsidR="00156F1F" w:rsidRPr="005C5C45">
        <w:t xml:space="preserve">expect the government to clearly </w:t>
      </w:r>
      <w:r w:rsidR="00D64606">
        <w:t>publish</w:t>
      </w:r>
      <w:r w:rsidR="00D64606" w:rsidRPr="005C5C45">
        <w:t xml:space="preserve"> </w:t>
      </w:r>
      <w:r w:rsidR="00156F1F" w:rsidRPr="005C5C45">
        <w:t xml:space="preserve">the timetable for participation and co-creation well in advance of the </w:t>
      </w:r>
      <w:r w:rsidR="00C238AD" w:rsidRPr="005C5C45">
        <w:t>commencement date</w:t>
      </w:r>
      <w:r w:rsidR="00156F1F" w:rsidRPr="005C5C45">
        <w:t xml:space="preserve">. They want </w:t>
      </w:r>
      <w:r w:rsidR="00C238AD" w:rsidRPr="005C5C45">
        <w:t xml:space="preserve">the process to include </w:t>
      </w:r>
      <w:r w:rsidR="00156F1F" w:rsidRPr="005C5C45">
        <w:t>dialogue with government about the public’s role in finalising the commitments</w:t>
      </w:r>
      <w:r w:rsidR="005244D6" w:rsidRPr="005C5C45">
        <w:t>,</w:t>
      </w:r>
      <w:r w:rsidR="00156F1F" w:rsidRPr="005C5C45">
        <w:t xml:space="preserve"> and</w:t>
      </w:r>
      <w:r w:rsidR="00D96B9B" w:rsidRPr="005C5C45">
        <w:t xml:space="preserve"> </w:t>
      </w:r>
      <w:r w:rsidR="005244D6" w:rsidRPr="005C5C45">
        <w:t>they want the government</w:t>
      </w:r>
      <w:r w:rsidR="00156F1F" w:rsidRPr="005C5C45">
        <w:t xml:space="preserve"> to work with civil society organisations to implement </w:t>
      </w:r>
      <w:r w:rsidR="005244D6" w:rsidRPr="005C5C45">
        <w:t>commitments</w:t>
      </w:r>
      <w:r w:rsidR="00156F1F" w:rsidRPr="005C5C45">
        <w:t xml:space="preserve"> jointly. </w:t>
      </w:r>
      <w:r w:rsidR="00E71300" w:rsidRPr="005C5C45">
        <w:t>This</w:t>
      </w:r>
      <w:r w:rsidR="00156F1F" w:rsidRPr="005C5C45">
        <w:t xml:space="preserve"> has been </w:t>
      </w:r>
      <w:r w:rsidR="00C238AD" w:rsidRPr="005C5C45">
        <w:t xml:space="preserve">an </w:t>
      </w:r>
      <w:r w:rsidR="00156F1F" w:rsidRPr="005C5C45">
        <w:t xml:space="preserve">established practice in the </w:t>
      </w:r>
      <w:r w:rsidR="00B65B13" w:rsidRPr="005C5C45">
        <w:t>New Zealand</w:t>
      </w:r>
      <w:r w:rsidR="00156F1F" w:rsidRPr="005C5C45">
        <w:t xml:space="preserve"> for its last two action plan cycles</w:t>
      </w:r>
      <w:r w:rsidR="00C238AD" w:rsidRPr="005C5C45">
        <w:t xml:space="preserve">, but still requires further improvement. </w:t>
      </w:r>
    </w:p>
    <w:p w14:paraId="356EF5BA" w14:textId="77777777" w:rsidR="00156F1F" w:rsidRPr="005C5C45" w:rsidRDefault="00156F1F" w:rsidP="00156F1F">
      <w:pPr>
        <w:pStyle w:val="Heading3"/>
      </w:pPr>
      <w:r w:rsidRPr="005C5C45">
        <w:t>5.2 IRM Recommendations</w:t>
      </w:r>
    </w:p>
    <w:p w14:paraId="0DB4D1FD" w14:textId="569295A7" w:rsidR="002F7E18" w:rsidRPr="005C5C45" w:rsidRDefault="00A0523B" w:rsidP="00F92BE1">
      <w:pPr>
        <w:pStyle w:val="Normalrglronly"/>
      </w:pPr>
      <w:r w:rsidRPr="005C5C45">
        <w:t xml:space="preserve">New Zealand’s second national action plan </w:t>
      </w:r>
      <w:r w:rsidR="001277AF">
        <w:t>focuses</w:t>
      </w:r>
      <w:r w:rsidRPr="005C5C45">
        <w:t xml:space="preserve"> mainly on improving government practice in the realm of access to information. The IRM researcher identifies specific content recommendations to build on the current action plan, as well as recommendations to enhance civic engagement in the overall OGP process. </w:t>
      </w:r>
    </w:p>
    <w:p w14:paraId="7CD5A8CC" w14:textId="53916B61" w:rsidR="00CE601D" w:rsidRPr="005C5C45" w:rsidRDefault="00097DD9" w:rsidP="00F92BE1">
      <w:pPr>
        <w:pStyle w:val="Normalrglronly"/>
      </w:pPr>
      <w:r w:rsidRPr="005C5C45">
        <w:t>The</w:t>
      </w:r>
      <w:r w:rsidR="007E105B" w:rsidRPr="005C5C45">
        <w:t xml:space="preserve"> IRM Researcher supports the government’s proposal, expressed by email </w:t>
      </w:r>
      <w:r w:rsidR="009471FB">
        <w:t xml:space="preserve">from the State Services Commission </w:t>
      </w:r>
      <w:r w:rsidR="007E105B" w:rsidRPr="005C5C45">
        <w:t xml:space="preserve">to the IRM on 22 December </w:t>
      </w:r>
      <w:proofErr w:type="gramStart"/>
      <w:r w:rsidR="007E105B" w:rsidRPr="005C5C45">
        <w:t>2017, that</w:t>
      </w:r>
      <w:proofErr w:type="gramEnd"/>
      <w:r w:rsidR="007E105B" w:rsidRPr="005C5C45">
        <w:t xml:space="preserve"> </w:t>
      </w:r>
      <w:r w:rsidR="00415346">
        <w:t>‘</w:t>
      </w:r>
      <w:r w:rsidR="007E105B" w:rsidRPr="005C5C45">
        <w:t>the national action plan would be more representative of a partnership approach if civil society also entered into commitments either on its own or in partnership with government</w:t>
      </w:r>
      <w:r w:rsidR="00B447EC">
        <w:t>’.</w:t>
      </w:r>
      <w:r w:rsidR="007E105B" w:rsidRPr="005C5C45">
        <w:t xml:space="preserve"> The </w:t>
      </w:r>
      <w:proofErr w:type="gramStart"/>
      <w:r w:rsidR="007E105B" w:rsidRPr="005C5C45">
        <w:t>recommendations which follow</w:t>
      </w:r>
      <w:proofErr w:type="gramEnd"/>
      <w:r w:rsidR="007E105B" w:rsidRPr="005C5C45">
        <w:t xml:space="preserve"> provide a starting point for that discussion with the public, including how to achieve this result successfully from the perspectives of the </w:t>
      </w:r>
      <w:r w:rsidR="001277AF">
        <w:t>g</w:t>
      </w:r>
      <w:r w:rsidR="007E105B" w:rsidRPr="005C5C45">
        <w:t>overnment, government officials and civil society.</w:t>
      </w:r>
      <w:r w:rsidR="002F7E18" w:rsidRPr="005C5C45">
        <w:t xml:space="preserve"> This would include aligning new activities with open government objectives as well as completing current commitments.</w:t>
      </w:r>
    </w:p>
    <w:p w14:paraId="2BB99E36" w14:textId="77777777" w:rsidR="002D0984" w:rsidRPr="005C5C45" w:rsidRDefault="002D0984" w:rsidP="002D0984">
      <w:pPr>
        <w:pStyle w:val="Heading4"/>
      </w:pPr>
      <w:r w:rsidRPr="005C5C45">
        <w:t>E</w:t>
      </w:r>
      <w:r w:rsidRPr="005C5C45" w:rsidDel="00727A75">
        <w:t xml:space="preserve">xpand the Expert Advisory Panel to include </w:t>
      </w:r>
      <w:r w:rsidRPr="005C5C45">
        <w:t xml:space="preserve">greater </w:t>
      </w:r>
      <w:r w:rsidRPr="005C5C45" w:rsidDel="00727A75">
        <w:t>civil society representa</w:t>
      </w:r>
      <w:r w:rsidRPr="005C5C45">
        <w:t>tion</w:t>
      </w:r>
    </w:p>
    <w:p w14:paraId="0AF73A16" w14:textId="741004AD" w:rsidR="002D0984" w:rsidRPr="005C5C45" w:rsidRDefault="002D0984" w:rsidP="00F92BE1">
      <w:pPr>
        <w:pStyle w:val="Normalrglronly"/>
      </w:pPr>
      <w:r w:rsidRPr="005C5C45">
        <w:t>As stated in Section III of this report, there is not enough evidence that the Expert Advisory Panel (EAP) has adequately fulfilled its role as a forum to enable regular multi</w:t>
      </w:r>
      <w:r w:rsidR="00B447EC">
        <w:t>-</w:t>
      </w:r>
      <w:r w:rsidRPr="005C5C45">
        <w:t xml:space="preserve">stakeholder consultation on OGP implementation. While the EAP was involved in the development and implementation of the 2016-2018 action plan, there is no evidence that the EAP is seeking out the views of other CSOs or the general public when conducting its activities. This goes against the co-creation spirit </w:t>
      </w:r>
      <w:r w:rsidR="00D22351">
        <w:t xml:space="preserve">of </w:t>
      </w:r>
      <w:r w:rsidRPr="005C5C45">
        <w:t>OGP</w:t>
      </w:r>
      <w:r w:rsidR="00D22351">
        <w:t>.</w:t>
      </w:r>
    </w:p>
    <w:p w14:paraId="3B127399" w14:textId="6B656C39" w:rsidR="002D0984" w:rsidRPr="005C5C45" w:rsidRDefault="002D0984" w:rsidP="00F92BE1">
      <w:pPr>
        <w:pStyle w:val="Normalrglronly"/>
      </w:pPr>
      <w:r w:rsidRPr="005C5C45">
        <w:t xml:space="preserve">Although the EAP should continue its work beyond June 2018, the IRM researcher recommends the EAP’s Terms of Reference be amended to add civil society representatives elected by civil society, and ensure that all EAP members undertake regular OGP engagement with the public. This will provide a broader civil society voice than at present and broadcast government’s public engagement commitment. Membership within the EAP should also be regularly </w:t>
      </w:r>
      <w:r w:rsidR="007371AA">
        <w:t>rotated</w:t>
      </w:r>
      <w:r w:rsidRPr="005C5C45">
        <w:t>. The EAP could consider what incentives could be offered to encourage the broader civil society voice.</w:t>
      </w:r>
    </w:p>
    <w:p w14:paraId="1348FF93" w14:textId="7614E883" w:rsidR="002D0984" w:rsidRPr="005C5C45" w:rsidRDefault="002D0984" w:rsidP="00F92BE1">
      <w:pPr>
        <w:pStyle w:val="Normalrglronly"/>
      </w:pPr>
      <w:r w:rsidRPr="005C5C45">
        <w:t>The next action plan should set a strategic goal to raise its International Association for Public Participation (IAP2) level from the present ‘involve’ or ‘consult’ to ‘collaborate’</w:t>
      </w:r>
      <w:r w:rsidR="00B447EC">
        <w:t>.</w:t>
      </w:r>
      <w:r w:rsidRPr="005C5C45">
        <w:t xml:space="preserve"> </w:t>
      </w:r>
    </w:p>
    <w:p w14:paraId="728164FE" w14:textId="77777777" w:rsidR="00A0523B" w:rsidRPr="005C5C45" w:rsidRDefault="00A0523B" w:rsidP="00A0523B">
      <w:pPr>
        <w:pStyle w:val="Heading4"/>
      </w:pPr>
      <w:r w:rsidRPr="005C5C45" w:rsidDel="00727A75">
        <w:t xml:space="preserve">Reform </w:t>
      </w:r>
      <w:r w:rsidR="00E552EE" w:rsidRPr="005C5C45">
        <w:t>official i</w:t>
      </w:r>
      <w:r w:rsidR="007576A5" w:rsidRPr="005C5C45">
        <w:t xml:space="preserve">nformation </w:t>
      </w:r>
      <w:r w:rsidR="00E552EE" w:rsidRPr="005C5C45">
        <w:t>laws</w:t>
      </w:r>
      <w:r w:rsidRPr="005C5C45" w:rsidDel="00727A75">
        <w:t xml:space="preserve"> </w:t>
      </w:r>
      <w:r w:rsidR="003415A2" w:rsidRPr="005C5C45">
        <w:t xml:space="preserve">and </w:t>
      </w:r>
      <w:r w:rsidR="00C5007E" w:rsidRPr="005C5C45">
        <w:t xml:space="preserve">refocus the Open Data and Information Programme </w:t>
      </w:r>
      <w:r w:rsidR="00E879D2" w:rsidRPr="005C5C45">
        <w:t>to publish social, environmental, and budget expenditure data</w:t>
      </w:r>
    </w:p>
    <w:p w14:paraId="690C661F" w14:textId="5B1CED7D" w:rsidR="003415A2" w:rsidRPr="005C5C45" w:rsidRDefault="006B7DEB" w:rsidP="00F92BE1">
      <w:pPr>
        <w:pStyle w:val="Normalrglronly"/>
      </w:pPr>
      <w:r w:rsidRPr="005C5C45">
        <w:t xml:space="preserve">Commitments on access to information and </w:t>
      </w:r>
      <w:r w:rsidR="00023A9F" w:rsidRPr="005C5C45">
        <w:t>open data</w:t>
      </w:r>
      <w:r w:rsidRPr="005C5C45">
        <w:t xml:space="preserve"> practices have been a focus of N</w:t>
      </w:r>
      <w:r w:rsidR="00F92BE1" w:rsidRPr="005C5C45">
        <w:t xml:space="preserve">ew </w:t>
      </w:r>
      <w:r w:rsidRPr="005C5C45">
        <w:t>Z</w:t>
      </w:r>
      <w:r w:rsidR="00F92BE1" w:rsidRPr="005C5C45">
        <w:t>ealand</w:t>
      </w:r>
      <w:r w:rsidRPr="005C5C45">
        <w:t xml:space="preserve"> national action plans. </w:t>
      </w:r>
      <w:r w:rsidR="00661CC0" w:rsidRPr="005C5C45">
        <w:t>While N</w:t>
      </w:r>
      <w:r w:rsidR="00F92BE1" w:rsidRPr="005C5C45">
        <w:t xml:space="preserve">ew </w:t>
      </w:r>
      <w:r w:rsidR="00661CC0" w:rsidRPr="005C5C45">
        <w:t>Z</w:t>
      </w:r>
      <w:r w:rsidR="00F92BE1" w:rsidRPr="005C5C45">
        <w:t>ealand</w:t>
      </w:r>
      <w:r w:rsidR="00661CC0" w:rsidRPr="005C5C45">
        <w:t xml:space="preserve"> traditionally has had </w:t>
      </w:r>
      <w:r w:rsidR="009504F3" w:rsidRPr="005C5C45">
        <w:t xml:space="preserve">high RTI ratings, </w:t>
      </w:r>
      <w:r w:rsidR="00F70E45">
        <w:t>S</w:t>
      </w:r>
      <w:r w:rsidR="009504F3" w:rsidRPr="005C5C45">
        <w:t xml:space="preserve">ection II of this report clearly demonstrates how the Official Information Act </w:t>
      </w:r>
      <w:r w:rsidR="00B65B13" w:rsidRPr="005C5C45">
        <w:t xml:space="preserve">1982 </w:t>
      </w:r>
      <w:r w:rsidR="009504F3" w:rsidRPr="005C5C45">
        <w:t>(OIA) has been criticized for allow</w:t>
      </w:r>
      <w:r w:rsidR="00170EF1" w:rsidRPr="005C5C45">
        <w:t>ing</w:t>
      </w:r>
      <w:r w:rsidR="009504F3" w:rsidRPr="005C5C45">
        <w:t xml:space="preserve"> government agencies to delay information</w:t>
      </w:r>
      <w:r w:rsidR="00F70E45">
        <w:t xml:space="preserve"> requests</w:t>
      </w:r>
      <w:r w:rsidR="009504F3" w:rsidRPr="005C5C45">
        <w:t xml:space="preserve"> and </w:t>
      </w:r>
      <w:r w:rsidR="00B65B13" w:rsidRPr="005C5C45">
        <w:t>for</w:t>
      </w:r>
      <w:r w:rsidR="00F70E45">
        <w:t xml:space="preserve"> requiring</w:t>
      </w:r>
      <w:r w:rsidR="00170EF1" w:rsidRPr="005C5C45">
        <w:t xml:space="preserve"> fees. Due to these criticisms, reforming information laws is a top priority for the new parliamentary term. The IRM researcher recommends the following actions</w:t>
      </w:r>
      <w:r w:rsidR="007576A5" w:rsidRPr="005C5C45">
        <w:t xml:space="preserve"> when amending </w:t>
      </w:r>
      <w:r w:rsidR="002F7E18" w:rsidRPr="005C5C45">
        <w:t xml:space="preserve">the </w:t>
      </w:r>
      <w:r w:rsidR="007576A5" w:rsidRPr="005C5C45">
        <w:t>OIA</w:t>
      </w:r>
      <w:r w:rsidR="00170EF1" w:rsidRPr="005C5C45">
        <w:t xml:space="preserve">: </w:t>
      </w:r>
    </w:p>
    <w:p w14:paraId="1BB6AB39" w14:textId="444281AF" w:rsidR="00170EF1" w:rsidRPr="005C5C45" w:rsidRDefault="001E37CD" w:rsidP="00170EF1">
      <w:pPr>
        <w:pStyle w:val="NormalWeb"/>
        <w:numPr>
          <w:ilvl w:val="0"/>
          <w:numId w:val="40"/>
        </w:numPr>
        <w:shd w:val="clear" w:color="auto" w:fill="FFFFFF"/>
        <w:spacing w:before="0" w:beforeAutospacing="0" w:after="0" w:afterAutospacing="0"/>
        <w:rPr>
          <w:rFonts w:ascii="Gill Sans" w:hAnsi="Gill Sans" w:cs="Gill Sans"/>
          <w:color w:val="222222"/>
        </w:rPr>
      </w:pPr>
      <w:r>
        <w:rPr>
          <w:rFonts w:ascii="Gill Sans" w:hAnsi="Gill Sans" w:cs="Gill Sans"/>
          <w:color w:val="222222"/>
        </w:rPr>
        <w:lastRenderedPageBreak/>
        <w:t>Align</w:t>
      </w:r>
      <w:r w:rsidRPr="005C5C45">
        <w:rPr>
          <w:rFonts w:ascii="Gill Sans" w:hAnsi="Gill Sans" w:cs="Gill Sans"/>
          <w:color w:val="222222"/>
        </w:rPr>
        <w:t xml:space="preserve"> </w:t>
      </w:r>
      <w:r w:rsidR="00170EF1" w:rsidRPr="005C5C45">
        <w:rPr>
          <w:rFonts w:ascii="Gill Sans" w:hAnsi="Gill Sans" w:cs="Gill Sans"/>
          <w:color w:val="222222"/>
        </w:rPr>
        <w:t xml:space="preserve">OIA eligibility </w:t>
      </w:r>
      <w:r>
        <w:rPr>
          <w:rFonts w:ascii="Gill Sans" w:hAnsi="Gill Sans" w:cs="Gill Sans"/>
          <w:color w:val="222222"/>
        </w:rPr>
        <w:t>for requests</w:t>
      </w:r>
      <w:r w:rsidR="00EF5341" w:rsidRPr="005C5C45">
        <w:rPr>
          <w:rFonts w:ascii="Gill Sans" w:hAnsi="Gill Sans" w:cs="Gill Sans"/>
          <w:color w:val="222222"/>
        </w:rPr>
        <w:t xml:space="preserve"> </w:t>
      </w:r>
      <w:r w:rsidR="00170EF1" w:rsidRPr="005C5C45">
        <w:rPr>
          <w:rFonts w:ascii="Gill Sans" w:hAnsi="Gill Sans" w:cs="Gill Sans"/>
          <w:color w:val="222222"/>
        </w:rPr>
        <w:t xml:space="preserve">with </w:t>
      </w:r>
      <w:r w:rsidR="00EF5341" w:rsidRPr="005C5C45">
        <w:rPr>
          <w:rFonts w:ascii="Gill Sans" w:hAnsi="Gill Sans" w:cs="Gill Sans"/>
          <w:color w:val="222222"/>
        </w:rPr>
        <w:t xml:space="preserve">eligibility of </w:t>
      </w:r>
      <w:r w:rsidR="00170EF1" w:rsidRPr="005C5C45">
        <w:rPr>
          <w:rFonts w:ascii="Gill Sans" w:hAnsi="Gill Sans" w:cs="Gill Sans"/>
          <w:color w:val="222222"/>
        </w:rPr>
        <w:t>the Local Government Official Information and Meetings Act 1987 (i.e. removing the residence and citizenship requirements to make a request);</w:t>
      </w:r>
    </w:p>
    <w:p w14:paraId="49D37C21" w14:textId="2F47D6F7" w:rsidR="00170EF1" w:rsidRPr="005C5C45" w:rsidRDefault="002F7E18" w:rsidP="00170EF1">
      <w:pPr>
        <w:pStyle w:val="NormalWeb"/>
        <w:numPr>
          <w:ilvl w:val="0"/>
          <w:numId w:val="40"/>
        </w:numPr>
        <w:shd w:val="clear" w:color="auto" w:fill="FFFFFF"/>
        <w:spacing w:before="0" w:beforeAutospacing="0" w:after="0" w:afterAutospacing="0"/>
        <w:rPr>
          <w:rFonts w:ascii="Gill Sans" w:hAnsi="Gill Sans" w:cs="Gill Sans"/>
          <w:color w:val="222222"/>
        </w:rPr>
      </w:pPr>
      <w:r w:rsidRPr="005C5C45">
        <w:rPr>
          <w:rFonts w:ascii="Gill Sans" w:hAnsi="Gill Sans" w:cs="Gill Sans"/>
          <w:color w:val="222222"/>
        </w:rPr>
        <w:t>A</w:t>
      </w:r>
      <w:r w:rsidR="007E105B" w:rsidRPr="005C5C45">
        <w:rPr>
          <w:rFonts w:ascii="Gill Sans" w:hAnsi="Gill Sans" w:cs="Gill Sans"/>
          <w:color w:val="222222"/>
        </w:rPr>
        <w:t>pply the OIA to certain parliamentary information</w:t>
      </w:r>
      <w:r w:rsidR="00BA44D7" w:rsidRPr="005C5C45">
        <w:rPr>
          <w:rFonts w:ascii="Gill Sans" w:hAnsi="Gill Sans" w:cs="Gill Sans"/>
          <w:color w:val="222222"/>
        </w:rPr>
        <w:t>, excluding Members of Parliament’s constituency work</w:t>
      </w:r>
      <w:r w:rsidR="00170EF1" w:rsidRPr="005C5C45">
        <w:rPr>
          <w:rFonts w:ascii="Gill Sans" w:hAnsi="Gill Sans" w:cs="Gill Sans"/>
          <w:color w:val="222222"/>
        </w:rPr>
        <w:t>;</w:t>
      </w:r>
    </w:p>
    <w:p w14:paraId="514DD055" w14:textId="358684D4" w:rsidR="00170EF1" w:rsidRPr="005C5C45" w:rsidRDefault="002A1AF6" w:rsidP="00170EF1">
      <w:pPr>
        <w:pStyle w:val="NormalWeb"/>
        <w:numPr>
          <w:ilvl w:val="0"/>
          <w:numId w:val="40"/>
        </w:numPr>
        <w:shd w:val="clear" w:color="auto" w:fill="FFFFFF"/>
        <w:spacing w:before="0" w:beforeAutospacing="0" w:after="0" w:afterAutospacing="0"/>
        <w:rPr>
          <w:rFonts w:ascii="Gill Sans" w:hAnsi="Gill Sans" w:cs="Gill Sans"/>
          <w:color w:val="222222"/>
        </w:rPr>
      </w:pPr>
      <w:r w:rsidRPr="005C5C45">
        <w:rPr>
          <w:rFonts w:ascii="Gill Sans" w:hAnsi="Gill Sans" w:cs="Gill Sans"/>
          <w:color w:val="222222"/>
        </w:rPr>
        <w:t>A</w:t>
      </w:r>
      <w:r w:rsidR="00170EF1" w:rsidRPr="005C5C45">
        <w:rPr>
          <w:rFonts w:ascii="Gill Sans" w:hAnsi="Gill Sans" w:cs="Gill Sans"/>
          <w:color w:val="222222"/>
        </w:rPr>
        <w:t>dd proactive release to the OIA protection against certain actions (</w:t>
      </w:r>
      <w:r w:rsidR="001E37CD">
        <w:rPr>
          <w:rFonts w:ascii="Arial" w:hAnsi="Arial" w:cs="Arial"/>
          <w:color w:val="222222"/>
        </w:rPr>
        <w:t>§</w:t>
      </w:r>
      <w:r w:rsidR="00170EF1" w:rsidRPr="005C5C45">
        <w:rPr>
          <w:rFonts w:ascii="Gill Sans" w:hAnsi="Gill Sans" w:cs="Gill Sans"/>
          <w:color w:val="222222"/>
        </w:rPr>
        <w:t>48);</w:t>
      </w:r>
    </w:p>
    <w:p w14:paraId="313E3E9F" w14:textId="04A280A7" w:rsidR="00170EF1" w:rsidRPr="005C5C45" w:rsidRDefault="002A1AF6" w:rsidP="00170EF1">
      <w:pPr>
        <w:pStyle w:val="NormalWeb"/>
        <w:numPr>
          <w:ilvl w:val="0"/>
          <w:numId w:val="40"/>
        </w:numPr>
        <w:shd w:val="clear" w:color="auto" w:fill="FFFFFF"/>
        <w:spacing w:before="0" w:beforeAutospacing="0" w:after="0" w:afterAutospacing="0"/>
        <w:rPr>
          <w:rFonts w:ascii="Gill Sans" w:hAnsi="Gill Sans" w:cs="Gill Sans"/>
          <w:color w:val="222222"/>
        </w:rPr>
      </w:pPr>
      <w:r w:rsidRPr="005C5C45">
        <w:rPr>
          <w:rFonts w:ascii="Gill Sans" w:hAnsi="Gill Sans" w:cs="Gill Sans"/>
          <w:color w:val="222222"/>
        </w:rPr>
        <w:t>A</w:t>
      </w:r>
      <w:r w:rsidR="00170EF1" w:rsidRPr="005C5C45">
        <w:rPr>
          <w:rFonts w:ascii="Gill Sans" w:hAnsi="Gill Sans" w:cs="Gill Sans"/>
          <w:color w:val="222222"/>
        </w:rPr>
        <w:t>mend the OIA withholding grounds (</w:t>
      </w:r>
      <w:r w:rsidR="001E37CD">
        <w:rPr>
          <w:rFonts w:ascii="Arial" w:hAnsi="Arial" w:cs="Arial"/>
          <w:color w:val="222222"/>
        </w:rPr>
        <w:t>§</w:t>
      </w:r>
      <w:r w:rsidR="00170EF1" w:rsidRPr="005C5C45">
        <w:rPr>
          <w:rFonts w:ascii="Gill Sans" w:hAnsi="Gill Sans" w:cs="Gill Sans"/>
          <w:color w:val="222222"/>
        </w:rPr>
        <w:t>6) to make them subject to a public interest override;</w:t>
      </w:r>
    </w:p>
    <w:p w14:paraId="3BF52943" w14:textId="77777777" w:rsidR="00170EF1" w:rsidRPr="005C5C45" w:rsidRDefault="002A1AF6" w:rsidP="00170EF1">
      <w:pPr>
        <w:pStyle w:val="NormalWeb"/>
        <w:numPr>
          <w:ilvl w:val="0"/>
          <w:numId w:val="40"/>
        </w:numPr>
        <w:shd w:val="clear" w:color="auto" w:fill="FFFFFF"/>
        <w:spacing w:before="0" w:beforeAutospacing="0" w:after="0" w:afterAutospacing="0"/>
        <w:rPr>
          <w:rFonts w:ascii="Gill Sans" w:hAnsi="Gill Sans" w:cs="Gill Sans"/>
          <w:color w:val="222222"/>
        </w:rPr>
      </w:pPr>
      <w:r w:rsidRPr="005C5C45">
        <w:rPr>
          <w:rFonts w:ascii="Gill Sans" w:hAnsi="Gill Sans" w:cs="Gill Sans"/>
          <w:color w:val="222222"/>
        </w:rPr>
        <w:t>E</w:t>
      </w:r>
      <w:r w:rsidR="00170EF1" w:rsidRPr="005C5C45">
        <w:rPr>
          <w:rFonts w:ascii="Gill Sans" w:hAnsi="Gill Sans" w:cs="Gill Sans"/>
          <w:color w:val="222222"/>
        </w:rPr>
        <w:t>xtend the scope so the OIA applies directly to private organisations providing public services under contract; and</w:t>
      </w:r>
    </w:p>
    <w:p w14:paraId="473CBE77" w14:textId="77777777" w:rsidR="00170EF1" w:rsidRPr="005C5C45" w:rsidRDefault="002A1AF6" w:rsidP="00170EF1">
      <w:pPr>
        <w:pStyle w:val="NormalWeb"/>
        <w:numPr>
          <w:ilvl w:val="0"/>
          <w:numId w:val="40"/>
        </w:numPr>
        <w:shd w:val="clear" w:color="auto" w:fill="FFFFFF"/>
        <w:spacing w:before="0" w:beforeAutospacing="0" w:after="0" w:afterAutospacing="0"/>
        <w:rPr>
          <w:rFonts w:ascii="Gill Sans" w:hAnsi="Gill Sans" w:cs="Gill Sans"/>
          <w:color w:val="222222"/>
        </w:rPr>
      </w:pPr>
      <w:r w:rsidRPr="005C5C45">
        <w:rPr>
          <w:rFonts w:ascii="Gill Sans" w:hAnsi="Gill Sans" w:cs="Gill Sans"/>
          <w:color w:val="222222"/>
        </w:rPr>
        <w:t>P</w:t>
      </w:r>
      <w:r w:rsidR="00170EF1" w:rsidRPr="005C5C45">
        <w:rPr>
          <w:rFonts w:ascii="Gill Sans" w:hAnsi="Gill Sans" w:cs="Gill Sans"/>
          <w:color w:val="222222"/>
        </w:rPr>
        <w:t>rovid</w:t>
      </w:r>
      <w:r w:rsidRPr="005C5C45">
        <w:rPr>
          <w:rFonts w:ascii="Gill Sans" w:hAnsi="Gill Sans" w:cs="Gill Sans"/>
          <w:color w:val="222222"/>
        </w:rPr>
        <w:t>e</w:t>
      </w:r>
      <w:r w:rsidR="00170EF1" w:rsidRPr="005C5C45">
        <w:rPr>
          <w:rFonts w:ascii="Gill Sans" w:hAnsi="Gill Sans" w:cs="Gill Sans"/>
          <w:color w:val="222222"/>
        </w:rPr>
        <w:t xml:space="preserve"> the Ombudsman with powers to specify what kinds of information government agencies should proactively publish.</w:t>
      </w:r>
    </w:p>
    <w:p w14:paraId="2645D09E" w14:textId="77777777" w:rsidR="00802EA7" w:rsidRPr="005C5C45" w:rsidRDefault="00802EA7" w:rsidP="00F92BE1">
      <w:pPr>
        <w:pStyle w:val="Normalrglronly"/>
      </w:pPr>
    </w:p>
    <w:p w14:paraId="58D24C81" w14:textId="0EAB9C82" w:rsidR="00EF7F5E" w:rsidRPr="005C5C45" w:rsidRDefault="00EF7F5E" w:rsidP="00F92BE1">
      <w:pPr>
        <w:pStyle w:val="Normalrglronly"/>
      </w:pPr>
      <w:r w:rsidRPr="005C5C45">
        <w:t xml:space="preserve">The Open Government Information and Data Programme makes public government-held information for people, communities, and businesses to reuse. While this </w:t>
      </w:r>
      <w:r w:rsidR="00B65B13" w:rsidRPr="005C5C45">
        <w:t xml:space="preserve">and the first </w:t>
      </w:r>
      <w:r w:rsidRPr="005C5C45">
        <w:t>action plan ha</w:t>
      </w:r>
      <w:r w:rsidR="00B65B13" w:rsidRPr="005C5C45">
        <w:t>ve</w:t>
      </w:r>
      <w:r w:rsidRPr="005C5C45">
        <w:t xml:space="preserve"> addressed open data access and practices, the IRM researcher recommends that the next action plan also include commitments on open data</w:t>
      </w:r>
      <w:r w:rsidR="00E8556F" w:rsidRPr="005C5C45">
        <w:t xml:space="preserve"> and focus on identified user demand</w:t>
      </w:r>
      <w:r w:rsidRPr="005C5C45">
        <w:t xml:space="preserve">. </w:t>
      </w:r>
      <w:r w:rsidR="00E8556F" w:rsidRPr="005C5C45">
        <w:t>This</w:t>
      </w:r>
      <w:r w:rsidRPr="005C5C45">
        <w:t xml:space="preserve"> should include regular open format publishing of government’s open and aggregated social</w:t>
      </w:r>
      <w:r w:rsidR="00364DCF" w:rsidRPr="005C5C45">
        <w:t xml:space="preserve"> </w:t>
      </w:r>
      <w:r w:rsidR="00514049" w:rsidRPr="005C5C45">
        <w:t>(</w:t>
      </w:r>
      <w:r w:rsidR="00364DCF" w:rsidRPr="005C5C45">
        <w:t>including</w:t>
      </w:r>
      <w:r w:rsidRPr="005C5C45">
        <w:t xml:space="preserve"> housing</w:t>
      </w:r>
      <w:r w:rsidR="00514049" w:rsidRPr="005C5C45">
        <w:t>)</w:t>
      </w:r>
      <w:r w:rsidRPr="005C5C45">
        <w:t xml:space="preserve"> data</w:t>
      </w:r>
      <w:r w:rsidR="00802EA7" w:rsidRPr="005C5C45">
        <w:t xml:space="preserve">, as anticipated in the previous IRM researcher’s recommendation </w:t>
      </w:r>
      <w:r w:rsidR="00A6359A" w:rsidRPr="005C5C45">
        <w:t>three</w:t>
      </w:r>
      <w:r w:rsidR="008E43B9" w:rsidRPr="005C5C45">
        <w:t xml:space="preserve"> and </w:t>
      </w:r>
      <w:r w:rsidR="00B871BE">
        <w:t xml:space="preserve">to go some way towards addressing </w:t>
      </w:r>
      <w:r w:rsidR="008E43B9" w:rsidRPr="005C5C45">
        <w:t xml:space="preserve">Government’s decision to stop publishing </w:t>
      </w:r>
      <w:r w:rsidR="008E43B9" w:rsidRPr="005C5C45">
        <w:rPr>
          <w:i/>
        </w:rPr>
        <w:t>The Social Report</w:t>
      </w:r>
      <w:r w:rsidRPr="005C5C45">
        <w:t xml:space="preserve">. Reporting on environmental outcomes should also continue, and reporting on </w:t>
      </w:r>
      <w:r w:rsidR="00B65B13" w:rsidRPr="005C5C45">
        <w:t xml:space="preserve">actual </w:t>
      </w:r>
      <w:r w:rsidRPr="005C5C45">
        <w:t xml:space="preserve">budget expenditure and public </w:t>
      </w:r>
      <w:r w:rsidR="00B65B13" w:rsidRPr="005C5C45">
        <w:t xml:space="preserve">procurement </w:t>
      </w:r>
      <w:r w:rsidRPr="005C5C45">
        <w:t>contracts should be expanded</w:t>
      </w:r>
      <w:r w:rsidR="00E8556F" w:rsidRPr="005C5C45">
        <w:t xml:space="preserve">, as </w:t>
      </w:r>
      <w:r w:rsidR="00243932">
        <w:t>suggested</w:t>
      </w:r>
      <w:r w:rsidR="00243932" w:rsidRPr="005C5C45">
        <w:t xml:space="preserve"> </w:t>
      </w:r>
      <w:r w:rsidR="00E8556F" w:rsidRPr="005C5C45">
        <w:t>during consultation on the first and second action plans</w:t>
      </w:r>
      <w:r w:rsidRPr="005C5C45">
        <w:t xml:space="preserve">. </w:t>
      </w:r>
      <w:r w:rsidR="00802EA7" w:rsidRPr="005C5C45">
        <w:t xml:space="preserve">As these datasets are assessed annually in the Open Data Barometer, this activity could </w:t>
      </w:r>
      <w:r w:rsidR="00E8556F" w:rsidRPr="005C5C45">
        <w:t xml:space="preserve">also </w:t>
      </w:r>
      <w:r w:rsidR="00802EA7" w:rsidRPr="005C5C45">
        <w:t xml:space="preserve">improve the government’s </w:t>
      </w:r>
      <w:r w:rsidR="00E8556F" w:rsidRPr="005C5C45">
        <w:t xml:space="preserve">ODB </w:t>
      </w:r>
      <w:r w:rsidR="00802EA7" w:rsidRPr="005C5C45">
        <w:t>implementation scor</w:t>
      </w:r>
      <w:r w:rsidR="00E8556F" w:rsidRPr="005C5C45">
        <w:t>e</w:t>
      </w:r>
      <w:r w:rsidR="00802EA7" w:rsidRPr="005C5C45">
        <w:t xml:space="preserve"> (currently 58%)</w:t>
      </w:r>
      <w:r w:rsidR="00E8556F" w:rsidRPr="005C5C45">
        <w:t>.</w:t>
      </w:r>
    </w:p>
    <w:p w14:paraId="16CDCFDE" w14:textId="77777777" w:rsidR="00A0523B" w:rsidRPr="005C5C45" w:rsidRDefault="002853D7" w:rsidP="00A0523B">
      <w:pPr>
        <w:pStyle w:val="Heading4"/>
      </w:pPr>
      <w:r w:rsidRPr="005C5C45">
        <w:t>Develop</w:t>
      </w:r>
      <w:r w:rsidR="00A0523B" w:rsidRPr="005C5C45" w:rsidDel="00727A75">
        <w:t xml:space="preserve"> standards for public consultation on policy initiatives </w:t>
      </w:r>
    </w:p>
    <w:p w14:paraId="178C4179" w14:textId="72B5005E" w:rsidR="00EF7F5E" w:rsidRPr="005C5C45" w:rsidRDefault="00C45381" w:rsidP="00F92BE1">
      <w:pPr>
        <w:pStyle w:val="Normalrglronly"/>
      </w:pPr>
      <w:r w:rsidRPr="005C5C45">
        <w:t xml:space="preserve">The previous IRM researcher </w:t>
      </w:r>
      <w:r w:rsidR="00394A82" w:rsidRPr="005C5C45">
        <w:t xml:space="preserve">recommended that the NZ government </w:t>
      </w:r>
      <w:r w:rsidR="00415346">
        <w:t>‘</w:t>
      </w:r>
      <w:r w:rsidR="00394A82" w:rsidRPr="005C5C45">
        <w:t>create a set of robust and government-wide practices in collaboration with civil society concerning timely consultation on new bills, regulation, and policy</w:t>
      </w:r>
      <w:r w:rsidR="00B447EC">
        <w:t>’.</w:t>
      </w:r>
      <w:r w:rsidR="00B65B13" w:rsidRPr="003872CE">
        <w:rPr>
          <w:rStyle w:val="EndnoteReference"/>
        </w:rPr>
        <w:endnoteReference w:id="167"/>
      </w:r>
      <w:r w:rsidR="00394A82" w:rsidRPr="005C5C45">
        <w:t xml:space="preserve"> As mentioned in Section III, this recommendation was not addressed, nor was it integrated into the current action plan. </w:t>
      </w:r>
      <w:r w:rsidR="00233E47" w:rsidRPr="005C5C45">
        <w:t xml:space="preserve">The IRM researcher </w:t>
      </w:r>
      <w:r w:rsidR="009E4BF1" w:rsidRPr="005C5C45">
        <w:t>recommends the NZ government co-create, adopt, an</w:t>
      </w:r>
      <w:r w:rsidR="00243932">
        <w:t>d</w:t>
      </w:r>
      <w:r w:rsidR="009E4BF1" w:rsidRPr="005C5C45">
        <w:t xml:space="preserve"> implement government policy to set out minimum standards for public consultation on policy initiatives and changes to service delivery. This policy should draw on international standards as articulated by the IAP2. </w:t>
      </w:r>
    </w:p>
    <w:p w14:paraId="7AB87D85" w14:textId="77777777" w:rsidR="002D0984" w:rsidRPr="005C5C45" w:rsidRDefault="002D0984" w:rsidP="002D0984">
      <w:pPr>
        <w:pStyle w:val="Heading4"/>
      </w:pPr>
      <w:r w:rsidRPr="005C5C45">
        <w:t xml:space="preserve">Include anti-corruption commitments in the next action plan </w:t>
      </w:r>
    </w:p>
    <w:p w14:paraId="12B44ADC" w14:textId="77777777" w:rsidR="00EF7F5E" w:rsidRPr="005C5C45" w:rsidRDefault="00EF7F5E" w:rsidP="00421DD9">
      <w:pPr>
        <w:pStyle w:val="Normalrglronly"/>
        <w:rPr>
          <w:color w:val="222222"/>
        </w:rPr>
      </w:pPr>
      <w:r w:rsidRPr="005C5C45">
        <w:rPr>
          <w:b/>
        </w:rPr>
        <w:t xml:space="preserve">Reform whistleblowing laws </w:t>
      </w:r>
      <w:r w:rsidR="00180C84" w:rsidRPr="005C5C45">
        <w:rPr>
          <w:b/>
        </w:rPr>
        <w:t xml:space="preserve">to increase awareness and protections for </w:t>
      </w:r>
      <w:proofErr w:type="spellStart"/>
      <w:r w:rsidR="00180C84" w:rsidRPr="005C5C45">
        <w:rPr>
          <w:b/>
        </w:rPr>
        <w:t>whistleblowers</w:t>
      </w:r>
      <w:proofErr w:type="spellEnd"/>
      <w:r w:rsidR="00180C84" w:rsidRPr="005C5C45">
        <w:rPr>
          <w:b/>
        </w:rPr>
        <w:t xml:space="preserve"> </w:t>
      </w:r>
    </w:p>
    <w:p w14:paraId="42CF4D85" w14:textId="3219EA1A" w:rsidR="00233E47" w:rsidRPr="005C5C45" w:rsidRDefault="00EF7F5E" w:rsidP="00F92BE1">
      <w:pPr>
        <w:pStyle w:val="Normalrglronly"/>
      </w:pPr>
      <w:r w:rsidRPr="005C5C45">
        <w:t xml:space="preserve">Despite </w:t>
      </w:r>
      <w:r w:rsidR="000F3B03" w:rsidRPr="005C5C45">
        <w:t>previous IRM recommendations</w:t>
      </w:r>
      <w:r w:rsidRPr="005C5C45">
        <w:t xml:space="preserve">, commitments on </w:t>
      </w:r>
      <w:proofErr w:type="spellStart"/>
      <w:r w:rsidRPr="005C5C45">
        <w:t>whistleblower</w:t>
      </w:r>
      <w:proofErr w:type="spellEnd"/>
      <w:r w:rsidRPr="005C5C45">
        <w:t xml:space="preserve"> protection have been largely absent. As noted in Section II of this report, there is public concern regarding </w:t>
      </w:r>
      <w:r w:rsidR="000F3B03" w:rsidRPr="005C5C45">
        <w:t xml:space="preserve">insufficient protections for </w:t>
      </w:r>
      <w:proofErr w:type="spellStart"/>
      <w:r w:rsidRPr="005C5C45">
        <w:t>whistleblo</w:t>
      </w:r>
      <w:r w:rsidR="000F3B03" w:rsidRPr="005C5C45">
        <w:t>wers</w:t>
      </w:r>
      <w:proofErr w:type="spellEnd"/>
      <w:r w:rsidRPr="005C5C45">
        <w:t xml:space="preserve">. While some consequential work on the Protected Disclosures Act (2000) has followed the recent </w:t>
      </w:r>
      <w:proofErr w:type="spellStart"/>
      <w:r w:rsidRPr="005C5C45">
        <w:t>whistleblower</w:t>
      </w:r>
      <w:proofErr w:type="spellEnd"/>
      <w:r w:rsidRPr="005C5C45">
        <w:t xml:space="preserve"> investigations in 2016, it is essential that the NZ government complete </w:t>
      </w:r>
      <w:r w:rsidR="00725F53" w:rsidRPr="005C5C45">
        <w:t>its</w:t>
      </w:r>
      <w:r w:rsidRPr="005C5C45">
        <w:t xml:space="preserve"> review. Specifically, the NZ government could reform the current whistleblowing law to address the current barriers people face when raising public interest concerns and make the law itself easier to access and understand. </w:t>
      </w:r>
    </w:p>
    <w:p w14:paraId="25DDBAB7" w14:textId="77777777" w:rsidR="00A0523B" w:rsidRPr="005C5C45" w:rsidRDefault="00BB3708" w:rsidP="00421DD9">
      <w:pPr>
        <w:pStyle w:val="Normalrglronly"/>
      </w:pPr>
      <w:r w:rsidRPr="005C5C45">
        <w:rPr>
          <w:b/>
        </w:rPr>
        <w:t xml:space="preserve">Take </w:t>
      </w:r>
      <w:r w:rsidR="009511E6" w:rsidRPr="005C5C45">
        <w:rPr>
          <w:b/>
        </w:rPr>
        <w:t>measures to establish</w:t>
      </w:r>
      <w:r w:rsidRPr="005C5C45">
        <w:rPr>
          <w:b/>
        </w:rPr>
        <w:t xml:space="preserve"> a public central register of company beneficial ownership </w:t>
      </w:r>
    </w:p>
    <w:p w14:paraId="21BC2AAF" w14:textId="4C6873B8" w:rsidR="00764010" w:rsidRPr="005C5C45" w:rsidRDefault="00431F8B" w:rsidP="00F92BE1">
      <w:pPr>
        <w:pStyle w:val="NormalWeb"/>
        <w:shd w:val="clear" w:color="auto" w:fill="FFFFFF"/>
        <w:spacing w:before="0" w:beforeAutospacing="0" w:after="0" w:afterAutospacing="0"/>
        <w:rPr>
          <w:rFonts w:ascii="Gill Sans" w:hAnsi="Gill Sans" w:cs="Gill Sans"/>
          <w:color w:val="222222"/>
        </w:rPr>
      </w:pPr>
      <w:r w:rsidRPr="005C5C45">
        <w:rPr>
          <w:rFonts w:ascii="Gill Sans" w:hAnsi="Gill Sans" w:cs="Gill Sans"/>
          <w:color w:val="222222"/>
        </w:rPr>
        <w:t>It has been a year and half since New Zealand attended the Anti-Corruption Summit in London. Compared to other countries in attendance, New Zealand is falling behind in its commitments.</w:t>
      </w:r>
      <w:r w:rsidRPr="005C5C45">
        <w:rPr>
          <w:rStyle w:val="EndnoteReference"/>
          <w:rFonts w:ascii="Gill Sans" w:hAnsi="Gill Sans" w:cs="Gill Sans"/>
          <w:color w:val="222222"/>
        </w:rPr>
        <w:endnoteReference w:id="168"/>
      </w:r>
      <w:r w:rsidRPr="005C5C45">
        <w:rPr>
          <w:rFonts w:ascii="Gill Sans" w:hAnsi="Gill Sans" w:cs="Gill Sans"/>
          <w:color w:val="222222"/>
        </w:rPr>
        <w:t xml:space="preserve"> A particular shortcoming is the Government’s progress on developing a central public register of beneficial ownership. As mentioned in Section II, an important issue </w:t>
      </w:r>
      <w:r w:rsidRPr="005C5C45">
        <w:rPr>
          <w:rFonts w:ascii="Gill Sans" w:hAnsi="Gill Sans" w:cs="Gill Sans"/>
          <w:color w:val="222222"/>
        </w:rPr>
        <w:lastRenderedPageBreak/>
        <w:t xml:space="preserve">facing New Zealand is the exploitation of foreign companies and trusts by corrupt officials, tax evaders, etc. Including this issue in the next action plan will bolster New Zealand’s anti-corruption efforts, which do not currently include a strategy for making a company beneficial ownership register public. A wider, public database of beneficial owners of companies and trusts will save costs and prevent corruption. </w:t>
      </w:r>
    </w:p>
    <w:p w14:paraId="4ABE4FF1" w14:textId="77777777" w:rsidR="00764010" w:rsidRPr="005C5C45" w:rsidRDefault="00B65B13" w:rsidP="006F2A09">
      <w:pPr>
        <w:pStyle w:val="Heading4"/>
      </w:pPr>
      <w:r w:rsidRPr="005C5C45">
        <w:t>Introduce citizenship education to increase democratic participation</w:t>
      </w:r>
    </w:p>
    <w:p w14:paraId="020DBEA0" w14:textId="25B7FA16" w:rsidR="00352980" w:rsidRPr="005C5C45" w:rsidRDefault="00B65B13" w:rsidP="00F92BE1">
      <w:pPr>
        <w:pStyle w:val="Normalrglronly"/>
      </w:pPr>
      <w:r w:rsidRPr="005C5C45">
        <w:t xml:space="preserve">As described in Section II, there is recent evidence that public distrust of government </w:t>
      </w:r>
      <w:r w:rsidR="00C831F1">
        <w:t>is</w:t>
      </w:r>
      <w:r w:rsidRPr="005C5C45">
        <w:t xml:space="preserve"> growing and that voter participation in elections </w:t>
      </w:r>
      <w:r w:rsidR="00C831F1">
        <w:t>is</w:t>
      </w:r>
      <w:r w:rsidRPr="005C5C45">
        <w:t xml:space="preserve"> declining. At the 2016 local and 2017 general elections, citizen-led groups initiated online and social media activities to encourage young and first-time voters to engage directly with issues. </w:t>
      </w:r>
      <w:r w:rsidR="00BA44D7" w:rsidRPr="005C5C45">
        <w:t xml:space="preserve">Government also </w:t>
      </w:r>
      <w:r w:rsidR="00352980" w:rsidRPr="005C5C45">
        <w:t>hosted a Civics, Citizenship and Political Literacy workshop on 10 October 2016 in the Legislative Council Chamber at Parliament to listen to different perspectives and discuss next steps towards a civically engaged New Zealand</w:t>
      </w:r>
      <w:r w:rsidR="00764010" w:rsidRPr="005C5C45">
        <w:t>.</w:t>
      </w:r>
      <w:r w:rsidR="00501506" w:rsidRPr="005C5C45">
        <w:rPr>
          <w:rStyle w:val="EndnoteReference"/>
        </w:rPr>
        <w:endnoteReference w:id="169"/>
      </w:r>
      <w:r w:rsidR="00501506" w:rsidRPr="005C5C45">
        <w:t xml:space="preserve"> </w:t>
      </w:r>
      <w:proofErr w:type="spellStart"/>
      <w:r w:rsidR="00764010" w:rsidRPr="005C5C45">
        <w:t>Ongoing</w:t>
      </w:r>
      <w:proofErr w:type="spellEnd"/>
      <w:r w:rsidR="00764010" w:rsidRPr="005C5C45">
        <w:t xml:space="preserve"> work with the Civics, Citizenship and Political Literacy Working Group</w:t>
      </w:r>
      <w:r w:rsidR="00352980" w:rsidRPr="005C5C45">
        <w:t xml:space="preserve"> </w:t>
      </w:r>
      <w:r w:rsidR="00764010" w:rsidRPr="005C5C45">
        <w:t>has</w:t>
      </w:r>
      <w:r w:rsidR="00352980" w:rsidRPr="005C5C45">
        <w:t xml:space="preserve"> involved the Ministry of E</w:t>
      </w:r>
      <w:r w:rsidR="00764010" w:rsidRPr="005C5C45">
        <w:t>d</w:t>
      </w:r>
      <w:r w:rsidR="00352980" w:rsidRPr="005C5C45">
        <w:t>ucation and the Electoral Commission</w:t>
      </w:r>
      <w:r w:rsidR="00352980" w:rsidRPr="00C831F1">
        <w:t>.</w:t>
      </w:r>
      <w:r w:rsidR="00764010" w:rsidRPr="002C6928">
        <w:rPr>
          <w:rStyle w:val="EndnoteReference"/>
          <w:rFonts w:eastAsiaTheme="minorEastAsia"/>
          <w:bCs w:val="0"/>
          <w:iCs/>
          <w:color w:val="222222"/>
        </w:rPr>
        <w:endnoteReference w:id="170"/>
      </w:r>
      <w:r w:rsidR="00352980" w:rsidRPr="00C831F1">
        <w:t xml:space="preserve"> </w:t>
      </w:r>
      <w:r w:rsidR="00352980" w:rsidRPr="005C5C45">
        <w:t xml:space="preserve">This work </w:t>
      </w:r>
      <w:r w:rsidR="00764010" w:rsidRPr="005C5C45">
        <w:t>anticipates</w:t>
      </w:r>
      <w:r w:rsidR="00352980" w:rsidRPr="005C5C45">
        <w:t xml:space="preserve"> </w:t>
      </w:r>
      <w:r w:rsidR="00764010" w:rsidRPr="005C5C45">
        <w:t xml:space="preserve">changed </w:t>
      </w:r>
      <w:r w:rsidR="00352980" w:rsidRPr="005C5C45">
        <w:t>government practice</w:t>
      </w:r>
      <w:r w:rsidR="00501506" w:rsidRPr="005C5C45">
        <w:t>, in particular,</w:t>
      </w:r>
      <w:r w:rsidR="00352980" w:rsidRPr="005C5C45">
        <w:t xml:space="preserve"> </w:t>
      </w:r>
      <w:r w:rsidR="00501506" w:rsidRPr="005C5C45">
        <w:t xml:space="preserve">through </w:t>
      </w:r>
      <w:r w:rsidR="00764010" w:rsidRPr="005C5C45">
        <w:t>develo</w:t>
      </w:r>
      <w:r w:rsidR="00501506" w:rsidRPr="005C5C45">
        <w:t>ping</w:t>
      </w:r>
      <w:r w:rsidR="00764010" w:rsidRPr="005C5C45">
        <w:t xml:space="preserve"> </w:t>
      </w:r>
      <w:r w:rsidR="00501506" w:rsidRPr="005C5C45">
        <w:t xml:space="preserve">citizenship </w:t>
      </w:r>
      <w:r w:rsidR="00764010" w:rsidRPr="005C5C45">
        <w:t>educat</w:t>
      </w:r>
      <w:r w:rsidR="0028405C" w:rsidRPr="005C5C45">
        <w:t xml:space="preserve">ion, </w:t>
      </w:r>
      <w:r w:rsidR="00764010" w:rsidRPr="005C5C45">
        <w:t>support</w:t>
      </w:r>
      <w:r w:rsidR="00501506" w:rsidRPr="005C5C45">
        <w:t>ing</w:t>
      </w:r>
      <w:r w:rsidR="00764010" w:rsidRPr="005C5C45">
        <w:t xml:space="preserve"> teaching and learning</w:t>
      </w:r>
      <w:r w:rsidR="0028405C" w:rsidRPr="005C5C45">
        <w:t xml:space="preserve"> and </w:t>
      </w:r>
      <w:r w:rsidR="00501506" w:rsidRPr="005C5C45">
        <w:t>working actively</w:t>
      </w:r>
      <w:r w:rsidR="0028405C" w:rsidRPr="005C5C45">
        <w:t xml:space="preserve"> to</w:t>
      </w:r>
      <w:r w:rsidR="00501506" w:rsidRPr="005C5C45">
        <w:t xml:space="preserve"> mitigate public distrust in government</w:t>
      </w:r>
      <w:r w:rsidR="00764010" w:rsidRPr="005C5C45">
        <w:t xml:space="preserve">. </w:t>
      </w:r>
      <w:r w:rsidR="00B12D4C" w:rsidRPr="005C5C45">
        <w:t>This kind of government initiative could lead to greater</w:t>
      </w:r>
      <w:r w:rsidR="00352980" w:rsidRPr="005C5C45">
        <w:t xml:space="preserve"> </w:t>
      </w:r>
      <w:r w:rsidR="00764010" w:rsidRPr="005C5C45">
        <w:t xml:space="preserve">citizen participation </w:t>
      </w:r>
      <w:r w:rsidR="00352980" w:rsidRPr="005C5C45">
        <w:t>and</w:t>
      </w:r>
      <w:r w:rsidR="00764010" w:rsidRPr="005C5C45">
        <w:t xml:space="preserve"> to </w:t>
      </w:r>
      <w:r w:rsidR="00352980" w:rsidRPr="005C5C45">
        <w:t>increas</w:t>
      </w:r>
      <w:r w:rsidR="00764010" w:rsidRPr="005C5C45">
        <w:t>ed</w:t>
      </w:r>
      <w:r w:rsidR="00352980" w:rsidRPr="005C5C45">
        <w:t xml:space="preserve"> democratic </w:t>
      </w:r>
      <w:r w:rsidR="00764010" w:rsidRPr="005C5C45">
        <w:t>practice</w:t>
      </w:r>
      <w:r w:rsidR="00B12D4C" w:rsidRPr="005C5C45">
        <w:t>.</w:t>
      </w:r>
    </w:p>
    <w:p w14:paraId="28785D4E" w14:textId="4AAA8DC7" w:rsidR="009608CD" w:rsidRPr="005C5C45" w:rsidRDefault="00B65B13" w:rsidP="00F92BE1">
      <w:pPr>
        <w:pStyle w:val="Normalrglronly"/>
      </w:pPr>
      <w:r w:rsidRPr="005C5C45">
        <w:rPr>
          <w:rFonts w:cs="Gill Sans"/>
        </w:rPr>
        <w:t xml:space="preserve">The IRM researcher recommends the government </w:t>
      </w:r>
      <w:r w:rsidR="00764010" w:rsidRPr="005C5C45">
        <w:rPr>
          <w:rFonts w:cs="Gill Sans"/>
        </w:rPr>
        <w:t xml:space="preserve">expand its </w:t>
      </w:r>
      <w:r w:rsidRPr="005C5C45">
        <w:rPr>
          <w:rFonts w:cs="Gill Sans"/>
        </w:rPr>
        <w:t>work with these groups</w:t>
      </w:r>
      <w:r w:rsidR="00501506" w:rsidRPr="005C5C45">
        <w:rPr>
          <w:rFonts w:cs="Gill Sans"/>
        </w:rPr>
        <w:t>.</w:t>
      </w:r>
      <w:r w:rsidRPr="005C5C45">
        <w:rPr>
          <w:rFonts w:cs="Gill Sans"/>
        </w:rPr>
        <w:t xml:space="preserve"> This work could build on existing initiatives such as the October 2016 Civics, Citizenship and Political Literacy workshop</w:t>
      </w:r>
      <w:r w:rsidRPr="005C5C45">
        <w:t xml:space="preserve">, </w:t>
      </w:r>
      <w:r w:rsidRPr="005C5C45">
        <w:rPr>
          <w:rFonts w:cs="Gill Sans"/>
        </w:rPr>
        <w:t xml:space="preserve">and could </w:t>
      </w:r>
      <w:r w:rsidR="00501506" w:rsidRPr="005C5C45">
        <w:rPr>
          <w:rFonts w:cs="Gill Sans"/>
        </w:rPr>
        <w:t>focus on</w:t>
      </w:r>
      <w:r w:rsidRPr="005C5C45">
        <w:rPr>
          <w:rFonts w:cs="Gill Sans"/>
        </w:rPr>
        <w:t xml:space="preserve"> a sub-national project</w:t>
      </w:r>
      <w:r w:rsidR="00501506" w:rsidRPr="005C5C45">
        <w:rPr>
          <w:rFonts w:cs="Gill Sans"/>
        </w:rPr>
        <w:t xml:space="preserve"> in South Auckland</w:t>
      </w:r>
      <w:r w:rsidRPr="005C5C45">
        <w:rPr>
          <w:rFonts w:cs="Gill Sans"/>
        </w:rPr>
        <w:t xml:space="preserve">, </w:t>
      </w:r>
      <w:r w:rsidR="00501506" w:rsidRPr="005C5C45">
        <w:rPr>
          <w:rFonts w:cs="Gill Sans"/>
        </w:rPr>
        <w:t xml:space="preserve">with specific goals for government and the community to improve voter participation in the </w:t>
      </w:r>
      <w:r w:rsidRPr="005C5C45">
        <w:rPr>
          <w:rFonts w:cs="Gill Sans"/>
        </w:rPr>
        <w:t>2019 local government elections.</w:t>
      </w:r>
    </w:p>
    <w:p w14:paraId="2CA04457" w14:textId="77777777" w:rsidR="00156F1F" w:rsidRPr="005C5C45" w:rsidDel="00727A75" w:rsidRDefault="00156F1F" w:rsidP="00156F1F">
      <w:pPr>
        <w:pStyle w:val="Tableheader"/>
      </w:pPr>
      <w:r w:rsidRPr="005C5C45" w:rsidDel="00727A75">
        <w:t>Table 5.1: Five Key Recommendations</w:t>
      </w:r>
    </w:p>
    <w:p w14:paraId="1B6A90A1" w14:textId="77777777" w:rsidR="00156F1F" w:rsidRPr="005C5C45" w:rsidDel="00727A75" w:rsidRDefault="00156F1F" w:rsidP="00156F1F">
      <w:pPr>
        <w:pStyle w:val="Tableheader"/>
      </w:pPr>
    </w:p>
    <w:tbl>
      <w:tblPr>
        <w:tblStyle w:val="TableGrid"/>
        <w:tblW w:w="0" w:type="auto"/>
        <w:tblLook w:val="04A0" w:firstRow="1" w:lastRow="0" w:firstColumn="1" w:lastColumn="0" w:noHBand="0" w:noVBand="1"/>
      </w:tblPr>
      <w:tblGrid>
        <w:gridCol w:w="545"/>
        <w:gridCol w:w="7725"/>
      </w:tblGrid>
      <w:tr w:rsidR="00156F1F" w:rsidRPr="005C5C45" w:rsidDel="00727A75" w14:paraId="2468BE61" w14:textId="77777777" w:rsidTr="00156F1F">
        <w:trPr>
          <w:trHeight w:val="287"/>
        </w:trPr>
        <w:tc>
          <w:tcPr>
            <w:tcW w:w="545" w:type="dxa"/>
            <w:tcBorders>
              <w:top w:val="double" w:sz="4" w:space="0" w:color="000000" w:themeColor="text1"/>
              <w:left w:val="double" w:sz="4" w:space="0" w:color="3C6EA4" w:themeColor="text2"/>
              <w:bottom w:val="double" w:sz="4" w:space="0" w:color="3C6EA4" w:themeColor="text2"/>
              <w:right w:val="double" w:sz="4" w:space="0" w:color="3C6EA4" w:themeColor="text2"/>
            </w:tcBorders>
            <w:shd w:val="clear" w:color="auto" w:fill="ABC4E0" w:themeFill="text2" w:themeFillTint="66"/>
          </w:tcPr>
          <w:p w14:paraId="623B2DDA" w14:textId="77777777" w:rsidR="00156F1F" w:rsidRPr="005C5C45" w:rsidDel="00727A75" w:rsidRDefault="00156F1F" w:rsidP="00156F1F">
            <w:pPr>
              <w:pStyle w:val="Tableheader"/>
              <w:rPr>
                <w:color w:val="3C6EA4" w:themeColor="text2"/>
              </w:rPr>
            </w:pPr>
            <w:r w:rsidRPr="005C5C45" w:rsidDel="00727A75">
              <w:rPr>
                <w:color w:val="1E3752" w:themeColor="text2" w:themeShade="80"/>
              </w:rPr>
              <w:t>1</w:t>
            </w:r>
          </w:p>
        </w:tc>
        <w:tc>
          <w:tcPr>
            <w:tcW w:w="7725" w:type="dxa"/>
            <w:tcBorders>
              <w:top w:val="double" w:sz="4" w:space="0" w:color="000000" w:themeColor="text1"/>
              <w:left w:val="double" w:sz="4" w:space="0" w:color="3C6EA4" w:themeColor="text2"/>
              <w:bottom w:val="double" w:sz="4" w:space="0" w:color="3C6EA4" w:themeColor="text2"/>
              <w:right w:val="double" w:sz="4" w:space="0" w:color="3C6EA4" w:themeColor="text2"/>
            </w:tcBorders>
            <w:shd w:val="clear" w:color="auto" w:fill="ABC4E0" w:themeFill="text2" w:themeFillTint="66"/>
          </w:tcPr>
          <w:p w14:paraId="135AFB56" w14:textId="77777777" w:rsidR="00156F1F" w:rsidRPr="005C5C45" w:rsidDel="00727A75" w:rsidRDefault="002D0984" w:rsidP="002D0984">
            <w:pPr>
              <w:pStyle w:val="Tableheader"/>
            </w:pPr>
            <w:r w:rsidRPr="005C5C45" w:rsidDel="00727A75">
              <w:t xml:space="preserve">Expand the Expert Advisory Panel to include </w:t>
            </w:r>
            <w:r w:rsidRPr="005C5C45">
              <w:t xml:space="preserve">greater </w:t>
            </w:r>
            <w:r w:rsidRPr="005C5C45" w:rsidDel="00727A75">
              <w:t xml:space="preserve">civil society </w:t>
            </w:r>
            <w:r w:rsidRPr="005C5C45">
              <w:t>representation</w:t>
            </w:r>
            <w:r w:rsidRPr="005C5C45" w:rsidDel="00727A75">
              <w:t xml:space="preserve"> </w:t>
            </w:r>
          </w:p>
        </w:tc>
      </w:tr>
      <w:tr w:rsidR="00156F1F" w:rsidRPr="005C5C45" w:rsidDel="00727A75" w14:paraId="3A222453" w14:textId="77777777" w:rsidTr="00156F1F">
        <w:tc>
          <w:tcPr>
            <w:tcW w:w="545" w:type="dxa"/>
            <w:tcBorders>
              <w:top w:val="double" w:sz="4" w:space="0" w:color="3C6EA4" w:themeColor="text2"/>
              <w:left w:val="double" w:sz="4" w:space="0" w:color="E68723" w:themeColor="accent1"/>
              <w:bottom w:val="double" w:sz="4" w:space="0" w:color="E68723" w:themeColor="accent1"/>
              <w:right w:val="double" w:sz="4" w:space="0" w:color="E68723" w:themeColor="accent1"/>
            </w:tcBorders>
            <w:shd w:val="clear" w:color="auto" w:fill="FBD4B4" w:themeFill="accent6" w:themeFillTint="66"/>
          </w:tcPr>
          <w:p w14:paraId="615C4230" w14:textId="77777777" w:rsidR="00156F1F" w:rsidRPr="005C5C45" w:rsidDel="00727A75" w:rsidRDefault="00156F1F" w:rsidP="00156F1F">
            <w:pPr>
              <w:pStyle w:val="Tableheader"/>
            </w:pPr>
            <w:r w:rsidRPr="005C5C45" w:rsidDel="00727A75">
              <w:t>2</w:t>
            </w:r>
          </w:p>
        </w:tc>
        <w:tc>
          <w:tcPr>
            <w:tcW w:w="7725" w:type="dxa"/>
            <w:tcBorders>
              <w:top w:val="double" w:sz="4" w:space="0" w:color="3C6EA4" w:themeColor="text2"/>
              <w:left w:val="double" w:sz="4" w:space="0" w:color="E68723" w:themeColor="accent1"/>
              <w:bottom w:val="double" w:sz="4" w:space="0" w:color="E68723" w:themeColor="accent1"/>
              <w:right w:val="double" w:sz="4" w:space="0" w:color="E68723" w:themeColor="accent1"/>
            </w:tcBorders>
            <w:shd w:val="clear" w:color="auto" w:fill="FBD4B4" w:themeFill="accent6" w:themeFillTint="66"/>
          </w:tcPr>
          <w:p w14:paraId="2B64190F" w14:textId="77777777" w:rsidR="00156F1F" w:rsidRPr="005C5C45" w:rsidDel="00727A75" w:rsidRDefault="002D0984" w:rsidP="002278C9">
            <w:pPr>
              <w:pStyle w:val="Tableheader"/>
            </w:pPr>
            <w:r w:rsidRPr="005C5C45" w:rsidDel="00727A75">
              <w:t xml:space="preserve">Reform official information laws and </w:t>
            </w:r>
            <w:r w:rsidRPr="005C5C45">
              <w:t>refocus the Open Data and Information Programme to publish social, environmental, and budget expenditure data</w:t>
            </w:r>
            <w:r w:rsidRPr="005C5C45" w:rsidDel="002D0984">
              <w:t xml:space="preserve"> </w:t>
            </w:r>
          </w:p>
        </w:tc>
      </w:tr>
      <w:tr w:rsidR="00156F1F" w:rsidRPr="005C5C45" w:rsidDel="00727A75" w14:paraId="155A4815" w14:textId="77777777" w:rsidTr="00156F1F">
        <w:tc>
          <w:tcPr>
            <w:tcW w:w="545" w:type="dxa"/>
            <w:tcBorders>
              <w:top w:val="double" w:sz="4" w:space="0" w:color="E68723" w:themeColor="accent1"/>
              <w:left w:val="double" w:sz="4" w:space="0" w:color="51A534" w:themeColor="accent2"/>
              <w:bottom w:val="double" w:sz="4" w:space="0" w:color="51A534" w:themeColor="accent2"/>
              <w:right w:val="double" w:sz="4" w:space="0" w:color="51A534" w:themeColor="accent2"/>
            </w:tcBorders>
            <w:shd w:val="clear" w:color="auto" w:fill="B5E3A5" w:themeFill="accent2" w:themeFillTint="66"/>
          </w:tcPr>
          <w:p w14:paraId="4AD84FC1" w14:textId="77777777" w:rsidR="00156F1F" w:rsidRPr="005C5C45" w:rsidDel="00727A75" w:rsidRDefault="00156F1F" w:rsidP="00156F1F">
            <w:pPr>
              <w:pStyle w:val="Tableheader"/>
            </w:pPr>
            <w:r w:rsidRPr="005C5C45" w:rsidDel="00727A75">
              <w:rPr>
                <w:color w:val="28521A" w:themeColor="accent2" w:themeShade="80"/>
              </w:rPr>
              <w:t>3</w:t>
            </w:r>
          </w:p>
        </w:tc>
        <w:tc>
          <w:tcPr>
            <w:tcW w:w="7725" w:type="dxa"/>
            <w:tcBorders>
              <w:top w:val="double" w:sz="4" w:space="0" w:color="E68723" w:themeColor="accent1"/>
              <w:left w:val="double" w:sz="4" w:space="0" w:color="51A534" w:themeColor="accent2"/>
              <w:bottom w:val="double" w:sz="4" w:space="0" w:color="51A534" w:themeColor="accent2"/>
              <w:right w:val="double" w:sz="4" w:space="0" w:color="51A534" w:themeColor="accent2"/>
            </w:tcBorders>
            <w:shd w:val="clear" w:color="auto" w:fill="B5E3A5" w:themeFill="accent2" w:themeFillTint="66"/>
          </w:tcPr>
          <w:p w14:paraId="67788384" w14:textId="77777777" w:rsidR="00156F1F" w:rsidRPr="005C5C45" w:rsidDel="00727A75" w:rsidRDefault="00180C84" w:rsidP="00156F1F">
            <w:pPr>
              <w:pStyle w:val="Tableheader"/>
            </w:pPr>
            <w:r w:rsidRPr="005C5C45">
              <w:t xml:space="preserve">Develop standards for public consultation on policy initiatives </w:t>
            </w:r>
          </w:p>
        </w:tc>
      </w:tr>
      <w:tr w:rsidR="00156F1F" w:rsidRPr="005C5C45" w:rsidDel="00727A75" w14:paraId="316FD8EE" w14:textId="77777777" w:rsidTr="00156F1F">
        <w:tc>
          <w:tcPr>
            <w:tcW w:w="545" w:type="dxa"/>
            <w:tcBorders>
              <w:top w:val="double" w:sz="4" w:space="0" w:color="51A534" w:themeColor="accent2"/>
              <w:left w:val="double" w:sz="4" w:space="0" w:color="4BACC6" w:themeColor="accent5"/>
              <w:bottom w:val="double" w:sz="4" w:space="0" w:color="4BACC6" w:themeColor="accent5"/>
              <w:right w:val="double" w:sz="4" w:space="0" w:color="4BACC6" w:themeColor="accent5"/>
            </w:tcBorders>
            <w:shd w:val="clear" w:color="auto" w:fill="B6DDE8" w:themeFill="accent5" w:themeFillTint="66"/>
          </w:tcPr>
          <w:p w14:paraId="438BFB09" w14:textId="77777777" w:rsidR="00156F1F" w:rsidRPr="005C5C45" w:rsidDel="00727A75" w:rsidRDefault="00156F1F" w:rsidP="00156F1F">
            <w:pPr>
              <w:pStyle w:val="Tableheader"/>
            </w:pPr>
            <w:r w:rsidRPr="005C5C45" w:rsidDel="00727A75">
              <w:rPr>
                <w:color w:val="215868" w:themeColor="accent5" w:themeShade="80"/>
              </w:rPr>
              <w:t>4</w:t>
            </w:r>
          </w:p>
        </w:tc>
        <w:tc>
          <w:tcPr>
            <w:tcW w:w="7725" w:type="dxa"/>
            <w:tcBorders>
              <w:top w:val="double" w:sz="4" w:space="0" w:color="51A534" w:themeColor="accent2"/>
              <w:left w:val="double" w:sz="4" w:space="0" w:color="4BACC6" w:themeColor="accent5"/>
              <w:bottom w:val="double" w:sz="4" w:space="0" w:color="4BACC6" w:themeColor="accent5"/>
              <w:right w:val="double" w:sz="4" w:space="0" w:color="4BACC6" w:themeColor="accent5"/>
            </w:tcBorders>
            <w:shd w:val="clear" w:color="auto" w:fill="B6DDE8" w:themeFill="accent5" w:themeFillTint="66"/>
          </w:tcPr>
          <w:p w14:paraId="6C2A64F4" w14:textId="77777777" w:rsidR="00156F1F" w:rsidRPr="005C5C45" w:rsidDel="00727A75" w:rsidRDefault="002D0984" w:rsidP="00C5007E">
            <w:pPr>
              <w:pStyle w:val="Tableheader"/>
            </w:pPr>
            <w:r w:rsidRPr="005C5C45">
              <w:t>Include anti-corruption commitments in the next action plan</w:t>
            </w:r>
            <w:r w:rsidR="00D340C0" w:rsidRPr="005C5C45">
              <w:t xml:space="preserve">, covering </w:t>
            </w:r>
            <w:proofErr w:type="spellStart"/>
            <w:r w:rsidR="00D340C0" w:rsidRPr="005C5C45">
              <w:t>whistleblower</w:t>
            </w:r>
            <w:proofErr w:type="spellEnd"/>
            <w:r w:rsidR="00D340C0" w:rsidRPr="005C5C45">
              <w:t xml:space="preserve"> protection and a public register of company beneficial ownership</w:t>
            </w:r>
            <w:r w:rsidR="00B65B13" w:rsidRPr="005C5C45">
              <w:t xml:space="preserve"> </w:t>
            </w:r>
          </w:p>
        </w:tc>
      </w:tr>
      <w:tr w:rsidR="00156F1F" w:rsidRPr="005C5C45" w:rsidDel="00727A75" w14:paraId="69C7A394" w14:textId="77777777" w:rsidTr="00156F1F">
        <w:trPr>
          <w:trHeight w:val="242"/>
        </w:trPr>
        <w:tc>
          <w:tcPr>
            <w:tcW w:w="545" w:type="dxa"/>
            <w:tcBorders>
              <w:top w:val="double" w:sz="4" w:space="0" w:color="4BACC6" w:themeColor="accent5"/>
              <w:left w:val="double" w:sz="4" w:space="0" w:color="98A795" w:themeColor="background2"/>
              <w:bottom w:val="double" w:sz="4" w:space="0" w:color="4BACC6" w:themeColor="accent5"/>
              <w:right w:val="double" w:sz="4" w:space="0" w:color="98A795" w:themeColor="background2"/>
            </w:tcBorders>
            <w:shd w:val="clear" w:color="auto" w:fill="D5DBD4" w:themeFill="accent4" w:themeFillTint="66"/>
          </w:tcPr>
          <w:p w14:paraId="2AE1F8B4" w14:textId="77777777" w:rsidR="00156F1F" w:rsidRPr="005C5C45" w:rsidDel="00727A75" w:rsidRDefault="00156F1F" w:rsidP="00156F1F">
            <w:pPr>
              <w:pStyle w:val="Tableheader"/>
            </w:pPr>
            <w:r w:rsidRPr="005C5C45" w:rsidDel="00727A75">
              <w:rPr>
                <w:color w:val="4A5648" w:themeColor="accent4" w:themeShade="80"/>
              </w:rPr>
              <w:t>5</w:t>
            </w:r>
          </w:p>
        </w:tc>
        <w:tc>
          <w:tcPr>
            <w:tcW w:w="7725" w:type="dxa"/>
            <w:tcBorders>
              <w:top w:val="double" w:sz="4" w:space="0" w:color="4BACC6" w:themeColor="accent5"/>
              <w:left w:val="double" w:sz="4" w:space="0" w:color="98A795" w:themeColor="background2"/>
              <w:bottom w:val="double" w:sz="4" w:space="0" w:color="4BACC6" w:themeColor="accent5"/>
              <w:right w:val="double" w:sz="4" w:space="0" w:color="98A795" w:themeColor="background2"/>
            </w:tcBorders>
            <w:shd w:val="clear" w:color="auto" w:fill="D5DBD4" w:themeFill="accent4" w:themeFillTint="66"/>
          </w:tcPr>
          <w:p w14:paraId="3A0EEDDA" w14:textId="77777777" w:rsidR="00156F1F" w:rsidRPr="005C5C45" w:rsidDel="00727A75" w:rsidRDefault="00B65B13" w:rsidP="000F3B03">
            <w:pPr>
              <w:pStyle w:val="Tableheader"/>
            </w:pPr>
            <w:r w:rsidRPr="005C5C45">
              <w:t xml:space="preserve">Introduce citizenship education to increase democratic </w:t>
            </w:r>
            <w:proofErr w:type="gramStart"/>
            <w:r w:rsidRPr="005C5C45">
              <w:t xml:space="preserve">participation </w:t>
            </w:r>
            <w:r w:rsidR="00BB3708" w:rsidRPr="005C5C45">
              <w:t xml:space="preserve"> </w:t>
            </w:r>
            <w:proofErr w:type="gramEnd"/>
          </w:p>
        </w:tc>
      </w:tr>
    </w:tbl>
    <w:p w14:paraId="394DE2DA" w14:textId="77777777" w:rsidR="00074006" w:rsidRPr="005C5C45" w:rsidRDefault="00074006" w:rsidP="00C616F0">
      <w:pPr>
        <w:sectPr w:rsidR="00074006" w:rsidRPr="005C5C45" w:rsidSect="0002581F">
          <w:endnotePr>
            <w:numFmt w:val="decimal"/>
            <w:numRestart w:val="eachSect"/>
          </w:endnotePr>
          <w:pgSz w:w="11900" w:h="16840" w:code="9"/>
          <w:pgMar w:top="1440" w:right="1800" w:bottom="1440" w:left="1800" w:header="720" w:footer="720" w:gutter="0"/>
          <w:cols w:space="720"/>
          <w:docGrid w:linePitch="360"/>
        </w:sectPr>
      </w:pPr>
    </w:p>
    <w:p w14:paraId="7C0488C7" w14:textId="77777777" w:rsidR="00C616F0" w:rsidRPr="005C5C45" w:rsidRDefault="006C7E40" w:rsidP="009317D2">
      <w:pPr>
        <w:pStyle w:val="Heading1"/>
      </w:pPr>
      <w:bookmarkStart w:id="33" w:name="h.2jxsxqh" w:colFirst="0" w:colLast="0"/>
      <w:bookmarkStart w:id="34" w:name="_Toc266021005"/>
      <w:bookmarkStart w:id="35" w:name="_Toc377998817"/>
      <w:bookmarkEnd w:id="33"/>
      <w:r w:rsidRPr="005C5C45">
        <w:lastRenderedPageBreak/>
        <w:t>VI</w:t>
      </w:r>
      <w:r w:rsidR="00C616F0" w:rsidRPr="005C5C45">
        <w:t xml:space="preserve">. </w:t>
      </w:r>
      <w:bookmarkEnd w:id="34"/>
      <w:r w:rsidR="001A6063" w:rsidRPr="005C5C45">
        <w:t xml:space="preserve">Methodology and </w:t>
      </w:r>
      <w:r w:rsidR="00C45242" w:rsidRPr="005C5C45">
        <w:t>S</w:t>
      </w:r>
      <w:r w:rsidR="001E17A6" w:rsidRPr="005C5C45">
        <w:t>ources</w:t>
      </w:r>
      <w:bookmarkEnd w:id="35"/>
    </w:p>
    <w:p w14:paraId="5500345A" w14:textId="77777777" w:rsidR="00A26A6A" w:rsidRPr="005C5C45" w:rsidRDefault="00C51F0A" w:rsidP="001A35B7">
      <w:pPr>
        <w:pStyle w:val="Normalrglronly"/>
      </w:pPr>
      <w:proofErr w:type="gramStart"/>
      <w:r w:rsidRPr="005C5C45">
        <w:t xml:space="preserve">The IRM </w:t>
      </w:r>
      <w:r w:rsidR="00310FD7" w:rsidRPr="005C5C45">
        <w:t>progress</w:t>
      </w:r>
      <w:r w:rsidRPr="005C5C45">
        <w:t xml:space="preserve"> report is written by researche</w:t>
      </w:r>
      <w:r w:rsidR="00B274A7" w:rsidRPr="005C5C45">
        <w:t>r</w:t>
      </w:r>
      <w:r w:rsidRPr="005C5C45">
        <w:t>s based in each OGP-participating country</w:t>
      </w:r>
      <w:proofErr w:type="gramEnd"/>
      <w:r w:rsidRPr="005C5C45">
        <w:t>.</w:t>
      </w:r>
      <w:r w:rsidR="009317D2" w:rsidRPr="005C5C45">
        <w:t xml:space="preserve"> </w:t>
      </w:r>
      <w:r w:rsidR="00B274A7" w:rsidRPr="005C5C45">
        <w:t xml:space="preserve">All IRM reports undergo a process of quality control to </w:t>
      </w:r>
      <w:r w:rsidR="009317D2" w:rsidRPr="005C5C45">
        <w:t xml:space="preserve">ensure </w:t>
      </w:r>
      <w:r w:rsidR="007A4BF9" w:rsidRPr="005C5C45">
        <w:t xml:space="preserve">that </w:t>
      </w:r>
      <w:r w:rsidR="009317D2" w:rsidRPr="005C5C45">
        <w:t>the highest standards of research and due diligence have been applied.</w:t>
      </w:r>
    </w:p>
    <w:p w14:paraId="03E5367E" w14:textId="77777777" w:rsidR="009317D2" w:rsidRPr="005C5C45" w:rsidRDefault="009317D2" w:rsidP="00907A0E">
      <w:pPr>
        <w:pStyle w:val="Normalrglronly"/>
      </w:pPr>
      <w:r w:rsidRPr="005C5C45">
        <w:t xml:space="preserve">Analysis of progress on OGP action plans is a combination of interviews, desk research, and feedback from nongovernmental stakeholder meetings. The IRM report builds on the findings of the government’s own self-assessment report and any other assessments of progress put out by civil society, the private sector, or international </w:t>
      </w:r>
      <w:r w:rsidR="00A26A6A" w:rsidRPr="005C5C45">
        <w:t>organiz</w:t>
      </w:r>
      <w:r w:rsidRPr="005C5C45">
        <w:t>ations.</w:t>
      </w:r>
    </w:p>
    <w:p w14:paraId="0B68326E" w14:textId="77777777" w:rsidR="009317D2" w:rsidRPr="005C5C45" w:rsidRDefault="009317D2" w:rsidP="00D87111">
      <w:pPr>
        <w:pStyle w:val="Normalrglronly"/>
      </w:pPr>
      <w:r w:rsidRPr="005C5C45">
        <w:t xml:space="preserve">Each </w:t>
      </w:r>
      <w:r w:rsidR="00C51F0A" w:rsidRPr="005C5C45">
        <w:t xml:space="preserve">IRM </w:t>
      </w:r>
      <w:r w:rsidRPr="005C5C45">
        <w:t>researcher carries out stakeholder meetings to ensure an accurate portrayal of events. Given budgetary and calendar constraints, the IRM cannot consult all interested or affected parties. Consequently, the IRM strives for methodological transparency and therefore</w:t>
      </w:r>
      <w:r w:rsidR="007A4BF9" w:rsidRPr="005C5C45">
        <w:t>,</w:t>
      </w:r>
      <w:r w:rsidRPr="005C5C45">
        <w:t xml:space="preserve"> where possible, makes public the process of stakeholder engagement in research (detailed later in this section</w:t>
      </w:r>
      <w:r w:rsidR="00B56E65" w:rsidRPr="005C5C45">
        <w:t>.) Some contexts require</w:t>
      </w:r>
      <w:r w:rsidRPr="005C5C45">
        <w:t xml:space="preserve"> anonymity of </w:t>
      </w:r>
      <w:r w:rsidR="00B56E65" w:rsidRPr="005C5C45">
        <w:t>interviewees and the IRM reviews the right to remove personal identifying information of these participants</w:t>
      </w:r>
      <w:r w:rsidRPr="005C5C45">
        <w:t xml:space="preserve">. </w:t>
      </w:r>
      <w:r w:rsidR="008662E7" w:rsidRPr="005C5C45">
        <w:t xml:space="preserve">Due to </w:t>
      </w:r>
      <w:r w:rsidRPr="005C5C45">
        <w:t xml:space="preserve">the necessary limitations of the method, the IRM strongly encourages commentary on public drafts of each </w:t>
      </w:r>
      <w:r w:rsidR="00D87111" w:rsidRPr="005C5C45">
        <w:t>report.</w:t>
      </w:r>
    </w:p>
    <w:p w14:paraId="37635158" w14:textId="77777777" w:rsidR="00B274A7" w:rsidRPr="005C5C45" w:rsidRDefault="00D14996" w:rsidP="00907A0E">
      <w:pPr>
        <w:pStyle w:val="Normalrglronly"/>
      </w:pPr>
      <w:r w:rsidRPr="005C5C45">
        <w:t>Each report undergoes</w:t>
      </w:r>
      <w:r w:rsidR="00B274A7" w:rsidRPr="005C5C45">
        <w:t xml:space="preserve"> a </w:t>
      </w:r>
      <w:r w:rsidR="00B7146B" w:rsidRPr="005C5C45">
        <w:t>four</w:t>
      </w:r>
      <w:r w:rsidR="00B274A7" w:rsidRPr="005C5C45">
        <w:t xml:space="preserve">-step review and </w:t>
      </w:r>
      <w:proofErr w:type="gramStart"/>
      <w:r w:rsidR="00B274A7" w:rsidRPr="005C5C45">
        <w:t>quality</w:t>
      </w:r>
      <w:r w:rsidR="00B7146B" w:rsidRPr="005C5C45">
        <w:t>-</w:t>
      </w:r>
      <w:r w:rsidR="00B274A7" w:rsidRPr="005C5C45">
        <w:t>control</w:t>
      </w:r>
      <w:proofErr w:type="gramEnd"/>
      <w:r w:rsidR="00B274A7" w:rsidRPr="005C5C45">
        <w:t xml:space="preserve"> process:</w:t>
      </w:r>
    </w:p>
    <w:p w14:paraId="78347D53" w14:textId="77777777" w:rsidR="00B274A7" w:rsidRPr="005C5C45" w:rsidRDefault="00B274A7" w:rsidP="00246226">
      <w:pPr>
        <w:pStyle w:val="Normalrglronly"/>
        <w:numPr>
          <w:ilvl w:val="0"/>
          <w:numId w:val="23"/>
        </w:numPr>
      </w:pPr>
      <w:r w:rsidRPr="005C5C45">
        <w:t>Staff review</w:t>
      </w:r>
      <w:r w:rsidR="00D14996" w:rsidRPr="005C5C45">
        <w:t>: IRM staff reviews the report for grammar, readability, content, and adherence to IRM methodology</w:t>
      </w:r>
      <w:r w:rsidR="00B7146B" w:rsidRPr="005C5C45">
        <w:t>.</w:t>
      </w:r>
    </w:p>
    <w:p w14:paraId="10B8C99F" w14:textId="77777777" w:rsidR="00B274A7" w:rsidRPr="005C5C45" w:rsidRDefault="00B274A7" w:rsidP="00246226">
      <w:pPr>
        <w:pStyle w:val="Normalrglronly"/>
        <w:numPr>
          <w:ilvl w:val="0"/>
          <w:numId w:val="23"/>
        </w:numPr>
      </w:pPr>
      <w:r w:rsidRPr="005C5C45">
        <w:t xml:space="preserve">International Experts Panel </w:t>
      </w:r>
      <w:r w:rsidR="00D14996" w:rsidRPr="005C5C45">
        <w:t xml:space="preserve">(IEP) </w:t>
      </w:r>
      <w:r w:rsidRPr="005C5C45">
        <w:t>review</w:t>
      </w:r>
      <w:r w:rsidR="00D14996" w:rsidRPr="005C5C45">
        <w:t xml:space="preserve">: IEP reviews the content of the report for rigorous evidence to support findings, </w:t>
      </w:r>
      <w:r w:rsidR="00BC2770" w:rsidRPr="005C5C45">
        <w:t xml:space="preserve">evaluates </w:t>
      </w:r>
      <w:r w:rsidR="00D14996" w:rsidRPr="005C5C45">
        <w:t>the extent to which the action plan applies OGP values, and provides technical recommendations</w:t>
      </w:r>
      <w:r w:rsidR="00BC2770" w:rsidRPr="005C5C45">
        <w:t xml:space="preserve"> for improving the implementation of commitments and realization of OGP values through the action plan as a whole</w:t>
      </w:r>
      <w:r w:rsidR="00B7146B" w:rsidRPr="005C5C45">
        <w:t>.</w:t>
      </w:r>
      <w:r w:rsidR="00B56E65" w:rsidRPr="005C5C45">
        <w:t xml:space="preserve"> (See below for IEP membership.)</w:t>
      </w:r>
    </w:p>
    <w:p w14:paraId="1C1BA4F7" w14:textId="77777777" w:rsidR="00B274A7" w:rsidRPr="005C5C45" w:rsidRDefault="00B274A7" w:rsidP="00246226">
      <w:pPr>
        <w:pStyle w:val="Normalrglronly"/>
        <w:numPr>
          <w:ilvl w:val="0"/>
          <w:numId w:val="23"/>
        </w:numPr>
      </w:pPr>
      <w:r w:rsidRPr="005C5C45">
        <w:t>Prepublication review</w:t>
      </w:r>
      <w:r w:rsidR="00D14996" w:rsidRPr="005C5C45">
        <w:t>: G</w:t>
      </w:r>
      <w:r w:rsidRPr="005C5C45">
        <w:t xml:space="preserve">overnment and select civil society </w:t>
      </w:r>
      <w:r w:rsidR="00D14996" w:rsidRPr="005C5C45">
        <w:t xml:space="preserve">organizations </w:t>
      </w:r>
      <w:r w:rsidRPr="005C5C45">
        <w:t xml:space="preserve">are invited to provide comments </w:t>
      </w:r>
      <w:r w:rsidR="00D14996" w:rsidRPr="005C5C45">
        <w:t xml:space="preserve">on </w:t>
      </w:r>
      <w:r w:rsidR="00BC2770" w:rsidRPr="005C5C45">
        <w:t xml:space="preserve">content of </w:t>
      </w:r>
      <w:r w:rsidR="00D14996" w:rsidRPr="005C5C45">
        <w:t>the</w:t>
      </w:r>
      <w:r w:rsidRPr="005C5C45">
        <w:t xml:space="preserve"> draft</w:t>
      </w:r>
      <w:r w:rsidR="00D14996" w:rsidRPr="005C5C45">
        <w:t xml:space="preserve"> IRM report</w:t>
      </w:r>
      <w:r w:rsidR="00B7146B" w:rsidRPr="005C5C45">
        <w:t>.</w:t>
      </w:r>
    </w:p>
    <w:p w14:paraId="6B946727" w14:textId="77777777" w:rsidR="00B274A7" w:rsidRPr="005C5C45" w:rsidRDefault="00B274A7" w:rsidP="00246226">
      <w:pPr>
        <w:pStyle w:val="Normalrglronly"/>
        <w:numPr>
          <w:ilvl w:val="0"/>
          <w:numId w:val="23"/>
        </w:numPr>
      </w:pPr>
      <w:r w:rsidRPr="005C5C45">
        <w:t>Public comment period</w:t>
      </w:r>
      <w:r w:rsidR="00D14996" w:rsidRPr="005C5C45">
        <w:t xml:space="preserve">: The public is invited to provide comments on the </w:t>
      </w:r>
      <w:r w:rsidR="00BC2770" w:rsidRPr="005C5C45">
        <w:t xml:space="preserve">content of the </w:t>
      </w:r>
      <w:r w:rsidR="00D14996" w:rsidRPr="005C5C45">
        <w:t>draft IRM report</w:t>
      </w:r>
      <w:r w:rsidR="00B7146B" w:rsidRPr="005C5C45">
        <w:t>.</w:t>
      </w:r>
    </w:p>
    <w:p w14:paraId="374631B0" w14:textId="77777777" w:rsidR="00B274A7" w:rsidRPr="005C5C45" w:rsidRDefault="00BC2770" w:rsidP="00B274A7">
      <w:pPr>
        <w:pStyle w:val="Normalrglronly"/>
      </w:pPr>
      <w:r w:rsidRPr="005C5C45">
        <w:t xml:space="preserve">This review process, including the procedure for incorporating comments received, is outlined in greater detail in </w:t>
      </w:r>
      <w:r w:rsidR="00D82C83" w:rsidRPr="005C5C45">
        <w:t>S</w:t>
      </w:r>
      <w:r w:rsidRPr="005C5C45">
        <w:t>ection III of the Procedures Manual</w:t>
      </w:r>
      <w:r w:rsidR="00D82C83" w:rsidRPr="005C5C45">
        <w:t>.</w:t>
      </w:r>
      <w:r w:rsidRPr="005C5C45">
        <w:rPr>
          <w:rStyle w:val="EndnoteReference"/>
        </w:rPr>
        <w:endnoteReference w:id="171"/>
      </w:r>
    </w:p>
    <w:p w14:paraId="1AED03C8" w14:textId="77777777" w:rsidR="00C616F0" w:rsidRPr="005C5C45" w:rsidRDefault="00C616F0" w:rsidP="00907A0E">
      <w:pPr>
        <w:pStyle w:val="Heading3"/>
      </w:pPr>
      <w:bookmarkStart w:id="36" w:name="h.z337ya" w:colFirst="0" w:colLast="0"/>
      <w:bookmarkEnd w:id="36"/>
      <w:r w:rsidRPr="005C5C45">
        <w:t xml:space="preserve">Interviews and </w:t>
      </w:r>
      <w:r w:rsidR="00C45242" w:rsidRPr="005C5C45">
        <w:t>F</w:t>
      </w:r>
      <w:r w:rsidRPr="005C5C45">
        <w:t xml:space="preserve">ocus </w:t>
      </w:r>
      <w:r w:rsidR="00C45242" w:rsidRPr="005C5C45">
        <w:t>G</w:t>
      </w:r>
      <w:r w:rsidRPr="005C5C45">
        <w:t>roups</w:t>
      </w:r>
    </w:p>
    <w:p w14:paraId="11B6D724" w14:textId="51BD5298" w:rsidR="00A26A6A" w:rsidRPr="005C5C45" w:rsidRDefault="00C616F0" w:rsidP="0005056C">
      <w:pPr>
        <w:pStyle w:val="Normalrglronly"/>
      </w:pPr>
      <w:r w:rsidRPr="005C5C45">
        <w:t>Each</w:t>
      </w:r>
      <w:r w:rsidR="00905B0A" w:rsidRPr="005C5C45">
        <w:t xml:space="preserve"> </w:t>
      </w:r>
      <w:r w:rsidR="005E1D53" w:rsidRPr="005C5C45">
        <w:t>IRM</w:t>
      </w:r>
      <w:r w:rsidRPr="005C5C45">
        <w:t xml:space="preserve"> researcher </w:t>
      </w:r>
      <w:r w:rsidR="005E1D53" w:rsidRPr="005C5C45">
        <w:t xml:space="preserve">is required to hold </w:t>
      </w:r>
      <w:r w:rsidR="009317D2" w:rsidRPr="005C5C45">
        <w:t xml:space="preserve">at least one public information-gathering event. </w:t>
      </w:r>
      <w:r w:rsidR="0005056C" w:rsidRPr="005C5C45">
        <w:t>Researchers should make a genuine effort to invite stakeholders</w:t>
      </w:r>
      <w:r w:rsidR="0005056C" w:rsidRPr="005C5C45" w:rsidDel="0005056C">
        <w:t xml:space="preserve"> </w:t>
      </w:r>
      <w:r w:rsidR="009317D2" w:rsidRPr="005C5C45">
        <w:t xml:space="preserve">outside of the </w:t>
      </w:r>
      <w:r w:rsidR="00415346">
        <w:t>‘</w:t>
      </w:r>
      <w:r w:rsidR="009317D2" w:rsidRPr="005C5C45">
        <w:t>usual suspects</w:t>
      </w:r>
      <w:r w:rsidR="00415346">
        <w:t>’</w:t>
      </w:r>
      <w:r w:rsidR="009317D2" w:rsidRPr="005C5C45">
        <w:t xml:space="preserve"> list of invitees already participating in existing processes. Supplementary means may be needed to gather the inputs of stakeholders in a more meaningful way (e.g.</w:t>
      </w:r>
      <w:r w:rsidR="0092110F" w:rsidRPr="005C5C45">
        <w:t>,</w:t>
      </w:r>
      <w:r w:rsidR="009317D2" w:rsidRPr="005C5C45">
        <w:t xml:space="preserve"> online surveys, written responses, follow-up interviews). </w:t>
      </w:r>
      <w:r w:rsidRPr="005C5C45">
        <w:t xml:space="preserve">Additionally, researchers perform specific interviews with responsible agencies when the commitments require more information than </w:t>
      </w:r>
      <w:r w:rsidR="00761F4C" w:rsidRPr="005C5C45">
        <w:t xml:space="preserve">is </w:t>
      </w:r>
      <w:r w:rsidRPr="005C5C45">
        <w:t xml:space="preserve">provided in the self-assessment or </w:t>
      </w:r>
      <w:r w:rsidR="00761F4C" w:rsidRPr="005C5C45">
        <w:t xml:space="preserve">is </w:t>
      </w:r>
      <w:r w:rsidRPr="005C5C45">
        <w:t>accessible online.</w:t>
      </w:r>
    </w:p>
    <w:p w14:paraId="2E683E7F" w14:textId="02E0E598" w:rsidR="00D16833" w:rsidRPr="005C5C45" w:rsidRDefault="00EB3ED8" w:rsidP="00434CEE">
      <w:pPr>
        <w:spacing w:after="120"/>
        <w:rPr>
          <w:color w:val="auto"/>
        </w:rPr>
      </w:pPr>
      <w:r w:rsidRPr="005C5C45">
        <w:rPr>
          <w:color w:val="auto"/>
        </w:rPr>
        <w:t xml:space="preserve">The IRM researcher </w:t>
      </w:r>
      <w:r w:rsidR="00D16833" w:rsidRPr="005C5C45">
        <w:rPr>
          <w:color w:val="auto"/>
        </w:rPr>
        <w:t xml:space="preserve">initially </w:t>
      </w:r>
      <w:r w:rsidR="009B0C98">
        <w:rPr>
          <w:color w:val="auto"/>
        </w:rPr>
        <w:t>sought interested participants via</w:t>
      </w:r>
      <w:r w:rsidR="00DD6BC9">
        <w:rPr>
          <w:color w:val="auto"/>
        </w:rPr>
        <w:t xml:space="preserve"> </w:t>
      </w:r>
      <w:r w:rsidR="00D16833" w:rsidRPr="005C5C45">
        <w:rPr>
          <w:color w:val="auto"/>
        </w:rPr>
        <w:t xml:space="preserve">social media (Twitter, Facebook, and the </w:t>
      </w:r>
      <w:proofErr w:type="spellStart"/>
      <w:r w:rsidR="00D16833" w:rsidRPr="005C5C45">
        <w:rPr>
          <w:color w:val="auto"/>
        </w:rPr>
        <w:t>OpenNZ</w:t>
      </w:r>
      <w:proofErr w:type="spellEnd"/>
      <w:r w:rsidR="00D16833" w:rsidRPr="005C5C45">
        <w:rPr>
          <w:color w:val="auto"/>
        </w:rPr>
        <w:t xml:space="preserve"> discussion list)</w:t>
      </w:r>
      <w:r w:rsidR="004635A8" w:rsidRPr="005C5C45">
        <w:rPr>
          <w:color w:val="auto"/>
        </w:rPr>
        <w:t xml:space="preserve"> on 9 July 2017</w:t>
      </w:r>
      <w:r w:rsidR="00D16833" w:rsidRPr="005C5C45">
        <w:rPr>
          <w:color w:val="auto"/>
        </w:rPr>
        <w:t xml:space="preserve">, </w:t>
      </w:r>
      <w:proofErr w:type="gramStart"/>
      <w:r w:rsidR="004635A8" w:rsidRPr="005C5C45">
        <w:rPr>
          <w:color w:val="auto"/>
        </w:rPr>
        <w:t>then</w:t>
      </w:r>
      <w:proofErr w:type="gramEnd"/>
      <w:r w:rsidR="004635A8" w:rsidRPr="005C5C45">
        <w:rPr>
          <w:color w:val="auto"/>
        </w:rPr>
        <w:t xml:space="preserve"> </w:t>
      </w:r>
      <w:r w:rsidRPr="005C5C45">
        <w:rPr>
          <w:color w:val="auto"/>
        </w:rPr>
        <w:t>held 28 face-to-face meetings</w:t>
      </w:r>
      <w:r w:rsidR="00D16833" w:rsidRPr="005C5C45">
        <w:rPr>
          <w:color w:val="auto"/>
        </w:rPr>
        <w:t xml:space="preserve"> and interviews</w:t>
      </w:r>
      <w:r w:rsidR="004635A8" w:rsidRPr="005C5C45">
        <w:rPr>
          <w:color w:val="auto"/>
        </w:rPr>
        <w:t xml:space="preserve">, </w:t>
      </w:r>
      <w:r w:rsidR="00DD6BC9">
        <w:rPr>
          <w:color w:val="auto"/>
        </w:rPr>
        <w:t>eight</w:t>
      </w:r>
      <w:r w:rsidR="00DD6BC9" w:rsidRPr="005C5C45">
        <w:rPr>
          <w:color w:val="auto"/>
        </w:rPr>
        <w:t xml:space="preserve"> </w:t>
      </w:r>
      <w:r w:rsidR="00D16833" w:rsidRPr="005C5C45">
        <w:rPr>
          <w:color w:val="auto"/>
        </w:rPr>
        <w:t>telephone or online conversations</w:t>
      </w:r>
      <w:r w:rsidR="002769A9">
        <w:rPr>
          <w:color w:val="auto"/>
        </w:rPr>
        <w:t>,</w:t>
      </w:r>
      <w:r w:rsidR="00D16833" w:rsidRPr="005C5C45">
        <w:rPr>
          <w:color w:val="auto"/>
        </w:rPr>
        <w:t xml:space="preserve"> and </w:t>
      </w:r>
      <w:r w:rsidR="00DD6BC9">
        <w:rPr>
          <w:color w:val="auto"/>
        </w:rPr>
        <w:t>s</w:t>
      </w:r>
      <w:r w:rsidR="002769A9">
        <w:rPr>
          <w:color w:val="auto"/>
        </w:rPr>
        <w:t>i</w:t>
      </w:r>
      <w:r w:rsidR="00DD6BC9">
        <w:rPr>
          <w:color w:val="auto"/>
        </w:rPr>
        <w:t>x</w:t>
      </w:r>
      <w:r w:rsidR="00DD6BC9" w:rsidRPr="005C5C45">
        <w:rPr>
          <w:color w:val="auto"/>
        </w:rPr>
        <w:t xml:space="preserve"> </w:t>
      </w:r>
      <w:r w:rsidR="00D16833" w:rsidRPr="005C5C45">
        <w:rPr>
          <w:color w:val="auto"/>
        </w:rPr>
        <w:t>email conversations</w:t>
      </w:r>
      <w:r w:rsidR="004635A8" w:rsidRPr="005C5C45">
        <w:rPr>
          <w:color w:val="auto"/>
        </w:rPr>
        <w:t xml:space="preserve"> </w:t>
      </w:r>
      <w:r w:rsidR="00DD6BC9">
        <w:rPr>
          <w:color w:val="auto"/>
        </w:rPr>
        <w:t>between</w:t>
      </w:r>
      <w:r w:rsidR="00DD6BC9" w:rsidRPr="005C5C45">
        <w:rPr>
          <w:color w:val="auto"/>
        </w:rPr>
        <w:t xml:space="preserve"> </w:t>
      </w:r>
      <w:r w:rsidR="004635A8" w:rsidRPr="005C5C45">
        <w:rPr>
          <w:color w:val="auto"/>
        </w:rPr>
        <w:t xml:space="preserve">30 May 2017 </w:t>
      </w:r>
      <w:r w:rsidR="002769A9">
        <w:rPr>
          <w:color w:val="auto"/>
        </w:rPr>
        <w:t>and</w:t>
      </w:r>
      <w:r w:rsidR="004635A8" w:rsidRPr="005C5C45">
        <w:rPr>
          <w:color w:val="auto"/>
        </w:rPr>
        <w:t xml:space="preserve"> 29 September 2017</w:t>
      </w:r>
      <w:r w:rsidR="00D16833" w:rsidRPr="005C5C45">
        <w:rPr>
          <w:color w:val="auto"/>
        </w:rPr>
        <w:t>. She spoke with 18 civil soci</w:t>
      </w:r>
      <w:r w:rsidR="00D01D9F" w:rsidRPr="005C5C45">
        <w:rPr>
          <w:color w:val="auto"/>
        </w:rPr>
        <w:t>ety representatives or groups, five</w:t>
      </w:r>
      <w:r w:rsidR="00D16833" w:rsidRPr="005C5C45">
        <w:rPr>
          <w:color w:val="auto"/>
        </w:rPr>
        <w:t xml:space="preserve"> academics, seven private sector representatives</w:t>
      </w:r>
      <w:r w:rsidR="004635A8" w:rsidRPr="005C5C45">
        <w:rPr>
          <w:color w:val="auto"/>
        </w:rPr>
        <w:t>, 10 government agencies</w:t>
      </w:r>
      <w:r w:rsidR="00D01D9F" w:rsidRPr="005C5C45">
        <w:rPr>
          <w:color w:val="auto"/>
        </w:rPr>
        <w:t xml:space="preserve"> and attended two</w:t>
      </w:r>
      <w:r w:rsidR="00D16833" w:rsidRPr="005C5C45">
        <w:rPr>
          <w:color w:val="auto"/>
        </w:rPr>
        <w:t xml:space="preserve"> meetings with the Chief Ombudsman, an independent authority</w:t>
      </w:r>
      <w:r w:rsidR="004635A8" w:rsidRPr="005C5C45">
        <w:rPr>
          <w:color w:val="auto"/>
        </w:rPr>
        <w:t xml:space="preserve">. She received formal submissions from the NZ Law Society and the National Council of Women. She held regular email conversations with the SSC, the agency </w:t>
      </w:r>
      <w:r w:rsidR="004635A8" w:rsidRPr="005C5C45">
        <w:rPr>
          <w:color w:val="auto"/>
        </w:rPr>
        <w:lastRenderedPageBreak/>
        <w:t>with lead responsibility for the action plan.</w:t>
      </w:r>
      <w:r w:rsidR="00D01D9F" w:rsidRPr="005C5C45">
        <w:rPr>
          <w:color w:val="auto"/>
        </w:rPr>
        <w:t xml:space="preserve"> She </w:t>
      </w:r>
      <w:r w:rsidR="006C7C90" w:rsidRPr="005C5C45">
        <w:rPr>
          <w:color w:val="auto"/>
        </w:rPr>
        <w:t xml:space="preserve">directly contacted </w:t>
      </w:r>
      <w:r w:rsidR="00274CB9" w:rsidRPr="005C5C45">
        <w:rPr>
          <w:color w:val="auto"/>
        </w:rPr>
        <w:t xml:space="preserve">16 commentators on New Zealand’s budget with respect to </w:t>
      </w:r>
      <w:r w:rsidR="002769A9">
        <w:rPr>
          <w:color w:val="auto"/>
        </w:rPr>
        <w:t>C</w:t>
      </w:r>
      <w:r w:rsidR="00274CB9" w:rsidRPr="005C5C45">
        <w:rPr>
          <w:color w:val="auto"/>
        </w:rPr>
        <w:t>ommitment 1.</w:t>
      </w:r>
    </w:p>
    <w:p w14:paraId="70324D60" w14:textId="77777777" w:rsidR="004635A8" w:rsidRPr="005C5C45" w:rsidRDefault="009A20EF" w:rsidP="00434CEE">
      <w:pPr>
        <w:spacing w:after="120"/>
        <w:rPr>
          <w:color w:val="auto"/>
        </w:rPr>
      </w:pPr>
      <w:r w:rsidRPr="005C5C45">
        <w:rPr>
          <w:color w:val="auto"/>
        </w:rPr>
        <w:t>The following criteria</w:t>
      </w:r>
      <w:r w:rsidR="004635A8" w:rsidRPr="005C5C45">
        <w:rPr>
          <w:color w:val="auto"/>
        </w:rPr>
        <w:t xml:space="preserve"> were </w:t>
      </w:r>
      <w:r w:rsidR="00D01D9F" w:rsidRPr="005C5C45">
        <w:rPr>
          <w:color w:val="auto"/>
        </w:rPr>
        <w:t>appli</w:t>
      </w:r>
      <w:r w:rsidRPr="005C5C45">
        <w:rPr>
          <w:color w:val="auto"/>
        </w:rPr>
        <w:t>ed</w:t>
      </w:r>
      <w:r w:rsidR="004635A8" w:rsidRPr="005C5C45">
        <w:rPr>
          <w:color w:val="auto"/>
        </w:rPr>
        <w:t xml:space="preserve"> when selecting national level stakeholders:</w:t>
      </w:r>
    </w:p>
    <w:p w14:paraId="54CF4167" w14:textId="77777777" w:rsidR="004635A8" w:rsidRPr="005C5C45" w:rsidRDefault="004635A8" w:rsidP="004635A8">
      <w:pPr>
        <w:pStyle w:val="ListParagraph"/>
        <w:numPr>
          <w:ilvl w:val="0"/>
          <w:numId w:val="41"/>
        </w:numPr>
        <w:spacing w:after="120"/>
        <w:rPr>
          <w:color w:val="auto"/>
        </w:rPr>
      </w:pPr>
      <w:r w:rsidRPr="005C5C45">
        <w:rPr>
          <w:color w:val="auto"/>
        </w:rPr>
        <w:t xml:space="preserve">They had made submissions during the development of </w:t>
      </w:r>
      <w:r w:rsidR="003A457C" w:rsidRPr="005C5C45">
        <w:rPr>
          <w:color w:val="auto"/>
        </w:rPr>
        <w:t>previous</w:t>
      </w:r>
      <w:r w:rsidRPr="005C5C45">
        <w:rPr>
          <w:color w:val="auto"/>
        </w:rPr>
        <w:t xml:space="preserve"> action plan</w:t>
      </w:r>
      <w:r w:rsidR="003A457C" w:rsidRPr="005C5C45">
        <w:rPr>
          <w:color w:val="auto"/>
        </w:rPr>
        <w:t>s</w:t>
      </w:r>
      <w:r w:rsidR="00ED7AE5" w:rsidRPr="005C5C45">
        <w:rPr>
          <w:color w:val="auto"/>
        </w:rPr>
        <w:t>;</w:t>
      </w:r>
    </w:p>
    <w:p w14:paraId="2E0CEB0E" w14:textId="77777777" w:rsidR="003A457C" w:rsidRPr="005C5C45" w:rsidRDefault="003A457C" w:rsidP="004635A8">
      <w:pPr>
        <w:pStyle w:val="ListParagraph"/>
        <w:numPr>
          <w:ilvl w:val="0"/>
          <w:numId w:val="41"/>
        </w:numPr>
        <w:spacing w:after="120"/>
        <w:rPr>
          <w:color w:val="auto"/>
        </w:rPr>
      </w:pPr>
      <w:r w:rsidRPr="005C5C45">
        <w:rPr>
          <w:color w:val="auto"/>
        </w:rPr>
        <w:t>They presented regularly</w:t>
      </w:r>
      <w:r w:rsidR="00510BB1" w:rsidRPr="005C5C45">
        <w:rPr>
          <w:color w:val="auto"/>
        </w:rPr>
        <w:t xml:space="preserve"> to Parliamentary select commit</w:t>
      </w:r>
      <w:r w:rsidRPr="005C5C45">
        <w:rPr>
          <w:color w:val="auto"/>
        </w:rPr>
        <w:t>tees</w:t>
      </w:r>
      <w:r w:rsidR="00ED7AE5" w:rsidRPr="005C5C45">
        <w:rPr>
          <w:color w:val="auto"/>
        </w:rPr>
        <w:t>;</w:t>
      </w:r>
    </w:p>
    <w:p w14:paraId="40A23B5F" w14:textId="77777777" w:rsidR="003A457C" w:rsidRPr="005C5C45" w:rsidRDefault="003A457C" w:rsidP="004635A8">
      <w:pPr>
        <w:pStyle w:val="ListParagraph"/>
        <w:numPr>
          <w:ilvl w:val="0"/>
          <w:numId w:val="41"/>
        </w:numPr>
        <w:spacing w:after="120"/>
        <w:rPr>
          <w:color w:val="auto"/>
        </w:rPr>
      </w:pPr>
      <w:r w:rsidRPr="005C5C45">
        <w:rPr>
          <w:color w:val="auto"/>
        </w:rPr>
        <w:t>They were regularly meeting with government to participate in future OGP work</w:t>
      </w:r>
      <w:r w:rsidR="00ED7AE5" w:rsidRPr="005C5C45">
        <w:rPr>
          <w:color w:val="auto"/>
        </w:rPr>
        <w:t>; and</w:t>
      </w:r>
    </w:p>
    <w:p w14:paraId="2ACC89B3" w14:textId="77777777" w:rsidR="00D01D9F" w:rsidRPr="005C5C45" w:rsidRDefault="00D01D9F" w:rsidP="004635A8">
      <w:pPr>
        <w:pStyle w:val="ListParagraph"/>
        <w:numPr>
          <w:ilvl w:val="0"/>
          <w:numId w:val="41"/>
        </w:numPr>
        <w:spacing w:after="120"/>
        <w:rPr>
          <w:color w:val="auto"/>
        </w:rPr>
      </w:pPr>
      <w:r w:rsidRPr="005C5C45">
        <w:rPr>
          <w:color w:val="auto"/>
        </w:rPr>
        <w:t>They were key stakeholders for specific commitments.</w:t>
      </w:r>
    </w:p>
    <w:p w14:paraId="03CB57DF" w14:textId="178F4ECD" w:rsidR="00434CEE" w:rsidRPr="005C5C45" w:rsidRDefault="00D01D9F" w:rsidP="00434CEE">
      <w:pPr>
        <w:spacing w:after="120"/>
        <w:rPr>
          <w:color w:val="auto"/>
        </w:rPr>
      </w:pPr>
      <w:r w:rsidRPr="005C5C45">
        <w:rPr>
          <w:color w:val="auto"/>
        </w:rPr>
        <w:t>She also presented</w:t>
      </w:r>
      <w:r w:rsidR="00D16833" w:rsidRPr="005C5C45">
        <w:rPr>
          <w:color w:val="auto"/>
        </w:rPr>
        <w:t xml:space="preserve"> to the Aorangi Club</w:t>
      </w:r>
      <w:r w:rsidR="006C7C90" w:rsidRPr="005C5C45">
        <w:rPr>
          <w:color w:val="auto"/>
        </w:rPr>
        <w:t>, Auckland</w:t>
      </w:r>
      <w:r w:rsidR="00D16833" w:rsidRPr="005C5C45">
        <w:rPr>
          <w:color w:val="auto"/>
        </w:rPr>
        <w:t xml:space="preserve"> (</w:t>
      </w:r>
      <w:r w:rsidR="00582D2E">
        <w:rPr>
          <w:color w:val="auto"/>
        </w:rPr>
        <w:t>approximate attendance of</w:t>
      </w:r>
      <w:r w:rsidR="00582D2E" w:rsidRPr="005C5C45">
        <w:rPr>
          <w:color w:val="auto"/>
        </w:rPr>
        <w:t xml:space="preserve"> </w:t>
      </w:r>
      <w:r w:rsidR="00D16833" w:rsidRPr="005C5C45">
        <w:rPr>
          <w:color w:val="auto"/>
        </w:rPr>
        <w:t xml:space="preserve">120) on 18 July, and attended a presentation by the Chief Ombudsman, Judge Peter </w:t>
      </w:r>
      <w:proofErr w:type="spellStart"/>
      <w:r w:rsidR="00D16833" w:rsidRPr="005C5C45">
        <w:rPr>
          <w:color w:val="auto"/>
        </w:rPr>
        <w:t>Boshier</w:t>
      </w:r>
      <w:proofErr w:type="spellEnd"/>
      <w:r w:rsidR="00D16833" w:rsidRPr="005C5C45">
        <w:rPr>
          <w:color w:val="auto"/>
        </w:rPr>
        <w:t>, on 25 July at which she asked OGP-related questions.</w:t>
      </w:r>
    </w:p>
    <w:p w14:paraId="2AF6B033" w14:textId="6AD94E9A" w:rsidR="004277E9" w:rsidRPr="005C5C45" w:rsidRDefault="004635A8" w:rsidP="0037664F">
      <w:pPr>
        <w:spacing w:after="120"/>
      </w:pPr>
      <w:r w:rsidRPr="005C5C45">
        <w:rPr>
          <w:color w:val="auto"/>
        </w:rPr>
        <w:t xml:space="preserve">Each meeting was </w:t>
      </w:r>
      <w:r w:rsidR="00582D2E">
        <w:rPr>
          <w:color w:val="auto"/>
        </w:rPr>
        <w:t>documented</w:t>
      </w:r>
      <w:r w:rsidRPr="005C5C45">
        <w:rPr>
          <w:color w:val="auto"/>
        </w:rPr>
        <w:t xml:space="preserve"> in a </w:t>
      </w:r>
      <w:proofErr w:type="spellStart"/>
      <w:r w:rsidRPr="005C5C45">
        <w:rPr>
          <w:color w:val="auto"/>
        </w:rPr>
        <w:t>spreadsheet</w:t>
      </w:r>
      <w:proofErr w:type="spellEnd"/>
      <w:r w:rsidRPr="005C5C45">
        <w:rPr>
          <w:color w:val="auto"/>
        </w:rPr>
        <w:t xml:space="preserve"> or separate report</w:t>
      </w:r>
      <w:r w:rsidR="00582D2E">
        <w:rPr>
          <w:color w:val="auto"/>
        </w:rPr>
        <w:t xml:space="preserve"> and then used for</w:t>
      </w:r>
      <w:r w:rsidRPr="005C5C45">
        <w:rPr>
          <w:color w:val="auto"/>
        </w:rPr>
        <w:t xml:space="preserve"> the progress report, with many quotations from stakeholders.</w:t>
      </w:r>
      <w:bookmarkStart w:id="37" w:name="h.3j2qqm3" w:colFirst="0" w:colLast="0"/>
      <w:bookmarkStart w:id="38" w:name="h.1y810tw" w:colFirst="0" w:colLast="0"/>
      <w:bookmarkEnd w:id="37"/>
      <w:bookmarkEnd w:id="38"/>
    </w:p>
    <w:p w14:paraId="12F8A9E7" w14:textId="77777777" w:rsidR="00545398" w:rsidRPr="005C5C45" w:rsidRDefault="00545398" w:rsidP="00907A0E">
      <w:pPr>
        <w:pStyle w:val="Heading3"/>
      </w:pPr>
      <w:r w:rsidRPr="005C5C45">
        <w:t>About the Independent Reporting Mechanism</w:t>
      </w:r>
    </w:p>
    <w:p w14:paraId="689AB6FE" w14:textId="77777777" w:rsidR="00545398" w:rsidRPr="005C5C45" w:rsidRDefault="00545398" w:rsidP="00B64642">
      <w:pPr>
        <w:pStyle w:val="Normalrglronly"/>
      </w:pPr>
      <w:r w:rsidRPr="005C5C45">
        <w:t xml:space="preserve">The IRM is a key means by which government, civil society, and the private sector can track government development and implementation of OGP action plans on </w:t>
      </w:r>
      <w:r w:rsidR="00510BB1" w:rsidRPr="005C5C45">
        <w:t>an</w:t>
      </w:r>
      <w:r w:rsidRPr="005C5C45">
        <w:t xml:space="preserve"> </w:t>
      </w:r>
      <w:r w:rsidR="00B56E65" w:rsidRPr="005C5C45">
        <w:t>annual</w:t>
      </w:r>
      <w:r w:rsidRPr="005C5C45">
        <w:t xml:space="preserve"> basis. The design of research and quality control of such reports is carried out by the International Experts Panel, comprised of experts in transparency, participation, accountability, and social science research methods. </w:t>
      </w:r>
    </w:p>
    <w:p w14:paraId="126B1155" w14:textId="77777777" w:rsidR="00545398" w:rsidRPr="005C5C45" w:rsidRDefault="00545398" w:rsidP="00B64642">
      <w:pPr>
        <w:pStyle w:val="Normalrglronly"/>
      </w:pPr>
      <w:r w:rsidRPr="005C5C45">
        <w:t xml:space="preserve">The current membership of the </w:t>
      </w:r>
      <w:r w:rsidR="00B64642" w:rsidRPr="005C5C45">
        <w:t>International Experts Panel is</w:t>
      </w:r>
    </w:p>
    <w:p w14:paraId="3084A24D" w14:textId="77777777" w:rsidR="001C6040" w:rsidRPr="005C5C45" w:rsidRDefault="001C6040" w:rsidP="003549A3">
      <w:pPr>
        <w:pStyle w:val="ListParagraph"/>
        <w:numPr>
          <w:ilvl w:val="0"/>
          <w:numId w:val="8"/>
        </w:numPr>
      </w:pPr>
      <w:r w:rsidRPr="005C5C45">
        <w:t>César Cruz-Rubio</w:t>
      </w:r>
    </w:p>
    <w:p w14:paraId="6B533531" w14:textId="77777777" w:rsidR="00F80700" w:rsidRPr="005C5C45" w:rsidRDefault="00F80700" w:rsidP="003549A3">
      <w:pPr>
        <w:pStyle w:val="ListParagraph"/>
        <w:numPr>
          <w:ilvl w:val="0"/>
          <w:numId w:val="8"/>
        </w:numPr>
      </w:pPr>
      <w:r w:rsidRPr="005C5C45">
        <w:t xml:space="preserve">Hazel </w:t>
      </w:r>
      <w:proofErr w:type="spellStart"/>
      <w:r w:rsidRPr="005C5C45">
        <w:t>Feigenblatt</w:t>
      </w:r>
      <w:proofErr w:type="spellEnd"/>
      <w:r w:rsidRPr="005C5C45">
        <w:t xml:space="preserve"> </w:t>
      </w:r>
    </w:p>
    <w:p w14:paraId="722C951B" w14:textId="77777777" w:rsidR="001C6040" w:rsidRPr="005C5C45" w:rsidRDefault="001C6040" w:rsidP="003549A3">
      <w:pPr>
        <w:pStyle w:val="ListParagraph"/>
        <w:numPr>
          <w:ilvl w:val="0"/>
          <w:numId w:val="8"/>
        </w:numPr>
      </w:pPr>
      <w:r w:rsidRPr="005C5C45">
        <w:t xml:space="preserve">Mary </w:t>
      </w:r>
      <w:proofErr w:type="spellStart"/>
      <w:r w:rsidRPr="005C5C45">
        <w:t>Francoli</w:t>
      </w:r>
      <w:proofErr w:type="spellEnd"/>
    </w:p>
    <w:p w14:paraId="336113D6" w14:textId="77777777" w:rsidR="001C6040" w:rsidRPr="005C5C45" w:rsidRDefault="001C6040" w:rsidP="001C6040">
      <w:pPr>
        <w:pStyle w:val="ListParagraph"/>
        <w:numPr>
          <w:ilvl w:val="0"/>
          <w:numId w:val="8"/>
        </w:numPr>
      </w:pPr>
      <w:r w:rsidRPr="005C5C45">
        <w:t>Brendan Halloran</w:t>
      </w:r>
    </w:p>
    <w:p w14:paraId="2E42C94B" w14:textId="77777777" w:rsidR="00F80700" w:rsidRPr="005C5C45" w:rsidRDefault="00F80700" w:rsidP="003549A3">
      <w:pPr>
        <w:pStyle w:val="ListParagraph"/>
        <w:numPr>
          <w:ilvl w:val="0"/>
          <w:numId w:val="8"/>
        </w:numPr>
      </w:pPr>
      <w:proofErr w:type="spellStart"/>
      <w:r w:rsidRPr="005C5C45">
        <w:t>Hille</w:t>
      </w:r>
      <w:proofErr w:type="spellEnd"/>
      <w:r w:rsidRPr="005C5C45">
        <w:t xml:space="preserve"> </w:t>
      </w:r>
      <w:proofErr w:type="spellStart"/>
      <w:r w:rsidRPr="005C5C45">
        <w:t>Hinsberg</w:t>
      </w:r>
      <w:proofErr w:type="spellEnd"/>
    </w:p>
    <w:p w14:paraId="5330FFD6" w14:textId="77777777" w:rsidR="005B5F1D" w:rsidRPr="005C5C45" w:rsidRDefault="005B5F1D" w:rsidP="003549A3">
      <w:pPr>
        <w:pStyle w:val="ListParagraph"/>
        <w:numPr>
          <w:ilvl w:val="0"/>
          <w:numId w:val="8"/>
        </w:numPr>
      </w:pPr>
      <w:proofErr w:type="spellStart"/>
      <w:r w:rsidRPr="005C5C45">
        <w:t>Anuradha</w:t>
      </w:r>
      <w:proofErr w:type="spellEnd"/>
      <w:r w:rsidRPr="005C5C45">
        <w:t xml:space="preserve"> Joshi</w:t>
      </w:r>
      <w:r w:rsidR="006F53EC" w:rsidRPr="005C5C45">
        <w:t xml:space="preserve"> </w:t>
      </w:r>
    </w:p>
    <w:p w14:paraId="19D39A6C" w14:textId="77777777" w:rsidR="001C6040" w:rsidRPr="005C5C45" w:rsidRDefault="001C6040" w:rsidP="003549A3">
      <w:pPr>
        <w:pStyle w:val="ListParagraph"/>
        <w:numPr>
          <w:ilvl w:val="0"/>
          <w:numId w:val="8"/>
        </w:numPr>
      </w:pPr>
      <w:r w:rsidRPr="005C5C45">
        <w:t xml:space="preserve">Jeff </w:t>
      </w:r>
      <w:proofErr w:type="spellStart"/>
      <w:r w:rsidRPr="005C5C45">
        <w:t>Lovitt</w:t>
      </w:r>
      <w:proofErr w:type="spellEnd"/>
    </w:p>
    <w:p w14:paraId="65D7E75E" w14:textId="77777777" w:rsidR="001C6040" w:rsidRPr="005C5C45" w:rsidRDefault="001C6040" w:rsidP="003549A3">
      <w:pPr>
        <w:pStyle w:val="ListParagraph"/>
        <w:numPr>
          <w:ilvl w:val="0"/>
          <w:numId w:val="8"/>
        </w:numPr>
      </w:pPr>
      <w:proofErr w:type="spellStart"/>
      <w:r w:rsidRPr="005C5C45">
        <w:t>Fredline</w:t>
      </w:r>
      <w:proofErr w:type="spellEnd"/>
      <w:r w:rsidRPr="005C5C45">
        <w:t xml:space="preserve"> </w:t>
      </w:r>
      <w:proofErr w:type="spellStart"/>
      <w:r w:rsidRPr="005C5C45">
        <w:t>M’Cormack</w:t>
      </w:r>
      <w:proofErr w:type="spellEnd"/>
      <w:r w:rsidRPr="005C5C45">
        <w:t>-Hale</w:t>
      </w:r>
    </w:p>
    <w:p w14:paraId="26D3DB97" w14:textId="77777777" w:rsidR="001C6040" w:rsidRPr="005C5C45" w:rsidRDefault="001C6040" w:rsidP="003549A3">
      <w:pPr>
        <w:pStyle w:val="ListParagraph"/>
        <w:numPr>
          <w:ilvl w:val="0"/>
          <w:numId w:val="8"/>
        </w:numPr>
      </w:pPr>
      <w:r w:rsidRPr="005C5C45">
        <w:t xml:space="preserve">Showers </w:t>
      </w:r>
      <w:proofErr w:type="spellStart"/>
      <w:r w:rsidRPr="005C5C45">
        <w:t>Mawowa</w:t>
      </w:r>
      <w:proofErr w:type="spellEnd"/>
    </w:p>
    <w:p w14:paraId="289BEC8D" w14:textId="77777777" w:rsidR="00F80700" w:rsidRPr="005C5C45" w:rsidRDefault="00F80700" w:rsidP="003549A3">
      <w:pPr>
        <w:pStyle w:val="ListParagraph"/>
        <w:numPr>
          <w:ilvl w:val="0"/>
          <w:numId w:val="8"/>
        </w:numPr>
      </w:pPr>
      <w:r w:rsidRPr="005C5C45">
        <w:t>Ernesto Velasco</w:t>
      </w:r>
    </w:p>
    <w:p w14:paraId="00CE95A6" w14:textId="77777777" w:rsidR="001C6040" w:rsidRPr="005C5C45" w:rsidRDefault="001C6040" w:rsidP="00510BB1"/>
    <w:p w14:paraId="104FAC2B" w14:textId="77777777" w:rsidR="00A75438" w:rsidRPr="005C5C45" w:rsidRDefault="00545398" w:rsidP="00B64642">
      <w:pPr>
        <w:pStyle w:val="Normalrglronly"/>
        <w:rPr>
          <w:rStyle w:val="Hyperlink"/>
          <w:rFonts w:ascii="Cambria" w:hAnsi="Cambria"/>
          <w:color w:val="auto"/>
        </w:rPr>
        <w:sectPr w:rsidR="00A75438" w:rsidRPr="005C5C45" w:rsidSect="00B962C0">
          <w:endnotePr>
            <w:numFmt w:val="decimal"/>
            <w:numRestart w:val="eachSect"/>
          </w:endnotePr>
          <w:pgSz w:w="11900" w:h="16840" w:code="9"/>
          <w:pgMar w:top="1440" w:right="1800" w:bottom="1440" w:left="1800" w:header="720" w:footer="720" w:gutter="0"/>
          <w:cols w:space="720"/>
          <w:docGrid w:linePitch="360"/>
        </w:sectPr>
      </w:pPr>
      <w:r w:rsidRPr="005C5C45">
        <w:t>A small staff based in Washington, DC</w:t>
      </w:r>
      <w:r w:rsidR="00B64642" w:rsidRPr="005C5C45">
        <w:t>,</w:t>
      </w:r>
      <w:r w:rsidRPr="005C5C45">
        <w:t xml:space="preserve"> shepherds reports through the IRM process in close coordination with the researcher</w:t>
      </w:r>
      <w:r w:rsidR="005C4CE8" w:rsidRPr="005C5C45">
        <w:t>s</w:t>
      </w:r>
      <w:r w:rsidRPr="005C5C45">
        <w:t xml:space="preserve">. Questions and comments about this report can be directed to the staff at </w:t>
      </w:r>
      <w:hyperlink r:id="rId33" w:history="1">
        <w:r w:rsidRPr="005C5C45">
          <w:rPr>
            <w:rStyle w:val="Hyperlink"/>
            <w:color w:val="auto"/>
          </w:rPr>
          <w:t>irm@opengovpartnership.org</w:t>
        </w:r>
      </w:hyperlink>
    </w:p>
    <w:p w14:paraId="5B8C9D33" w14:textId="77777777" w:rsidR="006C7E40" w:rsidRPr="005C5C45" w:rsidRDefault="006C7E40" w:rsidP="006C7E40">
      <w:pPr>
        <w:pStyle w:val="Heading1"/>
      </w:pPr>
      <w:bookmarkStart w:id="39" w:name="_Toc377998818"/>
      <w:r w:rsidRPr="005C5C45">
        <w:lastRenderedPageBreak/>
        <w:t xml:space="preserve">VII. Eligibility </w:t>
      </w:r>
      <w:r w:rsidR="0071574D" w:rsidRPr="005C5C45">
        <w:t>Requirements Annex</w:t>
      </w:r>
      <w:bookmarkEnd w:id="39"/>
    </w:p>
    <w:p w14:paraId="3C779FFB" w14:textId="77777777" w:rsidR="0071574D" w:rsidRPr="005C5C45" w:rsidRDefault="0071574D" w:rsidP="009F4773">
      <w:pPr>
        <w:pStyle w:val="Normalrglronly"/>
      </w:pPr>
      <w:r w:rsidRPr="005C5C45">
        <w:t>The OGP Support Unit collates eligibility criteria on an annual basis. These scores are presented below.</w:t>
      </w:r>
      <w:r w:rsidRPr="005C5C45">
        <w:rPr>
          <w:rStyle w:val="EndnoteReference"/>
        </w:rPr>
        <w:endnoteReference w:id="172"/>
      </w:r>
      <w:r w:rsidRPr="005C5C45">
        <w:t xml:space="preserve"> When appropriate, the IRM reports will discuss the context surrounding progress or regress on specific criteria in the Country Context section.</w:t>
      </w:r>
    </w:p>
    <w:p w14:paraId="5441384C" w14:textId="77777777" w:rsidR="009F4773" w:rsidRPr="005C5C45" w:rsidRDefault="009F4773" w:rsidP="009F4773">
      <w:pPr>
        <w:pStyle w:val="Normalrglronly"/>
      </w:pPr>
      <w:r w:rsidRPr="005C5C45">
        <w:t xml:space="preserve">In September 2012, OGP </w:t>
      </w:r>
      <w:r w:rsidR="00B56E65" w:rsidRPr="005C5C45">
        <w:t xml:space="preserve">officially </w:t>
      </w:r>
      <w:r w:rsidRPr="005C5C45">
        <w:t>encourag</w:t>
      </w:r>
      <w:r w:rsidR="00B56E65" w:rsidRPr="005C5C45">
        <w:t>ed</w:t>
      </w:r>
      <w:r w:rsidRPr="005C5C45">
        <w:t xml:space="preserve"> governments to adopt ambitious commitments that relate to eligibility</w:t>
      </w:r>
      <w:r w:rsidR="00B56E65" w:rsidRPr="005C5C45">
        <w:t>.</w:t>
      </w:r>
    </w:p>
    <w:p w14:paraId="6519ACD3" w14:textId="77777777" w:rsidR="0071574D" w:rsidRPr="005C5C45" w:rsidRDefault="0071574D" w:rsidP="0071574D">
      <w:pPr>
        <w:pStyle w:val="Tableheader"/>
      </w:pPr>
      <w:r w:rsidRPr="005C5C45">
        <w:t>Table 7.1</w:t>
      </w:r>
      <w:r w:rsidR="009F58B0" w:rsidRPr="005C5C45">
        <w:t xml:space="preserve">: </w:t>
      </w:r>
      <w:r w:rsidRPr="005C5C45">
        <w:t xml:space="preserve">Eligibility Annex for </w:t>
      </w:r>
      <w:r w:rsidR="00554391" w:rsidRPr="005C5C45">
        <w:t>New Zealand</w:t>
      </w:r>
    </w:p>
    <w:p w14:paraId="2508061A" w14:textId="77777777" w:rsidR="00B274A7" w:rsidRPr="005C5C45" w:rsidRDefault="00B274A7" w:rsidP="0071574D">
      <w:pPr>
        <w:pStyle w:val="Tableheader"/>
        <w:rPr>
          <w:color w:val="81A7D1" w:themeColor="text2" w:themeTint="99"/>
        </w:rPr>
      </w:pPr>
    </w:p>
    <w:tbl>
      <w:tblPr>
        <w:tblW w:w="99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990"/>
        <w:gridCol w:w="1260"/>
        <w:gridCol w:w="1170"/>
        <w:gridCol w:w="4050"/>
      </w:tblGrid>
      <w:tr w:rsidR="0071574D" w:rsidRPr="007402D8" w14:paraId="29C2ACD9" w14:textId="77777777" w:rsidTr="0071574D">
        <w:trPr>
          <w:trHeight w:val="300"/>
        </w:trPr>
        <w:tc>
          <w:tcPr>
            <w:tcW w:w="2430" w:type="dxa"/>
            <w:shd w:val="clear" w:color="auto" w:fill="auto"/>
            <w:noWrap/>
            <w:vAlign w:val="bottom"/>
            <w:hideMark/>
          </w:tcPr>
          <w:p w14:paraId="3FDED90E" w14:textId="77777777" w:rsidR="0071574D" w:rsidRPr="007402D8" w:rsidRDefault="0071574D" w:rsidP="0071574D">
            <w:pPr>
              <w:pStyle w:val="Tabletitleinside"/>
              <w:rPr>
                <w:rFonts w:ascii="Gill Sans SemiBold" w:hAnsi="Gill Sans SemiBold"/>
                <w:b w:val="0"/>
                <w:color w:val="auto"/>
              </w:rPr>
            </w:pPr>
            <w:r w:rsidRPr="007402D8">
              <w:rPr>
                <w:rFonts w:ascii="Gill Sans SemiBold" w:hAnsi="Gill Sans SemiBold"/>
                <w:b w:val="0"/>
                <w:color w:val="auto"/>
              </w:rPr>
              <w:t>Criteria</w:t>
            </w:r>
          </w:p>
        </w:tc>
        <w:tc>
          <w:tcPr>
            <w:tcW w:w="990" w:type="dxa"/>
            <w:shd w:val="clear" w:color="auto" w:fill="auto"/>
            <w:noWrap/>
            <w:vAlign w:val="bottom"/>
            <w:hideMark/>
          </w:tcPr>
          <w:p w14:paraId="6339BE1C" w14:textId="77777777" w:rsidR="0071574D" w:rsidRPr="007402D8" w:rsidRDefault="0071574D" w:rsidP="0071574D">
            <w:pPr>
              <w:pStyle w:val="Tabletitleinside"/>
              <w:rPr>
                <w:rFonts w:ascii="Gill Sans SemiBold" w:hAnsi="Gill Sans SemiBold"/>
                <w:b w:val="0"/>
                <w:bCs/>
                <w:color w:val="auto"/>
              </w:rPr>
            </w:pPr>
            <w:r w:rsidRPr="007402D8">
              <w:rPr>
                <w:rFonts w:ascii="Gill Sans SemiBold" w:hAnsi="Gill Sans SemiBold"/>
                <w:b w:val="0"/>
                <w:bCs/>
                <w:color w:val="auto"/>
              </w:rPr>
              <w:t>2011</w:t>
            </w:r>
          </w:p>
        </w:tc>
        <w:tc>
          <w:tcPr>
            <w:tcW w:w="1260" w:type="dxa"/>
            <w:shd w:val="clear" w:color="auto" w:fill="auto"/>
            <w:noWrap/>
            <w:vAlign w:val="bottom"/>
            <w:hideMark/>
          </w:tcPr>
          <w:p w14:paraId="393F11B6" w14:textId="77777777" w:rsidR="0071574D" w:rsidRPr="007402D8" w:rsidRDefault="0071574D" w:rsidP="0071574D">
            <w:pPr>
              <w:pStyle w:val="Tabletitleinside"/>
              <w:rPr>
                <w:rFonts w:ascii="Gill Sans SemiBold" w:hAnsi="Gill Sans SemiBold"/>
                <w:b w:val="0"/>
                <w:bCs/>
                <w:color w:val="auto"/>
              </w:rPr>
            </w:pPr>
            <w:r w:rsidRPr="007402D8">
              <w:rPr>
                <w:rFonts w:ascii="Gill Sans SemiBold" w:hAnsi="Gill Sans SemiBold"/>
                <w:b w:val="0"/>
                <w:bCs/>
                <w:color w:val="auto"/>
              </w:rPr>
              <w:t>Current</w:t>
            </w:r>
          </w:p>
        </w:tc>
        <w:tc>
          <w:tcPr>
            <w:tcW w:w="1170" w:type="dxa"/>
            <w:shd w:val="clear" w:color="auto" w:fill="auto"/>
            <w:noWrap/>
            <w:vAlign w:val="bottom"/>
            <w:hideMark/>
          </w:tcPr>
          <w:p w14:paraId="43974F47" w14:textId="77777777" w:rsidR="0071574D" w:rsidRPr="007402D8" w:rsidRDefault="0071574D" w:rsidP="0071574D">
            <w:pPr>
              <w:pStyle w:val="Tabletitleinside"/>
              <w:rPr>
                <w:rFonts w:ascii="Gill Sans SemiBold" w:hAnsi="Gill Sans SemiBold"/>
                <w:b w:val="0"/>
                <w:bCs/>
                <w:color w:val="auto"/>
              </w:rPr>
            </w:pPr>
            <w:r w:rsidRPr="007402D8">
              <w:rPr>
                <w:rFonts w:ascii="Gill Sans SemiBold" w:hAnsi="Gill Sans SemiBold"/>
                <w:b w:val="0"/>
                <w:bCs/>
                <w:color w:val="auto"/>
              </w:rPr>
              <w:t>Change</w:t>
            </w:r>
          </w:p>
        </w:tc>
        <w:tc>
          <w:tcPr>
            <w:tcW w:w="4050" w:type="dxa"/>
            <w:shd w:val="clear" w:color="auto" w:fill="auto"/>
            <w:noWrap/>
            <w:vAlign w:val="bottom"/>
            <w:hideMark/>
          </w:tcPr>
          <w:p w14:paraId="1EC940AB" w14:textId="77777777" w:rsidR="0071574D" w:rsidRPr="007402D8" w:rsidRDefault="0071574D" w:rsidP="0071574D">
            <w:pPr>
              <w:pStyle w:val="Tabletitleinside"/>
              <w:rPr>
                <w:rFonts w:ascii="Gill Sans SemiBold" w:hAnsi="Gill Sans SemiBold"/>
                <w:b w:val="0"/>
                <w:color w:val="auto"/>
              </w:rPr>
            </w:pPr>
            <w:r w:rsidRPr="007402D8">
              <w:rPr>
                <w:rFonts w:ascii="Gill Sans SemiBold" w:hAnsi="Gill Sans SemiBold"/>
                <w:b w:val="0"/>
                <w:color w:val="auto"/>
              </w:rPr>
              <w:t>Explanation</w:t>
            </w:r>
          </w:p>
        </w:tc>
      </w:tr>
      <w:tr w:rsidR="0071574D" w:rsidRPr="007402D8" w14:paraId="476E3197" w14:textId="77777777" w:rsidTr="0071574D">
        <w:trPr>
          <w:trHeight w:val="300"/>
        </w:trPr>
        <w:tc>
          <w:tcPr>
            <w:tcW w:w="2430" w:type="dxa"/>
            <w:shd w:val="clear" w:color="auto" w:fill="auto"/>
            <w:noWrap/>
            <w:vAlign w:val="center"/>
            <w:hideMark/>
          </w:tcPr>
          <w:p w14:paraId="2C6DDAAC" w14:textId="77777777" w:rsidR="0071574D" w:rsidRPr="007402D8" w:rsidRDefault="0071574D" w:rsidP="0052233B">
            <w:pPr>
              <w:rPr>
                <w:rFonts w:eastAsia="Times New Roman" w:cs="Times New Roman"/>
                <w:color w:val="auto"/>
                <w:szCs w:val="22"/>
              </w:rPr>
            </w:pPr>
            <w:r w:rsidRPr="007402D8">
              <w:rPr>
                <w:rFonts w:eastAsia="Times New Roman" w:cs="Times New Roman"/>
                <w:color w:val="auto"/>
                <w:szCs w:val="22"/>
              </w:rPr>
              <w:t xml:space="preserve">Budget </w:t>
            </w:r>
            <w:r w:rsidR="009F4773" w:rsidRPr="007402D8">
              <w:rPr>
                <w:rFonts w:eastAsia="Times New Roman" w:cs="Times New Roman"/>
                <w:color w:val="auto"/>
                <w:szCs w:val="22"/>
              </w:rPr>
              <w:t>T</w:t>
            </w:r>
            <w:r w:rsidRPr="007402D8">
              <w:rPr>
                <w:rFonts w:eastAsia="Times New Roman" w:cs="Times New Roman"/>
                <w:color w:val="auto"/>
                <w:szCs w:val="22"/>
              </w:rPr>
              <w:t>ransparency</w:t>
            </w:r>
            <w:r w:rsidRPr="007402D8">
              <w:rPr>
                <w:rStyle w:val="EndnoteReference"/>
                <w:color w:val="auto"/>
                <w:szCs w:val="22"/>
              </w:rPr>
              <w:endnoteReference w:id="173"/>
            </w:r>
          </w:p>
        </w:tc>
        <w:tc>
          <w:tcPr>
            <w:tcW w:w="990" w:type="dxa"/>
            <w:shd w:val="clear" w:color="auto" w:fill="auto"/>
            <w:noWrap/>
            <w:vAlign w:val="center"/>
            <w:hideMark/>
          </w:tcPr>
          <w:p w14:paraId="0D6ACA29" w14:textId="77777777" w:rsidR="0071574D" w:rsidRPr="007402D8" w:rsidRDefault="0071574D" w:rsidP="0052233B">
            <w:pPr>
              <w:jc w:val="center"/>
              <w:rPr>
                <w:rFonts w:eastAsia="Times New Roman" w:cs="Times New Roman"/>
                <w:color w:val="auto"/>
                <w:szCs w:val="22"/>
              </w:rPr>
            </w:pPr>
            <w:r w:rsidRPr="007402D8">
              <w:rPr>
                <w:rFonts w:eastAsia="Times New Roman" w:cs="Times New Roman"/>
                <w:color w:val="auto"/>
                <w:szCs w:val="22"/>
              </w:rPr>
              <w:t>4</w:t>
            </w:r>
          </w:p>
        </w:tc>
        <w:tc>
          <w:tcPr>
            <w:tcW w:w="1260" w:type="dxa"/>
            <w:shd w:val="clear" w:color="auto" w:fill="auto"/>
            <w:noWrap/>
            <w:vAlign w:val="center"/>
            <w:hideMark/>
          </w:tcPr>
          <w:p w14:paraId="54DA39EB" w14:textId="77777777" w:rsidR="0071574D" w:rsidRPr="007402D8" w:rsidRDefault="0071574D" w:rsidP="0052233B">
            <w:pPr>
              <w:jc w:val="center"/>
              <w:rPr>
                <w:rFonts w:eastAsia="Times New Roman" w:cs="Times New Roman"/>
                <w:color w:val="auto"/>
                <w:szCs w:val="22"/>
              </w:rPr>
            </w:pPr>
            <w:r w:rsidRPr="007402D8">
              <w:rPr>
                <w:rFonts w:eastAsia="Times New Roman" w:cs="Times New Roman"/>
                <w:color w:val="auto"/>
                <w:szCs w:val="22"/>
              </w:rPr>
              <w:t>4</w:t>
            </w:r>
          </w:p>
        </w:tc>
        <w:tc>
          <w:tcPr>
            <w:tcW w:w="1170" w:type="dxa"/>
            <w:shd w:val="clear" w:color="auto" w:fill="auto"/>
            <w:noWrap/>
            <w:vAlign w:val="center"/>
            <w:hideMark/>
          </w:tcPr>
          <w:p w14:paraId="52ECE0F5" w14:textId="77777777" w:rsidR="0071574D" w:rsidRPr="007402D8" w:rsidRDefault="0071574D" w:rsidP="0052233B">
            <w:pPr>
              <w:jc w:val="center"/>
              <w:rPr>
                <w:rFonts w:eastAsia="Times New Roman" w:cs="Times New Roman"/>
                <w:color w:val="auto"/>
                <w:szCs w:val="22"/>
              </w:rPr>
            </w:pPr>
            <w:r w:rsidRPr="007402D8">
              <w:rPr>
                <w:rFonts w:eastAsia="MS Gothic"/>
                <w:color w:val="auto"/>
              </w:rPr>
              <w:t>No change</w:t>
            </w:r>
          </w:p>
        </w:tc>
        <w:tc>
          <w:tcPr>
            <w:tcW w:w="4050" w:type="dxa"/>
            <w:shd w:val="clear" w:color="000000" w:fill="FFFFFF"/>
            <w:noWrap/>
            <w:vAlign w:val="center"/>
            <w:hideMark/>
          </w:tcPr>
          <w:p w14:paraId="647F091E" w14:textId="77777777" w:rsidR="0071574D" w:rsidRPr="007402D8" w:rsidRDefault="0071574D" w:rsidP="0052233B">
            <w:pPr>
              <w:rPr>
                <w:rFonts w:cs="Lucida Grande"/>
                <w:color w:val="auto"/>
                <w:szCs w:val="22"/>
              </w:rPr>
            </w:pPr>
            <w:r w:rsidRPr="007402D8">
              <w:rPr>
                <w:rFonts w:cs="Lucida Grande"/>
                <w:color w:val="auto"/>
                <w:szCs w:val="22"/>
              </w:rPr>
              <w:t xml:space="preserve">4 = </w:t>
            </w:r>
            <w:r w:rsidRPr="007402D8">
              <w:rPr>
                <w:rFonts w:cs="Arial"/>
                <w:color w:val="auto"/>
                <w:szCs w:val="22"/>
              </w:rPr>
              <w:t>Executive’s Budget Proposal and Audit Report</w:t>
            </w:r>
            <w:r w:rsidRPr="007402D8">
              <w:rPr>
                <w:rFonts w:cs="Lucida Grande"/>
                <w:color w:val="auto"/>
                <w:szCs w:val="22"/>
              </w:rPr>
              <w:t xml:space="preserve"> published</w:t>
            </w:r>
          </w:p>
          <w:p w14:paraId="788DB63C" w14:textId="77777777" w:rsidR="0071574D" w:rsidRPr="007402D8" w:rsidRDefault="0071574D" w:rsidP="0052233B">
            <w:pPr>
              <w:rPr>
                <w:rFonts w:cs="Lucida Grande"/>
                <w:color w:val="auto"/>
                <w:szCs w:val="22"/>
              </w:rPr>
            </w:pPr>
            <w:r w:rsidRPr="007402D8">
              <w:rPr>
                <w:rFonts w:cs="Lucida Grande"/>
                <w:color w:val="auto"/>
                <w:szCs w:val="22"/>
              </w:rPr>
              <w:t>2 = One of two published</w:t>
            </w:r>
          </w:p>
          <w:p w14:paraId="6F95230A" w14:textId="77777777" w:rsidR="0071574D" w:rsidRPr="007402D8" w:rsidRDefault="0071574D" w:rsidP="0052233B">
            <w:pPr>
              <w:rPr>
                <w:rFonts w:cs="Lucida Grande"/>
                <w:color w:val="auto"/>
                <w:szCs w:val="22"/>
              </w:rPr>
            </w:pPr>
            <w:r w:rsidRPr="007402D8">
              <w:rPr>
                <w:rFonts w:cs="Lucida Grande"/>
                <w:color w:val="auto"/>
                <w:szCs w:val="22"/>
              </w:rPr>
              <w:t>0 = Neither published</w:t>
            </w:r>
          </w:p>
        </w:tc>
      </w:tr>
      <w:tr w:rsidR="0071574D" w:rsidRPr="007402D8" w14:paraId="6B7327AF" w14:textId="77777777" w:rsidTr="0071574D">
        <w:trPr>
          <w:trHeight w:val="300"/>
        </w:trPr>
        <w:tc>
          <w:tcPr>
            <w:tcW w:w="2430" w:type="dxa"/>
            <w:shd w:val="clear" w:color="auto" w:fill="auto"/>
            <w:noWrap/>
            <w:vAlign w:val="center"/>
            <w:hideMark/>
          </w:tcPr>
          <w:p w14:paraId="69714A8A" w14:textId="77777777" w:rsidR="0071574D" w:rsidRPr="007402D8" w:rsidRDefault="0071574D" w:rsidP="0052233B">
            <w:pPr>
              <w:rPr>
                <w:rFonts w:eastAsia="Times New Roman" w:cs="Times New Roman"/>
                <w:color w:val="auto"/>
                <w:szCs w:val="22"/>
              </w:rPr>
            </w:pPr>
            <w:r w:rsidRPr="007402D8">
              <w:rPr>
                <w:rFonts w:eastAsia="Times New Roman" w:cs="Times New Roman"/>
                <w:color w:val="auto"/>
                <w:szCs w:val="22"/>
              </w:rPr>
              <w:t xml:space="preserve">Access to </w:t>
            </w:r>
            <w:r w:rsidR="009F4773" w:rsidRPr="007402D8">
              <w:rPr>
                <w:rFonts w:eastAsia="Times New Roman" w:cs="Times New Roman"/>
                <w:color w:val="auto"/>
                <w:szCs w:val="22"/>
              </w:rPr>
              <w:t>I</w:t>
            </w:r>
            <w:r w:rsidRPr="007402D8">
              <w:rPr>
                <w:rFonts w:eastAsia="Times New Roman" w:cs="Times New Roman"/>
                <w:color w:val="auto"/>
                <w:szCs w:val="22"/>
              </w:rPr>
              <w:t>nformation</w:t>
            </w:r>
            <w:r w:rsidRPr="007402D8">
              <w:rPr>
                <w:rStyle w:val="EndnoteReference"/>
                <w:color w:val="auto"/>
                <w:szCs w:val="22"/>
              </w:rPr>
              <w:endnoteReference w:id="174"/>
            </w:r>
          </w:p>
        </w:tc>
        <w:tc>
          <w:tcPr>
            <w:tcW w:w="990" w:type="dxa"/>
            <w:shd w:val="clear" w:color="auto" w:fill="auto"/>
            <w:noWrap/>
            <w:vAlign w:val="center"/>
            <w:hideMark/>
          </w:tcPr>
          <w:p w14:paraId="3A45846C" w14:textId="77777777" w:rsidR="0071574D" w:rsidRPr="007402D8" w:rsidRDefault="0071574D" w:rsidP="0052233B">
            <w:pPr>
              <w:jc w:val="center"/>
              <w:rPr>
                <w:rFonts w:eastAsia="Times New Roman" w:cs="Times New Roman"/>
                <w:color w:val="auto"/>
                <w:szCs w:val="22"/>
              </w:rPr>
            </w:pPr>
            <w:r w:rsidRPr="007402D8">
              <w:rPr>
                <w:rFonts w:eastAsia="Times New Roman" w:cs="Times New Roman"/>
                <w:color w:val="auto"/>
                <w:szCs w:val="22"/>
              </w:rPr>
              <w:t>4</w:t>
            </w:r>
          </w:p>
        </w:tc>
        <w:tc>
          <w:tcPr>
            <w:tcW w:w="1260" w:type="dxa"/>
            <w:shd w:val="clear" w:color="auto" w:fill="auto"/>
            <w:noWrap/>
            <w:vAlign w:val="center"/>
            <w:hideMark/>
          </w:tcPr>
          <w:p w14:paraId="17F5F97B" w14:textId="77777777" w:rsidR="0071574D" w:rsidRPr="007402D8" w:rsidRDefault="0071574D" w:rsidP="0052233B">
            <w:pPr>
              <w:jc w:val="center"/>
              <w:rPr>
                <w:rFonts w:eastAsia="Times New Roman" w:cs="Times New Roman"/>
                <w:color w:val="auto"/>
                <w:szCs w:val="22"/>
              </w:rPr>
            </w:pPr>
            <w:r w:rsidRPr="007402D8">
              <w:rPr>
                <w:rFonts w:eastAsia="Times New Roman" w:cs="Times New Roman"/>
                <w:color w:val="auto"/>
                <w:szCs w:val="22"/>
              </w:rPr>
              <w:t>4</w:t>
            </w:r>
          </w:p>
        </w:tc>
        <w:tc>
          <w:tcPr>
            <w:tcW w:w="1170" w:type="dxa"/>
            <w:shd w:val="clear" w:color="auto" w:fill="auto"/>
            <w:noWrap/>
            <w:vAlign w:val="center"/>
            <w:hideMark/>
          </w:tcPr>
          <w:p w14:paraId="527099C8" w14:textId="77777777" w:rsidR="0071574D" w:rsidRPr="007402D8" w:rsidRDefault="0071574D" w:rsidP="0052233B">
            <w:pPr>
              <w:jc w:val="center"/>
              <w:rPr>
                <w:rFonts w:eastAsia="Times New Roman" w:cs="Times New Roman"/>
                <w:color w:val="auto"/>
                <w:szCs w:val="22"/>
              </w:rPr>
            </w:pPr>
            <w:r w:rsidRPr="007402D8">
              <w:rPr>
                <w:rFonts w:eastAsia="MS Gothic"/>
                <w:color w:val="auto"/>
              </w:rPr>
              <w:t>No change</w:t>
            </w:r>
          </w:p>
        </w:tc>
        <w:tc>
          <w:tcPr>
            <w:tcW w:w="4050" w:type="dxa"/>
            <w:shd w:val="clear" w:color="auto" w:fill="auto"/>
            <w:noWrap/>
            <w:vAlign w:val="center"/>
            <w:hideMark/>
          </w:tcPr>
          <w:p w14:paraId="44C86D0A" w14:textId="77777777" w:rsidR="0071574D" w:rsidRPr="007402D8" w:rsidRDefault="0071574D" w:rsidP="0052233B">
            <w:pPr>
              <w:rPr>
                <w:rFonts w:eastAsia="Times New Roman" w:cs="Times New Roman"/>
                <w:color w:val="auto"/>
                <w:szCs w:val="22"/>
              </w:rPr>
            </w:pPr>
            <w:r w:rsidRPr="007402D8">
              <w:rPr>
                <w:rFonts w:eastAsia="Times New Roman" w:cs="Times New Roman"/>
                <w:color w:val="auto"/>
                <w:szCs w:val="22"/>
              </w:rPr>
              <w:t>4 = Access to information (ATI) Law</w:t>
            </w:r>
          </w:p>
          <w:p w14:paraId="580BFB3D" w14:textId="77777777" w:rsidR="0071574D" w:rsidRPr="007402D8" w:rsidRDefault="0071574D" w:rsidP="0052233B">
            <w:pPr>
              <w:rPr>
                <w:rFonts w:eastAsia="Times New Roman" w:cs="Times New Roman"/>
                <w:color w:val="auto"/>
                <w:szCs w:val="22"/>
              </w:rPr>
            </w:pPr>
            <w:r w:rsidRPr="007402D8">
              <w:rPr>
                <w:rFonts w:eastAsia="Times New Roman" w:cs="Times New Roman"/>
                <w:color w:val="auto"/>
                <w:szCs w:val="22"/>
              </w:rPr>
              <w:t>3 = Constitutional ATI provision</w:t>
            </w:r>
          </w:p>
          <w:p w14:paraId="5EB22E7F" w14:textId="77777777" w:rsidR="0071574D" w:rsidRPr="007402D8" w:rsidRDefault="0071574D" w:rsidP="0052233B">
            <w:pPr>
              <w:rPr>
                <w:rFonts w:eastAsia="Times New Roman" w:cs="Times New Roman"/>
                <w:color w:val="auto"/>
                <w:szCs w:val="22"/>
              </w:rPr>
            </w:pPr>
            <w:r w:rsidRPr="007402D8">
              <w:rPr>
                <w:rFonts w:eastAsia="Times New Roman" w:cs="Times New Roman"/>
                <w:color w:val="auto"/>
                <w:szCs w:val="22"/>
              </w:rPr>
              <w:t>1 = Draft ATI law</w:t>
            </w:r>
          </w:p>
          <w:p w14:paraId="74AEA815" w14:textId="77777777" w:rsidR="0071574D" w:rsidRPr="007402D8" w:rsidRDefault="0071574D" w:rsidP="0052233B">
            <w:pPr>
              <w:rPr>
                <w:rFonts w:eastAsia="Times New Roman" w:cs="Times New Roman"/>
                <w:color w:val="auto"/>
                <w:szCs w:val="22"/>
              </w:rPr>
            </w:pPr>
            <w:r w:rsidRPr="007402D8">
              <w:rPr>
                <w:rFonts w:eastAsia="Times New Roman" w:cs="Times New Roman"/>
                <w:color w:val="auto"/>
                <w:szCs w:val="22"/>
              </w:rPr>
              <w:t>0 = No ATI law</w:t>
            </w:r>
          </w:p>
        </w:tc>
      </w:tr>
      <w:tr w:rsidR="0071574D" w:rsidRPr="007402D8" w14:paraId="62962C89" w14:textId="77777777" w:rsidTr="0071574D">
        <w:trPr>
          <w:trHeight w:val="300"/>
        </w:trPr>
        <w:tc>
          <w:tcPr>
            <w:tcW w:w="2430" w:type="dxa"/>
            <w:shd w:val="clear" w:color="auto" w:fill="auto"/>
            <w:noWrap/>
            <w:vAlign w:val="center"/>
            <w:hideMark/>
          </w:tcPr>
          <w:p w14:paraId="3BC660BB" w14:textId="77777777" w:rsidR="0071574D" w:rsidRPr="007402D8" w:rsidRDefault="0071574D" w:rsidP="0052233B">
            <w:pPr>
              <w:rPr>
                <w:rFonts w:eastAsia="Times New Roman" w:cs="Times New Roman"/>
                <w:color w:val="auto"/>
                <w:szCs w:val="22"/>
              </w:rPr>
            </w:pPr>
            <w:r w:rsidRPr="007402D8">
              <w:rPr>
                <w:rFonts w:eastAsia="Times New Roman" w:cs="Times New Roman"/>
                <w:color w:val="auto"/>
                <w:szCs w:val="22"/>
              </w:rPr>
              <w:t>Asset Declaration</w:t>
            </w:r>
            <w:r w:rsidRPr="007402D8">
              <w:rPr>
                <w:rStyle w:val="EndnoteReference"/>
                <w:color w:val="auto"/>
                <w:szCs w:val="22"/>
              </w:rPr>
              <w:endnoteReference w:id="175"/>
            </w:r>
          </w:p>
        </w:tc>
        <w:tc>
          <w:tcPr>
            <w:tcW w:w="990" w:type="dxa"/>
            <w:shd w:val="clear" w:color="auto" w:fill="auto"/>
            <w:noWrap/>
            <w:vAlign w:val="center"/>
            <w:hideMark/>
          </w:tcPr>
          <w:p w14:paraId="4479BF06" w14:textId="77777777" w:rsidR="0071574D" w:rsidRPr="007402D8" w:rsidRDefault="0071574D" w:rsidP="0052233B">
            <w:pPr>
              <w:jc w:val="center"/>
              <w:rPr>
                <w:rFonts w:eastAsia="Times New Roman" w:cs="Times New Roman"/>
                <w:color w:val="auto"/>
                <w:szCs w:val="22"/>
              </w:rPr>
            </w:pPr>
            <w:r w:rsidRPr="007402D8">
              <w:rPr>
                <w:rFonts w:eastAsia="Times New Roman" w:cs="Times New Roman"/>
                <w:color w:val="auto"/>
                <w:szCs w:val="22"/>
              </w:rPr>
              <w:t>4</w:t>
            </w:r>
          </w:p>
        </w:tc>
        <w:tc>
          <w:tcPr>
            <w:tcW w:w="1260" w:type="dxa"/>
            <w:shd w:val="clear" w:color="auto" w:fill="auto"/>
            <w:noWrap/>
            <w:vAlign w:val="center"/>
            <w:hideMark/>
          </w:tcPr>
          <w:p w14:paraId="0DA221E6" w14:textId="77777777" w:rsidR="0071574D" w:rsidRPr="007402D8" w:rsidRDefault="0071574D" w:rsidP="0052233B">
            <w:pPr>
              <w:jc w:val="center"/>
              <w:rPr>
                <w:rFonts w:eastAsia="Times New Roman" w:cs="Times New Roman"/>
                <w:color w:val="auto"/>
                <w:szCs w:val="22"/>
              </w:rPr>
            </w:pPr>
            <w:r w:rsidRPr="007402D8">
              <w:rPr>
                <w:rFonts w:eastAsia="Times New Roman" w:cs="Times New Roman"/>
                <w:color w:val="auto"/>
                <w:szCs w:val="22"/>
              </w:rPr>
              <w:t>4</w:t>
            </w:r>
          </w:p>
        </w:tc>
        <w:tc>
          <w:tcPr>
            <w:tcW w:w="1170" w:type="dxa"/>
            <w:shd w:val="clear" w:color="auto" w:fill="auto"/>
            <w:noWrap/>
            <w:vAlign w:val="center"/>
            <w:hideMark/>
          </w:tcPr>
          <w:p w14:paraId="1FFB2A6E" w14:textId="77777777" w:rsidR="0071574D" w:rsidRPr="007402D8" w:rsidRDefault="0071574D" w:rsidP="0052233B">
            <w:pPr>
              <w:jc w:val="center"/>
              <w:rPr>
                <w:rFonts w:eastAsia="Times New Roman" w:cs="Times New Roman"/>
                <w:color w:val="auto"/>
                <w:szCs w:val="22"/>
              </w:rPr>
            </w:pPr>
            <w:r w:rsidRPr="007402D8">
              <w:rPr>
                <w:rFonts w:eastAsia="MS Gothic"/>
                <w:color w:val="auto"/>
              </w:rPr>
              <w:t>No change</w:t>
            </w:r>
          </w:p>
        </w:tc>
        <w:tc>
          <w:tcPr>
            <w:tcW w:w="4050" w:type="dxa"/>
            <w:shd w:val="clear" w:color="auto" w:fill="auto"/>
            <w:noWrap/>
            <w:vAlign w:val="center"/>
            <w:hideMark/>
          </w:tcPr>
          <w:p w14:paraId="01978872" w14:textId="77777777" w:rsidR="0071574D" w:rsidRPr="007402D8" w:rsidRDefault="0071574D" w:rsidP="0052233B">
            <w:pPr>
              <w:rPr>
                <w:rFonts w:eastAsia="Times New Roman" w:cs="Arial"/>
                <w:color w:val="auto"/>
                <w:szCs w:val="22"/>
              </w:rPr>
            </w:pPr>
            <w:r w:rsidRPr="007402D8">
              <w:rPr>
                <w:rFonts w:eastAsia="Times New Roman" w:cs="Arial"/>
                <w:color w:val="auto"/>
                <w:szCs w:val="22"/>
              </w:rPr>
              <w:t>4 = Asset disclosure law, data public</w:t>
            </w:r>
          </w:p>
          <w:p w14:paraId="2D5A1FA8" w14:textId="77777777" w:rsidR="0071574D" w:rsidRPr="007402D8" w:rsidRDefault="0071574D" w:rsidP="0052233B">
            <w:pPr>
              <w:rPr>
                <w:rFonts w:eastAsia="Times New Roman" w:cs="Arial"/>
                <w:color w:val="auto"/>
                <w:szCs w:val="22"/>
              </w:rPr>
            </w:pPr>
            <w:r w:rsidRPr="007402D8">
              <w:rPr>
                <w:rFonts w:eastAsia="Times New Roman" w:cs="Arial"/>
                <w:color w:val="auto"/>
                <w:szCs w:val="22"/>
              </w:rPr>
              <w:t>2 = Asset disclosure law, no public data</w:t>
            </w:r>
          </w:p>
          <w:p w14:paraId="757D4A3E" w14:textId="77777777" w:rsidR="0071574D" w:rsidRPr="007402D8" w:rsidRDefault="0071574D" w:rsidP="0052233B">
            <w:pPr>
              <w:rPr>
                <w:rFonts w:eastAsia="Times New Roman" w:cs="Arial"/>
                <w:color w:val="auto"/>
                <w:szCs w:val="22"/>
              </w:rPr>
            </w:pPr>
            <w:r w:rsidRPr="007402D8">
              <w:rPr>
                <w:rFonts w:eastAsia="Times New Roman" w:cs="Times New Roman"/>
                <w:color w:val="auto"/>
                <w:szCs w:val="22"/>
              </w:rPr>
              <w:t xml:space="preserve">0 = </w:t>
            </w:r>
            <w:r w:rsidRPr="007402D8">
              <w:rPr>
                <w:rFonts w:eastAsia="Times New Roman" w:cs="Arial"/>
                <w:color w:val="auto"/>
                <w:szCs w:val="22"/>
              </w:rPr>
              <w:t>No law</w:t>
            </w:r>
          </w:p>
        </w:tc>
      </w:tr>
      <w:tr w:rsidR="0071574D" w:rsidRPr="007402D8" w14:paraId="6354DFAC" w14:textId="77777777" w:rsidTr="0071574D">
        <w:trPr>
          <w:trHeight w:val="300"/>
        </w:trPr>
        <w:tc>
          <w:tcPr>
            <w:tcW w:w="2430" w:type="dxa"/>
            <w:shd w:val="clear" w:color="auto" w:fill="auto"/>
            <w:noWrap/>
            <w:vAlign w:val="center"/>
            <w:hideMark/>
          </w:tcPr>
          <w:p w14:paraId="36377DAE" w14:textId="77777777" w:rsidR="0071574D" w:rsidRPr="007402D8" w:rsidRDefault="0071574D" w:rsidP="0052233B">
            <w:pPr>
              <w:rPr>
                <w:rFonts w:eastAsia="Times New Roman" w:cs="Times New Roman"/>
                <w:color w:val="auto"/>
                <w:szCs w:val="22"/>
              </w:rPr>
            </w:pPr>
            <w:r w:rsidRPr="007402D8">
              <w:rPr>
                <w:rFonts w:eastAsia="Times New Roman" w:cs="Times New Roman"/>
                <w:color w:val="auto"/>
                <w:szCs w:val="22"/>
              </w:rPr>
              <w:t>Citizen Engagement</w:t>
            </w:r>
          </w:p>
          <w:p w14:paraId="09DD43FF" w14:textId="77777777" w:rsidR="0071574D" w:rsidRPr="007402D8" w:rsidRDefault="0071574D" w:rsidP="0052233B">
            <w:pPr>
              <w:rPr>
                <w:rFonts w:eastAsia="Times New Roman" w:cs="Times New Roman"/>
                <w:color w:val="auto"/>
                <w:szCs w:val="22"/>
              </w:rPr>
            </w:pPr>
            <w:r w:rsidRPr="007402D8">
              <w:rPr>
                <w:rFonts w:eastAsia="Times New Roman" w:cs="Times New Roman"/>
                <w:color w:val="auto"/>
                <w:szCs w:val="22"/>
              </w:rPr>
              <w:t>(Raw score)</w:t>
            </w:r>
          </w:p>
        </w:tc>
        <w:tc>
          <w:tcPr>
            <w:tcW w:w="990" w:type="dxa"/>
            <w:shd w:val="clear" w:color="auto" w:fill="auto"/>
            <w:noWrap/>
            <w:vAlign w:val="center"/>
            <w:hideMark/>
          </w:tcPr>
          <w:p w14:paraId="08864191" w14:textId="77777777" w:rsidR="0071574D" w:rsidRPr="007402D8" w:rsidRDefault="0071574D" w:rsidP="0052233B">
            <w:pPr>
              <w:jc w:val="center"/>
              <w:rPr>
                <w:rFonts w:eastAsia="Times New Roman" w:cs="Times New Roman"/>
                <w:color w:val="auto"/>
                <w:szCs w:val="22"/>
              </w:rPr>
            </w:pPr>
            <w:r w:rsidRPr="007402D8">
              <w:rPr>
                <w:rFonts w:eastAsia="Times New Roman" w:cs="Times New Roman"/>
                <w:color w:val="auto"/>
                <w:szCs w:val="22"/>
              </w:rPr>
              <w:t>4</w:t>
            </w:r>
          </w:p>
          <w:p w14:paraId="218E066F" w14:textId="77777777" w:rsidR="0071574D" w:rsidRPr="007402D8" w:rsidRDefault="0071574D" w:rsidP="0052233B">
            <w:pPr>
              <w:jc w:val="center"/>
              <w:rPr>
                <w:rFonts w:eastAsia="Times New Roman" w:cs="Times New Roman"/>
                <w:color w:val="auto"/>
                <w:szCs w:val="22"/>
              </w:rPr>
            </w:pPr>
            <w:r w:rsidRPr="007402D8">
              <w:rPr>
                <w:rFonts w:eastAsia="Times New Roman" w:cs="Times New Roman"/>
                <w:color w:val="auto"/>
                <w:szCs w:val="22"/>
              </w:rPr>
              <w:t>(10.00)</w:t>
            </w:r>
            <w:r w:rsidRPr="007402D8">
              <w:rPr>
                <w:rStyle w:val="EndnoteReference"/>
                <w:color w:val="auto"/>
                <w:szCs w:val="22"/>
              </w:rPr>
              <w:t xml:space="preserve"> </w:t>
            </w:r>
            <w:r w:rsidRPr="007402D8">
              <w:rPr>
                <w:rStyle w:val="EndnoteReference"/>
                <w:color w:val="auto"/>
                <w:szCs w:val="22"/>
              </w:rPr>
              <w:endnoteReference w:id="176"/>
            </w:r>
          </w:p>
        </w:tc>
        <w:tc>
          <w:tcPr>
            <w:tcW w:w="1260" w:type="dxa"/>
            <w:shd w:val="clear" w:color="auto" w:fill="auto"/>
            <w:noWrap/>
            <w:vAlign w:val="center"/>
            <w:hideMark/>
          </w:tcPr>
          <w:p w14:paraId="609990FC" w14:textId="77777777" w:rsidR="0071574D" w:rsidRPr="007402D8" w:rsidRDefault="0071574D" w:rsidP="0052233B">
            <w:pPr>
              <w:jc w:val="center"/>
              <w:rPr>
                <w:rFonts w:eastAsia="Times New Roman" w:cs="Times New Roman"/>
                <w:color w:val="auto"/>
                <w:szCs w:val="22"/>
              </w:rPr>
            </w:pPr>
            <w:r w:rsidRPr="007402D8">
              <w:rPr>
                <w:rFonts w:eastAsia="Times New Roman" w:cs="Times New Roman"/>
                <w:color w:val="auto"/>
                <w:szCs w:val="22"/>
              </w:rPr>
              <w:t>4</w:t>
            </w:r>
          </w:p>
          <w:p w14:paraId="7E5C0A61" w14:textId="77777777" w:rsidR="0071574D" w:rsidRPr="007402D8" w:rsidRDefault="0071574D" w:rsidP="0052233B">
            <w:pPr>
              <w:jc w:val="center"/>
              <w:rPr>
                <w:rFonts w:eastAsia="Times New Roman" w:cs="Times New Roman"/>
                <w:color w:val="auto"/>
                <w:szCs w:val="22"/>
              </w:rPr>
            </w:pPr>
            <w:r w:rsidRPr="007402D8">
              <w:rPr>
                <w:rFonts w:eastAsia="Times New Roman" w:cs="Times New Roman"/>
                <w:color w:val="auto"/>
                <w:szCs w:val="22"/>
              </w:rPr>
              <w:t>(10.00)</w:t>
            </w:r>
            <w:r w:rsidRPr="007402D8">
              <w:rPr>
                <w:rStyle w:val="EndnoteReference"/>
                <w:color w:val="auto"/>
                <w:szCs w:val="22"/>
              </w:rPr>
              <w:t xml:space="preserve"> </w:t>
            </w:r>
            <w:r w:rsidRPr="007402D8">
              <w:rPr>
                <w:rStyle w:val="EndnoteReference"/>
                <w:color w:val="auto"/>
                <w:szCs w:val="22"/>
              </w:rPr>
              <w:endnoteReference w:id="177"/>
            </w:r>
          </w:p>
        </w:tc>
        <w:tc>
          <w:tcPr>
            <w:tcW w:w="1170" w:type="dxa"/>
            <w:shd w:val="clear" w:color="auto" w:fill="auto"/>
            <w:noWrap/>
            <w:vAlign w:val="center"/>
            <w:hideMark/>
          </w:tcPr>
          <w:p w14:paraId="2C072E97" w14:textId="77777777" w:rsidR="0071574D" w:rsidRPr="007402D8" w:rsidRDefault="0071574D" w:rsidP="0052233B">
            <w:pPr>
              <w:jc w:val="center"/>
              <w:rPr>
                <w:rFonts w:eastAsia="Times New Roman" w:cs="Times New Roman"/>
                <w:color w:val="auto"/>
                <w:szCs w:val="22"/>
              </w:rPr>
            </w:pPr>
            <w:r w:rsidRPr="007402D8">
              <w:rPr>
                <w:rFonts w:eastAsia="MS Gothic"/>
                <w:color w:val="auto"/>
              </w:rPr>
              <w:t>No change</w:t>
            </w:r>
          </w:p>
        </w:tc>
        <w:tc>
          <w:tcPr>
            <w:tcW w:w="4050" w:type="dxa"/>
            <w:shd w:val="clear" w:color="auto" w:fill="auto"/>
            <w:noWrap/>
            <w:vAlign w:val="center"/>
            <w:hideMark/>
          </w:tcPr>
          <w:p w14:paraId="2A931A5E" w14:textId="77777777" w:rsidR="0071574D" w:rsidRPr="007402D8" w:rsidRDefault="0071574D" w:rsidP="0052233B">
            <w:pPr>
              <w:rPr>
                <w:rFonts w:eastAsia="Times New Roman" w:cs="Times New Roman"/>
                <w:color w:val="auto"/>
                <w:szCs w:val="22"/>
              </w:rPr>
            </w:pPr>
            <w:r w:rsidRPr="007402D8">
              <w:rPr>
                <w:rFonts w:eastAsia="Times New Roman" w:cs="Times New Roman"/>
                <w:i/>
                <w:color w:val="auto"/>
                <w:szCs w:val="22"/>
              </w:rPr>
              <w:t>EIU Citizen Engagement Index</w:t>
            </w:r>
            <w:r w:rsidRPr="007402D8">
              <w:rPr>
                <w:rFonts w:eastAsia="Times New Roman" w:cs="Times New Roman"/>
                <w:color w:val="auto"/>
                <w:szCs w:val="22"/>
              </w:rPr>
              <w:t xml:space="preserve"> raw score:</w:t>
            </w:r>
          </w:p>
          <w:p w14:paraId="686754DF" w14:textId="77777777" w:rsidR="0071574D" w:rsidRPr="007402D8" w:rsidRDefault="0071574D" w:rsidP="0052233B">
            <w:pPr>
              <w:rPr>
                <w:rFonts w:eastAsia="Times New Roman" w:cs="Times New Roman"/>
                <w:color w:val="auto"/>
                <w:szCs w:val="22"/>
              </w:rPr>
            </w:pPr>
            <w:r w:rsidRPr="007402D8">
              <w:rPr>
                <w:rFonts w:eastAsia="Times New Roman" w:cs="Times New Roman"/>
                <w:color w:val="auto"/>
                <w:szCs w:val="22"/>
              </w:rPr>
              <w:t>1 &gt; 0</w:t>
            </w:r>
          </w:p>
          <w:p w14:paraId="5F2FEF36" w14:textId="77777777" w:rsidR="0071574D" w:rsidRPr="007402D8" w:rsidRDefault="0071574D" w:rsidP="0052233B">
            <w:pPr>
              <w:rPr>
                <w:rFonts w:eastAsia="Times New Roman" w:cs="Times New Roman"/>
                <w:color w:val="auto"/>
                <w:szCs w:val="22"/>
              </w:rPr>
            </w:pPr>
            <w:r w:rsidRPr="007402D8">
              <w:rPr>
                <w:rFonts w:eastAsia="Times New Roman" w:cs="Times New Roman"/>
                <w:color w:val="auto"/>
                <w:szCs w:val="22"/>
              </w:rPr>
              <w:t>2 &gt; 2.5</w:t>
            </w:r>
          </w:p>
          <w:p w14:paraId="4CF8E2A7" w14:textId="77777777" w:rsidR="0071574D" w:rsidRPr="007402D8" w:rsidRDefault="0071574D" w:rsidP="0052233B">
            <w:pPr>
              <w:rPr>
                <w:rFonts w:eastAsia="Times New Roman" w:cs="Times New Roman"/>
                <w:color w:val="auto"/>
                <w:szCs w:val="22"/>
              </w:rPr>
            </w:pPr>
            <w:r w:rsidRPr="007402D8">
              <w:rPr>
                <w:rFonts w:eastAsia="Times New Roman" w:cs="Times New Roman"/>
                <w:color w:val="auto"/>
                <w:szCs w:val="22"/>
              </w:rPr>
              <w:t>3 &gt; 5</w:t>
            </w:r>
          </w:p>
          <w:p w14:paraId="031BFA10" w14:textId="77777777" w:rsidR="0071574D" w:rsidRPr="007402D8" w:rsidRDefault="0071574D" w:rsidP="0052233B">
            <w:pPr>
              <w:rPr>
                <w:rFonts w:eastAsia="Times New Roman" w:cs="Times New Roman"/>
                <w:color w:val="auto"/>
                <w:szCs w:val="22"/>
              </w:rPr>
            </w:pPr>
            <w:r w:rsidRPr="007402D8">
              <w:rPr>
                <w:rFonts w:eastAsia="Times New Roman" w:cs="Times New Roman"/>
                <w:color w:val="auto"/>
                <w:szCs w:val="22"/>
              </w:rPr>
              <w:t>4 &gt; 7.5</w:t>
            </w:r>
          </w:p>
        </w:tc>
      </w:tr>
      <w:tr w:rsidR="0071574D" w:rsidRPr="007402D8" w14:paraId="75AEC503" w14:textId="77777777" w:rsidTr="0071574D">
        <w:trPr>
          <w:trHeight w:val="300"/>
        </w:trPr>
        <w:tc>
          <w:tcPr>
            <w:tcW w:w="2430" w:type="dxa"/>
            <w:shd w:val="clear" w:color="auto" w:fill="auto"/>
            <w:noWrap/>
            <w:vAlign w:val="center"/>
            <w:hideMark/>
          </w:tcPr>
          <w:p w14:paraId="4A15BB9A" w14:textId="77777777" w:rsidR="0071574D" w:rsidRPr="007402D8" w:rsidRDefault="0071574D" w:rsidP="0052233B">
            <w:pPr>
              <w:rPr>
                <w:rFonts w:ascii="Gill Sans SemiBold" w:eastAsia="Times New Roman" w:hAnsi="Gill Sans SemiBold" w:cs="Times New Roman"/>
                <w:color w:val="auto"/>
                <w:szCs w:val="22"/>
              </w:rPr>
            </w:pPr>
            <w:r w:rsidRPr="007402D8">
              <w:rPr>
                <w:rFonts w:ascii="Gill Sans SemiBold" w:eastAsia="Times New Roman" w:hAnsi="Gill Sans SemiBold" w:cs="Times New Roman"/>
                <w:color w:val="auto"/>
                <w:szCs w:val="22"/>
              </w:rPr>
              <w:t>Total / Possible</w:t>
            </w:r>
          </w:p>
          <w:p w14:paraId="3ECAE5ED" w14:textId="77777777" w:rsidR="0071574D" w:rsidRPr="007402D8" w:rsidRDefault="0071574D" w:rsidP="0052233B">
            <w:pPr>
              <w:rPr>
                <w:rFonts w:eastAsia="Times New Roman" w:cs="Times New Roman"/>
                <w:b/>
                <w:color w:val="auto"/>
                <w:szCs w:val="22"/>
              </w:rPr>
            </w:pPr>
            <w:r w:rsidRPr="007402D8">
              <w:rPr>
                <w:rFonts w:ascii="Gill Sans SemiBold" w:eastAsia="Times New Roman" w:hAnsi="Gill Sans SemiBold" w:cs="Times New Roman"/>
                <w:color w:val="auto"/>
                <w:szCs w:val="22"/>
              </w:rPr>
              <w:t>(</w:t>
            </w:r>
            <w:proofErr w:type="spellStart"/>
            <w:r w:rsidRPr="007402D8">
              <w:rPr>
                <w:rFonts w:ascii="Gill Sans SemiBold" w:eastAsia="Times New Roman" w:hAnsi="Gill Sans SemiBold" w:cs="Times New Roman"/>
                <w:color w:val="auto"/>
                <w:szCs w:val="22"/>
              </w:rPr>
              <w:t>Percent</w:t>
            </w:r>
            <w:proofErr w:type="spellEnd"/>
            <w:r w:rsidRPr="007402D8">
              <w:rPr>
                <w:rFonts w:ascii="Gill Sans SemiBold" w:eastAsia="Times New Roman" w:hAnsi="Gill Sans SemiBold" w:cs="Times New Roman"/>
                <w:color w:val="auto"/>
                <w:szCs w:val="22"/>
              </w:rPr>
              <w:t>)</w:t>
            </w:r>
          </w:p>
        </w:tc>
        <w:tc>
          <w:tcPr>
            <w:tcW w:w="990" w:type="dxa"/>
            <w:shd w:val="clear" w:color="auto" w:fill="auto"/>
            <w:noWrap/>
            <w:vAlign w:val="center"/>
            <w:hideMark/>
          </w:tcPr>
          <w:p w14:paraId="08E38CEB" w14:textId="77777777" w:rsidR="0071574D" w:rsidRPr="007402D8" w:rsidRDefault="0071574D" w:rsidP="0052233B">
            <w:pPr>
              <w:jc w:val="center"/>
              <w:rPr>
                <w:rFonts w:eastAsia="Times New Roman" w:cs="Times New Roman"/>
                <w:color w:val="auto"/>
                <w:szCs w:val="22"/>
              </w:rPr>
            </w:pPr>
            <w:r w:rsidRPr="007402D8">
              <w:rPr>
                <w:rFonts w:eastAsia="Times New Roman" w:cs="Times New Roman"/>
                <w:color w:val="auto"/>
                <w:szCs w:val="22"/>
              </w:rPr>
              <w:t>16/16</w:t>
            </w:r>
          </w:p>
          <w:p w14:paraId="1CA1C25B" w14:textId="77777777" w:rsidR="0071574D" w:rsidRPr="007402D8" w:rsidRDefault="0071574D" w:rsidP="0052233B">
            <w:pPr>
              <w:jc w:val="center"/>
              <w:rPr>
                <w:rFonts w:eastAsia="Times New Roman" w:cs="Times New Roman"/>
                <w:color w:val="auto"/>
                <w:szCs w:val="22"/>
              </w:rPr>
            </w:pPr>
            <w:r w:rsidRPr="007402D8">
              <w:rPr>
                <w:rFonts w:eastAsia="Times New Roman" w:cs="Times New Roman"/>
                <w:color w:val="auto"/>
                <w:szCs w:val="22"/>
              </w:rPr>
              <w:t>(100%)</w:t>
            </w:r>
          </w:p>
        </w:tc>
        <w:tc>
          <w:tcPr>
            <w:tcW w:w="1260" w:type="dxa"/>
            <w:shd w:val="clear" w:color="auto" w:fill="auto"/>
            <w:noWrap/>
            <w:vAlign w:val="center"/>
            <w:hideMark/>
          </w:tcPr>
          <w:p w14:paraId="04A9CC44" w14:textId="77777777" w:rsidR="0071574D" w:rsidRPr="007402D8" w:rsidRDefault="0071574D" w:rsidP="0052233B">
            <w:pPr>
              <w:jc w:val="center"/>
              <w:rPr>
                <w:rFonts w:eastAsia="Times New Roman" w:cs="Times New Roman"/>
                <w:color w:val="auto"/>
                <w:szCs w:val="22"/>
              </w:rPr>
            </w:pPr>
            <w:r w:rsidRPr="007402D8">
              <w:rPr>
                <w:rFonts w:eastAsia="Times New Roman" w:cs="Times New Roman"/>
                <w:color w:val="auto"/>
                <w:szCs w:val="22"/>
              </w:rPr>
              <w:t>16/16</w:t>
            </w:r>
          </w:p>
          <w:p w14:paraId="010E10D1" w14:textId="77777777" w:rsidR="0071574D" w:rsidRPr="007402D8" w:rsidRDefault="0071574D" w:rsidP="0052233B">
            <w:pPr>
              <w:jc w:val="center"/>
              <w:rPr>
                <w:rFonts w:eastAsia="Times New Roman" w:cs="Times New Roman"/>
                <w:color w:val="auto"/>
                <w:szCs w:val="22"/>
              </w:rPr>
            </w:pPr>
            <w:r w:rsidRPr="007402D8">
              <w:rPr>
                <w:rFonts w:eastAsia="Times New Roman" w:cs="Times New Roman"/>
                <w:color w:val="auto"/>
                <w:szCs w:val="22"/>
              </w:rPr>
              <w:t>(100%)</w:t>
            </w:r>
          </w:p>
        </w:tc>
        <w:tc>
          <w:tcPr>
            <w:tcW w:w="1170" w:type="dxa"/>
            <w:shd w:val="clear" w:color="auto" w:fill="auto"/>
            <w:noWrap/>
            <w:vAlign w:val="center"/>
            <w:hideMark/>
          </w:tcPr>
          <w:p w14:paraId="13A7D9AD" w14:textId="77777777" w:rsidR="0071574D" w:rsidRPr="007402D8" w:rsidRDefault="0071574D" w:rsidP="0052233B">
            <w:pPr>
              <w:jc w:val="center"/>
              <w:rPr>
                <w:rFonts w:eastAsia="Times New Roman" w:cs="Times New Roman"/>
                <w:color w:val="auto"/>
                <w:szCs w:val="22"/>
              </w:rPr>
            </w:pPr>
            <w:r w:rsidRPr="007402D8">
              <w:rPr>
                <w:rFonts w:eastAsia="MS Gothic"/>
                <w:color w:val="auto"/>
              </w:rPr>
              <w:t>No change</w:t>
            </w:r>
          </w:p>
        </w:tc>
        <w:tc>
          <w:tcPr>
            <w:tcW w:w="4050" w:type="dxa"/>
            <w:shd w:val="clear" w:color="auto" w:fill="auto"/>
            <w:noWrap/>
            <w:vAlign w:val="center"/>
            <w:hideMark/>
          </w:tcPr>
          <w:p w14:paraId="29567AB9" w14:textId="77777777" w:rsidR="0071574D" w:rsidRPr="007402D8" w:rsidRDefault="0071574D" w:rsidP="0052233B">
            <w:pPr>
              <w:rPr>
                <w:rFonts w:eastAsia="Times New Roman" w:cs="Times New Roman"/>
                <w:color w:val="auto"/>
                <w:szCs w:val="22"/>
              </w:rPr>
            </w:pPr>
            <w:r w:rsidRPr="007402D8">
              <w:rPr>
                <w:rFonts w:eastAsia="Times New Roman" w:cs="Times New Roman"/>
                <w:color w:val="auto"/>
                <w:szCs w:val="22"/>
              </w:rPr>
              <w:t>75% of possible points to be eligible</w:t>
            </w:r>
          </w:p>
        </w:tc>
      </w:tr>
    </w:tbl>
    <w:p w14:paraId="4CC8F651" w14:textId="77777777" w:rsidR="00D82CB1" w:rsidRPr="005C5C45" w:rsidRDefault="00D82CB1" w:rsidP="0071574D">
      <w:pPr>
        <w:pStyle w:val="Normalrglronly"/>
      </w:pPr>
    </w:p>
    <w:sectPr w:rsidR="00D82CB1" w:rsidRPr="005C5C45" w:rsidSect="0002581F">
      <w:endnotePr>
        <w:numFmt w:val="decimal"/>
        <w:numRestart w:val="eachSect"/>
      </w:endnotePr>
      <w:pgSz w:w="11900" w:h="16840" w:code="9"/>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D8BF18" w15:done="1"/>
  <w15:commentEx w15:paraId="58A0863C" w15:paraIdParent="4BD8BF18" w15:done="0"/>
  <w15:commentEx w15:paraId="1FB38E8C" w15:done="0"/>
  <w15:commentEx w15:paraId="24C60773" w15:paraIdParent="1FB38E8C" w15:done="0"/>
  <w15:commentEx w15:paraId="7B3A1E4B" w15:done="0"/>
  <w15:commentEx w15:paraId="242161F6" w15:paraIdParent="7B3A1E4B" w15:done="0"/>
  <w15:commentEx w15:paraId="670B21EE" w15:done="0"/>
  <w15:commentEx w15:paraId="5185A808" w15:paraIdParent="670B21EE" w15:done="0"/>
  <w15:commentEx w15:paraId="2FE6C1C5" w15:done="0"/>
  <w15:commentEx w15:paraId="7C2932A4" w15:paraIdParent="2FE6C1C5" w15:done="0"/>
  <w15:commentEx w15:paraId="2C28E9BA" w15:done="0"/>
  <w15:commentEx w15:paraId="2C812FA0" w15:paraIdParent="2C28E9BA" w15:done="0"/>
  <w15:commentEx w15:paraId="7AB9FDA1" w15:done="0"/>
  <w15:commentEx w15:paraId="52B22EFC" w15:paraIdParent="7AB9FDA1" w15:done="0"/>
  <w15:commentEx w15:paraId="331532EA" w15:done="0"/>
  <w15:commentEx w15:paraId="2FEFE2A2" w15:paraIdParent="331532EA" w15:done="0"/>
  <w15:commentEx w15:paraId="615705F1" w15:done="0"/>
  <w15:commentEx w15:paraId="6DBC26EA" w15:paraIdParent="615705F1" w15:done="0"/>
  <w15:commentEx w15:paraId="7708358C" w15:done="0"/>
  <w15:commentEx w15:paraId="3852E774" w15:paraIdParent="7708358C" w15:done="0"/>
  <w15:commentEx w15:paraId="0E0BAD33" w15:done="0"/>
  <w15:commentEx w15:paraId="6F47CFBE" w15:paraIdParent="0E0BAD33" w15:done="0"/>
  <w15:commentEx w15:paraId="5B46791C" w15:done="0"/>
  <w15:commentEx w15:paraId="6A39AF9A" w15:paraIdParent="5B46791C" w15:done="0"/>
  <w15:commentEx w15:paraId="4D9D642D" w15:done="0"/>
  <w15:commentEx w15:paraId="6554DF28" w15:paraIdParent="4D9D642D" w15:done="0"/>
  <w15:commentEx w15:paraId="3DE63FBD" w15:done="0"/>
  <w15:commentEx w15:paraId="08758A4F" w15:paraIdParent="3DE63FBD" w15:done="0"/>
  <w15:commentEx w15:paraId="3B66B773" w15:done="0"/>
  <w15:commentEx w15:paraId="698574CE" w15:paraIdParent="3B66B773" w15:done="0"/>
  <w15:commentEx w15:paraId="5BC33E5A" w15:done="0"/>
  <w15:commentEx w15:paraId="0A5DD786" w15:paraIdParent="5BC33E5A" w15:done="0"/>
  <w15:commentEx w15:paraId="166E4294" w15:done="0"/>
  <w15:commentEx w15:paraId="7190FC8E" w15:paraIdParent="166E4294" w15:done="0"/>
  <w15:commentEx w15:paraId="3397627F" w15:done="0"/>
  <w15:commentEx w15:paraId="018EEE25" w15:paraIdParent="3397627F" w15:done="0"/>
  <w15:commentEx w15:paraId="69222DF0" w15:done="0"/>
  <w15:commentEx w15:paraId="0A288E03" w15:paraIdParent="69222DF0" w15:done="0"/>
  <w15:commentEx w15:paraId="7DF6861F" w15:done="0"/>
  <w15:commentEx w15:paraId="6EE69AA1" w15:paraIdParent="7DF6861F" w15:done="0"/>
  <w15:commentEx w15:paraId="04C3AD8E" w15:done="0"/>
  <w15:commentEx w15:paraId="52766149" w15:paraIdParent="04C3AD8E" w15:done="0"/>
  <w15:commentEx w15:paraId="122761CC" w15:done="0"/>
  <w15:commentEx w15:paraId="5160FF32" w15:paraIdParent="122761CC" w15:done="0"/>
  <w15:commentEx w15:paraId="0623759F" w15:done="0"/>
  <w15:commentEx w15:paraId="400D54AD" w15:paraIdParent="0623759F" w15:done="0"/>
  <w15:commentEx w15:paraId="3F677C4D" w15:done="0"/>
  <w15:commentEx w15:paraId="16733EF7" w15:paraIdParent="3F677C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D8BF18" w16cid:durableId="1E0852A8"/>
  <w16cid:commentId w16cid:paraId="58A0863C" w16cid:durableId="1E0CD7D4"/>
  <w16cid:commentId w16cid:paraId="1FB38E8C" w16cid:durableId="1E08896F"/>
  <w16cid:commentId w16cid:paraId="24C60773" w16cid:durableId="1E0CD8B3"/>
  <w16cid:commentId w16cid:paraId="7B3A1E4B" w16cid:durableId="1E08F7E2"/>
  <w16cid:commentId w16cid:paraId="242161F6" w16cid:durableId="1E0CDB8D"/>
  <w16cid:commentId w16cid:paraId="670B21EE" w16cid:durableId="1E09713A"/>
  <w16cid:commentId w16cid:paraId="5185A808" w16cid:durableId="1E0CE1BB"/>
  <w16cid:commentId w16cid:paraId="2FE6C1C5" w16cid:durableId="1E09716F"/>
  <w16cid:commentId w16cid:paraId="7C2932A4" w16cid:durableId="1E0CE1C6"/>
  <w16cid:commentId w16cid:paraId="2C28E9BA" w16cid:durableId="1E065ADE"/>
  <w16cid:commentId w16cid:paraId="2C812FA0" w16cid:durableId="1E0CE238"/>
  <w16cid:commentId w16cid:paraId="7AB9FDA1" w16cid:durableId="1E09784B"/>
  <w16cid:commentId w16cid:paraId="52B22EFC" w16cid:durableId="1E0CE2DF"/>
  <w16cid:commentId w16cid:paraId="331532EA" w16cid:durableId="1E0729B5"/>
  <w16cid:commentId w16cid:paraId="2FEFE2A2" w16cid:durableId="1E0CE57C"/>
  <w16cid:commentId w16cid:paraId="615705F1" w16cid:durableId="1E072A46"/>
  <w16cid:commentId w16cid:paraId="6DBC26EA" w16cid:durableId="1E0CE664"/>
  <w16cid:commentId w16cid:paraId="7708358C" w16cid:durableId="1E097F64"/>
  <w16cid:commentId w16cid:paraId="3852E774" w16cid:durableId="1E0CE8B6"/>
  <w16cid:commentId w16cid:paraId="0E0BAD33" w16cid:durableId="1E0982B4"/>
  <w16cid:commentId w16cid:paraId="6F47CFBE" w16cid:durableId="1E0D8A3E"/>
  <w16cid:commentId w16cid:paraId="5B46791C" w16cid:durableId="1E098365"/>
  <w16cid:commentId w16cid:paraId="6A39AF9A" w16cid:durableId="1E0D8091"/>
  <w16cid:commentId w16cid:paraId="4D9D642D" w16cid:durableId="1E0984D3"/>
  <w16cid:commentId w16cid:paraId="6554DF28" w16cid:durableId="1E0D8142"/>
  <w16cid:commentId w16cid:paraId="3DE63FBD" w16cid:durableId="1E0985B4"/>
  <w16cid:commentId w16cid:paraId="08758A4F" w16cid:durableId="1E0D8317"/>
  <w16cid:commentId w16cid:paraId="3B66B773" w16cid:durableId="1E0988DA"/>
  <w16cid:commentId w16cid:paraId="698574CE" w16cid:durableId="1E0D83DF"/>
  <w16cid:commentId w16cid:paraId="5BC33E5A" w16cid:durableId="1E098C02"/>
  <w16cid:commentId w16cid:paraId="0A5DD786" w16cid:durableId="1E0D8B4F"/>
  <w16cid:commentId w16cid:paraId="166E4294" w16cid:durableId="1E098D4A"/>
  <w16cid:commentId w16cid:paraId="7190FC8E" w16cid:durableId="1E0D84C3"/>
  <w16cid:commentId w16cid:paraId="3397627F" w16cid:durableId="1E099083"/>
  <w16cid:commentId w16cid:paraId="018EEE25" w16cid:durableId="1E0D8C97"/>
  <w16cid:commentId w16cid:paraId="69222DF0" w16cid:durableId="1E08386C"/>
  <w16cid:commentId w16cid:paraId="0A288E03" w16cid:durableId="1E0D8CA9"/>
  <w16cid:commentId w16cid:paraId="7DF6861F" w16cid:durableId="1E0991FF"/>
  <w16cid:commentId w16cid:paraId="6EE69AA1" w16cid:durableId="1E0D85C8"/>
  <w16cid:commentId w16cid:paraId="04C3AD8E" w16cid:durableId="1E0994F3"/>
  <w16cid:commentId w16cid:paraId="52766149" w16cid:durableId="1E0D8622"/>
  <w16cid:commentId w16cid:paraId="122761CC" w16cid:durableId="1E084488"/>
  <w16cid:commentId w16cid:paraId="5160FF32" w16cid:durableId="1E0D8701"/>
  <w16cid:commentId w16cid:paraId="0623759F" w16cid:durableId="1E0847FC"/>
  <w16cid:commentId w16cid:paraId="400D54AD" w16cid:durableId="1E0D8821"/>
  <w16cid:commentId w16cid:paraId="3F677C4D" w16cid:durableId="1E084A1F"/>
  <w16cid:commentId w16cid:paraId="16733EF7" w16cid:durableId="1E0D891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4BCDA" w14:textId="77777777" w:rsidR="001A2E4A" w:rsidRDefault="001A2E4A" w:rsidP="001748D1">
      <w:r>
        <w:separator/>
      </w:r>
    </w:p>
    <w:p w14:paraId="279DC8B8" w14:textId="77777777" w:rsidR="001A2E4A" w:rsidRDefault="001A2E4A"/>
  </w:endnote>
  <w:endnote w:type="continuationSeparator" w:id="0">
    <w:p w14:paraId="46406814" w14:textId="77777777" w:rsidR="001A2E4A" w:rsidRDefault="001A2E4A" w:rsidP="001748D1">
      <w:r>
        <w:continuationSeparator/>
      </w:r>
    </w:p>
    <w:p w14:paraId="2FE5926C" w14:textId="77777777" w:rsidR="001A2E4A" w:rsidRDefault="001A2E4A"/>
  </w:endnote>
  <w:endnote w:id="1">
    <w:p w14:paraId="4FE09F7D" w14:textId="6C4D5D82" w:rsidR="001A2E4A" w:rsidRPr="004B3826" w:rsidRDefault="001A2E4A" w:rsidP="00DF4CF4">
      <w:pPr>
        <w:pStyle w:val="NormalWeb"/>
        <w:spacing w:before="0" w:beforeAutospacing="0" w:after="0" w:afterAutospacing="0"/>
        <w:rPr>
          <w:rStyle w:val="EndnoteReference"/>
          <w:rFonts w:ascii="Gill Sans" w:hAnsi="Gill Sans" w:cs="Gill Sans"/>
          <w:sz w:val="18"/>
          <w:szCs w:val="18"/>
          <w:vertAlign w:val="baseline"/>
        </w:rPr>
      </w:pPr>
      <w:r w:rsidRPr="004B3826">
        <w:rPr>
          <w:rStyle w:val="EndnoteReference"/>
          <w:rFonts w:ascii="Gill Sans" w:hAnsi="Gill Sans" w:cs="Gill Sans"/>
          <w:sz w:val="18"/>
          <w:szCs w:val="18"/>
          <w:vertAlign w:val="baseline"/>
        </w:rPr>
        <w:endnoteRef/>
      </w:r>
      <w:r w:rsidRPr="004B3826">
        <w:rPr>
          <w:rStyle w:val="EndnoteReference"/>
          <w:rFonts w:ascii="Gill Sans" w:hAnsi="Gill Sans" w:cs="Gill Sans"/>
          <w:sz w:val="18"/>
          <w:szCs w:val="18"/>
          <w:vertAlign w:val="baseline"/>
        </w:rPr>
        <w:t xml:space="preserve"> Right Honourable John Key, letter to the Open Government Partnership Co-chairs, 22 October 2013, http://bit.ly/1WL0e9H.</w:t>
      </w:r>
    </w:p>
  </w:endnote>
  <w:endnote w:id="2">
    <w:p w14:paraId="77536EF3" w14:textId="56FC0BA2" w:rsidR="001A2E4A" w:rsidRPr="004B3826" w:rsidRDefault="001A2E4A">
      <w:pPr>
        <w:pStyle w:val="EndnoteText"/>
        <w:rPr>
          <w:rStyle w:val="EndnoteReference"/>
          <w:rFonts w:ascii="Gill Sans" w:hAnsi="Gill Sans" w:cs="Gill Sans"/>
          <w:color w:val="auto"/>
          <w:sz w:val="18"/>
          <w:szCs w:val="18"/>
          <w:vertAlign w:val="baseline"/>
        </w:rPr>
      </w:pPr>
      <w:r w:rsidRPr="004B3826">
        <w:rPr>
          <w:rStyle w:val="EndnoteReference"/>
          <w:rFonts w:ascii="Gill Sans" w:hAnsi="Gill Sans" w:cs="Gill Sans"/>
          <w:color w:val="auto"/>
          <w:sz w:val="18"/>
          <w:szCs w:val="18"/>
          <w:vertAlign w:val="baseline"/>
        </w:rPr>
        <w:endnoteRef/>
      </w:r>
      <w:r w:rsidRPr="004B3826">
        <w:rPr>
          <w:rStyle w:val="EndnoteReference"/>
          <w:rFonts w:ascii="Gill Sans" w:hAnsi="Gill Sans" w:cs="Gill Sans"/>
          <w:color w:val="auto"/>
          <w:sz w:val="18"/>
          <w:szCs w:val="18"/>
          <w:vertAlign w:val="baseline"/>
        </w:rPr>
        <w:t xml:space="preserve"> </w:t>
      </w:r>
      <w:r w:rsidRPr="004B3826">
        <w:rPr>
          <w:rStyle w:val="EndnoteReference"/>
          <w:rFonts w:ascii="Gill Sans" w:hAnsi="Gill Sans" w:cs="Gill Sans"/>
          <w:color w:val="auto"/>
          <w:sz w:val="18"/>
          <w:szCs w:val="18"/>
          <w:vertAlign w:val="baseline"/>
        </w:rPr>
        <w:t>http://www.ogp.org.nz/our-progress/national-action-plan-2014-16/</w:t>
      </w:r>
      <w:r w:rsidRPr="004B3826">
        <w:rPr>
          <w:rFonts w:ascii="Gill Sans" w:hAnsi="Gill Sans" w:cs="Gill Sans"/>
          <w:color w:val="auto"/>
          <w:sz w:val="18"/>
          <w:szCs w:val="18"/>
        </w:rPr>
        <w:t>.</w:t>
      </w:r>
    </w:p>
  </w:endnote>
  <w:endnote w:id="3">
    <w:p w14:paraId="56D46533" w14:textId="49ACE239" w:rsidR="001A2E4A" w:rsidRPr="004B3826" w:rsidRDefault="001A2E4A">
      <w:pPr>
        <w:pStyle w:val="EndnoteText"/>
        <w:rPr>
          <w:rStyle w:val="EndnoteReference"/>
          <w:rFonts w:ascii="Gill Sans" w:hAnsi="Gill Sans" w:cs="Gill Sans"/>
          <w:color w:val="auto"/>
          <w:sz w:val="18"/>
          <w:szCs w:val="18"/>
          <w:vertAlign w:val="baseline"/>
        </w:rPr>
      </w:pPr>
      <w:r w:rsidRPr="004B3826">
        <w:rPr>
          <w:rStyle w:val="EndnoteReference"/>
          <w:rFonts w:ascii="Gill Sans" w:hAnsi="Gill Sans" w:cs="Gill Sans"/>
          <w:color w:val="auto"/>
          <w:sz w:val="18"/>
          <w:szCs w:val="18"/>
          <w:vertAlign w:val="baseline"/>
        </w:rPr>
        <w:endnoteRef/>
      </w:r>
      <w:r w:rsidRPr="004B3826">
        <w:rPr>
          <w:rStyle w:val="EndnoteReference"/>
          <w:rFonts w:ascii="Gill Sans" w:hAnsi="Gill Sans" w:cs="Gill Sans"/>
          <w:color w:val="auto"/>
          <w:sz w:val="18"/>
          <w:szCs w:val="18"/>
          <w:vertAlign w:val="baseline"/>
        </w:rPr>
        <w:t xml:space="preserve"> </w:t>
      </w:r>
      <w:r w:rsidRPr="004B3826">
        <w:rPr>
          <w:rStyle w:val="EndnoteReference"/>
          <w:rFonts w:ascii="Gill Sans" w:hAnsi="Gill Sans" w:cs="Gill Sans"/>
          <w:color w:val="auto"/>
          <w:sz w:val="18"/>
          <w:szCs w:val="18"/>
          <w:vertAlign w:val="baseline"/>
        </w:rPr>
        <w:t>http://www.ogp.org.nz/assets/publications/New-Zealand-Mid-term-self-assessment-2016-18.pdf</w:t>
      </w:r>
      <w:r w:rsidRPr="004B3826">
        <w:rPr>
          <w:rFonts w:ascii="Gill Sans" w:hAnsi="Gill Sans" w:cs="Gill Sans"/>
          <w:color w:val="auto"/>
          <w:sz w:val="18"/>
          <w:szCs w:val="18"/>
        </w:rPr>
        <w:t>.</w:t>
      </w:r>
    </w:p>
  </w:endnote>
  <w:endnote w:id="4">
    <w:p w14:paraId="2D3B385C" w14:textId="22220CAA" w:rsidR="001A2E4A" w:rsidRPr="000B56A4" w:rsidRDefault="001A2E4A" w:rsidP="00664FDA">
      <w:pPr>
        <w:pStyle w:val="EndnoteText"/>
        <w:rPr>
          <w:rStyle w:val="EndnoteReference"/>
          <w:rFonts w:ascii="Gill Sans" w:hAnsi="Gill Sans" w:cs="Gill Sans"/>
          <w:color w:val="auto"/>
          <w:sz w:val="18"/>
          <w:szCs w:val="18"/>
          <w:vertAlign w:val="baseline"/>
        </w:rPr>
      </w:pPr>
      <w:r w:rsidRPr="000B56A4">
        <w:rPr>
          <w:rStyle w:val="EndnoteReference"/>
          <w:rFonts w:ascii="Gill Sans" w:hAnsi="Gill Sans" w:cs="Gill Sans"/>
          <w:color w:val="auto"/>
          <w:sz w:val="18"/>
          <w:szCs w:val="18"/>
          <w:vertAlign w:val="baseline"/>
        </w:rPr>
        <w:endnoteRef/>
      </w:r>
      <w:r w:rsidRPr="000B56A4">
        <w:rPr>
          <w:rStyle w:val="EndnoteReference"/>
          <w:rFonts w:ascii="Gill Sans" w:hAnsi="Gill Sans" w:cs="Gill Sans"/>
          <w:color w:val="auto"/>
          <w:sz w:val="18"/>
          <w:szCs w:val="18"/>
          <w:vertAlign w:val="baseline"/>
        </w:rPr>
        <w:t xml:space="preserve"> </w:t>
      </w:r>
      <w:r w:rsidRPr="000B56A4">
        <w:rPr>
          <w:rStyle w:val="EndnoteReference"/>
          <w:rFonts w:ascii="Gill Sans" w:hAnsi="Gill Sans" w:cs="Gill Sans"/>
          <w:color w:val="auto"/>
          <w:sz w:val="18"/>
          <w:szCs w:val="18"/>
          <w:vertAlign w:val="baseline"/>
        </w:rPr>
        <w:t>A</w:t>
      </w:r>
      <w:r w:rsidRPr="000B56A4">
        <w:rPr>
          <w:rFonts w:ascii="Gill Sans" w:hAnsi="Gill Sans" w:cs="Gill Sans"/>
          <w:color w:val="auto"/>
          <w:sz w:val="18"/>
          <w:szCs w:val="18"/>
        </w:rPr>
        <w:t xml:space="preserve">ccessed 16 January, 2018, </w:t>
      </w:r>
      <w:r w:rsidRPr="000B56A4">
        <w:rPr>
          <w:rStyle w:val="EndnoteReference"/>
          <w:rFonts w:ascii="Gill Sans" w:hAnsi="Gill Sans" w:cs="Gill Sans"/>
          <w:color w:val="auto"/>
          <w:sz w:val="18"/>
          <w:szCs w:val="18"/>
          <w:vertAlign w:val="baseline"/>
        </w:rPr>
        <w:t>https://www.transparency.org/news/feature/corruption_perceptions_index_2016.</w:t>
      </w:r>
    </w:p>
  </w:endnote>
  <w:endnote w:id="5">
    <w:p w14:paraId="53EDEB4D" w14:textId="48BC6D12" w:rsidR="001A2E4A" w:rsidRPr="000B56A4" w:rsidRDefault="001A2E4A" w:rsidP="00664FDA">
      <w:pPr>
        <w:pStyle w:val="EndnoteText"/>
        <w:rPr>
          <w:rStyle w:val="EndnoteReference"/>
          <w:rFonts w:ascii="Gill Sans" w:hAnsi="Gill Sans" w:cs="Gill Sans"/>
          <w:color w:val="auto"/>
          <w:sz w:val="18"/>
          <w:szCs w:val="18"/>
          <w:vertAlign w:val="baseline"/>
        </w:rPr>
      </w:pPr>
      <w:r w:rsidRPr="000B56A4">
        <w:rPr>
          <w:rStyle w:val="EndnoteReference"/>
          <w:rFonts w:ascii="Gill Sans" w:hAnsi="Gill Sans" w:cs="Gill Sans"/>
          <w:color w:val="auto"/>
          <w:sz w:val="18"/>
          <w:szCs w:val="18"/>
          <w:vertAlign w:val="baseline"/>
        </w:rPr>
        <w:endnoteRef/>
      </w:r>
      <w:r w:rsidRPr="000B56A4">
        <w:rPr>
          <w:rStyle w:val="EndnoteReference"/>
          <w:rFonts w:ascii="Gill Sans" w:hAnsi="Gill Sans" w:cs="Gill Sans"/>
          <w:color w:val="auto"/>
          <w:sz w:val="18"/>
          <w:szCs w:val="18"/>
          <w:vertAlign w:val="baseline"/>
        </w:rPr>
        <w:t xml:space="preserve"> </w:t>
      </w:r>
      <w:r w:rsidRPr="000B56A4">
        <w:rPr>
          <w:rStyle w:val="EndnoteReference"/>
          <w:rFonts w:ascii="Gill Sans" w:hAnsi="Gill Sans" w:cs="Gill Sans"/>
          <w:color w:val="auto"/>
          <w:sz w:val="18"/>
          <w:szCs w:val="18"/>
          <w:vertAlign w:val="baseline"/>
        </w:rPr>
        <w:t>A</w:t>
      </w:r>
      <w:r w:rsidRPr="000B56A4">
        <w:rPr>
          <w:rFonts w:ascii="Gill Sans" w:hAnsi="Gill Sans" w:cs="Gill Sans"/>
          <w:color w:val="auto"/>
          <w:sz w:val="18"/>
          <w:szCs w:val="18"/>
        </w:rPr>
        <w:t xml:space="preserve">ccessed 16 January 2018, </w:t>
      </w:r>
      <w:r w:rsidRPr="000B56A4">
        <w:rPr>
          <w:rStyle w:val="EndnoteReference"/>
          <w:rFonts w:ascii="Gill Sans" w:hAnsi="Gill Sans" w:cs="Gill Sans"/>
          <w:color w:val="auto"/>
          <w:sz w:val="18"/>
          <w:szCs w:val="18"/>
          <w:vertAlign w:val="baseline"/>
        </w:rPr>
        <w:t>http://info.worldbank.org/governance/wgi/index.aspx#reports</w:t>
      </w:r>
      <w:r w:rsidRPr="000B56A4">
        <w:rPr>
          <w:rFonts w:ascii="Gill Sans" w:hAnsi="Gill Sans" w:cs="Gill Sans"/>
          <w:color w:val="auto"/>
          <w:sz w:val="18"/>
          <w:szCs w:val="18"/>
        </w:rPr>
        <w:t>.</w:t>
      </w:r>
    </w:p>
  </w:endnote>
  <w:endnote w:id="6">
    <w:p w14:paraId="6968C68E" w14:textId="1E518361" w:rsidR="001A2E4A" w:rsidRPr="000B56A4" w:rsidRDefault="001A2E4A" w:rsidP="00664FDA">
      <w:pPr>
        <w:pStyle w:val="EndnoteText"/>
        <w:rPr>
          <w:rStyle w:val="EndnoteReference"/>
          <w:rFonts w:ascii="Gill Sans" w:hAnsi="Gill Sans" w:cs="Gill Sans"/>
          <w:color w:val="auto"/>
          <w:sz w:val="18"/>
          <w:szCs w:val="18"/>
          <w:vertAlign w:val="baseline"/>
        </w:rPr>
      </w:pPr>
      <w:r w:rsidRPr="000B56A4">
        <w:rPr>
          <w:rStyle w:val="EndnoteReference"/>
          <w:rFonts w:ascii="Gill Sans" w:hAnsi="Gill Sans" w:cs="Gill Sans"/>
          <w:color w:val="auto"/>
          <w:sz w:val="18"/>
          <w:szCs w:val="18"/>
          <w:vertAlign w:val="baseline"/>
        </w:rPr>
        <w:endnoteRef/>
      </w:r>
      <w:r w:rsidRPr="000B56A4">
        <w:rPr>
          <w:rStyle w:val="EndnoteReference"/>
          <w:rFonts w:ascii="Gill Sans" w:hAnsi="Gill Sans" w:cs="Gill Sans"/>
          <w:color w:val="auto"/>
          <w:sz w:val="18"/>
          <w:szCs w:val="18"/>
          <w:vertAlign w:val="baseline"/>
        </w:rPr>
        <w:t xml:space="preserve"> </w:t>
      </w:r>
      <w:r w:rsidRPr="000B56A4">
        <w:rPr>
          <w:rStyle w:val="EndnoteReference"/>
          <w:rFonts w:ascii="Gill Sans" w:hAnsi="Gill Sans" w:cs="Gill Sans"/>
          <w:color w:val="auto"/>
          <w:sz w:val="18"/>
          <w:szCs w:val="18"/>
          <w:vertAlign w:val="baseline"/>
        </w:rPr>
        <w:t xml:space="preserve">Open Budget Survey, </w:t>
      </w:r>
      <w:r w:rsidRPr="00F65CA3">
        <w:rPr>
          <w:rStyle w:val="EndnoteReference"/>
          <w:rFonts w:ascii="Gill Sans" w:hAnsi="Gill Sans" w:cs="Gill Sans"/>
          <w:color w:val="auto"/>
          <w:sz w:val="18"/>
          <w:szCs w:val="18"/>
          <w:vertAlign w:val="baseline"/>
        </w:rPr>
        <w:t>https://www.internationalbudget.org/opening-budgets/open-budget-initiative/open-budget-survey/country-info/?country=nz</w:t>
      </w:r>
    </w:p>
  </w:endnote>
  <w:endnote w:id="7">
    <w:p w14:paraId="739630C4" w14:textId="588F675F" w:rsidR="001A2E4A" w:rsidRPr="000B56A4" w:rsidRDefault="001A2E4A" w:rsidP="000F296E">
      <w:pPr>
        <w:pStyle w:val="EndnoteText"/>
        <w:rPr>
          <w:rStyle w:val="EndnoteReference"/>
          <w:rFonts w:ascii="Gill Sans" w:hAnsi="Gill Sans" w:cs="Gill Sans"/>
          <w:color w:val="auto"/>
          <w:sz w:val="18"/>
          <w:szCs w:val="18"/>
          <w:vertAlign w:val="baseline"/>
        </w:rPr>
      </w:pPr>
      <w:r w:rsidRPr="000B56A4">
        <w:rPr>
          <w:rStyle w:val="EndnoteReference"/>
          <w:rFonts w:ascii="Gill Sans" w:hAnsi="Gill Sans" w:cs="Gill Sans"/>
          <w:color w:val="auto"/>
          <w:sz w:val="18"/>
          <w:szCs w:val="18"/>
          <w:vertAlign w:val="baseline"/>
        </w:rPr>
        <w:endnoteRef/>
      </w:r>
      <w:r w:rsidRPr="000B56A4">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Open Government Partnership ‘</w:t>
      </w:r>
      <w:r w:rsidRPr="000B56A4">
        <w:rPr>
          <w:rFonts w:ascii="Gill Sans" w:hAnsi="Gill Sans" w:cs="Gill Sans"/>
          <w:color w:val="auto"/>
          <w:sz w:val="18"/>
          <w:szCs w:val="18"/>
        </w:rPr>
        <w:t>2010-2016 Eligibility Master,</w:t>
      </w:r>
      <w:r>
        <w:rPr>
          <w:rFonts w:ascii="Gill Sans" w:hAnsi="Gill Sans" w:cs="Gill Sans"/>
          <w:color w:val="auto"/>
          <w:sz w:val="18"/>
          <w:szCs w:val="18"/>
        </w:rPr>
        <w:t>’</w:t>
      </w:r>
      <w:r w:rsidRPr="000B56A4">
        <w:rPr>
          <w:rFonts w:ascii="Gill Sans" w:hAnsi="Gill Sans" w:cs="Gill Sans"/>
          <w:color w:val="auto"/>
          <w:sz w:val="18"/>
          <w:szCs w:val="18"/>
        </w:rPr>
        <w:t xml:space="preserve"> accessed 16 January 2018, </w:t>
      </w:r>
      <w:r w:rsidRPr="000B56A4">
        <w:rPr>
          <w:rStyle w:val="EndnoteReference"/>
          <w:rFonts w:ascii="Gill Sans" w:hAnsi="Gill Sans" w:cs="Gill Sans"/>
          <w:color w:val="auto"/>
          <w:sz w:val="18"/>
          <w:szCs w:val="18"/>
          <w:vertAlign w:val="baseline"/>
        </w:rPr>
        <w:t>https://docs.google.com/spreadsheets/d/1kRgVWEjPpqlpD8zBXhNA4Ih3wIWwL0JH9aWTuZn8J2E/edit#gid=869039115.</w:t>
      </w:r>
    </w:p>
  </w:endnote>
  <w:endnote w:id="8">
    <w:p w14:paraId="63D9C0B8" w14:textId="646541A1" w:rsidR="001A2E4A" w:rsidRPr="004E5897" w:rsidRDefault="001A2E4A" w:rsidP="00664FDA">
      <w:pPr>
        <w:pStyle w:val="EndnoteText"/>
        <w:rPr>
          <w:rStyle w:val="EndnoteReference"/>
          <w:rFonts w:ascii="Gill Sans" w:hAnsi="Gill Sans" w:cs="Gill Sans"/>
          <w:color w:val="auto"/>
          <w:sz w:val="18"/>
          <w:szCs w:val="18"/>
          <w:vertAlign w:val="baseline"/>
        </w:rPr>
      </w:pPr>
      <w:r w:rsidRPr="000B56A4">
        <w:rPr>
          <w:rStyle w:val="EndnoteReference"/>
          <w:rFonts w:ascii="Gill Sans" w:hAnsi="Gill Sans" w:cs="Gill Sans"/>
          <w:color w:val="auto"/>
          <w:sz w:val="18"/>
          <w:szCs w:val="18"/>
          <w:vertAlign w:val="baseline"/>
        </w:rPr>
        <w:endnoteRef/>
      </w:r>
      <w:r w:rsidRPr="000B56A4">
        <w:rPr>
          <w:rStyle w:val="EndnoteReference"/>
          <w:rFonts w:ascii="Gill Sans" w:hAnsi="Gill Sans" w:cs="Gill Sans"/>
          <w:color w:val="auto"/>
          <w:sz w:val="18"/>
          <w:szCs w:val="18"/>
          <w:vertAlign w:val="baseline"/>
        </w:rPr>
        <w:t xml:space="preserve"> </w:t>
      </w:r>
      <w:r w:rsidRPr="000B56A4">
        <w:rPr>
          <w:rStyle w:val="EndnoteReference"/>
          <w:rFonts w:ascii="Gill Sans" w:hAnsi="Gill Sans" w:cs="Gill Sans"/>
          <w:color w:val="auto"/>
          <w:sz w:val="18"/>
          <w:szCs w:val="18"/>
          <w:vertAlign w:val="baseline"/>
        </w:rPr>
        <w:t>A</w:t>
      </w:r>
      <w:r w:rsidRPr="000B56A4">
        <w:rPr>
          <w:rFonts w:ascii="Gill Sans" w:hAnsi="Gill Sans" w:cs="Gill Sans"/>
          <w:color w:val="auto"/>
          <w:sz w:val="18"/>
          <w:szCs w:val="18"/>
        </w:rPr>
        <w:t xml:space="preserve">ccessed 16 January 2018, </w:t>
      </w:r>
      <w:r w:rsidRPr="004E5897">
        <w:rPr>
          <w:rStyle w:val="EndnoteReference"/>
          <w:rFonts w:ascii="Gill Sans" w:hAnsi="Gill Sans" w:cs="Gill Sans"/>
          <w:color w:val="auto"/>
          <w:sz w:val="18"/>
          <w:szCs w:val="18"/>
          <w:vertAlign w:val="baseline"/>
        </w:rPr>
        <w:t>http://www.rti-rating.org/view_country/?country_name=New%20Zealand.</w:t>
      </w:r>
    </w:p>
  </w:endnote>
  <w:endnote w:id="9">
    <w:p w14:paraId="1A484BC6" w14:textId="00D79EFF" w:rsidR="001A2E4A" w:rsidRPr="00AC63FB" w:rsidRDefault="001A2E4A">
      <w:pPr>
        <w:pStyle w:val="EndnoteText"/>
        <w:rPr>
          <w:rStyle w:val="EndnoteReference"/>
          <w:rFonts w:ascii="Gill Sans" w:hAnsi="Gill Sans" w:cs="Gill Sans"/>
          <w:color w:val="auto"/>
          <w:sz w:val="18"/>
          <w:szCs w:val="18"/>
          <w:vertAlign w:val="baseline"/>
        </w:rPr>
      </w:pPr>
      <w:r w:rsidRPr="004E5897">
        <w:rPr>
          <w:rStyle w:val="EndnoteReference"/>
          <w:rFonts w:ascii="Gill Sans" w:hAnsi="Gill Sans" w:cs="Gill Sans"/>
          <w:color w:val="auto"/>
          <w:sz w:val="18"/>
          <w:szCs w:val="18"/>
          <w:vertAlign w:val="baseline"/>
        </w:rPr>
        <w:endnoteRef/>
      </w:r>
      <w:r w:rsidRPr="004E5897">
        <w:rPr>
          <w:rFonts w:ascii="Gill Sans" w:hAnsi="Gill Sans" w:cs="Gill Sans"/>
          <w:color w:val="auto"/>
          <w:sz w:val="18"/>
          <w:szCs w:val="18"/>
        </w:rPr>
        <w:t xml:space="preserve"> </w:t>
      </w:r>
      <w:r w:rsidRPr="004E5897">
        <w:rPr>
          <w:rFonts w:ascii="Gill Sans" w:hAnsi="Gill Sans" w:cs="Gill Sans"/>
          <w:color w:val="auto"/>
          <w:sz w:val="18"/>
          <w:szCs w:val="18"/>
        </w:rPr>
        <w:t xml:space="preserve">David Fisher, </w:t>
      </w:r>
      <w:r>
        <w:rPr>
          <w:rFonts w:ascii="Gill Sans" w:hAnsi="Gill Sans" w:cs="Gill Sans"/>
          <w:color w:val="auto"/>
          <w:sz w:val="18"/>
          <w:szCs w:val="18"/>
        </w:rPr>
        <w:t>‘</w:t>
      </w:r>
      <w:r w:rsidRPr="004E5897">
        <w:rPr>
          <w:rFonts w:ascii="Gill Sans" w:hAnsi="Gill Sans" w:cs="Gill Sans"/>
          <w:color w:val="auto"/>
          <w:sz w:val="18"/>
          <w:szCs w:val="18"/>
        </w:rPr>
        <w:t>Government needs to live by the spirit of the Official Information Act,</w:t>
      </w:r>
      <w:r>
        <w:rPr>
          <w:rFonts w:ascii="Gill Sans" w:hAnsi="Gill Sans" w:cs="Gill Sans"/>
          <w:color w:val="auto"/>
          <w:sz w:val="18"/>
          <w:szCs w:val="18"/>
        </w:rPr>
        <w:t>’</w:t>
      </w:r>
      <w:r w:rsidRPr="004E5897">
        <w:rPr>
          <w:rFonts w:ascii="Gill Sans" w:hAnsi="Gill Sans" w:cs="Gill Sans"/>
          <w:color w:val="auto"/>
          <w:sz w:val="18"/>
          <w:szCs w:val="18"/>
        </w:rPr>
        <w:t xml:space="preserve"> </w:t>
      </w:r>
      <w:r w:rsidRPr="004E5897">
        <w:rPr>
          <w:rFonts w:ascii="Gill Sans" w:hAnsi="Gill Sans" w:cs="Gill Sans"/>
          <w:i/>
          <w:color w:val="auto"/>
          <w:sz w:val="18"/>
          <w:szCs w:val="18"/>
        </w:rPr>
        <w:t>NZ Herald</w:t>
      </w:r>
      <w:r w:rsidRPr="004E5897">
        <w:rPr>
          <w:rFonts w:ascii="Gill Sans" w:hAnsi="Gill Sans" w:cs="Gill Sans"/>
          <w:color w:val="auto"/>
          <w:sz w:val="18"/>
          <w:szCs w:val="18"/>
        </w:rPr>
        <w:t>, 26 October 2017, www.nzherald.co.nz/nz/news/article.cfm?c_id=1&amp;objectid=11937072.</w:t>
      </w:r>
    </w:p>
  </w:endnote>
  <w:endnote w:id="10">
    <w:p w14:paraId="33C333E1" w14:textId="11F4662E" w:rsidR="001A2E4A" w:rsidRPr="00AC63FB" w:rsidRDefault="001A2E4A" w:rsidP="00664FDA">
      <w:pPr>
        <w:pStyle w:val="EndnoteText"/>
        <w:rPr>
          <w:rStyle w:val="EndnoteReference"/>
          <w:rFonts w:ascii="Gill Sans" w:hAnsi="Gill Sans" w:cs="Gill Sans"/>
          <w:color w:val="auto"/>
          <w:sz w:val="18"/>
          <w:szCs w:val="18"/>
          <w:vertAlign w:val="baseline"/>
        </w:rPr>
      </w:pPr>
      <w:r w:rsidRPr="00AC63FB">
        <w:rPr>
          <w:rStyle w:val="EndnoteReference"/>
          <w:rFonts w:ascii="Gill Sans" w:hAnsi="Gill Sans" w:cs="Gill Sans"/>
          <w:color w:val="auto"/>
          <w:sz w:val="18"/>
          <w:szCs w:val="18"/>
          <w:vertAlign w:val="baseline"/>
        </w:rPr>
        <w:endnoteRef/>
      </w:r>
      <w:r w:rsidRPr="00AC63FB">
        <w:rPr>
          <w:rStyle w:val="EndnoteReference"/>
          <w:rFonts w:ascii="Gill Sans" w:hAnsi="Gill Sans" w:cs="Gill Sans"/>
          <w:color w:val="auto"/>
          <w:sz w:val="18"/>
          <w:szCs w:val="18"/>
          <w:vertAlign w:val="baseline"/>
        </w:rPr>
        <w:t xml:space="preserve"> </w:t>
      </w:r>
      <w:r w:rsidRPr="00AC63FB">
        <w:rPr>
          <w:rStyle w:val="EndnoteReference"/>
          <w:rFonts w:ascii="Gill Sans" w:hAnsi="Gill Sans" w:cs="Gill Sans"/>
          <w:color w:val="auto"/>
          <w:sz w:val="18"/>
          <w:szCs w:val="18"/>
          <w:vertAlign w:val="baseline"/>
        </w:rPr>
        <w:t>The Ombudsman acts as an independent authority helping the community in its dealings with government agencies. http://www.ombudsman.parliament.nz/</w:t>
      </w:r>
      <w:r w:rsidRPr="00AC63FB">
        <w:rPr>
          <w:rFonts w:ascii="Gill Sans" w:hAnsi="Gill Sans" w:cs="Gill Sans"/>
          <w:color w:val="auto"/>
          <w:sz w:val="18"/>
          <w:szCs w:val="18"/>
        </w:rPr>
        <w:t>.</w:t>
      </w:r>
    </w:p>
  </w:endnote>
  <w:endnote w:id="11">
    <w:p w14:paraId="62A9FAD4" w14:textId="7875A51D" w:rsidR="001A2E4A" w:rsidRPr="00AC63FB" w:rsidRDefault="001A2E4A" w:rsidP="00664FDA">
      <w:pPr>
        <w:pStyle w:val="EndnoteText"/>
        <w:rPr>
          <w:rStyle w:val="EndnoteReference"/>
          <w:rFonts w:ascii="Gill Sans" w:hAnsi="Gill Sans" w:cs="Gill Sans"/>
          <w:color w:val="auto"/>
          <w:sz w:val="18"/>
          <w:szCs w:val="18"/>
          <w:vertAlign w:val="baseline"/>
        </w:rPr>
      </w:pPr>
      <w:r w:rsidRPr="00AC63FB">
        <w:rPr>
          <w:rStyle w:val="EndnoteReference"/>
          <w:rFonts w:ascii="Gill Sans" w:hAnsi="Gill Sans" w:cs="Gill Sans"/>
          <w:color w:val="auto"/>
          <w:sz w:val="18"/>
          <w:szCs w:val="18"/>
          <w:vertAlign w:val="baseline"/>
        </w:rPr>
        <w:endnoteRef/>
      </w:r>
      <w:r w:rsidRPr="00AC63FB">
        <w:rPr>
          <w:rStyle w:val="EndnoteReference"/>
          <w:rFonts w:ascii="Gill Sans" w:hAnsi="Gill Sans" w:cs="Gill Sans"/>
          <w:color w:val="auto"/>
          <w:sz w:val="18"/>
          <w:szCs w:val="18"/>
          <w:vertAlign w:val="baseline"/>
        </w:rPr>
        <w:t xml:space="preserve"> </w:t>
      </w:r>
      <w:r w:rsidRPr="00AC63FB">
        <w:rPr>
          <w:rFonts w:ascii="Gill Sans" w:hAnsi="Gill Sans" w:cs="Gill Sans"/>
          <w:color w:val="auto"/>
          <w:sz w:val="18"/>
          <w:szCs w:val="18"/>
        </w:rPr>
        <w:t xml:space="preserve">Benedict Collins, </w:t>
      </w:r>
      <w:r>
        <w:rPr>
          <w:rFonts w:ascii="Gill Sans" w:hAnsi="Gill Sans" w:cs="Gill Sans"/>
          <w:color w:val="auto"/>
          <w:sz w:val="18"/>
          <w:szCs w:val="18"/>
        </w:rPr>
        <w:t>‘</w:t>
      </w:r>
      <w:r w:rsidRPr="00AC63FB">
        <w:rPr>
          <w:rFonts w:ascii="Gill Sans" w:hAnsi="Gill Sans" w:cs="Gill Sans"/>
          <w:color w:val="auto"/>
          <w:sz w:val="18"/>
          <w:szCs w:val="18"/>
        </w:rPr>
        <w:t>Transport Ministry accused of dodging OIA request,</w:t>
      </w:r>
      <w:r>
        <w:rPr>
          <w:rFonts w:ascii="Gill Sans" w:hAnsi="Gill Sans" w:cs="Gill Sans"/>
          <w:color w:val="auto"/>
          <w:sz w:val="18"/>
          <w:szCs w:val="18"/>
        </w:rPr>
        <w:t>’</w:t>
      </w:r>
      <w:r w:rsidRPr="00AC63FB">
        <w:rPr>
          <w:rFonts w:ascii="Gill Sans" w:hAnsi="Gill Sans" w:cs="Gill Sans"/>
          <w:color w:val="auto"/>
          <w:sz w:val="18"/>
          <w:szCs w:val="18"/>
        </w:rPr>
        <w:t xml:space="preserve"> </w:t>
      </w:r>
      <w:r w:rsidRPr="00AC63FB">
        <w:rPr>
          <w:rFonts w:ascii="Gill Sans" w:hAnsi="Gill Sans" w:cs="Gill Sans"/>
          <w:i/>
          <w:color w:val="auto"/>
          <w:sz w:val="18"/>
          <w:szCs w:val="18"/>
        </w:rPr>
        <w:t>Radio New Zealand</w:t>
      </w:r>
      <w:r w:rsidRPr="00AC63FB">
        <w:rPr>
          <w:rFonts w:ascii="Gill Sans" w:hAnsi="Gill Sans" w:cs="Gill Sans"/>
          <w:color w:val="auto"/>
          <w:sz w:val="18"/>
          <w:szCs w:val="18"/>
        </w:rPr>
        <w:t>, 19 July 2017, www.radionz.co.nz/news/political/335373/transport-ministry-accused-of-dodging-oia-request.</w:t>
      </w:r>
      <w:r w:rsidRPr="00AC63FB" w:rsidDel="00A86925">
        <w:rPr>
          <w:rStyle w:val="EndnoteReference"/>
          <w:rFonts w:ascii="Gill Sans" w:hAnsi="Gill Sans" w:cs="Gill Sans"/>
          <w:color w:val="auto"/>
          <w:sz w:val="18"/>
          <w:szCs w:val="18"/>
          <w:vertAlign w:val="baseline"/>
        </w:rPr>
        <w:t xml:space="preserve"> </w:t>
      </w:r>
    </w:p>
  </w:endnote>
  <w:endnote w:id="12">
    <w:p w14:paraId="2E088AC8" w14:textId="6709926B" w:rsidR="001A2E4A" w:rsidRPr="00AC63FB" w:rsidRDefault="001A2E4A" w:rsidP="00664FDA">
      <w:pPr>
        <w:pStyle w:val="EndnoteText"/>
        <w:rPr>
          <w:rStyle w:val="EndnoteReference"/>
          <w:rFonts w:ascii="Gill Sans" w:hAnsi="Gill Sans" w:cs="Gill Sans"/>
          <w:color w:val="auto"/>
          <w:sz w:val="18"/>
          <w:szCs w:val="18"/>
          <w:vertAlign w:val="baseline"/>
        </w:rPr>
      </w:pPr>
      <w:r w:rsidRPr="00AC63FB">
        <w:rPr>
          <w:rStyle w:val="EndnoteReference"/>
          <w:rFonts w:ascii="Gill Sans" w:hAnsi="Gill Sans" w:cs="Gill Sans"/>
          <w:color w:val="auto"/>
          <w:sz w:val="18"/>
          <w:szCs w:val="18"/>
          <w:vertAlign w:val="baseline"/>
        </w:rPr>
        <w:endnoteRef/>
      </w:r>
      <w:r w:rsidRPr="00AC63FB">
        <w:rPr>
          <w:rStyle w:val="EndnoteReference"/>
          <w:rFonts w:ascii="Gill Sans" w:hAnsi="Gill Sans" w:cs="Gill Sans"/>
          <w:color w:val="auto"/>
          <w:sz w:val="18"/>
          <w:szCs w:val="18"/>
          <w:vertAlign w:val="baseline"/>
        </w:rPr>
        <w:t xml:space="preserve"> </w:t>
      </w:r>
      <w:r>
        <w:rPr>
          <w:rStyle w:val="EndnoteReference"/>
          <w:rFonts w:ascii="Gill Sans" w:hAnsi="Gill Sans" w:cs="Gill Sans"/>
          <w:color w:val="auto"/>
          <w:sz w:val="18"/>
          <w:szCs w:val="18"/>
          <w:vertAlign w:val="baseline"/>
        </w:rPr>
        <w:t>‘</w:t>
      </w:r>
      <w:r w:rsidRPr="00AC63FB">
        <w:rPr>
          <w:rStyle w:val="EndnoteReference"/>
          <w:rFonts w:ascii="Gill Sans" w:hAnsi="Gill Sans" w:cs="Gill Sans"/>
          <w:color w:val="auto"/>
          <w:sz w:val="18"/>
          <w:szCs w:val="18"/>
          <w:vertAlign w:val="baseline"/>
        </w:rPr>
        <w:t>Speaker defends committee's call to keep fraud-handling report secret,</w:t>
      </w:r>
      <w:r>
        <w:rPr>
          <w:rStyle w:val="EndnoteReference"/>
          <w:rFonts w:ascii="Gill Sans" w:hAnsi="Gill Sans" w:cs="Gill Sans"/>
          <w:color w:val="auto"/>
          <w:sz w:val="18"/>
          <w:szCs w:val="18"/>
          <w:vertAlign w:val="baseline"/>
        </w:rPr>
        <w:t>’</w:t>
      </w:r>
      <w:r w:rsidRPr="00AC63FB">
        <w:rPr>
          <w:rStyle w:val="EndnoteReference"/>
          <w:rFonts w:ascii="Gill Sans" w:hAnsi="Gill Sans" w:cs="Gill Sans"/>
          <w:color w:val="auto"/>
          <w:sz w:val="18"/>
          <w:szCs w:val="18"/>
          <w:vertAlign w:val="baseline"/>
        </w:rPr>
        <w:t xml:space="preserve"> </w:t>
      </w:r>
      <w:r w:rsidRPr="00AC63FB">
        <w:rPr>
          <w:rStyle w:val="EndnoteReference"/>
          <w:rFonts w:ascii="Gill Sans" w:hAnsi="Gill Sans" w:cs="Gill Sans"/>
          <w:i/>
          <w:color w:val="auto"/>
          <w:sz w:val="18"/>
          <w:szCs w:val="18"/>
          <w:vertAlign w:val="baseline"/>
        </w:rPr>
        <w:t>Radio New Zealand</w:t>
      </w:r>
      <w:r w:rsidRPr="00AC63FB">
        <w:rPr>
          <w:rStyle w:val="EndnoteReference"/>
          <w:rFonts w:ascii="Gill Sans" w:hAnsi="Gill Sans" w:cs="Gill Sans"/>
          <w:color w:val="auto"/>
          <w:sz w:val="18"/>
          <w:szCs w:val="18"/>
          <w:vertAlign w:val="baseline"/>
        </w:rPr>
        <w:t xml:space="preserve">, 4 August 2017, www.radionz.co.nz/news/political/336462/speaker-defends-call-to-keep-fraud-handling-report-secret. </w:t>
      </w:r>
    </w:p>
  </w:endnote>
  <w:endnote w:id="13">
    <w:p w14:paraId="0622140F" w14:textId="6664335B" w:rsidR="001A2E4A" w:rsidRPr="00AC63FB" w:rsidRDefault="001A2E4A">
      <w:pPr>
        <w:pStyle w:val="EndnoteText"/>
        <w:rPr>
          <w:rStyle w:val="EndnoteReference"/>
          <w:rFonts w:ascii="Gill Sans" w:hAnsi="Gill Sans" w:cs="Gill Sans"/>
          <w:color w:val="auto"/>
          <w:sz w:val="18"/>
          <w:szCs w:val="18"/>
          <w:vertAlign w:val="baseline"/>
        </w:rPr>
      </w:pPr>
      <w:r w:rsidRPr="00AC63FB">
        <w:rPr>
          <w:rStyle w:val="EndnoteReference"/>
          <w:rFonts w:ascii="Gill Sans" w:hAnsi="Gill Sans" w:cs="Gill Sans"/>
          <w:color w:val="auto"/>
          <w:sz w:val="18"/>
          <w:szCs w:val="18"/>
          <w:vertAlign w:val="baseline"/>
        </w:rPr>
        <w:endnoteRef/>
      </w:r>
      <w:r w:rsidRPr="00AC63FB">
        <w:rPr>
          <w:rStyle w:val="EndnoteReference"/>
          <w:rFonts w:ascii="Gill Sans" w:hAnsi="Gill Sans" w:cs="Gill Sans"/>
          <w:color w:val="auto"/>
          <w:sz w:val="18"/>
          <w:szCs w:val="18"/>
          <w:vertAlign w:val="baseline"/>
        </w:rPr>
        <w:t xml:space="preserve"> </w:t>
      </w:r>
      <w:r w:rsidRPr="00AC63FB">
        <w:rPr>
          <w:rFonts w:ascii="Gill Sans" w:hAnsi="Gill Sans" w:cs="Gill Sans"/>
          <w:i/>
          <w:color w:val="auto"/>
          <w:sz w:val="18"/>
          <w:szCs w:val="18"/>
        </w:rPr>
        <w:t>The Public's Right To Know: Review of the Official Information Legislation</w:t>
      </w:r>
      <w:r w:rsidRPr="00AC63FB">
        <w:rPr>
          <w:rFonts w:ascii="Gill Sans" w:hAnsi="Gill Sans" w:cs="Gill Sans"/>
          <w:color w:val="auto"/>
          <w:sz w:val="18"/>
          <w:szCs w:val="18"/>
        </w:rPr>
        <w:t>, Wellington: Law Commission Te Aka Matua O Te Ture, June 20102, www.lawcom.govt.nz/sites/default/files/projectAvailableFormats/NZLC%20R125.pdf,</w:t>
      </w:r>
      <w:r>
        <w:fldChar w:fldCharType="begin"/>
      </w:r>
      <w:r>
        <w:instrText xml:space="preserve"> HYPERLINK "http://www.lawcom.govt.nz/sites/default/files/projectAvailableFormats/NZLC%20R125.pdf" </w:instrText>
      </w:r>
      <w:r>
        <w:fldChar w:fldCharType="separate"/>
      </w:r>
      <w:r>
        <w:fldChar w:fldCharType="end"/>
      </w:r>
      <w:r w:rsidRPr="00AC63FB">
        <w:rPr>
          <w:rStyle w:val="EndnoteReference"/>
          <w:rFonts w:ascii="Gill Sans" w:hAnsi="Gill Sans" w:cs="Gill Sans"/>
          <w:color w:val="auto"/>
          <w:sz w:val="18"/>
          <w:szCs w:val="18"/>
          <w:vertAlign w:val="baseline"/>
        </w:rPr>
        <w:t xml:space="preserve"> </w:t>
      </w:r>
      <w:r w:rsidRPr="00AC63FB">
        <w:rPr>
          <w:rFonts w:ascii="Arial" w:hAnsi="Arial" w:cs="Arial"/>
          <w:color w:val="auto"/>
          <w:sz w:val="18"/>
          <w:szCs w:val="18"/>
        </w:rPr>
        <w:t>¶</w:t>
      </w:r>
      <w:r w:rsidRPr="00AC63FB">
        <w:rPr>
          <w:rStyle w:val="EndnoteReference"/>
          <w:rFonts w:ascii="Gill Sans" w:hAnsi="Gill Sans" w:cs="Gill Sans"/>
          <w:color w:val="auto"/>
          <w:sz w:val="18"/>
          <w:szCs w:val="18"/>
          <w:vertAlign w:val="baseline"/>
        </w:rPr>
        <w:t>14.39</w:t>
      </w:r>
      <w:r w:rsidRPr="00AC63FB">
        <w:rPr>
          <w:rFonts w:ascii="Gill Sans" w:hAnsi="Gill Sans" w:cs="Gill Sans"/>
          <w:color w:val="auto"/>
          <w:sz w:val="18"/>
          <w:szCs w:val="18"/>
        </w:rPr>
        <w:t>.</w:t>
      </w:r>
    </w:p>
  </w:endnote>
  <w:endnote w:id="14">
    <w:p w14:paraId="7192FDA3" w14:textId="04289535" w:rsidR="001A2E4A" w:rsidRPr="00AC63FB" w:rsidRDefault="001A2E4A">
      <w:pPr>
        <w:pStyle w:val="EndnoteText"/>
        <w:rPr>
          <w:rStyle w:val="EndnoteReference"/>
          <w:rFonts w:ascii="Gill Sans" w:hAnsi="Gill Sans" w:cs="Gill Sans"/>
          <w:color w:val="auto"/>
          <w:sz w:val="18"/>
          <w:szCs w:val="18"/>
          <w:vertAlign w:val="baseline"/>
        </w:rPr>
      </w:pPr>
      <w:r w:rsidRPr="00AC63FB">
        <w:rPr>
          <w:rStyle w:val="EndnoteReference"/>
          <w:rFonts w:ascii="Gill Sans" w:hAnsi="Gill Sans" w:cs="Gill Sans"/>
          <w:color w:val="auto"/>
          <w:sz w:val="18"/>
          <w:szCs w:val="18"/>
          <w:vertAlign w:val="baseline"/>
        </w:rPr>
        <w:endnoteRef/>
      </w:r>
      <w:r w:rsidRPr="00AC63FB">
        <w:rPr>
          <w:rFonts w:ascii="Gill Sans" w:hAnsi="Gill Sans" w:cs="Gill Sans"/>
          <w:color w:val="auto"/>
          <w:sz w:val="18"/>
          <w:szCs w:val="18"/>
        </w:rPr>
        <w:t xml:space="preserve"> </w:t>
      </w:r>
      <w:r w:rsidRPr="00AC63FB">
        <w:rPr>
          <w:rFonts w:ascii="Gill Sans" w:hAnsi="Gill Sans" w:cs="Gill Sans"/>
          <w:i/>
          <w:color w:val="auto"/>
          <w:sz w:val="18"/>
          <w:szCs w:val="18"/>
        </w:rPr>
        <w:t xml:space="preserve">Id. </w:t>
      </w:r>
      <w:r w:rsidRPr="00AC63FB">
        <w:rPr>
          <w:rFonts w:ascii="Gill Sans" w:hAnsi="Gill Sans" w:cs="Gill Sans"/>
          <w:color w:val="auto"/>
          <w:sz w:val="18"/>
          <w:szCs w:val="18"/>
        </w:rPr>
        <w:t xml:space="preserve">At </w:t>
      </w:r>
      <w:r w:rsidRPr="00AC63FB">
        <w:rPr>
          <w:rStyle w:val="EndnoteReference"/>
          <w:rFonts w:ascii="Gill Sans" w:hAnsi="Gill Sans" w:cs="Gill Sans"/>
          <w:color w:val="auto"/>
          <w:sz w:val="18"/>
          <w:szCs w:val="18"/>
          <w:vertAlign w:val="baseline"/>
        </w:rPr>
        <w:t>Recommendations 124-129.</w:t>
      </w:r>
    </w:p>
  </w:endnote>
  <w:endnote w:id="15">
    <w:p w14:paraId="18C0E67D" w14:textId="25864253" w:rsidR="001A2E4A" w:rsidRPr="00AC63FB" w:rsidRDefault="001A2E4A">
      <w:pPr>
        <w:pStyle w:val="EndnoteText"/>
        <w:rPr>
          <w:rStyle w:val="EndnoteReference"/>
          <w:rFonts w:ascii="Gill Sans" w:hAnsi="Gill Sans" w:cs="Gill Sans"/>
          <w:color w:val="auto"/>
          <w:sz w:val="18"/>
          <w:szCs w:val="18"/>
          <w:vertAlign w:val="baseline"/>
        </w:rPr>
      </w:pPr>
      <w:r w:rsidRPr="00AC63FB">
        <w:rPr>
          <w:rStyle w:val="EndnoteReference"/>
          <w:rFonts w:ascii="Gill Sans" w:hAnsi="Gill Sans" w:cs="Gill Sans"/>
          <w:color w:val="auto"/>
          <w:sz w:val="18"/>
          <w:szCs w:val="18"/>
          <w:vertAlign w:val="baseline"/>
        </w:rPr>
        <w:endnoteRef/>
      </w:r>
      <w:r w:rsidRPr="00AC63FB">
        <w:rPr>
          <w:rStyle w:val="EndnoteReference"/>
          <w:rFonts w:ascii="Gill Sans" w:hAnsi="Gill Sans" w:cs="Gill Sans"/>
          <w:color w:val="auto"/>
          <w:sz w:val="18"/>
          <w:szCs w:val="18"/>
          <w:vertAlign w:val="baseline"/>
        </w:rPr>
        <w:t xml:space="preserve"> </w:t>
      </w:r>
      <w:r w:rsidRPr="00AC63FB">
        <w:rPr>
          <w:rStyle w:val="EndnoteReference"/>
          <w:rFonts w:ascii="Gill Sans" w:hAnsi="Gill Sans" w:cs="Gill Sans"/>
          <w:color w:val="auto"/>
          <w:sz w:val="18"/>
          <w:szCs w:val="18"/>
          <w:vertAlign w:val="baseline"/>
        </w:rPr>
        <w:t>A</w:t>
      </w:r>
      <w:r w:rsidRPr="00AC63FB">
        <w:rPr>
          <w:rFonts w:ascii="Gill Sans" w:hAnsi="Gill Sans" w:cs="Gill Sans"/>
          <w:color w:val="auto"/>
          <w:sz w:val="18"/>
          <w:szCs w:val="18"/>
        </w:rPr>
        <w:t xml:space="preserve">ccessed 16 January 2018, </w:t>
      </w:r>
      <w:r>
        <w:fldChar w:fldCharType="begin"/>
      </w:r>
      <w:r>
        <w:instrText xml:space="preserve"> HYPERLINK "https://rsf.org/en/new-zealand" </w:instrText>
      </w:r>
      <w:r>
        <w:fldChar w:fldCharType="separate"/>
      </w:r>
      <w:r w:rsidRPr="00AC63FB">
        <w:rPr>
          <w:rStyle w:val="EndnoteReference"/>
          <w:rFonts w:ascii="Gill Sans" w:hAnsi="Gill Sans" w:cs="Gill Sans"/>
          <w:color w:val="auto"/>
          <w:sz w:val="18"/>
          <w:szCs w:val="18"/>
          <w:vertAlign w:val="baseline"/>
        </w:rPr>
        <w:t>https://rsf.org/en/new-zealand</w:t>
      </w:r>
      <w:r>
        <w:rPr>
          <w:rStyle w:val="EndnoteReference"/>
          <w:rFonts w:ascii="Gill Sans" w:hAnsi="Gill Sans" w:cs="Gill Sans"/>
          <w:color w:val="auto"/>
          <w:sz w:val="18"/>
          <w:szCs w:val="18"/>
          <w:vertAlign w:val="baseline"/>
        </w:rPr>
        <w:fldChar w:fldCharType="end"/>
      </w:r>
      <w:r w:rsidRPr="00AC63FB">
        <w:rPr>
          <w:rFonts w:ascii="Gill Sans" w:hAnsi="Gill Sans" w:cs="Gill Sans"/>
          <w:color w:val="auto"/>
          <w:sz w:val="18"/>
          <w:szCs w:val="18"/>
        </w:rPr>
        <w:t>.</w:t>
      </w:r>
    </w:p>
  </w:endnote>
  <w:endnote w:id="16">
    <w:p w14:paraId="4D4079CD" w14:textId="68FDF412" w:rsidR="001A2E4A" w:rsidRPr="00AC63FB" w:rsidRDefault="001A2E4A">
      <w:pPr>
        <w:pStyle w:val="EndnoteText"/>
        <w:rPr>
          <w:rStyle w:val="EndnoteReference"/>
          <w:rFonts w:ascii="Gill Sans" w:hAnsi="Gill Sans" w:cs="Gill Sans"/>
          <w:color w:val="auto"/>
          <w:sz w:val="18"/>
          <w:szCs w:val="18"/>
          <w:vertAlign w:val="baseline"/>
        </w:rPr>
      </w:pPr>
      <w:r w:rsidRPr="00AC63FB">
        <w:rPr>
          <w:rStyle w:val="EndnoteReference"/>
          <w:rFonts w:ascii="Gill Sans" w:hAnsi="Gill Sans" w:cs="Gill Sans"/>
          <w:color w:val="auto"/>
          <w:sz w:val="18"/>
          <w:szCs w:val="18"/>
          <w:vertAlign w:val="baseline"/>
        </w:rPr>
        <w:endnoteRef/>
      </w:r>
      <w:r w:rsidRPr="00AC63FB">
        <w:rPr>
          <w:rStyle w:val="EndnoteReference"/>
          <w:rFonts w:ascii="Gill Sans" w:hAnsi="Gill Sans" w:cs="Gill Sans"/>
          <w:color w:val="auto"/>
          <w:sz w:val="18"/>
          <w:szCs w:val="18"/>
          <w:vertAlign w:val="baseline"/>
        </w:rPr>
        <w:t xml:space="preserve"> </w:t>
      </w:r>
      <w:r w:rsidRPr="00AC63FB">
        <w:rPr>
          <w:rStyle w:val="EndnoteReference"/>
          <w:rFonts w:ascii="Gill Sans" w:hAnsi="Gill Sans" w:cs="Gill Sans"/>
          <w:color w:val="auto"/>
          <w:sz w:val="18"/>
          <w:szCs w:val="18"/>
          <w:vertAlign w:val="baseline"/>
        </w:rPr>
        <w:t xml:space="preserve">Intelligence and Security Act 2017, New Zealand Government, 28 March 2017, </w:t>
      </w:r>
      <w:r>
        <w:fldChar w:fldCharType="begin"/>
      </w:r>
      <w:r>
        <w:instrText xml:space="preserve"> HYPERLINK "http://www.legislation.govt.nz/act/public/2017/0010/37.0/DLM6920823.html" </w:instrText>
      </w:r>
      <w:r>
        <w:fldChar w:fldCharType="separate"/>
      </w:r>
      <w:r w:rsidRPr="00AC63FB">
        <w:rPr>
          <w:rStyle w:val="Hyperlink"/>
          <w:rFonts w:ascii="Gill Sans" w:hAnsi="Gill Sans" w:cs="Gill Sans"/>
          <w:color w:val="auto"/>
          <w:sz w:val="18"/>
          <w:szCs w:val="18"/>
          <w:u w:val="none"/>
        </w:rPr>
        <w:t>www.legislation.govt.nz/act/public/2017/0010/37.0/DLM6920823.html</w:t>
      </w:r>
      <w:r>
        <w:rPr>
          <w:rStyle w:val="Hyperlink"/>
          <w:rFonts w:ascii="Gill Sans" w:hAnsi="Gill Sans" w:cs="Gill Sans"/>
          <w:color w:val="auto"/>
          <w:sz w:val="18"/>
          <w:szCs w:val="18"/>
          <w:u w:val="none"/>
        </w:rPr>
        <w:fldChar w:fldCharType="end"/>
      </w:r>
      <w:r w:rsidRPr="00AC63FB">
        <w:rPr>
          <w:rStyle w:val="EndnoteReference"/>
          <w:rFonts w:ascii="Gill Sans" w:hAnsi="Gill Sans" w:cs="Gill Sans"/>
          <w:color w:val="auto"/>
          <w:sz w:val="18"/>
          <w:szCs w:val="18"/>
          <w:vertAlign w:val="baseline"/>
        </w:rPr>
        <w:t>.</w:t>
      </w:r>
      <w:r w:rsidRPr="00AC63FB">
        <w:rPr>
          <w:rFonts w:ascii="Gill Sans" w:hAnsi="Gill Sans" w:cs="Gill Sans"/>
          <w:color w:val="auto"/>
          <w:sz w:val="18"/>
          <w:szCs w:val="18"/>
        </w:rPr>
        <w:t xml:space="preserve"> </w:t>
      </w:r>
      <w:r w:rsidRPr="00AC63FB">
        <w:rPr>
          <w:rStyle w:val="EndnoteReference"/>
          <w:rFonts w:ascii="Gill Sans" w:hAnsi="Gill Sans" w:cs="Gill Sans"/>
          <w:color w:val="auto"/>
          <w:sz w:val="18"/>
          <w:szCs w:val="18"/>
          <w:vertAlign w:val="baseline"/>
        </w:rPr>
        <w:t xml:space="preserve"> </w:t>
      </w:r>
    </w:p>
  </w:endnote>
  <w:endnote w:id="17">
    <w:p w14:paraId="1227EE0A" w14:textId="6BFDFF64" w:rsidR="001A2E4A" w:rsidRPr="00AC63FB" w:rsidRDefault="001A2E4A" w:rsidP="00664FDA">
      <w:pPr>
        <w:pStyle w:val="EndnoteText"/>
        <w:rPr>
          <w:rStyle w:val="EndnoteReference"/>
          <w:rFonts w:ascii="Gill Sans" w:hAnsi="Gill Sans" w:cs="Gill Sans"/>
          <w:color w:val="auto"/>
          <w:sz w:val="18"/>
          <w:szCs w:val="18"/>
          <w:vertAlign w:val="baseline"/>
        </w:rPr>
      </w:pPr>
      <w:r w:rsidRPr="00AC63FB">
        <w:rPr>
          <w:rStyle w:val="EndnoteReference"/>
          <w:rFonts w:ascii="Gill Sans" w:hAnsi="Gill Sans" w:cs="Gill Sans"/>
          <w:color w:val="auto"/>
          <w:sz w:val="18"/>
          <w:szCs w:val="18"/>
          <w:vertAlign w:val="baseline"/>
        </w:rPr>
        <w:endnoteRef/>
      </w:r>
      <w:r w:rsidRPr="00AC63FB">
        <w:rPr>
          <w:rStyle w:val="EndnoteReference"/>
          <w:rFonts w:ascii="Gill Sans" w:hAnsi="Gill Sans" w:cs="Gill Sans"/>
          <w:color w:val="auto"/>
          <w:sz w:val="18"/>
          <w:szCs w:val="18"/>
          <w:vertAlign w:val="baseline"/>
        </w:rPr>
        <w:t xml:space="preserve"> </w:t>
      </w:r>
      <w:r w:rsidRPr="00AC63FB">
        <w:rPr>
          <w:rFonts w:ascii="Gill Sans" w:hAnsi="Gill Sans" w:cs="Gill Sans"/>
          <w:color w:val="auto"/>
          <w:sz w:val="18"/>
          <w:szCs w:val="18"/>
        </w:rPr>
        <w:t xml:space="preserve">Michael Macaulay, </w:t>
      </w:r>
      <w:r>
        <w:rPr>
          <w:rFonts w:ascii="Gill Sans" w:hAnsi="Gill Sans" w:cs="Gill Sans"/>
          <w:color w:val="auto"/>
          <w:sz w:val="18"/>
          <w:szCs w:val="18"/>
        </w:rPr>
        <w:t>‘</w:t>
      </w:r>
      <w:r w:rsidRPr="00AC63FB">
        <w:rPr>
          <w:rFonts w:ascii="Gill Sans" w:hAnsi="Gill Sans" w:cs="Gill Sans"/>
          <w:color w:val="auto"/>
          <w:sz w:val="18"/>
          <w:szCs w:val="18"/>
        </w:rPr>
        <w:t>New Zealanders’ distrust in government growing,</w:t>
      </w:r>
      <w:r>
        <w:rPr>
          <w:rFonts w:ascii="Gill Sans" w:hAnsi="Gill Sans" w:cs="Gill Sans"/>
          <w:color w:val="auto"/>
          <w:sz w:val="18"/>
          <w:szCs w:val="18"/>
        </w:rPr>
        <w:t>’</w:t>
      </w:r>
      <w:r w:rsidRPr="00AC63FB">
        <w:rPr>
          <w:rFonts w:ascii="Gill Sans" w:hAnsi="Gill Sans" w:cs="Gill Sans"/>
          <w:color w:val="auto"/>
          <w:sz w:val="18"/>
          <w:szCs w:val="18"/>
        </w:rPr>
        <w:t xml:space="preserve"> </w:t>
      </w:r>
      <w:r w:rsidRPr="00AC63FB">
        <w:rPr>
          <w:rFonts w:ascii="Gill Sans" w:hAnsi="Gill Sans" w:cs="Gill Sans"/>
          <w:i/>
          <w:color w:val="auto"/>
          <w:sz w:val="18"/>
          <w:szCs w:val="18"/>
        </w:rPr>
        <w:t>Victoria University</w:t>
      </w:r>
      <w:r w:rsidRPr="00AC63FB">
        <w:rPr>
          <w:rFonts w:ascii="Gill Sans" w:hAnsi="Gill Sans" w:cs="Gill Sans"/>
          <w:color w:val="auto"/>
          <w:sz w:val="18"/>
          <w:szCs w:val="18"/>
        </w:rPr>
        <w:t>, 5 April 2016, https://www.victoria.ac.nz/news/2016/04/new-zealanders-distrust-in-government-growing.</w:t>
      </w:r>
      <w:r w:rsidRPr="00AC63FB">
        <w:rPr>
          <w:rStyle w:val="EndnoteReference"/>
          <w:rFonts w:ascii="Gill Sans" w:hAnsi="Gill Sans" w:cs="Gill Sans"/>
          <w:color w:val="auto"/>
          <w:sz w:val="18"/>
          <w:szCs w:val="18"/>
          <w:vertAlign w:val="baseline"/>
        </w:rPr>
        <w:t xml:space="preserve">  </w:t>
      </w:r>
    </w:p>
  </w:endnote>
  <w:endnote w:id="18">
    <w:p w14:paraId="20E3A42A" w14:textId="7A75CC11" w:rsidR="001A2E4A" w:rsidRPr="00E56D06" w:rsidRDefault="001A2E4A">
      <w:pPr>
        <w:pStyle w:val="EndnoteText"/>
        <w:rPr>
          <w:rStyle w:val="EndnoteReference"/>
          <w:rFonts w:ascii="Gill Sans" w:hAnsi="Gill Sans" w:cs="Gill Sans"/>
          <w:color w:val="auto"/>
          <w:sz w:val="18"/>
          <w:szCs w:val="18"/>
          <w:vertAlign w:val="baseline"/>
        </w:rPr>
      </w:pPr>
      <w:r w:rsidRPr="00AC63FB">
        <w:rPr>
          <w:rStyle w:val="EndnoteReference"/>
          <w:rFonts w:ascii="Gill Sans" w:hAnsi="Gill Sans" w:cs="Gill Sans"/>
          <w:color w:val="auto"/>
          <w:sz w:val="18"/>
          <w:szCs w:val="18"/>
          <w:vertAlign w:val="baseline"/>
        </w:rPr>
        <w:endnoteRef/>
      </w:r>
      <w:r w:rsidRPr="00AC63FB">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AC63FB">
        <w:rPr>
          <w:rStyle w:val="EndnoteReference"/>
          <w:rFonts w:ascii="Gill Sans" w:hAnsi="Gill Sans" w:cs="Gill Sans"/>
          <w:color w:val="auto"/>
          <w:sz w:val="18"/>
          <w:szCs w:val="18"/>
          <w:vertAlign w:val="baseline"/>
        </w:rPr>
        <w:t>Final Results for the 2014 New Zealand General Election</w:t>
      </w:r>
      <w:r w:rsidRPr="00AC63FB">
        <w:rPr>
          <w:rFonts w:ascii="Gill Sans" w:hAnsi="Gill Sans" w:cs="Gill Sans"/>
          <w:color w:val="auto"/>
          <w:sz w:val="18"/>
          <w:szCs w:val="18"/>
        </w:rPr>
        <w:t>,</w:t>
      </w:r>
      <w:r>
        <w:rPr>
          <w:rFonts w:ascii="Gill Sans" w:hAnsi="Gill Sans" w:cs="Gill Sans"/>
          <w:color w:val="auto"/>
          <w:sz w:val="18"/>
          <w:szCs w:val="18"/>
        </w:rPr>
        <w:t>’</w:t>
      </w:r>
      <w:r w:rsidRPr="00AC63FB">
        <w:rPr>
          <w:rStyle w:val="EndnoteReference"/>
          <w:rFonts w:ascii="Gill Sans" w:hAnsi="Gill Sans" w:cs="Gill Sans"/>
          <w:color w:val="auto"/>
          <w:sz w:val="18"/>
          <w:szCs w:val="18"/>
          <w:vertAlign w:val="baseline"/>
        </w:rPr>
        <w:t xml:space="preserve"> Parliamentary Library Research Paper 2015/01</w:t>
      </w:r>
      <w:r w:rsidRPr="00AC63FB">
        <w:rPr>
          <w:rFonts w:ascii="Gill Sans" w:hAnsi="Gill Sans" w:cs="Gill Sans"/>
          <w:color w:val="auto"/>
          <w:sz w:val="18"/>
          <w:szCs w:val="18"/>
        </w:rPr>
        <w:t>,</w:t>
      </w:r>
      <w:r w:rsidRPr="00E56D06">
        <w:rPr>
          <w:rFonts w:ascii="Gill Sans" w:hAnsi="Gill Sans" w:cs="Gill Sans"/>
          <w:color w:val="auto"/>
          <w:sz w:val="18"/>
          <w:szCs w:val="18"/>
        </w:rPr>
        <w:t xml:space="preserve"> </w:t>
      </w:r>
      <w:hyperlink r:id="rId1" w:history="1">
        <w:r w:rsidRPr="00E56D06">
          <w:rPr>
            <w:rStyle w:val="Hyperlink"/>
            <w:rFonts w:ascii="Gill Sans" w:hAnsi="Gill Sans" w:cs="Gill Sans"/>
            <w:color w:val="auto"/>
            <w:sz w:val="18"/>
            <w:szCs w:val="18"/>
            <w:u w:val="none"/>
          </w:rPr>
          <w:t>http://bit.ly/2AfrdZw</w:t>
        </w:r>
      </w:hyperlink>
      <w:r w:rsidRPr="00E56D06">
        <w:rPr>
          <w:rFonts w:ascii="Gill Sans" w:hAnsi="Gill Sans" w:cs="Gill Sans"/>
          <w:color w:val="auto"/>
          <w:sz w:val="18"/>
          <w:szCs w:val="18"/>
        </w:rPr>
        <w:t>, 12.</w:t>
      </w:r>
    </w:p>
  </w:endnote>
  <w:endnote w:id="19">
    <w:p w14:paraId="581DB161" w14:textId="04D5B456" w:rsidR="001A2E4A" w:rsidRPr="00E56D06" w:rsidRDefault="001A2E4A" w:rsidP="000F296E">
      <w:pPr>
        <w:pStyle w:val="EndnoteText"/>
        <w:rPr>
          <w:rStyle w:val="EndnoteReference"/>
          <w:rFonts w:ascii="Gill Sans" w:hAnsi="Gill Sans" w:cs="Gill Sans"/>
          <w:color w:val="auto"/>
          <w:sz w:val="18"/>
          <w:szCs w:val="18"/>
          <w:vertAlign w:val="baseline"/>
        </w:rPr>
      </w:pPr>
      <w:r w:rsidRPr="00E56D06">
        <w:rPr>
          <w:rStyle w:val="EndnoteReference"/>
          <w:rFonts w:ascii="Gill Sans" w:hAnsi="Gill Sans" w:cs="Gill Sans"/>
          <w:color w:val="auto"/>
          <w:sz w:val="18"/>
          <w:szCs w:val="18"/>
          <w:vertAlign w:val="baseline"/>
        </w:rPr>
        <w:endnoteRef/>
      </w:r>
      <w:r w:rsidRPr="00E56D06">
        <w:rPr>
          <w:rStyle w:val="EndnoteReference"/>
          <w:rFonts w:ascii="Gill Sans" w:hAnsi="Gill Sans" w:cs="Gill Sans"/>
          <w:color w:val="auto"/>
          <w:sz w:val="18"/>
          <w:szCs w:val="18"/>
          <w:vertAlign w:val="baseline"/>
        </w:rPr>
        <w:t xml:space="preserve"> </w:t>
      </w:r>
      <w:r w:rsidRPr="00E56D06">
        <w:rPr>
          <w:color w:val="auto"/>
        </w:rPr>
        <w:t xml:space="preserve"> </w:t>
      </w:r>
      <w:r w:rsidRPr="00E56D06">
        <w:rPr>
          <w:rFonts w:ascii="Gill Sans" w:hAnsi="Gill Sans" w:cs="Gill Sans"/>
          <w:color w:val="auto"/>
          <w:sz w:val="18"/>
          <w:szCs w:val="18"/>
        </w:rPr>
        <w:t xml:space="preserve">Design + Democracy, </w:t>
      </w:r>
      <w:r>
        <w:rPr>
          <w:rFonts w:ascii="Gill Sans" w:hAnsi="Gill Sans" w:cs="Gill Sans"/>
          <w:color w:val="auto"/>
          <w:sz w:val="18"/>
          <w:szCs w:val="18"/>
        </w:rPr>
        <w:t>‘</w:t>
      </w:r>
      <w:r w:rsidRPr="00E56D06">
        <w:rPr>
          <w:rFonts w:ascii="Gill Sans" w:hAnsi="Gill Sans" w:cs="Gill Sans"/>
          <w:color w:val="auto"/>
          <w:sz w:val="18"/>
          <w:szCs w:val="18"/>
        </w:rPr>
        <w:t>On the Fence,</w:t>
      </w:r>
      <w:r>
        <w:rPr>
          <w:rFonts w:ascii="Gill Sans" w:hAnsi="Gill Sans" w:cs="Gill Sans"/>
          <w:color w:val="auto"/>
          <w:sz w:val="18"/>
          <w:szCs w:val="18"/>
        </w:rPr>
        <w:t>’</w:t>
      </w:r>
      <w:r w:rsidRPr="00E56D06">
        <w:rPr>
          <w:rFonts w:ascii="Gill Sans" w:hAnsi="Gill Sans" w:cs="Gill Sans"/>
          <w:color w:val="auto"/>
          <w:sz w:val="18"/>
          <w:szCs w:val="18"/>
        </w:rPr>
        <w:t xml:space="preserve"> </w:t>
      </w:r>
      <w:r w:rsidRPr="00E56D06">
        <w:rPr>
          <w:rFonts w:ascii="Gill Sans" w:hAnsi="Gill Sans" w:cs="Gill Sans"/>
          <w:i/>
          <w:color w:val="auto"/>
          <w:sz w:val="18"/>
          <w:szCs w:val="18"/>
        </w:rPr>
        <w:t>Massey University</w:t>
      </w:r>
      <w:r w:rsidRPr="00E56D06">
        <w:rPr>
          <w:rFonts w:ascii="Gill Sans" w:hAnsi="Gill Sans" w:cs="Gill Sans"/>
          <w:color w:val="auto"/>
          <w:sz w:val="18"/>
          <w:szCs w:val="18"/>
        </w:rPr>
        <w:t>, accessed 16 January 2018, designdemocracy.ac.nz/initiatives/on-the-fence.</w:t>
      </w:r>
    </w:p>
  </w:endnote>
  <w:endnote w:id="20">
    <w:p w14:paraId="062AB314" w14:textId="66CFCCF9" w:rsidR="001A2E4A" w:rsidRPr="00E56D06" w:rsidRDefault="001A2E4A" w:rsidP="000F296E">
      <w:pPr>
        <w:pStyle w:val="EndnoteText"/>
        <w:rPr>
          <w:rStyle w:val="EndnoteReference"/>
          <w:rFonts w:ascii="Gill Sans" w:hAnsi="Gill Sans" w:cs="Gill Sans"/>
          <w:color w:val="auto"/>
          <w:sz w:val="18"/>
          <w:szCs w:val="18"/>
          <w:vertAlign w:val="baseline"/>
        </w:rPr>
      </w:pPr>
      <w:r w:rsidRPr="00E56D06">
        <w:rPr>
          <w:rStyle w:val="EndnoteReference"/>
          <w:rFonts w:ascii="Gill Sans" w:hAnsi="Gill Sans" w:cs="Gill Sans"/>
          <w:color w:val="auto"/>
          <w:sz w:val="18"/>
          <w:szCs w:val="18"/>
          <w:vertAlign w:val="baseline"/>
        </w:rPr>
        <w:endnoteRef/>
      </w:r>
      <w:r w:rsidRPr="00E56D06">
        <w:rPr>
          <w:rFonts w:ascii="Gill Sans" w:hAnsi="Gill Sans" w:cs="Gill Sans"/>
          <w:color w:val="auto"/>
          <w:sz w:val="18"/>
          <w:szCs w:val="18"/>
        </w:rPr>
        <w:t xml:space="preserve"> </w:t>
      </w:r>
      <w:r>
        <w:rPr>
          <w:rFonts w:ascii="Gill Sans" w:hAnsi="Gill Sans" w:cs="Gill Sans"/>
          <w:color w:val="auto"/>
          <w:sz w:val="18"/>
          <w:szCs w:val="18"/>
        </w:rPr>
        <w:t>‘</w:t>
      </w:r>
      <w:r w:rsidRPr="00E56D06">
        <w:rPr>
          <w:rFonts w:ascii="Gill Sans" w:hAnsi="Gill Sans" w:cs="Gill Sans"/>
          <w:color w:val="auto"/>
          <w:sz w:val="18"/>
          <w:szCs w:val="18"/>
        </w:rPr>
        <w:t>Transparency,</w:t>
      </w:r>
      <w:r>
        <w:rPr>
          <w:rFonts w:ascii="Gill Sans" w:hAnsi="Gill Sans" w:cs="Gill Sans"/>
          <w:color w:val="auto"/>
          <w:sz w:val="18"/>
          <w:szCs w:val="18"/>
        </w:rPr>
        <w:t>’</w:t>
      </w:r>
      <w:r w:rsidRPr="00E56D06">
        <w:rPr>
          <w:rFonts w:ascii="Gill Sans" w:hAnsi="Gill Sans" w:cs="Gill Sans"/>
          <w:color w:val="auto"/>
          <w:sz w:val="18"/>
          <w:szCs w:val="18"/>
        </w:rPr>
        <w:t xml:space="preserve"> ActionStation, accessed 16, 2018, www.actionstation.org.nz/transparency.</w:t>
      </w:r>
    </w:p>
  </w:endnote>
  <w:endnote w:id="21">
    <w:p w14:paraId="2F24BBC4" w14:textId="3565C1A1" w:rsidR="001A2E4A" w:rsidRPr="004E6CD0" w:rsidRDefault="001A2E4A" w:rsidP="000F296E">
      <w:pPr>
        <w:pStyle w:val="EndnoteText"/>
        <w:rPr>
          <w:rStyle w:val="EndnoteReference"/>
          <w:rFonts w:ascii="Gill Sans" w:hAnsi="Gill Sans" w:cs="Gill Sans"/>
          <w:color w:val="auto"/>
          <w:sz w:val="18"/>
          <w:szCs w:val="18"/>
          <w:vertAlign w:val="baseline"/>
        </w:rPr>
      </w:pPr>
      <w:r w:rsidRPr="00E56D06">
        <w:rPr>
          <w:rStyle w:val="EndnoteReference"/>
          <w:rFonts w:ascii="Gill Sans" w:hAnsi="Gill Sans" w:cs="Gill Sans"/>
          <w:color w:val="auto"/>
          <w:sz w:val="18"/>
          <w:szCs w:val="18"/>
          <w:vertAlign w:val="baseline"/>
        </w:rPr>
        <w:endnoteRef/>
      </w:r>
      <w:r w:rsidRPr="00E56D06">
        <w:rPr>
          <w:rStyle w:val="EndnoteReference"/>
          <w:rFonts w:ascii="Gill Sans" w:hAnsi="Gill Sans" w:cs="Gill Sans"/>
          <w:color w:val="auto"/>
          <w:sz w:val="18"/>
          <w:szCs w:val="18"/>
          <w:vertAlign w:val="baseline"/>
        </w:rPr>
        <w:t xml:space="preserve"> </w:t>
      </w:r>
      <w:r w:rsidRPr="00E56D06">
        <w:rPr>
          <w:rFonts w:ascii="Gill Sans" w:hAnsi="Gill Sans" w:cs="Gill Sans"/>
          <w:color w:val="auto"/>
          <w:sz w:val="18"/>
          <w:szCs w:val="18"/>
        </w:rPr>
        <w:t>RockEnrol, accessed 16 January 2018, www.rockenrol.org.nz.</w:t>
      </w:r>
      <w:r w:rsidRPr="004E6CD0">
        <w:rPr>
          <w:rStyle w:val="EndnoteReference"/>
          <w:rFonts w:ascii="Gill Sans" w:hAnsi="Gill Sans" w:cs="Gill Sans"/>
          <w:color w:val="auto"/>
          <w:sz w:val="18"/>
          <w:szCs w:val="18"/>
          <w:vertAlign w:val="baseline"/>
        </w:rPr>
        <w:t xml:space="preserve"> </w:t>
      </w:r>
    </w:p>
  </w:endnote>
  <w:endnote w:id="22">
    <w:p w14:paraId="2F441C34" w14:textId="6982612A" w:rsidR="001A2E4A" w:rsidRPr="004E6CD0" w:rsidRDefault="001A2E4A" w:rsidP="00664FDA">
      <w:pPr>
        <w:pStyle w:val="EndnoteText"/>
        <w:rPr>
          <w:rStyle w:val="EndnoteReference"/>
          <w:rFonts w:ascii="Gill Sans" w:hAnsi="Gill Sans" w:cs="Gill Sans"/>
          <w:color w:val="auto"/>
          <w:sz w:val="18"/>
          <w:szCs w:val="18"/>
          <w:vertAlign w:val="baseline"/>
        </w:rPr>
      </w:pPr>
      <w:r w:rsidRPr="004E6CD0">
        <w:rPr>
          <w:rStyle w:val="EndnoteReference"/>
          <w:rFonts w:ascii="Gill Sans" w:hAnsi="Gill Sans" w:cs="Gill Sans"/>
          <w:color w:val="auto"/>
          <w:sz w:val="18"/>
          <w:szCs w:val="18"/>
          <w:vertAlign w:val="baseline"/>
        </w:rPr>
        <w:endnoteRef/>
      </w:r>
      <w:r w:rsidRPr="004E6CD0">
        <w:rPr>
          <w:rFonts w:ascii="Gill Sans" w:hAnsi="Gill Sans" w:cs="Gill Sans"/>
          <w:color w:val="auto"/>
          <w:sz w:val="18"/>
          <w:szCs w:val="18"/>
        </w:rPr>
        <w:t xml:space="preserve"> </w:t>
      </w:r>
      <w:r w:rsidRPr="004E6CD0">
        <w:rPr>
          <w:rFonts w:ascii="Gill Sans" w:hAnsi="Gill Sans" w:cs="Gill Sans"/>
          <w:color w:val="auto"/>
          <w:sz w:val="18"/>
          <w:szCs w:val="18"/>
        </w:rPr>
        <w:t xml:space="preserve">Office of the Ombudsman: Tari o te Kaitiaki Mana Tangat, </w:t>
      </w:r>
      <w:r>
        <w:rPr>
          <w:rFonts w:ascii="Gill Sans" w:hAnsi="Gill Sans" w:cs="Gill Sans"/>
          <w:color w:val="auto"/>
          <w:sz w:val="18"/>
          <w:szCs w:val="18"/>
        </w:rPr>
        <w:t>‘</w:t>
      </w:r>
      <w:r w:rsidRPr="004E6CD0">
        <w:rPr>
          <w:rFonts w:ascii="Gill Sans" w:hAnsi="Gill Sans" w:cs="Gill Sans"/>
          <w:color w:val="auto"/>
          <w:sz w:val="18"/>
          <w:szCs w:val="18"/>
        </w:rPr>
        <w:t>Investigation into SSC conduct of MFAT leaks inquiry,</w:t>
      </w:r>
      <w:r>
        <w:rPr>
          <w:rFonts w:ascii="Gill Sans" w:hAnsi="Gill Sans" w:cs="Gill Sans"/>
          <w:color w:val="auto"/>
          <w:sz w:val="18"/>
          <w:szCs w:val="18"/>
        </w:rPr>
        <w:t>’</w:t>
      </w:r>
      <w:r w:rsidRPr="004E6CD0">
        <w:rPr>
          <w:rFonts w:ascii="Gill Sans" w:hAnsi="Gill Sans" w:cs="Gill Sans"/>
          <w:color w:val="auto"/>
          <w:sz w:val="18"/>
          <w:szCs w:val="18"/>
        </w:rPr>
        <w:t xml:space="preserve"> June 2016, www.ombudsman.parliament.nz/system/paperclip/document_files/document_files/1587/original/investigation_into_ssc_conduct_of_mfat_leaks_inquiry.pdf?1466629016.</w:t>
      </w:r>
    </w:p>
  </w:endnote>
  <w:endnote w:id="23">
    <w:p w14:paraId="62FAD41A" w14:textId="16C0A956" w:rsidR="001A2E4A" w:rsidRPr="004E6CD0" w:rsidRDefault="001A2E4A" w:rsidP="00664FDA">
      <w:pPr>
        <w:pStyle w:val="EndnoteText"/>
        <w:rPr>
          <w:rStyle w:val="EndnoteReference"/>
          <w:rFonts w:ascii="Gill Sans" w:hAnsi="Gill Sans" w:cs="Gill Sans"/>
          <w:color w:val="auto"/>
          <w:sz w:val="18"/>
          <w:szCs w:val="18"/>
          <w:vertAlign w:val="baseline"/>
        </w:rPr>
      </w:pPr>
      <w:r w:rsidRPr="004E6CD0">
        <w:rPr>
          <w:rStyle w:val="EndnoteReference"/>
          <w:rFonts w:ascii="Gill Sans" w:hAnsi="Gill Sans" w:cs="Gill Sans"/>
          <w:color w:val="auto"/>
          <w:sz w:val="18"/>
          <w:szCs w:val="18"/>
          <w:vertAlign w:val="baseline"/>
        </w:rPr>
        <w:endnoteRef/>
      </w:r>
      <w:r w:rsidRPr="004E6CD0">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4E6CD0">
        <w:rPr>
          <w:rFonts w:ascii="Gill Sans" w:hAnsi="Gill Sans" w:cs="Gill Sans"/>
          <w:color w:val="auto"/>
          <w:sz w:val="18"/>
          <w:szCs w:val="18"/>
        </w:rPr>
        <w:t>Media Statement: Report of investigation into whistle blower treatment within the Ministry of Transport,</w:t>
      </w:r>
      <w:r>
        <w:rPr>
          <w:rFonts w:ascii="Gill Sans" w:hAnsi="Gill Sans" w:cs="Gill Sans"/>
          <w:color w:val="auto"/>
          <w:sz w:val="18"/>
          <w:szCs w:val="18"/>
        </w:rPr>
        <w:t>’</w:t>
      </w:r>
      <w:r w:rsidRPr="004E6CD0">
        <w:rPr>
          <w:rFonts w:ascii="Gill Sans" w:hAnsi="Gill Sans" w:cs="Gill Sans"/>
          <w:color w:val="auto"/>
          <w:sz w:val="18"/>
          <w:szCs w:val="18"/>
        </w:rPr>
        <w:t xml:space="preserve"> State Services Commission, 20 July 2017, ssc.govt.nz/media-statement-report-investigation-whistle-blower-treatment-within-ministry-transport.</w:t>
      </w:r>
      <w:r w:rsidRPr="004E6CD0">
        <w:rPr>
          <w:rStyle w:val="EndnoteReference"/>
          <w:rFonts w:ascii="Gill Sans" w:hAnsi="Gill Sans" w:cs="Gill Sans"/>
          <w:color w:val="auto"/>
          <w:sz w:val="18"/>
          <w:szCs w:val="18"/>
          <w:vertAlign w:val="baseline"/>
        </w:rPr>
        <w:t xml:space="preserve"> </w:t>
      </w:r>
    </w:p>
  </w:endnote>
  <w:endnote w:id="24">
    <w:p w14:paraId="4BA7C1C9" w14:textId="0FD9E7EE" w:rsidR="001A2E4A" w:rsidRPr="004E6CD0" w:rsidRDefault="001A2E4A" w:rsidP="00664FDA">
      <w:pPr>
        <w:pStyle w:val="EndnoteText"/>
        <w:rPr>
          <w:rStyle w:val="EndnoteReference"/>
          <w:rFonts w:ascii="Gill Sans" w:hAnsi="Gill Sans" w:cs="Gill Sans"/>
          <w:color w:val="auto"/>
          <w:sz w:val="18"/>
          <w:szCs w:val="18"/>
          <w:vertAlign w:val="baseline"/>
        </w:rPr>
      </w:pPr>
      <w:r w:rsidRPr="004E6CD0">
        <w:rPr>
          <w:rStyle w:val="EndnoteReference"/>
          <w:rFonts w:ascii="Gill Sans" w:hAnsi="Gill Sans" w:cs="Gill Sans"/>
          <w:color w:val="auto"/>
          <w:sz w:val="18"/>
          <w:szCs w:val="18"/>
          <w:vertAlign w:val="baseline"/>
        </w:rPr>
        <w:endnoteRef/>
      </w:r>
      <w:r w:rsidRPr="004E6CD0">
        <w:rPr>
          <w:rStyle w:val="EndnoteReference"/>
          <w:rFonts w:ascii="Gill Sans" w:hAnsi="Gill Sans" w:cs="Gill Sans"/>
          <w:color w:val="auto"/>
          <w:sz w:val="18"/>
          <w:szCs w:val="18"/>
          <w:vertAlign w:val="baseline"/>
        </w:rPr>
        <w:t xml:space="preserve"> </w:t>
      </w:r>
      <w:r w:rsidRPr="004E6CD0">
        <w:rPr>
          <w:rFonts w:ascii="Gill Sans" w:hAnsi="Gill Sans" w:cs="Gill Sans"/>
          <w:color w:val="auto"/>
          <w:sz w:val="18"/>
          <w:szCs w:val="18"/>
        </w:rPr>
        <w:t xml:space="preserve">Benedict Collins and Craig McCulloch, </w:t>
      </w:r>
      <w:r>
        <w:rPr>
          <w:rFonts w:ascii="Gill Sans" w:hAnsi="Gill Sans" w:cs="Gill Sans"/>
          <w:color w:val="auto"/>
          <w:sz w:val="18"/>
          <w:szCs w:val="18"/>
        </w:rPr>
        <w:t>‘</w:t>
      </w:r>
      <w:r w:rsidRPr="004E6CD0">
        <w:rPr>
          <w:rFonts w:ascii="Gill Sans" w:hAnsi="Gill Sans" w:cs="Gill Sans"/>
          <w:color w:val="auto"/>
          <w:sz w:val="18"/>
          <w:szCs w:val="18"/>
        </w:rPr>
        <w:t>Auditor-General resigns over fraud investigation,</w:t>
      </w:r>
      <w:r>
        <w:rPr>
          <w:rFonts w:ascii="Gill Sans" w:hAnsi="Gill Sans" w:cs="Gill Sans"/>
          <w:color w:val="auto"/>
          <w:sz w:val="18"/>
          <w:szCs w:val="18"/>
        </w:rPr>
        <w:t>’</w:t>
      </w:r>
      <w:r w:rsidRPr="004E6CD0">
        <w:rPr>
          <w:rFonts w:ascii="Gill Sans" w:hAnsi="Gill Sans" w:cs="Gill Sans"/>
          <w:color w:val="auto"/>
          <w:sz w:val="18"/>
          <w:szCs w:val="18"/>
        </w:rPr>
        <w:t xml:space="preserve"> </w:t>
      </w:r>
      <w:r w:rsidRPr="004E6CD0">
        <w:rPr>
          <w:rFonts w:ascii="Gill Sans" w:hAnsi="Gill Sans" w:cs="Gill Sans"/>
          <w:i/>
          <w:color w:val="auto"/>
          <w:sz w:val="18"/>
          <w:szCs w:val="18"/>
        </w:rPr>
        <w:t xml:space="preserve">Radio New Zealand, </w:t>
      </w:r>
      <w:r w:rsidRPr="004E6CD0">
        <w:rPr>
          <w:rFonts w:ascii="Gill Sans" w:hAnsi="Gill Sans" w:cs="Gill Sans"/>
          <w:color w:val="auto"/>
          <w:sz w:val="18"/>
          <w:szCs w:val="18"/>
        </w:rPr>
        <w:t>3 August 2017, www.radionz.co.nz/news/political/336404/auditor-general-resigns-over-fraud-investigation.</w:t>
      </w:r>
      <w:r w:rsidRPr="004E6CD0" w:rsidDel="00A8227A">
        <w:rPr>
          <w:rStyle w:val="EndnoteReference"/>
          <w:rFonts w:ascii="Gill Sans" w:hAnsi="Gill Sans" w:cs="Gill Sans"/>
          <w:color w:val="auto"/>
          <w:sz w:val="18"/>
          <w:szCs w:val="18"/>
          <w:vertAlign w:val="baseline"/>
        </w:rPr>
        <w:t xml:space="preserve"> </w:t>
      </w:r>
    </w:p>
  </w:endnote>
  <w:endnote w:id="25">
    <w:p w14:paraId="7DC21BC6" w14:textId="1E19941B" w:rsidR="001A2E4A" w:rsidRPr="004E6CD0" w:rsidRDefault="001A2E4A" w:rsidP="00664FDA">
      <w:pPr>
        <w:pStyle w:val="EndnoteText"/>
        <w:rPr>
          <w:rFonts w:ascii="Gill Sans" w:hAnsi="Gill Sans" w:cs="Gill Sans"/>
          <w:color w:val="auto"/>
          <w:sz w:val="18"/>
          <w:szCs w:val="18"/>
          <w:lang w:val="en-NZ"/>
        </w:rPr>
      </w:pPr>
      <w:r w:rsidRPr="004E6CD0">
        <w:rPr>
          <w:rStyle w:val="EndnoteReference"/>
          <w:rFonts w:ascii="Gill Sans" w:hAnsi="Gill Sans" w:cs="Gill Sans"/>
          <w:color w:val="auto"/>
          <w:sz w:val="18"/>
          <w:szCs w:val="18"/>
          <w:vertAlign w:val="baseline"/>
        </w:rPr>
        <w:endnoteRef/>
      </w:r>
      <w:r w:rsidRPr="004E6CD0">
        <w:rPr>
          <w:rStyle w:val="EndnoteReference"/>
          <w:rFonts w:ascii="Gill Sans" w:hAnsi="Gill Sans" w:cs="Gill Sans"/>
          <w:color w:val="auto"/>
          <w:sz w:val="18"/>
          <w:szCs w:val="18"/>
          <w:vertAlign w:val="baseline"/>
        </w:rPr>
        <w:t xml:space="preserve"> </w:t>
      </w:r>
      <w:r w:rsidRPr="004E6CD0">
        <w:rPr>
          <w:rStyle w:val="EndnoteReference"/>
          <w:rFonts w:ascii="Gill Sans" w:hAnsi="Gill Sans" w:cs="Gill Sans"/>
          <w:color w:val="auto"/>
          <w:sz w:val="18"/>
          <w:szCs w:val="18"/>
          <w:vertAlign w:val="baseline"/>
        </w:rPr>
        <w:t>A</w:t>
      </w:r>
      <w:r w:rsidRPr="004E6CD0">
        <w:rPr>
          <w:rFonts w:ascii="Gill Sans" w:hAnsi="Gill Sans" w:cs="Gill Sans"/>
          <w:color w:val="auto"/>
          <w:sz w:val="18"/>
          <w:szCs w:val="18"/>
        </w:rPr>
        <w:t xml:space="preserve">my Speer, </w:t>
      </w:r>
      <w:r>
        <w:rPr>
          <w:rFonts w:ascii="Gill Sans" w:hAnsi="Gill Sans" w:cs="Gill Sans"/>
          <w:color w:val="auto"/>
          <w:sz w:val="18"/>
          <w:szCs w:val="18"/>
        </w:rPr>
        <w:t>‘</w:t>
      </w:r>
      <w:r w:rsidRPr="004E6CD0">
        <w:rPr>
          <w:rFonts w:ascii="Gill Sans" w:hAnsi="Gill Sans" w:cs="Gill Sans"/>
          <w:color w:val="auto"/>
          <w:sz w:val="18"/>
          <w:szCs w:val="18"/>
        </w:rPr>
        <w:t>New Whistleblowing Rankings Shine Light On New Zealand: Research Launch,</w:t>
      </w:r>
      <w:r>
        <w:rPr>
          <w:rFonts w:ascii="Gill Sans" w:hAnsi="Gill Sans" w:cs="Gill Sans"/>
          <w:color w:val="auto"/>
          <w:sz w:val="18"/>
          <w:szCs w:val="18"/>
        </w:rPr>
        <w:t>’</w:t>
      </w:r>
      <w:r w:rsidRPr="004E6CD0">
        <w:rPr>
          <w:rFonts w:ascii="Gill Sans" w:hAnsi="Gill Sans" w:cs="Gill Sans"/>
          <w:color w:val="auto"/>
          <w:sz w:val="18"/>
          <w:szCs w:val="18"/>
        </w:rPr>
        <w:t xml:space="preserve"> Griffith University, 4 July 2017, www.whistlingwhiletheywork.edu.au/wp-content/uploads/2017/07/NZ-Whistleblowing-media-release-4-July.pdf.</w:t>
      </w:r>
    </w:p>
  </w:endnote>
  <w:endnote w:id="26">
    <w:p w14:paraId="1AB08061" w14:textId="0AE77D6A" w:rsidR="001A2E4A" w:rsidRPr="004E6CD0" w:rsidRDefault="001A2E4A" w:rsidP="00664FDA">
      <w:pPr>
        <w:pStyle w:val="EndnoteText"/>
        <w:rPr>
          <w:rStyle w:val="EndnoteReference"/>
          <w:rFonts w:ascii="Gill Sans" w:hAnsi="Gill Sans" w:cs="Gill Sans"/>
          <w:color w:val="auto"/>
          <w:sz w:val="18"/>
          <w:szCs w:val="18"/>
          <w:vertAlign w:val="baseline"/>
        </w:rPr>
      </w:pPr>
      <w:r w:rsidRPr="004E6CD0">
        <w:rPr>
          <w:rStyle w:val="EndnoteReference"/>
          <w:rFonts w:ascii="Gill Sans" w:hAnsi="Gill Sans" w:cs="Gill Sans"/>
          <w:color w:val="auto"/>
          <w:sz w:val="18"/>
          <w:szCs w:val="18"/>
          <w:vertAlign w:val="baseline"/>
        </w:rPr>
        <w:endnoteRef/>
      </w:r>
      <w:r w:rsidRPr="004E6CD0">
        <w:rPr>
          <w:rStyle w:val="EndnoteReference"/>
          <w:rFonts w:ascii="Gill Sans" w:hAnsi="Gill Sans" w:cs="Gill Sans"/>
          <w:color w:val="auto"/>
          <w:sz w:val="18"/>
          <w:szCs w:val="18"/>
          <w:vertAlign w:val="baseline"/>
        </w:rPr>
        <w:t xml:space="preserve"> </w:t>
      </w:r>
      <w:r w:rsidRPr="004E6CD0">
        <w:rPr>
          <w:rFonts w:ascii="Gill Sans" w:hAnsi="Gill Sans" w:cs="Gill Sans"/>
          <w:color w:val="auto"/>
          <w:sz w:val="18"/>
          <w:szCs w:val="18"/>
        </w:rPr>
        <w:t xml:space="preserve">Ged Cann, </w:t>
      </w:r>
      <w:r>
        <w:rPr>
          <w:rFonts w:ascii="Gill Sans" w:hAnsi="Gill Sans" w:cs="Gill Sans"/>
          <w:color w:val="auto"/>
          <w:sz w:val="18"/>
          <w:szCs w:val="18"/>
        </w:rPr>
        <w:t>‘</w:t>
      </w:r>
      <w:r w:rsidRPr="004E6CD0">
        <w:rPr>
          <w:rFonts w:ascii="Gill Sans" w:hAnsi="Gill Sans" w:cs="Gill Sans"/>
          <w:color w:val="auto"/>
          <w:sz w:val="18"/>
          <w:szCs w:val="18"/>
        </w:rPr>
        <w:t>Kiwi whistleblowers left vulnerable by 'weak, patchy, and out-of-date' legislation,</w:t>
      </w:r>
      <w:r>
        <w:rPr>
          <w:rFonts w:ascii="Gill Sans" w:hAnsi="Gill Sans" w:cs="Gill Sans"/>
          <w:color w:val="auto"/>
          <w:sz w:val="18"/>
          <w:szCs w:val="18"/>
        </w:rPr>
        <w:t>’</w:t>
      </w:r>
      <w:r w:rsidRPr="004E6CD0">
        <w:rPr>
          <w:rFonts w:ascii="Gill Sans" w:hAnsi="Gill Sans" w:cs="Gill Sans"/>
          <w:color w:val="auto"/>
          <w:sz w:val="18"/>
          <w:szCs w:val="18"/>
        </w:rPr>
        <w:t xml:space="preserve"> </w:t>
      </w:r>
      <w:r w:rsidRPr="004E6CD0">
        <w:rPr>
          <w:rFonts w:ascii="Gill Sans" w:hAnsi="Gill Sans" w:cs="Gill Sans"/>
          <w:i/>
          <w:color w:val="auto"/>
          <w:sz w:val="18"/>
          <w:szCs w:val="18"/>
        </w:rPr>
        <w:t>Stuff</w:t>
      </w:r>
      <w:r w:rsidRPr="004E6CD0">
        <w:rPr>
          <w:rFonts w:ascii="Gill Sans" w:hAnsi="Gill Sans" w:cs="Gill Sans"/>
          <w:color w:val="auto"/>
          <w:sz w:val="18"/>
          <w:szCs w:val="18"/>
        </w:rPr>
        <w:t>, 4 July 2017, https://www.stuff.co.nz/national/94380278/kiwi-whistleblowers-left-vulnerable-by-weak-patchy-and-out-of-date-legislation.</w:t>
      </w:r>
      <w:r w:rsidRPr="004E6CD0" w:rsidDel="00A8227A">
        <w:rPr>
          <w:rStyle w:val="EndnoteReference"/>
          <w:rFonts w:ascii="Gill Sans" w:hAnsi="Gill Sans" w:cs="Gill Sans"/>
          <w:color w:val="auto"/>
          <w:sz w:val="18"/>
          <w:szCs w:val="18"/>
          <w:vertAlign w:val="baseline"/>
        </w:rPr>
        <w:t xml:space="preserve"> </w:t>
      </w:r>
    </w:p>
  </w:endnote>
  <w:endnote w:id="27">
    <w:p w14:paraId="0039D00D" w14:textId="04248282" w:rsidR="001A2E4A" w:rsidRPr="004E6CD0" w:rsidRDefault="001A2E4A" w:rsidP="00664FDA">
      <w:pPr>
        <w:pStyle w:val="EndnoteText"/>
        <w:rPr>
          <w:rFonts w:ascii="Gill Sans" w:hAnsi="Gill Sans" w:cs="Gill Sans"/>
          <w:color w:val="auto"/>
          <w:sz w:val="18"/>
          <w:szCs w:val="18"/>
          <w:lang w:val="en-NZ"/>
        </w:rPr>
      </w:pPr>
      <w:r w:rsidRPr="004E6CD0">
        <w:rPr>
          <w:rStyle w:val="EndnoteReference"/>
          <w:rFonts w:ascii="Gill Sans" w:hAnsi="Gill Sans" w:cs="Gill Sans"/>
          <w:color w:val="auto"/>
          <w:sz w:val="18"/>
          <w:szCs w:val="18"/>
          <w:vertAlign w:val="baseline"/>
        </w:rPr>
        <w:endnoteRef/>
      </w:r>
      <w:r w:rsidRPr="004E6CD0">
        <w:rPr>
          <w:rStyle w:val="EndnoteReference"/>
          <w:rFonts w:ascii="Gill Sans" w:hAnsi="Gill Sans" w:cs="Gill Sans"/>
          <w:color w:val="auto"/>
          <w:sz w:val="18"/>
          <w:szCs w:val="18"/>
          <w:vertAlign w:val="baseline"/>
        </w:rPr>
        <w:t xml:space="preserve"> </w:t>
      </w:r>
      <w:r w:rsidRPr="004E6CD0">
        <w:rPr>
          <w:rFonts w:ascii="Gill Sans" w:hAnsi="Gill Sans" w:cs="Gill Sans"/>
          <w:color w:val="auto"/>
          <w:sz w:val="18"/>
          <w:szCs w:val="18"/>
        </w:rPr>
        <w:t xml:space="preserve">Paul McBeth, </w:t>
      </w:r>
      <w:r>
        <w:rPr>
          <w:rFonts w:ascii="Gill Sans" w:hAnsi="Gill Sans" w:cs="Gill Sans"/>
          <w:color w:val="auto"/>
          <w:sz w:val="18"/>
          <w:szCs w:val="18"/>
        </w:rPr>
        <w:t>‘</w:t>
      </w:r>
      <w:r w:rsidRPr="004E6CD0">
        <w:rPr>
          <w:rFonts w:ascii="Gill Sans" w:hAnsi="Gill Sans" w:cs="Gill Sans"/>
          <w:color w:val="auto"/>
          <w:sz w:val="18"/>
          <w:szCs w:val="18"/>
        </w:rPr>
        <w:t>Government to adopt Shewan's foreign trust recommendations,</w:t>
      </w:r>
      <w:r>
        <w:rPr>
          <w:rFonts w:ascii="Gill Sans" w:hAnsi="Gill Sans" w:cs="Gill Sans"/>
          <w:color w:val="auto"/>
          <w:sz w:val="18"/>
          <w:szCs w:val="18"/>
        </w:rPr>
        <w:t>’</w:t>
      </w:r>
      <w:r w:rsidRPr="004E6CD0">
        <w:rPr>
          <w:rFonts w:ascii="Gill Sans" w:hAnsi="Gill Sans" w:cs="Gill Sans"/>
          <w:color w:val="auto"/>
          <w:sz w:val="18"/>
          <w:szCs w:val="18"/>
        </w:rPr>
        <w:t xml:space="preserve"> NBR, 13 July, 2016, https://www.nbr.co.nz/article/govt-adopt-shewans-foreign-trust-recommendations-b-191536.</w:t>
      </w:r>
    </w:p>
  </w:endnote>
  <w:endnote w:id="28">
    <w:p w14:paraId="44EF28C9" w14:textId="442E8FAB" w:rsidR="001A2E4A" w:rsidRPr="004E6CD0" w:rsidRDefault="001A2E4A">
      <w:pPr>
        <w:pStyle w:val="EndnoteText"/>
        <w:rPr>
          <w:rStyle w:val="EndnoteReference"/>
          <w:rFonts w:ascii="Gill Sans" w:hAnsi="Gill Sans" w:cs="Gill Sans"/>
          <w:color w:val="auto"/>
          <w:sz w:val="18"/>
          <w:szCs w:val="18"/>
          <w:vertAlign w:val="baseline"/>
        </w:rPr>
      </w:pPr>
      <w:r w:rsidRPr="004E6CD0">
        <w:rPr>
          <w:rStyle w:val="EndnoteReference"/>
          <w:rFonts w:ascii="Gill Sans" w:hAnsi="Gill Sans" w:cs="Gill Sans"/>
          <w:color w:val="auto"/>
          <w:sz w:val="18"/>
          <w:szCs w:val="18"/>
          <w:vertAlign w:val="baseline"/>
        </w:rPr>
        <w:endnoteRef/>
      </w:r>
      <w:r w:rsidRPr="004E6CD0">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4E6CD0">
        <w:rPr>
          <w:rFonts w:ascii="Gill Sans" w:hAnsi="Gill Sans" w:cs="Gill Sans"/>
          <w:color w:val="auto"/>
          <w:sz w:val="18"/>
          <w:szCs w:val="18"/>
        </w:rPr>
        <w:t>London Anti-corruption summit revisited,</w:t>
      </w:r>
      <w:r>
        <w:rPr>
          <w:rFonts w:ascii="Gill Sans" w:hAnsi="Gill Sans" w:cs="Gill Sans"/>
          <w:color w:val="auto"/>
          <w:sz w:val="18"/>
          <w:szCs w:val="18"/>
        </w:rPr>
        <w:t>’</w:t>
      </w:r>
      <w:r w:rsidRPr="004E6CD0">
        <w:rPr>
          <w:rFonts w:ascii="Gill Sans" w:hAnsi="Gill Sans" w:cs="Gill Sans"/>
          <w:color w:val="auto"/>
          <w:sz w:val="18"/>
          <w:szCs w:val="18"/>
        </w:rPr>
        <w:t xml:space="preserve"> Transparency International: New Zealand, 13 September 2016, https://www.transparency.org.nz/london-anti-corruption-summit-revisited/.</w:t>
      </w:r>
    </w:p>
  </w:endnote>
  <w:endnote w:id="29">
    <w:p w14:paraId="25FC8B5A" w14:textId="4E29CC76" w:rsidR="001A2E4A" w:rsidRPr="004E6CD0" w:rsidRDefault="001A2E4A" w:rsidP="00664FDA">
      <w:pPr>
        <w:pStyle w:val="EndnoteText"/>
        <w:rPr>
          <w:rFonts w:ascii="Gill Sans" w:hAnsi="Gill Sans" w:cs="Gill Sans"/>
          <w:color w:val="auto"/>
          <w:sz w:val="18"/>
          <w:szCs w:val="18"/>
          <w:lang w:val="en-US"/>
        </w:rPr>
      </w:pPr>
      <w:r w:rsidRPr="004E6CD0">
        <w:rPr>
          <w:rStyle w:val="EndnoteReference"/>
          <w:rFonts w:ascii="Gill Sans" w:hAnsi="Gill Sans" w:cs="Gill Sans"/>
          <w:color w:val="auto"/>
          <w:sz w:val="18"/>
          <w:szCs w:val="18"/>
          <w:vertAlign w:val="baseline"/>
        </w:rPr>
        <w:endnoteRef/>
      </w:r>
      <w:r w:rsidRPr="004E6CD0">
        <w:rPr>
          <w:rStyle w:val="EndnoteReference"/>
          <w:rFonts w:ascii="Gill Sans" w:hAnsi="Gill Sans" w:cs="Gill Sans"/>
          <w:color w:val="auto"/>
          <w:sz w:val="18"/>
          <w:szCs w:val="18"/>
          <w:vertAlign w:val="baseline"/>
        </w:rPr>
        <w:t xml:space="preserve"> </w:t>
      </w:r>
      <w:r>
        <w:rPr>
          <w:rStyle w:val="EndnoteReference"/>
          <w:rFonts w:ascii="Gill Sans" w:hAnsi="Gill Sans" w:cs="Gill Sans"/>
          <w:color w:val="auto"/>
          <w:sz w:val="18"/>
          <w:szCs w:val="18"/>
          <w:vertAlign w:val="baseline"/>
        </w:rPr>
        <w:t>‘</w:t>
      </w:r>
      <w:r w:rsidRPr="004E6CD0">
        <w:rPr>
          <w:rStyle w:val="EndnoteReference"/>
          <w:rFonts w:ascii="Gill Sans" w:hAnsi="Gill Sans" w:cs="Gill Sans"/>
          <w:color w:val="auto"/>
          <w:sz w:val="18"/>
          <w:szCs w:val="18"/>
          <w:vertAlign w:val="baseline"/>
        </w:rPr>
        <w:t>Promise to Practice,</w:t>
      </w:r>
      <w:r>
        <w:rPr>
          <w:rStyle w:val="EndnoteReference"/>
          <w:rFonts w:ascii="Gill Sans" w:hAnsi="Gill Sans" w:cs="Gill Sans"/>
          <w:color w:val="auto"/>
          <w:sz w:val="18"/>
          <w:szCs w:val="18"/>
          <w:vertAlign w:val="baseline"/>
        </w:rPr>
        <w:t>’</w:t>
      </w:r>
      <w:r w:rsidRPr="004E6CD0">
        <w:rPr>
          <w:rStyle w:val="EndnoteReference"/>
          <w:rFonts w:ascii="Gill Sans" w:hAnsi="Gill Sans" w:cs="Gill Sans"/>
          <w:color w:val="auto"/>
          <w:sz w:val="18"/>
          <w:szCs w:val="18"/>
          <w:vertAlign w:val="baseline"/>
        </w:rPr>
        <w:t xml:space="preserve"> Transparency International UK, September 2017, www.transparency.org.uk/publications/pledge-tracker/#.Wl5FgKinHIU.</w:t>
      </w:r>
    </w:p>
  </w:endnote>
  <w:endnote w:id="30">
    <w:p w14:paraId="647AC5DF" w14:textId="332E1E83" w:rsidR="001A2E4A" w:rsidRPr="004E6CD0" w:rsidRDefault="001A2E4A" w:rsidP="00664FDA">
      <w:pPr>
        <w:pStyle w:val="EndnoteText"/>
        <w:rPr>
          <w:rStyle w:val="EndnoteReference"/>
          <w:rFonts w:ascii="Gill Sans" w:hAnsi="Gill Sans" w:cs="Gill Sans"/>
          <w:color w:val="auto"/>
          <w:sz w:val="18"/>
          <w:szCs w:val="18"/>
          <w:vertAlign w:val="baseline"/>
        </w:rPr>
      </w:pPr>
      <w:r w:rsidRPr="004E6CD0">
        <w:rPr>
          <w:rStyle w:val="EndnoteReference"/>
          <w:rFonts w:ascii="Gill Sans" w:hAnsi="Gill Sans" w:cs="Gill Sans"/>
          <w:color w:val="auto"/>
          <w:sz w:val="18"/>
          <w:szCs w:val="18"/>
          <w:vertAlign w:val="baseline"/>
        </w:rPr>
        <w:endnoteRef/>
      </w:r>
      <w:r w:rsidRPr="004E6CD0">
        <w:rPr>
          <w:rStyle w:val="EndnoteReference"/>
          <w:rFonts w:ascii="Gill Sans" w:hAnsi="Gill Sans" w:cs="Gill Sans"/>
          <w:color w:val="auto"/>
          <w:sz w:val="18"/>
          <w:szCs w:val="18"/>
          <w:vertAlign w:val="baseline"/>
        </w:rPr>
        <w:t xml:space="preserve"> </w:t>
      </w:r>
      <w:r w:rsidRPr="004E6CD0">
        <w:rPr>
          <w:rStyle w:val="EndnoteReference"/>
          <w:rFonts w:ascii="Gill Sans" w:hAnsi="Gill Sans" w:cs="Gill Sans"/>
          <w:color w:val="auto"/>
          <w:sz w:val="18"/>
          <w:szCs w:val="18"/>
          <w:vertAlign w:val="baseline"/>
        </w:rPr>
        <w:t xml:space="preserve">Pia Andrews, </w:t>
      </w:r>
      <w:r>
        <w:rPr>
          <w:rStyle w:val="EndnoteReference"/>
          <w:rFonts w:ascii="Gill Sans" w:hAnsi="Gill Sans" w:cs="Gill Sans"/>
          <w:color w:val="auto"/>
          <w:sz w:val="18"/>
          <w:szCs w:val="18"/>
          <w:vertAlign w:val="baseline"/>
        </w:rPr>
        <w:t>‘</w:t>
      </w:r>
      <w:r w:rsidRPr="004E6CD0">
        <w:rPr>
          <w:rStyle w:val="EndnoteReference"/>
          <w:rFonts w:ascii="Gill Sans" w:hAnsi="Gill Sans" w:cs="Gill Sans"/>
          <w:color w:val="auto"/>
          <w:sz w:val="18"/>
          <w:szCs w:val="18"/>
          <w:vertAlign w:val="baseline"/>
        </w:rPr>
        <w:t>Lab+: Potential future states for government service delivery,</w:t>
      </w:r>
      <w:r>
        <w:rPr>
          <w:rStyle w:val="EndnoteReference"/>
          <w:rFonts w:ascii="Gill Sans" w:hAnsi="Gill Sans" w:cs="Gill Sans"/>
          <w:color w:val="auto"/>
          <w:sz w:val="18"/>
          <w:szCs w:val="18"/>
          <w:vertAlign w:val="baseline"/>
        </w:rPr>
        <w:t>’</w:t>
      </w:r>
      <w:r w:rsidRPr="004E6CD0">
        <w:rPr>
          <w:rStyle w:val="EndnoteReference"/>
          <w:rFonts w:ascii="Gill Sans" w:hAnsi="Gill Sans" w:cs="Gill Sans"/>
          <w:color w:val="auto"/>
          <w:sz w:val="18"/>
          <w:szCs w:val="18"/>
          <w:vertAlign w:val="baseline"/>
        </w:rPr>
        <w:t xml:space="preserve"> New Zealand Government: Web Toolkit, 21 June 2017, http://bit.ly/2rSWRc5</w:t>
      </w:r>
      <w:r w:rsidRPr="004E6CD0">
        <w:rPr>
          <w:rFonts w:ascii="Gill Sans" w:hAnsi="Gill Sans" w:cs="Gill Sans"/>
          <w:color w:val="auto"/>
          <w:sz w:val="18"/>
          <w:szCs w:val="18"/>
        </w:rPr>
        <w:t>.</w:t>
      </w:r>
    </w:p>
  </w:endnote>
  <w:endnote w:id="31">
    <w:p w14:paraId="5505F578" w14:textId="43F0ABD6" w:rsidR="001A2E4A" w:rsidRPr="004E6CD0" w:rsidRDefault="001A2E4A" w:rsidP="00664FDA">
      <w:pPr>
        <w:pStyle w:val="EndnoteText"/>
        <w:rPr>
          <w:rStyle w:val="EndnoteReference"/>
          <w:rFonts w:ascii="Gill Sans" w:hAnsi="Gill Sans" w:cs="Gill Sans"/>
          <w:color w:val="auto"/>
          <w:sz w:val="18"/>
          <w:szCs w:val="18"/>
          <w:vertAlign w:val="baseline"/>
        </w:rPr>
      </w:pPr>
      <w:r w:rsidRPr="004E6CD0">
        <w:rPr>
          <w:rStyle w:val="EndnoteReference"/>
          <w:rFonts w:ascii="Gill Sans" w:hAnsi="Gill Sans" w:cs="Gill Sans"/>
          <w:color w:val="auto"/>
          <w:sz w:val="18"/>
          <w:szCs w:val="18"/>
          <w:vertAlign w:val="baseline"/>
        </w:rPr>
        <w:endnoteRef/>
      </w:r>
      <w:r w:rsidRPr="004E6CD0">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4E6CD0">
        <w:rPr>
          <w:rFonts w:ascii="Gill Sans" w:hAnsi="Gill Sans" w:cs="Gill Sans"/>
          <w:color w:val="auto"/>
          <w:sz w:val="18"/>
          <w:szCs w:val="18"/>
        </w:rPr>
        <w:t>Strategy and Action Plan: What we are doing,</w:t>
      </w:r>
      <w:r>
        <w:rPr>
          <w:rFonts w:ascii="Gill Sans" w:hAnsi="Gill Sans" w:cs="Gill Sans"/>
          <w:color w:val="auto"/>
          <w:sz w:val="18"/>
          <w:szCs w:val="18"/>
        </w:rPr>
        <w:t>’</w:t>
      </w:r>
      <w:r w:rsidRPr="004E6CD0">
        <w:rPr>
          <w:rFonts w:ascii="Gill Sans" w:hAnsi="Gill Sans" w:cs="Gill Sans"/>
          <w:color w:val="auto"/>
          <w:sz w:val="18"/>
          <w:szCs w:val="18"/>
        </w:rPr>
        <w:t xml:space="preserve"> New Zealand Government, 12 June 2016, https://www.ict.govt.nz/strategy-and-action-plan/government-ict-strategy-implementation/.</w:t>
      </w:r>
    </w:p>
  </w:endnote>
  <w:endnote w:id="32">
    <w:p w14:paraId="60A6E74A" w14:textId="457B6438" w:rsidR="001A2E4A" w:rsidRPr="004E6CD0" w:rsidRDefault="001A2E4A" w:rsidP="009145CE">
      <w:pPr>
        <w:pStyle w:val="EndnoteText"/>
        <w:rPr>
          <w:rStyle w:val="EndnoteReference"/>
          <w:rFonts w:ascii="Gill Sans" w:hAnsi="Gill Sans" w:cs="Gill Sans"/>
          <w:color w:val="auto"/>
          <w:sz w:val="18"/>
          <w:szCs w:val="18"/>
          <w:vertAlign w:val="baseline"/>
        </w:rPr>
      </w:pPr>
      <w:r w:rsidRPr="004E6CD0">
        <w:rPr>
          <w:rStyle w:val="EndnoteReference"/>
          <w:rFonts w:ascii="Gill Sans" w:hAnsi="Gill Sans" w:cs="Gill Sans"/>
          <w:color w:val="auto"/>
          <w:sz w:val="18"/>
          <w:szCs w:val="18"/>
          <w:vertAlign w:val="baseline"/>
        </w:rPr>
        <w:endnoteRef/>
      </w:r>
      <w:r w:rsidRPr="004E6CD0">
        <w:rPr>
          <w:rStyle w:val="EndnoteReference"/>
          <w:rFonts w:ascii="Gill Sans" w:hAnsi="Gill Sans" w:cs="Gill Sans"/>
          <w:color w:val="auto"/>
          <w:sz w:val="18"/>
          <w:szCs w:val="18"/>
          <w:vertAlign w:val="baseline"/>
        </w:rPr>
        <w:t xml:space="preserve"> </w:t>
      </w:r>
      <w:r w:rsidRPr="004E6CD0">
        <w:rPr>
          <w:rStyle w:val="EndnoteReference"/>
          <w:rFonts w:ascii="Gill Sans" w:hAnsi="Gill Sans" w:cs="Gill Sans"/>
          <w:color w:val="auto"/>
          <w:sz w:val="18"/>
          <w:szCs w:val="18"/>
          <w:vertAlign w:val="baseline"/>
        </w:rPr>
        <w:t>Joint statement by NZ/Australian Prime Ministers, February 2017 http://bit.ly/2wAbqnr</w:t>
      </w:r>
      <w:r w:rsidRPr="004E6CD0">
        <w:rPr>
          <w:rFonts w:ascii="Gill Sans" w:hAnsi="Gill Sans" w:cs="Gill Sans"/>
          <w:color w:val="auto"/>
          <w:sz w:val="18"/>
          <w:szCs w:val="18"/>
        </w:rPr>
        <w:t>.</w:t>
      </w:r>
    </w:p>
  </w:endnote>
  <w:endnote w:id="33">
    <w:p w14:paraId="7E03F4E5" w14:textId="57633053" w:rsidR="001A2E4A" w:rsidRPr="00351DB0" w:rsidRDefault="001A2E4A">
      <w:pPr>
        <w:pStyle w:val="EndnoteText"/>
        <w:rPr>
          <w:rStyle w:val="EndnoteReference"/>
          <w:rFonts w:ascii="Gill Sans" w:hAnsi="Gill Sans" w:cs="Gill Sans"/>
          <w:color w:val="auto"/>
          <w:sz w:val="18"/>
          <w:szCs w:val="18"/>
          <w:vertAlign w:val="baseline"/>
        </w:rPr>
      </w:pPr>
      <w:r w:rsidRPr="004E6CD0">
        <w:rPr>
          <w:rStyle w:val="EndnoteReference"/>
          <w:rFonts w:ascii="Gill Sans" w:hAnsi="Gill Sans" w:cs="Gill Sans"/>
          <w:color w:val="auto"/>
          <w:sz w:val="18"/>
          <w:szCs w:val="18"/>
          <w:vertAlign w:val="baseline"/>
        </w:rPr>
        <w:endnoteRef/>
      </w:r>
      <w:r w:rsidRPr="004E6CD0">
        <w:rPr>
          <w:rStyle w:val="EndnoteReference"/>
          <w:rFonts w:ascii="Gill Sans" w:hAnsi="Gill Sans" w:cs="Gill Sans"/>
          <w:color w:val="auto"/>
          <w:sz w:val="18"/>
          <w:szCs w:val="18"/>
          <w:vertAlign w:val="baseline"/>
        </w:rPr>
        <w:t xml:space="preserve"> </w:t>
      </w:r>
      <w:r w:rsidRPr="004E6CD0">
        <w:rPr>
          <w:rFonts w:ascii="Gill Sans" w:hAnsi="Gill Sans" w:cs="Gill Sans"/>
          <w:color w:val="auto"/>
          <w:sz w:val="18"/>
          <w:szCs w:val="18"/>
        </w:rPr>
        <w:t xml:space="preserve">Clare Curran, </w:t>
      </w:r>
      <w:r>
        <w:rPr>
          <w:rFonts w:ascii="Gill Sans" w:hAnsi="Gill Sans" w:cs="Gill Sans"/>
          <w:color w:val="auto"/>
          <w:sz w:val="18"/>
          <w:szCs w:val="18"/>
        </w:rPr>
        <w:t>‘</w:t>
      </w:r>
      <w:r w:rsidRPr="004E6CD0">
        <w:rPr>
          <w:rFonts w:ascii="Gill Sans" w:hAnsi="Gill Sans" w:cs="Gill Sans"/>
          <w:color w:val="auto"/>
          <w:sz w:val="18"/>
          <w:szCs w:val="18"/>
        </w:rPr>
        <w:t>Address to Nethui 2017, Aotea Centre, Auckland,</w:t>
      </w:r>
      <w:r>
        <w:rPr>
          <w:rFonts w:ascii="Gill Sans" w:hAnsi="Gill Sans" w:cs="Gill Sans"/>
          <w:color w:val="auto"/>
          <w:sz w:val="18"/>
          <w:szCs w:val="18"/>
        </w:rPr>
        <w:t>’</w:t>
      </w:r>
      <w:r w:rsidRPr="004E6CD0">
        <w:rPr>
          <w:rFonts w:ascii="Gill Sans" w:hAnsi="Gill Sans" w:cs="Gill Sans"/>
          <w:color w:val="auto"/>
          <w:sz w:val="18"/>
          <w:szCs w:val="18"/>
        </w:rPr>
        <w:t xml:space="preserve"> 9 November 2017, New Zealand Government, https://www.beehive.govt.nz/speech/address-nethui-2017-aotea-centre-auckland.</w:t>
      </w:r>
      <w:r w:rsidRPr="004E6CD0" w:rsidDel="00E52144">
        <w:rPr>
          <w:rStyle w:val="EndnoteReference"/>
          <w:rFonts w:ascii="Gill Sans" w:hAnsi="Gill Sans" w:cs="Gill Sans"/>
          <w:color w:val="auto"/>
          <w:sz w:val="18"/>
          <w:szCs w:val="18"/>
          <w:vertAlign w:val="baseline"/>
        </w:rPr>
        <w:t xml:space="preserve"> </w:t>
      </w:r>
    </w:p>
  </w:endnote>
  <w:endnote w:id="34">
    <w:p w14:paraId="78D6EE6C" w14:textId="0C27870D" w:rsidR="001A2E4A" w:rsidRPr="00351DB0" w:rsidRDefault="001A2E4A" w:rsidP="00664FDA">
      <w:pPr>
        <w:pStyle w:val="EndnoteText"/>
        <w:rPr>
          <w:rStyle w:val="EndnoteReference"/>
          <w:rFonts w:ascii="Gill Sans" w:hAnsi="Gill Sans" w:cs="Gill Sans"/>
          <w:color w:val="auto"/>
          <w:sz w:val="18"/>
          <w:szCs w:val="18"/>
          <w:vertAlign w:val="baseline"/>
        </w:rPr>
      </w:pPr>
      <w:r w:rsidRPr="00351DB0">
        <w:rPr>
          <w:rStyle w:val="EndnoteReference"/>
          <w:rFonts w:ascii="Gill Sans" w:hAnsi="Gill Sans" w:cs="Gill Sans"/>
          <w:color w:val="auto"/>
          <w:sz w:val="18"/>
          <w:szCs w:val="18"/>
          <w:vertAlign w:val="baseline"/>
        </w:rPr>
        <w:endnoteRef/>
      </w:r>
      <w:r w:rsidRPr="00351DB0">
        <w:rPr>
          <w:rStyle w:val="EndnoteReference"/>
          <w:rFonts w:ascii="Gill Sans" w:hAnsi="Gill Sans" w:cs="Gill Sans"/>
          <w:color w:val="auto"/>
          <w:sz w:val="18"/>
          <w:szCs w:val="18"/>
          <w:vertAlign w:val="baseline"/>
        </w:rPr>
        <w:t xml:space="preserve"> </w:t>
      </w:r>
      <w:r w:rsidRPr="00351DB0">
        <w:rPr>
          <w:rFonts w:ascii="Gill Sans" w:hAnsi="Gill Sans" w:cs="Gill Sans"/>
          <w:i/>
          <w:color w:val="auto"/>
          <w:sz w:val="18"/>
          <w:szCs w:val="18"/>
        </w:rPr>
        <w:t>National Action Plan 2016-18 Mid-term self-assessment</w:t>
      </w:r>
      <w:r w:rsidRPr="00351DB0">
        <w:rPr>
          <w:rFonts w:ascii="Gill Sans" w:hAnsi="Gill Sans" w:cs="Gill Sans"/>
          <w:color w:val="auto"/>
          <w:sz w:val="18"/>
          <w:szCs w:val="18"/>
        </w:rPr>
        <w:t>, Open Government Partnership: New Zealand, 2 October 2017, www.ogp.org.nz/assets/publications/New-Zealand-Mid-term-self-assessment-2016-18.pdf.</w:t>
      </w:r>
      <w:r w:rsidRPr="00351DB0" w:rsidDel="003F1572">
        <w:rPr>
          <w:rStyle w:val="EndnoteReference"/>
          <w:rFonts w:ascii="Gill Sans" w:hAnsi="Gill Sans" w:cs="Gill Sans"/>
          <w:color w:val="auto"/>
          <w:sz w:val="18"/>
          <w:szCs w:val="18"/>
          <w:vertAlign w:val="baseline"/>
        </w:rPr>
        <w:t xml:space="preserve"> </w:t>
      </w:r>
    </w:p>
  </w:endnote>
  <w:endnote w:id="35">
    <w:p w14:paraId="6885A18A" w14:textId="7597009A" w:rsidR="001A2E4A" w:rsidRPr="00351DB0" w:rsidRDefault="001A2E4A" w:rsidP="00664FDA">
      <w:pPr>
        <w:pStyle w:val="EndnoteText"/>
        <w:rPr>
          <w:rStyle w:val="EndnoteReference"/>
          <w:rFonts w:ascii="Gill Sans" w:hAnsi="Gill Sans" w:cs="Gill Sans"/>
          <w:color w:val="auto"/>
          <w:sz w:val="18"/>
          <w:szCs w:val="18"/>
          <w:vertAlign w:val="baseline"/>
        </w:rPr>
      </w:pPr>
      <w:r w:rsidRPr="00351DB0">
        <w:rPr>
          <w:rStyle w:val="EndnoteReference"/>
          <w:rFonts w:ascii="Gill Sans" w:hAnsi="Gill Sans" w:cs="Gill Sans"/>
          <w:color w:val="auto"/>
          <w:sz w:val="18"/>
          <w:szCs w:val="18"/>
          <w:vertAlign w:val="baseline"/>
        </w:rPr>
        <w:endnoteRef/>
      </w:r>
      <w:r w:rsidRPr="00351DB0">
        <w:rPr>
          <w:rStyle w:val="EndnoteReference"/>
          <w:rFonts w:ascii="Gill Sans" w:hAnsi="Gill Sans" w:cs="Gill Sans"/>
          <w:color w:val="auto"/>
          <w:sz w:val="18"/>
          <w:szCs w:val="18"/>
          <w:vertAlign w:val="baseline"/>
        </w:rPr>
        <w:t xml:space="preserve"> </w:t>
      </w:r>
      <w:r w:rsidRPr="00351DB0">
        <w:rPr>
          <w:rFonts w:ascii="Gill Sans" w:hAnsi="Gill Sans" w:cs="Gill Sans"/>
          <w:color w:val="auto"/>
          <w:sz w:val="18"/>
          <w:szCs w:val="18"/>
        </w:rPr>
        <w:t xml:space="preserve">Sally Hett, </w:t>
      </w:r>
      <w:r>
        <w:rPr>
          <w:rFonts w:ascii="Gill Sans" w:hAnsi="Gill Sans" w:cs="Gill Sans"/>
          <w:color w:val="auto"/>
          <w:sz w:val="18"/>
          <w:szCs w:val="18"/>
        </w:rPr>
        <w:t>‘</w:t>
      </w:r>
      <w:r w:rsidRPr="00351DB0">
        <w:rPr>
          <w:rFonts w:ascii="Gill Sans" w:hAnsi="Gill Sans" w:cs="Gill Sans"/>
          <w:color w:val="auto"/>
          <w:sz w:val="18"/>
          <w:szCs w:val="18"/>
        </w:rPr>
        <w:t>Civics, Citizenship and Political Literacy workshop report back,</w:t>
      </w:r>
      <w:r>
        <w:rPr>
          <w:rFonts w:ascii="Gill Sans" w:hAnsi="Gill Sans" w:cs="Gill Sans"/>
          <w:color w:val="auto"/>
          <w:sz w:val="18"/>
          <w:szCs w:val="18"/>
        </w:rPr>
        <w:t>’</w:t>
      </w:r>
      <w:r w:rsidRPr="00351DB0">
        <w:rPr>
          <w:rFonts w:ascii="Gill Sans" w:hAnsi="Gill Sans" w:cs="Gill Sans"/>
          <w:color w:val="auto"/>
          <w:sz w:val="18"/>
          <w:szCs w:val="18"/>
        </w:rPr>
        <w:t xml:space="preserve"> McGuinness Institute, 25 November 2016, www.mcguinnessinstitute.org/civicsnzproject/civics-citizenship-and-political-literacy-workshop-report-back/.</w:t>
      </w:r>
    </w:p>
  </w:endnote>
  <w:endnote w:id="36">
    <w:p w14:paraId="69931228" w14:textId="7E6EE291" w:rsidR="001A2E4A" w:rsidRPr="00351DB0" w:rsidRDefault="001A2E4A" w:rsidP="00664FDA">
      <w:pPr>
        <w:pStyle w:val="EndnoteText"/>
        <w:rPr>
          <w:rStyle w:val="EndnoteReference"/>
          <w:rFonts w:ascii="Gill Sans" w:hAnsi="Gill Sans" w:cs="Gill Sans"/>
          <w:color w:val="auto"/>
          <w:sz w:val="18"/>
          <w:szCs w:val="18"/>
          <w:vertAlign w:val="baseline"/>
        </w:rPr>
      </w:pPr>
      <w:r w:rsidRPr="00351DB0">
        <w:rPr>
          <w:rStyle w:val="EndnoteReference"/>
          <w:rFonts w:ascii="Gill Sans" w:hAnsi="Gill Sans" w:cs="Gill Sans"/>
          <w:color w:val="auto"/>
          <w:sz w:val="18"/>
          <w:szCs w:val="18"/>
          <w:vertAlign w:val="baseline"/>
        </w:rPr>
        <w:endnoteRef/>
      </w:r>
      <w:r w:rsidRPr="00351DB0">
        <w:rPr>
          <w:rStyle w:val="EndnoteReference"/>
          <w:rFonts w:ascii="Gill Sans" w:hAnsi="Gill Sans" w:cs="Gill Sans"/>
          <w:color w:val="auto"/>
          <w:sz w:val="18"/>
          <w:szCs w:val="18"/>
          <w:vertAlign w:val="baseline"/>
        </w:rPr>
        <w:t xml:space="preserve"> </w:t>
      </w:r>
      <w:r w:rsidRPr="00351DB0">
        <w:rPr>
          <w:rFonts w:ascii="Gill Sans" w:hAnsi="Gill Sans" w:cs="Gill Sans"/>
          <w:color w:val="auto"/>
          <w:sz w:val="18"/>
          <w:szCs w:val="18"/>
        </w:rPr>
        <w:t xml:space="preserve">Dr Sandra Grey and Dr Charles Sedgwick, </w:t>
      </w:r>
      <w:r>
        <w:rPr>
          <w:rFonts w:ascii="Gill Sans" w:hAnsi="Gill Sans" w:cs="Gill Sans"/>
          <w:color w:val="auto"/>
          <w:sz w:val="18"/>
          <w:szCs w:val="18"/>
        </w:rPr>
        <w:t>‘</w:t>
      </w:r>
      <w:r w:rsidRPr="00351DB0">
        <w:rPr>
          <w:rFonts w:ascii="Gill Sans" w:hAnsi="Gill Sans" w:cs="Gill Sans"/>
          <w:color w:val="auto"/>
          <w:sz w:val="18"/>
          <w:szCs w:val="18"/>
        </w:rPr>
        <w:t xml:space="preserve">Fears, </w:t>
      </w:r>
      <w:r w:rsidRPr="001A4877">
        <w:rPr>
          <w:rFonts w:ascii="Gill Sans" w:hAnsi="Gill Sans" w:cs="Gill Sans"/>
          <w:color w:val="auto"/>
          <w:sz w:val="18"/>
          <w:szCs w:val="18"/>
        </w:rPr>
        <w:t>constraints</w:t>
      </w:r>
      <w:r w:rsidRPr="00351DB0">
        <w:rPr>
          <w:rFonts w:ascii="Gill Sans" w:hAnsi="Gill Sans" w:cs="Gill Sans"/>
          <w:color w:val="auto"/>
          <w:sz w:val="18"/>
          <w:szCs w:val="18"/>
        </w:rPr>
        <w:t>, and contracts: The democratic reality for New Zealand’s community and voluntary sector,</w:t>
      </w:r>
      <w:r>
        <w:rPr>
          <w:rFonts w:ascii="Gill Sans" w:hAnsi="Gill Sans" w:cs="Gill Sans"/>
          <w:color w:val="auto"/>
          <w:sz w:val="18"/>
          <w:szCs w:val="18"/>
        </w:rPr>
        <w:t>’</w:t>
      </w:r>
      <w:r w:rsidRPr="00351DB0">
        <w:rPr>
          <w:rFonts w:ascii="Gill Sans" w:hAnsi="Gill Sans" w:cs="Gill Sans"/>
          <w:color w:val="auto"/>
          <w:sz w:val="18"/>
          <w:szCs w:val="18"/>
        </w:rPr>
        <w:t xml:space="preserve"> Victoria University of Wellington, 26 March 2013, https://www.victoria.ac.nz/sacs/pdf-files/Fears-constraints-and-contracts-Grey-and-Sedgwick-2014.pdf.</w:t>
      </w:r>
      <w:r>
        <w:fldChar w:fldCharType="begin"/>
      </w:r>
      <w:r>
        <w:instrText xml:space="preserve"> HYPERLINK </w:instrText>
      </w:r>
      <w:r>
        <w:fldChar w:fldCharType="separate"/>
      </w:r>
      <w:r>
        <w:fldChar w:fldCharType="end"/>
      </w:r>
      <w:r w:rsidRPr="00351DB0">
        <w:rPr>
          <w:rStyle w:val="EndnoteReference"/>
          <w:rFonts w:ascii="Gill Sans" w:hAnsi="Gill Sans" w:cs="Gill Sans"/>
          <w:color w:val="auto"/>
          <w:sz w:val="18"/>
          <w:szCs w:val="18"/>
          <w:vertAlign w:val="baseline"/>
        </w:rPr>
        <w:t xml:space="preserve"> </w:t>
      </w:r>
      <w:r w:rsidRPr="00351DB0">
        <w:rPr>
          <w:rStyle w:val="EndnoteReference"/>
          <w:rFonts w:ascii="Gill Sans" w:hAnsi="Gill Sans" w:cs="Gill Sans"/>
          <w:i/>
          <w:color w:val="auto"/>
          <w:sz w:val="18"/>
          <w:szCs w:val="18"/>
          <w:vertAlign w:val="baseline"/>
        </w:rPr>
        <w:t>See also</w:t>
      </w:r>
      <w:r w:rsidRPr="00351DB0">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351DB0">
        <w:rPr>
          <w:rFonts w:ascii="Gill Sans" w:hAnsi="Gill Sans" w:cs="Gill Sans"/>
          <w:color w:val="auto"/>
          <w:sz w:val="18"/>
          <w:szCs w:val="18"/>
        </w:rPr>
        <w:t>Open Government Partnership – Hui E! proposal,</w:t>
      </w:r>
      <w:r>
        <w:rPr>
          <w:rFonts w:ascii="Gill Sans" w:hAnsi="Gill Sans" w:cs="Gill Sans"/>
          <w:color w:val="auto"/>
          <w:sz w:val="18"/>
          <w:szCs w:val="18"/>
        </w:rPr>
        <w:t>’</w:t>
      </w:r>
      <w:r w:rsidRPr="00351DB0">
        <w:rPr>
          <w:rFonts w:ascii="Gill Sans" w:hAnsi="Gill Sans" w:cs="Gill Sans"/>
          <w:color w:val="auto"/>
          <w:sz w:val="18"/>
          <w:szCs w:val="18"/>
        </w:rPr>
        <w:t xml:space="preserve"> Hui E!, 25 August 2016, </w:t>
      </w:r>
      <w:r>
        <w:fldChar w:fldCharType="begin"/>
      </w:r>
      <w:r>
        <w:instrText xml:space="preserve"> HYPERLINK "http://www.huie.org.nz/featured/open-government-partnership-hui-e-proposal/" </w:instrText>
      </w:r>
      <w:r>
        <w:fldChar w:fldCharType="separate"/>
      </w:r>
      <w:r w:rsidRPr="00351DB0">
        <w:rPr>
          <w:rStyle w:val="Hyperlink"/>
          <w:rFonts w:ascii="Gill Sans" w:hAnsi="Gill Sans" w:cs="Gill Sans"/>
          <w:color w:val="auto"/>
          <w:sz w:val="18"/>
          <w:szCs w:val="18"/>
          <w:u w:val="none"/>
        </w:rPr>
        <w:t>www.huie.org.nz/featured/open-government-partnership-hui-e-proposal/</w:t>
      </w:r>
      <w:r>
        <w:rPr>
          <w:rStyle w:val="Hyperlink"/>
          <w:rFonts w:ascii="Gill Sans" w:hAnsi="Gill Sans" w:cs="Gill Sans"/>
          <w:color w:val="auto"/>
          <w:sz w:val="18"/>
          <w:szCs w:val="18"/>
          <w:u w:val="none"/>
        </w:rPr>
        <w:fldChar w:fldCharType="end"/>
      </w:r>
      <w:r w:rsidRPr="00351DB0">
        <w:rPr>
          <w:rFonts w:ascii="Gill Sans" w:hAnsi="Gill Sans" w:cs="Gill Sans"/>
          <w:color w:val="auto"/>
          <w:sz w:val="18"/>
          <w:szCs w:val="18"/>
        </w:rPr>
        <w:t>, Proposal 5</w:t>
      </w:r>
      <w:r w:rsidRPr="00351DB0">
        <w:rPr>
          <w:rStyle w:val="EndnoteReference"/>
          <w:rFonts w:ascii="Gill Sans" w:hAnsi="Gill Sans" w:cs="Gill Sans"/>
          <w:color w:val="auto"/>
          <w:sz w:val="18"/>
          <w:szCs w:val="18"/>
          <w:vertAlign w:val="baseline"/>
        </w:rPr>
        <w:t xml:space="preserve">; Janine McGruddy, Transparency International, </w:t>
      </w:r>
      <w:r>
        <w:rPr>
          <w:rFonts w:ascii="Gill Sans" w:hAnsi="Gill Sans" w:cs="Gill Sans"/>
          <w:color w:val="auto"/>
          <w:sz w:val="18"/>
          <w:szCs w:val="18"/>
        </w:rPr>
        <w:t xml:space="preserve">speaker at launch of </w:t>
      </w:r>
      <w:r w:rsidRPr="00AF27B9">
        <w:rPr>
          <w:rFonts w:ascii="Gill Sans" w:hAnsi="Gill Sans" w:cs="Gill Sans"/>
          <w:i/>
          <w:color w:val="auto"/>
          <w:sz w:val="18"/>
          <w:szCs w:val="18"/>
        </w:rPr>
        <w:t>Bridges Both Ways: transforming the openness of New Zealand government</w:t>
      </w:r>
      <w:r>
        <w:rPr>
          <w:rFonts w:ascii="Gill Sans" w:hAnsi="Gill Sans" w:cs="Gill Sans"/>
          <w:color w:val="auto"/>
          <w:sz w:val="18"/>
          <w:szCs w:val="18"/>
        </w:rPr>
        <w:t xml:space="preserve">, by Max Rashbrooke, hosted by Victoria University of Wellington, </w:t>
      </w:r>
      <w:r w:rsidRPr="00351DB0">
        <w:rPr>
          <w:rStyle w:val="EndnoteReference"/>
          <w:rFonts w:ascii="Gill Sans" w:hAnsi="Gill Sans" w:cs="Gill Sans"/>
          <w:color w:val="auto"/>
          <w:sz w:val="18"/>
          <w:szCs w:val="18"/>
          <w:vertAlign w:val="baseline"/>
        </w:rPr>
        <w:t>20 June 2017</w:t>
      </w:r>
      <w:r w:rsidRPr="00351DB0">
        <w:rPr>
          <w:rFonts w:ascii="Gill Sans" w:hAnsi="Gill Sans" w:cs="Gill Sans"/>
          <w:color w:val="auto"/>
          <w:sz w:val="18"/>
          <w:szCs w:val="18"/>
        </w:rPr>
        <w:t>.</w:t>
      </w:r>
    </w:p>
  </w:endnote>
  <w:endnote w:id="37">
    <w:p w14:paraId="4A2C7F5E" w14:textId="0CA97ADA" w:rsidR="001A2E4A" w:rsidRPr="00351DB0" w:rsidRDefault="001A2E4A" w:rsidP="00771383">
      <w:pPr>
        <w:pStyle w:val="EndnoteText"/>
        <w:rPr>
          <w:rStyle w:val="EndnoteReference"/>
          <w:rFonts w:ascii="Gill Sans" w:hAnsi="Gill Sans" w:cs="Gill Sans"/>
          <w:color w:val="auto"/>
          <w:sz w:val="18"/>
          <w:szCs w:val="18"/>
          <w:vertAlign w:val="baseline"/>
        </w:rPr>
      </w:pPr>
      <w:r w:rsidRPr="00351DB0">
        <w:rPr>
          <w:rStyle w:val="EndnoteReference"/>
          <w:rFonts w:ascii="Gill Sans" w:hAnsi="Gill Sans" w:cs="Gill Sans"/>
          <w:color w:val="auto"/>
          <w:sz w:val="18"/>
          <w:szCs w:val="18"/>
          <w:vertAlign w:val="baseline"/>
        </w:rPr>
        <w:endnoteRef/>
      </w:r>
      <w:r w:rsidRPr="00351DB0">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351DB0">
        <w:rPr>
          <w:rFonts w:ascii="Gill Sans" w:hAnsi="Gill Sans" w:cs="Gill Sans"/>
          <w:color w:val="auto"/>
          <w:sz w:val="18"/>
          <w:szCs w:val="18"/>
        </w:rPr>
        <w:t>Home,</w:t>
      </w:r>
      <w:r>
        <w:rPr>
          <w:rFonts w:ascii="Gill Sans" w:hAnsi="Gill Sans" w:cs="Gill Sans"/>
          <w:color w:val="auto"/>
          <w:sz w:val="18"/>
          <w:szCs w:val="18"/>
        </w:rPr>
        <w:t>’</w:t>
      </w:r>
      <w:r w:rsidRPr="00351DB0">
        <w:rPr>
          <w:rFonts w:ascii="Gill Sans" w:hAnsi="Gill Sans" w:cs="Gill Sans"/>
          <w:color w:val="auto"/>
          <w:sz w:val="18"/>
          <w:szCs w:val="18"/>
        </w:rPr>
        <w:t xml:space="preserve"> Contract Mapping, New Zealand Government, accessed 16 January, 2018, www.contractmapping.govt.nz.</w:t>
      </w:r>
    </w:p>
  </w:endnote>
  <w:endnote w:id="38">
    <w:p w14:paraId="281F1623" w14:textId="59E8922A" w:rsidR="001A2E4A" w:rsidRPr="00351DB0" w:rsidRDefault="001A2E4A" w:rsidP="00771383">
      <w:pPr>
        <w:pStyle w:val="EndnoteText"/>
        <w:rPr>
          <w:rStyle w:val="EndnoteReference"/>
          <w:rFonts w:ascii="Gill Sans" w:hAnsi="Gill Sans" w:cs="Gill Sans"/>
          <w:color w:val="auto"/>
          <w:sz w:val="18"/>
          <w:szCs w:val="18"/>
          <w:vertAlign w:val="baseline"/>
        </w:rPr>
      </w:pPr>
      <w:r w:rsidRPr="00351DB0">
        <w:rPr>
          <w:rStyle w:val="EndnoteReference"/>
          <w:rFonts w:ascii="Gill Sans" w:hAnsi="Gill Sans" w:cs="Gill Sans"/>
          <w:color w:val="auto"/>
          <w:sz w:val="18"/>
          <w:szCs w:val="18"/>
          <w:vertAlign w:val="baseline"/>
        </w:rPr>
        <w:endnoteRef/>
      </w:r>
      <w:r w:rsidRPr="00351DB0">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351DB0">
        <w:rPr>
          <w:rFonts w:ascii="Gill Sans" w:hAnsi="Gill Sans" w:cs="Gill Sans"/>
          <w:color w:val="auto"/>
          <w:sz w:val="18"/>
          <w:szCs w:val="18"/>
        </w:rPr>
        <w:t>Nau mai, haere mai, tauti mai He waka kōtuia kāhore e tukutukua ngā mimira,</w:t>
      </w:r>
      <w:r>
        <w:rPr>
          <w:rFonts w:ascii="Gill Sans" w:hAnsi="Gill Sans" w:cs="Gill Sans"/>
          <w:color w:val="auto"/>
          <w:sz w:val="18"/>
          <w:szCs w:val="18"/>
        </w:rPr>
        <w:t>’</w:t>
      </w:r>
      <w:r w:rsidRPr="00351DB0">
        <w:rPr>
          <w:rFonts w:ascii="Gill Sans" w:hAnsi="Gill Sans" w:cs="Gill Sans"/>
          <w:color w:val="auto"/>
          <w:sz w:val="18"/>
          <w:szCs w:val="18"/>
        </w:rPr>
        <w:t xml:space="preserve"> Iwi Chairs Forum, accessed 16 January 2018, iwichairs.maori.nz.</w:t>
      </w:r>
    </w:p>
  </w:endnote>
  <w:endnote w:id="39">
    <w:p w14:paraId="4BA10026" w14:textId="33B3D470" w:rsidR="001A2E4A" w:rsidRPr="00351DB0" w:rsidRDefault="001A2E4A" w:rsidP="00771383">
      <w:pPr>
        <w:pStyle w:val="EndnoteText"/>
        <w:rPr>
          <w:rStyle w:val="EndnoteReference"/>
          <w:rFonts w:ascii="Gill Sans" w:hAnsi="Gill Sans" w:cs="Gill Sans"/>
          <w:color w:val="auto"/>
          <w:sz w:val="18"/>
          <w:szCs w:val="18"/>
          <w:vertAlign w:val="baseline"/>
        </w:rPr>
      </w:pPr>
      <w:r w:rsidRPr="00351DB0">
        <w:rPr>
          <w:rStyle w:val="EndnoteReference"/>
          <w:rFonts w:ascii="Gill Sans" w:hAnsi="Gill Sans" w:cs="Gill Sans"/>
          <w:color w:val="auto"/>
          <w:sz w:val="18"/>
          <w:szCs w:val="18"/>
          <w:vertAlign w:val="baseline"/>
        </w:rPr>
        <w:endnoteRef/>
      </w:r>
      <w:r w:rsidRPr="00351DB0">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351DB0">
        <w:rPr>
          <w:rFonts w:ascii="Gill Sans" w:hAnsi="Gill Sans" w:cs="Gill Sans"/>
          <w:color w:val="auto"/>
          <w:sz w:val="18"/>
          <w:szCs w:val="18"/>
        </w:rPr>
        <w:t>Sustainable Development Goals,</w:t>
      </w:r>
      <w:r>
        <w:rPr>
          <w:rFonts w:ascii="Gill Sans" w:hAnsi="Gill Sans" w:cs="Gill Sans"/>
          <w:color w:val="auto"/>
          <w:sz w:val="18"/>
          <w:szCs w:val="18"/>
        </w:rPr>
        <w:t>’</w:t>
      </w:r>
      <w:r w:rsidRPr="00351DB0">
        <w:rPr>
          <w:rFonts w:ascii="Gill Sans" w:hAnsi="Gill Sans" w:cs="Gill Sans"/>
          <w:color w:val="auto"/>
          <w:sz w:val="18"/>
          <w:szCs w:val="18"/>
        </w:rPr>
        <w:t xml:space="preserve"> United Nations, accessed 16 January </w:t>
      </w:r>
      <w:r w:rsidRPr="001A4877">
        <w:rPr>
          <w:rFonts w:ascii="Gill Sans" w:hAnsi="Gill Sans" w:cs="Gill Sans"/>
          <w:color w:val="auto"/>
          <w:sz w:val="18"/>
          <w:szCs w:val="18"/>
        </w:rPr>
        <w:t>2018, www.un.org/sustainabledevelopment/sustainable-development-goals/</w:t>
      </w:r>
      <w:r w:rsidRPr="00351DB0">
        <w:rPr>
          <w:rFonts w:ascii="Gill Sans" w:hAnsi="Gill Sans" w:cs="Gill Sans"/>
          <w:color w:val="auto"/>
          <w:sz w:val="18"/>
          <w:szCs w:val="18"/>
        </w:rPr>
        <w:t>.</w:t>
      </w:r>
    </w:p>
  </w:endnote>
  <w:endnote w:id="40">
    <w:p w14:paraId="7A8F9DEC" w14:textId="77124369" w:rsidR="001A2E4A" w:rsidRPr="00351DB0" w:rsidRDefault="001A2E4A" w:rsidP="00771383">
      <w:pPr>
        <w:pStyle w:val="EndnoteText"/>
        <w:rPr>
          <w:rFonts w:ascii="Gill Sans" w:hAnsi="Gill Sans" w:cs="Gill Sans"/>
          <w:color w:val="auto"/>
          <w:sz w:val="18"/>
          <w:szCs w:val="18"/>
          <w:lang w:val="en-NZ"/>
        </w:rPr>
      </w:pPr>
      <w:r w:rsidRPr="00351DB0">
        <w:rPr>
          <w:rStyle w:val="EndnoteReference"/>
          <w:rFonts w:ascii="Gill Sans" w:hAnsi="Gill Sans" w:cs="Gill Sans"/>
          <w:color w:val="auto"/>
          <w:sz w:val="18"/>
          <w:szCs w:val="18"/>
          <w:vertAlign w:val="baseline"/>
        </w:rPr>
        <w:endnoteRef/>
      </w:r>
      <w:r w:rsidRPr="00351DB0">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351DB0">
        <w:rPr>
          <w:rFonts w:ascii="Gill Sans" w:hAnsi="Gill Sans" w:cs="Gill Sans"/>
          <w:color w:val="auto"/>
          <w:sz w:val="18"/>
          <w:szCs w:val="18"/>
        </w:rPr>
        <w:t>Sustainable Development Goals,</w:t>
      </w:r>
      <w:r>
        <w:rPr>
          <w:rFonts w:ascii="Gill Sans" w:hAnsi="Gill Sans" w:cs="Gill Sans"/>
          <w:color w:val="auto"/>
          <w:sz w:val="18"/>
          <w:szCs w:val="18"/>
        </w:rPr>
        <w:t>’</w:t>
      </w:r>
      <w:r w:rsidRPr="00351DB0">
        <w:rPr>
          <w:rFonts w:ascii="Gill Sans" w:hAnsi="Gill Sans" w:cs="Gill Sans"/>
          <w:color w:val="auto"/>
          <w:sz w:val="18"/>
          <w:szCs w:val="18"/>
        </w:rPr>
        <w:t xml:space="preserve"> New Zealand Foreign Affairs &amp; Trade, accessed 16 January 2018, https://www.mfat.govt.nz/en/peace-rights-and-security/work-with-the-un-and-other-partners/new-zealand-and-the-sustainable-development-goals-sdgs/.</w:t>
      </w:r>
    </w:p>
  </w:endnote>
  <w:endnote w:id="41">
    <w:p w14:paraId="72AA6B0E" w14:textId="72A51CC0" w:rsidR="001A2E4A" w:rsidRPr="00EE4CD9" w:rsidRDefault="001A2E4A" w:rsidP="0001773E">
      <w:pPr>
        <w:pStyle w:val="EndnoteText"/>
        <w:rPr>
          <w:rStyle w:val="EndnoteReference"/>
          <w:rFonts w:ascii="Gill Sans" w:hAnsi="Gill Sans" w:cs="Gill Sans"/>
          <w:color w:val="auto"/>
          <w:sz w:val="18"/>
          <w:szCs w:val="18"/>
          <w:vertAlign w:val="baseline"/>
        </w:rPr>
      </w:pPr>
      <w:r w:rsidRPr="00351DB0">
        <w:rPr>
          <w:rStyle w:val="EndnoteReference"/>
          <w:rFonts w:ascii="Gill Sans" w:hAnsi="Gill Sans" w:cs="Gill Sans"/>
          <w:color w:val="auto"/>
          <w:sz w:val="18"/>
          <w:szCs w:val="18"/>
          <w:vertAlign w:val="baseline"/>
        </w:rPr>
        <w:endnoteRef/>
      </w:r>
      <w:r w:rsidRPr="00351DB0">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EE4CD9">
        <w:rPr>
          <w:rFonts w:ascii="Gill Sans" w:hAnsi="Gill Sans" w:cs="Gill Sans"/>
          <w:color w:val="auto"/>
          <w:sz w:val="18"/>
          <w:szCs w:val="18"/>
        </w:rPr>
        <w:t>Change of timeframe for New Zealand’s Second National Action Plan,</w:t>
      </w:r>
      <w:r>
        <w:rPr>
          <w:rFonts w:ascii="Gill Sans" w:hAnsi="Gill Sans" w:cs="Gill Sans"/>
          <w:color w:val="auto"/>
          <w:sz w:val="18"/>
          <w:szCs w:val="18"/>
        </w:rPr>
        <w:t>’</w:t>
      </w:r>
      <w:r w:rsidRPr="00EE4CD9">
        <w:rPr>
          <w:rFonts w:ascii="Gill Sans" w:hAnsi="Gill Sans" w:cs="Gill Sans"/>
          <w:color w:val="auto"/>
          <w:sz w:val="18"/>
          <w:szCs w:val="18"/>
        </w:rPr>
        <w:t xml:space="preserve"> State Services Commission, 21 April 2016, www.ssc.govt.nz/change-timeframe-nz-nap.</w:t>
      </w:r>
      <w:r w:rsidRPr="00EE4CD9" w:rsidDel="0065584D">
        <w:rPr>
          <w:rStyle w:val="EndnoteReference"/>
          <w:rFonts w:ascii="Gill Sans" w:hAnsi="Gill Sans" w:cs="Gill Sans"/>
          <w:color w:val="auto"/>
          <w:sz w:val="18"/>
          <w:szCs w:val="18"/>
          <w:vertAlign w:val="baseline"/>
        </w:rPr>
        <w:t xml:space="preserve"> </w:t>
      </w:r>
    </w:p>
  </w:endnote>
  <w:endnote w:id="42">
    <w:p w14:paraId="0ED9EFE6" w14:textId="651329C6"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EE4CD9">
        <w:rPr>
          <w:rFonts w:ascii="Gill Sans" w:hAnsi="Gill Sans" w:cs="Gill Sans"/>
          <w:color w:val="auto"/>
          <w:sz w:val="18"/>
          <w:szCs w:val="18"/>
        </w:rPr>
        <w:t>Seminar Report,</w:t>
      </w:r>
      <w:r>
        <w:rPr>
          <w:rFonts w:ascii="Gill Sans" w:hAnsi="Gill Sans" w:cs="Gill Sans"/>
          <w:color w:val="auto"/>
          <w:sz w:val="18"/>
          <w:szCs w:val="18"/>
        </w:rPr>
        <w:t>’</w:t>
      </w:r>
      <w:r w:rsidRPr="00EE4CD9">
        <w:rPr>
          <w:rFonts w:ascii="Gill Sans" w:hAnsi="Gill Sans" w:cs="Gill Sans"/>
          <w:color w:val="auto"/>
          <w:sz w:val="18"/>
          <w:szCs w:val="18"/>
        </w:rPr>
        <w:t xml:space="preserve"> Inspiring Communities, 22 June 2016, inspiringcommunities.org.nz/wp-content/uploads/2016/04/Start-Local-Report-web.pdf.</w:t>
      </w:r>
      <w:r w:rsidRPr="00EE4CD9" w:rsidDel="00850814">
        <w:rPr>
          <w:rStyle w:val="EndnoteReference"/>
          <w:rFonts w:ascii="Gill Sans" w:hAnsi="Gill Sans" w:cs="Gill Sans"/>
          <w:color w:val="auto"/>
          <w:sz w:val="18"/>
          <w:szCs w:val="18"/>
          <w:vertAlign w:val="baseline"/>
        </w:rPr>
        <w:t xml:space="preserve"> </w:t>
      </w:r>
    </w:p>
  </w:endnote>
  <w:endnote w:id="43">
    <w:p w14:paraId="59D50F1D" w14:textId="35C8314C"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sidRPr="00EE4CD9">
        <w:rPr>
          <w:rStyle w:val="EndnoteReference"/>
          <w:rFonts w:ascii="Gill Sans" w:hAnsi="Gill Sans" w:cs="Gill Sans"/>
          <w:color w:val="auto"/>
          <w:sz w:val="18"/>
          <w:szCs w:val="18"/>
          <w:vertAlign w:val="baseline"/>
        </w:rPr>
        <w:t>Full responsibility for Commitments 3 and 4 was assumed by Statistics NZ</w:t>
      </w:r>
      <w:r w:rsidRPr="00EE4CD9">
        <w:rPr>
          <w:rFonts w:ascii="Gill Sans" w:hAnsi="Gill Sans" w:cs="Gill Sans"/>
          <w:color w:val="auto"/>
          <w:sz w:val="18"/>
          <w:szCs w:val="18"/>
        </w:rPr>
        <w:t>.</w:t>
      </w:r>
    </w:p>
  </w:endnote>
  <w:endnote w:id="44">
    <w:p w14:paraId="5DB1AD17" w14:textId="4EA25151"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sidRPr="00EE4CD9">
        <w:rPr>
          <w:rStyle w:val="EndnoteReference"/>
          <w:rFonts w:ascii="Gill Sans" w:hAnsi="Gill Sans" w:cs="Gill Sans"/>
          <w:color w:val="auto"/>
          <w:sz w:val="18"/>
          <w:szCs w:val="18"/>
          <w:vertAlign w:val="baseline"/>
        </w:rPr>
        <w:t>Peter Hughes replaced Iain Rennie as State Services Commissioner on July 4, 2016</w:t>
      </w:r>
      <w:r w:rsidRPr="00EE4CD9">
        <w:rPr>
          <w:rFonts w:ascii="Gill Sans" w:hAnsi="Gill Sans" w:cs="Gill Sans"/>
          <w:color w:val="auto"/>
          <w:sz w:val="18"/>
          <w:szCs w:val="18"/>
        </w:rPr>
        <w:t>.</w:t>
      </w:r>
    </w:p>
  </w:endnote>
  <w:endnote w:id="45">
    <w:p w14:paraId="044A383B" w14:textId="62FE5EDF"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EE4CD9">
        <w:rPr>
          <w:rFonts w:ascii="Gill Sans" w:hAnsi="Gill Sans" w:cs="Gill Sans"/>
          <w:color w:val="auto"/>
          <w:sz w:val="18"/>
          <w:szCs w:val="18"/>
        </w:rPr>
        <w:t>Ministerial List: 26 October 2017,</w:t>
      </w:r>
      <w:r>
        <w:rPr>
          <w:rFonts w:ascii="Gill Sans" w:hAnsi="Gill Sans" w:cs="Gill Sans"/>
          <w:color w:val="auto"/>
          <w:sz w:val="18"/>
          <w:szCs w:val="18"/>
        </w:rPr>
        <w:t>’</w:t>
      </w:r>
      <w:r w:rsidRPr="00EE4CD9">
        <w:rPr>
          <w:rFonts w:ascii="Gill Sans" w:hAnsi="Gill Sans" w:cs="Gill Sans"/>
          <w:color w:val="auto"/>
          <w:sz w:val="18"/>
          <w:szCs w:val="18"/>
        </w:rPr>
        <w:t xml:space="preserve"> 26 October 2017, https://www.dpmc.govt.nz/sites/default/files/2017-10/ministerial-list-26-oct-2017.pdf</w:t>
      </w:r>
      <w:r>
        <w:fldChar w:fldCharType="begin"/>
      </w:r>
      <w:r>
        <w:instrText xml:space="preserve"> HYPERLINK </w:instrText>
      </w:r>
      <w:r>
        <w:fldChar w:fldCharType="separate"/>
      </w:r>
      <w:r>
        <w:fldChar w:fldCharType="end"/>
      </w:r>
      <w:r w:rsidRPr="00EE4CD9">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EE4CD9">
        <w:rPr>
          <w:rFonts w:ascii="Gill Sans" w:hAnsi="Gill Sans" w:cs="Gill Sans"/>
          <w:color w:val="auto"/>
          <w:sz w:val="18"/>
          <w:szCs w:val="18"/>
        </w:rPr>
        <w:t>Hon Clare Curran,</w:t>
      </w:r>
      <w:r>
        <w:rPr>
          <w:rFonts w:ascii="Gill Sans" w:hAnsi="Gill Sans" w:cs="Gill Sans"/>
          <w:color w:val="auto"/>
          <w:sz w:val="18"/>
          <w:szCs w:val="18"/>
        </w:rPr>
        <w:t>’</w:t>
      </w:r>
      <w:r w:rsidRPr="00EE4CD9">
        <w:rPr>
          <w:rFonts w:ascii="Gill Sans" w:hAnsi="Gill Sans" w:cs="Gill Sans"/>
          <w:color w:val="auto"/>
          <w:sz w:val="18"/>
          <w:szCs w:val="18"/>
        </w:rPr>
        <w:t xml:space="preserve"> New Zealand Parliament, 8 December 2017, https://www.parliament.nz/en/mps-and-electorates/members-of-parliament/curran-clare/.</w:t>
      </w:r>
    </w:p>
  </w:endnote>
  <w:endnote w:id="46">
    <w:p w14:paraId="2E5BDFFD" w14:textId="7551B1C4"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Pr>
          <w:rFonts w:ascii="Gill Sans" w:hAnsi="Gill Sans" w:cs="Gill Sans"/>
          <w:color w:val="auto"/>
          <w:sz w:val="18"/>
          <w:szCs w:val="18"/>
        </w:rPr>
        <w:t xml:space="preserve"> </w:t>
      </w:r>
      <w:r w:rsidRPr="00700400">
        <w:rPr>
          <w:rFonts w:ascii="Gill Sans" w:hAnsi="Gill Sans" w:cs="Gill Sans"/>
          <w:color w:val="auto"/>
          <w:sz w:val="18"/>
          <w:szCs w:val="18"/>
        </w:rPr>
        <w:t>https://www.greens.org.nz/sites/default/files/NZLP%20%26%20GP%20C%26S%20Agreement%20FINAL.PDF</w:t>
      </w:r>
    </w:p>
  </w:endnote>
  <w:endnote w:id="47">
    <w:p w14:paraId="15ACBB5D" w14:textId="5E1CB275"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sidRPr="00EE4CD9">
        <w:rPr>
          <w:rStyle w:val="EndnoteReference"/>
          <w:rFonts w:ascii="Gill Sans" w:hAnsi="Gill Sans" w:cs="Gill Sans"/>
          <w:color w:val="auto"/>
          <w:sz w:val="18"/>
          <w:szCs w:val="18"/>
          <w:vertAlign w:val="baseline"/>
        </w:rPr>
        <w:t>The 2017-21 plan notes the SSC is undergoing a transformation over the next four years</w:t>
      </w:r>
      <w:r w:rsidRPr="00EE4CD9">
        <w:rPr>
          <w:rFonts w:ascii="Gill Sans" w:hAnsi="Gill Sans" w:cs="Gill Sans"/>
          <w:color w:val="auto"/>
          <w:sz w:val="18"/>
          <w:szCs w:val="18"/>
        </w:rPr>
        <w:t>.</w:t>
      </w:r>
      <w:r w:rsidRPr="00EE4CD9">
        <w:rPr>
          <w:rStyle w:val="EndnoteReference"/>
          <w:rFonts w:ascii="Gill Sans" w:hAnsi="Gill Sans" w:cs="Gill Sans"/>
          <w:color w:val="auto"/>
          <w:sz w:val="18"/>
          <w:szCs w:val="18"/>
          <w:vertAlign w:val="baseline"/>
        </w:rPr>
        <w:t xml:space="preserve"> </w:t>
      </w:r>
      <w:r>
        <w:fldChar w:fldCharType="begin"/>
      </w:r>
      <w:r>
        <w:instrText xml:space="preserve"> HYPERLINK "http://www.ssc.govt.nz/sites/all/files/four-year-plan-2017-2021.pdf" </w:instrText>
      </w:r>
      <w:r>
        <w:fldChar w:fldCharType="separate"/>
      </w:r>
      <w:r w:rsidRPr="00EE4CD9">
        <w:rPr>
          <w:rStyle w:val="EndnoteReference"/>
          <w:rFonts w:ascii="Gill Sans" w:hAnsi="Gill Sans" w:cs="Gill Sans"/>
          <w:color w:val="auto"/>
          <w:sz w:val="18"/>
          <w:szCs w:val="18"/>
          <w:vertAlign w:val="baseline"/>
        </w:rPr>
        <w:t>http://www.ssc.govt.nz/sites/all/files/four-year-plan-2017-2021.pdf</w:t>
      </w:r>
      <w:r>
        <w:rPr>
          <w:rStyle w:val="EndnoteReference"/>
          <w:rFonts w:ascii="Gill Sans" w:hAnsi="Gill Sans" w:cs="Gill Sans"/>
          <w:color w:val="auto"/>
          <w:sz w:val="18"/>
          <w:szCs w:val="18"/>
          <w:vertAlign w:val="baseline"/>
        </w:rPr>
        <w:fldChar w:fldCharType="end"/>
      </w:r>
    </w:p>
  </w:endnote>
  <w:endnote w:id="48">
    <w:p w14:paraId="1E9C9915" w14:textId="77777777" w:rsidR="001A2E4A" w:rsidRPr="00EE4CD9" w:rsidRDefault="001A2E4A" w:rsidP="001B17D2">
      <w:pPr>
        <w:rPr>
          <w:rStyle w:val="EndnoteReference"/>
          <w:color w:val="auto"/>
          <w:sz w:val="18"/>
          <w:szCs w:val="18"/>
          <w:vertAlign w:val="baseline"/>
        </w:rPr>
      </w:pPr>
      <w:r w:rsidRPr="00EE4CD9">
        <w:rPr>
          <w:rStyle w:val="EndnoteReference"/>
          <w:color w:val="auto"/>
          <w:sz w:val="18"/>
          <w:szCs w:val="18"/>
          <w:vertAlign w:val="baseline"/>
        </w:rPr>
        <w:endnoteRef/>
      </w:r>
      <w:r w:rsidRPr="00EE4CD9">
        <w:rPr>
          <w:rStyle w:val="EndnoteReference"/>
          <w:color w:val="auto"/>
          <w:sz w:val="18"/>
          <w:szCs w:val="18"/>
          <w:vertAlign w:val="baseline"/>
        </w:rPr>
        <w:t xml:space="preserve"> NZ has three central agencies, the Department of the Prime Minister and Cabinet, the Treasury and the State Services Commission which work across the government system to promote high-performing, trusted and accessible government agencies</w:t>
      </w:r>
    </w:p>
  </w:endnote>
  <w:endnote w:id="49">
    <w:p w14:paraId="243C1D86" w14:textId="5A973F5B" w:rsidR="001A2E4A" w:rsidRPr="00EE4CD9" w:rsidRDefault="001A2E4A" w:rsidP="0023608F">
      <w:pPr>
        <w:pStyle w:val="EndnoteText"/>
        <w:rPr>
          <w:rStyle w:val="EndnoteReference"/>
          <w:rFonts w:ascii="Gill Sans" w:hAnsi="Gill Sans" w:cs="Gill Sans"/>
          <w:color w:val="auto"/>
          <w:sz w:val="18"/>
          <w:szCs w:val="18"/>
          <w:vertAlign w:val="baseline"/>
        </w:rPr>
      </w:pPr>
      <w:r w:rsidRPr="00EE4CD9">
        <w:rPr>
          <w:rStyle w:val="EndnoteReference"/>
          <w:rFonts w:ascii="Gill Sans" w:eastAsiaTheme="minorEastAsia" w:hAnsi="Gill Sans" w:cs="Gill Sans"/>
          <w:color w:val="auto"/>
          <w:sz w:val="18"/>
          <w:szCs w:val="18"/>
          <w:vertAlign w:val="baseline"/>
          <w:lang w:val="en-US" w:eastAsia="en-US"/>
        </w:rPr>
        <w:endnoteRef/>
      </w:r>
      <w:r w:rsidRPr="00EE4CD9">
        <w:rPr>
          <w:rStyle w:val="EndnoteReference"/>
          <w:rFonts w:ascii="Gill Sans" w:eastAsiaTheme="minorEastAsia" w:hAnsi="Gill Sans" w:cs="Gill Sans"/>
          <w:color w:val="auto"/>
          <w:sz w:val="18"/>
          <w:szCs w:val="18"/>
          <w:vertAlign w:val="baseline"/>
          <w:lang w:val="en-US" w:eastAsia="en-US"/>
        </w:rPr>
        <w:t xml:space="preserve"> </w:t>
      </w:r>
      <w:r w:rsidRPr="00EE4CD9">
        <w:rPr>
          <w:rFonts w:ascii="Gill Sans" w:eastAsiaTheme="minorEastAsia" w:hAnsi="Gill Sans" w:cs="Gill Sans"/>
          <w:color w:val="auto"/>
          <w:sz w:val="18"/>
          <w:szCs w:val="18"/>
          <w:lang w:val="en-US" w:eastAsia="en-US"/>
        </w:rPr>
        <w:t xml:space="preserve">Judith Collins, Minister of Justice, </w:t>
      </w:r>
      <w:r>
        <w:rPr>
          <w:rFonts w:ascii="Gill Sans" w:eastAsiaTheme="minorEastAsia" w:hAnsi="Gill Sans" w:cs="Gill Sans"/>
          <w:color w:val="auto"/>
          <w:sz w:val="18"/>
          <w:szCs w:val="18"/>
          <w:lang w:val="en-US" w:eastAsia="en-US"/>
        </w:rPr>
        <w:t>‘</w:t>
      </w:r>
      <w:r w:rsidRPr="00EE4CD9">
        <w:rPr>
          <w:rFonts w:ascii="Gill Sans" w:eastAsiaTheme="minorEastAsia" w:hAnsi="Gill Sans" w:cs="Gill Sans"/>
          <w:color w:val="auto"/>
          <w:sz w:val="18"/>
          <w:szCs w:val="18"/>
          <w:lang w:val="en-US" w:eastAsia="en-US"/>
        </w:rPr>
        <w:t>Agreement to Join Open Government Partnership,</w:t>
      </w:r>
      <w:r>
        <w:rPr>
          <w:rFonts w:ascii="Gill Sans" w:eastAsiaTheme="minorEastAsia" w:hAnsi="Gill Sans" w:cs="Gill Sans"/>
          <w:color w:val="auto"/>
          <w:sz w:val="18"/>
          <w:szCs w:val="18"/>
          <w:lang w:val="en-US" w:eastAsia="en-US"/>
        </w:rPr>
        <w:t>’</w:t>
      </w:r>
      <w:r w:rsidRPr="00EE4CD9">
        <w:rPr>
          <w:rFonts w:ascii="Gill Sans" w:eastAsiaTheme="minorEastAsia" w:hAnsi="Gill Sans" w:cs="Gill Sans"/>
          <w:color w:val="auto"/>
          <w:sz w:val="18"/>
          <w:szCs w:val="18"/>
          <w:lang w:val="en-US" w:eastAsia="en-US"/>
        </w:rPr>
        <w:t xml:space="preserve"> 22 August 2013, </w:t>
      </w:r>
      <w:hyperlink r:id="rId2" w:history="1">
        <w:r w:rsidRPr="00EE4CD9">
          <w:rPr>
            <w:rStyle w:val="Hyperlink"/>
            <w:rFonts w:ascii="Gill Sans" w:eastAsiaTheme="minorEastAsia" w:hAnsi="Gill Sans" w:cs="Gill Sans"/>
            <w:color w:val="auto"/>
            <w:sz w:val="18"/>
            <w:szCs w:val="18"/>
            <w:u w:val="none"/>
            <w:lang w:val="en-US" w:eastAsia="en-US"/>
          </w:rPr>
          <w:t>http://www.ssc.govt.nz/sites/all/files/cab-paper-erd(13)-25-join-ogp.pdf</w:t>
        </w:r>
      </w:hyperlink>
      <w:r w:rsidRPr="00EE4CD9">
        <w:rPr>
          <w:rStyle w:val="EndnoteReference"/>
          <w:rFonts w:ascii="Gill Sans" w:eastAsiaTheme="minorEastAsia" w:hAnsi="Gill Sans" w:cs="Gill Sans"/>
          <w:color w:val="auto"/>
          <w:sz w:val="18"/>
          <w:szCs w:val="18"/>
          <w:vertAlign w:val="baseline"/>
          <w:lang w:val="en-US" w:eastAsia="en-US"/>
        </w:rPr>
        <w:t>;</w:t>
      </w:r>
      <w:r w:rsidRPr="00EE4CD9">
        <w:rPr>
          <w:rFonts w:ascii="Gill Sans" w:eastAsiaTheme="minorEastAsia" w:hAnsi="Gill Sans" w:cs="Gill Sans"/>
          <w:color w:val="auto"/>
          <w:sz w:val="18"/>
          <w:szCs w:val="18"/>
          <w:lang w:val="en-US" w:eastAsia="en-US"/>
        </w:rPr>
        <w:t xml:space="preserve"> Paula Bennett, Minister of State Services, </w:t>
      </w:r>
      <w:r>
        <w:rPr>
          <w:rFonts w:ascii="Gill Sans" w:eastAsiaTheme="minorEastAsia" w:hAnsi="Gill Sans" w:cs="Gill Sans"/>
          <w:color w:val="auto"/>
          <w:sz w:val="18"/>
          <w:szCs w:val="18"/>
          <w:lang w:val="en-US" w:eastAsia="en-US"/>
        </w:rPr>
        <w:t>‘</w:t>
      </w:r>
      <w:r w:rsidRPr="00EE4CD9">
        <w:rPr>
          <w:rFonts w:ascii="Gill Sans" w:eastAsiaTheme="minorEastAsia" w:hAnsi="Gill Sans" w:cs="Gill Sans"/>
          <w:color w:val="auto"/>
          <w:sz w:val="18"/>
          <w:szCs w:val="18"/>
          <w:lang w:val="en-US" w:eastAsia="en-US"/>
        </w:rPr>
        <w:t>Action Plan for the Open Government Partnership,</w:t>
      </w:r>
      <w:r>
        <w:rPr>
          <w:rFonts w:ascii="Gill Sans" w:eastAsiaTheme="minorEastAsia" w:hAnsi="Gill Sans" w:cs="Gill Sans"/>
          <w:color w:val="auto"/>
          <w:sz w:val="18"/>
          <w:szCs w:val="18"/>
          <w:lang w:val="en-US" w:eastAsia="en-US"/>
        </w:rPr>
        <w:t>’</w:t>
      </w:r>
      <w:r w:rsidRPr="00EE4CD9">
        <w:rPr>
          <w:rFonts w:ascii="Gill Sans" w:eastAsiaTheme="minorEastAsia" w:hAnsi="Gill Sans" w:cs="Gill Sans"/>
          <w:color w:val="auto"/>
          <w:sz w:val="18"/>
          <w:szCs w:val="18"/>
          <w:lang w:val="en-US" w:eastAsia="en-US"/>
        </w:rPr>
        <w:t xml:space="preserve"> 17 January 2017, </w:t>
      </w:r>
      <w:hyperlink r:id="rId3" w:history="1">
        <w:r w:rsidRPr="00EE4CD9">
          <w:rPr>
            <w:rStyle w:val="Hyperlink"/>
            <w:color w:val="auto"/>
            <w:sz w:val="18"/>
            <w:szCs w:val="18"/>
            <w:u w:val="none"/>
          </w:rPr>
          <w:t>http://ssc.govt.nz/sites/all/files/ogp-action-plan-cab-paper-upjul17.pdf</w:t>
        </w:r>
      </w:hyperlink>
      <w:r w:rsidRPr="00EE4CD9">
        <w:rPr>
          <w:rStyle w:val="EndnoteReference"/>
          <w:rFonts w:ascii="Gill Sans" w:eastAsiaTheme="minorEastAsia" w:hAnsi="Gill Sans" w:cs="Gill Sans"/>
          <w:color w:val="auto"/>
          <w:sz w:val="18"/>
          <w:szCs w:val="18"/>
          <w:vertAlign w:val="baseline"/>
          <w:lang w:val="en-US" w:eastAsia="en-US"/>
        </w:rPr>
        <w:t xml:space="preserve">; </w:t>
      </w:r>
      <w:r w:rsidRPr="00EE4CD9">
        <w:rPr>
          <w:rFonts w:ascii="Gill Sans" w:eastAsiaTheme="minorEastAsia" w:hAnsi="Gill Sans" w:cs="Gill Sans"/>
          <w:color w:val="auto"/>
          <w:sz w:val="18"/>
          <w:szCs w:val="18"/>
          <w:lang w:val="en-US" w:eastAsia="en-US"/>
        </w:rPr>
        <w:t xml:space="preserve">Rachel Clarke, Committee Secretary, </w:t>
      </w:r>
      <w:r>
        <w:rPr>
          <w:rFonts w:ascii="Gill Sans" w:eastAsiaTheme="minorEastAsia" w:hAnsi="Gill Sans" w:cs="Gill Sans"/>
          <w:color w:val="auto"/>
          <w:sz w:val="18"/>
          <w:szCs w:val="18"/>
          <w:lang w:val="en-US" w:eastAsia="en-US"/>
        </w:rPr>
        <w:t>‘</w:t>
      </w:r>
      <w:r w:rsidRPr="00EE4CD9">
        <w:rPr>
          <w:rFonts w:ascii="Gill Sans" w:eastAsiaTheme="minorEastAsia" w:hAnsi="Gill Sans" w:cs="Gill Sans"/>
          <w:color w:val="auto"/>
          <w:sz w:val="18"/>
          <w:szCs w:val="18"/>
          <w:lang w:val="en-US" w:eastAsia="en-US"/>
        </w:rPr>
        <w:t>Minute of Decision: Action Plan for the Open Government Partnership,</w:t>
      </w:r>
      <w:r>
        <w:rPr>
          <w:rFonts w:ascii="Gill Sans" w:eastAsiaTheme="minorEastAsia" w:hAnsi="Gill Sans" w:cs="Gill Sans"/>
          <w:color w:val="auto"/>
          <w:sz w:val="18"/>
          <w:szCs w:val="18"/>
          <w:lang w:val="en-US" w:eastAsia="en-US"/>
        </w:rPr>
        <w:t>’</w:t>
      </w:r>
      <w:r w:rsidRPr="00EE4CD9">
        <w:rPr>
          <w:rFonts w:ascii="Gill Sans" w:eastAsiaTheme="minorEastAsia" w:hAnsi="Gill Sans" w:cs="Gill Sans"/>
          <w:color w:val="auto"/>
          <w:sz w:val="18"/>
          <w:szCs w:val="18"/>
          <w:lang w:val="en-US" w:eastAsia="en-US"/>
        </w:rPr>
        <w:t xml:space="preserve"> Cabinet Committee on State Sector Reform and Expenditure Control,19 October 2016, </w:t>
      </w:r>
      <w:hyperlink r:id="rId4" w:history="1">
        <w:r w:rsidRPr="00EE4CD9">
          <w:rPr>
            <w:rStyle w:val="Hyperlink"/>
            <w:color w:val="auto"/>
            <w:sz w:val="18"/>
            <w:szCs w:val="18"/>
            <w:u w:val="none"/>
          </w:rPr>
          <w:t>http://ssc.govt.nz/sites/all/files/ogp-action-plan-cab-min-upjul17.pdf</w:t>
        </w:r>
      </w:hyperlink>
      <w:r w:rsidRPr="00EE4CD9">
        <w:rPr>
          <w:rFonts w:ascii="Gill Sans" w:eastAsiaTheme="minorEastAsia" w:hAnsi="Gill Sans" w:cs="Gill Sans"/>
          <w:color w:val="auto"/>
          <w:sz w:val="18"/>
          <w:szCs w:val="18"/>
          <w:lang w:val="en-US" w:eastAsia="en-US"/>
        </w:rPr>
        <w:t>.</w:t>
      </w:r>
    </w:p>
  </w:endnote>
  <w:endnote w:id="50">
    <w:p w14:paraId="18C37E88" w14:textId="5A1DA882" w:rsidR="001A2E4A" w:rsidRPr="00EE4CD9" w:rsidRDefault="001A2E4A" w:rsidP="00AF27B9">
      <w:pPr>
        <w:tabs>
          <w:tab w:val="clear" w:pos="2880"/>
        </w:tabs>
        <w:rPr>
          <w:rStyle w:val="EndnoteReference"/>
          <w:color w:val="auto"/>
          <w:sz w:val="18"/>
          <w:szCs w:val="18"/>
          <w:vertAlign w:val="baseline"/>
        </w:rPr>
      </w:pPr>
      <w:r w:rsidRPr="00EE4CD9">
        <w:rPr>
          <w:rStyle w:val="EndnoteReference"/>
          <w:color w:val="auto"/>
          <w:sz w:val="18"/>
          <w:szCs w:val="18"/>
          <w:vertAlign w:val="baseline"/>
        </w:rPr>
        <w:endnoteRef/>
      </w:r>
      <w:r w:rsidRPr="00EE4CD9">
        <w:rPr>
          <w:rStyle w:val="EndnoteReference"/>
          <w:color w:val="auto"/>
          <w:sz w:val="18"/>
          <w:szCs w:val="18"/>
          <w:vertAlign w:val="baseline"/>
        </w:rPr>
        <w:t xml:space="preserve"> </w:t>
      </w:r>
      <w:r>
        <w:rPr>
          <w:color w:val="auto"/>
          <w:sz w:val="18"/>
          <w:szCs w:val="18"/>
        </w:rPr>
        <w:t xml:space="preserve">The Estimates of Appropriations 2017/18 - Finance and Government Administration Sector B5 </w:t>
      </w:r>
      <w:proofErr w:type="spellStart"/>
      <w:r>
        <w:rPr>
          <w:color w:val="auto"/>
          <w:sz w:val="18"/>
          <w:szCs w:val="18"/>
        </w:rPr>
        <w:t>Vol</w:t>
      </w:r>
      <w:proofErr w:type="spellEnd"/>
      <w:r>
        <w:rPr>
          <w:color w:val="auto"/>
          <w:sz w:val="18"/>
          <w:szCs w:val="18"/>
        </w:rPr>
        <w:t xml:space="preserve"> 5, p234-5: </w:t>
      </w:r>
      <w:r w:rsidRPr="00EC4902">
        <w:rPr>
          <w:color w:val="auto"/>
          <w:sz w:val="18"/>
          <w:szCs w:val="18"/>
        </w:rPr>
        <w:t>https://2017.budget.govt.nz/budget/pdfs/estimates/v5/est17-v5-staser.pdf</w:t>
      </w:r>
    </w:p>
  </w:endnote>
  <w:endnote w:id="51">
    <w:p w14:paraId="1ED9F15D" w14:textId="3ED66A41"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sidRPr="00AF27B9">
        <w:rPr>
          <w:rFonts w:ascii="Gill Sans" w:eastAsiaTheme="minorEastAsia" w:hAnsi="Gill Sans" w:cs="Gill Sans"/>
          <w:color w:val="auto"/>
          <w:sz w:val="18"/>
          <w:szCs w:val="18"/>
          <w:lang w:val="en-GB" w:eastAsia="en-US"/>
        </w:rPr>
        <w:t xml:space="preserve">The Estimates of Appropriations 2017/18 – Maori, Other populations and Cultural Sector B5 </w:t>
      </w:r>
      <w:proofErr w:type="spellStart"/>
      <w:r w:rsidRPr="00AF27B9">
        <w:rPr>
          <w:rFonts w:ascii="Gill Sans" w:eastAsiaTheme="minorEastAsia" w:hAnsi="Gill Sans" w:cs="Gill Sans"/>
          <w:color w:val="auto"/>
          <w:sz w:val="18"/>
          <w:szCs w:val="18"/>
          <w:lang w:val="en-GB" w:eastAsia="en-US"/>
        </w:rPr>
        <w:t>Vol</w:t>
      </w:r>
      <w:proofErr w:type="spellEnd"/>
      <w:r w:rsidRPr="00AF27B9">
        <w:rPr>
          <w:rFonts w:ascii="Gill Sans" w:eastAsiaTheme="minorEastAsia" w:hAnsi="Gill Sans" w:cs="Gill Sans"/>
          <w:color w:val="auto"/>
          <w:sz w:val="18"/>
          <w:szCs w:val="18"/>
          <w:lang w:val="en-GB" w:eastAsia="en-US"/>
        </w:rPr>
        <w:t xml:space="preserve"> 8, p215:</w:t>
      </w:r>
      <w:r>
        <w:rPr>
          <w:color w:val="auto"/>
          <w:sz w:val="18"/>
          <w:szCs w:val="18"/>
        </w:rPr>
        <w:t xml:space="preserve"> </w:t>
      </w:r>
      <w:r w:rsidRPr="00EC4902">
        <w:rPr>
          <w:rFonts w:ascii="Gill Sans" w:hAnsi="Gill Sans" w:cs="Gill Sans"/>
          <w:color w:val="auto"/>
          <w:sz w:val="18"/>
          <w:szCs w:val="18"/>
        </w:rPr>
        <w:t>https://2017.budget.govt.nz/budget/pdfs/estimates/v8/est17-v8-stat.pdf</w:t>
      </w:r>
      <w:r w:rsidRPr="00EC4902" w:rsidDel="00EC4902">
        <w:rPr>
          <w:rStyle w:val="EndnoteReference"/>
          <w:rFonts w:ascii="Gill Sans" w:hAnsi="Gill Sans" w:cs="Gill Sans"/>
          <w:color w:val="auto"/>
          <w:sz w:val="18"/>
          <w:szCs w:val="18"/>
          <w:vertAlign w:val="baseline"/>
        </w:rPr>
        <w:t xml:space="preserve"> </w:t>
      </w:r>
    </w:p>
  </w:endnote>
  <w:endnote w:id="52">
    <w:p w14:paraId="2A0D3AFA" w14:textId="65EDEDF4"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sidRPr="00EE4CD9">
        <w:rPr>
          <w:rStyle w:val="EndnoteReference"/>
          <w:rFonts w:ascii="Gill Sans" w:hAnsi="Gill Sans" w:cs="Gill Sans"/>
          <w:color w:val="auto"/>
          <w:sz w:val="18"/>
          <w:szCs w:val="18"/>
          <w:vertAlign w:val="baseline"/>
        </w:rPr>
        <w:t xml:space="preserve">Ministry of Foreign Affairs and Trade, Ministry of Maori Development, </w:t>
      </w:r>
      <w:r w:rsidRPr="00EE4CD9">
        <w:rPr>
          <w:rFonts w:ascii="Gill Sans" w:hAnsi="Gill Sans" w:cs="Gill Sans"/>
          <w:color w:val="auto"/>
          <w:sz w:val="18"/>
          <w:szCs w:val="18"/>
        </w:rPr>
        <w:t xml:space="preserve">and </w:t>
      </w:r>
      <w:r w:rsidRPr="00EE4CD9">
        <w:rPr>
          <w:rStyle w:val="EndnoteReference"/>
          <w:rFonts w:ascii="Gill Sans" w:hAnsi="Gill Sans" w:cs="Gill Sans"/>
          <w:color w:val="auto"/>
          <w:sz w:val="18"/>
          <w:szCs w:val="18"/>
          <w:vertAlign w:val="baseline"/>
        </w:rPr>
        <w:t>Auckland Council</w:t>
      </w:r>
      <w:r w:rsidRPr="00EE4CD9">
        <w:rPr>
          <w:rFonts w:ascii="Gill Sans" w:hAnsi="Gill Sans" w:cs="Gill Sans"/>
          <w:color w:val="auto"/>
          <w:sz w:val="18"/>
          <w:szCs w:val="18"/>
        </w:rPr>
        <w:t>.</w:t>
      </w:r>
    </w:p>
  </w:endnote>
  <w:endnote w:id="53">
    <w:p w14:paraId="589C5984" w14:textId="4B1240B7"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sidRPr="00EE4CD9">
        <w:rPr>
          <w:rStyle w:val="EndnoteReference"/>
          <w:rFonts w:ascii="Gill Sans" w:hAnsi="Gill Sans" w:cs="Gill Sans"/>
          <w:color w:val="auto"/>
          <w:sz w:val="18"/>
          <w:szCs w:val="18"/>
          <w:vertAlign w:val="baseline"/>
        </w:rPr>
        <w:t>State Services Commission, Department of Prime Minister and Cabinet, the Treasury, Land Information NZ, Statistics NZ, Ministry of Justice, and the Department of Internal Affairs</w:t>
      </w:r>
      <w:r w:rsidRPr="00EE4CD9">
        <w:rPr>
          <w:rFonts w:ascii="Gill Sans" w:hAnsi="Gill Sans" w:cs="Gill Sans"/>
          <w:color w:val="auto"/>
          <w:sz w:val="18"/>
          <w:szCs w:val="18"/>
        </w:rPr>
        <w:t>.</w:t>
      </w:r>
    </w:p>
  </w:endnote>
  <w:endnote w:id="54">
    <w:p w14:paraId="01230ED9" w14:textId="1FBD422E" w:rsidR="001A2E4A" w:rsidRPr="00EE4CD9" w:rsidRDefault="001A2E4A" w:rsidP="00DA6A07">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sidRPr="00EE4CD9">
        <w:rPr>
          <w:rStyle w:val="EndnoteReference"/>
          <w:rFonts w:ascii="Gill Sans" w:hAnsi="Gill Sans" w:cs="Gill Sans"/>
          <w:color w:val="auto"/>
          <w:sz w:val="18"/>
          <w:szCs w:val="18"/>
          <w:vertAlign w:val="baseline"/>
        </w:rPr>
        <w:t>State Services Commission, Department of Prime Minister and Cabinet, the Treasury, Land Information NZ, Statistics NZ, Ministry of Justice, Parliamentary Counsel Office, and the Department of Internal Affairs</w:t>
      </w:r>
      <w:r w:rsidRPr="00EE4CD9">
        <w:rPr>
          <w:rFonts w:ascii="Gill Sans" w:hAnsi="Gill Sans" w:cs="Gill Sans"/>
          <w:color w:val="auto"/>
          <w:sz w:val="18"/>
          <w:szCs w:val="18"/>
        </w:rPr>
        <w:t>.</w:t>
      </w:r>
    </w:p>
  </w:endnote>
  <w:endnote w:id="55">
    <w:p w14:paraId="38FD51E8" w14:textId="3E40AC63"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sidRPr="00EE4CD9">
        <w:rPr>
          <w:rFonts w:ascii="Gill Sans" w:hAnsi="Gill Sans" w:cs="Gill Sans"/>
          <w:i/>
          <w:color w:val="auto"/>
          <w:sz w:val="18"/>
          <w:szCs w:val="18"/>
        </w:rPr>
        <w:t>National Action Plan 2016-18 Mid-term self-assessment</w:t>
      </w:r>
      <w:r w:rsidRPr="00EE4CD9">
        <w:rPr>
          <w:rFonts w:ascii="Gill Sans" w:hAnsi="Gill Sans" w:cs="Gill Sans"/>
          <w:color w:val="auto"/>
          <w:sz w:val="18"/>
          <w:szCs w:val="18"/>
        </w:rPr>
        <w:t xml:space="preserve">, Open Government Partnership New Zealand, 2 October 2017, </w:t>
      </w:r>
      <w:r>
        <w:fldChar w:fldCharType="begin"/>
      </w:r>
      <w:r>
        <w:instrText xml:space="preserve"> HYPERLINK "http://www.ogp.org.nz/assets/publications/New-Zealand-Mid-term-self-assessment-2016-18.pdf" </w:instrText>
      </w:r>
      <w:r>
        <w:fldChar w:fldCharType="separate"/>
      </w:r>
      <w:r w:rsidRPr="00EE4CD9">
        <w:rPr>
          <w:rStyle w:val="Hyperlink"/>
          <w:rFonts w:ascii="Gill Sans" w:hAnsi="Gill Sans" w:cs="Gill Sans"/>
          <w:color w:val="auto"/>
          <w:sz w:val="18"/>
          <w:szCs w:val="18"/>
          <w:u w:val="none"/>
        </w:rPr>
        <w:t>www.ogp.org.nz/assets/publications/New-Zealand-Mid-term-self-assessment-2016-18.pdf</w:t>
      </w:r>
      <w:r>
        <w:rPr>
          <w:rStyle w:val="Hyperlink"/>
          <w:rFonts w:ascii="Gill Sans" w:hAnsi="Gill Sans" w:cs="Gill Sans"/>
          <w:color w:val="auto"/>
          <w:sz w:val="18"/>
          <w:szCs w:val="18"/>
          <w:u w:val="none"/>
        </w:rPr>
        <w:fldChar w:fldCharType="end"/>
      </w:r>
      <w:r w:rsidRPr="00EE4CD9">
        <w:rPr>
          <w:rFonts w:ascii="Gill Sans" w:hAnsi="Gill Sans" w:cs="Gill Sans"/>
          <w:color w:val="auto"/>
          <w:sz w:val="18"/>
          <w:szCs w:val="18"/>
        </w:rPr>
        <w:t xml:space="preserve">, </w:t>
      </w:r>
      <w:r w:rsidRPr="00EE4CD9">
        <w:rPr>
          <w:rStyle w:val="EndnoteReference"/>
          <w:rFonts w:ascii="Gill Sans" w:hAnsi="Gill Sans" w:cs="Gill Sans"/>
          <w:color w:val="auto"/>
          <w:sz w:val="18"/>
          <w:szCs w:val="18"/>
          <w:vertAlign w:val="baseline"/>
        </w:rPr>
        <w:t>4.</w:t>
      </w:r>
    </w:p>
  </w:endnote>
  <w:endnote w:id="56">
    <w:p w14:paraId="693BF82A" w14:textId="2A1816D7"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EE4CD9">
        <w:rPr>
          <w:rFonts w:ascii="Gill Sans" w:hAnsi="Gill Sans" w:cs="Gill Sans"/>
          <w:color w:val="auto"/>
          <w:sz w:val="18"/>
          <w:szCs w:val="18"/>
        </w:rPr>
        <w:t>What's happening: 2017,</w:t>
      </w:r>
      <w:r>
        <w:rPr>
          <w:rFonts w:ascii="Gill Sans" w:hAnsi="Gill Sans" w:cs="Gill Sans"/>
          <w:color w:val="auto"/>
          <w:sz w:val="18"/>
          <w:szCs w:val="18"/>
        </w:rPr>
        <w:t>’</w:t>
      </w:r>
      <w:r w:rsidRPr="00EE4CD9">
        <w:rPr>
          <w:rFonts w:ascii="Gill Sans" w:hAnsi="Gill Sans" w:cs="Gill Sans"/>
          <w:color w:val="auto"/>
          <w:sz w:val="18"/>
          <w:szCs w:val="18"/>
        </w:rPr>
        <w:t xml:space="preserve"> Open Government: New Zealand,</w:t>
      </w:r>
      <w:r>
        <w:rPr>
          <w:rFonts w:ascii="Gill Sans" w:hAnsi="Gill Sans" w:cs="Gill Sans"/>
          <w:color w:val="auto"/>
          <w:sz w:val="18"/>
          <w:szCs w:val="18"/>
        </w:rPr>
        <w:t>’</w:t>
      </w:r>
      <w:r w:rsidRPr="00EE4CD9">
        <w:rPr>
          <w:rFonts w:ascii="Gill Sans" w:hAnsi="Gill Sans" w:cs="Gill Sans"/>
          <w:color w:val="auto"/>
          <w:sz w:val="18"/>
          <w:szCs w:val="18"/>
        </w:rPr>
        <w:t xml:space="preserve"> accessed 17 January 2018, </w:t>
      </w:r>
      <w:r>
        <w:fldChar w:fldCharType="begin"/>
      </w:r>
      <w:r>
        <w:instrText xml:space="preserve"> HYPERLINK "http://www.ogp.org.nz/whats-happening/2017/" </w:instrText>
      </w:r>
      <w:r>
        <w:fldChar w:fldCharType="separate"/>
      </w:r>
      <w:r w:rsidRPr="00EE4CD9">
        <w:rPr>
          <w:rStyle w:val="Hyperlink"/>
          <w:rFonts w:ascii="Gill Sans" w:hAnsi="Gill Sans" w:cs="Gill Sans"/>
          <w:color w:val="auto"/>
          <w:sz w:val="18"/>
          <w:szCs w:val="18"/>
          <w:u w:val="none"/>
        </w:rPr>
        <w:t>www.ogp.org.nz/whats-happening/2017/</w:t>
      </w:r>
      <w:r>
        <w:rPr>
          <w:rStyle w:val="Hyperlink"/>
          <w:rFonts w:ascii="Gill Sans" w:hAnsi="Gill Sans" w:cs="Gill Sans"/>
          <w:color w:val="auto"/>
          <w:sz w:val="18"/>
          <w:szCs w:val="18"/>
          <w:u w:val="none"/>
        </w:rPr>
        <w:fldChar w:fldCharType="end"/>
      </w:r>
      <w:r w:rsidRPr="00EE4CD9">
        <w:rPr>
          <w:rFonts w:ascii="Gill Sans" w:hAnsi="Gill Sans" w:cs="Gill Sans"/>
          <w:color w:val="auto"/>
          <w:sz w:val="18"/>
          <w:szCs w:val="18"/>
        </w:rPr>
        <w:t xml:space="preserve">. </w:t>
      </w:r>
      <w:r w:rsidRPr="00EE4CD9">
        <w:rPr>
          <w:rStyle w:val="EndnoteReference"/>
          <w:rFonts w:ascii="Gill Sans" w:hAnsi="Gill Sans" w:cs="Gill Sans"/>
          <w:color w:val="auto"/>
          <w:sz w:val="18"/>
          <w:szCs w:val="18"/>
          <w:vertAlign w:val="baseline"/>
        </w:rPr>
        <w:t xml:space="preserve">The relevant pages at </w:t>
      </w:r>
      <w:r>
        <w:fldChar w:fldCharType="begin"/>
      </w:r>
      <w:r>
        <w:instrText xml:space="preserve"> HYPERLINK "https://www.ssc.govt.nz/eap" </w:instrText>
      </w:r>
      <w:r>
        <w:fldChar w:fldCharType="separate"/>
      </w:r>
      <w:r w:rsidRPr="00EE4CD9">
        <w:rPr>
          <w:rStyle w:val="EndnoteReference"/>
          <w:rFonts w:ascii="Gill Sans" w:hAnsi="Gill Sans" w:cs="Gill Sans"/>
          <w:color w:val="auto"/>
          <w:sz w:val="18"/>
          <w:szCs w:val="18"/>
          <w:vertAlign w:val="baseline"/>
        </w:rPr>
        <w:t>https://www.ssc.govt.nz/eap</w:t>
      </w:r>
      <w:r>
        <w:rPr>
          <w:rStyle w:val="EndnoteReference"/>
          <w:rFonts w:ascii="Gill Sans" w:hAnsi="Gill Sans" w:cs="Gill Sans"/>
          <w:color w:val="auto"/>
          <w:sz w:val="18"/>
          <w:szCs w:val="18"/>
          <w:vertAlign w:val="baseline"/>
        </w:rPr>
        <w:fldChar w:fldCharType="end"/>
      </w:r>
      <w:r w:rsidRPr="00EE4CD9">
        <w:rPr>
          <w:rStyle w:val="EndnoteReference"/>
          <w:rFonts w:ascii="Gill Sans" w:hAnsi="Gill Sans" w:cs="Gill Sans"/>
          <w:color w:val="auto"/>
          <w:sz w:val="18"/>
          <w:szCs w:val="18"/>
          <w:vertAlign w:val="baseline"/>
        </w:rPr>
        <w:t xml:space="preserve"> are not up-to-date</w:t>
      </w:r>
      <w:r w:rsidRPr="00EE4CD9">
        <w:rPr>
          <w:rFonts w:ascii="Gill Sans" w:hAnsi="Gill Sans" w:cs="Gill Sans"/>
          <w:color w:val="auto"/>
          <w:sz w:val="18"/>
          <w:szCs w:val="18"/>
        </w:rPr>
        <w:t>.</w:t>
      </w:r>
    </w:p>
  </w:endnote>
  <w:endnote w:id="57">
    <w:p w14:paraId="3CAC421E" w14:textId="77777777" w:rsidR="001A2E4A" w:rsidRPr="00EE4CD9" w:rsidRDefault="001A2E4A" w:rsidP="005359A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sidRPr="00EE4CD9">
        <w:rPr>
          <w:rStyle w:val="EndnoteReference"/>
          <w:rFonts w:ascii="Gill Sans" w:hAnsi="Gill Sans" w:cs="Gill Sans"/>
          <w:color w:val="auto"/>
          <w:sz w:val="18"/>
          <w:szCs w:val="18"/>
          <w:vertAlign w:val="baseline"/>
        </w:rPr>
        <w:t>See discussion about this forum at Section 3.4</w:t>
      </w:r>
    </w:p>
  </w:endnote>
  <w:endnote w:id="58">
    <w:p w14:paraId="37715117" w14:textId="5DD609F6"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Pr>
          <w:rStyle w:val="EndnoteReference"/>
          <w:rFonts w:ascii="Gill Sans" w:hAnsi="Gill Sans" w:cs="Gill Sans"/>
          <w:color w:val="auto"/>
          <w:sz w:val="18"/>
          <w:szCs w:val="18"/>
          <w:vertAlign w:val="baseline"/>
        </w:rPr>
        <w:t>‘</w:t>
      </w:r>
      <w:r w:rsidRPr="00EE4CD9">
        <w:rPr>
          <w:rStyle w:val="EndnoteReference"/>
          <w:rFonts w:ascii="Gill Sans" w:hAnsi="Gill Sans" w:cs="Gill Sans"/>
          <w:color w:val="auto"/>
          <w:sz w:val="18"/>
          <w:szCs w:val="18"/>
          <w:vertAlign w:val="baseline"/>
        </w:rPr>
        <w:t>Terms of Reference for New Zealand Open Government Partnership Stakeholder Advisory Group,</w:t>
      </w:r>
      <w:r>
        <w:rPr>
          <w:rStyle w:val="EndnoteReference"/>
          <w:rFonts w:ascii="Gill Sans" w:hAnsi="Gill Sans" w:cs="Gill Sans"/>
          <w:color w:val="auto"/>
          <w:sz w:val="18"/>
          <w:szCs w:val="18"/>
          <w:vertAlign w:val="baseline"/>
        </w:rPr>
        <w:t>’</w:t>
      </w:r>
      <w:r w:rsidRPr="00EE4CD9">
        <w:rPr>
          <w:rStyle w:val="EndnoteReference"/>
          <w:rFonts w:ascii="Gill Sans" w:hAnsi="Gill Sans" w:cs="Gill Sans"/>
          <w:color w:val="auto"/>
          <w:sz w:val="18"/>
          <w:szCs w:val="18"/>
          <w:vertAlign w:val="baseline"/>
        </w:rPr>
        <w:t xml:space="preserve"> </w:t>
      </w:r>
      <w:r w:rsidRPr="00EE4CD9">
        <w:rPr>
          <w:rFonts w:ascii="Gill Sans" w:hAnsi="Gill Sans" w:cs="Gill Sans"/>
          <w:color w:val="auto"/>
          <w:sz w:val="18"/>
          <w:szCs w:val="18"/>
        </w:rPr>
        <w:t xml:space="preserve">State Services Commission, </w:t>
      </w:r>
      <w:r w:rsidRPr="00EE4CD9">
        <w:rPr>
          <w:rStyle w:val="EndnoteReference"/>
          <w:rFonts w:ascii="Gill Sans" w:hAnsi="Gill Sans" w:cs="Gill Sans"/>
          <w:color w:val="auto"/>
          <w:sz w:val="18"/>
          <w:szCs w:val="18"/>
          <w:vertAlign w:val="baseline"/>
        </w:rPr>
        <w:t>April 2015</w:t>
      </w:r>
      <w:r w:rsidRPr="00EE4CD9">
        <w:rPr>
          <w:rFonts w:ascii="Gill Sans" w:hAnsi="Gill Sans" w:cs="Gill Sans"/>
          <w:color w:val="auto"/>
          <w:sz w:val="18"/>
          <w:szCs w:val="18"/>
        </w:rPr>
        <w:t>,</w:t>
      </w:r>
      <w:r w:rsidRPr="00EE4CD9">
        <w:rPr>
          <w:rStyle w:val="EndnoteReference"/>
          <w:rFonts w:ascii="Gill Sans" w:hAnsi="Gill Sans" w:cs="Gill Sans"/>
          <w:color w:val="auto"/>
          <w:sz w:val="18"/>
          <w:szCs w:val="18"/>
          <w:vertAlign w:val="baseline"/>
        </w:rPr>
        <w:t xml:space="preserve"> </w:t>
      </w:r>
      <w:hyperlink r:id="rId5" w:history="1">
        <w:r w:rsidRPr="00EE4CD9">
          <w:rPr>
            <w:rStyle w:val="Hyperlink"/>
            <w:rFonts w:ascii="Gill Sans" w:hAnsi="Gill Sans" w:cs="Gill Sans"/>
            <w:color w:val="auto"/>
            <w:sz w:val="18"/>
            <w:szCs w:val="18"/>
            <w:u w:val="none"/>
          </w:rPr>
          <w:t>http://bit.ly/1oJVF4V</w:t>
        </w:r>
      </w:hyperlink>
      <w:r w:rsidRPr="00EE4CD9">
        <w:rPr>
          <w:rStyle w:val="EndnoteReference"/>
          <w:rFonts w:ascii="Gill Sans" w:hAnsi="Gill Sans" w:cs="Gill Sans"/>
          <w:color w:val="auto"/>
          <w:sz w:val="18"/>
          <w:szCs w:val="18"/>
          <w:vertAlign w:val="baseline"/>
        </w:rPr>
        <w:t>,</w:t>
      </w:r>
      <w:r w:rsidRPr="00EE4CD9">
        <w:rPr>
          <w:rFonts w:ascii="Gill Sans" w:hAnsi="Gill Sans" w:cs="Gill Sans"/>
          <w:color w:val="auto"/>
          <w:sz w:val="18"/>
          <w:szCs w:val="18"/>
        </w:rPr>
        <w:t xml:space="preserve"> 3.</w:t>
      </w:r>
    </w:p>
  </w:endnote>
  <w:endnote w:id="59">
    <w:p w14:paraId="1140B12E" w14:textId="72307ED4"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EE4CD9">
        <w:rPr>
          <w:rFonts w:ascii="Gill Sans" w:hAnsi="Gill Sans" w:cs="Gill Sans"/>
          <w:color w:val="auto"/>
          <w:sz w:val="18"/>
          <w:szCs w:val="18"/>
        </w:rPr>
        <w:t>Open Government Partnership Expert Advisory Panel Meeting,</w:t>
      </w:r>
      <w:r>
        <w:rPr>
          <w:rFonts w:ascii="Gill Sans" w:hAnsi="Gill Sans" w:cs="Gill Sans"/>
          <w:color w:val="auto"/>
          <w:sz w:val="18"/>
          <w:szCs w:val="18"/>
        </w:rPr>
        <w:t>’</w:t>
      </w:r>
      <w:r w:rsidRPr="00EE4CD9">
        <w:rPr>
          <w:rFonts w:ascii="Gill Sans" w:hAnsi="Gill Sans" w:cs="Gill Sans"/>
          <w:color w:val="auto"/>
          <w:sz w:val="18"/>
          <w:szCs w:val="18"/>
        </w:rPr>
        <w:t xml:space="preserve"> State Services Commission 27 July 2016 and 8 August 2016, </w:t>
      </w:r>
      <w:r>
        <w:fldChar w:fldCharType="begin"/>
      </w:r>
      <w:r>
        <w:instrText xml:space="preserve"> HYPERLINK "http://bit.ly/2ih16ea" </w:instrText>
      </w:r>
      <w:r>
        <w:fldChar w:fldCharType="separate"/>
      </w:r>
      <w:r w:rsidRPr="00EE4CD9">
        <w:rPr>
          <w:rStyle w:val="Hyperlink"/>
          <w:rFonts w:ascii="Gill Sans" w:hAnsi="Gill Sans" w:cs="Gill Sans"/>
          <w:color w:val="auto"/>
          <w:sz w:val="18"/>
          <w:szCs w:val="18"/>
          <w:u w:val="none"/>
        </w:rPr>
        <w:t>http://bit.ly/2ih16ea</w:t>
      </w:r>
      <w:r>
        <w:rPr>
          <w:rStyle w:val="Hyperlink"/>
          <w:rFonts w:ascii="Gill Sans" w:hAnsi="Gill Sans" w:cs="Gill Sans"/>
          <w:color w:val="auto"/>
          <w:sz w:val="18"/>
          <w:szCs w:val="18"/>
          <w:u w:val="none"/>
        </w:rPr>
        <w:fldChar w:fldCharType="end"/>
      </w:r>
      <w:r w:rsidRPr="00EE4CD9">
        <w:rPr>
          <w:rStyle w:val="EndnoteReference"/>
          <w:rFonts w:ascii="Gill Sans" w:hAnsi="Gill Sans" w:cs="Gill Sans"/>
          <w:color w:val="auto"/>
          <w:sz w:val="18"/>
          <w:szCs w:val="18"/>
          <w:vertAlign w:val="baseline"/>
        </w:rPr>
        <w:t>,</w:t>
      </w:r>
      <w:r w:rsidRPr="00EE4CD9">
        <w:rPr>
          <w:rFonts w:ascii="Gill Sans" w:hAnsi="Gill Sans" w:cs="Gill Sans"/>
          <w:color w:val="auto"/>
          <w:sz w:val="18"/>
          <w:szCs w:val="18"/>
        </w:rPr>
        <w:t xml:space="preserve"> 2.</w:t>
      </w:r>
    </w:p>
  </w:endnote>
  <w:endnote w:id="60">
    <w:p w14:paraId="79D9F2AC" w14:textId="34D0EB43" w:rsidR="001A2E4A" w:rsidRPr="00EE4CD9" w:rsidRDefault="001A2E4A" w:rsidP="00D65511">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EE4CD9">
        <w:rPr>
          <w:rFonts w:ascii="Gill Sans" w:hAnsi="Gill Sans" w:cs="Gill Sans"/>
          <w:color w:val="auto"/>
          <w:sz w:val="18"/>
          <w:szCs w:val="18"/>
        </w:rPr>
        <w:t>Expert Advisory Panel,</w:t>
      </w:r>
      <w:r>
        <w:rPr>
          <w:rFonts w:ascii="Gill Sans" w:hAnsi="Gill Sans" w:cs="Gill Sans"/>
          <w:color w:val="auto"/>
          <w:sz w:val="18"/>
          <w:szCs w:val="18"/>
        </w:rPr>
        <w:t>’</w:t>
      </w:r>
      <w:r w:rsidRPr="00EE4CD9">
        <w:rPr>
          <w:rFonts w:ascii="Gill Sans" w:hAnsi="Gill Sans" w:cs="Gill Sans"/>
          <w:color w:val="auto"/>
          <w:sz w:val="18"/>
          <w:szCs w:val="18"/>
        </w:rPr>
        <w:t xml:space="preserve"> Social Services Commission, 2 March 2017, https://www.ssc.govt.nz/eap.</w:t>
      </w:r>
      <w:r w:rsidRPr="00EE4CD9" w:rsidDel="007E42C9">
        <w:rPr>
          <w:rStyle w:val="EndnoteReference"/>
          <w:rFonts w:ascii="Gill Sans" w:hAnsi="Gill Sans" w:cs="Gill Sans"/>
          <w:color w:val="auto"/>
          <w:sz w:val="18"/>
          <w:szCs w:val="18"/>
          <w:vertAlign w:val="baseline"/>
        </w:rPr>
        <w:t xml:space="preserve"> </w:t>
      </w:r>
    </w:p>
  </w:endnote>
  <w:endnote w:id="61">
    <w:p w14:paraId="393F9CD5" w14:textId="7280625F"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EE4CD9">
        <w:rPr>
          <w:rFonts w:ascii="Gill Sans" w:hAnsi="Gill Sans" w:cs="Gill Sans"/>
          <w:color w:val="auto"/>
          <w:sz w:val="18"/>
          <w:szCs w:val="18"/>
        </w:rPr>
        <w:t>Change of timeframe for New Zealand’s Second National Action Plan,</w:t>
      </w:r>
      <w:r>
        <w:rPr>
          <w:rFonts w:ascii="Gill Sans" w:hAnsi="Gill Sans" w:cs="Gill Sans"/>
          <w:color w:val="auto"/>
          <w:sz w:val="18"/>
          <w:szCs w:val="18"/>
        </w:rPr>
        <w:t>’</w:t>
      </w:r>
      <w:r w:rsidRPr="00EE4CD9">
        <w:rPr>
          <w:rFonts w:ascii="Gill Sans" w:hAnsi="Gill Sans" w:cs="Gill Sans"/>
          <w:color w:val="auto"/>
          <w:sz w:val="18"/>
          <w:szCs w:val="18"/>
        </w:rPr>
        <w:t xml:space="preserve"> Social Services </w:t>
      </w:r>
      <w:r w:rsidRPr="001A4877">
        <w:rPr>
          <w:rFonts w:ascii="Gill Sans" w:hAnsi="Gill Sans" w:cs="Gill Sans"/>
          <w:color w:val="auto"/>
          <w:sz w:val="18"/>
          <w:szCs w:val="18"/>
        </w:rPr>
        <w:t>Commission</w:t>
      </w:r>
      <w:r w:rsidRPr="00EE4CD9">
        <w:rPr>
          <w:rFonts w:ascii="Gill Sans" w:hAnsi="Gill Sans" w:cs="Gill Sans"/>
          <w:color w:val="auto"/>
          <w:sz w:val="18"/>
          <w:szCs w:val="18"/>
        </w:rPr>
        <w:t>, 21 April 2016, www.ssc.govt.nz/change-timeframe-nz-nap.</w:t>
      </w:r>
      <w:r w:rsidRPr="00EE4CD9" w:rsidDel="007E42C9">
        <w:rPr>
          <w:rStyle w:val="EndnoteReference"/>
          <w:rFonts w:ascii="Gill Sans" w:hAnsi="Gill Sans" w:cs="Gill Sans"/>
          <w:color w:val="auto"/>
          <w:sz w:val="18"/>
          <w:szCs w:val="18"/>
          <w:vertAlign w:val="baseline"/>
        </w:rPr>
        <w:t xml:space="preserve"> </w:t>
      </w:r>
    </w:p>
  </w:endnote>
  <w:endnote w:id="62">
    <w:p w14:paraId="58706408" w14:textId="61F31DB7"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sidRPr="00EE4CD9">
        <w:rPr>
          <w:rFonts w:ascii="Gill Sans" w:hAnsi="Gill Sans" w:cs="Gill Sans"/>
          <w:color w:val="auto"/>
          <w:sz w:val="18"/>
          <w:szCs w:val="18"/>
        </w:rPr>
        <w:t>Emails regarding comments on engagement process for second OGP national action plan, 14 May 2016 - 1June 2016, https://www.ssc.govt.nz/sites/all/files/ogp-submissions-2016-1.pdf.</w:t>
      </w:r>
    </w:p>
  </w:endnote>
  <w:endnote w:id="63">
    <w:p w14:paraId="6ABA59C6" w14:textId="7BF31CBD"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sidRPr="00EE4CD9">
        <w:rPr>
          <w:rFonts w:ascii="Gill Sans" w:hAnsi="Gill Sans" w:cs="Gill Sans"/>
          <w:i/>
          <w:color w:val="auto"/>
          <w:sz w:val="18"/>
          <w:szCs w:val="18"/>
        </w:rPr>
        <w:t>Engagement report - Civil society engagement in the Open Government Partnership</w:t>
      </w:r>
      <w:r w:rsidRPr="00EE4CD9">
        <w:rPr>
          <w:rFonts w:ascii="Gill Sans" w:hAnsi="Gill Sans" w:cs="Gill Sans"/>
          <w:color w:val="auto"/>
          <w:sz w:val="18"/>
          <w:szCs w:val="18"/>
        </w:rPr>
        <w:t>, Engage2, 2016, ssc.govt.nz/sites/all/files/engagement_report_ogpnz_2016.pdf</w:t>
      </w:r>
      <w:r w:rsidRPr="00EE4CD9">
        <w:rPr>
          <w:rStyle w:val="EndnoteReference"/>
          <w:rFonts w:ascii="Gill Sans" w:hAnsi="Gill Sans" w:cs="Gill Sans"/>
          <w:color w:val="auto"/>
          <w:sz w:val="18"/>
          <w:szCs w:val="18"/>
          <w:vertAlign w:val="baseline"/>
        </w:rPr>
        <w:t>,</w:t>
      </w:r>
      <w:r w:rsidRPr="00EE4CD9">
        <w:rPr>
          <w:rFonts w:ascii="Gill Sans" w:hAnsi="Gill Sans" w:cs="Gill Sans"/>
          <w:color w:val="auto"/>
          <w:sz w:val="18"/>
          <w:szCs w:val="18"/>
        </w:rPr>
        <w:t xml:space="preserve"> </w:t>
      </w:r>
      <w:r w:rsidRPr="00EE4CD9">
        <w:rPr>
          <w:rStyle w:val="EndnoteReference"/>
          <w:rFonts w:ascii="Gill Sans" w:hAnsi="Gill Sans" w:cs="Gill Sans"/>
          <w:color w:val="auto"/>
          <w:sz w:val="18"/>
          <w:szCs w:val="18"/>
          <w:vertAlign w:val="baseline"/>
        </w:rPr>
        <w:t>17.</w:t>
      </w:r>
    </w:p>
  </w:endnote>
  <w:endnote w:id="64">
    <w:p w14:paraId="0A12FD17" w14:textId="38A28947" w:rsidR="001A2E4A" w:rsidRPr="00EE4CD9" w:rsidRDefault="001A2E4A" w:rsidP="00463CD3">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sidRPr="00EE4CD9">
        <w:rPr>
          <w:rStyle w:val="EndnoteReference"/>
          <w:rFonts w:ascii="Gill Sans" w:hAnsi="Gill Sans" w:cs="Gill Sans"/>
          <w:i/>
          <w:color w:val="auto"/>
          <w:sz w:val="18"/>
          <w:szCs w:val="18"/>
          <w:vertAlign w:val="baseline"/>
        </w:rPr>
        <w:t>I</w:t>
      </w:r>
      <w:r w:rsidRPr="00EE4CD9">
        <w:rPr>
          <w:rFonts w:ascii="Gill Sans" w:hAnsi="Gill Sans" w:cs="Gill Sans"/>
          <w:i/>
          <w:color w:val="auto"/>
          <w:sz w:val="18"/>
          <w:szCs w:val="18"/>
        </w:rPr>
        <w:t>d</w:t>
      </w:r>
      <w:r w:rsidRPr="00EE4CD9">
        <w:rPr>
          <w:rFonts w:ascii="Gill Sans" w:hAnsi="Gill Sans" w:cs="Gill Sans"/>
          <w:color w:val="auto"/>
          <w:sz w:val="18"/>
          <w:szCs w:val="18"/>
        </w:rPr>
        <w:t>.</w:t>
      </w:r>
    </w:p>
  </w:endnote>
  <w:endnote w:id="65">
    <w:p w14:paraId="15840E03" w14:textId="4E794421" w:rsidR="001A2E4A" w:rsidRPr="00EE4CD9" w:rsidRDefault="001A2E4A" w:rsidP="00771667">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sidRPr="00EE4CD9">
        <w:rPr>
          <w:rStyle w:val="EndnoteReference"/>
          <w:rFonts w:ascii="Gill Sans" w:hAnsi="Gill Sans" w:cs="Gill Sans"/>
          <w:i/>
          <w:color w:val="auto"/>
          <w:sz w:val="18"/>
          <w:szCs w:val="18"/>
          <w:vertAlign w:val="baseline"/>
        </w:rPr>
        <w:t>I</w:t>
      </w:r>
      <w:r w:rsidRPr="00EE4CD9">
        <w:rPr>
          <w:rFonts w:ascii="Gill Sans" w:hAnsi="Gill Sans" w:cs="Gill Sans"/>
          <w:i/>
          <w:color w:val="auto"/>
          <w:sz w:val="18"/>
          <w:szCs w:val="18"/>
        </w:rPr>
        <w:t>d</w:t>
      </w:r>
      <w:r w:rsidRPr="00EE4CD9">
        <w:rPr>
          <w:rFonts w:ascii="Gill Sans" w:hAnsi="Gill Sans" w:cs="Gill Sans"/>
          <w:color w:val="auto"/>
          <w:sz w:val="18"/>
          <w:szCs w:val="18"/>
        </w:rPr>
        <w:t>.</w:t>
      </w:r>
    </w:p>
  </w:endnote>
  <w:endnote w:id="66">
    <w:p w14:paraId="061A347A" w14:textId="1D378FF0" w:rsidR="001A2E4A" w:rsidRPr="00EE4CD9" w:rsidRDefault="001A2E4A" w:rsidP="00771667">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sidRPr="00EE4CD9">
        <w:rPr>
          <w:rStyle w:val="EndnoteReference"/>
          <w:rFonts w:ascii="Gill Sans" w:hAnsi="Gill Sans" w:cs="Gill Sans"/>
          <w:i/>
          <w:color w:val="auto"/>
          <w:sz w:val="18"/>
          <w:szCs w:val="18"/>
          <w:vertAlign w:val="baseline"/>
        </w:rPr>
        <w:t>I</w:t>
      </w:r>
      <w:r w:rsidRPr="00EE4CD9">
        <w:rPr>
          <w:rFonts w:ascii="Gill Sans" w:hAnsi="Gill Sans" w:cs="Gill Sans"/>
          <w:i/>
          <w:color w:val="auto"/>
          <w:sz w:val="18"/>
          <w:szCs w:val="18"/>
        </w:rPr>
        <w:t>d</w:t>
      </w:r>
      <w:r w:rsidRPr="00EE4CD9">
        <w:rPr>
          <w:rFonts w:ascii="Gill Sans" w:hAnsi="Gill Sans" w:cs="Gill Sans"/>
          <w:color w:val="auto"/>
          <w:sz w:val="18"/>
          <w:szCs w:val="18"/>
        </w:rPr>
        <w:t>.</w:t>
      </w:r>
    </w:p>
  </w:endnote>
  <w:endnote w:id="67">
    <w:p w14:paraId="365BE651" w14:textId="73B2506B" w:rsidR="001A2E4A" w:rsidRPr="00EE4CD9" w:rsidRDefault="001A2E4A" w:rsidP="00F94C26">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EE4CD9">
        <w:rPr>
          <w:rFonts w:ascii="Gill Sans" w:hAnsi="Gill Sans" w:cs="Gill Sans"/>
          <w:color w:val="auto"/>
          <w:sz w:val="18"/>
          <w:szCs w:val="18"/>
        </w:rPr>
        <w:t>Open Government Partnership Officials Group Meeting Minutes,</w:t>
      </w:r>
      <w:r>
        <w:rPr>
          <w:rFonts w:ascii="Gill Sans" w:hAnsi="Gill Sans" w:cs="Gill Sans"/>
          <w:color w:val="auto"/>
          <w:sz w:val="18"/>
          <w:szCs w:val="18"/>
        </w:rPr>
        <w:t>’</w:t>
      </w:r>
      <w:r w:rsidRPr="00EE4CD9">
        <w:rPr>
          <w:rFonts w:ascii="Gill Sans" w:hAnsi="Gill Sans" w:cs="Gill Sans"/>
          <w:color w:val="auto"/>
          <w:sz w:val="18"/>
          <w:szCs w:val="18"/>
        </w:rPr>
        <w:t xml:space="preserve"> 20 September 2016, www.ogp.org.nz/assets/news-and-events/2016/officials-group/officials-group-minutes-20september.pdf.</w:t>
      </w:r>
    </w:p>
  </w:endnote>
  <w:endnote w:id="68">
    <w:p w14:paraId="7E9F7B87" w14:textId="0897082F"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Fonts w:ascii="Gill Sans" w:hAnsi="Gill Sans" w:cs="Gill Sans"/>
          <w:color w:val="auto"/>
          <w:sz w:val="18"/>
          <w:szCs w:val="18"/>
        </w:rPr>
        <w:t xml:space="preserve"> </w:t>
      </w:r>
      <w:r>
        <w:rPr>
          <w:rFonts w:ascii="Gill Sans" w:hAnsi="Gill Sans" w:cs="Gill Sans"/>
          <w:color w:val="auto"/>
          <w:sz w:val="18"/>
          <w:szCs w:val="18"/>
        </w:rPr>
        <w:t>‘</w:t>
      </w:r>
      <w:r w:rsidRPr="00EE4CD9">
        <w:rPr>
          <w:rFonts w:ascii="Gill Sans" w:hAnsi="Gill Sans" w:cs="Gill Sans"/>
          <w:color w:val="auto"/>
          <w:sz w:val="18"/>
          <w:szCs w:val="18"/>
        </w:rPr>
        <w:t>IAP2's Public Participation Spectrum,</w:t>
      </w:r>
      <w:r>
        <w:rPr>
          <w:rFonts w:ascii="Gill Sans" w:hAnsi="Gill Sans" w:cs="Gill Sans"/>
          <w:color w:val="auto"/>
          <w:sz w:val="18"/>
          <w:szCs w:val="18"/>
        </w:rPr>
        <w:t>’</w:t>
      </w:r>
      <w:r w:rsidRPr="00EE4CD9">
        <w:rPr>
          <w:rFonts w:ascii="Gill Sans" w:hAnsi="Gill Sans" w:cs="Gill Sans"/>
          <w:color w:val="auto"/>
          <w:sz w:val="18"/>
          <w:szCs w:val="18"/>
        </w:rPr>
        <w:t xml:space="preserve"> iap2, 2014, c.ymcdn.com/sites/www.iap2.org/resource/resmgr/foundations_course/IAP2_P2_Spectrum_FINAL.pdf.</w:t>
      </w:r>
      <w:r w:rsidRPr="00EE4CD9" w:rsidDel="00BB79B2">
        <w:rPr>
          <w:rStyle w:val="EndnoteReference"/>
          <w:rFonts w:ascii="Gill Sans" w:hAnsi="Gill Sans" w:cs="Gill Sans"/>
          <w:color w:val="auto"/>
          <w:sz w:val="18"/>
          <w:szCs w:val="18"/>
          <w:vertAlign w:val="baseline"/>
        </w:rPr>
        <w:t xml:space="preserve"> </w:t>
      </w:r>
    </w:p>
  </w:endnote>
  <w:endnote w:id="69">
    <w:p w14:paraId="4752DC89" w14:textId="20FCB22A"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EE4CD9">
        <w:rPr>
          <w:rFonts w:ascii="Gill Sans" w:hAnsi="Gill Sans" w:cs="Gill Sans"/>
          <w:color w:val="auto"/>
          <w:sz w:val="18"/>
          <w:szCs w:val="18"/>
        </w:rPr>
        <w:t>Our Progress,</w:t>
      </w:r>
      <w:r>
        <w:rPr>
          <w:rFonts w:ascii="Gill Sans" w:hAnsi="Gill Sans" w:cs="Gill Sans"/>
          <w:color w:val="auto"/>
          <w:sz w:val="18"/>
          <w:szCs w:val="18"/>
        </w:rPr>
        <w:t>’</w:t>
      </w:r>
      <w:r w:rsidRPr="00EE4CD9">
        <w:rPr>
          <w:rFonts w:ascii="Gill Sans" w:hAnsi="Gill Sans" w:cs="Gill Sans"/>
          <w:color w:val="auto"/>
          <w:sz w:val="18"/>
          <w:szCs w:val="18"/>
        </w:rPr>
        <w:t xml:space="preserve"> Open Government Partnership: New Zealand, www.ogp.org.nz/our-progress/.</w:t>
      </w:r>
    </w:p>
  </w:endnote>
  <w:endnote w:id="70">
    <w:p w14:paraId="50E33C39" w14:textId="224F60E5"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 xml:space="preserve">Meetings in Wellington with </w:t>
      </w:r>
      <w:r w:rsidRPr="00EE4CD9">
        <w:rPr>
          <w:rStyle w:val="EndnoteReference"/>
          <w:rFonts w:ascii="Gill Sans" w:hAnsi="Gill Sans" w:cs="Gill Sans"/>
          <w:color w:val="auto"/>
          <w:sz w:val="18"/>
          <w:szCs w:val="18"/>
          <w:vertAlign w:val="baseline"/>
        </w:rPr>
        <w:t>HuiE, CommVoices, 5 July 2017; Volunteering NZ, 22 August 2017; PSA/CTU, 1 September 2017.</w:t>
      </w:r>
    </w:p>
  </w:endnote>
  <w:endnote w:id="71">
    <w:p w14:paraId="388A4959" w14:textId="3D98A5AB"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EE4CD9">
        <w:rPr>
          <w:rFonts w:ascii="Gill Sans" w:hAnsi="Gill Sans" w:cs="Gill Sans"/>
          <w:color w:val="auto"/>
          <w:sz w:val="18"/>
          <w:szCs w:val="18"/>
        </w:rPr>
        <w:t>Consultations - have your say: Open Government Partnership NZ: National action plan 2016-18 mid-term self-assessment,</w:t>
      </w:r>
      <w:r>
        <w:rPr>
          <w:rFonts w:ascii="Gill Sans" w:hAnsi="Gill Sans" w:cs="Gill Sans"/>
          <w:color w:val="auto"/>
          <w:sz w:val="18"/>
          <w:szCs w:val="18"/>
        </w:rPr>
        <w:t>’</w:t>
      </w:r>
      <w:r w:rsidRPr="00EE4CD9">
        <w:rPr>
          <w:rFonts w:ascii="Gill Sans" w:hAnsi="Gill Sans" w:cs="Gill Sans"/>
          <w:color w:val="auto"/>
          <w:sz w:val="18"/>
          <w:szCs w:val="18"/>
        </w:rPr>
        <w:t xml:space="preserve"> New Zealand Government, 20 July 2017, </w:t>
      </w:r>
      <w:r>
        <w:fldChar w:fldCharType="begin"/>
      </w:r>
      <w:r>
        <w:instrText xml:space="preserve"> HYPERLINK </w:instrText>
      </w:r>
      <w:r>
        <w:fldChar w:fldCharType="separate"/>
      </w:r>
      <w:r>
        <w:fldChar w:fldCharType="end"/>
      </w:r>
      <w:hyperlink r:id="rId6" w:history="1">
        <w:r w:rsidRPr="00EE4CD9">
          <w:rPr>
            <w:rStyle w:val="EndnoteReference"/>
            <w:rFonts w:ascii="Gill Sans" w:hAnsi="Gill Sans" w:cs="Gill Sans"/>
            <w:color w:val="auto"/>
            <w:sz w:val="18"/>
            <w:szCs w:val="18"/>
            <w:vertAlign w:val="baseline"/>
          </w:rPr>
          <w:t>http://bit.ly/2uZA7rR</w:t>
        </w:r>
      </w:hyperlink>
      <w:r w:rsidRPr="00EE4CD9">
        <w:rPr>
          <w:rStyle w:val="EndnoteReference"/>
          <w:rFonts w:ascii="Gill Sans" w:hAnsi="Gill Sans" w:cs="Gill Sans"/>
          <w:color w:val="auto"/>
          <w:sz w:val="18"/>
          <w:szCs w:val="18"/>
          <w:vertAlign w:val="baseline"/>
        </w:rPr>
        <w:t>.</w:t>
      </w:r>
    </w:p>
  </w:endnote>
  <w:endnote w:id="72">
    <w:p w14:paraId="2C2CB1BA" w14:textId="1593BDE0" w:rsidR="001A2E4A" w:rsidRPr="00EE4CD9" w:rsidRDefault="001A2E4A">
      <w:pPr>
        <w:pStyle w:val="EndnoteText"/>
        <w:rPr>
          <w:rStyle w:val="EndnoteReference"/>
          <w:rFonts w:ascii="Gill Sans" w:hAnsi="Gill Sans" w:cs="Gill Sans"/>
          <w:color w:val="auto"/>
          <w:sz w:val="18"/>
          <w:szCs w:val="18"/>
          <w:vertAlign w:val="baseline"/>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sidRPr="00EE4CD9">
        <w:rPr>
          <w:rStyle w:val="EndnoteReference"/>
          <w:rFonts w:ascii="Gill Sans" w:hAnsi="Gill Sans" w:cs="Gill Sans"/>
          <w:color w:val="auto"/>
          <w:sz w:val="18"/>
          <w:szCs w:val="18"/>
          <w:vertAlign w:val="baseline"/>
        </w:rPr>
        <w:t>As advised by the Ministry of Social Development on 28 September 2017.</w:t>
      </w:r>
    </w:p>
  </w:endnote>
  <w:endnote w:id="73">
    <w:p w14:paraId="49AAF09B" w14:textId="118FFE5F" w:rsidR="001A2E4A" w:rsidRPr="00DA1402" w:rsidRDefault="001A2E4A">
      <w:pPr>
        <w:pStyle w:val="EndnoteText"/>
        <w:rPr>
          <w:rFonts w:ascii="Gill Sans" w:hAnsi="Gill Sans" w:cs="Gill Sans"/>
          <w:color w:val="auto"/>
          <w:sz w:val="18"/>
          <w:szCs w:val="18"/>
          <w:lang w:val="en-NZ"/>
        </w:rPr>
      </w:pPr>
      <w:r w:rsidRPr="00EE4CD9">
        <w:rPr>
          <w:rStyle w:val="EndnoteReference"/>
          <w:rFonts w:ascii="Gill Sans" w:hAnsi="Gill Sans" w:cs="Gill Sans"/>
          <w:color w:val="auto"/>
          <w:sz w:val="18"/>
          <w:szCs w:val="18"/>
          <w:vertAlign w:val="baseline"/>
        </w:rPr>
        <w:endnoteRef/>
      </w:r>
      <w:r w:rsidRPr="00EE4CD9">
        <w:rPr>
          <w:rStyle w:val="EndnoteReference"/>
          <w:rFonts w:ascii="Gill Sans" w:hAnsi="Gill Sans" w:cs="Gill Sans"/>
          <w:color w:val="auto"/>
          <w:sz w:val="18"/>
          <w:szCs w:val="18"/>
          <w:vertAlign w:val="baseline"/>
        </w:rPr>
        <w:t xml:space="preserve"> </w:t>
      </w:r>
      <w:r w:rsidRPr="00EE4CD9">
        <w:rPr>
          <w:rFonts w:ascii="Gill Sans" w:hAnsi="Gill Sans" w:cs="Gill Sans"/>
          <w:i/>
          <w:color w:val="auto"/>
          <w:sz w:val="18"/>
          <w:szCs w:val="18"/>
        </w:rPr>
        <w:t>The Social Report 2016</w:t>
      </w:r>
      <w:r w:rsidRPr="00EE4CD9">
        <w:rPr>
          <w:rFonts w:ascii="Gill Sans" w:hAnsi="Gill Sans" w:cs="Gill Sans"/>
          <w:color w:val="auto"/>
          <w:sz w:val="18"/>
          <w:szCs w:val="18"/>
        </w:rPr>
        <w:t xml:space="preserve">, Ministry of Social Development, June 2016, socialreport.msd.govt.nz/documents/2016/msd-the-social-report-2016.pdf; </w:t>
      </w:r>
      <w:r>
        <w:fldChar w:fldCharType="begin"/>
      </w:r>
      <w:r>
        <w:instrText xml:space="preserve"> HYPERLINK </w:instrText>
      </w:r>
      <w:r>
        <w:fldChar w:fldCharType="separate"/>
      </w:r>
      <w:r>
        <w:fldChar w:fldCharType="end"/>
      </w:r>
      <w:r>
        <w:rPr>
          <w:rStyle w:val="EndnoteReference"/>
          <w:rFonts w:ascii="Gill Sans" w:hAnsi="Gill Sans" w:cs="Gill Sans"/>
          <w:color w:val="auto"/>
          <w:sz w:val="18"/>
          <w:szCs w:val="18"/>
          <w:vertAlign w:val="baseline"/>
        </w:rPr>
        <w:t>‘</w:t>
      </w:r>
      <w:r w:rsidRPr="00EE4CD9">
        <w:rPr>
          <w:rStyle w:val="EndnoteReference"/>
          <w:rFonts w:ascii="Gill Sans" w:hAnsi="Gill Sans" w:cs="Gill Sans"/>
          <w:color w:val="auto"/>
          <w:sz w:val="18"/>
          <w:szCs w:val="18"/>
          <w:vertAlign w:val="baseline"/>
        </w:rPr>
        <w:t>Reports: New Zealand's environmental reporting series,</w:t>
      </w:r>
      <w:r>
        <w:rPr>
          <w:rStyle w:val="EndnoteReference"/>
          <w:rFonts w:ascii="Gill Sans" w:hAnsi="Gill Sans" w:cs="Gill Sans"/>
          <w:color w:val="auto"/>
          <w:sz w:val="18"/>
          <w:szCs w:val="18"/>
          <w:vertAlign w:val="baseline"/>
        </w:rPr>
        <w:t>’</w:t>
      </w:r>
      <w:r w:rsidRPr="00EE4CD9">
        <w:rPr>
          <w:rStyle w:val="EndnoteReference"/>
          <w:rFonts w:ascii="Gill Sans" w:hAnsi="Gill Sans" w:cs="Gill Sans"/>
          <w:color w:val="auto"/>
          <w:sz w:val="18"/>
          <w:szCs w:val="18"/>
          <w:vertAlign w:val="baseline"/>
        </w:rPr>
        <w:t xml:space="preserve"> Ministry for the Environment, 19 October 2017, www.mfe.govt.nz/more/environmental-reporting/about-reporting-series</w:t>
      </w:r>
      <w:r w:rsidRPr="00EE4CD9">
        <w:rPr>
          <w:rFonts w:ascii="Gill Sans" w:hAnsi="Gill Sans" w:cs="Gill Sans"/>
          <w:color w:val="auto"/>
          <w:sz w:val="18"/>
          <w:szCs w:val="18"/>
        </w:rPr>
        <w:t>.</w:t>
      </w:r>
    </w:p>
  </w:endnote>
  <w:endnote w:id="74">
    <w:p w14:paraId="3DDD4173" w14:textId="6A62883B" w:rsidR="001A2E4A" w:rsidRPr="00DA1402" w:rsidRDefault="001A2E4A">
      <w:pPr>
        <w:pStyle w:val="EndnoteText"/>
        <w:rPr>
          <w:rStyle w:val="EndnoteReference"/>
          <w:rFonts w:ascii="Gill Sans" w:hAnsi="Gill Sans" w:cs="Gill Sans"/>
          <w:color w:val="auto"/>
          <w:sz w:val="18"/>
          <w:szCs w:val="18"/>
          <w:vertAlign w:val="baseline"/>
        </w:rPr>
      </w:pPr>
      <w:r w:rsidRPr="00DA1402">
        <w:rPr>
          <w:rStyle w:val="EndnoteReference"/>
          <w:rFonts w:ascii="Gill Sans" w:hAnsi="Gill Sans" w:cs="Gill Sans"/>
          <w:color w:val="auto"/>
          <w:sz w:val="18"/>
          <w:szCs w:val="18"/>
          <w:vertAlign w:val="baseline"/>
        </w:rPr>
        <w:endnoteRef/>
      </w:r>
      <w:r w:rsidRPr="00DA1402">
        <w:rPr>
          <w:rStyle w:val="EndnoteReference"/>
          <w:rFonts w:ascii="Gill Sans" w:hAnsi="Gill Sans" w:cs="Gill Sans"/>
          <w:color w:val="auto"/>
          <w:sz w:val="18"/>
          <w:szCs w:val="18"/>
          <w:vertAlign w:val="baseline"/>
        </w:rPr>
        <w:t xml:space="preserve"> </w:t>
      </w:r>
      <w:r w:rsidRPr="00DA1402">
        <w:rPr>
          <w:rStyle w:val="EndnoteReference"/>
          <w:rFonts w:ascii="Gill Sans" w:hAnsi="Gill Sans" w:cs="Gill Sans"/>
          <w:i/>
          <w:color w:val="auto"/>
          <w:sz w:val="18"/>
          <w:szCs w:val="18"/>
          <w:vertAlign w:val="baseline"/>
        </w:rPr>
        <w:t>Open Government Partnership: Articles of Governance</w:t>
      </w:r>
      <w:r w:rsidRPr="00DA1402">
        <w:rPr>
          <w:rStyle w:val="EndnoteReference"/>
          <w:rFonts w:ascii="Gill Sans" w:hAnsi="Gill Sans" w:cs="Gill Sans"/>
          <w:color w:val="auto"/>
          <w:sz w:val="18"/>
          <w:szCs w:val="18"/>
          <w:vertAlign w:val="baseline"/>
        </w:rPr>
        <w:t>, June 2012 (Updated March 2014 and April 2015), https://www.opengovpartnership.org/sites/default/files/attachments/OGP_Articles-Gov_Apr-21-2015.pdf</w:t>
      </w:r>
      <w:r w:rsidRPr="00DA1402">
        <w:rPr>
          <w:rFonts w:ascii="Gill Sans" w:hAnsi="Gill Sans" w:cs="Gill Sans"/>
          <w:color w:val="auto"/>
          <w:sz w:val="18"/>
          <w:szCs w:val="18"/>
        </w:rPr>
        <w:t>.</w:t>
      </w:r>
    </w:p>
  </w:endnote>
  <w:endnote w:id="75">
    <w:p w14:paraId="6C24BC21" w14:textId="5B3CC09D" w:rsidR="001A2E4A" w:rsidRPr="00DA1402" w:rsidRDefault="001A2E4A">
      <w:pPr>
        <w:pStyle w:val="EndnoteText"/>
        <w:rPr>
          <w:rStyle w:val="EndnoteReference"/>
          <w:rFonts w:ascii="Gill Sans" w:hAnsi="Gill Sans" w:cs="Gill Sans"/>
          <w:color w:val="auto"/>
          <w:sz w:val="18"/>
          <w:szCs w:val="18"/>
          <w:vertAlign w:val="baseline"/>
        </w:rPr>
      </w:pPr>
      <w:r w:rsidRPr="00DA1402">
        <w:rPr>
          <w:rStyle w:val="EndnoteReference"/>
          <w:rFonts w:ascii="Gill Sans" w:hAnsi="Gill Sans" w:cs="Gill Sans"/>
          <w:color w:val="auto"/>
          <w:sz w:val="18"/>
          <w:szCs w:val="18"/>
          <w:vertAlign w:val="baseline"/>
        </w:rPr>
        <w:endnoteRef/>
      </w:r>
      <w:r w:rsidRPr="00DA1402">
        <w:rPr>
          <w:rStyle w:val="EndnoteReference"/>
          <w:rFonts w:ascii="Gill Sans" w:hAnsi="Gill Sans" w:cs="Gill Sans"/>
          <w:color w:val="auto"/>
          <w:sz w:val="18"/>
          <w:szCs w:val="18"/>
          <w:vertAlign w:val="baseline"/>
        </w:rPr>
        <w:t xml:space="preserve"> </w:t>
      </w:r>
      <w:r w:rsidRPr="00DA1402">
        <w:rPr>
          <w:rStyle w:val="EndnoteReference"/>
          <w:rFonts w:ascii="Gill Sans" w:hAnsi="Gill Sans" w:cs="Gill Sans"/>
          <w:i/>
          <w:color w:val="auto"/>
          <w:sz w:val="18"/>
          <w:szCs w:val="18"/>
          <w:vertAlign w:val="baseline"/>
        </w:rPr>
        <w:t>IRM Procedures Manual</w:t>
      </w:r>
      <w:r w:rsidRPr="00DA1402">
        <w:rPr>
          <w:rStyle w:val="EndnoteReference"/>
          <w:rFonts w:ascii="Gill Sans" w:hAnsi="Gill Sans" w:cs="Gill Sans"/>
          <w:color w:val="auto"/>
          <w:sz w:val="18"/>
          <w:szCs w:val="18"/>
          <w:vertAlign w:val="baseline"/>
        </w:rPr>
        <w:t xml:space="preserve">. Available at: </w:t>
      </w:r>
      <w:r w:rsidRPr="00DA1402">
        <w:rPr>
          <w:rFonts w:ascii="Gill Sans" w:hAnsi="Gill Sans" w:cs="Gill Sans"/>
          <w:color w:val="auto"/>
          <w:sz w:val="18"/>
          <w:szCs w:val="18"/>
        </w:rPr>
        <w:t>https://www.opengovpartnership.org/documents/irm-procedures-manual.</w:t>
      </w:r>
      <w:r w:rsidRPr="00DA1402" w:rsidDel="006E638A">
        <w:rPr>
          <w:rStyle w:val="EndnoteReference"/>
          <w:rFonts w:ascii="Gill Sans" w:hAnsi="Gill Sans" w:cs="Gill Sans"/>
          <w:color w:val="auto"/>
          <w:sz w:val="18"/>
          <w:szCs w:val="18"/>
          <w:vertAlign w:val="baseline"/>
        </w:rPr>
        <w:t xml:space="preserve"> </w:t>
      </w:r>
    </w:p>
  </w:endnote>
  <w:endnote w:id="76">
    <w:p w14:paraId="585238A5" w14:textId="39E44438" w:rsidR="001A2E4A" w:rsidRPr="00DA1402" w:rsidRDefault="001A2E4A">
      <w:pPr>
        <w:pStyle w:val="EndnoteText"/>
        <w:rPr>
          <w:rStyle w:val="EndnoteReference"/>
          <w:rFonts w:ascii="Gill Sans" w:hAnsi="Gill Sans" w:cs="Gill Sans"/>
          <w:color w:val="auto"/>
          <w:sz w:val="18"/>
          <w:szCs w:val="18"/>
          <w:vertAlign w:val="baseline"/>
        </w:rPr>
      </w:pPr>
      <w:r w:rsidRPr="00DA1402">
        <w:rPr>
          <w:rStyle w:val="EndnoteReference"/>
          <w:rFonts w:ascii="Gill Sans" w:hAnsi="Gill Sans" w:cs="Gill Sans"/>
          <w:color w:val="auto"/>
          <w:sz w:val="18"/>
          <w:szCs w:val="18"/>
          <w:vertAlign w:val="baseline"/>
        </w:rPr>
        <w:endnoteRef/>
      </w:r>
      <w:r w:rsidRPr="00DA1402">
        <w:rPr>
          <w:rStyle w:val="EndnoteReference"/>
          <w:rFonts w:ascii="Gill Sans" w:hAnsi="Gill Sans" w:cs="Gill Sans"/>
          <w:color w:val="auto"/>
          <w:sz w:val="18"/>
          <w:szCs w:val="18"/>
          <w:vertAlign w:val="baseline"/>
        </w:rPr>
        <w:t xml:space="preserve"> </w:t>
      </w:r>
      <w:r w:rsidRPr="00DA1402">
        <w:rPr>
          <w:rStyle w:val="EndnoteReference"/>
          <w:rFonts w:ascii="Gill Sans" w:hAnsi="Gill Sans" w:cs="Gill Sans"/>
          <w:color w:val="auto"/>
          <w:sz w:val="18"/>
          <w:szCs w:val="18"/>
          <w:vertAlign w:val="baseline"/>
        </w:rPr>
        <w:t xml:space="preserve">The International Experts Panel changed this criterion in 2015. For more information visit: </w:t>
      </w:r>
      <w:r>
        <w:fldChar w:fldCharType="begin"/>
      </w:r>
      <w:r>
        <w:instrText xml:space="preserve"> HYPERLINK "http://www.opengovpartnership.org/node/5919" </w:instrText>
      </w:r>
      <w:r>
        <w:fldChar w:fldCharType="separate"/>
      </w:r>
      <w:r w:rsidRPr="00DA1402">
        <w:rPr>
          <w:rStyle w:val="EndnoteReference"/>
          <w:rFonts w:ascii="Gill Sans" w:hAnsi="Gill Sans" w:cs="Gill Sans"/>
          <w:color w:val="auto"/>
          <w:sz w:val="18"/>
          <w:szCs w:val="18"/>
          <w:vertAlign w:val="baseline"/>
        </w:rPr>
        <w:t>http://www.opengovpartnership.org/node/5919</w:t>
      </w:r>
      <w:r>
        <w:rPr>
          <w:rStyle w:val="EndnoteReference"/>
          <w:rFonts w:ascii="Gill Sans" w:hAnsi="Gill Sans" w:cs="Gill Sans"/>
          <w:color w:val="auto"/>
          <w:sz w:val="18"/>
          <w:szCs w:val="18"/>
          <w:vertAlign w:val="baseline"/>
        </w:rPr>
        <w:fldChar w:fldCharType="end"/>
      </w:r>
      <w:r w:rsidRPr="00DA1402">
        <w:rPr>
          <w:rStyle w:val="EndnoteReference"/>
          <w:rFonts w:ascii="Gill Sans" w:hAnsi="Gill Sans" w:cs="Gill Sans"/>
          <w:color w:val="auto"/>
          <w:sz w:val="18"/>
          <w:szCs w:val="18"/>
          <w:vertAlign w:val="baseline"/>
        </w:rPr>
        <w:t xml:space="preserve">. </w:t>
      </w:r>
    </w:p>
  </w:endnote>
  <w:endnote w:id="77">
    <w:p w14:paraId="6553F91E" w14:textId="4B141FFF" w:rsidR="001A2E4A" w:rsidRPr="00DA1402" w:rsidRDefault="001A2E4A">
      <w:pPr>
        <w:pStyle w:val="EndnoteText"/>
        <w:rPr>
          <w:rStyle w:val="EndnoteReference"/>
          <w:rFonts w:ascii="Gill Sans" w:hAnsi="Gill Sans" w:cs="Gill Sans"/>
          <w:color w:val="auto"/>
          <w:sz w:val="18"/>
          <w:szCs w:val="18"/>
          <w:vertAlign w:val="baseline"/>
        </w:rPr>
      </w:pPr>
      <w:r w:rsidRPr="00DA1402">
        <w:rPr>
          <w:rStyle w:val="EndnoteReference"/>
          <w:rFonts w:ascii="Gill Sans" w:hAnsi="Gill Sans" w:cs="Gill Sans"/>
          <w:color w:val="auto"/>
          <w:sz w:val="18"/>
          <w:szCs w:val="18"/>
          <w:vertAlign w:val="baseline"/>
        </w:rPr>
        <w:endnoteRef/>
      </w:r>
      <w:r w:rsidRPr="00DA1402">
        <w:rPr>
          <w:rStyle w:val="EndnoteReference"/>
          <w:rFonts w:ascii="Gill Sans" w:hAnsi="Gill Sans" w:cs="Gill Sans"/>
          <w:color w:val="auto"/>
          <w:sz w:val="18"/>
          <w:szCs w:val="18"/>
          <w:vertAlign w:val="baseline"/>
        </w:rPr>
        <w:t xml:space="preserve"> </w:t>
      </w:r>
      <w:r w:rsidRPr="00DA1402">
        <w:rPr>
          <w:rStyle w:val="EndnoteReference"/>
          <w:rFonts w:ascii="Gill Sans" w:hAnsi="Gill Sans" w:cs="Gill Sans"/>
          <w:color w:val="auto"/>
          <w:sz w:val="18"/>
          <w:szCs w:val="18"/>
          <w:vertAlign w:val="baseline"/>
        </w:rPr>
        <w:t>OGP Explorer: bit.ly/1KE2Wil</w:t>
      </w:r>
      <w:r w:rsidRPr="00DA1402">
        <w:rPr>
          <w:rFonts w:ascii="Gill Sans" w:hAnsi="Gill Sans" w:cs="Gill Sans"/>
          <w:color w:val="auto"/>
          <w:sz w:val="18"/>
          <w:szCs w:val="18"/>
        </w:rPr>
        <w:t>.</w:t>
      </w:r>
    </w:p>
  </w:endnote>
  <w:endnote w:id="78">
    <w:p w14:paraId="6188D24E" w14:textId="1D81DBBC" w:rsidR="001A2E4A" w:rsidRPr="00DA1402" w:rsidRDefault="001A2E4A">
      <w:pPr>
        <w:pStyle w:val="EndnoteText"/>
        <w:rPr>
          <w:rStyle w:val="EndnoteReference"/>
          <w:rFonts w:ascii="Gill Sans" w:hAnsi="Gill Sans" w:cs="Gill Sans"/>
          <w:color w:val="auto"/>
          <w:sz w:val="18"/>
          <w:szCs w:val="18"/>
          <w:vertAlign w:val="baseline"/>
        </w:rPr>
      </w:pPr>
      <w:r w:rsidRPr="00DA1402">
        <w:rPr>
          <w:rStyle w:val="EndnoteReference"/>
          <w:rFonts w:ascii="Gill Sans" w:hAnsi="Gill Sans" w:cs="Gill Sans"/>
          <w:color w:val="auto"/>
          <w:sz w:val="18"/>
          <w:szCs w:val="18"/>
          <w:vertAlign w:val="baseline"/>
        </w:rPr>
        <w:endnoteRef/>
      </w:r>
      <w:r w:rsidRPr="00DA1402">
        <w:rPr>
          <w:rStyle w:val="EndnoteReference"/>
          <w:rFonts w:ascii="Gill Sans" w:hAnsi="Gill Sans" w:cs="Gill Sans"/>
          <w:color w:val="auto"/>
          <w:sz w:val="18"/>
          <w:szCs w:val="18"/>
          <w:vertAlign w:val="baseline"/>
        </w:rPr>
        <w:t xml:space="preserve"> </w:t>
      </w:r>
      <w:r w:rsidRPr="00DA1402">
        <w:rPr>
          <w:rStyle w:val="EndnoteReference"/>
          <w:rFonts w:ascii="Gill Sans" w:hAnsi="Gill Sans" w:cs="Gill Sans"/>
          <w:i/>
          <w:color w:val="auto"/>
          <w:sz w:val="18"/>
          <w:szCs w:val="18"/>
          <w:vertAlign w:val="baseline"/>
        </w:rPr>
        <w:t>National Action Plan 2016-18</w:t>
      </w:r>
      <w:r w:rsidRPr="00DA1402">
        <w:rPr>
          <w:rStyle w:val="EndnoteReference"/>
          <w:rFonts w:ascii="Gill Sans" w:hAnsi="Gill Sans" w:cs="Gill Sans"/>
          <w:color w:val="auto"/>
          <w:sz w:val="18"/>
          <w:szCs w:val="18"/>
          <w:vertAlign w:val="baseline"/>
        </w:rPr>
        <w:t xml:space="preserve">, </w:t>
      </w:r>
      <w:r w:rsidRPr="00DA1402">
        <w:rPr>
          <w:rFonts w:ascii="Gill Sans" w:hAnsi="Gill Sans" w:cs="Gill Sans"/>
          <w:color w:val="auto"/>
          <w:sz w:val="18"/>
          <w:szCs w:val="18"/>
        </w:rPr>
        <w:t xml:space="preserve">Open Government: New Zealand, </w:t>
      </w:r>
      <w:r>
        <w:fldChar w:fldCharType="begin"/>
      </w:r>
      <w:r>
        <w:instrText xml:space="preserve"> HYPERLINK "http://www.ogp.org.nz/national-action-plan-2016-18/" </w:instrText>
      </w:r>
      <w:r>
        <w:fldChar w:fldCharType="separate"/>
      </w:r>
      <w:r w:rsidRPr="00DA1402">
        <w:rPr>
          <w:rStyle w:val="Hyperlink"/>
          <w:rFonts w:ascii="Gill Sans" w:hAnsi="Gill Sans" w:cs="Gill Sans"/>
          <w:color w:val="auto"/>
          <w:sz w:val="18"/>
          <w:szCs w:val="18"/>
          <w:u w:val="none"/>
        </w:rPr>
        <w:t>http://www.ogp.org.nz/national-action-plan-2016-18/</w:t>
      </w:r>
      <w:r>
        <w:rPr>
          <w:rStyle w:val="Hyperlink"/>
          <w:rFonts w:ascii="Gill Sans" w:hAnsi="Gill Sans" w:cs="Gill Sans"/>
          <w:color w:val="auto"/>
          <w:sz w:val="18"/>
          <w:szCs w:val="18"/>
          <w:u w:val="none"/>
        </w:rPr>
        <w:fldChar w:fldCharType="end"/>
      </w:r>
      <w:r w:rsidRPr="00DA1402">
        <w:rPr>
          <w:rFonts w:ascii="Gill Sans" w:hAnsi="Gill Sans" w:cs="Gill Sans"/>
          <w:color w:val="auto"/>
          <w:sz w:val="18"/>
          <w:szCs w:val="18"/>
        </w:rPr>
        <w:t>, 8.</w:t>
      </w:r>
    </w:p>
  </w:endnote>
  <w:endnote w:id="79">
    <w:p w14:paraId="58F8F571" w14:textId="19D77B83" w:rsidR="001A2E4A" w:rsidRPr="00DA1402" w:rsidRDefault="001A2E4A">
      <w:pPr>
        <w:pStyle w:val="EndnoteText"/>
        <w:rPr>
          <w:rFonts w:ascii="Gill Sans" w:hAnsi="Gill Sans" w:cs="Gill Sans"/>
          <w:color w:val="auto"/>
          <w:sz w:val="18"/>
          <w:szCs w:val="18"/>
          <w:lang w:val="fr-FR"/>
        </w:rPr>
      </w:pPr>
      <w:r w:rsidRPr="00DA1402">
        <w:rPr>
          <w:rStyle w:val="EndnoteReference"/>
          <w:rFonts w:ascii="Gill Sans" w:hAnsi="Gill Sans" w:cs="Gill Sans"/>
          <w:color w:val="auto"/>
          <w:sz w:val="18"/>
          <w:szCs w:val="18"/>
          <w:vertAlign w:val="baseline"/>
        </w:rPr>
        <w:endnoteRef/>
      </w:r>
      <w:r w:rsidRPr="00DA1402">
        <w:rPr>
          <w:rStyle w:val="EndnoteReference"/>
          <w:rFonts w:ascii="Gill Sans" w:hAnsi="Gill Sans" w:cs="Gill Sans"/>
          <w:color w:val="auto"/>
          <w:sz w:val="18"/>
          <w:szCs w:val="18"/>
          <w:vertAlign w:val="baseline"/>
        </w:rPr>
        <w:t xml:space="preserve"> </w:t>
      </w:r>
      <w:r w:rsidRPr="00DA1402">
        <w:rPr>
          <w:rStyle w:val="EndnoteReference"/>
          <w:rFonts w:ascii="Gill Sans" w:hAnsi="Gill Sans" w:cs="Gill Sans"/>
          <w:i/>
          <w:color w:val="auto"/>
          <w:sz w:val="18"/>
          <w:szCs w:val="18"/>
          <w:vertAlign w:val="baseline"/>
        </w:rPr>
        <w:t>I</w:t>
      </w:r>
      <w:r w:rsidRPr="00DA1402">
        <w:rPr>
          <w:rFonts w:ascii="Gill Sans" w:hAnsi="Gill Sans" w:cs="Gill Sans"/>
          <w:i/>
          <w:color w:val="auto"/>
          <w:sz w:val="18"/>
          <w:szCs w:val="18"/>
        </w:rPr>
        <w:t>d</w:t>
      </w:r>
      <w:r w:rsidRPr="00DA1402">
        <w:rPr>
          <w:rFonts w:ascii="Gill Sans" w:hAnsi="Gill Sans" w:cs="Gill Sans"/>
          <w:color w:val="auto"/>
          <w:sz w:val="18"/>
          <w:szCs w:val="18"/>
        </w:rPr>
        <w:t>. at</w:t>
      </w:r>
      <w:r w:rsidRPr="00DA1402">
        <w:rPr>
          <w:rStyle w:val="EndnoteReference"/>
          <w:rFonts w:ascii="Gill Sans" w:hAnsi="Gill Sans" w:cs="Gill Sans"/>
          <w:color w:val="auto"/>
          <w:sz w:val="18"/>
          <w:szCs w:val="18"/>
          <w:vertAlign w:val="baseline"/>
        </w:rPr>
        <w:t xml:space="preserve"> 7.</w:t>
      </w:r>
    </w:p>
  </w:endnote>
  <w:endnote w:id="80">
    <w:p w14:paraId="61ECDA99" w14:textId="62B4A62E" w:rsidR="001A2E4A" w:rsidRPr="00415346" w:rsidRDefault="001A2E4A">
      <w:pPr>
        <w:pStyle w:val="EndnoteText"/>
        <w:rPr>
          <w:rStyle w:val="EndnoteReference"/>
          <w:rFonts w:ascii="Gill Sans" w:hAnsi="Gill Sans" w:cs="Gill Sans"/>
          <w:color w:val="auto"/>
          <w:sz w:val="18"/>
          <w:szCs w:val="18"/>
          <w:vertAlign w:val="baseline"/>
        </w:rPr>
      </w:pPr>
      <w:r w:rsidRPr="00415346">
        <w:rPr>
          <w:rStyle w:val="EndnoteReference"/>
          <w:rFonts w:ascii="Gill Sans" w:hAnsi="Gill Sans" w:cs="Gill Sans"/>
          <w:color w:val="auto"/>
          <w:sz w:val="18"/>
          <w:szCs w:val="18"/>
          <w:vertAlign w:val="baseline"/>
        </w:rPr>
        <w:endnoteRef/>
      </w:r>
      <w:r w:rsidRPr="00415346">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415346">
        <w:rPr>
          <w:rFonts w:ascii="Gill Sans" w:hAnsi="Gill Sans" w:cs="Gill Sans"/>
          <w:color w:val="auto"/>
          <w:sz w:val="18"/>
          <w:szCs w:val="18"/>
        </w:rPr>
        <w:t>Archive of Budgets of the Government of New Zealand 1997 to 2017,</w:t>
      </w:r>
      <w:r>
        <w:rPr>
          <w:rFonts w:ascii="Gill Sans" w:hAnsi="Gill Sans" w:cs="Gill Sans"/>
          <w:color w:val="auto"/>
          <w:sz w:val="18"/>
          <w:szCs w:val="18"/>
        </w:rPr>
        <w:t>’</w:t>
      </w:r>
      <w:r w:rsidRPr="00415346">
        <w:rPr>
          <w:rFonts w:ascii="Gill Sans" w:hAnsi="Gill Sans" w:cs="Gill Sans"/>
          <w:color w:val="auto"/>
          <w:sz w:val="18"/>
          <w:szCs w:val="18"/>
        </w:rPr>
        <w:t xml:space="preserve"> The Treasury, 25May 2017, www.treasury.govt.nz/budget/archive</w:t>
      </w:r>
      <w:r w:rsidRPr="00415346">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415346">
        <w:rPr>
          <w:rFonts w:ascii="Gill Sans" w:hAnsi="Gill Sans" w:cs="Gill Sans"/>
          <w:color w:val="auto"/>
          <w:sz w:val="18"/>
          <w:szCs w:val="18"/>
        </w:rPr>
        <w:t>Historical Vote Information,</w:t>
      </w:r>
      <w:r>
        <w:rPr>
          <w:rFonts w:ascii="Gill Sans" w:hAnsi="Gill Sans" w:cs="Gill Sans"/>
          <w:color w:val="auto"/>
          <w:sz w:val="18"/>
          <w:szCs w:val="18"/>
        </w:rPr>
        <w:t>’</w:t>
      </w:r>
      <w:r w:rsidRPr="00415346">
        <w:rPr>
          <w:rFonts w:ascii="Gill Sans" w:hAnsi="Gill Sans" w:cs="Gill Sans"/>
          <w:color w:val="auto"/>
          <w:sz w:val="18"/>
          <w:szCs w:val="18"/>
        </w:rPr>
        <w:t xml:space="preserve"> The Treasury, 25 May 2017, www.treasury.govt.nz/budget/votehistory.</w:t>
      </w:r>
    </w:p>
  </w:endnote>
  <w:endnote w:id="81">
    <w:p w14:paraId="568B04A9" w14:textId="12567ABF" w:rsidR="001A2E4A" w:rsidRPr="00415346" w:rsidRDefault="001A2E4A" w:rsidP="00F34F3D">
      <w:pPr>
        <w:pStyle w:val="EndnoteText"/>
        <w:rPr>
          <w:rStyle w:val="EndnoteReference"/>
          <w:rFonts w:ascii="Gill Sans" w:hAnsi="Gill Sans" w:cs="Gill Sans"/>
          <w:color w:val="auto"/>
          <w:sz w:val="18"/>
          <w:szCs w:val="18"/>
          <w:vertAlign w:val="baseline"/>
        </w:rPr>
      </w:pPr>
      <w:r w:rsidRPr="00415346">
        <w:rPr>
          <w:rStyle w:val="EndnoteReference"/>
          <w:rFonts w:ascii="Gill Sans" w:hAnsi="Gill Sans" w:cs="Gill Sans"/>
          <w:color w:val="auto"/>
          <w:sz w:val="18"/>
          <w:szCs w:val="18"/>
          <w:vertAlign w:val="baseline"/>
        </w:rPr>
        <w:endnoteRef/>
      </w:r>
      <w:r w:rsidRPr="00415346">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415346">
        <w:rPr>
          <w:rFonts w:ascii="Gill Sans" w:hAnsi="Gill Sans" w:cs="Gill Sans"/>
          <w:color w:val="auto"/>
          <w:sz w:val="18"/>
          <w:szCs w:val="18"/>
        </w:rPr>
        <w:t>Open Budget Survey Document Availability Tracker,</w:t>
      </w:r>
      <w:r>
        <w:rPr>
          <w:rFonts w:ascii="Gill Sans" w:hAnsi="Gill Sans" w:cs="Gill Sans"/>
          <w:color w:val="auto"/>
          <w:sz w:val="18"/>
          <w:szCs w:val="18"/>
        </w:rPr>
        <w:t>’</w:t>
      </w:r>
      <w:r w:rsidRPr="00415346">
        <w:rPr>
          <w:rFonts w:ascii="Gill Sans" w:hAnsi="Gill Sans" w:cs="Gill Sans"/>
          <w:color w:val="auto"/>
          <w:sz w:val="18"/>
          <w:szCs w:val="18"/>
        </w:rPr>
        <w:t xml:space="preserve"> International Budget Partnership, December 2016, https://www.internationalbudget.org/opening-budgets/open-budget-initiative/open-budget-survey/country-info/?country=nz.</w:t>
      </w:r>
    </w:p>
  </w:endnote>
  <w:endnote w:id="82">
    <w:p w14:paraId="2E3EA282" w14:textId="333CAFAD" w:rsidR="001A2E4A" w:rsidRPr="00415346" w:rsidRDefault="001A2E4A" w:rsidP="00F34F3D">
      <w:pPr>
        <w:pStyle w:val="EndnoteText"/>
        <w:rPr>
          <w:rStyle w:val="EndnoteReference"/>
          <w:rFonts w:ascii="Gill Sans" w:hAnsi="Gill Sans" w:cs="Gill Sans"/>
          <w:color w:val="auto"/>
          <w:sz w:val="18"/>
          <w:szCs w:val="18"/>
          <w:vertAlign w:val="baseline"/>
        </w:rPr>
      </w:pPr>
      <w:r w:rsidRPr="00415346">
        <w:rPr>
          <w:rStyle w:val="EndnoteReference"/>
          <w:rFonts w:ascii="Gill Sans" w:hAnsi="Gill Sans" w:cs="Gill Sans"/>
          <w:color w:val="auto"/>
          <w:sz w:val="18"/>
          <w:szCs w:val="18"/>
          <w:vertAlign w:val="baseline"/>
        </w:rPr>
        <w:endnoteRef/>
      </w:r>
      <w:r w:rsidRPr="00415346">
        <w:rPr>
          <w:rStyle w:val="EndnoteReference"/>
          <w:rFonts w:ascii="Gill Sans" w:hAnsi="Gill Sans" w:cs="Gill Sans"/>
          <w:color w:val="auto"/>
          <w:sz w:val="18"/>
          <w:szCs w:val="18"/>
          <w:vertAlign w:val="baseline"/>
        </w:rPr>
        <w:t xml:space="preserve"> </w:t>
      </w:r>
      <w:r w:rsidRPr="00415346">
        <w:rPr>
          <w:rFonts w:ascii="Gill Sans" w:hAnsi="Gill Sans" w:cs="Gill Sans"/>
          <w:color w:val="auto"/>
          <w:sz w:val="18"/>
          <w:szCs w:val="18"/>
        </w:rPr>
        <w:t>E</w:t>
      </w:r>
      <w:r w:rsidRPr="00415346">
        <w:rPr>
          <w:rStyle w:val="EndnoteReference"/>
          <w:rFonts w:ascii="Gill Sans" w:hAnsi="Gill Sans" w:cs="Gill Sans"/>
          <w:color w:val="auto"/>
          <w:sz w:val="18"/>
          <w:szCs w:val="18"/>
          <w:vertAlign w:val="baseline"/>
        </w:rPr>
        <w:t>ight of eight key budget documents are publicly available online in a timeframe consistent with international standards.</w:t>
      </w:r>
    </w:p>
  </w:endnote>
  <w:endnote w:id="83">
    <w:p w14:paraId="33ED2A45" w14:textId="6864DD85" w:rsidR="001A2E4A" w:rsidRPr="00415346" w:rsidRDefault="001A2E4A">
      <w:pPr>
        <w:pStyle w:val="EndnoteText"/>
        <w:rPr>
          <w:rStyle w:val="EndnoteReference"/>
          <w:rFonts w:ascii="Gill Sans" w:hAnsi="Gill Sans" w:cs="Gill Sans"/>
          <w:color w:val="auto"/>
          <w:sz w:val="18"/>
          <w:szCs w:val="18"/>
          <w:vertAlign w:val="baseline"/>
        </w:rPr>
      </w:pPr>
      <w:r w:rsidRPr="00415346">
        <w:rPr>
          <w:rStyle w:val="EndnoteReference"/>
          <w:rFonts w:ascii="Gill Sans" w:hAnsi="Gill Sans" w:cs="Gill Sans"/>
          <w:color w:val="auto"/>
          <w:sz w:val="18"/>
          <w:szCs w:val="18"/>
          <w:vertAlign w:val="baseline"/>
        </w:rPr>
        <w:endnoteRef/>
      </w:r>
      <w:r w:rsidRPr="00415346">
        <w:rPr>
          <w:rFonts w:ascii="Gill Sans" w:hAnsi="Gill Sans" w:cs="Gill Sans"/>
          <w:color w:val="auto"/>
          <w:sz w:val="18"/>
          <w:szCs w:val="18"/>
        </w:rPr>
        <w:t xml:space="preserve"> </w:t>
      </w:r>
      <w:r>
        <w:rPr>
          <w:rFonts w:ascii="Gill Sans" w:hAnsi="Gill Sans" w:cs="Gill Sans"/>
          <w:color w:val="auto"/>
          <w:sz w:val="18"/>
          <w:szCs w:val="18"/>
        </w:rPr>
        <w:t>‘</w:t>
      </w:r>
      <w:r w:rsidRPr="00415346">
        <w:rPr>
          <w:rFonts w:ascii="Gill Sans" w:hAnsi="Gill Sans" w:cs="Gill Sans"/>
          <w:color w:val="auto"/>
          <w:sz w:val="18"/>
          <w:szCs w:val="18"/>
        </w:rPr>
        <w:t>Open Budget Survey 2015: New Zealand,</w:t>
      </w:r>
      <w:r>
        <w:rPr>
          <w:rFonts w:ascii="Gill Sans" w:hAnsi="Gill Sans" w:cs="Gill Sans"/>
          <w:color w:val="auto"/>
          <w:sz w:val="18"/>
          <w:szCs w:val="18"/>
        </w:rPr>
        <w:t>’</w:t>
      </w:r>
      <w:r w:rsidRPr="00415346">
        <w:rPr>
          <w:rFonts w:ascii="Gill Sans" w:hAnsi="Gill Sans" w:cs="Gill Sans"/>
          <w:color w:val="auto"/>
          <w:sz w:val="18"/>
          <w:szCs w:val="18"/>
        </w:rPr>
        <w:t xml:space="preserve"> International Budget Partnership, https://www.internationalbudget.org/wp-content/uploads/OBS2015-CS-New-Zealand-English.pdf.</w:t>
      </w:r>
    </w:p>
  </w:endnote>
  <w:endnote w:id="84">
    <w:p w14:paraId="2C7B7920" w14:textId="405FFC7F" w:rsidR="001A2E4A" w:rsidRPr="00415346" w:rsidRDefault="001A2E4A">
      <w:pPr>
        <w:pStyle w:val="EndnoteText"/>
        <w:rPr>
          <w:rStyle w:val="EndnoteReference"/>
          <w:rFonts w:ascii="Gill Sans" w:hAnsi="Gill Sans" w:cs="Gill Sans"/>
          <w:color w:val="auto"/>
          <w:sz w:val="18"/>
          <w:szCs w:val="18"/>
          <w:vertAlign w:val="baseline"/>
        </w:rPr>
      </w:pPr>
      <w:r w:rsidRPr="00415346">
        <w:rPr>
          <w:rStyle w:val="EndnoteReference"/>
          <w:rFonts w:ascii="Gill Sans" w:hAnsi="Gill Sans" w:cs="Gill Sans"/>
          <w:color w:val="auto"/>
          <w:sz w:val="18"/>
          <w:szCs w:val="18"/>
          <w:vertAlign w:val="baseline"/>
        </w:rPr>
        <w:endnoteRef/>
      </w:r>
      <w:r w:rsidRPr="00415346">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415346">
        <w:rPr>
          <w:rFonts w:ascii="Gill Sans" w:hAnsi="Gill Sans" w:cs="Gill Sans"/>
          <w:color w:val="auto"/>
          <w:sz w:val="18"/>
          <w:szCs w:val="18"/>
        </w:rPr>
        <w:t>Open Budget Survey Document Availability Tracker,</w:t>
      </w:r>
      <w:r>
        <w:rPr>
          <w:rFonts w:ascii="Gill Sans" w:hAnsi="Gill Sans" w:cs="Gill Sans"/>
          <w:color w:val="auto"/>
          <w:sz w:val="18"/>
          <w:szCs w:val="18"/>
        </w:rPr>
        <w:t>’</w:t>
      </w:r>
      <w:r w:rsidRPr="00415346">
        <w:rPr>
          <w:rFonts w:ascii="Gill Sans" w:hAnsi="Gill Sans" w:cs="Gill Sans"/>
          <w:color w:val="auto"/>
          <w:sz w:val="18"/>
          <w:szCs w:val="18"/>
        </w:rPr>
        <w:t xml:space="preserve"> International Budget Partnership.</w:t>
      </w:r>
    </w:p>
  </w:endnote>
  <w:endnote w:id="85">
    <w:p w14:paraId="2EFFE9EB" w14:textId="467A0F11" w:rsidR="001A2E4A" w:rsidRPr="00AF27B9" w:rsidRDefault="001A2E4A">
      <w:pPr>
        <w:pStyle w:val="EndnoteText"/>
        <w:rPr>
          <w:lang w:val="en-NZ"/>
        </w:rPr>
      </w:pPr>
      <w:r>
        <w:rPr>
          <w:rStyle w:val="EndnoteReference"/>
        </w:rPr>
        <w:endnoteRef/>
      </w:r>
      <w:r>
        <w:t xml:space="preserve"> </w:t>
      </w:r>
      <w:r w:rsidRPr="00415346">
        <w:rPr>
          <w:rFonts w:ascii="Gill Sans" w:hAnsi="Gill Sans" w:cs="Gill Sans"/>
          <w:color w:val="auto"/>
          <w:sz w:val="18"/>
          <w:szCs w:val="18"/>
        </w:rPr>
        <w:t xml:space="preserve">Stacey Kirk, </w:t>
      </w:r>
      <w:r>
        <w:rPr>
          <w:rFonts w:ascii="Gill Sans" w:hAnsi="Gill Sans" w:cs="Gill Sans"/>
          <w:color w:val="auto"/>
          <w:sz w:val="18"/>
          <w:szCs w:val="18"/>
        </w:rPr>
        <w:t>‘</w:t>
      </w:r>
      <w:r w:rsidRPr="00415346">
        <w:rPr>
          <w:rFonts w:ascii="Gill Sans" w:hAnsi="Gill Sans" w:cs="Gill Sans"/>
          <w:color w:val="auto"/>
          <w:sz w:val="18"/>
          <w:szCs w:val="18"/>
        </w:rPr>
        <w:t>Government's books top transparency list,</w:t>
      </w:r>
      <w:r>
        <w:rPr>
          <w:rFonts w:ascii="Gill Sans" w:hAnsi="Gill Sans" w:cs="Gill Sans"/>
          <w:color w:val="auto"/>
          <w:sz w:val="18"/>
          <w:szCs w:val="18"/>
        </w:rPr>
        <w:t>’</w:t>
      </w:r>
      <w:r w:rsidRPr="00415346">
        <w:rPr>
          <w:rFonts w:ascii="Gill Sans" w:hAnsi="Gill Sans" w:cs="Gill Sans"/>
          <w:color w:val="auto"/>
          <w:sz w:val="18"/>
          <w:szCs w:val="18"/>
        </w:rPr>
        <w:t xml:space="preserve"> S</w:t>
      </w:r>
      <w:r w:rsidRPr="00415346">
        <w:rPr>
          <w:rFonts w:ascii="Gill Sans" w:hAnsi="Gill Sans" w:cs="Gill Sans"/>
          <w:i/>
          <w:color w:val="auto"/>
          <w:sz w:val="18"/>
          <w:szCs w:val="18"/>
        </w:rPr>
        <w:t>tuff</w:t>
      </w:r>
      <w:r w:rsidRPr="00415346">
        <w:rPr>
          <w:rFonts w:ascii="Gill Sans" w:hAnsi="Gill Sans" w:cs="Gill Sans"/>
          <w:color w:val="auto"/>
          <w:sz w:val="18"/>
          <w:szCs w:val="18"/>
        </w:rPr>
        <w:t xml:space="preserve">, 29 September 2015, </w:t>
      </w:r>
      <w:r w:rsidRPr="00861582">
        <w:rPr>
          <w:rFonts w:ascii="Gill Sans" w:hAnsi="Gill Sans" w:cs="Gill Sans"/>
          <w:color w:val="auto"/>
          <w:sz w:val="18"/>
          <w:szCs w:val="18"/>
        </w:rPr>
        <w:t>https://www.stuff.co.nz/national/politics/72537680/</w:t>
      </w:r>
      <w:r w:rsidRPr="00415346">
        <w:rPr>
          <w:rFonts w:ascii="Gill Sans" w:hAnsi="Gill Sans" w:cs="Gill Sans"/>
          <w:color w:val="auto"/>
          <w:sz w:val="18"/>
          <w:szCs w:val="18"/>
        </w:rPr>
        <w:t>.</w:t>
      </w:r>
    </w:p>
  </w:endnote>
  <w:endnote w:id="86">
    <w:p w14:paraId="17E29539" w14:textId="2748CA13" w:rsidR="001A2E4A" w:rsidRPr="00415346" w:rsidRDefault="001A2E4A" w:rsidP="00DF1F1F">
      <w:pPr>
        <w:pStyle w:val="EndnoteText"/>
        <w:rPr>
          <w:rStyle w:val="EndnoteReference"/>
          <w:rFonts w:ascii="Gill Sans" w:hAnsi="Gill Sans" w:cs="Gill Sans"/>
          <w:color w:val="auto"/>
          <w:sz w:val="18"/>
          <w:szCs w:val="18"/>
          <w:vertAlign w:val="baseline"/>
        </w:rPr>
      </w:pPr>
      <w:r w:rsidRPr="00415346">
        <w:rPr>
          <w:rStyle w:val="EndnoteReference"/>
          <w:rFonts w:ascii="Gill Sans" w:hAnsi="Gill Sans" w:cs="Gill Sans"/>
          <w:color w:val="auto"/>
          <w:sz w:val="18"/>
          <w:szCs w:val="18"/>
          <w:vertAlign w:val="baseline"/>
        </w:rPr>
        <w:endnoteRef/>
      </w:r>
      <w:r w:rsidRPr="00415346">
        <w:rPr>
          <w:rStyle w:val="EndnoteReference"/>
          <w:rFonts w:ascii="Gill Sans" w:hAnsi="Gill Sans" w:cs="Gill Sans"/>
          <w:color w:val="auto"/>
          <w:sz w:val="18"/>
          <w:szCs w:val="18"/>
          <w:vertAlign w:val="baseline"/>
        </w:rPr>
        <w:t xml:space="preserve"> </w:t>
      </w:r>
      <w:r w:rsidRPr="00AF27B9">
        <w:rPr>
          <w:rFonts w:ascii="Gill Sans" w:hAnsi="Gill Sans" w:cs="Gill Sans"/>
          <w:i/>
          <w:color w:val="auto"/>
          <w:sz w:val="18"/>
          <w:szCs w:val="18"/>
        </w:rPr>
        <w:t>Id</w:t>
      </w:r>
    </w:p>
  </w:endnote>
  <w:endnote w:id="87">
    <w:p w14:paraId="6A8361F4" w14:textId="47D9EFA3" w:rsidR="001A2E4A" w:rsidRPr="00415346" w:rsidRDefault="001A2E4A">
      <w:pPr>
        <w:pStyle w:val="EndnoteText"/>
        <w:rPr>
          <w:rStyle w:val="EndnoteReference"/>
          <w:rFonts w:ascii="Gill Sans" w:hAnsi="Gill Sans" w:cs="Gill Sans"/>
          <w:color w:val="auto"/>
          <w:sz w:val="18"/>
          <w:szCs w:val="18"/>
          <w:vertAlign w:val="baseline"/>
        </w:rPr>
      </w:pPr>
      <w:r w:rsidRPr="00415346">
        <w:rPr>
          <w:rStyle w:val="EndnoteReference"/>
          <w:rFonts w:ascii="Gill Sans" w:hAnsi="Gill Sans" w:cs="Gill Sans"/>
          <w:color w:val="auto"/>
          <w:sz w:val="18"/>
          <w:szCs w:val="18"/>
          <w:vertAlign w:val="baseline"/>
        </w:rPr>
        <w:endnoteRef/>
      </w:r>
      <w:r w:rsidRPr="00415346">
        <w:rPr>
          <w:rStyle w:val="EndnoteReference"/>
          <w:rFonts w:ascii="Gill Sans" w:hAnsi="Gill Sans" w:cs="Gill Sans"/>
          <w:color w:val="auto"/>
          <w:sz w:val="18"/>
          <w:szCs w:val="18"/>
          <w:vertAlign w:val="baseline"/>
        </w:rPr>
        <w:t xml:space="preserve"> </w:t>
      </w:r>
      <w:r w:rsidRPr="00415346">
        <w:rPr>
          <w:rStyle w:val="EndnoteReference"/>
          <w:rFonts w:ascii="Gill Sans" w:hAnsi="Gill Sans" w:cs="Gill Sans"/>
          <w:i/>
          <w:color w:val="auto"/>
          <w:sz w:val="18"/>
          <w:szCs w:val="18"/>
          <w:vertAlign w:val="baseline"/>
        </w:rPr>
        <w:t>National Action Plan 2016-18</w:t>
      </w:r>
      <w:r w:rsidRPr="00415346">
        <w:rPr>
          <w:rStyle w:val="EndnoteReference"/>
          <w:rFonts w:ascii="Gill Sans" w:hAnsi="Gill Sans" w:cs="Gill Sans"/>
          <w:color w:val="auto"/>
          <w:sz w:val="18"/>
          <w:szCs w:val="18"/>
          <w:vertAlign w:val="baseline"/>
        </w:rPr>
        <w:t xml:space="preserve">, </w:t>
      </w:r>
      <w:r w:rsidRPr="00415346">
        <w:rPr>
          <w:rFonts w:ascii="Gill Sans" w:hAnsi="Gill Sans" w:cs="Gill Sans"/>
          <w:color w:val="auto"/>
          <w:sz w:val="18"/>
          <w:szCs w:val="18"/>
        </w:rPr>
        <w:t xml:space="preserve">Open Government: New Zealand, </w:t>
      </w:r>
      <w:r w:rsidRPr="00415346">
        <w:rPr>
          <w:rStyle w:val="EndnoteReference"/>
          <w:rFonts w:ascii="Gill Sans" w:hAnsi="Gill Sans" w:cs="Gill Sans"/>
          <w:color w:val="auto"/>
          <w:sz w:val="18"/>
          <w:szCs w:val="18"/>
          <w:vertAlign w:val="baseline"/>
        </w:rPr>
        <w:t>http://www.ogp.org.nz/national-action-plan-2016-18/</w:t>
      </w:r>
      <w:r w:rsidRPr="00415346">
        <w:rPr>
          <w:rFonts w:ascii="Gill Sans" w:hAnsi="Gill Sans" w:cs="Gill Sans"/>
          <w:color w:val="auto"/>
          <w:sz w:val="18"/>
          <w:szCs w:val="18"/>
        </w:rPr>
        <w:t>.</w:t>
      </w:r>
    </w:p>
  </w:endnote>
  <w:endnote w:id="88">
    <w:p w14:paraId="4D51BAF6" w14:textId="788DE573" w:rsidR="001A2E4A" w:rsidRPr="00415346" w:rsidRDefault="001A2E4A" w:rsidP="00361BA6">
      <w:pPr>
        <w:pStyle w:val="EndnoteText"/>
        <w:rPr>
          <w:rStyle w:val="EndnoteReference"/>
          <w:rFonts w:ascii="Gill Sans" w:hAnsi="Gill Sans" w:cs="Gill Sans"/>
          <w:color w:val="auto"/>
          <w:sz w:val="18"/>
          <w:szCs w:val="18"/>
          <w:vertAlign w:val="baseline"/>
        </w:rPr>
      </w:pPr>
      <w:r w:rsidRPr="00415346">
        <w:rPr>
          <w:rStyle w:val="EndnoteReference"/>
          <w:rFonts w:ascii="Gill Sans" w:hAnsi="Gill Sans" w:cs="Gill Sans"/>
          <w:color w:val="auto"/>
          <w:sz w:val="18"/>
          <w:szCs w:val="18"/>
          <w:vertAlign w:val="baseline"/>
        </w:rPr>
        <w:endnoteRef/>
      </w:r>
      <w:r w:rsidRPr="00415346">
        <w:rPr>
          <w:rStyle w:val="EndnoteReference"/>
          <w:rFonts w:ascii="Gill Sans" w:hAnsi="Gill Sans" w:cs="Gill Sans"/>
          <w:color w:val="auto"/>
          <w:sz w:val="18"/>
          <w:szCs w:val="18"/>
          <w:vertAlign w:val="baseline"/>
        </w:rPr>
        <w:t xml:space="preserve"> </w:t>
      </w:r>
      <w:r w:rsidRPr="00415346">
        <w:rPr>
          <w:rStyle w:val="EndnoteReference"/>
          <w:rFonts w:ascii="Gill Sans" w:hAnsi="Gill Sans" w:cs="Gill Sans"/>
          <w:color w:val="auto"/>
          <w:sz w:val="18"/>
          <w:szCs w:val="18"/>
          <w:vertAlign w:val="baseline"/>
        </w:rPr>
        <w:t>Colmar Brunto</w:t>
      </w:r>
      <w:r w:rsidRPr="00415346">
        <w:rPr>
          <w:rFonts w:ascii="Gill Sans" w:hAnsi="Gill Sans" w:cs="Gill Sans"/>
          <w:color w:val="auto"/>
          <w:sz w:val="18"/>
          <w:szCs w:val="18"/>
        </w:rPr>
        <w:t xml:space="preserve">, </w:t>
      </w:r>
      <w:r>
        <w:rPr>
          <w:rFonts w:ascii="Gill Sans" w:hAnsi="Gill Sans" w:cs="Gill Sans"/>
          <w:color w:val="auto"/>
          <w:sz w:val="18"/>
          <w:szCs w:val="18"/>
        </w:rPr>
        <w:t>‘</w:t>
      </w:r>
      <w:r w:rsidRPr="00415346">
        <w:rPr>
          <w:rStyle w:val="EndnoteReference"/>
          <w:rFonts w:ascii="Gill Sans" w:hAnsi="Gill Sans" w:cs="Gill Sans"/>
          <w:color w:val="auto"/>
          <w:sz w:val="18"/>
          <w:szCs w:val="18"/>
          <w:vertAlign w:val="baseline"/>
        </w:rPr>
        <w:t xml:space="preserve">Towards an </w:t>
      </w:r>
      <w:r w:rsidRPr="00415346">
        <w:rPr>
          <w:rFonts w:ascii="Gill Sans" w:hAnsi="Gill Sans" w:cs="Gill Sans"/>
          <w:color w:val="auto"/>
          <w:sz w:val="18"/>
          <w:szCs w:val="18"/>
        </w:rPr>
        <w:t>O</w:t>
      </w:r>
      <w:r w:rsidRPr="00415346">
        <w:rPr>
          <w:rStyle w:val="EndnoteReference"/>
          <w:rFonts w:ascii="Gill Sans" w:hAnsi="Gill Sans" w:cs="Gill Sans"/>
          <w:color w:val="auto"/>
          <w:sz w:val="18"/>
          <w:szCs w:val="18"/>
          <w:vertAlign w:val="baseline"/>
        </w:rPr>
        <w:t xml:space="preserve">pen </w:t>
      </w:r>
      <w:r w:rsidRPr="00415346">
        <w:rPr>
          <w:rFonts w:ascii="Gill Sans" w:hAnsi="Gill Sans" w:cs="Gill Sans"/>
          <w:color w:val="auto"/>
          <w:sz w:val="18"/>
          <w:szCs w:val="18"/>
        </w:rPr>
        <w:t>B</w:t>
      </w:r>
      <w:r w:rsidRPr="00415346">
        <w:rPr>
          <w:rStyle w:val="EndnoteReference"/>
          <w:rFonts w:ascii="Gill Sans" w:hAnsi="Gill Sans" w:cs="Gill Sans"/>
          <w:color w:val="auto"/>
          <w:sz w:val="18"/>
          <w:szCs w:val="18"/>
          <w:vertAlign w:val="baseline"/>
        </w:rPr>
        <w:t>udget,</w:t>
      </w:r>
      <w:r>
        <w:rPr>
          <w:rFonts w:ascii="Gill Sans" w:hAnsi="Gill Sans" w:cs="Gill Sans"/>
          <w:color w:val="auto"/>
          <w:sz w:val="18"/>
          <w:szCs w:val="18"/>
        </w:rPr>
        <w:t>’</w:t>
      </w:r>
      <w:r w:rsidRPr="00415346">
        <w:rPr>
          <w:rFonts w:ascii="Gill Sans" w:hAnsi="Gill Sans" w:cs="Gill Sans"/>
          <w:color w:val="auto"/>
          <w:sz w:val="18"/>
          <w:szCs w:val="18"/>
        </w:rPr>
        <w:t xml:space="preserve"> The</w:t>
      </w:r>
      <w:r>
        <w:rPr>
          <w:rFonts w:ascii="Gill Sans" w:hAnsi="Gill Sans" w:cs="Gill Sans"/>
          <w:color w:val="auto"/>
          <w:sz w:val="18"/>
          <w:szCs w:val="18"/>
        </w:rPr>
        <w:t xml:space="preserve"> </w:t>
      </w:r>
      <w:r w:rsidRPr="00415346">
        <w:rPr>
          <w:rFonts w:ascii="Gill Sans" w:hAnsi="Gill Sans" w:cs="Gill Sans"/>
          <w:color w:val="auto"/>
          <w:sz w:val="18"/>
          <w:szCs w:val="18"/>
        </w:rPr>
        <w:t xml:space="preserve">Treasury, </w:t>
      </w:r>
      <w:r w:rsidRPr="00415346">
        <w:rPr>
          <w:rStyle w:val="EndnoteReference"/>
          <w:rFonts w:ascii="Gill Sans" w:hAnsi="Gill Sans" w:cs="Gill Sans"/>
          <w:color w:val="auto"/>
          <w:sz w:val="18"/>
          <w:szCs w:val="18"/>
          <w:vertAlign w:val="baseline"/>
        </w:rPr>
        <w:t>May 2017</w:t>
      </w:r>
      <w:r w:rsidRPr="00415346">
        <w:rPr>
          <w:rFonts w:ascii="Gill Sans" w:hAnsi="Gill Sans" w:cs="Gill Sans"/>
          <w:color w:val="auto"/>
          <w:sz w:val="18"/>
          <w:szCs w:val="18"/>
        </w:rPr>
        <w:t xml:space="preserve">, </w:t>
      </w:r>
      <w:hyperlink r:id="rId7" w:history="1">
        <w:r w:rsidRPr="00415346">
          <w:rPr>
            <w:rStyle w:val="Hyperlink"/>
            <w:rFonts w:ascii="Gill Sans" w:hAnsi="Gill Sans" w:cs="Gill Sans"/>
            <w:color w:val="auto"/>
            <w:sz w:val="18"/>
            <w:szCs w:val="18"/>
            <w:u w:val="none"/>
          </w:rPr>
          <w:t>http://www.treasury.govt.nz/publications/informationreleases/ogp/towards-open-budget-may17.pdf</w:t>
        </w:r>
      </w:hyperlink>
      <w:r w:rsidRPr="00415346">
        <w:rPr>
          <w:rFonts w:ascii="Gill Sans" w:hAnsi="Gill Sans" w:cs="Gill Sans"/>
          <w:color w:val="auto"/>
          <w:sz w:val="18"/>
          <w:szCs w:val="18"/>
        </w:rPr>
        <w:t>.</w:t>
      </w:r>
    </w:p>
  </w:endnote>
  <w:endnote w:id="89">
    <w:p w14:paraId="537E49BB" w14:textId="66B0E911" w:rsidR="001A2E4A" w:rsidRPr="00415346" w:rsidRDefault="001A2E4A">
      <w:pPr>
        <w:pStyle w:val="EndnoteText"/>
        <w:rPr>
          <w:rStyle w:val="EndnoteReference"/>
          <w:rFonts w:ascii="Gill Sans" w:hAnsi="Gill Sans" w:cs="Gill Sans"/>
          <w:color w:val="auto"/>
          <w:sz w:val="18"/>
          <w:szCs w:val="18"/>
          <w:vertAlign w:val="baseline"/>
        </w:rPr>
      </w:pPr>
      <w:r w:rsidRPr="00415346">
        <w:rPr>
          <w:rStyle w:val="EndnoteReference"/>
          <w:rFonts w:ascii="Gill Sans" w:hAnsi="Gill Sans" w:cs="Gill Sans"/>
          <w:color w:val="auto"/>
          <w:sz w:val="18"/>
          <w:szCs w:val="18"/>
          <w:vertAlign w:val="baseline"/>
        </w:rPr>
        <w:endnoteRef/>
      </w:r>
      <w:r w:rsidRPr="00415346">
        <w:rPr>
          <w:rStyle w:val="EndnoteReference"/>
          <w:rFonts w:ascii="Gill Sans" w:hAnsi="Gill Sans" w:cs="Gill Sans"/>
          <w:color w:val="auto"/>
          <w:sz w:val="18"/>
          <w:szCs w:val="18"/>
          <w:vertAlign w:val="baseline"/>
        </w:rPr>
        <w:t xml:space="preserve"> </w:t>
      </w:r>
      <w:r w:rsidRPr="00415346">
        <w:rPr>
          <w:rStyle w:val="EndnoteReference"/>
          <w:rFonts w:ascii="Gill Sans" w:hAnsi="Gill Sans" w:cs="Gill Sans"/>
          <w:color w:val="auto"/>
          <w:sz w:val="18"/>
          <w:szCs w:val="18"/>
          <w:vertAlign w:val="baseline"/>
        </w:rPr>
        <w:t>Murray Petrie, Global Initiative for Fiscal Transparency (GIFT),</w:t>
      </w:r>
      <w:r>
        <w:rPr>
          <w:rFonts w:ascii="Gill Sans" w:hAnsi="Gill Sans" w:cs="Gill Sans"/>
          <w:color w:val="auto"/>
          <w:sz w:val="18"/>
          <w:szCs w:val="18"/>
        </w:rPr>
        <w:t>interview with IRM researcher,</w:t>
      </w:r>
      <w:r w:rsidRPr="00415346">
        <w:rPr>
          <w:rStyle w:val="EndnoteReference"/>
          <w:rFonts w:ascii="Gill Sans" w:hAnsi="Gill Sans" w:cs="Gill Sans"/>
          <w:color w:val="auto"/>
          <w:sz w:val="18"/>
          <w:szCs w:val="18"/>
          <w:vertAlign w:val="baseline"/>
        </w:rPr>
        <w:t xml:space="preserve"> 6 Sept 2017</w:t>
      </w:r>
      <w:r w:rsidRPr="00415346">
        <w:rPr>
          <w:rFonts w:ascii="Gill Sans" w:hAnsi="Gill Sans" w:cs="Gill Sans"/>
          <w:color w:val="auto"/>
          <w:sz w:val="18"/>
          <w:szCs w:val="18"/>
        </w:rPr>
        <w:t>.</w:t>
      </w:r>
    </w:p>
  </w:endnote>
  <w:endnote w:id="90">
    <w:p w14:paraId="2EDF6706" w14:textId="47492784" w:rsidR="001A2E4A" w:rsidRPr="00415346" w:rsidRDefault="001A2E4A" w:rsidP="00361BA6">
      <w:pPr>
        <w:pStyle w:val="EndnoteText"/>
        <w:rPr>
          <w:rStyle w:val="EndnoteReference"/>
          <w:rFonts w:ascii="Gill Sans" w:hAnsi="Gill Sans" w:cs="Gill Sans"/>
          <w:color w:val="auto"/>
          <w:sz w:val="18"/>
          <w:szCs w:val="18"/>
          <w:vertAlign w:val="baseline"/>
        </w:rPr>
      </w:pPr>
      <w:r w:rsidRPr="00415346">
        <w:rPr>
          <w:rStyle w:val="EndnoteReference"/>
          <w:rFonts w:ascii="Gill Sans" w:hAnsi="Gill Sans" w:cs="Gill Sans"/>
          <w:color w:val="auto"/>
          <w:sz w:val="18"/>
          <w:szCs w:val="18"/>
          <w:vertAlign w:val="baseline"/>
        </w:rPr>
        <w:endnoteRef/>
      </w:r>
      <w:r w:rsidRPr="00415346">
        <w:rPr>
          <w:rStyle w:val="EndnoteReference"/>
          <w:rFonts w:ascii="Gill Sans" w:hAnsi="Gill Sans" w:cs="Gill Sans"/>
          <w:color w:val="auto"/>
          <w:sz w:val="18"/>
          <w:szCs w:val="18"/>
          <w:vertAlign w:val="baseline"/>
        </w:rPr>
        <w:t xml:space="preserve"> </w:t>
      </w:r>
      <w:hyperlink w:history="1"/>
      <w:hyperlink r:id="rId8" w:history="1"/>
      <w:r>
        <w:rPr>
          <w:rFonts w:ascii="Gill Sans" w:hAnsi="Gill Sans" w:cs="Gill Sans"/>
          <w:color w:val="auto"/>
          <w:sz w:val="18"/>
          <w:szCs w:val="18"/>
        </w:rPr>
        <w:t>‘</w:t>
      </w:r>
      <w:r w:rsidRPr="00415346">
        <w:rPr>
          <w:rFonts w:ascii="Gill Sans" w:hAnsi="Gill Sans" w:cs="Gill Sans"/>
          <w:color w:val="auto"/>
          <w:sz w:val="18"/>
          <w:szCs w:val="18"/>
        </w:rPr>
        <w:t>Budget 2017,</w:t>
      </w:r>
      <w:r>
        <w:rPr>
          <w:rFonts w:ascii="Gill Sans" w:hAnsi="Gill Sans" w:cs="Gill Sans"/>
          <w:color w:val="auto"/>
          <w:sz w:val="18"/>
          <w:szCs w:val="18"/>
        </w:rPr>
        <w:t>’</w:t>
      </w:r>
      <w:r w:rsidRPr="00415346">
        <w:rPr>
          <w:rFonts w:ascii="Gill Sans" w:hAnsi="Gill Sans" w:cs="Gill Sans"/>
          <w:color w:val="auto"/>
          <w:sz w:val="18"/>
          <w:szCs w:val="18"/>
        </w:rPr>
        <w:t xml:space="preserve"> The Treasury, 26 July 2017, www.treasury.govt.nz/budget/2017.</w:t>
      </w:r>
    </w:p>
  </w:endnote>
  <w:endnote w:id="91">
    <w:p w14:paraId="4B800DB9" w14:textId="58D534D1" w:rsidR="001A2E4A" w:rsidRPr="00415346" w:rsidRDefault="001A2E4A" w:rsidP="00361BA6">
      <w:pPr>
        <w:pStyle w:val="EndnoteText"/>
        <w:rPr>
          <w:rStyle w:val="EndnoteReference"/>
          <w:rFonts w:ascii="Gill Sans" w:hAnsi="Gill Sans" w:cs="Gill Sans"/>
          <w:color w:val="auto"/>
          <w:sz w:val="18"/>
          <w:szCs w:val="18"/>
          <w:vertAlign w:val="baseline"/>
        </w:rPr>
      </w:pPr>
      <w:r w:rsidRPr="00415346">
        <w:rPr>
          <w:rStyle w:val="EndnoteReference"/>
          <w:rFonts w:ascii="Gill Sans" w:hAnsi="Gill Sans" w:cs="Gill Sans"/>
          <w:color w:val="auto"/>
          <w:sz w:val="18"/>
          <w:szCs w:val="18"/>
          <w:vertAlign w:val="baseline"/>
        </w:rPr>
        <w:endnoteRef/>
      </w:r>
      <w:r w:rsidRPr="00415346">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415346">
        <w:rPr>
          <w:rFonts w:ascii="Gill Sans" w:hAnsi="Gill Sans" w:cs="Gill Sans"/>
          <w:color w:val="auto"/>
          <w:sz w:val="18"/>
          <w:szCs w:val="18"/>
        </w:rPr>
        <w:t>Budget 2018: Budget Update: fairness and prosperity,</w:t>
      </w:r>
      <w:r>
        <w:rPr>
          <w:rFonts w:ascii="Gill Sans" w:hAnsi="Gill Sans" w:cs="Gill Sans"/>
          <w:color w:val="auto"/>
          <w:sz w:val="18"/>
          <w:szCs w:val="18"/>
        </w:rPr>
        <w:t>’</w:t>
      </w:r>
      <w:r w:rsidRPr="00415346">
        <w:rPr>
          <w:rFonts w:ascii="Gill Sans" w:hAnsi="Gill Sans" w:cs="Gill Sans"/>
          <w:color w:val="auto"/>
          <w:sz w:val="18"/>
          <w:szCs w:val="18"/>
        </w:rPr>
        <w:t xml:space="preserve"> Ministry of Finance, 14 December 2017, https://budget.govt.nz.</w:t>
      </w:r>
      <w:r w:rsidRPr="00415346" w:rsidDel="008A1F61">
        <w:rPr>
          <w:rFonts w:ascii="Gill Sans" w:hAnsi="Gill Sans" w:cs="Gill Sans"/>
          <w:color w:val="auto"/>
          <w:sz w:val="18"/>
          <w:szCs w:val="18"/>
        </w:rPr>
        <w:t xml:space="preserve"> </w:t>
      </w:r>
    </w:p>
  </w:endnote>
  <w:endnote w:id="92">
    <w:p w14:paraId="0A9B430F" w14:textId="40FF6686" w:rsidR="001A2E4A" w:rsidRPr="00415346" w:rsidRDefault="001A2E4A">
      <w:pPr>
        <w:pStyle w:val="EndnoteText"/>
        <w:rPr>
          <w:rStyle w:val="EndnoteReference"/>
          <w:rFonts w:ascii="Gill Sans" w:hAnsi="Gill Sans" w:cs="Gill Sans"/>
          <w:color w:val="auto"/>
          <w:sz w:val="18"/>
          <w:szCs w:val="18"/>
          <w:vertAlign w:val="baseline"/>
        </w:rPr>
      </w:pPr>
      <w:r w:rsidRPr="00415346">
        <w:rPr>
          <w:rStyle w:val="EndnoteReference"/>
          <w:rFonts w:ascii="Gill Sans" w:hAnsi="Gill Sans" w:cs="Gill Sans"/>
          <w:color w:val="auto"/>
          <w:sz w:val="18"/>
          <w:szCs w:val="18"/>
          <w:vertAlign w:val="baseline"/>
        </w:rPr>
        <w:endnoteRef/>
      </w:r>
      <w:r w:rsidRPr="00415346">
        <w:rPr>
          <w:rStyle w:val="EndnoteReference"/>
          <w:rFonts w:ascii="Gill Sans" w:hAnsi="Gill Sans" w:cs="Gill Sans"/>
          <w:color w:val="auto"/>
          <w:sz w:val="18"/>
          <w:szCs w:val="18"/>
          <w:vertAlign w:val="baseline"/>
        </w:rPr>
        <w:t xml:space="preserve">  </w:t>
      </w:r>
      <w:r w:rsidRPr="00415346">
        <w:rPr>
          <w:rStyle w:val="EndnoteReference"/>
          <w:rFonts w:ascii="Gill Sans" w:hAnsi="Gill Sans" w:cs="Gill Sans"/>
          <w:color w:val="auto"/>
          <w:sz w:val="18"/>
          <w:szCs w:val="18"/>
          <w:vertAlign w:val="baseline"/>
        </w:rPr>
        <w:t xml:space="preserve">Chris Knox, </w:t>
      </w:r>
      <w:r>
        <w:rPr>
          <w:rStyle w:val="EndnoteReference"/>
          <w:rFonts w:ascii="Gill Sans" w:hAnsi="Gill Sans" w:cs="Gill Sans"/>
          <w:color w:val="auto"/>
          <w:sz w:val="18"/>
          <w:szCs w:val="18"/>
          <w:vertAlign w:val="baseline"/>
        </w:rPr>
        <w:t>‘</w:t>
      </w:r>
      <w:r w:rsidRPr="00415346">
        <w:rPr>
          <w:rStyle w:val="EndnoteReference"/>
          <w:rFonts w:ascii="Gill Sans" w:hAnsi="Gill Sans" w:cs="Gill Sans"/>
          <w:color w:val="auto"/>
          <w:sz w:val="18"/>
          <w:szCs w:val="18"/>
          <w:vertAlign w:val="baseline"/>
        </w:rPr>
        <w:t>Politics: What has changed in 2017 Budget?</w:t>
      </w:r>
      <w:r>
        <w:rPr>
          <w:rStyle w:val="EndnoteReference"/>
          <w:rFonts w:ascii="Gill Sans" w:hAnsi="Gill Sans" w:cs="Gill Sans"/>
          <w:color w:val="auto"/>
          <w:sz w:val="18"/>
          <w:szCs w:val="18"/>
          <w:vertAlign w:val="baseline"/>
        </w:rPr>
        <w:t>’</w:t>
      </w:r>
      <w:r w:rsidRPr="00415346">
        <w:rPr>
          <w:rStyle w:val="EndnoteReference"/>
          <w:rFonts w:ascii="Gill Sans" w:hAnsi="Gill Sans" w:cs="Gill Sans"/>
          <w:color w:val="auto"/>
          <w:sz w:val="18"/>
          <w:szCs w:val="18"/>
          <w:vertAlign w:val="baseline"/>
        </w:rPr>
        <w:t xml:space="preserve"> </w:t>
      </w:r>
      <w:r w:rsidRPr="00415346">
        <w:rPr>
          <w:rStyle w:val="EndnoteReference"/>
          <w:rFonts w:ascii="Gill Sans" w:hAnsi="Gill Sans" w:cs="Gill Sans"/>
          <w:i/>
          <w:color w:val="auto"/>
          <w:sz w:val="18"/>
          <w:szCs w:val="18"/>
          <w:vertAlign w:val="baseline"/>
        </w:rPr>
        <w:t>NZ Herald</w:t>
      </w:r>
      <w:r w:rsidRPr="00415346">
        <w:rPr>
          <w:rStyle w:val="EndnoteReference"/>
          <w:rFonts w:ascii="Gill Sans" w:hAnsi="Gill Sans" w:cs="Gill Sans"/>
          <w:color w:val="auto"/>
          <w:sz w:val="18"/>
          <w:szCs w:val="18"/>
          <w:vertAlign w:val="baseline"/>
        </w:rPr>
        <w:t>, insights.nzherald.co.nz/article/new-zealand-budget-2017/.</w:t>
      </w:r>
    </w:p>
  </w:endnote>
  <w:endnote w:id="93">
    <w:p w14:paraId="0168498E" w14:textId="5EE94093" w:rsidR="001A2E4A" w:rsidRPr="00415346" w:rsidRDefault="001A2E4A" w:rsidP="00A94744">
      <w:pPr>
        <w:pStyle w:val="EndnoteText"/>
        <w:rPr>
          <w:rStyle w:val="EndnoteReference"/>
          <w:rFonts w:ascii="Gill Sans" w:hAnsi="Gill Sans" w:cs="Gill Sans"/>
          <w:color w:val="auto"/>
          <w:sz w:val="18"/>
          <w:szCs w:val="18"/>
          <w:vertAlign w:val="baseline"/>
        </w:rPr>
      </w:pPr>
      <w:r w:rsidRPr="00415346">
        <w:rPr>
          <w:rStyle w:val="EndnoteReference"/>
          <w:rFonts w:ascii="Gill Sans" w:hAnsi="Gill Sans" w:cs="Gill Sans"/>
          <w:color w:val="auto"/>
          <w:sz w:val="18"/>
          <w:szCs w:val="18"/>
          <w:vertAlign w:val="baseline"/>
        </w:rPr>
        <w:endnoteRef/>
      </w:r>
      <w:r w:rsidRPr="00415346">
        <w:rPr>
          <w:rStyle w:val="EndnoteReference"/>
          <w:rFonts w:ascii="Gill Sans" w:hAnsi="Gill Sans" w:cs="Gill Sans"/>
          <w:color w:val="auto"/>
          <w:sz w:val="18"/>
          <w:szCs w:val="18"/>
          <w:vertAlign w:val="baseline"/>
        </w:rPr>
        <w:t xml:space="preserve"> </w:t>
      </w:r>
      <w:r w:rsidRPr="00415346">
        <w:rPr>
          <w:rStyle w:val="EndnoteReference"/>
          <w:rFonts w:ascii="Gill Sans" w:hAnsi="Gill Sans" w:cs="Gill Sans"/>
          <w:color w:val="auto"/>
          <w:sz w:val="18"/>
          <w:szCs w:val="18"/>
          <w:vertAlign w:val="baseline"/>
        </w:rPr>
        <w:t>Chris Knox, NZ Herald, interview</w:t>
      </w:r>
      <w:r w:rsidRPr="00415346">
        <w:rPr>
          <w:rFonts w:ascii="Gill Sans" w:hAnsi="Gill Sans" w:cs="Gill Sans"/>
          <w:color w:val="auto"/>
          <w:sz w:val="18"/>
          <w:szCs w:val="18"/>
        </w:rPr>
        <w:t xml:space="preserve"> </w:t>
      </w:r>
      <w:r w:rsidRPr="00415346">
        <w:rPr>
          <w:rFonts w:ascii="Gill Sans" w:hAnsi="Gill Sans" w:cs="Gill Sans"/>
          <w:color w:val="auto"/>
          <w:sz w:val="18"/>
          <w:szCs w:val="18"/>
        </w:rPr>
        <w:t>with IRM researcher</w:t>
      </w:r>
      <w:r w:rsidRPr="00415346">
        <w:rPr>
          <w:rStyle w:val="EndnoteReference"/>
          <w:rFonts w:ascii="Gill Sans" w:hAnsi="Gill Sans" w:cs="Gill Sans"/>
          <w:color w:val="auto"/>
          <w:sz w:val="18"/>
          <w:szCs w:val="18"/>
          <w:vertAlign w:val="baseline"/>
        </w:rPr>
        <w:t>, 18 August 2017.</w:t>
      </w:r>
    </w:p>
  </w:endnote>
  <w:endnote w:id="94">
    <w:p w14:paraId="18DA7B6B" w14:textId="26140D4C" w:rsidR="001A2E4A" w:rsidRPr="00415346" w:rsidRDefault="001A2E4A">
      <w:pPr>
        <w:pStyle w:val="EndnoteText"/>
        <w:rPr>
          <w:rStyle w:val="EndnoteReference"/>
          <w:rFonts w:ascii="Gill Sans" w:hAnsi="Gill Sans" w:cs="Gill Sans"/>
          <w:color w:val="auto"/>
          <w:sz w:val="18"/>
          <w:szCs w:val="18"/>
          <w:vertAlign w:val="baseline"/>
        </w:rPr>
      </w:pPr>
      <w:r w:rsidRPr="00415346">
        <w:rPr>
          <w:rStyle w:val="EndnoteReference"/>
          <w:rFonts w:ascii="Gill Sans" w:hAnsi="Gill Sans" w:cs="Gill Sans"/>
          <w:color w:val="auto"/>
          <w:sz w:val="18"/>
          <w:szCs w:val="18"/>
          <w:vertAlign w:val="baseline"/>
        </w:rPr>
        <w:endnoteRef/>
      </w:r>
      <w:r w:rsidRPr="00415346">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415346">
        <w:rPr>
          <w:rFonts w:ascii="Gill Sans" w:hAnsi="Gill Sans" w:cs="Gill Sans"/>
          <w:color w:val="auto"/>
          <w:sz w:val="18"/>
          <w:szCs w:val="18"/>
        </w:rPr>
        <w:t>Budget 2017 analysis of real per person spending shows real winners and losers,</w:t>
      </w:r>
      <w:r>
        <w:rPr>
          <w:rFonts w:ascii="Gill Sans" w:hAnsi="Gill Sans" w:cs="Gill Sans"/>
          <w:color w:val="auto"/>
          <w:sz w:val="18"/>
          <w:szCs w:val="18"/>
        </w:rPr>
        <w:t>’</w:t>
      </w:r>
      <w:r w:rsidRPr="00415346">
        <w:rPr>
          <w:rFonts w:ascii="Gill Sans" w:hAnsi="Gill Sans" w:cs="Gill Sans"/>
          <w:color w:val="auto"/>
          <w:sz w:val="18"/>
          <w:szCs w:val="18"/>
        </w:rPr>
        <w:t xml:space="preserve"> Victoria University, 31 May 2017, https://www.victoria.ac.nz/news/2017/05/budget-2017-analysis-of-real-per-person-spending-shows-real-winners-and-loser.</w:t>
      </w:r>
      <w:r w:rsidRPr="00415346" w:rsidDel="00E92246">
        <w:rPr>
          <w:rStyle w:val="EndnoteReference"/>
          <w:rFonts w:ascii="Gill Sans" w:hAnsi="Gill Sans" w:cs="Gill Sans"/>
          <w:color w:val="auto"/>
          <w:sz w:val="18"/>
          <w:szCs w:val="18"/>
          <w:vertAlign w:val="baseline"/>
        </w:rPr>
        <w:t xml:space="preserve"> </w:t>
      </w:r>
    </w:p>
  </w:endnote>
  <w:endnote w:id="95">
    <w:p w14:paraId="10BD7F82" w14:textId="3085BEAE" w:rsidR="001A2E4A" w:rsidRPr="00415346" w:rsidRDefault="001A2E4A">
      <w:pPr>
        <w:pStyle w:val="EndnoteText"/>
        <w:rPr>
          <w:rStyle w:val="EndnoteReference"/>
          <w:rFonts w:ascii="Gill Sans" w:hAnsi="Gill Sans" w:cs="Gill Sans"/>
          <w:color w:val="auto"/>
          <w:sz w:val="18"/>
          <w:szCs w:val="18"/>
          <w:vertAlign w:val="baseline"/>
        </w:rPr>
      </w:pPr>
      <w:r w:rsidRPr="00415346">
        <w:rPr>
          <w:rStyle w:val="EndnoteReference"/>
          <w:rFonts w:ascii="Gill Sans" w:hAnsi="Gill Sans" w:cs="Gill Sans"/>
          <w:color w:val="auto"/>
          <w:sz w:val="18"/>
          <w:szCs w:val="18"/>
          <w:vertAlign w:val="baseline"/>
        </w:rPr>
        <w:endnoteRef/>
      </w:r>
      <w:r w:rsidRPr="00415346">
        <w:rPr>
          <w:rStyle w:val="EndnoteReference"/>
          <w:rFonts w:ascii="Gill Sans" w:hAnsi="Gill Sans" w:cs="Gill Sans"/>
          <w:color w:val="auto"/>
          <w:sz w:val="18"/>
          <w:szCs w:val="18"/>
          <w:vertAlign w:val="baseline"/>
        </w:rPr>
        <w:t xml:space="preserve"> </w:t>
      </w:r>
      <w:r w:rsidRPr="00415346">
        <w:rPr>
          <w:rStyle w:val="EndnoteReference"/>
          <w:rFonts w:ascii="Gill Sans" w:hAnsi="Gill Sans" w:cs="Gill Sans"/>
          <w:i/>
          <w:color w:val="auto"/>
          <w:sz w:val="18"/>
          <w:szCs w:val="18"/>
          <w:vertAlign w:val="baseline"/>
        </w:rPr>
        <w:t>I</w:t>
      </w:r>
      <w:r w:rsidRPr="00415346">
        <w:rPr>
          <w:rFonts w:ascii="Gill Sans" w:hAnsi="Gill Sans" w:cs="Gill Sans"/>
          <w:i/>
          <w:color w:val="auto"/>
          <w:sz w:val="18"/>
          <w:szCs w:val="18"/>
        </w:rPr>
        <w:t>d</w:t>
      </w:r>
      <w:r w:rsidRPr="00415346">
        <w:rPr>
          <w:rFonts w:ascii="Gill Sans" w:hAnsi="Gill Sans" w:cs="Gill Sans"/>
          <w:color w:val="auto"/>
          <w:sz w:val="18"/>
          <w:szCs w:val="18"/>
        </w:rPr>
        <w:t>.</w:t>
      </w:r>
    </w:p>
  </w:endnote>
  <w:endnote w:id="96">
    <w:p w14:paraId="50D14FB7" w14:textId="4AE19FCB" w:rsidR="001A2E4A" w:rsidRPr="00415346" w:rsidRDefault="001A2E4A">
      <w:pPr>
        <w:pStyle w:val="EndnoteText"/>
        <w:rPr>
          <w:rFonts w:ascii="Gill Sans" w:hAnsi="Gill Sans" w:cs="Gill Sans"/>
          <w:color w:val="auto"/>
          <w:sz w:val="18"/>
          <w:szCs w:val="18"/>
          <w:lang w:val="en-NZ"/>
        </w:rPr>
      </w:pPr>
      <w:r w:rsidRPr="00415346">
        <w:rPr>
          <w:rStyle w:val="EndnoteReference"/>
          <w:rFonts w:ascii="Gill Sans" w:hAnsi="Gill Sans" w:cs="Gill Sans"/>
          <w:color w:val="auto"/>
          <w:sz w:val="18"/>
          <w:szCs w:val="18"/>
          <w:vertAlign w:val="baseline"/>
        </w:rPr>
        <w:endnoteRef/>
      </w:r>
      <w:r w:rsidRPr="00415346">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415346">
        <w:rPr>
          <w:rFonts w:ascii="Gill Sans" w:hAnsi="Gill Sans" w:cs="Gill Sans"/>
          <w:color w:val="auto"/>
          <w:sz w:val="18"/>
          <w:szCs w:val="18"/>
        </w:rPr>
        <w:t>Survey of expectations - M14,</w:t>
      </w:r>
      <w:r>
        <w:rPr>
          <w:rFonts w:ascii="Gill Sans" w:hAnsi="Gill Sans" w:cs="Gill Sans"/>
          <w:color w:val="auto"/>
          <w:sz w:val="18"/>
          <w:szCs w:val="18"/>
        </w:rPr>
        <w:t>’</w:t>
      </w:r>
      <w:r w:rsidRPr="00415346">
        <w:rPr>
          <w:rFonts w:ascii="Gill Sans" w:hAnsi="Gill Sans" w:cs="Gill Sans"/>
          <w:color w:val="auto"/>
          <w:sz w:val="18"/>
          <w:szCs w:val="18"/>
        </w:rPr>
        <w:t xml:space="preserve"> Reserve Bank of New Zealand, accessed 17 January, 2018, https://www.rbnz.govt.nz/statistics/m14</w:t>
      </w:r>
      <w:r w:rsidRPr="00415346">
        <w:rPr>
          <w:rStyle w:val="EndnoteReference"/>
          <w:rFonts w:ascii="Gill Sans" w:hAnsi="Gill Sans" w:cs="Gill Sans"/>
          <w:color w:val="auto"/>
          <w:sz w:val="18"/>
          <w:szCs w:val="18"/>
          <w:vertAlign w:val="baseline"/>
        </w:rPr>
        <w:t>; Internet NZ</w:t>
      </w:r>
      <w:r w:rsidRPr="00415346">
        <w:rPr>
          <w:rFonts w:ascii="Gill Sans" w:hAnsi="Gill Sans" w:cs="Gill Sans"/>
          <w:color w:val="auto"/>
          <w:sz w:val="18"/>
          <w:szCs w:val="18"/>
        </w:rPr>
        <w:t>,</w:t>
      </w:r>
      <w:r w:rsidRPr="00415346">
        <w:rPr>
          <w:rStyle w:val="EndnoteReference"/>
          <w:rFonts w:ascii="Gill Sans" w:hAnsi="Gill Sans" w:cs="Gill Sans"/>
          <w:color w:val="auto"/>
          <w:sz w:val="18"/>
          <w:szCs w:val="18"/>
          <w:vertAlign w:val="baseline"/>
        </w:rPr>
        <w:t xml:space="preserve"> interview </w:t>
      </w:r>
      <w:r w:rsidRPr="00415346">
        <w:rPr>
          <w:rFonts w:ascii="Gill Sans" w:hAnsi="Gill Sans" w:cs="Gill Sans"/>
          <w:color w:val="auto"/>
          <w:sz w:val="18"/>
          <w:szCs w:val="18"/>
        </w:rPr>
        <w:t>with IRM researcher</w:t>
      </w:r>
      <w:r w:rsidRPr="00415346">
        <w:rPr>
          <w:rStyle w:val="EndnoteReference"/>
          <w:rFonts w:ascii="Gill Sans" w:hAnsi="Gill Sans" w:cs="Gill Sans"/>
          <w:color w:val="auto"/>
          <w:sz w:val="18"/>
          <w:szCs w:val="18"/>
          <w:vertAlign w:val="baseline"/>
        </w:rPr>
        <w:t>, 6 September 2017.</w:t>
      </w:r>
    </w:p>
  </w:endnote>
  <w:endnote w:id="97">
    <w:p w14:paraId="08EC0B7E" w14:textId="3A29CF96" w:rsidR="001A2E4A" w:rsidRPr="005A54BF" w:rsidRDefault="001A2E4A">
      <w:pPr>
        <w:pStyle w:val="EndnoteText"/>
        <w:rPr>
          <w:rStyle w:val="EndnoteReference"/>
          <w:rFonts w:ascii="Gill Sans" w:hAnsi="Gill Sans" w:cs="Gill Sans"/>
          <w:color w:val="auto"/>
          <w:sz w:val="18"/>
          <w:szCs w:val="18"/>
          <w:vertAlign w:val="baseline"/>
        </w:rPr>
      </w:pPr>
      <w:r w:rsidRPr="00415346">
        <w:rPr>
          <w:rStyle w:val="EndnoteReference"/>
          <w:rFonts w:ascii="Gill Sans" w:hAnsi="Gill Sans" w:cs="Gill Sans"/>
          <w:color w:val="auto"/>
          <w:sz w:val="18"/>
          <w:szCs w:val="18"/>
          <w:vertAlign w:val="baseline"/>
        </w:rPr>
        <w:endnoteRef/>
      </w:r>
      <w:r w:rsidRPr="00415346">
        <w:rPr>
          <w:rStyle w:val="EndnoteReference"/>
          <w:rFonts w:ascii="Gill Sans" w:hAnsi="Gill Sans" w:cs="Gill Sans"/>
          <w:color w:val="auto"/>
          <w:sz w:val="18"/>
          <w:szCs w:val="18"/>
          <w:vertAlign w:val="baseline"/>
        </w:rPr>
        <w:t xml:space="preserve"> </w:t>
      </w:r>
      <w:r w:rsidRPr="005A54BF">
        <w:rPr>
          <w:rStyle w:val="EndnoteReference"/>
          <w:rFonts w:ascii="Gill Sans" w:hAnsi="Gill Sans" w:cs="Gill Sans"/>
          <w:i/>
          <w:color w:val="auto"/>
          <w:sz w:val="18"/>
          <w:szCs w:val="18"/>
          <w:vertAlign w:val="baseline"/>
        </w:rPr>
        <w:t>Official Information Act 1982</w:t>
      </w:r>
      <w:r w:rsidRPr="005A54BF">
        <w:rPr>
          <w:rFonts w:ascii="Gill Sans" w:hAnsi="Gill Sans" w:cs="Gill Sans"/>
          <w:color w:val="auto"/>
          <w:sz w:val="18"/>
          <w:szCs w:val="18"/>
        </w:rPr>
        <w:t xml:space="preserve">, New Zealand Parliamentary Counsel Office, </w:t>
      </w:r>
      <w:r>
        <w:fldChar w:fldCharType="begin"/>
      </w:r>
      <w:r>
        <w:instrText xml:space="preserve"> HYPERLINK "http://www.legislation.govt.nz/act/public/1982/0156/latest/DLM64785.html?src=qs" </w:instrText>
      </w:r>
      <w:r>
        <w:fldChar w:fldCharType="separate"/>
      </w:r>
      <w:r w:rsidRPr="005A54BF">
        <w:rPr>
          <w:rStyle w:val="Hyperlink"/>
          <w:rFonts w:ascii="Gill Sans" w:hAnsi="Gill Sans" w:cs="Gill Sans"/>
          <w:color w:val="auto"/>
          <w:sz w:val="18"/>
          <w:szCs w:val="18"/>
          <w:u w:val="none"/>
        </w:rPr>
        <w:t>http://www.legislation.govt.nz/act/public/1982/0156/latest/DLM64785.html?src=qs</w:t>
      </w:r>
      <w:r>
        <w:rPr>
          <w:rStyle w:val="Hyperlink"/>
          <w:rFonts w:ascii="Gill Sans" w:hAnsi="Gill Sans" w:cs="Gill Sans"/>
          <w:color w:val="auto"/>
          <w:sz w:val="18"/>
          <w:szCs w:val="18"/>
          <w:u w:val="none"/>
        </w:rPr>
        <w:fldChar w:fldCharType="end"/>
      </w:r>
      <w:r w:rsidRPr="005A54BF">
        <w:rPr>
          <w:rStyle w:val="EndnoteReference"/>
          <w:rFonts w:ascii="Gill Sans" w:hAnsi="Gill Sans" w:cs="Gill Sans"/>
          <w:color w:val="auto"/>
          <w:sz w:val="18"/>
          <w:szCs w:val="18"/>
          <w:vertAlign w:val="baseline"/>
        </w:rPr>
        <w:t xml:space="preserve">; Local Government </w:t>
      </w:r>
      <w:r w:rsidRPr="005A54BF">
        <w:rPr>
          <w:rStyle w:val="EndnoteReference"/>
          <w:rFonts w:ascii="Gill Sans" w:hAnsi="Gill Sans" w:cs="Gill Sans"/>
          <w:i/>
          <w:color w:val="auto"/>
          <w:sz w:val="18"/>
          <w:szCs w:val="18"/>
          <w:vertAlign w:val="baseline"/>
        </w:rPr>
        <w:t>Official Information and Meetings Act 1987</w:t>
      </w:r>
      <w:r w:rsidRPr="005A54BF">
        <w:rPr>
          <w:rFonts w:ascii="Gill Sans" w:hAnsi="Gill Sans" w:cs="Gill Sans"/>
          <w:color w:val="auto"/>
          <w:sz w:val="18"/>
          <w:szCs w:val="18"/>
        </w:rPr>
        <w:t xml:space="preserve">, New Zealand Parliamentary Counsel Office, </w:t>
      </w:r>
      <w:r w:rsidRPr="005A54BF">
        <w:rPr>
          <w:rStyle w:val="EndnoteReference"/>
          <w:rFonts w:ascii="Gill Sans" w:hAnsi="Gill Sans" w:cs="Gill Sans"/>
          <w:color w:val="auto"/>
          <w:sz w:val="18"/>
          <w:szCs w:val="18"/>
          <w:vertAlign w:val="baseline"/>
        </w:rPr>
        <w:t>http://www.legislation.govt.nz/act/public/1987/0174/latest/DLM122242.html?src=qs.</w:t>
      </w:r>
    </w:p>
  </w:endnote>
  <w:endnote w:id="98">
    <w:p w14:paraId="6281A10F" w14:textId="2B984162" w:rsidR="001A2E4A" w:rsidRPr="005A54BF" w:rsidRDefault="001A2E4A" w:rsidP="00852BAD">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5A54BF">
        <w:rPr>
          <w:rStyle w:val="EndnoteReference"/>
          <w:rFonts w:ascii="Gill Sans" w:hAnsi="Gill Sans" w:cs="Gill Sans"/>
          <w:i/>
          <w:color w:val="auto"/>
          <w:sz w:val="18"/>
          <w:szCs w:val="18"/>
          <w:vertAlign w:val="baseline"/>
        </w:rPr>
        <w:t>The Public's Right To Know: Review of the Official Information Legislation</w:t>
      </w:r>
      <w:r w:rsidRPr="005A54BF">
        <w:rPr>
          <w:rStyle w:val="EndnoteReference"/>
          <w:rFonts w:ascii="Gill Sans" w:hAnsi="Gill Sans" w:cs="Gill Sans"/>
          <w:color w:val="auto"/>
          <w:sz w:val="18"/>
          <w:szCs w:val="18"/>
          <w:vertAlign w:val="baseline"/>
        </w:rPr>
        <w:t xml:space="preserve">, Law Commission, June 2012, </w:t>
      </w:r>
      <w:r>
        <w:fldChar w:fldCharType="begin"/>
      </w:r>
      <w:r>
        <w:instrText xml:space="preserve"> HYPERLINK "http://www.lawcom.govt.nz/sites/default/files/projectAvailableFormats/NZLC%20R125.pdf" </w:instrText>
      </w:r>
      <w:r>
        <w:fldChar w:fldCharType="separate"/>
      </w:r>
      <w:r w:rsidRPr="005A54BF">
        <w:rPr>
          <w:rStyle w:val="Hyperlink"/>
          <w:rFonts w:ascii="Gill Sans" w:hAnsi="Gill Sans" w:cs="Gill Sans"/>
          <w:color w:val="auto"/>
          <w:sz w:val="18"/>
          <w:szCs w:val="18"/>
          <w:u w:val="none"/>
        </w:rPr>
        <w:t>www.lawcom.govt.nz/sites/default/files/projectAvailableFormats/NZLC%20R125.pdf</w:t>
      </w:r>
      <w:r>
        <w:rPr>
          <w:rStyle w:val="Hyperlink"/>
          <w:rFonts w:ascii="Gill Sans" w:hAnsi="Gill Sans" w:cs="Gill Sans"/>
          <w:color w:val="auto"/>
          <w:sz w:val="18"/>
          <w:szCs w:val="18"/>
          <w:u w:val="none"/>
        </w:rPr>
        <w:fldChar w:fldCharType="end"/>
      </w:r>
      <w:r w:rsidRPr="005A54BF">
        <w:rPr>
          <w:rFonts w:ascii="Gill Sans" w:hAnsi="Gill Sans" w:cs="Gill Sans"/>
          <w:color w:val="auto"/>
          <w:sz w:val="18"/>
          <w:szCs w:val="18"/>
        </w:rPr>
        <w:t>, 8.</w:t>
      </w:r>
    </w:p>
  </w:endnote>
  <w:endnote w:id="99">
    <w:p w14:paraId="3E662FAD" w14:textId="74C28EB4" w:rsidR="001A2E4A" w:rsidRPr="00AF27B9" w:rsidRDefault="001A2E4A">
      <w:pPr>
        <w:pStyle w:val="EndnoteText"/>
        <w:rPr>
          <w:lang w:val="en-NZ"/>
        </w:rPr>
      </w:pPr>
      <w:r>
        <w:rPr>
          <w:rStyle w:val="EndnoteReference"/>
        </w:rPr>
        <w:endnoteRef/>
      </w:r>
      <w:r>
        <w:t xml:space="preserve"> </w:t>
      </w:r>
      <w:r>
        <w:rPr>
          <w:i/>
        </w:rPr>
        <w:t xml:space="preserve">Id, </w:t>
      </w:r>
      <w:r>
        <w:t>p377</w:t>
      </w:r>
    </w:p>
  </w:endnote>
  <w:endnote w:id="100">
    <w:p w14:paraId="21DAB0DF" w14:textId="2402CD28" w:rsidR="001A2E4A" w:rsidRPr="00AF27B9" w:rsidRDefault="001A2E4A">
      <w:pPr>
        <w:pStyle w:val="EndnoteText"/>
        <w:rPr>
          <w:lang w:val="en-NZ"/>
        </w:rPr>
      </w:pPr>
      <w:r>
        <w:rPr>
          <w:rStyle w:val="EndnoteReference"/>
        </w:rPr>
        <w:endnoteRef/>
      </w:r>
      <w:r>
        <w:t xml:space="preserve"> </w:t>
      </w:r>
      <w:r w:rsidRPr="005A54BF">
        <w:rPr>
          <w:rFonts w:ascii="Gill Sans" w:hAnsi="Gill Sans" w:cs="Gill Sans"/>
          <w:color w:val="auto"/>
          <w:sz w:val="18"/>
          <w:szCs w:val="18"/>
        </w:rPr>
        <w:t xml:space="preserve">Philip Matthews, </w:t>
      </w:r>
      <w:r>
        <w:rPr>
          <w:rFonts w:ascii="Gill Sans" w:hAnsi="Gill Sans" w:cs="Gill Sans"/>
          <w:color w:val="auto"/>
          <w:sz w:val="18"/>
          <w:szCs w:val="18"/>
        </w:rPr>
        <w:t>‘</w:t>
      </w:r>
      <w:r w:rsidRPr="005A54BF">
        <w:rPr>
          <w:rFonts w:ascii="Gill Sans" w:hAnsi="Gill Sans" w:cs="Gill Sans"/>
          <w:color w:val="auto"/>
          <w:sz w:val="18"/>
          <w:szCs w:val="18"/>
        </w:rPr>
        <w:t>Editorial: There is no excuse for delaying official information,</w:t>
      </w:r>
      <w:r>
        <w:rPr>
          <w:rFonts w:ascii="Gill Sans" w:hAnsi="Gill Sans" w:cs="Gill Sans"/>
          <w:color w:val="auto"/>
          <w:sz w:val="18"/>
          <w:szCs w:val="18"/>
        </w:rPr>
        <w:t>’</w:t>
      </w:r>
      <w:r w:rsidRPr="005A54BF">
        <w:rPr>
          <w:rFonts w:ascii="Gill Sans" w:hAnsi="Gill Sans" w:cs="Gill Sans"/>
          <w:color w:val="auto"/>
          <w:sz w:val="18"/>
          <w:szCs w:val="18"/>
        </w:rPr>
        <w:t xml:space="preserve"> </w:t>
      </w:r>
      <w:r w:rsidRPr="005A54BF">
        <w:rPr>
          <w:rFonts w:ascii="Gill Sans" w:hAnsi="Gill Sans" w:cs="Gill Sans"/>
          <w:i/>
          <w:color w:val="auto"/>
          <w:sz w:val="18"/>
          <w:szCs w:val="18"/>
        </w:rPr>
        <w:t>Stuff</w:t>
      </w:r>
      <w:r w:rsidRPr="005A54BF">
        <w:rPr>
          <w:rFonts w:ascii="Gill Sans" w:hAnsi="Gill Sans" w:cs="Gill Sans"/>
          <w:color w:val="auto"/>
          <w:sz w:val="18"/>
          <w:szCs w:val="18"/>
        </w:rPr>
        <w:t>, 17 June 2017, https://www.stuff.co.nz/the-press/opinion/93759469/Editorial-There-is-no-excuse-for-delaying-official-information</w:t>
      </w:r>
    </w:p>
  </w:endnote>
  <w:endnote w:id="101">
    <w:p w14:paraId="5CCDEE6D" w14:textId="6E7FD6CF"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5A54BF">
        <w:rPr>
          <w:rFonts w:ascii="Gill Sans" w:hAnsi="Gill Sans" w:cs="Gill Sans"/>
          <w:color w:val="auto"/>
          <w:sz w:val="18"/>
          <w:szCs w:val="18"/>
        </w:rPr>
        <w:t>.</w:t>
      </w:r>
    </w:p>
  </w:endnote>
  <w:endnote w:id="102">
    <w:p w14:paraId="6340B385" w14:textId="242296B8" w:rsidR="001A2E4A" w:rsidRPr="005A54BF" w:rsidRDefault="001A2E4A">
      <w:pPr>
        <w:pStyle w:val="EndnoteText"/>
        <w:rPr>
          <w:rStyle w:val="EndnoteReference"/>
          <w:rFonts w:ascii="Gill Sans" w:hAnsi="Gill Sans" w:cs="Gill Sans"/>
          <w:color w:val="auto"/>
          <w:sz w:val="18"/>
          <w:szCs w:val="18"/>
          <w:vertAlign w:val="baseline"/>
        </w:rPr>
      </w:pPr>
    </w:p>
  </w:endnote>
  <w:endnote w:id="103">
    <w:p w14:paraId="369FA6A7" w14:textId="77777777" w:rsidR="001A2E4A" w:rsidRPr="005A54BF" w:rsidRDefault="001A2E4A" w:rsidP="00082DA0">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5A54BF">
        <w:rPr>
          <w:rStyle w:val="EndnoteReference"/>
          <w:rFonts w:ascii="Gill Sans" w:hAnsi="Gill Sans" w:cs="Gill Sans"/>
          <w:color w:val="auto"/>
          <w:sz w:val="18"/>
          <w:szCs w:val="18"/>
          <w:vertAlign w:val="baseline"/>
        </w:rPr>
        <w:t>Dr Chris Eichbaum, Reader in Government at Victoria University of Wellington; Dominion Post, 8 August 2017</w:t>
      </w:r>
      <w:r>
        <w:rPr>
          <w:rFonts w:ascii="Gill Sans" w:hAnsi="Gill Sans" w:cs="Gill Sans"/>
          <w:color w:val="auto"/>
          <w:sz w:val="18"/>
          <w:szCs w:val="18"/>
        </w:rPr>
        <w:t xml:space="preserve">, </w:t>
      </w:r>
      <w:r w:rsidRPr="00082DA0">
        <w:rPr>
          <w:rFonts w:ascii="Gill Sans" w:hAnsi="Gill Sans" w:cs="Gill Sans"/>
          <w:color w:val="auto"/>
          <w:sz w:val="18"/>
          <w:szCs w:val="18"/>
        </w:rPr>
        <w:t>https://www.victoria.ac.nz/news/2017/08/free-and-frank-advice-fast-disappearing</w:t>
      </w:r>
    </w:p>
  </w:endnote>
  <w:endnote w:id="104">
    <w:p w14:paraId="17FFE542" w14:textId="4DFCB439" w:rsidR="001A2E4A" w:rsidRPr="005A54BF" w:rsidRDefault="001A2E4A" w:rsidP="00CA3939">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5A54BF">
        <w:rPr>
          <w:rStyle w:val="EndnoteReference"/>
          <w:rFonts w:ascii="Gill Sans" w:hAnsi="Gill Sans" w:cs="Gill Sans"/>
          <w:color w:val="auto"/>
          <w:sz w:val="18"/>
          <w:szCs w:val="18"/>
          <w:vertAlign w:val="baseline"/>
        </w:rPr>
        <w:t xml:space="preserve">1 News at 6, </w:t>
      </w:r>
      <w:r w:rsidRPr="005A54BF">
        <w:rPr>
          <w:rStyle w:val="EndnoteReference"/>
          <w:rFonts w:ascii="Gill Sans" w:hAnsi="Gill Sans" w:cs="Gill Sans"/>
          <w:i/>
          <w:color w:val="auto"/>
          <w:sz w:val="18"/>
          <w:szCs w:val="18"/>
          <w:vertAlign w:val="baseline"/>
        </w:rPr>
        <w:t>TVNZ</w:t>
      </w:r>
      <w:r w:rsidRPr="005A54BF">
        <w:rPr>
          <w:rFonts w:ascii="Gill Sans" w:hAnsi="Gill Sans" w:cs="Gill Sans"/>
          <w:i/>
          <w:color w:val="auto"/>
          <w:sz w:val="18"/>
          <w:szCs w:val="18"/>
        </w:rPr>
        <w:t xml:space="preserve">, </w:t>
      </w:r>
      <w:r w:rsidRPr="005A54BF">
        <w:rPr>
          <w:rStyle w:val="EndnoteReference"/>
          <w:rFonts w:ascii="Gill Sans" w:hAnsi="Gill Sans" w:cs="Gill Sans"/>
          <w:color w:val="auto"/>
          <w:sz w:val="18"/>
          <w:szCs w:val="18"/>
          <w:vertAlign w:val="baseline"/>
        </w:rPr>
        <w:t>24 August 2017</w:t>
      </w:r>
      <w:r w:rsidRPr="005A54BF">
        <w:rPr>
          <w:rFonts w:ascii="Gill Sans" w:hAnsi="Gill Sans" w:cs="Gill Sans"/>
          <w:color w:val="auto"/>
          <w:sz w:val="18"/>
          <w:szCs w:val="18"/>
        </w:rPr>
        <w:t>.</w:t>
      </w:r>
    </w:p>
  </w:endnote>
  <w:endnote w:id="105">
    <w:p w14:paraId="4F0ADCE8" w14:textId="729ACBEA"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5A54BF">
        <w:rPr>
          <w:rFonts w:ascii="Gill Sans" w:hAnsi="Gill Sans" w:cs="Gill Sans"/>
          <w:color w:val="auto"/>
          <w:sz w:val="18"/>
          <w:szCs w:val="18"/>
        </w:rPr>
        <w:t>Editorial: officials are ratting on the Official Information Act,</w:t>
      </w:r>
      <w:r>
        <w:rPr>
          <w:rFonts w:ascii="Gill Sans" w:hAnsi="Gill Sans" w:cs="Gill Sans"/>
          <w:color w:val="auto"/>
          <w:sz w:val="18"/>
          <w:szCs w:val="18"/>
        </w:rPr>
        <w:t>’</w:t>
      </w:r>
      <w:r w:rsidRPr="005A54BF">
        <w:rPr>
          <w:rFonts w:ascii="Gill Sans" w:hAnsi="Gill Sans" w:cs="Gill Sans"/>
          <w:color w:val="auto"/>
          <w:sz w:val="18"/>
          <w:szCs w:val="18"/>
        </w:rPr>
        <w:t xml:space="preserve"> </w:t>
      </w:r>
      <w:r w:rsidRPr="005A54BF">
        <w:rPr>
          <w:rFonts w:ascii="Gill Sans" w:hAnsi="Gill Sans" w:cs="Gill Sans"/>
          <w:i/>
          <w:color w:val="auto"/>
          <w:sz w:val="18"/>
          <w:szCs w:val="18"/>
        </w:rPr>
        <w:t>The Dominion Post</w:t>
      </w:r>
      <w:r w:rsidRPr="005A54BF">
        <w:rPr>
          <w:rFonts w:ascii="Gill Sans" w:hAnsi="Gill Sans" w:cs="Gill Sans"/>
          <w:color w:val="auto"/>
          <w:sz w:val="18"/>
          <w:szCs w:val="18"/>
        </w:rPr>
        <w:t>, 7 February, 2017, https://www.stuff.co.nz/dominion-post/comment/editorials/89075405/editorial-officials-are-ratting-on-the-official-information-act.</w:t>
      </w:r>
      <w:r w:rsidRPr="005A54BF" w:rsidDel="003816A4">
        <w:rPr>
          <w:rStyle w:val="EndnoteReference"/>
          <w:rFonts w:ascii="Gill Sans" w:hAnsi="Gill Sans" w:cs="Gill Sans"/>
          <w:color w:val="auto"/>
          <w:sz w:val="18"/>
          <w:szCs w:val="18"/>
          <w:vertAlign w:val="baseline"/>
        </w:rPr>
        <w:t xml:space="preserve"> </w:t>
      </w:r>
    </w:p>
  </w:endnote>
  <w:endnote w:id="106">
    <w:p w14:paraId="6EC99881" w14:textId="378DCEB6" w:rsidR="001A2E4A" w:rsidRPr="005A54BF" w:rsidRDefault="001A2E4A" w:rsidP="001E1734">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5A54BF">
        <w:rPr>
          <w:rFonts w:ascii="Gill Sans" w:hAnsi="Gill Sans" w:cs="Gill Sans"/>
          <w:color w:val="auto"/>
          <w:sz w:val="18"/>
          <w:szCs w:val="18"/>
        </w:rPr>
        <w:t>Media Statement: Joint work to improve OIA responsiveness,</w:t>
      </w:r>
      <w:r>
        <w:rPr>
          <w:rFonts w:ascii="Gill Sans" w:hAnsi="Gill Sans" w:cs="Gill Sans"/>
          <w:color w:val="auto"/>
          <w:sz w:val="18"/>
          <w:szCs w:val="18"/>
        </w:rPr>
        <w:t>’</w:t>
      </w:r>
      <w:r w:rsidRPr="005A54BF">
        <w:rPr>
          <w:rFonts w:ascii="Gill Sans" w:hAnsi="Gill Sans" w:cs="Gill Sans"/>
          <w:color w:val="auto"/>
          <w:sz w:val="18"/>
          <w:szCs w:val="18"/>
        </w:rPr>
        <w:t xml:space="preserve"> State Services Commission, 20 October 2016, www.ssc.govt.nz/media-statement-joint-work-improve-oia-responsiveness.</w:t>
      </w:r>
    </w:p>
  </w:endnote>
  <w:endnote w:id="107">
    <w:p w14:paraId="46EC801A" w14:textId="6D3B5351" w:rsidR="001A2E4A" w:rsidRPr="005A54BF" w:rsidRDefault="001A2E4A" w:rsidP="00DD524E">
      <w:pPr>
        <w:pStyle w:val="EndnoteText"/>
        <w:rPr>
          <w:rStyle w:val="EndnoteReference"/>
          <w:rFonts w:ascii="Gill Sans" w:eastAsiaTheme="minorEastAsia" w:hAnsi="Gill Sans" w:cs="Gill Sans"/>
          <w:color w:val="auto"/>
          <w:sz w:val="18"/>
          <w:szCs w:val="18"/>
          <w:vertAlign w:val="baseline"/>
        </w:rPr>
      </w:pPr>
      <w:r w:rsidRPr="009510B5">
        <w:rPr>
          <w:rStyle w:val="EndnoteReference"/>
          <w:rFonts w:ascii="Gill Sans" w:hAnsi="Gill Sans" w:cs="Gill Sans"/>
          <w:color w:val="auto"/>
          <w:sz w:val="18"/>
          <w:szCs w:val="18"/>
          <w:vertAlign w:val="baseline"/>
        </w:rPr>
        <w:t>http://www.ssc.govt.nz/official-information-guidance</w:t>
      </w:r>
    </w:p>
  </w:endnote>
  <w:endnote w:id="108">
    <w:p w14:paraId="79FB4D5E" w14:textId="2A9EBC4F" w:rsidR="001A2E4A" w:rsidRPr="005A54BF" w:rsidRDefault="001A2E4A" w:rsidP="008F6D7B">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9E698C">
        <w:t>http://www.ssc.govt.nz/official-information-statistics</w:t>
      </w:r>
    </w:p>
  </w:endnote>
  <w:endnote w:id="109">
    <w:p w14:paraId="38D40CE1" w14:textId="77777777"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hyperlink r:id="rId9" w:history="1">
        <w:r w:rsidRPr="005A54BF">
          <w:rPr>
            <w:rStyle w:val="EndnoteReference"/>
            <w:rFonts w:ascii="Gill Sans" w:hAnsi="Gill Sans" w:cs="Gill Sans"/>
            <w:color w:val="auto"/>
            <w:sz w:val="18"/>
            <w:szCs w:val="18"/>
            <w:vertAlign w:val="baseline"/>
          </w:rPr>
          <w:t>http://www.ombudsman.parliament.nz/resources-and-publications/oia-complaints-data</w:t>
        </w:r>
      </w:hyperlink>
      <w:r w:rsidRPr="005A54BF">
        <w:rPr>
          <w:rStyle w:val="EndnoteReference"/>
          <w:rFonts w:ascii="Gill Sans" w:hAnsi="Gill Sans" w:cs="Gill Sans"/>
          <w:color w:val="auto"/>
          <w:sz w:val="18"/>
          <w:szCs w:val="18"/>
          <w:vertAlign w:val="baseline"/>
        </w:rPr>
        <w:t>. Six-monthly report</w:t>
      </w:r>
    </w:p>
  </w:endnote>
  <w:endnote w:id="110">
    <w:p w14:paraId="39FEE5C9" w14:textId="0B6E8B7F"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t xml:space="preserve">12 </w:t>
      </w:r>
      <w:r w:rsidRPr="005A54BF">
        <w:rPr>
          <w:rStyle w:val="EndnoteReference"/>
          <w:rFonts w:ascii="Gill Sans" w:hAnsi="Gill Sans" w:cs="Gill Sans"/>
          <w:i/>
          <w:color w:val="auto"/>
          <w:sz w:val="18"/>
          <w:szCs w:val="18"/>
          <w:vertAlign w:val="baseline"/>
        </w:rPr>
        <w:t>Cabinet Manua</w:t>
      </w:r>
      <w:r w:rsidRPr="005A54BF">
        <w:rPr>
          <w:rFonts w:ascii="Gill Sans" w:hAnsi="Gill Sans" w:cs="Gill Sans"/>
          <w:i/>
          <w:color w:val="auto"/>
          <w:sz w:val="18"/>
          <w:szCs w:val="18"/>
        </w:rPr>
        <w:t>l</w:t>
      </w:r>
      <w:r w:rsidRPr="005A54BF">
        <w:rPr>
          <w:rFonts w:ascii="Gill Sans" w:hAnsi="Gill Sans" w:cs="Gill Sans"/>
          <w:color w:val="auto"/>
          <w:sz w:val="18"/>
          <w:szCs w:val="18"/>
        </w:rPr>
        <w:t xml:space="preserve">: </w:t>
      </w:r>
      <w:r w:rsidRPr="005A54BF">
        <w:rPr>
          <w:rFonts w:ascii="Gill Sans" w:hAnsi="Gill Sans" w:cs="Gill Sans"/>
          <w:i/>
          <w:color w:val="auto"/>
          <w:sz w:val="18"/>
          <w:szCs w:val="18"/>
        </w:rPr>
        <w:t>2017</w:t>
      </w:r>
      <w:r w:rsidRPr="005A54BF">
        <w:rPr>
          <w:rFonts w:ascii="Gill Sans" w:hAnsi="Gill Sans" w:cs="Gill Sans"/>
          <w:color w:val="auto"/>
          <w:sz w:val="18"/>
          <w:szCs w:val="18"/>
        </w:rPr>
        <w:t xml:space="preserve">, Cabinet Office,  </w:t>
      </w:r>
      <w:r>
        <w:fldChar w:fldCharType="begin"/>
      </w:r>
      <w:r>
        <w:instrText xml:space="preserve"> HYPERLINK "https://www.dpmc.govt.nz/sites/default/files/2017-06/cabinet-manual-2017.pdf" </w:instrText>
      </w:r>
      <w:r>
        <w:fldChar w:fldCharType="separate"/>
      </w:r>
      <w:r w:rsidRPr="005A54BF">
        <w:rPr>
          <w:rStyle w:val="Hyperlink"/>
          <w:rFonts w:ascii="Gill Sans" w:hAnsi="Gill Sans" w:cs="Gill Sans"/>
          <w:color w:val="auto"/>
          <w:sz w:val="18"/>
          <w:szCs w:val="18"/>
          <w:u w:val="none"/>
        </w:rPr>
        <w:t>https://www.dpmc.govt.nz/sites/default/files/2017-06/cabinet-manual-2017.pdf</w:t>
      </w:r>
      <w:r>
        <w:rPr>
          <w:rStyle w:val="Hyperlink"/>
          <w:rFonts w:ascii="Gill Sans" w:hAnsi="Gill Sans" w:cs="Gill Sans"/>
          <w:color w:val="auto"/>
          <w:sz w:val="18"/>
          <w:szCs w:val="18"/>
          <w:u w:val="none"/>
        </w:rPr>
        <w:fldChar w:fldCharType="end"/>
      </w:r>
      <w:r w:rsidRPr="005A54BF">
        <w:rPr>
          <w:rFonts w:ascii="Gill Sans" w:hAnsi="Gill Sans" w:cs="Gill Sans"/>
          <w:color w:val="auto"/>
          <w:sz w:val="18"/>
          <w:szCs w:val="18"/>
        </w:rPr>
        <w:t xml:space="preserve">, </w:t>
      </w:r>
      <w:r w:rsidRPr="005A54BF">
        <w:rPr>
          <w:rFonts w:ascii="Arial" w:hAnsi="Arial" w:cs="Arial"/>
          <w:color w:val="auto"/>
          <w:sz w:val="18"/>
          <w:szCs w:val="18"/>
        </w:rPr>
        <w:t>¶</w:t>
      </w:r>
      <w:r w:rsidRPr="005A54BF">
        <w:rPr>
          <w:rStyle w:val="EndnoteReference"/>
          <w:rFonts w:ascii="Gill Sans" w:hAnsi="Gill Sans" w:cs="Gill Sans"/>
          <w:color w:val="auto"/>
          <w:sz w:val="18"/>
          <w:szCs w:val="18"/>
          <w:vertAlign w:val="baseline"/>
        </w:rPr>
        <w:t>8.14-8.19</w:t>
      </w:r>
      <w:r w:rsidRPr="005A54BF">
        <w:rPr>
          <w:rFonts w:ascii="Gill Sans" w:hAnsi="Gill Sans" w:cs="Gill Sans"/>
          <w:color w:val="auto"/>
          <w:sz w:val="18"/>
          <w:szCs w:val="18"/>
        </w:rPr>
        <w:t>.</w:t>
      </w:r>
    </w:p>
  </w:endnote>
  <w:endnote w:id="111">
    <w:p w14:paraId="02C225E4" w14:textId="768F8DF0"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t xml:space="preserve">13 </w:t>
      </w:r>
      <w:r>
        <w:rPr>
          <w:rFonts w:ascii="Gill Sans" w:hAnsi="Gill Sans" w:cs="Gill Sans"/>
          <w:color w:val="auto"/>
          <w:sz w:val="18"/>
          <w:szCs w:val="18"/>
        </w:rPr>
        <w:t>‘</w:t>
      </w:r>
      <w:r w:rsidRPr="005A54BF">
        <w:rPr>
          <w:rFonts w:ascii="Gill Sans" w:hAnsi="Gill Sans" w:cs="Gill Sans"/>
          <w:color w:val="auto"/>
          <w:sz w:val="18"/>
          <w:szCs w:val="18"/>
        </w:rPr>
        <w:t>CabGuide: Proactive release of Cabinet material,</w:t>
      </w:r>
      <w:r>
        <w:rPr>
          <w:rFonts w:ascii="Gill Sans" w:hAnsi="Gill Sans" w:cs="Gill Sans"/>
          <w:color w:val="auto"/>
          <w:sz w:val="18"/>
          <w:szCs w:val="18"/>
        </w:rPr>
        <w:t>’</w:t>
      </w:r>
      <w:r w:rsidRPr="005A54BF">
        <w:rPr>
          <w:rFonts w:ascii="Gill Sans" w:hAnsi="Gill Sans" w:cs="Gill Sans"/>
          <w:color w:val="auto"/>
          <w:sz w:val="18"/>
          <w:szCs w:val="18"/>
        </w:rPr>
        <w:t xml:space="preserve"> Department of the Prime Minister and Cabinet, 11 August 2017, https://dpmc.govt.nz/publications/proactive-release-cabinet-material</w:t>
      </w:r>
      <w:r>
        <w:fldChar w:fldCharType="begin"/>
      </w:r>
      <w:r>
        <w:instrText xml:space="preserve"> HYPERLINK </w:instrText>
      </w:r>
      <w:r>
        <w:fldChar w:fldCharType="separate"/>
      </w:r>
      <w:r>
        <w:fldChar w:fldCharType="end"/>
      </w:r>
      <w:r w:rsidRPr="005A54BF">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5A54BF">
        <w:rPr>
          <w:rFonts w:ascii="Gill Sans" w:hAnsi="Gill Sans" w:cs="Gill Sans"/>
          <w:color w:val="auto"/>
          <w:sz w:val="18"/>
          <w:szCs w:val="18"/>
        </w:rPr>
        <w:t>Proactive Release of Official Information: Agency Guidance,</w:t>
      </w:r>
      <w:r>
        <w:rPr>
          <w:rFonts w:ascii="Gill Sans" w:hAnsi="Gill Sans" w:cs="Gill Sans"/>
          <w:color w:val="auto"/>
          <w:sz w:val="18"/>
          <w:szCs w:val="18"/>
        </w:rPr>
        <w:t>’</w:t>
      </w:r>
      <w:r w:rsidRPr="005A54BF">
        <w:rPr>
          <w:rFonts w:ascii="Gill Sans" w:hAnsi="Gill Sans" w:cs="Gill Sans"/>
          <w:color w:val="auto"/>
          <w:sz w:val="18"/>
          <w:szCs w:val="18"/>
        </w:rPr>
        <w:t xml:space="preserve"> State Services Commission, https://www.ssc.govt.nz/sites/all/files/OIA%20PROACTIVE%20GUIDANCE.pdf.</w:t>
      </w:r>
    </w:p>
  </w:endnote>
  <w:endnote w:id="112">
    <w:p w14:paraId="6D345572" w14:textId="7C4523E0"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t xml:space="preserve">14 </w:t>
      </w:r>
      <w:r>
        <w:rPr>
          <w:rFonts w:ascii="Gill Sans" w:hAnsi="Gill Sans" w:cs="Gill Sans"/>
          <w:color w:val="auto"/>
          <w:sz w:val="18"/>
          <w:szCs w:val="18"/>
        </w:rPr>
        <w:t>‘</w:t>
      </w:r>
      <w:r w:rsidRPr="005A54BF">
        <w:rPr>
          <w:rFonts w:ascii="Gill Sans" w:hAnsi="Gill Sans" w:cs="Gill Sans"/>
          <w:color w:val="auto"/>
          <w:sz w:val="18"/>
          <w:szCs w:val="18"/>
        </w:rPr>
        <w:t>Editorial: Will a new plan to rescue freedom of information really work?,</w:t>
      </w:r>
      <w:r>
        <w:rPr>
          <w:rFonts w:ascii="Gill Sans" w:hAnsi="Gill Sans" w:cs="Gill Sans"/>
          <w:color w:val="auto"/>
          <w:sz w:val="18"/>
          <w:szCs w:val="18"/>
        </w:rPr>
        <w:t>’</w:t>
      </w:r>
      <w:r w:rsidRPr="005A54BF">
        <w:rPr>
          <w:rFonts w:ascii="Gill Sans" w:hAnsi="Gill Sans" w:cs="Gill Sans"/>
          <w:color w:val="auto"/>
          <w:sz w:val="18"/>
          <w:szCs w:val="18"/>
        </w:rPr>
        <w:t xml:space="preserve"> The Dominion Post, 24 October 2016, https://www.stuff.co.nz/dominion-post/comment/editorials/85627024/editorial-will-a-new-plan-to-rescue-freedom-of-information-really-work.</w:t>
      </w:r>
      <w:r w:rsidRPr="005A54BF" w:rsidDel="006859F8">
        <w:rPr>
          <w:rStyle w:val="EndnoteReference"/>
          <w:rFonts w:ascii="Gill Sans" w:hAnsi="Gill Sans" w:cs="Gill Sans"/>
          <w:color w:val="auto"/>
          <w:sz w:val="18"/>
          <w:szCs w:val="18"/>
          <w:vertAlign w:val="baseline"/>
        </w:rPr>
        <w:t xml:space="preserve"> </w:t>
      </w:r>
    </w:p>
  </w:endnote>
  <w:endnote w:id="113">
    <w:p w14:paraId="0BBEEA69" w14:textId="1B8E4BBA"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t xml:space="preserve">15 </w:t>
      </w:r>
      <w:r>
        <w:fldChar w:fldCharType="begin"/>
      </w:r>
      <w:r>
        <w:instrText xml:space="preserve"> HYPERLINK "https://www.ssc.govt.nz/how-agencies-will-respond-information-requests" </w:instrText>
      </w:r>
      <w:r>
        <w:fldChar w:fldCharType="separate"/>
      </w:r>
      <w:r>
        <w:fldChar w:fldCharType="end"/>
      </w:r>
      <w:r>
        <w:rPr>
          <w:rFonts w:ascii="Gill Sans" w:hAnsi="Gill Sans" w:cs="Gill Sans"/>
          <w:color w:val="auto"/>
          <w:sz w:val="18"/>
          <w:szCs w:val="18"/>
        </w:rPr>
        <w:t>‘</w:t>
      </w:r>
      <w:r w:rsidRPr="005A54BF">
        <w:rPr>
          <w:rFonts w:ascii="Gill Sans" w:hAnsi="Gill Sans" w:cs="Gill Sans"/>
          <w:color w:val="auto"/>
          <w:sz w:val="18"/>
          <w:szCs w:val="18"/>
        </w:rPr>
        <w:t>How agencies will respond to information requests,</w:t>
      </w:r>
      <w:r>
        <w:rPr>
          <w:rFonts w:ascii="Gill Sans" w:hAnsi="Gill Sans" w:cs="Gill Sans"/>
          <w:color w:val="auto"/>
          <w:sz w:val="18"/>
          <w:szCs w:val="18"/>
        </w:rPr>
        <w:t>’</w:t>
      </w:r>
      <w:r w:rsidRPr="005A54BF">
        <w:rPr>
          <w:rFonts w:ascii="Gill Sans" w:hAnsi="Gill Sans" w:cs="Gill Sans"/>
          <w:color w:val="auto"/>
          <w:sz w:val="18"/>
          <w:szCs w:val="18"/>
        </w:rPr>
        <w:t xml:space="preserve"> State Services Commission, 29 June 2017, https://www.ssc.govt.nz/how-agencies-will-respond-information-requests</w:t>
      </w:r>
      <w:r w:rsidRPr="005A54BF">
        <w:rPr>
          <w:rStyle w:val="EndnoteReference"/>
          <w:rFonts w:ascii="Gill Sans" w:hAnsi="Gill Sans" w:cs="Gill Sans"/>
          <w:color w:val="auto"/>
          <w:sz w:val="18"/>
          <w:szCs w:val="18"/>
          <w:vertAlign w:val="baseline"/>
        </w:rPr>
        <w:t xml:space="preserve">; </w:t>
      </w:r>
      <w:r w:rsidRPr="005A54BF">
        <w:rPr>
          <w:color w:val="auto"/>
        </w:rPr>
        <w:t xml:space="preserve"> </w:t>
      </w:r>
      <w:r>
        <w:rPr>
          <w:rFonts w:ascii="Gill Sans" w:hAnsi="Gill Sans" w:cs="Gill Sans"/>
          <w:color w:val="auto"/>
          <w:sz w:val="18"/>
          <w:szCs w:val="18"/>
        </w:rPr>
        <w:t>‘</w:t>
      </w:r>
      <w:r w:rsidRPr="005A54BF">
        <w:rPr>
          <w:rFonts w:ascii="Gill Sans" w:hAnsi="Gill Sans" w:cs="Gill Sans"/>
          <w:color w:val="auto"/>
          <w:sz w:val="18"/>
          <w:szCs w:val="18"/>
        </w:rPr>
        <w:t>Tips for requesting official information,</w:t>
      </w:r>
      <w:r>
        <w:rPr>
          <w:rFonts w:ascii="Gill Sans" w:hAnsi="Gill Sans" w:cs="Gill Sans"/>
          <w:color w:val="auto"/>
          <w:sz w:val="18"/>
          <w:szCs w:val="18"/>
        </w:rPr>
        <w:t>’</w:t>
      </w:r>
      <w:r w:rsidRPr="005A54BF">
        <w:rPr>
          <w:rFonts w:ascii="Gill Sans" w:hAnsi="Gill Sans" w:cs="Gill Sans"/>
          <w:color w:val="auto"/>
          <w:sz w:val="18"/>
          <w:szCs w:val="18"/>
        </w:rPr>
        <w:t xml:space="preserve"> State Services Commission, 29 June 2017, https://www.ssc.govt.nz/tips-requesting-official-information.</w:t>
      </w:r>
    </w:p>
  </w:endnote>
  <w:endnote w:id="114">
    <w:p w14:paraId="3633693B" w14:textId="79B0193F"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t>16 Steven Price, 21 August 2017</w:t>
      </w:r>
      <w:r>
        <w:rPr>
          <w:rFonts w:ascii="Gill Sans" w:hAnsi="Gill Sans" w:cs="Gill Sans"/>
          <w:color w:val="auto"/>
          <w:sz w:val="18"/>
          <w:szCs w:val="18"/>
        </w:rPr>
        <w:t>, interview with IRM researcher</w:t>
      </w:r>
      <w:r w:rsidRPr="005A54BF">
        <w:rPr>
          <w:rFonts w:ascii="Gill Sans" w:hAnsi="Gill Sans" w:cs="Gill Sans"/>
          <w:color w:val="auto"/>
          <w:sz w:val="18"/>
          <w:szCs w:val="18"/>
        </w:rPr>
        <w:t>.</w:t>
      </w:r>
    </w:p>
  </w:endnote>
  <w:endnote w:id="115">
    <w:p w14:paraId="6D58C0EA" w14:textId="34709FB3" w:rsidR="001A2E4A" w:rsidRPr="005A54BF" w:rsidRDefault="001A2E4A">
      <w:pPr>
        <w:pStyle w:val="EndnoteText"/>
        <w:rPr>
          <w:rFonts w:ascii="Gill Sans" w:hAnsi="Gill Sans" w:cs="Gill Sans"/>
          <w:color w:val="auto"/>
          <w:sz w:val="18"/>
          <w:szCs w:val="18"/>
          <w:lang w:val="en-US"/>
        </w:rPr>
      </w:pPr>
      <w:r w:rsidRPr="005A54BF">
        <w:rPr>
          <w:rStyle w:val="EndnoteReference"/>
          <w:rFonts w:ascii="Gill Sans" w:hAnsi="Gill Sans" w:cs="Gill Sans"/>
          <w:color w:val="auto"/>
          <w:sz w:val="18"/>
          <w:szCs w:val="18"/>
          <w:vertAlign w:val="baseline"/>
        </w:rPr>
        <w:t>17 Internet NZ, 6 September 2017</w:t>
      </w:r>
      <w:r>
        <w:rPr>
          <w:rFonts w:ascii="Gill Sans" w:hAnsi="Gill Sans" w:cs="Gill Sans"/>
          <w:color w:val="auto"/>
          <w:sz w:val="18"/>
          <w:szCs w:val="18"/>
        </w:rPr>
        <w:t>, interview with IRM researcher</w:t>
      </w:r>
      <w:r w:rsidRPr="005A54BF">
        <w:rPr>
          <w:rFonts w:ascii="Gill Sans" w:hAnsi="Gill Sans" w:cs="Gill Sans"/>
          <w:color w:val="auto"/>
          <w:sz w:val="18"/>
          <w:szCs w:val="18"/>
        </w:rPr>
        <w:t>.</w:t>
      </w:r>
    </w:p>
  </w:endnote>
  <w:endnote w:id="116">
    <w:p w14:paraId="7035A2A0" w14:textId="3CFBDB90" w:rsidR="001A2E4A" w:rsidRPr="005A54BF" w:rsidRDefault="001A2E4A" w:rsidP="00DB418C">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Fonts w:ascii="Gill Sans" w:hAnsi="Gill Sans" w:cs="Gill Sans"/>
          <w:color w:val="auto"/>
          <w:sz w:val="18"/>
          <w:szCs w:val="18"/>
        </w:rPr>
        <w:t xml:space="preserve"> </w:t>
      </w:r>
      <w:r w:rsidRPr="005A54BF">
        <w:rPr>
          <w:rStyle w:val="EndnoteReference"/>
          <w:rFonts w:ascii="Gill Sans" w:hAnsi="Gill Sans" w:cs="Gill Sans"/>
          <w:i/>
          <w:color w:val="auto"/>
          <w:sz w:val="18"/>
          <w:szCs w:val="18"/>
          <w:vertAlign w:val="baseline"/>
        </w:rPr>
        <w:t>The Public's Right To Know: Review of the Official Information Legislation</w:t>
      </w:r>
      <w:r w:rsidRPr="005A54BF">
        <w:rPr>
          <w:rStyle w:val="EndnoteReference"/>
          <w:rFonts w:ascii="Gill Sans" w:hAnsi="Gill Sans" w:cs="Gill Sans"/>
          <w:color w:val="auto"/>
          <w:sz w:val="18"/>
          <w:szCs w:val="18"/>
          <w:vertAlign w:val="baseline"/>
        </w:rPr>
        <w:t>, Law Commission</w:t>
      </w:r>
      <w:r w:rsidRPr="005A54BF">
        <w:rPr>
          <w:rFonts w:ascii="Gill Sans" w:hAnsi="Gill Sans" w:cs="Gill Sans"/>
          <w:color w:val="auto"/>
          <w:sz w:val="18"/>
          <w:szCs w:val="18"/>
        </w:rPr>
        <w:t>,</w:t>
      </w:r>
      <w:r w:rsidRPr="005A54BF">
        <w:rPr>
          <w:rStyle w:val="EndnoteReference"/>
          <w:rFonts w:ascii="Gill Sans" w:hAnsi="Gill Sans" w:cs="Gill Sans"/>
          <w:color w:val="auto"/>
          <w:sz w:val="18"/>
          <w:szCs w:val="18"/>
          <w:vertAlign w:val="baseline"/>
        </w:rPr>
        <w:t xml:space="preserve"> Recommendations 124-129</w:t>
      </w:r>
      <w:r w:rsidRPr="005A54BF">
        <w:rPr>
          <w:rFonts w:ascii="Gill Sans" w:hAnsi="Gill Sans" w:cs="Gill Sans"/>
          <w:color w:val="auto"/>
          <w:sz w:val="18"/>
          <w:szCs w:val="18"/>
        </w:rPr>
        <w:t>.</w:t>
      </w:r>
    </w:p>
  </w:endnote>
  <w:endnote w:id="117">
    <w:p w14:paraId="00EDD1F7" w14:textId="2F4D3804" w:rsidR="001A2E4A" w:rsidRPr="005A54BF" w:rsidRDefault="001A2E4A" w:rsidP="00F046B0">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5A54BF">
        <w:rPr>
          <w:rFonts w:ascii="Gill Sans" w:hAnsi="Gill Sans" w:cs="Gill Sans"/>
          <w:color w:val="auto"/>
          <w:sz w:val="18"/>
          <w:szCs w:val="18"/>
        </w:rPr>
        <w:t>Declaration on Open and Transparent Government,</w:t>
      </w:r>
      <w:r>
        <w:rPr>
          <w:rFonts w:ascii="Gill Sans" w:hAnsi="Gill Sans" w:cs="Gill Sans"/>
          <w:color w:val="auto"/>
          <w:sz w:val="18"/>
          <w:szCs w:val="18"/>
        </w:rPr>
        <w:t>’</w:t>
      </w:r>
      <w:r w:rsidRPr="005A54BF">
        <w:rPr>
          <w:rFonts w:ascii="Gill Sans" w:hAnsi="Gill Sans" w:cs="Gill Sans"/>
          <w:color w:val="auto"/>
          <w:sz w:val="18"/>
          <w:szCs w:val="18"/>
        </w:rPr>
        <w:t xml:space="preserve"> New Zealand Government, 8 August 2011, https://www.ict.govt.nz/guidance-and-resources/open-government/declaration-open-and-transparent-government/.</w:t>
      </w:r>
    </w:p>
  </w:endnote>
  <w:endnote w:id="118">
    <w:p w14:paraId="3E9C9512" w14:textId="5B76383F" w:rsidR="001A2E4A" w:rsidRPr="005A54BF" w:rsidRDefault="001A2E4A" w:rsidP="00271A5C">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5A54BF">
        <w:rPr>
          <w:rStyle w:val="EndnoteReference"/>
          <w:rFonts w:ascii="Gill Sans" w:hAnsi="Gill Sans" w:cs="Gill Sans"/>
          <w:color w:val="auto"/>
          <w:sz w:val="18"/>
          <w:szCs w:val="18"/>
          <w:vertAlign w:val="baseline"/>
        </w:rPr>
        <w:t>O</w:t>
      </w:r>
      <w:r w:rsidRPr="005A54BF">
        <w:rPr>
          <w:rFonts w:ascii="Gill Sans" w:hAnsi="Gill Sans" w:cs="Gill Sans"/>
          <w:color w:val="auto"/>
          <w:sz w:val="18"/>
          <w:szCs w:val="18"/>
        </w:rPr>
        <w:t xml:space="preserve">pen Data Barometer, accessed 17 January 2018, </w:t>
      </w:r>
      <w:r w:rsidRPr="005A54BF">
        <w:rPr>
          <w:rStyle w:val="EndnoteReference"/>
          <w:rFonts w:ascii="Gill Sans" w:hAnsi="Gill Sans" w:cs="Gill Sans"/>
          <w:color w:val="auto"/>
          <w:sz w:val="18"/>
          <w:szCs w:val="18"/>
          <w:vertAlign w:val="baseline"/>
        </w:rPr>
        <w:t>http://opendatabarometer.org/?_year=2016&amp;indicator=ODB.</w:t>
      </w:r>
    </w:p>
  </w:endnote>
  <w:endnote w:id="119">
    <w:p w14:paraId="180FB10E" w14:textId="406AACB9" w:rsidR="001A2E4A" w:rsidRPr="005A54BF" w:rsidRDefault="001A2E4A" w:rsidP="0029366E">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5A54BF">
        <w:rPr>
          <w:rFonts w:ascii="Gill Sans" w:hAnsi="Gill Sans" w:cs="Gill Sans"/>
          <w:color w:val="auto"/>
          <w:sz w:val="18"/>
          <w:szCs w:val="18"/>
        </w:rPr>
        <w:t>Principles,</w:t>
      </w:r>
      <w:r>
        <w:rPr>
          <w:rFonts w:ascii="Gill Sans" w:hAnsi="Gill Sans" w:cs="Gill Sans"/>
          <w:color w:val="auto"/>
          <w:sz w:val="18"/>
          <w:szCs w:val="18"/>
        </w:rPr>
        <w:t>’</w:t>
      </w:r>
      <w:r w:rsidRPr="005A54BF">
        <w:rPr>
          <w:rFonts w:ascii="Gill Sans" w:hAnsi="Gill Sans" w:cs="Gill Sans"/>
          <w:color w:val="auto"/>
          <w:sz w:val="18"/>
          <w:szCs w:val="18"/>
        </w:rPr>
        <w:t xml:space="preserve"> Open Data Charter, accessed 17 January 2018, https://opendatacharter.net/#.</w:t>
      </w:r>
    </w:p>
  </w:endnote>
  <w:endnote w:id="120">
    <w:p w14:paraId="2D08190A" w14:textId="577102AF"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5A54BF">
        <w:rPr>
          <w:rFonts w:ascii="Gill Sans" w:hAnsi="Gill Sans" w:cs="Gill Sans"/>
          <w:color w:val="auto"/>
          <w:sz w:val="18"/>
          <w:szCs w:val="18"/>
        </w:rPr>
        <w:t>What's happening: 2017,</w:t>
      </w:r>
      <w:r>
        <w:rPr>
          <w:rFonts w:ascii="Gill Sans" w:hAnsi="Gill Sans" w:cs="Gill Sans"/>
          <w:color w:val="auto"/>
          <w:sz w:val="18"/>
          <w:szCs w:val="18"/>
        </w:rPr>
        <w:t>’</w:t>
      </w:r>
      <w:r w:rsidRPr="005A54BF">
        <w:rPr>
          <w:rFonts w:ascii="Gill Sans" w:hAnsi="Gill Sans" w:cs="Gill Sans"/>
          <w:color w:val="auto"/>
          <w:sz w:val="18"/>
          <w:szCs w:val="18"/>
        </w:rPr>
        <w:t xml:space="preserve"> Open Government: New Zealand,</w:t>
      </w:r>
      <w:r>
        <w:rPr>
          <w:rFonts w:ascii="Gill Sans" w:hAnsi="Gill Sans" w:cs="Gill Sans"/>
          <w:color w:val="auto"/>
          <w:sz w:val="18"/>
          <w:szCs w:val="18"/>
        </w:rPr>
        <w:t>’</w:t>
      </w:r>
      <w:r w:rsidRPr="005A54BF">
        <w:rPr>
          <w:rFonts w:ascii="Gill Sans" w:hAnsi="Gill Sans" w:cs="Gill Sans"/>
          <w:color w:val="auto"/>
          <w:sz w:val="18"/>
          <w:szCs w:val="18"/>
        </w:rPr>
        <w:t xml:space="preserve"> accessed 17 January 2018, </w:t>
      </w:r>
      <w:r>
        <w:fldChar w:fldCharType="begin"/>
      </w:r>
      <w:r>
        <w:instrText xml:space="preserve"> HYPERLINK "http://www.ogp.org.nz/whats-happening/2017/" </w:instrText>
      </w:r>
      <w:r>
        <w:fldChar w:fldCharType="separate"/>
      </w:r>
      <w:r w:rsidRPr="005A54BF">
        <w:rPr>
          <w:rStyle w:val="Hyperlink"/>
          <w:rFonts w:ascii="Gill Sans" w:hAnsi="Gill Sans" w:cs="Gill Sans"/>
          <w:color w:val="auto"/>
          <w:sz w:val="18"/>
          <w:szCs w:val="18"/>
          <w:u w:val="none"/>
        </w:rPr>
        <w:t>www.ogp.org.nz/whats-happening/2017/</w:t>
      </w:r>
      <w:r>
        <w:rPr>
          <w:rStyle w:val="Hyperlink"/>
          <w:rFonts w:ascii="Gill Sans" w:hAnsi="Gill Sans" w:cs="Gill Sans"/>
          <w:color w:val="auto"/>
          <w:sz w:val="18"/>
          <w:szCs w:val="18"/>
          <w:u w:val="none"/>
        </w:rPr>
        <w:fldChar w:fldCharType="end"/>
      </w:r>
      <w:r w:rsidRPr="005A54BF">
        <w:rPr>
          <w:rFonts w:ascii="Gill Sans" w:hAnsi="Gill Sans" w:cs="Gill Sans"/>
          <w:color w:val="auto"/>
          <w:sz w:val="18"/>
          <w:szCs w:val="18"/>
        </w:rPr>
        <w:t>.</w:t>
      </w:r>
    </w:p>
  </w:endnote>
  <w:endnote w:id="121">
    <w:p w14:paraId="2AB55BE4" w14:textId="2580C65F"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5A54BF">
        <w:rPr>
          <w:color w:val="auto"/>
        </w:rPr>
        <w:t xml:space="preserve"> </w:t>
      </w:r>
      <w:r w:rsidRPr="005A54BF">
        <w:rPr>
          <w:rStyle w:val="EndnoteReference"/>
          <w:rFonts w:ascii="Gill Sans" w:hAnsi="Gill Sans" w:cs="Gill Sans"/>
          <w:color w:val="auto"/>
          <w:sz w:val="18"/>
          <w:szCs w:val="18"/>
          <w:vertAlign w:val="baseline"/>
        </w:rPr>
        <w:t xml:space="preserve">Mark Mitchell, </w:t>
      </w:r>
      <w:r>
        <w:rPr>
          <w:rStyle w:val="EndnoteReference"/>
          <w:rFonts w:ascii="Gill Sans" w:hAnsi="Gill Sans" w:cs="Gill Sans"/>
          <w:color w:val="auto"/>
          <w:sz w:val="18"/>
          <w:szCs w:val="18"/>
          <w:vertAlign w:val="baseline"/>
        </w:rPr>
        <w:t>‘</w:t>
      </w:r>
      <w:r w:rsidRPr="005A54BF">
        <w:rPr>
          <w:rStyle w:val="EndnoteReference"/>
          <w:rFonts w:ascii="Gill Sans" w:hAnsi="Gill Sans" w:cs="Gill Sans"/>
          <w:color w:val="auto"/>
          <w:sz w:val="18"/>
          <w:szCs w:val="18"/>
          <w:vertAlign w:val="baseline"/>
        </w:rPr>
        <w:t>Stats NZ takes lead on open data,</w:t>
      </w:r>
      <w:r>
        <w:rPr>
          <w:rStyle w:val="EndnoteReference"/>
          <w:rFonts w:ascii="Gill Sans" w:hAnsi="Gill Sans" w:cs="Gill Sans"/>
          <w:color w:val="auto"/>
          <w:sz w:val="18"/>
          <w:szCs w:val="18"/>
          <w:vertAlign w:val="baseline"/>
        </w:rPr>
        <w:t>’</w:t>
      </w:r>
      <w:r w:rsidRPr="005A54BF">
        <w:rPr>
          <w:rStyle w:val="EndnoteReference"/>
          <w:rFonts w:ascii="Gill Sans" w:hAnsi="Gill Sans" w:cs="Gill Sans"/>
          <w:color w:val="auto"/>
          <w:sz w:val="18"/>
          <w:szCs w:val="18"/>
          <w:vertAlign w:val="baseline"/>
        </w:rPr>
        <w:t xml:space="preserve"> Scoop Independent News, 3 March 2017, www.scoop.co.nz/stories/PA1703/S00048/stats-nz-takes-lead-on-open-data.htm</w:t>
      </w:r>
      <w:r w:rsidRPr="005A54BF">
        <w:rPr>
          <w:rFonts w:ascii="Gill Sans" w:hAnsi="Gill Sans" w:cs="Gill Sans"/>
          <w:color w:val="auto"/>
          <w:sz w:val="18"/>
          <w:szCs w:val="18"/>
        </w:rPr>
        <w:t>.</w:t>
      </w:r>
    </w:p>
  </w:endnote>
  <w:endnote w:id="122">
    <w:p w14:paraId="0A9309B5" w14:textId="5846F956" w:rsidR="001A2E4A" w:rsidRPr="005A54BF" w:rsidRDefault="001A2E4A" w:rsidP="003479A7">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5A54BF">
        <w:rPr>
          <w:color w:val="auto"/>
        </w:rPr>
        <w:t xml:space="preserve"> </w:t>
      </w:r>
      <w:r>
        <w:rPr>
          <w:rStyle w:val="EndnoteReference"/>
          <w:rFonts w:ascii="Gill Sans" w:hAnsi="Gill Sans" w:cs="Gill Sans"/>
          <w:color w:val="auto"/>
          <w:sz w:val="18"/>
          <w:szCs w:val="18"/>
          <w:vertAlign w:val="baseline"/>
        </w:rPr>
        <w:t>‘</w:t>
      </w:r>
      <w:r w:rsidRPr="005A54BF">
        <w:rPr>
          <w:rStyle w:val="EndnoteReference"/>
          <w:rFonts w:ascii="Gill Sans" w:hAnsi="Gill Sans" w:cs="Gill Sans"/>
          <w:color w:val="auto"/>
          <w:sz w:val="18"/>
          <w:szCs w:val="18"/>
          <w:vertAlign w:val="baseline"/>
        </w:rPr>
        <w:t>Achieving our Open Data Milestones,</w:t>
      </w:r>
      <w:r>
        <w:rPr>
          <w:rStyle w:val="EndnoteReference"/>
          <w:rFonts w:ascii="Gill Sans" w:hAnsi="Gill Sans" w:cs="Gill Sans"/>
          <w:color w:val="auto"/>
          <w:sz w:val="18"/>
          <w:szCs w:val="18"/>
          <w:vertAlign w:val="baseline"/>
        </w:rPr>
        <w:t>’</w:t>
      </w:r>
      <w:r w:rsidRPr="005A54BF">
        <w:rPr>
          <w:rStyle w:val="EndnoteReference"/>
          <w:rFonts w:ascii="Gill Sans" w:hAnsi="Gill Sans" w:cs="Gill Sans"/>
          <w:color w:val="auto"/>
          <w:sz w:val="18"/>
          <w:szCs w:val="18"/>
          <w:vertAlign w:val="baseline"/>
        </w:rPr>
        <w:t xml:space="preserve"> Open Government Partnership: New Zealand, accessed 17 January, 201</w:t>
      </w:r>
      <w:r w:rsidRPr="005A54BF">
        <w:rPr>
          <w:rFonts w:ascii="Gill Sans" w:hAnsi="Gill Sans" w:cs="Gill Sans"/>
          <w:color w:val="auto"/>
          <w:sz w:val="18"/>
          <w:szCs w:val="18"/>
        </w:rPr>
        <w:t>8</w:t>
      </w:r>
      <w:r w:rsidRPr="005A54BF">
        <w:rPr>
          <w:rStyle w:val="EndnoteReference"/>
          <w:rFonts w:ascii="Gill Sans" w:hAnsi="Gill Sans" w:cs="Gill Sans"/>
          <w:color w:val="auto"/>
          <w:sz w:val="18"/>
          <w:szCs w:val="18"/>
          <w:vertAlign w:val="baseline"/>
        </w:rPr>
        <w:t>, https://www.opengovpartnership.nz/achieving-our-open-data-milestones.</w:t>
      </w:r>
    </w:p>
  </w:endnote>
  <w:endnote w:id="123">
    <w:p w14:paraId="45E809FE" w14:textId="35D83561" w:rsidR="001A2E4A" w:rsidRPr="005A54BF" w:rsidRDefault="001A2E4A" w:rsidP="008C6796">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5A54BF">
        <w:rPr>
          <w:color w:val="auto"/>
        </w:rPr>
        <w:t xml:space="preserve"> </w:t>
      </w:r>
      <w:r>
        <w:rPr>
          <w:rStyle w:val="EndnoteReference"/>
          <w:rFonts w:ascii="Gill Sans" w:hAnsi="Gill Sans" w:cs="Gill Sans"/>
          <w:color w:val="auto"/>
          <w:sz w:val="18"/>
          <w:szCs w:val="18"/>
          <w:vertAlign w:val="baseline"/>
        </w:rPr>
        <w:t>‘</w:t>
      </w:r>
      <w:r w:rsidRPr="005A54BF">
        <w:rPr>
          <w:rStyle w:val="EndnoteReference"/>
          <w:rFonts w:ascii="Gill Sans" w:hAnsi="Gill Sans" w:cs="Gill Sans"/>
          <w:color w:val="auto"/>
          <w:sz w:val="18"/>
          <w:szCs w:val="18"/>
          <w:vertAlign w:val="baseline"/>
        </w:rPr>
        <w:t>Have your say on New Zealand’s open data commitments,</w:t>
      </w:r>
      <w:r>
        <w:rPr>
          <w:rStyle w:val="EndnoteReference"/>
          <w:rFonts w:ascii="Gill Sans" w:hAnsi="Gill Sans" w:cs="Gill Sans"/>
          <w:color w:val="auto"/>
          <w:sz w:val="18"/>
          <w:szCs w:val="18"/>
          <w:vertAlign w:val="baseline"/>
        </w:rPr>
        <w:t>’</w:t>
      </w:r>
      <w:r w:rsidRPr="005A54BF">
        <w:rPr>
          <w:rStyle w:val="EndnoteReference"/>
          <w:rFonts w:ascii="Gill Sans" w:hAnsi="Gill Sans" w:cs="Gill Sans"/>
          <w:color w:val="auto"/>
          <w:sz w:val="18"/>
          <w:szCs w:val="18"/>
          <w:vertAlign w:val="baseline"/>
        </w:rPr>
        <w:t xml:space="preserve"> 6 September 2016, New Zealand Government, https://www.beehive.govt.nz/release/have-your-say-new-zealand’s-open-data-commitments</w:t>
      </w:r>
      <w:r w:rsidRPr="005A54BF">
        <w:rPr>
          <w:rFonts w:ascii="Gill Sans" w:hAnsi="Gill Sans" w:cs="Gill Sans"/>
          <w:color w:val="auto"/>
          <w:sz w:val="18"/>
          <w:szCs w:val="18"/>
        </w:rPr>
        <w:t>.</w:t>
      </w:r>
    </w:p>
  </w:endnote>
  <w:endnote w:id="124">
    <w:p w14:paraId="71D439AD" w14:textId="42849B9C"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5A54BF">
        <w:rPr>
          <w:rFonts w:ascii="Gill Sans" w:hAnsi="Gill Sans" w:cs="Gill Sans"/>
          <w:color w:val="auto"/>
          <w:sz w:val="18"/>
          <w:szCs w:val="18"/>
        </w:rPr>
        <w:t>The Open Government Ninjas,</w:t>
      </w:r>
      <w:r>
        <w:rPr>
          <w:rFonts w:ascii="Gill Sans" w:hAnsi="Gill Sans" w:cs="Gill Sans"/>
          <w:color w:val="auto"/>
          <w:sz w:val="18"/>
          <w:szCs w:val="18"/>
        </w:rPr>
        <w:t>’</w:t>
      </w:r>
      <w:r w:rsidRPr="005A54BF">
        <w:rPr>
          <w:rFonts w:ascii="Gill Sans" w:hAnsi="Gill Sans" w:cs="Gill Sans"/>
          <w:color w:val="auto"/>
          <w:sz w:val="18"/>
          <w:szCs w:val="18"/>
        </w:rPr>
        <w:t xml:space="preserve"> Open New Zealand, accessed 17 January 2018, groups.open.org.nz/groups/ninja-talk/.</w:t>
      </w:r>
    </w:p>
  </w:endnote>
  <w:endnote w:id="125">
    <w:p w14:paraId="75B58AF8" w14:textId="7452938C" w:rsidR="001A2E4A" w:rsidRPr="005A54BF" w:rsidRDefault="001A2E4A" w:rsidP="00BD67EE">
      <w:pPr>
        <w:pStyle w:val="EndnoteText"/>
        <w:rPr>
          <w:rFonts w:ascii="Gill Sans" w:hAnsi="Gill Sans" w:cs="Gill Sans"/>
          <w:color w:val="auto"/>
          <w:sz w:val="18"/>
          <w:szCs w:val="18"/>
          <w:lang w:val="en-NZ"/>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5A54BF">
        <w:rPr>
          <w:rFonts w:ascii="Gill Sans" w:hAnsi="Gill Sans" w:cs="Gill Sans"/>
          <w:color w:val="auto"/>
          <w:sz w:val="18"/>
          <w:szCs w:val="18"/>
        </w:rPr>
        <w:t>Governance and Leadership: Information Group,</w:t>
      </w:r>
      <w:r>
        <w:rPr>
          <w:rFonts w:ascii="Gill Sans" w:hAnsi="Gill Sans" w:cs="Gill Sans"/>
          <w:color w:val="auto"/>
          <w:sz w:val="18"/>
          <w:szCs w:val="18"/>
        </w:rPr>
        <w:t>’</w:t>
      </w:r>
      <w:r w:rsidRPr="005A54BF">
        <w:rPr>
          <w:rFonts w:ascii="Gill Sans" w:hAnsi="Gill Sans" w:cs="Gill Sans"/>
          <w:color w:val="auto"/>
          <w:sz w:val="18"/>
          <w:szCs w:val="18"/>
        </w:rPr>
        <w:t xml:space="preserve"> New Zealand Government, 4 September 2017, https://www.ict.govt.nz/governance-and-leadership/governance-groups/partnership-framework/information-group/.</w:t>
      </w:r>
    </w:p>
  </w:endnote>
  <w:endnote w:id="126">
    <w:p w14:paraId="50A1464D" w14:textId="30AB629C" w:rsidR="001A2E4A" w:rsidRPr="005A54BF" w:rsidRDefault="001A2E4A" w:rsidP="00EA29B3">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5A54BF">
        <w:rPr>
          <w:rStyle w:val="EndnoteReference"/>
          <w:rFonts w:ascii="Gill Sans" w:hAnsi="Gill Sans" w:cs="Gill Sans"/>
          <w:color w:val="auto"/>
          <w:sz w:val="18"/>
          <w:szCs w:val="18"/>
          <w:vertAlign w:val="baseline"/>
        </w:rPr>
        <w:t>O</w:t>
      </w:r>
      <w:r w:rsidRPr="005A54BF">
        <w:rPr>
          <w:rFonts w:ascii="Gill Sans" w:hAnsi="Gill Sans" w:cs="Gill Sans"/>
          <w:color w:val="auto"/>
          <w:sz w:val="18"/>
          <w:szCs w:val="18"/>
        </w:rPr>
        <w:t xml:space="preserve">pen Data Barometer, accessed 17 January, 2018, </w:t>
      </w:r>
      <w:r w:rsidRPr="005A54BF">
        <w:rPr>
          <w:rStyle w:val="EndnoteReference"/>
          <w:rFonts w:ascii="Gill Sans" w:hAnsi="Gill Sans" w:cs="Gill Sans"/>
          <w:color w:val="auto"/>
          <w:sz w:val="18"/>
          <w:szCs w:val="18"/>
          <w:vertAlign w:val="baseline"/>
        </w:rPr>
        <w:t>http://opendatabarometer.org/?_year=2016&amp;indicator=ODB.</w:t>
      </w:r>
    </w:p>
  </w:endnote>
  <w:endnote w:id="127">
    <w:p w14:paraId="5612DBB4" w14:textId="047DA386"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Pr>
          <w:rStyle w:val="EndnoteReference"/>
          <w:rFonts w:ascii="Gill Sans" w:hAnsi="Gill Sans" w:cs="Gill Sans"/>
          <w:color w:val="auto"/>
          <w:sz w:val="18"/>
          <w:szCs w:val="18"/>
          <w:vertAlign w:val="baseline"/>
        </w:rPr>
        <w:t>’</w:t>
      </w:r>
      <w:r w:rsidRPr="005A54BF">
        <w:rPr>
          <w:rFonts w:ascii="Gill Sans" w:hAnsi="Gill Sans" w:cs="Gill Sans"/>
          <w:color w:val="auto"/>
          <w:sz w:val="18"/>
          <w:szCs w:val="18"/>
        </w:rPr>
        <w:t xml:space="preserve"> </w:t>
      </w:r>
      <w:r w:rsidRPr="005A54BF">
        <w:rPr>
          <w:rFonts w:ascii="Gill Sans" w:hAnsi="Gill Sans" w:cs="Gill Sans"/>
          <w:color w:val="auto"/>
          <w:sz w:val="18"/>
          <w:szCs w:val="18"/>
        </w:rPr>
        <w:t>Declaration on Open and Transparent Government,</w:t>
      </w:r>
      <w:r>
        <w:rPr>
          <w:rFonts w:ascii="Gill Sans" w:hAnsi="Gill Sans" w:cs="Gill Sans"/>
          <w:color w:val="auto"/>
          <w:sz w:val="18"/>
          <w:szCs w:val="18"/>
        </w:rPr>
        <w:t>’</w:t>
      </w:r>
      <w:r w:rsidRPr="005A54BF">
        <w:rPr>
          <w:rFonts w:ascii="Gill Sans" w:hAnsi="Gill Sans" w:cs="Gill Sans"/>
          <w:color w:val="auto"/>
          <w:sz w:val="18"/>
          <w:szCs w:val="18"/>
        </w:rPr>
        <w:t xml:space="preserve"> New Zealand Government, 8 August 2011, https://www.ict.govt.nz/guidance-and-resources/open-government/declaration-open-and-transparent-government/.</w:t>
      </w:r>
    </w:p>
  </w:endnote>
  <w:endnote w:id="128">
    <w:p w14:paraId="2C83592A" w14:textId="26AAF32D" w:rsidR="001A2E4A" w:rsidRPr="005A54BF" w:rsidRDefault="001A2E4A" w:rsidP="00ED76C4">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hyperlink r:id="rId10" w:history="1">
        <w:r w:rsidRPr="000C03A2">
          <w:rPr>
            <w:rStyle w:val="Hyperlink"/>
            <w:rFonts w:ascii="Gill Sans" w:hAnsi="Gill Sans" w:cs="Gill Sans"/>
            <w:sz w:val="18"/>
            <w:szCs w:val="18"/>
          </w:rPr>
          <w:t>https://www.data.govt.nz/blog/open-data-charter/</w:t>
        </w:r>
      </w:hyperlink>
      <w:r w:rsidRPr="005A54BF">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5A54BF">
        <w:rPr>
          <w:rFonts w:ascii="Gill Sans" w:hAnsi="Gill Sans" w:cs="Gill Sans"/>
          <w:color w:val="auto"/>
          <w:sz w:val="18"/>
          <w:szCs w:val="18"/>
        </w:rPr>
        <w:t>Open Data Charter Consultation Comms Strategy,</w:t>
      </w:r>
      <w:r>
        <w:rPr>
          <w:rFonts w:ascii="Gill Sans" w:hAnsi="Gill Sans" w:cs="Gill Sans"/>
          <w:color w:val="auto"/>
          <w:sz w:val="18"/>
          <w:szCs w:val="18"/>
        </w:rPr>
        <w:t>’</w:t>
      </w:r>
      <w:r w:rsidRPr="005A54BF">
        <w:rPr>
          <w:rFonts w:ascii="Gill Sans" w:hAnsi="Gill Sans" w:cs="Gill Sans"/>
          <w:color w:val="auto"/>
          <w:sz w:val="18"/>
          <w:szCs w:val="18"/>
        </w:rPr>
        <w:t xml:space="preserve"> Open Government Information &amp; Data Programme, accessed 17 January 2018, https://www.data.govt.nz/assets/Uploads/Open-Data-Charter-Consultation-Comms-Strategy.pdf.</w:t>
      </w:r>
    </w:p>
  </w:endnote>
  <w:endnote w:id="129">
    <w:p w14:paraId="460072C1" w14:textId="39DDE53D" w:rsidR="001A2E4A" w:rsidRPr="005A54BF" w:rsidRDefault="001A2E4A" w:rsidP="00175F11">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5A54BF">
        <w:rPr>
          <w:rFonts w:ascii="Gill Sans" w:hAnsi="Gill Sans" w:cs="Gill Sans"/>
          <w:color w:val="auto"/>
          <w:sz w:val="18"/>
          <w:szCs w:val="18"/>
        </w:rPr>
        <w:t>Three-year action plan for open government data,</w:t>
      </w:r>
      <w:r>
        <w:rPr>
          <w:rFonts w:ascii="Gill Sans" w:hAnsi="Gill Sans" w:cs="Gill Sans"/>
          <w:color w:val="auto"/>
          <w:sz w:val="18"/>
          <w:szCs w:val="18"/>
        </w:rPr>
        <w:t>’</w:t>
      </w:r>
      <w:r w:rsidRPr="005A54BF">
        <w:rPr>
          <w:rFonts w:ascii="Gill Sans" w:hAnsi="Gill Sans" w:cs="Gill Sans"/>
          <w:color w:val="auto"/>
          <w:sz w:val="18"/>
          <w:szCs w:val="18"/>
        </w:rPr>
        <w:t xml:space="preserve"> Open Government Partnership: New Zealand, accessed 17 January 2018, https://www.opengovpartnership.nz/three-year-action-plan-for-open-government-data.</w:t>
      </w:r>
      <w:r w:rsidRPr="005A54BF" w:rsidDel="00B175E0">
        <w:rPr>
          <w:rStyle w:val="EndnoteReference"/>
          <w:rFonts w:ascii="Gill Sans" w:hAnsi="Gill Sans" w:cs="Gill Sans"/>
          <w:color w:val="auto"/>
          <w:sz w:val="18"/>
          <w:szCs w:val="18"/>
          <w:vertAlign w:val="baseline"/>
        </w:rPr>
        <w:t xml:space="preserve"> </w:t>
      </w:r>
    </w:p>
  </w:endnote>
  <w:endnote w:id="130">
    <w:p w14:paraId="1A3F2F6E" w14:textId="4E814D48"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5A54BF">
        <w:rPr>
          <w:color w:val="auto"/>
        </w:rPr>
        <w:t xml:space="preserve"> </w:t>
      </w:r>
      <w:r>
        <w:rPr>
          <w:rFonts w:ascii="Gill Sans" w:hAnsi="Gill Sans" w:cs="Gill Sans"/>
          <w:color w:val="auto"/>
          <w:sz w:val="18"/>
          <w:szCs w:val="18"/>
        </w:rPr>
        <w:t>‘</w:t>
      </w:r>
      <w:r w:rsidRPr="005A54BF">
        <w:rPr>
          <w:rFonts w:ascii="Gill Sans" w:hAnsi="Gill Sans" w:cs="Gill Sans"/>
          <w:color w:val="auto"/>
          <w:sz w:val="18"/>
          <w:szCs w:val="18"/>
        </w:rPr>
        <w:t>Achieving our Open Data Milestones,</w:t>
      </w:r>
      <w:r>
        <w:rPr>
          <w:rFonts w:ascii="Gill Sans" w:hAnsi="Gill Sans" w:cs="Gill Sans"/>
          <w:color w:val="auto"/>
          <w:sz w:val="18"/>
          <w:szCs w:val="18"/>
        </w:rPr>
        <w:t>’</w:t>
      </w:r>
      <w:r w:rsidRPr="005A54BF">
        <w:rPr>
          <w:rFonts w:ascii="Gill Sans" w:hAnsi="Gill Sans" w:cs="Gill Sans"/>
          <w:color w:val="auto"/>
          <w:sz w:val="18"/>
          <w:szCs w:val="18"/>
        </w:rPr>
        <w:t xml:space="preserve"> Open New Zealand, accessed 17 January 2018, groups.open.org.nz/groups/ninja-talk/messages/topic/4EMLFLF2nfwLEqDkI5eSJ3.</w:t>
      </w:r>
    </w:p>
  </w:endnote>
  <w:endnote w:id="131">
    <w:p w14:paraId="050B5639" w14:textId="073FBBF9" w:rsidR="001A2E4A" w:rsidRPr="005A54BF" w:rsidRDefault="001A2E4A">
      <w:pPr>
        <w:pStyle w:val="EndnoteText"/>
        <w:rPr>
          <w:rFonts w:ascii="Gill Sans" w:hAnsi="Gill Sans" w:cs="Gill Sans"/>
          <w:color w:val="auto"/>
          <w:sz w:val="18"/>
          <w:szCs w:val="18"/>
          <w:lang w:val="fr-FR"/>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AF27B9">
        <w:rPr>
          <w:rFonts w:ascii="Gill Sans" w:hAnsi="Gill Sans" w:cs="Gill Sans"/>
          <w:color w:val="auto"/>
          <w:sz w:val="18"/>
          <w:szCs w:val="18"/>
        </w:rPr>
        <w:t>http://archive.stats.govt.nz/about_us/what-we-do/our-publications/cabinet-papers/adoption-int-open-data-charter.aspx</w:t>
      </w:r>
      <w:r w:rsidRPr="005A54BF">
        <w:rPr>
          <w:rFonts w:ascii="Gill Sans" w:hAnsi="Gill Sans" w:cs="Gill Sans"/>
          <w:color w:val="auto"/>
          <w:sz w:val="18"/>
          <w:szCs w:val="18"/>
        </w:rPr>
        <w:t>,</w:t>
      </w:r>
      <w:r w:rsidRPr="005A54BF">
        <w:rPr>
          <w:rStyle w:val="EndnoteReference"/>
          <w:rFonts w:ascii="Gill Sans" w:hAnsi="Gill Sans" w:cs="Gill Sans"/>
          <w:color w:val="auto"/>
          <w:sz w:val="18"/>
          <w:szCs w:val="18"/>
          <w:vertAlign w:val="baseline"/>
        </w:rPr>
        <w:t xml:space="preserve"> </w:t>
      </w:r>
      <w:r w:rsidRPr="005A54BF">
        <w:rPr>
          <w:rFonts w:ascii="Arial" w:hAnsi="Arial" w:cs="Arial"/>
          <w:color w:val="auto"/>
          <w:sz w:val="18"/>
          <w:szCs w:val="18"/>
        </w:rPr>
        <w:t xml:space="preserve">¶ </w:t>
      </w:r>
      <w:r w:rsidRPr="005A54BF">
        <w:rPr>
          <w:rStyle w:val="EndnoteReference"/>
          <w:rFonts w:ascii="Gill Sans" w:hAnsi="Gill Sans" w:cs="Gill Sans"/>
          <w:color w:val="auto"/>
          <w:sz w:val="18"/>
          <w:szCs w:val="18"/>
          <w:vertAlign w:val="baseline"/>
        </w:rPr>
        <w:t>36</w:t>
      </w:r>
      <w:r w:rsidRPr="005A54BF">
        <w:rPr>
          <w:rFonts w:ascii="Gill Sans" w:hAnsi="Gill Sans" w:cs="Gill Sans"/>
          <w:color w:val="auto"/>
          <w:sz w:val="18"/>
          <w:szCs w:val="18"/>
        </w:rPr>
        <w:t>.</w:t>
      </w:r>
    </w:p>
  </w:endnote>
  <w:endnote w:id="132">
    <w:p w14:paraId="1EF77238" w14:textId="39B9E160"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5A54BF">
        <w:rPr>
          <w:rFonts w:ascii="Gill Sans" w:hAnsi="Gill Sans" w:cs="Gill Sans"/>
          <w:color w:val="auto"/>
          <w:sz w:val="18"/>
          <w:szCs w:val="18"/>
        </w:rPr>
        <w:t>Engagement and consultation guidance,</w:t>
      </w:r>
      <w:r>
        <w:rPr>
          <w:rFonts w:ascii="Gill Sans" w:hAnsi="Gill Sans" w:cs="Gill Sans"/>
          <w:color w:val="auto"/>
          <w:sz w:val="18"/>
          <w:szCs w:val="18"/>
        </w:rPr>
        <w:t>’</w:t>
      </w:r>
      <w:r w:rsidRPr="005A54BF">
        <w:rPr>
          <w:rFonts w:ascii="Gill Sans" w:hAnsi="Gill Sans" w:cs="Gill Sans"/>
          <w:color w:val="auto"/>
          <w:sz w:val="18"/>
          <w:szCs w:val="18"/>
        </w:rPr>
        <w:t xml:space="preserve"> New Zealand Government: Department of Internal Affairs, accessed17 January 2018, https://www.dia.govt.nz/Engagement-and-consultation.</w:t>
      </w:r>
      <w:r w:rsidRPr="005A54BF" w:rsidDel="0011209C">
        <w:rPr>
          <w:rStyle w:val="EndnoteReference"/>
          <w:rFonts w:ascii="Gill Sans" w:hAnsi="Gill Sans" w:cs="Gill Sans"/>
          <w:color w:val="auto"/>
          <w:sz w:val="18"/>
          <w:szCs w:val="18"/>
          <w:vertAlign w:val="baseline"/>
        </w:rPr>
        <w:t xml:space="preserve"> </w:t>
      </w:r>
    </w:p>
  </w:endnote>
  <w:endnote w:id="133">
    <w:p w14:paraId="15E599F3" w14:textId="2B07DFDE"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5A54BF">
        <w:rPr>
          <w:rFonts w:ascii="Gill Sans" w:hAnsi="Gill Sans" w:cs="Gill Sans"/>
          <w:color w:val="auto"/>
          <w:sz w:val="18"/>
          <w:szCs w:val="18"/>
        </w:rPr>
        <w:t>Online engagement,</w:t>
      </w:r>
      <w:r>
        <w:rPr>
          <w:rFonts w:ascii="Gill Sans" w:hAnsi="Gill Sans" w:cs="Gill Sans"/>
          <w:color w:val="auto"/>
          <w:sz w:val="18"/>
          <w:szCs w:val="18"/>
        </w:rPr>
        <w:t>’</w:t>
      </w:r>
      <w:r w:rsidRPr="005A54BF">
        <w:rPr>
          <w:rFonts w:ascii="Gill Sans" w:hAnsi="Gill Sans" w:cs="Gill Sans"/>
          <w:color w:val="auto"/>
          <w:sz w:val="18"/>
          <w:szCs w:val="18"/>
        </w:rPr>
        <w:t xml:space="preserve"> New Zealand Government Web ToolKit, 24 July 2017, https://webtoolkit.govt.nz/guidance/online-engagement/.</w:t>
      </w:r>
    </w:p>
  </w:endnote>
  <w:endnote w:id="134">
    <w:p w14:paraId="244FBD52" w14:textId="48180447"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5A54BF">
        <w:rPr>
          <w:rFonts w:ascii="Gill Sans" w:hAnsi="Gill Sans" w:cs="Gill Sans"/>
          <w:color w:val="auto"/>
          <w:sz w:val="18"/>
          <w:szCs w:val="18"/>
        </w:rPr>
        <w:t>Engaging with government,</w:t>
      </w:r>
      <w:r>
        <w:rPr>
          <w:rFonts w:ascii="Gill Sans" w:hAnsi="Gill Sans" w:cs="Gill Sans"/>
          <w:color w:val="auto"/>
          <w:sz w:val="18"/>
          <w:szCs w:val="18"/>
        </w:rPr>
        <w:t>’</w:t>
      </w:r>
      <w:r w:rsidRPr="005A54BF">
        <w:rPr>
          <w:rFonts w:ascii="Gill Sans" w:hAnsi="Gill Sans" w:cs="Gill Sans"/>
          <w:color w:val="auto"/>
          <w:sz w:val="18"/>
          <w:szCs w:val="18"/>
        </w:rPr>
        <w:t xml:space="preserve"> New Zealand Government, 27 April 2017, https://www.govt.nz/browse/engaging-with-government/.</w:t>
      </w:r>
    </w:p>
  </w:endnote>
  <w:endnote w:id="135">
    <w:p w14:paraId="221EB58D" w14:textId="0B7040E2" w:rsidR="001A2E4A" w:rsidRPr="005A54BF" w:rsidRDefault="001A2E4A" w:rsidP="00BD2A77">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5A54BF">
        <w:rPr>
          <w:rStyle w:val="EndnoteReference"/>
          <w:rFonts w:ascii="Gill Sans" w:hAnsi="Gill Sans" w:cs="Gill Sans"/>
          <w:color w:val="auto"/>
          <w:sz w:val="18"/>
          <w:szCs w:val="18"/>
          <w:vertAlign w:val="baseline"/>
        </w:rPr>
        <w:t>HuiE, 5 July 2017</w:t>
      </w:r>
      <w:r>
        <w:rPr>
          <w:rFonts w:ascii="Gill Sans" w:hAnsi="Gill Sans" w:cs="Gill Sans"/>
          <w:color w:val="auto"/>
          <w:sz w:val="18"/>
          <w:szCs w:val="18"/>
        </w:rPr>
        <w:t>,</w:t>
      </w:r>
      <w:r w:rsidRPr="003532D4">
        <w:rPr>
          <w:rFonts w:ascii="Gill Sans" w:hAnsi="Gill Sans" w:cs="Gill Sans"/>
          <w:color w:val="auto"/>
          <w:sz w:val="18"/>
          <w:szCs w:val="18"/>
        </w:rPr>
        <w:t xml:space="preserve"> </w:t>
      </w:r>
      <w:r>
        <w:rPr>
          <w:rFonts w:ascii="Gill Sans" w:hAnsi="Gill Sans" w:cs="Gill Sans"/>
          <w:color w:val="auto"/>
          <w:sz w:val="18"/>
          <w:szCs w:val="18"/>
        </w:rPr>
        <w:t>interview with IRM researcher</w:t>
      </w:r>
      <w:r w:rsidRPr="005A54BF">
        <w:rPr>
          <w:rFonts w:ascii="Gill Sans" w:hAnsi="Gill Sans" w:cs="Gill Sans"/>
          <w:color w:val="auto"/>
          <w:sz w:val="18"/>
          <w:szCs w:val="18"/>
        </w:rPr>
        <w:t>.</w:t>
      </w:r>
    </w:p>
  </w:endnote>
  <w:endnote w:id="136">
    <w:p w14:paraId="0F27B5FF" w14:textId="10FA6D76"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5A54BF">
        <w:rPr>
          <w:rStyle w:val="EndnoteReference"/>
          <w:rFonts w:ascii="Gill Sans" w:hAnsi="Gill Sans" w:cs="Gill Sans"/>
          <w:color w:val="auto"/>
          <w:sz w:val="18"/>
          <w:szCs w:val="18"/>
          <w:vertAlign w:val="baseline"/>
        </w:rPr>
        <w:t>Jan Rivers, 11 July 2017, Laurence Millar, 7 September 2017</w:t>
      </w:r>
      <w:r>
        <w:rPr>
          <w:rFonts w:ascii="Gill Sans" w:hAnsi="Gill Sans" w:cs="Gill Sans"/>
          <w:color w:val="auto"/>
          <w:sz w:val="18"/>
          <w:szCs w:val="18"/>
        </w:rPr>
        <w:t>, interviews with IRM researcher</w:t>
      </w:r>
    </w:p>
  </w:endnote>
  <w:endnote w:id="137">
    <w:p w14:paraId="017DADF7" w14:textId="5C68FE38" w:rsidR="001A2E4A" w:rsidRPr="005A54BF" w:rsidRDefault="001A2E4A" w:rsidP="00F40F41">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Pr>
          <w:rStyle w:val="EndnoteReference"/>
          <w:rFonts w:ascii="Gill Sans" w:hAnsi="Gill Sans" w:cs="Gill Sans"/>
          <w:color w:val="auto"/>
          <w:sz w:val="18"/>
          <w:szCs w:val="18"/>
          <w:vertAlign w:val="baseline"/>
        </w:rPr>
        <w:t>‘</w:t>
      </w:r>
      <w:r w:rsidRPr="005A54BF">
        <w:rPr>
          <w:rStyle w:val="EndnoteReference"/>
          <w:rFonts w:ascii="Gill Sans" w:hAnsi="Gill Sans" w:cs="Gill Sans"/>
          <w:color w:val="auto"/>
          <w:sz w:val="18"/>
          <w:szCs w:val="18"/>
          <w:vertAlign w:val="baseline"/>
        </w:rPr>
        <w:t>Review: Government Online Engagement Service (GOES) Pilot,</w:t>
      </w:r>
      <w:r>
        <w:rPr>
          <w:rStyle w:val="EndnoteReference"/>
          <w:rFonts w:ascii="Gill Sans" w:hAnsi="Gill Sans" w:cs="Gill Sans"/>
          <w:color w:val="auto"/>
          <w:sz w:val="18"/>
          <w:szCs w:val="18"/>
          <w:vertAlign w:val="baseline"/>
        </w:rPr>
        <w:t>’</w:t>
      </w:r>
      <w:r w:rsidRPr="005A54BF">
        <w:rPr>
          <w:rStyle w:val="EndnoteReference"/>
          <w:rFonts w:ascii="Gill Sans" w:hAnsi="Gill Sans" w:cs="Gill Sans"/>
          <w:color w:val="auto"/>
          <w:sz w:val="18"/>
          <w:szCs w:val="18"/>
          <w:vertAlign w:val="baseline"/>
        </w:rPr>
        <w:t xml:space="preserve"> NZ Department of Internal Affairs</w:t>
      </w:r>
      <w:r w:rsidRPr="005A54BF">
        <w:rPr>
          <w:rFonts w:ascii="Gill Sans" w:hAnsi="Gill Sans" w:cs="Gill Sans"/>
          <w:color w:val="auto"/>
          <w:sz w:val="18"/>
          <w:szCs w:val="18"/>
        </w:rPr>
        <w:t xml:space="preserve">, </w:t>
      </w:r>
      <w:r w:rsidRPr="005A54BF">
        <w:rPr>
          <w:rStyle w:val="EndnoteReference"/>
          <w:rFonts w:ascii="Gill Sans" w:hAnsi="Gill Sans" w:cs="Gill Sans"/>
          <w:color w:val="auto"/>
          <w:sz w:val="18"/>
          <w:szCs w:val="18"/>
          <w:vertAlign w:val="baseline"/>
        </w:rPr>
        <w:t>September 2017. Unpublished</w:t>
      </w:r>
      <w:r w:rsidRPr="005A54BF">
        <w:rPr>
          <w:rFonts w:ascii="Gill Sans" w:hAnsi="Gill Sans" w:cs="Gill Sans"/>
          <w:color w:val="auto"/>
          <w:sz w:val="18"/>
          <w:szCs w:val="18"/>
        </w:rPr>
        <w:t>.</w:t>
      </w:r>
    </w:p>
  </w:endnote>
  <w:endnote w:id="138">
    <w:p w14:paraId="4D87844B" w14:textId="42ED8FCC"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Fonts w:ascii="Gill Sans" w:hAnsi="Gill Sans" w:cs="Gill Sans"/>
          <w:color w:val="auto"/>
          <w:sz w:val="18"/>
          <w:szCs w:val="18"/>
        </w:rPr>
        <w:t xml:space="preserve"> </w:t>
      </w:r>
      <w:r w:rsidRPr="005A54BF">
        <w:rPr>
          <w:rFonts w:ascii="Gill Sans" w:hAnsi="Gill Sans" w:cs="Gill Sans"/>
          <w:i/>
          <w:color w:val="auto"/>
          <w:sz w:val="18"/>
          <w:szCs w:val="18"/>
        </w:rPr>
        <w:t>Id</w:t>
      </w:r>
      <w:r w:rsidRPr="005A54BF">
        <w:rPr>
          <w:rFonts w:ascii="Gill Sans" w:hAnsi="Gill Sans" w:cs="Gill Sans"/>
          <w:color w:val="auto"/>
          <w:sz w:val="18"/>
          <w:szCs w:val="18"/>
        </w:rPr>
        <w:t>.</w:t>
      </w:r>
    </w:p>
  </w:endnote>
  <w:endnote w:id="139">
    <w:p w14:paraId="62EB077D" w14:textId="2EB25CB4"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5A54BF">
        <w:rPr>
          <w:rFonts w:ascii="Gill Sans" w:hAnsi="Gill Sans" w:cs="Gill Sans"/>
          <w:color w:val="auto"/>
          <w:sz w:val="18"/>
          <w:szCs w:val="18"/>
        </w:rPr>
        <w:t>Our Progress,</w:t>
      </w:r>
      <w:r>
        <w:rPr>
          <w:rFonts w:ascii="Gill Sans" w:hAnsi="Gill Sans" w:cs="Gill Sans"/>
          <w:color w:val="auto"/>
          <w:sz w:val="18"/>
          <w:szCs w:val="18"/>
        </w:rPr>
        <w:t>’</w:t>
      </w:r>
      <w:r w:rsidRPr="005A54BF">
        <w:rPr>
          <w:rFonts w:ascii="Gill Sans" w:hAnsi="Gill Sans" w:cs="Gill Sans"/>
          <w:color w:val="auto"/>
          <w:sz w:val="18"/>
          <w:szCs w:val="18"/>
        </w:rPr>
        <w:t xml:space="preserve"> Open Government: New Zealand, accessed 17 January 2018, www.ogp.org.nz/our-progress/.</w:t>
      </w:r>
    </w:p>
  </w:endnote>
  <w:endnote w:id="140">
    <w:p w14:paraId="6D8B2E55" w14:textId="0B9B25D5" w:rsidR="001A2E4A" w:rsidRPr="005A54BF"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5A54BF">
        <w:rPr>
          <w:rFonts w:ascii="Gill Sans" w:hAnsi="Gill Sans" w:cs="Gill Sans"/>
          <w:i/>
          <w:color w:val="auto"/>
          <w:sz w:val="18"/>
          <w:szCs w:val="18"/>
        </w:rPr>
        <w:t>National Action Plan 2016-18 Mid-term self-assessment</w:t>
      </w:r>
      <w:r w:rsidRPr="005A54BF">
        <w:rPr>
          <w:rFonts w:ascii="Gill Sans" w:hAnsi="Gill Sans" w:cs="Gill Sans"/>
          <w:color w:val="auto"/>
          <w:sz w:val="18"/>
          <w:szCs w:val="18"/>
        </w:rPr>
        <w:t>, Open Government Partnership: New Zealand, 2 October 2017, www.ogp.org.nz/assets/publications/New-Zealand-Mid-term-self-assessment-2016-18.pdf.</w:t>
      </w:r>
    </w:p>
  </w:endnote>
  <w:endnote w:id="141">
    <w:p w14:paraId="0F7D709D" w14:textId="5D2E8843" w:rsidR="001A2E4A" w:rsidRPr="005A54BF" w:rsidRDefault="001A2E4A" w:rsidP="00C745EB">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5A54BF">
        <w:rPr>
          <w:rStyle w:val="EndnoteReference"/>
          <w:rFonts w:ascii="Gill Sans" w:hAnsi="Gill Sans" w:cs="Gill Sans"/>
          <w:color w:val="auto"/>
          <w:sz w:val="18"/>
          <w:szCs w:val="18"/>
          <w:vertAlign w:val="baseline"/>
        </w:rPr>
        <w:t>Review: Government Online Engagement Service (GOES) Pilot,</w:t>
      </w:r>
      <w:r>
        <w:rPr>
          <w:rStyle w:val="EndnoteReference"/>
          <w:rFonts w:ascii="Gill Sans" w:hAnsi="Gill Sans" w:cs="Gill Sans"/>
          <w:color w:val="auto"/>
          <w:sz w:val="18"/>
          <w:szCs w:val="18"/>
          <w:vertAlign w:val="baseline"/>
        </w:rPr>
        <w:t>’</w:t>
      </w:r>
      <w:r w:rsidRPr="005A54BF">
        <w:rPr>
          <w:rStyle w:val="EndnoteReference"/>
          <w:rFonts w:ascii="Gill Sans" w:hAnsi="Gill Sans" w:cs="Gill Sans"/>
          <w:color w:val="auto"/>
          <w:sz w:val="18"/>
          <w:szCs w:val="18"/>
          <w:vertAlign w:val="baseline"/>
        </w:rPr>
        <w:t xml:space="preserve"> NZ Department of Internal Affairs</w:t>
      </w:r>
      <w:r w:rsidRPr="005A54BF">
        <w:rPr>
          <w:rFonts w:ascii="Gill Sans" w:hAnsi="Gill Sans" w:cs="Gill Sans"/>
          <w:color w:val="auto"/>
          <w:sz w:val="18"/>
          <w:szCs w:val="18"/>
        </w:rPr>
        <w:t>.</w:t>
      </w:r>
      <w:r w:rsidRPr="005A54BF">
        <w:rPr>
          <w:rStyle w:val="EndnoteReference"/>
          <w:rFonts w:ascii="Gill Sans" w:hAnsi="Gill Sans" w:cs="Gill Sans"/>
          <w:color w:val="auto"/>
          <w:sz w:val="18"/>
          <w:szCs w:val="18"/>
          <w:vertAlign w:val="baseline"/>
        </w:rPr>
        <w:t xml:space="preserve"> </w:t>
      </w:r>
    </w:p>
  </w:endnote>
  <w:endnote w:id="142">
    <w:p w14:paraId="5A55E2B8" w14:textId="7245FE6A" w:rsidR="001A2E4A" w:rsidRPr="005A54BF" w:rsidRDefault="001A2E4A" w:rsidP="008B0FC0">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5A54BF">
        <w:rPr>
          <w:rStyle w:val="EndnoteReference"/>
          <w:rFonts w:ascii="Gill Sans" w:hAnsi="Gill Sans" w:cs="Gill Sans"/>
          <w:color w:val="auto"/>
          <w:sz w:val="18"/>
          <w:szCs w:val="18"/>
          <w:vertAlign w:val="baseline"/>
        </w:rPr>
        <w:t>Cath Wallace and Jan Rivers, ECO, 11 July 2017</w:t>
      </w:r>
      <w:r>
        <w:rPr>
          <w:rFonts w:ascii="Gill Sans" w:hAnsi="Gill Sans" w:cs="Gill Sans"/>
          <w:color w:val="auto"/>
          <w:sz w:val="18"/>
          <w:szCs w:val="18"/>
        </w:rPr>
        <w:t>, interview with IRM researcher</w:t>
      </w:r>
    </w:p>
  </w:endnote>
  <w:endnote w:id="143">
    <w:p w14:paraId="2BE782B7" w14:textId="54ECC895" w:rsidR="001A2E4A" w:rsidRPr="005A54BF" w:rsidRDefault="001A2E4A" w:rsidP="008B0FC0">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5A54BF">
        <w:rPr>
          <w:rStyle w:val="EndnoteReference"/>
          <w:rFonts w:ascii="Gill Sans" w:hAnsi="Gill Sans" w:cs="Gill Sans"/>
          <w:color w:val="auto"/>
          <w:sz w:val="18"/>
          <w:szCs w:val="18"/>
          <w:vertAlign w:val="baseline"/>
        </w:rPr>
        <w:t>Fuimaono Tuiasau 20 July 2017</w:t>
      </w:r>
      <w:r>
        <w:rPr>
          <w:rFonts w:ascii="Gill Sans" w:hAnsi="Gill Sans" w:cs="Gill Sans"/>
          <w:color w:val="auto"/>
          <w:sz w:val="18"/>
          <w:szCs w:val="18"/>
        </w:rPr>
        <w:t>, interview with IRM researcher</w:t>
      </w:r>
      <w:r w:rsidRPr="005A54BF">
        <w:rPr>
          <w:rFonts w:ascii="Gill Sans" w:hAnsi="Gill Sans" w:cs="Gill Sans"/>
          <w:color w:val="auto"/>
          <w:sz w:val="18"/>
          <w:szCs w:val="18"/>
        </w:rPr>
        <w:t>.</w:t>
      </w:r>
    </w:p>
  </w:endnote>
  <w:endnote w:id="144">
    <w:p w14:paraId="6B8E6019" w14:textId="023E0B58" w:rsidR="001A2E4A" w:rsidRPr="005A54BF" w:rsidRDefault="001A2E4A" w:rsidP="00F74D6D">
      <w:pPr>
        <w:tabs>
          <w:tab w:val="clear" w:pos="2880"/>
        </w:tabs>
        <w:rPr>
          <w:rStyle w:val="EndnoteReference"/>
          <w:color w:val="auto"/>
          <w:sz w:val="18"/>
          <w:szCs w:val="18"/>
          <w:vertAlign w:val="baseline"/>
        </w:rPr>
      </w:pPr>
      <w:r w:rsidRPr="005A54BF">
        <w:rPr>
          <w:rStyle w:val="EndnoteReference"/>
          <w:color w:val="auto"/>
          <w:sz w:val="18"/>
          <w:szCs w:val="18"/>
          <w:vertAlign w:val="baseline"/>
        </w:rPr>
        <w:endnoteRef/>
      </w:r>
      <w:r w:rsidRPr="005A54BF">
        <w:rPr>
          <w:rStyle w:val="EndnoteReference"/>
          <w:color w:val="auto"/>
          <w:sz w:val="18"/>
          <w:szCs w:val="18"/>
          <w:vertAlign w:val="baseline"/>
        </w:rPr>
        <w:t xml:space="preserve"> Associate Professor Michael Macaulay, Victoria University of Wellington 12 July 2017; John Hall, Fortress Social Services Charitable Trust Board, 7 July 2017</w:t>
      </w:r>
      <w:r>
        <w:rPr>
          <w:color w:val="auto"/>
          <w:sz w:val="18"/>
          <w:szCs w:val="18"/>
        </w:rPr>
        <w:t xml:space="preserve">, </w:t>
      </w:r>
      <w:proofErr w:type="gramStart"/>
      <w:r>
        <w:rPr>
          <w:color w:val="auto"/>
          <w:sz w:val="18"/>
          <w:szCs w:val="18"/>
        </w:rPr>
        <w:t>interviews</w:t>
      </w:r>
      <w:proofErr w:type="gramEnd"/>
      <w:r>
        <w:rPr>
          <w:color w:val="auto"/>
          <w:sz w:val="18"/>
          <w:szCs w:val="18"/>
        </w:rPr>
        <w:t xml:space="preserve"> with IRM researcher</w:t>
      </w:r>
    </w:p>
  </w:endnote>
  <w:endnote w:id="145">
    <w:p w14:paraId="50099312" w14:textId="114A65FE" w:rsidR="001A2E4A" w:rsidRPr="005A54BF" w:rsidRDefault="001A2E4A" w:rsidP="00F74D6D">
      <w:pPr>
        <w:tabs>
          <w:tab w:val="clear" w:pos="2880"/>
        </w:tabs>
        <w:rPr>
          <w:rStyle w:val="EndnoteReference"/>
          <w:color w:val="auto"/>
          <w:sz w:val="18"/>
          <w:szCs w:val="18"/>
          <w:vertAlign w:val="baseline"/>
        </w:rPr>
      </w:pPr>
      <w:r w:rsidRPr="005A54BF">
        <w:rPr>
          <w:rStyle w:val="EndnoteReference"/>
          <w:color w:val="auto"/>
          <w:sz w:val="18"/>
          <w:szCs w:val="18"/>
          <w:vertAlign w:val="baseline"/>
        </w:rPr>
        <w:endnoteRef/>
      </w:r>
      <w:r w:rsidRPr="005A54BF">
        <w:rPr>
          <w:rStyle w:val="EndnoteReference"/>
          <w:color w:val="auto"/>
          <w:sz w:val="18"/>
          <w:szCs w:val="18"/>
          <w:vertAlign w:val="baseline"/>
        </w:rPr>
        <w:t xml:space="preserve"> Max </w:t>
      </w:r>
      <w:proofErr w:type="spellStart"/>
      <w:r w:rsidRPr="005A54BF">
        <w:rPr>
          <w:rStyle w:val="EndnoteReference"/>
          <w:color w:val="auto"/>
          <w:sz w:val="18"/>
          <w:szCs w:val="18"/>
          <w:vertAlign w:val="baseline"/>
        </w:rPr>
        <w:t>Rashbrooke</w:t>
      </w:r>
      <w:proofErr w:type="spellEnd"/>
      <w:r w:rsidRPr="005A54BF">
        <w:rPr>
          <w:rStyle w:val="EndnoteReference"/>
          <w:color w:val="auto"/>
          <w:sz w:val="18"/>
          <w:szCs w:val="18"/>
          <w:vertAlign w:val="baseline"/>
        </w:rPr>
        <w:t>, 16 August 2017</w:t>
      </w:r>
      <w:r>
        <w:rPr>
          <w:color w:val="auto"/>
          <w:sz w:val="18"/>
          <w:szCs w:val="18"/>
        </w:rPr>
        <w:t xml:space="preserve">, </w:t>
      </w:r>
      <w:proofErr w:type="gramStart"/>
      <w:r>
        <w:rPr>
          <w:color w:val="auto"/>
          <w:sz w:val="18"/>
          <w:szCs w:val="18"/>
        </w:rPr>
        <w:t>interview</w:t>
      </w:r>
      <w:proofErr w:type="gramEnd"/>
      <w:r>
        <w:rPr>
          <w:color w:val="auto"/>
          <w:sz w:val="18"/>
          <w:szCs w:val="18"/>
        </w:rPr>
        <w:t xml:space="preserve"> with IRM researcher</w:t>
      </w:r>
      <w:r w:rsidRPr="005A54BF">
        <w:rPr>
          <w:color w:val="auto"/>
          <w:sz w:val="18"/>
          <w:szCs w:val="18"/>
        </w:rPr>
        <w:t>.</w:t>
      </w:r>
    </w:p>
  </w:endnote>
  <w:endnote w:id="146">
    <w:p w14:paraId="1A5BFA46" w14:textId="6FF58C3A" w:rsidR="001A2E4A" w:rsidRPr="005A54BF" w:rsidRDefault="001A2E4A" w:rsidP="00F74D6D">
      <w:pPr>
        <w:tabs>
          <w:tab w:val="clear" w:pos="2880"/>
        </w:tabs>
        <w:rPr>
          <w:rStyle w:val="EndnoteReference"/>
          <w:color w:val="auto"/>
          <w:sz w:val="18"/>
          <w:szCs w:val="18"/>
          <w:vertAlign w:val="baseline"/>
        </w:rPr>
      </w:pPr>
      <w:r w:rsidRPr="005A54BF">
        <w:rPr>
          <w:rStyle w:val="EndnoteReference"/>
          <w:color w:val="auto"/>
          <w:sz w:val="18"/>
          <w:szCs w:val="18"/>
          <w:vertAlign w:val="baseline"/>
        </w:rPr>
        <w:endnoteRef/>
      </w:r>
      <w:r w:rsidRPr="005A54BF">
        <w:rPr>
          <w:rStyle w:val="EndnoteReference"/>
          <w:color w:val="auto"/>
          <w:sz w:val="18"/>
          <w:szCs w:val="18"/>
          <w:vertAlign w:val="baseline"/>
        </w:rPr>
        <w:t xml:space="preserve"> Miriam Lips, Professor of Digital Government, Victoria University of Wellington, 25 August 2017</w:t>
      </w:r>
      <w:r>
        <w:rPr>
          <w:color w:val="auto"/>
          <w:sz w:val="18"/>
          <w:szCs w:val="18"/>
        </w:rPr>
        <w:t xml:space="preserve">, </w:t>
      </w:r>
      <w:proofErr w:type="gramStart"/>
      <w:r>
        <w:rPr>
          <w:color w:val="auto"/>
          <w:sz w:val="18"/>
          <w:szCs w:val="18"/>
        </w:rPr>
        <w:t>interview</w:t>
      </w:r>
      <w:proofErr w:type="gramEnd"/>
      <w:r>
        <w:rPr>
          <w:color w:val="auto"/>
          <w:sz w:val="18"/>
          <w:szCs w:val="18"/>
        </w:rPr>
        <w:t xml:space="preserve"> with IRM researcher</w:t>
      </w:r>
      <w:r w:rsidRPr="005A54BF">
        <w:rPr>
          <w:color w:val="auto"/>
          <w:sz w:val="18"/>
          <w:szCs w:val="18"/>
        </w:rPr>
        <w:t>.</w:t>
      </w:r>
    </w:p>
  </w:endnote>
  <w:endnote w:id="147">
    <w:p w14:paraId="559D1603" w14:textId="2384D0FD" w:rsidR="001A2E4A" w:rsidRPr="005A54BF" w:rsidRDefault="001A2E4A" w:rsidP="00F74D6D">
      <w:pPr>
        <w:tabs>
          <w:tab w:val="clear" w:pos="2880"/>
        </w:tabs>
        <w:rPr>
          <w:rStyle w:val="EndnoteReference"/>
          <w:color w:val="auto"/>
          <w:sz w:val="18"/>
          <w:szCs w:val="18"/>
          <w:vertAlign w:val="baseline"/>
        </w:rPr>
      </w:pPr>
      <w:r w:rsidRPr="005A54BF">
        <w:rPr>
          <w:rStyle w:val="EndnoteReference"/>
          <w:color w:val="auto"/>
          <w:sz w:val="18"/>
          <w:szCs w:val="18"/>
          <w:vertAlign w:val="baseline"/>
        </w:rPr>
        <w:endnoteRef/>
      </w:r>
      <w:r w:rsidRPr="005A54BF">
        <w:rPr>
          <w:rStyle w:val="EndnoteReference"/>
          <w:color w:val="auto"/>
          <w:sz w:val="18"/>
          <w:szCs w:val="18"/>
          <w:vertAlign w:val="baseline"/>
        </w:rPr>
        <w:t xml:space="preserve"> Jordan Carter, Jay Daley and Debbie Monahan, Internet NZ, 6 September, 2017</w:t>
      </w:r>
      <w:r>
        <w:rPr>
          <w:color w:val="auto"/>
          <w:sz w:val="18"/>
          <w:szCs w:val="18"/>
        </w:rPr>
        <w:t xml:space="preserve">, </w:t>
      </w:r>
      <w:proofErr w:type="gramStart"/>
      <w:r>
        <w:rPr>
          <w:color w:val="auto"/>
          <w:sz w:val="18"/>
          <w:szCs w:val="18"/>
        </w:rPr>
        <w:t>interview</w:t>
      </w:r>
      <w:proofErr w:type="gramEnd"/>
      <w:r>
        <w:rPr>
          <w:color w:val="auto"/>
          <w:sz w:val="18"/>
          <w:szCs w:val="18"/>
        </w:rPr>
        <w:t xml:space="preserve"> with IRM researcher</w:t>
      </w:r>
      <w:r w:rsidRPr="005A54BF">
        <w:rPr>
          <w:color w:val="auto"/>
          <w:sz w:val="18"/>
          <w:szCs w:val="18"/>
        </w:rPr>
        <w:t>.</w:t>
      </w:r>
    </w:p>
  </w:endnote>
  <w:endnote w:id="148">
    <w:p w14:paraId="04943CB1" w14:textId="2145D290" w:rsidR="001A2E4A" w:rsidRPr="005A54BF" w:rsidRDefault="001A2E4A">
      <w:pPr>
        <w:pStyle w:val="EndnoteText"/>
        <w:rPr>
          <w:rFonts w:ascii="Gill Sans" w:hAnsi="Gill Sans" w:cs="Gill Sans"/>
          <w:color w:val="auto"/>
          <w:sz w:val="18"/>
          <w:szCs w:val="18"/>
          <w:lang w:val="en-US"/>
        </w:rPr>
      </w:pPr>
      <w:r w:rsidRPr="005A54BF">
        <w:rPr>
          <w:rStyle w:val="EndnoteReference"/>
          <w:rFonts w:ascii="Gill Sans" w:hAnsi="Gill Sans" w:cs="Gill Sans"/>
          <w:color w:val="auto"/>
          <w:sz w:val="18"/>
          <w:szCs w:val="18"/>
          <w:vertAlign w:val="baseline"/>
        </w:rPr>
        <w:endnoteRef/>
      </w:r>
      <w:r w:rsidRPr="005A54BF">
        <w:rPr>
          <w:rFonts w:ascii="Gill Sans" w:hAnsi="Gill Sans" w:cs="Gill Sans"/>
          <w:color w:val="auto"/>
          <w:sz w:val="18"/>
          <w:szCs w:val="18"/>
        </w:rPr>
        <w:t xml:space="preserve"> </w:t>
      </w:r>
      <w:r w:rsidRPr="005A54BF">
        <w:rPr>
          <w:rFonts w:ascii="Gill Sans" w:hAnsi="Gill Sans" w:cs="Gill Sans"/>
          <w:color w:val="auto"/>
          <w:sz w:val="18"/>
          <w:szCs w:val="18"/>
        </w:rPr>
        <w:t xml:space="preserve">Comment from </w:t>
      </w:r>
      <w:r w:rsidRPr="005A54BF">
        <w:rPr>
          <w:rFonts w:ascii="Gill Sans" w:hAnsi="Gill Sans" w:cs="Gill Sans"/>
          <w:color w:val="auto"/>
          <w:sz w:val="18"/>
          <w:szCs w:val="18"/>
          <w:lang w:val="en-US"/>
        </w:rPr>
        <w:t>SSC during pre-publication review, 22 December, 2017.</w:t>
      </w:r>
    </w:p>
  </w:endnote>
  <w:endnote w:id="149">
    <w:p w14:paraId="06624EFB" w14:textId="5D2E5B03" w:rsidR="001A2E4A" w:rsidRPr="005A54BF" w:rsidRDefault="001A2E4A">
      <w:pPr>
        <w:pStyle w:val="EndnoteText"/>
        <w:rPr>
          <w:rFonts w:ascii="Gill Sans" w:hAnsi="Gill Sans" w:cs="Gill Sans"/>
          <w:color w:val="auto"/>
          <w:sz w:val="18"/>
          <w:szCs w:val="18"/>
          <w:lang w:val="en-NZ"/>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5A54BF">
        <w:rPr>
          <w:rFonts w:ascii="Gill Sans" w:hAnsi="Gill Sans" w:cs="Gill Sans"/>
          <w:color w:val="auto"/>
          <w:sz w:val="18"/>
          <w:szCs w:val="18"/>
        </w:rPr>
        <w:t>Our Progress,</w:t>
      </w:r>
      <w:r>
        <w:rPr>
          <w:rFonts w:ascii="Gill Sans" w:hAnsi="Gill Sans" w:cs="Gill Sans"/>
          <w:color w:val="auto"/>
          <w:sz w:val="18"/>
          <w:szCs w:val="18"/>
        </w:rPr>
        <w:t>’</w:t>
      </w:r>
      <w:r w:rsidRPr="005A54BF">
        <w:rPr>
          <w:rFonts w:ascii="Gill Sans" w:hAnsi="Gill Sans" w:cs="Gill Sans"/>
          <w:color w:val="auto"/>
          <w:sz w:val="18"/>
          <w:szCs w:val="18"/>
        </w:rPr>
        <w:t xml:space="preserve"> Open Government: New Zealand.</w:t>
      </w:r>
    </w:p>
  </w:endnote>
  <w:endnote w:id="150">
    <w:p w14:paraId="047C9727" w14:textId="698A046A" w:rsidR="001A2E4A" w:rsidRPr="002C6928" w:rsidRDefault="001A2E4A">
      <w:pPr>
        <w:pStyle w:val="EndnoteText"/>
        <w:rPr>
          <w:rStyle w:val="EndnoteReference"/>
          <w:rFonts w:ascii="Gill Sans" w:hAnsi="Gill Sans" w:cs="Gill Sans"/>
          <w:color w:val="auto"/>
          <w:sz w:val="18"/>
          <w:szCs w:val="18"/>
          <w:vertAlign w:val="baseline"/>
        </w:rPr>
      </w:pPr>
      <w:r w:rsidRPr="005A54BF">
        <w:rPr>
          <w:rStyle w:val="EndnoteReference"/>
          <w:rFonts w:ascii="Gill Sans" w:hAnsi="Gill Sans" w:cs="Gill Sans"/>
          <w:color w:val="auto"/>
          <w:sz w:val="18"/>
          <w:szCs w:val="18"/>
          <w:vertAlign w:val="baseline"/>
        </w:rPr>
        <w:endnoteRef/>
      </w:r>
      <w:r w:rsidRPr="005A54BF">
        <w:rPr>
          <w:rStyle w:val="EndnoteReference"/>
          <w:rFonts w:ascii="Gill Sans" w:hAnsi="Gill Sans" w:cs="Gill Sans"/>
          <w:color w:val="auto"/>
          <w:sz w:val="18"/>
          <w:szCs w:val="18"/>
          <w:vertAlign w:val="baseline"/>
        </w:rPr>
        <w:t xml:space="preserve"> </w:t>
      </w:r>
      <w:r w:rsidRPr="005A54BF">
        <w:rPr>
          <w:rStyle w:val="EndnoteReference"/>
          <w:rFonts w:ascii="Gill Sans" w:hAnsi="Gill Sans" w:cs="Gill Sans"/>
          <w:color w:val="auto"/>
          <w:sz w:val="18"/>
          <w:szCs w:val="18"/>
          <w:vertAlign w:val="baseline"/>
        </w:rPr>
        <w:t>Max Rashbrooke, 16 August 2017; Sir Geoffrey Palmer, 25 August 2017; Simon Wright, 31 August; Laurence Millar, 7 September 2017</w:t>
      </w:r>
      <w:r>
        <w:rPr>
          <w:rFonts w:ascii="Gill Sans" w:hAnsi="Gill Sans" w:cs="Gill Sans"/>
          <w:color w:val="auto"/>
          <w:sz w:val="18"/>
          <w:szCs w:val="18"/>
        </w:rPr>
        <w:t>,</w:t>
      </w:r>
      <w:r w:rsidRPr="00CC1B99">
        <w:rPr>
          <w:rFonts w:ascii="Gill Sans" w:hAnsi="Gill Sans" w:cs="Gill Sans"/>
          <w:color w:val="auto"/>
          <w:sz w:val="18"/>
          <w:szCs w:val="18"/>
        </w:rPr>
        <w:t xml:space="preserve"> </w:t>
      </w:r>
      <w:r>
        <w:rPr>
          <w:rFonts w:ascii="Gill Sans" w:hAnsi="Gill Sans" w:cs="Gill Sans"/>
          <w:color w:val="auto"/>
          <w:sz w:val="18"/>
          <w:szCs w:val="18"/>
        </w:rPr>
        <w:t>interviews with IRM researcher</w:t>
      </w:r>
      <w:r w:rsidRPr="005A54BF">
        <w:rPr>
          <w:rFonts w:ascii="Gill Sans" w:hAnsi="Gill Sans" w:cs="Gill Sans"/>
          <w:color w:val="auto"/>
          <w:sz w:val="18"/>
          <w:szCs w:val="18"/>
        </w:rPr>
        <w:t>.</w:t>
      </w:r>
    </w:p>
  </w:endnote>
  <w:endnote w:id="151">
    <w:p w14:paraId="3ABF6DD6" w14:textId="085F2030" w:rsidR="001A2E4A" w:rsidRPr="002C6928" w:rsidRDefault="001A2E4A" w:rsidP="004F56FE">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2C6928">
        <w:rPr>
          <w:rFonts w:ascii="Gill Sans" w:hAnsi="Gill Sans" w:cs="Gill Sans"/>
          <w:color w:val="auto"/>
          <w:sz w:val="18"/>
          <w:szCs w:val="18"/>
        </w:rPr>
        <w:t>Country Detail: New Zealand,</w:t>
      </w:r>
      <w:r>
        <w:rPr>
          <w:rFonts w:ascii="Gill Sans" w:hAnsi="Gill Sans" w:cs="Gill Sans"/>
          <w:color w:val="auto"/>
          <w:sz w:val="18"/>
          <w:szCs w:val="18"/>
        </w:rPr>
        <w:t>’</w:t>
      </w:r>
      <w:r w:rsidRPr="002C6928">
        <w:rPr>
          <w:rFonts w:ascii="Gill Sans" w:hAnsi="Gill Sans" w:cs="Gill Sans"/>
          <w:color w:val="auto"/>
          <w:sz w:val="18"/>
          <w:szCs w:val="18"/>
        </w:rPr>
        <w:t xml:space="preserve"> Open Data Barometer, 2016, opendatabarometer.org/4thedition/detail-country/?_year=2016&amp;indicator=ODB&amp;detail=NZL.</w:t>
      </w:r>
      <w:r w:rsidRPr="002C6928" w:rsidDel="001654D7">
        <w:rPr>
          <w:rStyle w:val="EndnoteReference"/>
          <w:rFonts w:ascii="Gill Sans" w:hAnsi="Gill Sans" w:cs="Gill Sans"/>
          <w:color w:val="auto"/>
          <w:sz w:val="18"/>
          <w:szCs w:val="18"/>
          <w:vertAlign w:val="baseline"/>
        </w:rPr>
        <w:t xml:space="preserve"> </w:t>
      </w:r>
    </w:p>
  </w:endnote>
  <w:endnote w:id="152">
    <w:p w14:paraId="5CE58D32" w14:textId="1560765A" w:rsidR="001A2E4A" w:rsidRPr="002C6928" w:rsidRDefault="001A2E4A" w:rsidP="004F56FE">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2C6928">
        <w:rPr>
          <w:rFonts w:ascii="Gill Sans" w:hAnsi="Gill Sans" w:cs="Gill Sans"/>
          <w:color w:val="auto"/>
          <w:sz w:val="18"/>
          <w:szCs w:val="18"/>
        </w:rPr>
        <w:t>Access to Secondary Legislation Project news,</w:t>
      </w:r>
      <w:r>
        <w:rPr>
          <w:rFonts w:ascii="Gill Sans" w:hAnsi="Gill Sans" w:cs="Gill Sans"/>
          <w:color w:val="auto"/>
          <w:sz w:val="18"/>
          <w:szCs w:val="18"/>
        </w:rPr>
        <w:t>’</w:t>
      </w:r>
      <w:r w:rsidRPr="002C6928">
        <w:rPr>
          <w:rFonts w:ascii="Gill Sans" w:hAnsi="Gill Sans" w:cs="Gill Sans"/>
          <w:color w:val="auto"/>
          <w:sz w:val="18"/>
          <w:szCs w:val="18"/>
        </w:rPr>
        <w:t xml:space="preserve"> Parliamentary Counsel Office, December 2017, www.pco.govt.nz/access-project-news/#20june2017.</w:t>
      </w:r>
    </w:p>
  </w:endnote>
  <w:endnote w:id="153">
    <w:p w14:paraId="6D66AAED" w14:textId="6154F6DC" w:rsidR="001A2E4A" w:rsidRPr="002C6928" w:rsidRDefault="001A2E4A" w:rsidP="004F56FE">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sidRPr="002C6928">
        <w:rPr>
          <w:rStyle w:val="EndnoteReference"/>
          <w:rFonts w:ascii="Gill Sans" w:hAnsi="Gill Sans" w:cs="Gill Sans"/>
          <w:color w:val="auto"/>
          <w:sz w:val="18"/>
          <w:szCs w:val="18"/>
          <w:vertAlign w:val="baseline"/>
        </w:rPr>
        <w:t>A</w:t>
      </w:r>
      <w:r w:rsidRPr="002C6928">
        <w:rPr>
          <w:rFonts w:ascii="Gill Sans" w:hAnsi="Gill Sans" w:cs="Gill Sans"/>
          <w:color w:val="auto"/>
          <w:sz w:val="18"/>
          <w:szCs w:val="18"/>
        </w:rPr>
        <w:t xml:space="preserve"> </w:t>
      </w:r>
      <w:r w:rsidRPr="002C6928">
        <w:rPr>
          <w:rFonts w:ascii="Gill Sans" w:hAnsi="Gill Sans" w:cs="Gill Sans"/>
          <w:color w:val="auto"/>
          <w:sz w:val="18"/>
          <w:szCs w:val="18"/>
        </w:rPr>
        <w:t>l</w:t>
      </w:r>
      <w:r w:rsidRPr="002C6928">
        <w:rPr>
          <w:rStyle w:val="EndnoteReference"/>
          <w:rFonts w:ascii="Gill Sans" w:hAnsi="Gill Sans" w:cs="Gill Sans"/>
          <w:color w:val="auto"/>
          <w:sz w:val="18"/>
          <w:szCs w:val="18"/>
          <w:vertAlign w:val="baseline"/>
        </w:rPr>
        <w:t>ist of drafting agencies m</w:t>
      </w:r>
      <w:r w:rsidRPr="002C6928">
        <w:rPr>
          <w:rFonts w:ascii="Gill Sans" w:hAnsi="Gill Sans" w:cs="Gill Sans"/>
          <w:color w:val="auto"/>
          <w:sz w:val="18"/>
          <w:szCs w:val="18"/>
        </w:rPr>
        <w:t>ay be accessed at</w:t>
      </w:r>
      <w:r w:rsidRPr="002C6928">
        <w:rPr>
          <w:rStyle w:val="EndnoteReference"/>
          <w:rFonts w:ascii="Gill Sans" w:hAnsi="Gill Sans" w:cs="Gill Sans"/>
          <w:color w:val="auto"/>
          <w:sz w:val="18"/>
          <w:szCs w:val="18"/>
          <w:vertAlign w:val="baseline"/>
        </w:rPr>
        <w:t xml:space="preserve"> </w:t>
      </w:r>
      <w:hyperlink r:id="rId11" w:history="1">
        <w:r w:rsidRPr="002C6928">
          <w:rPr>
            <w:rStyle w:val="EndnoteReference"/>
            <w:rFonts w:ascii="Gill Sans" w:hAnsi="Gill Sans" w:cs="Gill Sans"/>
            <w:color w:val="auto"/>
            <w:sz w:val="18"/>
            <w:szCs w:val="18"/>
            <w:vertAlign w:val="baseline"/>
          </w:rPr>
          <w:t>http://www.pco.govt.nz/drafting-agencies/</w:t>
        </w:r>
      </w:hyperlink>
      <w:r w:rsidRPr="002C6928">
        <w:rPr>
          <w:rStyle w:val="EndnoteReference"/>
          <w:rFonts w:ascii="Gill Sans" w:hAnsi="Gill Sans" w:cs="Gill Sans"/>
          <w:color w:val="auto"/>
          <w:sz w:val="18"/>
          <w:szCs w:val="18"/>
          <w:vertAlign w:val="baseline"/>
        </w:rPr>
        <w:t>. Note that the 78 local authorities are excluded from this project</w:t>
      </w:r>
      <w:r w:rsidRPr="002C6928">
        <w:rPr>
          <w:rFonts w:ascii="Gill Sans" w:hAnsi="Gill Sans" w:cs="Gill Sans"/>
          <w:color w:val="auto"/>
          <w:sz w:val="18"/>
          <w:szCs w:val="18"/>
        </w:rPr>
        <w:t>.</w:t>
      </w:r>
    </w:p>
  </w:endnote>
  <w:endnote w:id="154">
    <w:p w14:paraId="16B8384B" w14:textId="138F49FD" w:rsidR="001A2E4A" w:rsidRPr="002C6928" w:rsidRDefault="001A2E4A" w:rsidP="00C3071F">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2C6928">
        <w:rPr>
          <w:rFonts w:ascii="Gill Sans" w:hAnsi="Gill Sans" w:cs="Gill Sans"/>
          <w:color w:val="auto"/>
          <w:sz w:val="18"/>
          <w:szCs w:val="18"/>
        </w:rPr>
        <w:t>About legislation,</w:t>
      </w:r>
      <w:r>
        <w:rPr>
          <w:rFonts w:ascii="Gill Sans" w:hAnsi="Gill Sans" w:cs="Gill Sans"/>
          <w:color w:val="auto"/>
          <w:sz w:val="18"/>
          <w:szCs w:val="18"/>
        </w:rPr>
        <w:t>’</w:t>
      </w:r>
      <w:r w:rsidRPr="002C6928">
        <w:rPr>
          <w:rFonts w:ascii="Gill Sans" w:hAnsi="Gill Sans" w:cs="Gill Sans"/>
          <w:color w:val="auto"/>
          <w:sz w:val="18"/>
          <w:szCs w:val="18"/>
        </w:rPr>
        <w:t xml:space="preserve"> Parliamentary Counsel Office, accessed 17 January 2018, www.pco.govt.nz/about-legislation/.</w:t>
      </w:r>
    </w:p>
  </w:endnote>
  <w:endnote w:id="155">
    <w:p w14:paraId="345441D4" w14:textId="663B14EA" w:rsidR="001A2E4A" w:rsidRPr="002C6928" w:rsidRDefault="001A2E4A">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sidRPr="002C6928">
        <w:rPr>
          <w:rStyle w:val="EndnoteReference"/>
          <w:rFonts w:ascii="Gill Sans" w:hAnsi="Gill Sans" w:cs="Gill Sans"/>
          <w:color w:val="auto"/>
          <w:sz w:val="18"/>
          <w:szCs w:val="18"/>
          <w:vertAlign w:val="baseline"/>
        </w:rPr>
        <w:t>NZ Law Society</w:t>
      </w:r>
      <w:r w:rsidRPr="002C6928">
        <w:rPr>
          <w:rFonts w:ascii="Gill Sans" w:hAnsi="Gill Sans" w:cs="Gill Sans"/>
          <w:color w:val="auto"/>
          <w:sz w:val="18"/>
          <w:szCs w:val="18"/>
        </w:rPr>
        <w:t>,</w:t>
      </w:r>
      <w:r w:rsidRPr="002C6928">
        <w:rPr>
          <w:rStyle w:val="EndnoteReference"/>
          <w:rFonts w:ascii="Gill Sans" w:hAnsi="Gill Sans" w:cs="Gill Sans"/>
          <w:color w:val="auto"/>
          <w:sz w:val="18"/>
          <w:szCs w:val="18"/>
          <w:vertAlign w:val="baseline"/>
        </w:rPr>
        <w:t xml:space="preserve"> </w:t>
      </w:r>
      <w:r w:rsidRPr="002C6928">
        <w:rPr>
          <w:rFonts w:ascii="Gill Sans" w:hAnsi="Gill Sans" w:cs="Gill Sans"/>
          <w:color w:val="auto"/>
          <w:sz w:val="18"/>
          <w:szCs w:val="18"/>
        </w:rPr>
        <w:t>e-</w:t>
      </w:r>
      <w:r w:rsidRPr="002C6928">
        <w:rPr>
          <w:rStyle w:val="EndnoteReference"/>
          <w:rFonts w:ascii="Gill Sans" w:hAnsi="Gill Sans" w:cs="Gill Sans"/>
          <w:color w:val="auto"/>
          <w:sz w:val="18"/>
          <w:szCs w:val="18"/>
          <w:vertAlign w:val="baseline"/>
        </w:rPr>
        <w:t>mail to the IRM researcher, 12 September 201</w:t>
      </w:r>
      <w:r w:rsidRPr="002C6928">
        <w:rPr>
          <w:rFonts w:ascii="Gill Sans" w:hAnsi="Gill Sans" w:cs="Gill Sans"/>
          <w:color w:val="auto"/>
          <w:sz w:val="18"/>
          <w:szCs w:val="18"/>
        </w:rPr>
        <w:t>7.</w:t>
      </w:r>
    </w:p>
  </w:endnote>
  <w:endnote w:id="156">
    <w:p w14:paraId="1F6E3EC7" w14:textId="039E43AE" w:rsidR="001A2E4A" w:rsidRPr="002C6928" w:rsidRDefault="001A2E4A">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sidRPr="002C6928">
        <w:rPr>
          <w:rStyle w:val="EndnoteReference"/>
          <w:rFonts w:ascii="Gill Sans" w:hAnsi="Gill Sans" w:cs="Gill Sans"/>
          <w:color w:val="auto"/>
          <w:sz w:val="18"/>
          <w:szCs w:val="18"/>
          <w:vertAlign w:val="baseline"/>
        </w:rPr>
        <w:t>Jordan Carter, Jay Daley and Debbie Monahan, in</w:t>
      </w:r>
      <w:r w:rsidRPr="002C6928">
        <w:rPr>
          <w:rFonts w:ascii="Gill Sans" w:hAnsi="Gill Sans" w:cs="Gill Sans"/>
          <w:color w:val="auto"/>
          <w:sz w:val="18"/>
          <w:szCs w:val="18"/>
        </w:rPr>
        <w:t>terview with the IRM researcher</w:t>
      </w:r>
      <w:r w:rsidRPr="002C6928">
        <w:rPr>
          <w:rStyle w:val="EndnoteReference"/>
          <w:rFonts w:ascii="Gill Sans" w:hAnsi="Gill Sans" w:cs="Gill Sans"/>
          <w:color w:val="auto"/>
          <w:sz w:val="18"/>
          <w:szCs w:val="18"/>
          <w:vertAlign w:val="baseline"/>
        </w:rPr>
        <w:t>, 6 September 2017</w:t>
      </w:r>
      <w:r w:rsidRPr="002C6928">
        <w:rPr>
          <w:rFonts w:ascii="Gill Sans" w:hAnsi="Gill Sans" w:cs="Gill Sans"/>
          <w:color w:val="auto"/>
          <w:sz w:val="18"/>
          <w:szCs w:val="18"/>
        </w:rPr>
        <w:t>.</w:t>
      </w:r>
    </w:p>
  </w:endnote>
  <w:endnote w:id="157">
    <w:p w14:paraId="636B2D2F" w14:textId="059D0E92" w:rsidR="001A2E4A" w:rsidRPr="002C6928" w:rsidRDefault="001A2E4A">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sidRPr="002C6928">
        <w:rPr>
          <w:rStyle w:val="EndnoteReference"/>
          <w:rFonts w:ascii="Gill Sans" w:hAnsi="Gill Sans" w:cs="Gill Sans"/>
          <w:color w:val="auto"/>
          <w:sz w:val="18"/>
          <w:szCs w:val="18"/>
          <w:vertAlign w:val="baseline"/>
        </w:rPr>
        <w:t xml:space="preserve">Cath Wallace and Jan Rivers, Environment and Conservation Organisation of Aotearoa New Zealand interview </w:t>
      </w:r>
      <w:r w:rsidRPr="002C6928">
        <w:rPr>
          <w:rFonts w:ascii="Gill Sans" w:hAnsi="Gill Sans" w:cs="Gill Sans"/>
          <w:color w:val="auto"/>
          <w:sz w:val="18"/>
          <w:szCs w:val="18"/>
        </w:rPr>
        <w:t>with the IRM researcher</w:t>
      </w:r>
      <w:r w:rsidRPr="002C6928">
        <w:rPr>
          <w:rStyle w:val="EndnoteReference"/>
          <w:rFonts w:ascii="Gill Sans" w:hAnsi="Gill Sans" w:cs="Gill Sans"/>
          <w:color w:val="auto"/>
          <w:sz w:val="18"/>
          <w:szCs w:val="18"/>
          <w:vertAlign w:val="baseline"/>
        </w:rPr>
        <w:t>, 11 July 2017.</w:t>
      </w:r>
    </w:p>
  </w:endnote>
  <w:endnote w:id="158">
    <w:p w14:paraId="21B15C90" w14:textId="5A97C635" w:rsidR="001A2E4A" w:rsidRPr="002C6928" w:rsidRDefault="001A2E4A">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sidRPr="002C6928">
        <w:rPr>
          <w:rStyle w:val="EndnoteReference"/>
          <w:rFonts w:ascii="Gill Sans" w:hAnsi="Gill Sans" w:cs="Gill Sans"/>
          <w:color w:val="auto"/>
          <w:sz w:val="18"/>
          <w:szCs w:val="18"/>
          <w:vertAlign w:val="baseline"/>
        </w:rPr>
        <w:t xml:space="preserve">Fuimaono Tuiasau, </w:t>
      </w:r>
      <w:r w:rsidRPr="002C6928">
        <w:rPr>
          <w:rFonts w:ascii="Gill Sans" w:hAnsi="Gill Sans" w:cs="Gill Sans"/>
          <w:color w:val="auto"/>
          <w:sz w:val="18"/>
          <w:szCs w:val="18"/>
        </w:rPr>
        <w:t>t</w:t>
      </w:r>
      <w:r w:rsidRPr="002C6928">
        <w:rPr>
          <w:rStyle w:val="EndnoteReference"/>
          <w:rFonts w:ascii="Gill Sans" w:hAnsi="Gill Sans" w:cs="Gill Sans"/>
          <w:color w:val="auto"/>
          <w:sz w:val="18"/>
          <w:szCs w:val="18"/>
          <w:vertAlign w:val="baseline"/>
        </w:rPr>
        <w:t xml:space="preserve">elephone </w:t>
      </w:r>
      <w:r w:rsidRPr="002C6928">
        <w:rPr>
          <w:rFonts w:ascii="Gill Sans" w:hAnsi="Gill Sans" w:cs="Gill Sans"/>
          <w:color w:val="auto"/>
          <w:sz w:val="18"/>
          <w:szCs w:val="18"/>
        </w:rPr>
        <w:t>in</w:t>
      </w:r>
      <w:r w:rsidRPr="002C6928">
        <w:rPr>
          <w:rStyle w:val="EndnoteReference"/>
          <w:rFonts w:ascii="Gill Sans" w:hAnsi="Gill Sans" w:cs="Gill Sans"/>
          <w:color w:val="auto"/>
          <w:sz w:val="18"/>
          <w:szCs w:val="18"/>
          <w:vertAlign w:val="baseline"/>
        </w:rPr>
        <w:t>terview</w:t>
      </w:r>
      <w:r w:rsidRPr="002C6928">
        <w:rPr>
          <w:rFonts w:ascii="Gill Sans" w:hAnsi="Gill Sans" w:cs="Gill Sans"/>
          <w:color w:val="auto"/>
          <w:sz w:val="18"/>
          <w:szCs w:val="18"/>
        </w:rPr>
        <w:t xml:space="preserve"> with IRM researcher</w:t>
      </w:r>
      <w:r w:rsidRPr="002C6928">
        <w:rPr>
          <w:rStyle w:val="EndnoteReference"/>
          <w:rFonts w:ascii="Gill Sans" w:hAnsi="Gill Sans" w:cs="Gill Sans"/>
          <w:color w:val="auto"/>
          <w:sz w:val="18"/>
          <w:szCs w:val="18"/>
          <w:vertAlign w:val="baseline"/>
        </w:rPr>
        <w:t>, 20 July 2017</w:t>
      </w:r>
      <w:r w:rsidRPr="002C6928">
        <w:rPr>
          <w:rFonts w:ascii="Gill Sans" w:hAnsi="Gill Sans" w:cs="Gill Sans"/>
          <w:color w:val="auto"/>
          <w:sz w:val="18"/>
          <w:szCs w:val="18"/>
        </w:rPr>
        <w:t>.</w:t>
      </w:r>
    </w:p>
  </w:endnote>
  <w:endnote w:id="159">
    <w:p w14:paraId="2C38B6C9" w14:textId="70BF57E3" w:rsidR="001A2E4A" w:rsidRPr="002C6928" w:rsidRDefault="001A2E4A">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2C6928">
        <w:rPr>
          <w:rStyle w:val="EndnoteReference"/>
          <w:rFonts w:ascii="Gill Sans" w:hAnsi="Gill Sans" w:cs="Gill Sans"/>
          <w:color w:val="auto"/>
          <w:sz w:val="18"/>
          <w:szCs w:val="18"/>
          <w:vertAlign w:val="baseline"/>
        </w:rPr>
        <w:t>Quarterly report on Commitment 6, June to August 2017</w:t>
      </w:r>
      <w:r w:rsidRPr="002C6928">
        <w:rPr>
          <w:rFonts w:ascii="Gill Sans" w:hAnsi="Gill Sans" w:cs="Gill Sans"/>
          <w:color w:val="auto"/>
          <w:sz w:val="18"/>
          <w:szCs w:val="18"/>
        </w:rPr>
        <w:t>,</w:t>
      </w:r>
      <w:r>
        <w:rPr>
          <w:rFonts w:ascii="Gill Sans" w:hAnsi="Gill Sans" w:cs="Gill Sans"/>
          <w:color w:val="auto"/>
          <w:sz w:val="18"/>
          <w:szCs w:val="18"/>
        </w:rPr>
        <w:t>’</w:t>
      </w:r>
      <w:r w:rsidRPr="002C6928">
        <w:rPr>
          <w:rFonts w:ascii="Gill Sans" w:hAnsi="Gill Sans" w:cs="Gill Sans"/>
          <w:color w:val="auto"/>
          <w:sz w:val="18"/>
          <w:szCs w:val="18"/>
        </w:rPr>
        <w:t xml:space="preserve"> </w:t>
      </w:r>
      <w:r w:rsidRPr="002C6928">
        <w:rPr>
          <w:rStyle w:val="EndnoteReference"/>
          <w:rFonts w:ascii="Gill Sans" w:hAnsi="Gill Sans" w:cs="Gill Sans"/>
          <w:color w:val="auto"/>
          <w:sz w:val="18"/>
          <w:szCs w:val="18"/>
          <w:vertAlign w:val="baseline"/>
        </w:rPr>
        <w:t>Parliamentary Counsel Office</w:t>
      </w:r>
      <w:r w:rsidRPr="002C6928">
        <w:rPr>
          <w:rFonts w:ascii="Gill Sans" w:hAnsi="Gill Sans" w:cs="Gill Sans"/>
          <w:color w:val="auto"/>
          <w:sz w:val="18"/>
          <w:szCs w:val="18"/>
        </w:rPr>
        <w:t>,</w:t>
      </w:r>
      <w:r w:rsidRPr="002C6928">
        <w:rPr>
          <w:rStyle w:val="EndnoteReference"/>
          <w:rFonts w:ascii="Gill Sans" w:hAnsi="Gill Sans" w:cs="Gill Sans"/>
          <w:color w:val="auto"/>
          <w:sz w:val="18"/>
          <w:szCs w:val="18"/>
          <w:vertAlign w:val="baseline"/>
        </w:rPr>
        <w:t xml:space="preserve"> Unpublished, 23 August 2017</w:t>
      </w:r>
      <w:r w:rsidRPr="002C6928">
        <w:rPr>
          <w:rFonts w:ascii="Gill Sans" w:hAnsi="Gill Sans" w:cs="Gill Sans"/>
          <w:color w:val="auto"/>
          <w:sz w:val="18"/>
          <w:szCs w:val="18"/>
        </w:rPr>
        <w:t>.</w:t>
      </w:r>
    </w:p>
  </w:endnote>
  <w:endnote w:id="160">
    <w:p w14:paraId="16C918E2" w14:textId="2633239B" w:rsidR="001A2E4A" w:rsidRPr="002C6928" w:rsidRDefault="001A2E4A" w:rsidP="002A79A9">
      <w:pPr>
        <w:pStyle w:val="EndnoteText"/>
        <w:rPr>
          <w:rFonts w:ascii="Gill Sans" w:hAnsi="Gill Sans" w:cs="Gill Sans"/>
          <w:color w:val="auto"/>
          <w:sz w:val="18"/>
          <w:szCs w:val="18"/>
          <w:lang w:val="en-NZ"/>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sidRPr="002C6928">
        <w:rPr>
          <w:rStyle w:val="EndnoteReference"/>
          <w:rFonts w:ascii="Gill Sans" w:hAnsi="Gill Sans" w:cs="Gill Sans"/>
          <w:color w:val="auto"/>
          <w:sz w:val="18"/>
          <w:szCs w:val="18"/>
          <w:vertAlign w:val="baseline"/>
        </w:rPr>
        <w:t>Inland Revenue, Treasury and Land Information New Zealand</w:t>
      </w:r>
      <w:r>
        <w:rPr>
          <w:rFonts w:ascii="Gill Sans" w:hAnsi="Gill Sans" w:cs="Gill Sans"/>
          <w:color w:val="auto"/>
          <w:sz w:val="18"/>
          <w:szCs w:val="18"/>
        </w:rPr>
        <w:t>, interviews with IRM researcher on 22 and 25 September 2017</w:t>
      </w:r>
      <w:r w:rsidRPr="002C6928">
        <w:rPr>
          <w:rFonts w:ascii="Gill Sans" w:hAnsi="Gill Sans" w:cs="Gill Sans"/>
          <w:color w:val="auto"/>
          <w:sz w:val="18"/>
          <w:szCs w:val="18"/>
        </w:rPr>
        <w:t>.</w:t>
      </w:r>
    </w:p>
  </w:endnote>
  <w:endnote w:id="161">
    <w:p w14:paraId="3BCC641A" w14:textId="691AD47C" w:rsidR="001A2E4A" w:rsidRPr="002C6928" w:rsidRDefault="001A2E4A" w:rsidP="0017231F">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2C6928">
        <w:rPr>
          <w:rFonts w:ascii="Gill Sans" w:hAnsi="Gill Sans" w:cs="Gill Sans"/>
          <w:color w:val="auto"/>
          <w:sz w:val="18"/>
          <w:szCs w:val="18"/>
        </w:rPr>
        <w:t>The policy community,</w:t>
      </w:r>
      <w:r>
        <w:rPr>
          <w:rFonts w:ascii="Gill Sans" w:hAnsi="Gill Sans" w:cs="Gill Sans"/>
          <w:color w:val="auto"/>
          <w:sz w:val="18"/>
          <w:szCs w:val="18"/>
        </w:rPr>
        <w:t>’</w:t>
      </w:r>
      <w:r w:rsidRPr="002C6928">
        <w:rPr>
          <w:rFonts w:ascii="Gill Sans" w:hAnsi="Gill Sans" w:cs="Gill Sans"/>
          <w:color w:val="auto"/>
          <w:sz w:val="18"/>
          <w:szCs w:val="18"/>
        </w:rPr>
        <w:t xml:space="preserve"> Department of the Prime Minister and Cabinet, accessed 17 January 2018, https://www.dpmc.govt.nz/our-programmes/policy-project/policy-community.</w:t>
      </w:r>
      <w:r w:rsidRPr="002C6928" w:rsidDel="00DE30AD">
        <w:rPr>
          <w:rStyle w:val="EndnoteReference"/>
          <w:rFonts w:ascii="Gill Sans" w:hAnsi="Gill Sans" w:cs="Gill Sans"/>
          <w:color w:val="auto"/>
          <w:sz w:val="18"/>
          <w:szCs w:val="18"/>
          <w:vertAlign w:val="baseline"/>
        </w:rPr>
        <w:t xml:space="preserve"> </w:t>
      </w:r>
    </w:p>
  </w:endnote>
  <w:endnote w:id="162">
    <w:p w14:paraId="2B2916A8" w14:textId="226AEA27" w:rsidR="001A2E4A" w:rsidRPr="002C6928" w:rsidRDefault="001A2E4A" w:rsidP="006D3FC8">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2C6928">
        <w:rPr>
          <w:rFonts w:ascii="Gill Sans" w:hAnsi="Gill Sans" w:cs="Gill Sans"/>
          <w:color w:val="auto"/>
          <w:sz w:val="18"/>
          <w:szCs w:val="18"/>
        </w:rPr>
        <w:t>Policy improvement frameworks,</w:t>
      </w:r>
      <w:r>
        <w:rPr>
          <w:rFonts w:ascii="Gill Sans" w:hAnsi="Gill Sans" w:cs="Gill Sans"/>
          <w:color w:val="auto"/>
          <w:sz w:val="18"/>
          <w:szCs w:val="18"/>
        </w:rPr>
        <w:t>’</w:t>
      </w:r>
      <w:r w:rsidRPr="002C6928">
        <w:rPr>
          <w:rFonts w:ascii="Gill Sans" w:hAnsi="Gill Sans" w:cs="Gill Sans"/>
          <w:color w:val="auto"/>
          <w:sz w:val="18"/>
          <w:szCs w:val="18"/>
        </w:rPr>
        <w:t xml:space="preserve"> Department of the Prime Minister and Cabinet, accessed 17 January 2018, https://www.dpmc.govt.nz/our-programmes/policy-project/policy-improvement-frameworks.</w:t>
      </w:r>
      <w:r w:rsidRPr="002C6928" w:rsidDel="00DE30AD">
        <w:rPr>
          <w:rStyle w:val="EndnoteReference"/>
          <w:rFonts w:ascii="Gill Sans" w:hAnsi="Gill Sans" w:cs="Gill Sans"/>
          <w:color w:val="auto"/>
          <w:sz w:val="18"/>
          <w:szCs w:val="18"/>
          <w:vertAlign w:val="baseline"/>
        </w:rPr>
        <w:t xml:space="preserve"> </w:t>
      </w:r>
    </w:p>
  </w:endnote>
  <w:endnote w:id="163">
    <w:p w14:paraId="6257035F" w14:textId="40651481" w:rsidR="001A2E4A" w:rsidRPr="002C6928" w:rsidRDefault="001A2E4A">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2C6928">
        <w:rPr>
          <w:rFonts w:ascii="Gill Sans" w:hAnsi="Gill Sans" w:cs="Gill Sans"/>
          <w:color w:val="auto"/>
          <w:sz w:val="18"/>
          <w:szCs w:val="18"/>
        </w:rPr>
        <w:t>Policy capability,</w:t>
      </w:r>
      <w:r>
        <w:rPr>
          <w:rFonts w:ascii="Gill Sans" w:hAnsi="Gill Sans" w:cs="Gill Sans"/>
          <w:color w:val="auto"/>
          <w:sz w:val="18"/>
          <w:szCs w:val="18"/>
        </w:rPr>
        <w:t>’</w:t>
      </w:r>
      <w:r w:rsidRPr="002C6928">
        <w:rPr>
          <w:rFonts w:ascii="Gill Sans" w:hAnsi="Gill Sans" w:cs="Gill Sans"/>
          <w:color w:val="auto"/>
          <w:sz w:val="18"/>
          <w:szCs w:val="18"/>
        </w:rPr>
        <w:t xml:space="preserve"> Department of the Prime Minister and Cabinet, accessed 17 January 2018, https://www.dpmc.govt.nz/our-programmes/policy-project/policy-improvement-frameworks/policy-capability.</w:t>
      </w:r>
      <w:r w:rsidRPr="002C6928" w:rsidDel="00DE30AD">
        <w:rPr>
          <w:rStyle w:val="EndnoteReference"/>
          <w:rFonts w:ascii="Gill Sans" w:hAnsi="Gill Sans" w:cs="Gill Sans"/>
          <w:color w:val="auto"/>
          <w:sz w:val="18"/>
          <w:szCs w:val="18"/>
          <w:vertAlign w:val="baseline"/>
        </w:rPr>
        <w:t xml:space="preserve"> </w:t>
      </w:r>
    </w:p>
  </w:endnote>
  <w:endnote w:id="164">
    <w:p w14:paraId="3F293345" w14:textId="57FB32FE" w:rsidR="001A2E4A" w:rsidRPr="002C6928" w:rsidRDefault="001A2E4A">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2C6928">
        <w:rPr>
          <w:rFonts w:ascii="Gill Sans" w:hAnsi="Gill Sans" w:cs="Gill Sans"/>
          <w:color w:val="auto"/>
          <w:sz w:val="18"/>
          <w:szCs w:val="18"/>
        </w:rPr>
        <w:t>CabGuide,</w:t>
      </w:r>
      <w:r>
        <w:rPr>
          <w:rFonts w:ascii="Gill Sans" w:hAnsi="Gill Sans" w:cs="Gill Sans"/>
          <w:color w:val="auto"/>
          <w:sz w:val="18"/>
          <w:szCs w:val="18"/>
        </w:rPr>
        <w:t>’</w:t>
      </w:r>
      <w:r w:rsidRPr="002C6928">
        <w:rPr>
          <w:rFonts w:ascii="Gill Sans" w:hAnsi="Gill Sans" w:cs="Gill Sans"/>
          <w:color w:val="auto"/>
          <w:sz w:val="18"/>
          <w:szCs w:val="18"/>
        </w:rPr>
        <w:t xml:space="preserve"> Department of the Prime Minister and Cabinet, accessed 17 January 2018, https://www.dpmc.govt.nz/publications/cabguide.</w:t>
      </w:r>
      <w:r w:rsidRPr="002C6928" w:rsidDel="00EE5836">
        <w:rPr>
          <w:rStyle w:val="EndnoteReference"/>
          <w:rFonts w:ascii="Gill Sans" w:hAnsi="Gill Sans" w:cs="Gill Sans"/>
          <w:color w:val="auto"/>
          <w:sz w:val="18"/>
          <w:szCs w:val="18"/>
          <w:vertAlign w:val="baseline"/>
        </w:rPr>
        <w:t xml:space="preserve"> </w:t>
      </w:r>
    </w:p>
  </w:endnote>
  <w:endnote w:id="165">
    <w:p w14:paraId="2AA0BD27" w14:textId="5AE01E74" w:rsidR="001A2E4A" w:rsidRPr="002C6928" w:rsidRDefault="001A2E4A">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sidRPr="002C6928">
        <w:rPr>
          <w:color w:val="auto"/>
        </w:rPr>
        <w:t xml:space="preserve"> </w:t>
      </w:r>
      <w:r>
        <w:rPr>
          <w:rFonts w:ascii="Gill Sans" w:hAnsi="Gill Sans" w:cs="Gill Sans"/>
          <w:color w:val="auto"/>
          <w:sz w:val="18"/>
          <w:szCs w:val="18"/>
        </w:rPr>
        <w:t>‘</w:t>
      </w:r>
      <w:r w:rsidRPr="002C6928">
        <w:rPr>
          <w:rFonts w:ascii="Gill Sans" w:hAnsi="Gill Sans" w:cs="Gill Sans"/>
          <w:color w:val="auto"/>
          <w:sz w:val="18"/>
          <w:szCs w:val="18"/>
        </w:rPr>
        <w:t>CabGuide: Cabinet paper consultation with interest groups,</w:t>
      </w:r>
      <w:r>
        <w:rPr>
          <w:rFonts w:ascii="Gill Sans" w:hAnsi="Gill Sans" w:cs="Gill Sans"/>
          <w:color w:val="auto"/>
          <w:sz w:val="18"/>
          <w:szCs w:val="18"/>
        </w:rPr>
        <w:t>’</w:t>
      </w:r>
      <w:r w:rsidRPr="002C6928">
        <w:rPr>
          <w:rFonts w:ascii="Gill Sans" w:hAnsi="Gill Sans" w:cs="Gill Sans"/>
          <w:color w:val="auto"/>
          <w:sz w:val="18"/>
          <w:szCs w:val="18"/>
        </w:rPr>
        <w:t xml:space="preserve"> </w:t>
      </w:r>
      <w:r w:rsidRPr="000E001F">
        <w:rPr>
          <w:rFonts w:ascii="Gill Sans" w:hAnsi="Gill Sans" w:cs="Gill Sans"/>
          <w:color w:val="auto"/>
          <w:sz w:val="18"/>
          <w:szCs w:val="18"/>
        </w:rPr>
        <w:t>Department</w:t>
      </w:r>
      <w:r w:rsidRPr="002C6928">
        <w:rPr>
          <w:rFonts w:ascii="Gill Sans" w:hAnsi="Gill Sans" w:cs="Gill Sans"/>
          <w:color w:val="auto"/>
          <w:sz w:val="18"/>
          <w:szCs w:val="18"/>
        </w:rPr>
        <w:t xml:space="preserve"> of the Prime Minister and Cabinet, accessed 17 January 2018, https://www.dpmc.govt.nz/publications/cabinet-paper-consultation-interest-groups.</w:t>
      </w:r>
    </w:p>
  </w:endnote>
  <w:endnote w:id="166">
    <w:p w14:paraId="738547E6" w14:textId="69BCD374" w:rsidR="001A2E4A" w:rsidRPr="002C6928" w:rsidRDefault="001A2E4A">
      <w:pPr>
        <w:pStyle w:val="EndnoteText"/>
        <w:rPr>
          <w:rFonts w:ascii="Gill Sans" w:hAnsi="Gill Sans" w:cs="Gill Sans"/>
          <w:color w:val="auto"/>
          <w:sz w:val="18"/>
          <w:szCs w:val="18"/>
          <w:lang w:val="en-NZ"/>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2C6928">
        <w:rPr>
          <w:rFonts w:ascii="Gill Sans" w:hAnsi="Gill Sans" w:cs="Gill Sans"/>
          <w:color w:val="auto"/>
          <w:sz w:val="18"/>
          <w:szCs w:val="18"/>
        </w:rPr>
        <w:t>Commitment 7: Improving policy practices,</w:t>
      </w:r>
      <w:r>
        <w:rPr>
          <w:rFonts w:ascii="Gill Sans" w:hAnsi="Gill Sans" w:cs="Gill Sans"/>
          <w:color w:val="auto"/>
          <w:sz w:val="18"/>
          <w:szCs w:val="18"/>
        </w:rPr>
        <w:t>’</w:t>
      </w:r>
      <w:r w:rsidRPr="002C6928">
        <w:rPr>
          <w:rFonts w:ascii="Gill Sans" w:hAnsi="Gill Sans" w:cs="Gill Sans"/>
          <w:color w:val="auto"/>
          <w:sz w:val="18"/>
          <w:szCs w:val="18"/>
        </w:rPr>
        <w:t xml:space="preserve"> Open Government: New Zealand, May 2017, www.ogp.org.nz/assets/publications/2017-reporting-progress/commitment-7-2017-March-to-May.pdf.</w:t>
      </w:r>
      <w:r w:rsidRPr="002C6928" w:rsidDel="00EE5836">
        <w:rPr>
          <w:rStyle w:val="EndnoteReference"/>
          <w:rFonts w:ascii="Gill Sans" w:hAnsi="Gill Sans" w:cs="Gill Sans"/>
          <w:color w:val="auto"/>
          <w:sz w:val="18"/>
          <w:szCs w:val="18"/>
          <w:vertAlign w:val="baseline"/>
        </w:rPr>
        <w:t xml:space="preserve"> </w:t>
      </w:r>
    </w:p>
  </w:endnote>
  <w:endnote w:id="167">
    <w:p w14:paraId="5B242E60" w14:textId="4B1142BC" w:rsidR="001A2E4A" w:rsidRPr="002C6928" w:rsidRDefault="001A2E4A">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sidRPr="002C6928">
        <w:rPr>
          <w:rFonts w:ascii="Gill Sans" w:hAnsi="Gill Sans" w:cs="Gill Sans"/>
          <w:i/>
          <w:color w:val="auto"/>
          <w:sz w:val="18"/>
          <w:szCs w:val="18"/>
        </w:rPr>
        <w:t>New Zealand End-of-Term Report 2014-2016</w:t>
      </w:r>
      <w:r w:rsidRPr="002C6928">
        <w:rPr>
          <w:rFonts w:ascii="Gill Sans" w:hAnsi="Gill Sans" w:cs="Gill Sans"/>
          <w:color w:val="auto"/>
          <w:sz w:val="18"/>
          <w:szCs w:val="18"/>
        </w:rPr>
        <w:t>, Open Government Partnership, 2017, https://www.opengovpartnership.org/documents/new-zealand-end-of-term-report-2014-2016.</w:t>
      </w:r>
    </w:p>
  </w:endnote>
  <w:endnote w:id="168">
    <w:p w14:paraId="16140167" w14:textId="703A042E" w:rsidR="001A2E4A" w:rsidRPr="002C6928" w:rsidRDefault="001A2E4A">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sidRPr="002C6928">
        <w:rPr>
          <w:rFonts w:ascii="Gill Sans" w:hAnsi="Gill Sans" w:cs="Gill Sans"/>
          <w:color w:val="auto"/>
          <w:sz w:val="18"/>
          <w:szCs w:val="18"/>
        </w:rPr>
        <w:t xml:space="preserve">Suzanne Snively, </w:t>
      </w:r>
      <w:r>
        <w:rPr>
          <w:rFonts w:ascii="Gill Sans" w:hAnsi="Gill Sans" w:cs="Gill Sans"/>
          <w:color w:val="auto"/>
          <w:sz w:val="18"/>
          <w:szCs w:val="18"/>
        </w:rPr>
        <w:t>‘</w:t>
      </w:r>
      <w:r w:rsidRPr="002C6928">
        <w:rPr>
          <w:rFonts w:ascii="Gill Sans" w:hAnsi="Gill Sans" w:cs="Gill Sans"/>
          <w:color w:val="auto"/>
          <w:sz w:val="18"/>
          <w:szCs w:val="18"/>
        </w:rPr>
        <w:t>Public register of beneficial owners saves time and money,</w:t>
      </w:r>
      <w:r>
        <w:rPr>
          <w:rFonts w:ascii="Gill Sans" w:hAnsi="Gill Sans" w:cs="Gill Sans"/>
          <w:color w:val="auto"/>
          <w:sz w:val="18"/>
          <w:szCs w:val="18"/>
        </w:rPr>
        <w:t>’</w:t>
      </w:r>
      <w:r w:rsidRPr="002C6928">
        <w:rPr>
          <w:rFonts w:ascii="Gill Sans" w:hAnsi="Gill Sans" w:cs="Gill Sans"/>
          <w:color w:val="auto"/>
          <w:sz w:val="18"/>
          <w:szCs w:val="18"/>
        </w:rPr>
        <w:t xml:space="preserve"> Transparency International, 5 October 2017, https://www.transparency.org.nz/public-register-of-beneficial-owners-saves-time-and-money/.</w:t>
      </w:r>
    </w:p>
  </w:endnote>
  <w:endnote w:id="169">
    <w:p w14:paraId="18868ECF" w14:textId="7CBF4966" w:rsidR="001A2E4A" w:rsidRPr="002C6928" w:rsidRDefault="001A2E4A" w:rsidP="00501506">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sidRPr="002C6928">
        <w:rPr>
          <w:rFonts w:ascii="Gill Sans" w:hAnsi="Gill Sans" w:cs="Gill Sans"/>
          <w:color w:val="auto"/>
          <w:sz w:val="18"/>
          <w:szCs w:val="18"/>
        </w:rPr>
        <w:t xml:space="preserve">Sally Hett, </w:t>
      </w:r>
      <w:r>
        <w:rPr>
          <w:rFonts w:ascii="Gill Sans" w:hAnsi="Gill Sans" w:cs="Gill Sans"/>
          <w:color w:val="auto"/>
          <w:sz w:val="18"/>
          <w:szCs w:val="18"/>
        </w:rPr>
        <w:t>‘</w:t>
      </w:r>
      <w:r w:rsidRPr="002C6928">
        <w:rPr>
          <w:rFonts w:ascii="Gill Sans" w:hAnsi="Gill Sans" w:cs="Gill Sans"/>
          <w:color w:val="auto"/>
          <w:sz w:val="18"/>
          <w:szCs w:val="18"/>
        </w:rPr>
        <w:t>Civics, Citizenship and Political Literacy workshop report back,</w:t>
      </w:r>
      <w:r>
        <w:rPr>
          <w:rFonts w:ascii="Gill Sans" w:hAnsi="Gill Sans" w:cs="Gill Sans"/>
          <w:color w:val="auto"/>
          <w:sz w:val="18"/>
          <w:szCs w:val="18"/>
        </w:rPr>
        <w:t>’</w:t>
      </w:r>
      <w:r w:rsidRPr="002C6928">
        <w:rPr>
          <w:rFonts w:ascii="Gill Sans" w:hAnsi="Gill Sans" w:cs="Gill Sans"/>
          <w:color w:val="auto"/>
          <w:sz w:val="18"/>
          <w:szCs w:val="18"/>
        </w:rPr>
        <w:t xml:space="preserve"> McGuinness Institute, 25 November 2016, www.mcguinnessinstitute.org/civicsnzproject/civics-citizenship-and-political-literacy-workshop-report-back/.</w:t>
      </w:r>
    </w:p>
  </w:endnote>
  <w:endnote w:id="170">
    <w:p w14:paraId="7D214C20" w14:textId="70D169B1" w:rsidR="001A2E4A" w:rsidRPr="002C6928" w:rsidRDefault="001A2E4A">
      <w:pPr>
        <w:pStyle w:val="EndnoteText"/>
        <w:rPr>
          <w:rFonts w:ascii="Gill Sans" w:hAnsi="Gill Sans" w:cs="Gill Sans"/>
          <w:color w:val="auto"/>
          <w:sz w:val="18"/>
          <w:szCs w:val="18"/>
          <w:lang w:val="en-NZ"/>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Pr>
          <w:rFonts w:ascii="Gill Sans" w:hAnsi="Gill Sans" w:cs="Gill Sans"/>
          <w:color w:val="auto"/>
          <w:sz w:val="18"/>
          <w:szCs w:val="18"/>
        </w:rPr>
        <w:t>‘</w:t>
      </w:r>
      <w:r w:rsidRPr="002C6928">
        <w:rPr>
          <w:rFonts w:ascii="Gill Sans" w:hAnsi="Gill Sans" w:cs="Gill Sans"/>
          <w:color w:val="auto"/>
          <w:sz w:val="18"/>
          <w:szCs w:val="18"/>
        </w:rPr>
        <w:t>Civics, Citizenship &amp; Political Literacy Working Group: About,</w:t>
      </w:r>
      <w:r>
        <w:rPr>
          <w:rFonts w:ascii="Gill Sans" w:hAnsi="Gill Sans" w:cs="Gill Sans"/>
          <w:color w:val="auto"/>
          <w:sz w:val="18"/>
          <w:szCs w:val="18"/>
        </w:rPr>
        <w:t>’</w:t>
      </w:r>
      <w:r w:rsidRPr="002C6928">
        <w:rPr>
          <w:rFonts w:ascii="Gill Sans" w:hAnsi="Gill Sans" w:cs="Gill Sans"/>
          <w:color w:val="auto"/>
          <w:sz w:val="18"/>
          <w:szCs w:val="18"/>
        </w:rPr>
        <w:t xml:space="preserve"> New Zealand Political Studies Association, accessed 17 January 2018, https://nzpsa.co.nz/civics-citizenship-and-political-literacy.</w:t>
      </w:r>
      <w:r w:rsidRPr="002C6928" w:rsidDel="00EE5836">
        <w:rPr>
          <w:rStyle w:val="EndnoteReference"/>
          <w:rFonts w:ascii="Gill Sans" w:hAnsi="Gill Sans" w:cs="Gill Sans"/>
          <w:color w:val="auto"/>
          <w:sz w:val="18"/>
          <w:szCs w:val="18"/>
          <w:vertAlign w:val="baseline"/>
        </w:rPr>
        <w:t xml:space="preserve"> </w:t>
      </w:r>
    </w:p>
  </w:endnote>
  <w:endnote w:id="171">
    <w:p w14:paraId="017258EC" w14:textId="4E7B2C5E" w:rsidR="001A2E4A" w:rsidRPr="002769A9" w:rsidRDefault="001A2E4A" w:rsidP="001C0022">
      <w:pPr>
        <w:pStyle w:val="EndnoteText"/>
        <w:rPr>
          <w:rStyle w:val="EndnoteReference"/>
          <w:rFonts w:ascii="Gill Sans" w:hAnsi="Gill Sans" w:cs="Gill Sans"/>
          <w:color w:val="auto"/>
          <w:sz w:val="18"/>
          <w:szCs w:val="18"/>
          <w:vertAlign w:val="baseline"/>
        </w:rPr>
      </w:pPr>
      <w:r w:rsidRPr="002C6928">
        <w:rPr>
          <w:rStyle w:val="EndnoteReference"/>
          <w:rFonts w:ascii="Gill Sans" w:hAnsi="Gill Sans" w:cs="Gill Sans"/>
          <w:color w:val="auto"/>
          <w:sz w:val="18"/>
          <w:szCs w:val="18"/>
          <w:vertAlign w:val="baseline"/>
        </w:rPr>
        <w:endnoteRef/>
      </w:r>
      <w:r w:rsidRPr="002C6928">
        <w:rPr>
          <w:rStyle w:val="EndnoteReference"/>
          <w:rFonts w:ascii="Gill Sans" w:hAnsi="Gill Sans" w:cs="Gill Sans"/>
          <w:color w:val="auto"/>
          <w:sz w:val="18"/>
          <w:szCs w:val="18"/>
          <w:vertAlign w:val="baseline"/>
        </w:rPr>
        <w:t xml:space="preserve">  </w:t>
      </w:r>
      <w:r w:rsidRPr="002C6928">
        <w:rPr>
          <w:rStyle w:val="EndnoteReference"/>
          <w:rFonts w:ascii="Gill Sans" w:hAnsi="Gill Sans" w:cs="Gill Sans"/>
          <w:color w:val="auto"/>
          <w:sz w:val="18"/>
          <w:szCs w:val="18"/>
          <w:vertAlign w:val="baseline"/>
        </w:rPr>
        <w:t>IRM Procedures Manual, V.3</w:t>
      </w:r>
      <w:r w:rsidRPr="002769A9">
        <w:rPr>
          <w:rFonts w:ascii="Gill Sans" w:hAnsi="Gill Sans" w:cs="Gill Sans"/>
          <w:color w:val="auto"/>
          <w:sz w:val="18"/>
          <w:szCs w:val="18"/>
        </w:rPr>
        <w:t>:</w:t>
      </w:r>
      <w:r w:rsidRPr="002769A9">
        <w:rPr>
          <w:rStyle w:val="EndnoteReference"/>
          <w:rFonts w:ascii="Gill Sans" w:hAnsi="Gill Sans" w:cs="Gill Sans"/>
          <w:color w:val="auto"/>
          <w:sz w:val="18"/>
          <w:szCs w:val="18"/>
          <w:vertAlign w:val="baseline"/>
        </w:rPr>
        <w:t xml:space="preserve"> https://www.opengovpartnership.org/documents/irm-procedures-manual</w:t>
      </w:r>
      <w:r w:rsidRPr="002769A9">
        <w:rPr>
          <w:rFonts w:ascii="Gill Sans" w:hAnsi="Gill Sans" w:cs="Gill Sans"/>
          <w:color w:val="auto"/>
          <w:sz w:val="18"/>
          <w:szCs w:val="18"/>
        </w:rPr>
        <w:t>.</w:t>
      </w:r>
    </w:p>
  </w:endnote>
  <w:endnote w:id="172">
    <w:p w14:paraId="1AC9FB6D" w14:textId="77777777" w:rsidR="001A2E4A" w:rsidRPr="002769A9" w:rsidRDefault="001A2E4A" w:rsidP="0071574D">
      <w:pPr>
        <w:pStyle w:val="EndnoteText"/>
        <w:rPr>
          <w:rStyle w:val="EndnoteReference"/>
          <w:rFonts w:ascii="Gill Sans" w:hAnsi="Gill Sans" w:cs="Gill Sans"/>
          <w:color w:val="auto"/>
          <w:sz w:val="18"/>
          <w:szCs w:val="18"/>
          <w:vertAlign w:val="baseline"/>
        </w:rPr>
      </w:pPr>
      <w:r w:rsidRPr="002769A9">
        <w:rPr>
          <w:rStyle w:val="EndnoteReference"/>
          <w:rFonts w:ascii="Gill Sans" w:hAnsi="Gill Sans" w:cs="Gill Sans"/>
          <w:color w:val="auto"/>
          <w:sz w:val="18"/>
          <w:szCs w:val="18"/>
          <w:vertAlign w:val="baseline"/>
        </w:rPr>
        <w:endnoteRef/>
      </w:r>
      <w:r w:rsidRPr="002769A9">
        <w:rPr>
          <w:rStyle w:val="EndnoteReference"/>
          <w:rFonts w:ascii="Gill Sans" w:hAnsi="Gill Sans" w:cs="Gill Sans"/>
          <w:color w:val="auto"/>
          <w:sz w:val="18"/>
          <w:szCs w:val="18"/>
          <w:vertAlign w:val="baseline"/>
        </w:rPr>
        <w:t xml:space="preserve"> </w:t>
      </w:r>
      <w:r w:rsidRPr="002769A9">
        <w:rPr>
          <w:rStyle w:val="EndnoteReference"/>
          <w:rFonts w:ascii="Gill Sans" w:hAnsi="Gill Sans" w:cs="Gill Sans"/>
          <w:color w:val="auto"/>
          <w:sz w:val="18"/>
          <w:szCs w:val="18"/>
          <w:vertAlign w:val="baseline"/>
        </w:rPr>
        <w:t xml:space="preserve">For more information, see http://www.opengovpartnership.org/how-it-works/eligibility-criteria. </w:t>
      </w:r>
    </w:p>
  </w:endnote>
  <w:endnote w:id="173">
    <w:p w14:paraId="51BF4616" w14:textId="77777777" w:rsidR="001A2E4A" w:rsidRPr="002769A9" w:rsidRDefault="001A2E4A" w:rsidP="0071574D">
      <w:pPr>
        <w:pStyle w:val="EndnoteText"/>
        <w:rPr>
          <w:rStyle w:val="EndnoteReference"/>
          <w:rFonts w:ascii="Gill Sans" w:hAnsi="Gill Sans" w:cs="Gill Sans"/>
          <w:color w:val="auto"/>
          <w:sz w:val="18"/>
          <w:szCs w:val="18"/>
          <w:vertAlign w:val="baseline"/>
        </w:rPr>
      </w:pPr>
      <w:r w:rsidRPr="002769A9">
        <w:rPr>
          <w:rStyle w:val="EndnoteReference"/>
          <w:rFonts w:ascii="Gill Sans" w:hAnsi="Gill Sans" w:cs="Gill Sans"/>
          <w:color w:val="auto"/>
          <w:sz w:val="18"/>
          <w:szCs w:val="18"/>
          <w:vertAlign w:val="baseline"/>
        </w:rPr>
        <w:endnoteRef/>
      </w:r>
      <w:r w:rsidRPr="002769A9">
        <w:rPr>
          <w:rStyle w:val="EndnoteReference"/>
          <w:rFonts w:ascii="Gill Sans" w:hAnsi="Gill Sans" w:cs="Gill Sans"/>
          <w:color w:val="auto"/>
          <w:sz w:val="18"/>
          <w:szCs w:val="18"/>
          <w:vertAlign w:val="baseline"/>
        </w:rPr>
        <w:t xml:space="preserve"> </w:t>
      </w:r>
      <w:r w:rsidRPr="002769A9">
        <w:rPr>
          <w:rStyle w:val="EndnoteReference"/>
          <w:rFonts w:ascii="Gill Sans" w:hAnsi="Gill Sans" w:cs="Gill Sans"/>
          <w:color w:val="auto"/>
          <w:sz w:val="18"/>
          <w:szCs w:val="18"/>
          <w:vertAlign w:val="baseline"/>
        </w:rPr>
        <w:t>For more information, see Table 1 in http://internationalbudget.org/what-we-do/open-budget-survey/. For up-to-date assessments, see http://www.obstracker.org/.</w:t>
      </w:r>
    </w:p>
  </w:endnote>
  <w:endnote w:id="174">
    <w:p w14:paraId="31F095E5" w14:textId="4746DC7C" w:rsidR="001A2E4A" w:rsidRPr="002769A9" w:rsidRDefault="001A2E4A" w:rsidP="0071574D">
      <w:pPr>
        <w:pStyle w:val="EndnoteText"/>
        <w:rPr>
          <w:rStyle w:val="EndnoteReference"/>
          <w:rFonts w:ascii="Gill Sans" w:hAnsi="Gill Sans" w:cs="Gill Sans"/>
          <w:color w:val="auto"/>
          <w:sz w:val="18"/>
          <w:szCs w:val="18"/>
          <w:vertAlign w:val="baseline"/>
        </w:rPr>
      </w:pPr>
      <w:r w:rsidRPr="002769A9">
        <w:rPr>
          <w:rStyle w:val="EndnoteReference"/>
          <w:rFonts w:ascii="Gill Sans" w:hAnsi="Gill Sans" w:cs="Gill Sans"/>
          <w:color w:val="auto"/>
          <w:sz w:val="18"/>
          <w:szCs w:val="18"/>
          <w:vertAlign w:val="baseline"/>
        </w:rPr>
        <w:endnoteRef/>
      </w:r>
      <w:r w:rsidRPr="002769A9">
        <w:rPr>
          <w:rStyle w:val="EndnoteReference"/>
          <w:rFonts w:ascii="Gill Sans" w:hAnsi="Gill Sans" w:cs="Gill Sans"/>
          <w:color w:val="auto"/>
          <w:sz w:val="18"/>
          <w:szCs w:val="18"/>
          <w:vertAlign w:val="baseline"/>
        </w:rPr>
        <w:t xml:space="preserve"> </w:t>
      </w:r>
      <w:r w:rsidRPr="002769A9">
        <w:rPr>
          <w:rStyle w:val="EndnoteReference"/>
          <w:rFonts w:ascii="Gill Sans" w:hAnsi="Gill Sans" w:cs="Gill Sans"/>
          <w:color w:val="auto"/>
          <w:sz w:val="18"/>
          <w:szCs w:val="18"/>
          <w:vertAlign w:val="baseline"/>
        </w:rPr>
        <w:t xml:space="preserve">The two databases used are </w:t>
      </w:r>
      <w:r>
        <w:rPr>
          <w:rFonts w:ascii="Gill Sans" w:hAnsi="Gill Sans" w:cs="Gill Sans"/>
          <w:color w:val="auto"/>
          <w:sz w:val="18"/>
          <w:szCs w:val="18"/>
        </w:rPr>
        <w:t>‘</w:t>
      </w:r>
      <w:r w:rsidRPr="002769A9">
        <w:rPr>
          <w:rStyle w:val="EndnoteReference"/>
          <w:rFonts w:ascii="Gill Sans" w:hAnsi="Gill Sans" w:cs="Gill Sans"/>
          <w:color w:val="auto"/>
          <w:sz w:val="18"/>
          <w:szCs w:val="18"/>
          <w:vertAlign w:val="baseline"/>
        </w:rPr>
        <w:t>Constitutional Provisions</w:t>
      </w:r>
      <w:r>
        <w:rPr>
          <w:rFonts w:ascii="Gill Sans" w:hAnsi="Gill Sans" w:cs="Gill Sans"/>
          <w:color w:val="auto"/>
          <w:sz w:val="18"/>
          <w:szCs w:val="18"/>
        </w:rPr>
        <w:t>’</w:t>
      </w:r>
      <w:r w:rsidRPr="002769A9">
        <w:rPr>
          <w:rStyle w:val="EndnoteReference"/>
          <w:rFonts w:ascii="Gill Sans" w:hAnsi="Gill Sans" w:cs="Gill Sans"/>
          <w:color w:val="auto"/>
          <w:sz w:val="18"/>
          <w:szCs w:val="18"/>
          <w:vertAlign w:val="baseline"/>
        </w:rPr>
        <w:t xml:space="preserve"> at http://www.right2info.org/constitutional-protections and </w:t>
      </w:r>
      <w:r>
        <w:rPr>
          <w:rFonts w:ascii="Gill Sans" w:hAnsi="Gill Sans" w:cs="Gill Sans"/>
          <w:color w:val="auto"/>
          <w:sz w:val="18"/>
          <w:szCs w:val="18"/>
        </w:rPr>
        <w:t>‘</w:t>
      </w:r>
      <w:r w:rsidRPr="002769A9">
        <w:rPr>
          <w:rStyle w:val="EndnoteReference"/>
          <w:rFonts w:ascii="Gill Sans" w:hAnsi="Gill Sans" w:cs="Gill Sans"/>
          <w:color w:val="auto"/>
          <w:sz w:val="18"/>
          <w:szCs w:val="18"/>
          <w:vertAlign w:val="baseline"/>
        </w:rPr>
        <w:t>Laws and draft laws</w:t>
      </w:r>
      <w:r>
        <w:rPr>
          <w:rFonts w:ascii="Gill Sans" w:hAnsi="Gill Sans" w:cs="Gill Sans"/>
          <w:color w:val="auto"/>
          <w:sz w:val="18"/>
          <w:szCs w:val="18"/>
        </w:rPr>
        <w:t>’</w:t>
      </w:r>
      <w:r w:rsidRPr="002769A9">
        <w:rPr>
          <w:rStyle w:val="EndnoteReference"/>
          <w:rFonts w:ascii="Gill Sans" w:hAnsi="Gill Sans" w:cs="Gill Sans"/>
          <w:color w:val="auto"/>
          <w:sz w:val="18"/>
          <w:szCs w:val="18"/>
          <w:vertAlign w:val="baseline"/>
        </w:rPr>
        <w:t xml:space="preserve"> at http://www.right2info.org/access-to-information-laws.</w:t>
      </w:r>
    </w:p>
  </w:endnote>
  <w:endnote w:id="175">
    <w:p w14:paraId="75B33087" w14:textId="4B31912A" w:rsidR="001A2E4A" w:rsidRPr="002769A9" w:rsidRDefault="001A2E4A" w:rsidP="0071574D">
      <w:pPr>
        <w:pStyle w:val="EndnoteText"/>
        <w:rPr>
          <w:rStyle w:val="EndnoteReference"/>
          <w:rFonts w:ascii="Gill Sans" w:hAnsi="Gill Sans" w:cs="Gill Sans"/>
          <w:color w:val="auto"/>
          <w:sz w:val="18"/>
          <w:szCs w:val="18"/>
          <w:vertAlign w:val="baseline"/>
        </w:rPr>
      </w:pPr>
      <w:r w:rsidRPr="002769A9">
        <w:rPr>
          <w:rStyle w:val="EndnoteReference"/>
          <w:rFonts w:ascii="Gill Sans" w:hAnsi="Gill Sans" w:cs="Gill Sans"/>
          <w:color w:val="auto"/>
          <w:sz w:val="18"/>
          <w:szCs w:val="18"/>
          <w:vertAlign w:val="baseline"/>
        </w:rPr>
        <w:endnoteRef/>
      </w:r>
      <w:r w:rsidRPr="002769A9">
        <w:rPr>
          <w:rStyle w:val="EndnoteReference"/>
          <w:rFonts w:ascii="Gill Sans" w:hAnsi="Gill Sans" w:cs="Gill Sans"/>
          <w:color w:val="auto"/>
          <w:sz w:val="18"/>
          <w:szCs w:val="18"/>
          <w:vertAlign w:val="baseline"/>
        </w:rPr>
        <w:t xml:space="preserve"> </w:t>
      </w:r>
      <w:r w:rsidRPr="002769A9">
        <w:rPr>
          <w:rStyle w:val="EndnoteReference"/>
          <w:rFonts w:ascii="Gill Sans" w:hAnsi="Gill Sans" w:cs="Gill Sans"/>
          <w:color w:val="auto"/>
          <w:sz w:val="18"/>
          <w:szCs w:val="18"/>
          <w:vertAlign w:val="baseline"/>
        </w:rPr>
        <w:t xml:space="preserve">Simeon Djankov, Rafael La Porta, Florencio Lopez-de-Silanes, and Andrei Shleifer, </w:t>
      </w:r>
      <w:r>
        <w:rPr>
          <w:rStyle w:val="EndnoteReference"/>
          <w:rFonts w:ascii="Gill Sans" w:hAnsi="Gill Sans" w:cs="Gill Sans"/>
          <w:color w:val="auto"/>
          <w:sz w:val="18"/>
          <w:szCs w:val="18"/>
          <w:vertAlign w:val="baseline"/>
        </w:rPr>
        <w:t>‘</w:t>
      </w:r>
      <w:r w:rsidRPr="002769A9">
        <w:rPr>
          <w:rStyle w:val="EndnoteReference"/>
          <w:rFonts w:ascii="Gill Sans" w:hAnsi="Gill Sans" w:cs="Gill Sans"/>
          <w:color w:val="auto"/>
          <w:sz w:val="18"/>
          <w:szCs w:val="18"/>
          <w:vertAlign w:val="baseline"/>
        </w:rPr>
        <w:t>Disclosure by Politicians,</w:t>
      </w:r>
      <w:r>
        <w:rPr>
          <w:rStyle w:val="EndnoteReference"/>
          <w:rFonts w:ascii="Gill Sans" w:hAnsi="Gill Sans" w:cs="Gill Sans"/>
          <w:color w:val="auto"/>
          <w:sz w:val="18"/>
          <w:szCs w:val="18"/>
          <w:vertAlign w:val="baseline"/>
        </w:rPr>
        <w:t>’</w:t>
      </w:r>
      <w:r w:rsidRPr="002769A9">
        <w:rPr>
          <w:rStyle w:val="EndnoteReference"/>
          <w:rFonts w:ascii="Gill Sans" w:hAnsi="Gill Sans" w:cs="Gill Sans"/>
          <w:color w:val="auto"/>
          <w:sz w:val="18"/>
          <w:szCs w:val="18"/>
          <w:vertAlign w:val="baseline"/>
        </w:rPr>
        <w:t xml:space="preserve"> Tuck School of Business Working Paper 2009-60, 2009, http://bit.ly/19nDEfK; </w:t>
      </w:r>
      <w:r>
        <w:rPr>
          <w:rStyle w:val="EndnoteReference"/>
          <w:rFonts w:ascii="Gill Sans" w:hAnsi="Gill Sans" w:cs="Gill Sans"/>
          <w:color w:val="auto"/>
          <w:sz w:val="18"/>
          <w:szCs w:val="18"/>
          <w:vertAlign w:val="baseline"/>
        </w:rPr>
        <w:t>‘’</w:t>
      </w:r>
      <w:r w:rsidRPr="002769A9">
        <w:rPr>
          <w:rStyle w:val="EndnoteReference"/>
          <w:rFonts w:ascii="Gill Sans" w:hAnsi="Gill Sans" w:cs="Gill Sans"/>
          <w:i/>
          <w:color w:val="auto"/>
          <w:sz w:val="18"/>
          <w:szCs w:val="18"/>
          <w:vertAlign w:val="baseline"/>
        </w:rPr>
        <w:t>Government at a Glance 2009</w:t>
      </w:r>
      <w:r w:rsidRPr="002769A9">
        <w:rPr>
          <w:rStyle w:val="EndnoteReference"/>
          <w:rFonts w:ascii="Gill Sans" w:hAnsi="Gill Sans" w:cs="Gill Sans"/>
          <w:color w:val="auto"/>
          <w:sz w:val="18"/>
          <w:szCs w:val="18"/>
          <w:vertAlign w:val="baseline"/>
        </w:rPr>
        <w:t>, Organization for Economic Cooperation and Development,</w:t>
      </w:r>
      <w:r w:rsidRPr="002769A9" w:rsidDel="005F0BE4">
        <w:rPr>
          <w:rStyle w:val="EndnoteReference"/>
          <w:rFonts w:ascii="Gill Sans" w:hAnsi="Gill Sans" w:cs="Gill Sans"/>
          <w:color w:val="auto"/>
          <w:sz w:val="18"/>
          <w:szCs w:val="18"/>
          <w:vertAlign w:val="baseline"/>
        </w:rPr>
        <w:t xml:space="preserve"> </w:t>
      </w:r>
      <w:r w:rsidRPr="002769A9">
        <w:rPr>
          <w:rStyle w:val="EndnoteReference"/>
          <w:rFonts w:ascii="Gill Sans" w:hAnsi="Gill Sans" w:cs="Gill Sans"/>
          <w:color w:val="auto"/>
          <w:sz w:val="18"/>
          <w:szCs w:val="18"/>
          <w:vertAlign w:val="baseline"/>
        </w:rPr>
        <w:t xml:space="preserve">2009, </w:t>
      </w:r>
      <w:hyperlink r:id="rId12" w:history="1">
        <w:r w:rsidRPr="002769A9">
          <w:rPr>
            <w:rStyle w:val="Hyperlink"/>
            <w:rFonts w:ascii="Gill Sans" w:hAnsi="Gill Sans" w:cs="Gill Sans"/>
            <w:color w:val="auto"/>
            <w:sz w:val="18"/>
            <w:szCs w:val="18"/>
            <w:u w:val="none"/>
          </w:rPr>
          <w:t>http://bit.ly/13vGtqS</w:t>
        </w:r>
      </w:hyperlink>
      <w:r w:rsidRPr="002769A9">
        <w:rPr>
          <w:rFonts w:ascii="Gill Sans" w:hAnsi="Gill Sans" w:cs="Gill Sans"/>
          <w:color w:val="auto"/>
          <w:sz w:val="18"/>
          <w:szCs w:val="18"/>
        </w:rPr>
        <w:t>, 132</w:t>
      </w:r>
      <w:r w:rsidRPr="002769A9">
        <w:rPr>
          <w:rStyle w:val="EndnoteReference"/>
          <w:rFonts w:ascii="Gill Sans" w:hAnsi="Gill Sans" w:cs="Gill Sans"/>
          <w:color w:val="auto"/>
          <w:sz w:val="18"/>
          <w:szCs w:val="18"/>
          <w:vertAlign w:val="baseline"/>
        </w:rPr>
        <w:t xml:space="preserve">; Ricard Messick, </w:t>
      </w:r>
      <w:r>
        <w:rPr>
          <w:rStyle w:val="EndnoteReference"/>
          <w:rFonts w:ascii="Gill Sans" w:hAnsi="Gill Sans" w:cs="Gill Sans"/>
          <w:color w:val="auto"/>
          <w:sz w:val="18"/>
          <w:szCs w:val="18"/>
          <w:vertAlign w:val="baseline"/>
        </w:rPr>
        <w:t>‘</w:t>
      </w:r>
      <w:r w:rsidRPr="002769A9">
        <w:rPr>
          <w:rStyle w:val="EndnoteReference"/>
          <w:rFonts w:ascii="Gill Sans" w:hAnsi="Gill Sans" w:cs="Gill Sans"/>
          <w:color w:val="auto"/>
          <w:sz w:val="18"/>
          <w:szCs w:val="18"/>
          <w:vertAlign w:val="baseline"/>
        </w:rPr>
        <w:t>Income and Asset Disclosure by World Bank Client Countries</w:t>
      </w:r>
      <w:r>
        <w:rPr>
          <w:rStyle w:val="EndnoteReference"/>
          <w:rFonts w:ascii="Gill Sans" w:hAnsi="Gill Sans" w:cs="Gill Sans"/>
          <w:color w:val="auto"/>
          <w:sz w:val="18"/>
          <w:szCs w:val="18"/>
          <w:vertAlign w:val="baseline"/>
        </w:rPr>
        <w:t>’</w:t>
      </w:r>
      <w:r w:rsidRPr="002769A9">
        <w:rPr>
          <w:rStyle w:val="EndnoteReference"/>
          <w:rFonts w:ascii="Gill Sans" w:hAnsi="Gill Sans" w:cs="Gill Sans"/>
          <w:color w:val="auto"/>
          <w:sz w:val="18"/>
          <w:szCs w:val="18"/>
          <w:vertAlign w:val="baseline"/>
        </w:rPr>
        <w:t xml:space="preserve"> World Bank, 2009, http://bit.ly/1cIokyf. For more recent information, see http://publicofficialsfinancialdisclosure.worldbank.org. In 2014, the OGP Steering Committee approved a change in the asset disclosure measurement. The existence of a law and de facto public access to the disclosed information replaced the old measures of disclosure by politicians and disclosure of high-level officials. For additional information, see the guidance note on 2014 OGP Eligibility Requirements at http://bit.ly/1EjLJ4Y.  </w:t>
      </w:r>
    </w:p>
  </w:endnote>
  <w:endnote w:id="176">
    <w:p w14:paraId="7659B00A" w14:textId="1B3B4695" w:rsidR="001A2E4A" w:rsidRPr="002769A9" w:rsidRDefault="001A2E4A" w:rsidP="0071574D">
      <w:pPr>
        <w:pStyle w:val="EndnoteText"/>
        <w:rPr>
          <w:rStyle w:val="EndnoteReference"/>
          <w:rFonts w:ascii="Gill Sans" w:hAnsi="Gill Sans" w:cs="Gill Sans"/>
          <w:color w:val="auto"/>
          <w:sz w:val="18"/>
          <w:szCs w:val="18"/>
          <w:vertAlign w:val="baseline"/>
        </w:rPr>
      </w:pPr>
      <w:r w:rsidRPr="002769A9">
        <w:rPr>
          <w:rStyle w:val="EndnoteReference"/>
          <w:rFonts w:ascii="Gill Sans" w:hAnsi="Gill Sans" w:cs="Gill Sans"/>
          <w:color w:val="auto"/>
          <w:sz w:val="18"/>
          <w:szCs w:val="18"/>
          <w:vertAlign w:val="baseline"/>
        </w:rPr>
        <w:endnoteRef/>
      </w:r>
      <w:r>
        <w:rPr>
          <w:rStyle w:val="EndnoteReference"/>
          <w:rFonts w:ascii="Gill Sans" w:hAnsi="Gill Sans" w:cs="Gill Sans"/>
          <w:color w:val="auto"/>
          <w:sz w:val="18"/>
          <w:szCs w:val="18"/>
          <w:vertAlign w:val="baseline"/>
        </w:rPr>
        <w:t>‘</w:t>
      </w:r>
      <w:r w:rsidRPr="002769A9">
        <w:rPr>
          <w:rFonts w:ascii="Gill Sans" w:hAnsi="Gill Sans" w:cs="Gill Sans"/>
          <w:color w:val="auto"/>
          <w:sz w:val="18"/>
          <w:szCs w:val="18"/>
        </w:rPr>
        <w:t xml:space="preserve"> </w:t>
      </w:r>
      <w:r w:rsidRPr="002769A9">
        <w:rPr>
          <w:rStyle w:val="EndnoteReference"/>
          <w:rFonts w:ascii="Gill Sans" w:hAnsi="Gill Sans" w:cs="Gill Sans"/>
          <w:i/>
          <w:color w:val="auto"/>
          <w:sz w:val="18"/>
          <w:szCs w:val="18"/>
          <w:vertAlign w:val="baseline"/>
        </w:rPr>
        <w:t>Democracy Index 2010: Democracy in Retreat</w:t>
      </w:r>
      <w:r w:rsidRPr="002769A9">
        <w:rPr>
          <w:rStyle w:val="EndnoteReference"/>
          <w:rFonts w:ascii="Gill Sans" w:hAnsi="Gill Sans" w:cs="Gill Sans"/>
          <w:color w:val="auto"/>
          <w:sz w:val="18"/>
          <w:szCs w:val="18"/>
          <w:vertAlign w:val="baseline"/>
        </w:rPr>
        <w:t>,</w:t>
      </w:r>
      <w:r>
        <w:rPr>
          <w:rStyle w:val="EndnoteReference"/>
          <w:rFonts w:ascii="Gill Sans" w:hAnsi="Gill Sans" w:cs="Gill Sans"/>
          <w:color w:val="auto"/>
          <w:sz w:val="18"/>
          <w:szCs w:val="18"/>
          <w:vertAlign w:val="baseline"/>
        </w:rPr>
        <w:t>’</w:t>
      </w:r>
      <w:r w:rsidRPr="002769A9">
        <w:rPr>
          <w:rStyle w:val="EndnoteReference"/>
          <w:rFonts w:ascii="Gill Sans" w:hAnsi="Gill Sans" w:cs="Gill Sans"/>
          <w:color w:val="auto"/>
          <w:sz w:val="18"/>
          <w:szCs w:val="18"/>
          <w:vertAlign w:val="baseline"/>
        </w:rPr>
        <w:t xml:space="preserve"> The Economist Intelligence Unit</w:t>
      </w:r>
      <w:r w:rsidRPr="002769A9">
        <w:rPr>
          <w:rFonts w:ascii="Gill Sans" w:hAnsi="Gill Sans" w:cs="Gill Sans"/>
          <w:color w:val="auto"/>
          <w:sz w:val="18"/>
          <w:szCs w:val="18"/>
        </w:rPr>
        <w:t xml:space="preserve">, </w:t>
      </w:r>
      <w:r w:rsidRPr="002769A9">
        <w:rPr>
          <w:rStyle w:val="EndnoteReference"/>
          <w:rFonts w:ascii="Gill Sans" w:hAnsi="Gill Sans" w:cs="Gill Sans"/>
          <w:color w:val="auto"/>
          <w:sz w:val="18"/>
          <w:szCs w:val="18"/>
          <w:vertAlign w:val="baseline"/>
        </w:rPr>
        <w:t>2010, http://bit.ly/eLC1rE.</w:t>
      </w:r>
    </w:p>
  </w:endnote>
  <w:endnote w:id="177">
    <w:p w14:paraId="69C3595B" w14:textId="0972BDB9" w:rsidR="001A2E4A" w:rsidRPr="002769A9" w:rsidRDefault="001A2E4A" w:rsidP="0071574D">
      <w:pPr>
        <w:pStyle w:val="EndnoteText"/>
        <w:rPr>
          <w:rFonts w:ascii="Gill Sans" w:hAnsi="Gill Sans" w:cs="Gill Sans"/>
          <w:color w:val="auto"/>
          <w:sz w:val="18"/>
          <w:szCs w:val="18"/>
        </w:rPr>
      </w:pPr>
      <w:r w:rsidRPr="002769A9">
        <w:rPr>
          <w:rStyle w:val="EndnoteReference"/>
          <w:rFonts w:ascii="Gill Sans" w:hAnsi="Gill Sans" w:cs="Gill Sans"/>
          <w:color w:val="auto"/>
          <w:sz w:val="18"/>
          <w:szCs w:val="18"/>
          <w:vertAlign w:val="baseline"/>
        </w:rPr>
        <w:endnoteRef/>
      </w:r>
      <w:r w:rsidRPr="002769A9">
        <w:rPr>
          <w:rStyle w:val="EndnoteReference"/>
          <w:rFonts w:ascii="Gill Sans" w:hAnsi="Gill Sans" w:cs="Gill Sans"/>
          <w:color w:val="auto"/>
          <w:sz w:val="18"/>
          <w:szCs w:val="18"/>
          <w:vertAlign w:val="baseline"/>
        </w:rPr>
        <w:t xml:space="preserve"> </w:t>
      </w:r>
      <w:r>
        <w:rPr>
          <w:rStyle w:val="EndnoteReference"/>
          <w:rFonts w:ascii="Gill Sans" w:hAnsi="Gill Sans" w:cs="Gill Sans"/>
          <w:i/>
          <w:color w:val="auto"/>
          <w:sz w:val="18"/>
          <w:szCs w:val="18"/>
          <w:vertAlign w:val="baseline"/>
        </w:rPr>
        <w:t>‘</w:t>
      </w:r>
      <w:r w:rsidRPr="002769A9">
        <w:rPr>
          <w:rStyle w:val="EndnoteReference"/>
          <w:rFonts w:ascii="Gill Sans" w:hAnsi="Gill Sans" w:cs="Gill Sans"/>
          <w:i/>
          <w:color w:val="auto"/>
          <w:sz w:val="18"/>
          <w:szCs w:val="18"/>
          <w:vertAlign w:val="baseline"/>
        </w:rPr>
        <w:t>Democracy Index 2014: Democracy and its Discontents</w:t>
      </w:r>
      <w:r w:rsidRPr="002769A9">
        <w:rPr>
          <w:rStyle w:val="EndnoteReference"/>
          <w:rFonts w:ascii="Gill Sans" w:hAnsi="Gill Sans" w:cs="Gill Sans"/>
          <w:color w:val="auto"/>
          <w:sz w:val="18"/>
          <w:szCs w:val="18"/>
          <w:vertAlign w:val="baseline"/>
        </w:rPr>
        <w:t>,</w:t>
      </w:r>
      <w:r>
        <w:rPr>
          <w:rStyle w:val="EndnoteReference"/>
          <w:rFonts w:ascii="Gill Sans" w:hAnsi="Gill Sans" w:cs="Gill Sans"/>
          <w:color w:val="auto"/>
          <w:sz w:val="18"/>
          <w:szCs w:val="18"/>
          <w:vertAlign w:val="baseline"/>
        </w:rPr>
        <w:t>’</w:t>
      </w:r>
      <w:r w:rsidRPr="002769A9">
        <w:rPr>
          <w:rStyle w:val="EndnoteReference"/>
          <w:rFonts w:ascii="Gill Sans" w:hAnsi="Gill Sans" w:cs="Gill Sans"/>
          <w:color w:val="auto"/>
          <w:sz w:val="18"/>
          <w:szCs w:val="18"/>
          <w:vertAlign w:val="baseline"/>
        </w:rPr>
        <w:t xml:space="preserve"> The Economist Intelligence Unit</w:t>
      </w:r>
      <w:r w:rsidRPr="002769A9">
        <w:rPr>
          <w:rFonts w:ascii="Gill Sans" w:hAnsi="Gill Sans" w:cs="Gill Sans"/>
          <w:color w:val="auto"/>
          <w:sz w:val="18"/>
          <w:szCs w:val="18"/>
        </w:rPr>
        <w:t xml:space="preserve">, </w:t>
      </w:r>
      <w:r w:rsidRPr="002769A9">
        <w:rPr>
          <w:rStyle w:val="EndnoteReference"/>
          <w:rFonts w:ascii="Gill Sans" w:hAnsi="Gill Sans" w:cs="Gill Sans"/>
          <w:color w:val="auto"/>
          <w:sz w:val="18"/>
          <w:szCs w:val="18"/>
          <w:vertAlign w:val="baseline"/>
        </w:rPr>
        <w:t xml:space="preserve">2014, </w:t>
      </w:r>
      <w:hyperlink r:id="rId13" w:history="1">
        <w:r w:rsidRPr="002769A9">
          <w:rPr>
            <w:rStyle w:val="EndnoteReference"/>
            <w:rFonts w:ascii="Gill Sans" w:hAnsi="Gill Sans" w:cs="Gill Sans"/>
            <w:color w:val="auto"/>
            <w:sz w:val="18"/>
            <w:szCs w:val="18"/>
            <w:vertAlign w:val="baseline"/>
          </w:rPr>
          <w:t>http://bit.ly/18kEzCt</w:t>
        </w:r>
      </w:hyperlink>
      <w:r w:rsidRPr="002769A9">
        <w:rPr>
          <w:rStyle w:val="EndnoteReference"/>
          <w:rFonts w:ascii="Gill Sans" w:hAnsi="Gill Sans" w:cs="Gill Sans"/>
          <w:color w:val="auto"/>
          <w:sz w:val="18"/>
          <w:szCs w:val="18"/>
          <w:vertAlign w:val="baseline"/>
        </w:rPr>
        <w:t>.</w:t>
      </w:r>
      <w:r w:rsidRPr="002769A9">
        <w:rPr>
          <w:rFonts w:ascii="Gill Sans" w:hAnsi="Gill Sans" w:cs="Gill Sans"/>
          <w:color w:val="auto"/>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ヒラギノ角ゴ Pro W3">
    <w:charset w:val="4E"/>
    <w:family w:val="auto"/>
    <w:pitch w:val="variable"/>
    <w:sig w:usb0="E00002FF" w:usb1="7AC7FFFF" w:usb2="00000012" w:usb3="00000000" w:csb0="0002000D" w:csb1="00000000"/>
  </w:font>
  <w:font w:name="Adobe Caslon Pro">
    <w:altName w:val="Times New Roman"/>
    <w:panose1 w:val="00000000000000000000"/>
    <w:charset w:val="00"/>
    <w:family w:val="auto"/>
    <w:notTrueType/>
    <w:pitch w:val="variable"/>
    <w:sig w:usb0="00000003" w:usb1="00000000" w:usb2="00000000" w:usb3="00000000" w:csb0="00000001" w:csb1="00000000"/>
  </w:font>
  <w:font w:name="Gill Sans SemiBold">
    <w:panose1 w:val="020B0702020104020203"/>
    <w:charset w:val="00"/>
    <w:family w:val="auto"/>
    <w:pitch w:val="variable"/>
    <w:sig w:usb0="8000026F" w:usb1="5000004A" w:usb2="00000000" w:usb3="00000000" w:csb0="00000005" w:csb1="00000000"/>
  </w:font>
  <w:font w:name="Arial">
    <w:panose1 w:val="020B0604020202020204"/>
    <w:charset w:val="00"/>
    <w:family w:val="auto"/>
    <w:pitch w:val="variable"/>
    <w:sig w:usb0="E0002AFF" w:usb1="C0007843" w:usb2="00000009" w:usb3="00000000" w:csb0="000001FF" w:csb1="00000000"/>
  </w:font>
  <w:font w:name="Zapf Dingbats">
    <w:panose1 w:val="05020102010704020609"/>
    <w:charset w:val="02"/>
    <w:family w:val="auto"/>
    <w:pitch w:val="variable"/>
    <w:sig w:usb0="00000000" w:usb1="10000000" w:usb2="00000000" w:usb3="00000000" w:csb0="80000000" w:csb1="00000000"/>
  </w:font>
  <w:font w:name="MS Mincho">
    <w:altName w:val="ＭＳ 明朝"/>
    <w:charset w:val="80"/>
    <w:family w:val="roman"/>
    <w:pitch w:val="fixed"/>
    <w:sig w:usb0="E00002FF" w:usb1="6AC7FDFB" w:usb2="08000012" w:usb3="00000000" w:csb0="000200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charset w:val="80"/>
    <w:family w:val="swiss"/>
    <w:pitch w:val="fixed"/>
    <w:sig w:usb0="E00002FF" w:usb1="6AC7FDFB" w:usb2="08000012" w:usb3="00000000" w:csb0="0002009F" w:csb1="00000000"/>
  </w:font>
  <w:font w:name="Didot">
    <w:panose1 w:val="02000503000000020003"/>
    <w:charset w:val="00"/>
    <w:family w:val="auto"/>
    <w:pitch w:val="variable"/>
    <w:sig w:usb0="80000067" w:usb1="00000000" w:usb2="00000000" w:usb3="00000000" w:csb0="000001FB" w:csb1="00000000"/>
  </w:font>
  <w:font w:name="GillSans">
    <w:altName w:val="Gill Sans"/>
    <w:charset w:val="00"/>
    <w:family w:val="swiss"/>
    <w:pitch w:val="variable"/>
    <w:sig w:usb0="80000267" w:usb1="00000000" w:usb2="00000000" w:usb3="00000000" w:csb0="000001F7"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065B3" w14:textId="77777777" w:rsidR="001A2E4A" w:rsidRDefault="001A2E4A" w:rsidP="00423B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2A61B0" w14:textId="77777777" w:rsidR="001A2E4A" w:rsidRDefault="001A2E4A" w:rsidP="003C0014">
    <w:pPr>
      <w:pStyle w:val="Footer"/>
      <w:ind w:right="360" w:firstLine="360"/>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CDB01" w14:textId="77777777" w:rsidR="001A2E4A" w:rsidRDefault="001A2E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E3E9A" w14:textId="25148473" w:rsidR="001A2E4A" w:rsidRDefault="001A2E4A" w:rsidP="00423B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1281">
      <w:rPr>
        <w:rStyle w:val="PageNumber"/>
        <w:noProof/>
      </w:rPr>
      <w:t>1</w:t>
    </w:r>
    <w:r>
      <w:rPr>
        <w:rStyle w:val="PageNumber"/>
      </w:rPr>
      <w:fldChar w:fldCharType="end"/>
    </w:r>
  </w:p>
  <w:p w14:paraId="2B847B47" w14:textId="77777777" w:rsidR="001A2E4A" w:rsidRPr="00CC6C4C" w:rsidRDefault="001A2E4A" w:rsidP="00CC6C4C">
    <w:pPr>
      <w:tabs>
        <w:tab w:val="center" w:pos="4320"/>
        <w:tab w:val="right" w:pos="8640"/>
      </w:tabs>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737C2" w14:textId="77777777" w:rsidR="001A2E4A" w:rsidRDefault="001A2E4A">
    <w:pPr>
      <w:pStyle w:val="Footer"/>
    </w:pPr>
    <w:r w:rsidRPr="00E74122">
      <w:t>This report was prepared by [Name of Researcher], a fellow of public policy at Transparency International</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0D5B2" w14:textId="77777777" w:rsidR="001A2E4A" w:rsidRDefault="001A2E4A" w:rsidP="003C001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6F92E4BA" w14:textId="77777777" w:rsidR="001A2E4A" w:rsidRDefault="001A2E4A" w:rsidP="003C0014">
    <w:pPr>
      <w:pStyle w:val="Footer"/>
      <w:ind w:right="360" w:firstLine="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84048" w14:textId="1DD636EB" w:rsidR="001A2E4A" w:rsidRDefault="001A2E4A" w:rsidP="00490A74">
    <w:pPr>
      <w:pStyle w:val="Footer"/>
      <w:framePr w:wrap="around" w:vAnchor="text" w:hAnchor="page" w:x="10081" w:y="99"/>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61281">
      <w:rPr>
        <w:rStyle w:val="PageNumber"/>
        <w:noProof/>
      </w:rPr>
      <w:t>4</w:t>
    </w:r>
    <w:r>
      <w:rPr>
        <w:rStyle w:val="PageNumber"/>
      </w:rPr>
      <w:fldChar w:fldCharType="end"/>
    </w:r>
  </w:p>
  <w:p w14:paraId="2A36D191" w14:textId="77777777" w:rsidR="001A2E4A" w:rsidRDefault="001A2E4A" w:rsidP="003C0014">
    <w:pPr>
      <w:tabs>
        <w:tab w:val="center" w:pos="4320"/>
        <w:tab w:val="right" w:pos="8640"/>
      </w:tabs>
      <w:ind w:right="360" w:firstLine="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811FD" w14:textId="77777777" w:rsidR="001A2E4A" w:rsidRDefault="001A2E4A">
    <w:pPr>
      <w:pStyle w:val="Footer"/>
    </w:pPr>
    <w:r w:rsidRPr="00E74122">
      <w:t xml:space="preserve">This report was prepared </w:t>
    </w:r>
    <w:r w:rsidRPr="00151A89">
      <w:t xml:space="preserve">by </w:t>
    </w:r>
    <w:proofErr w:type="spellStart"/>
    <w:r w:rsidRPr="00151A89">
      <w:t>Keitha</w:t>
    </w:r>
    <w:proofErr w:type="spellEnd"/>
    <w:r w:rsidRPr="00151A89">
      <w:t xml:space="preserve"> Booth, an independent researcher.</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1161C" w14:textId="55E23740" w:rsidR="001A2E4A" w:rsidRDefault="001A2E4A" w:rsidP="00CC6C4C">
    <w:pPr>
      <w:pStyle w:val="Footer"/>
      <w:framePr w:wrap="around" w:vAnchor="text" w:hAnchor="page" w:x="10921" w:y="135"/>
      <w:rPr>
        <w:rStyle w:val="PageNumber"/>
      </w:rPr>
    </w:pPr>
    <w:r>
      <w:rPr>
        <w:rStyle w:val="PageNumber"/>
      </w:rPr>
      <w:fldChar w:fldCharType="begin"/>
    </w:r>
    <w:r>
      <w:rPr>
        <w:rStyle w:val="PageNumber"/>
      </w:rPr>
      <w:instrText xml:space="preserve">PAGE  </w:instrText>
    </w:r>
    <w:r>
      <w:rPr>
        <w:rStyle w:val="PageNumber"/>
      </w:rPr>
      <w:fldChar w:fldCharType="separate"/>
    </w:r>
    <w:r w:rsidR="00361281">
      <w:rPr>
        <w:rStyle w:val="PageNumber"/>
        <w:noProof/>
      </w:rPr>
      <w:t>6</w:t>
    </w:r>
    <w:r>
      <w:rPr>
        <w:rStyle w:val="PageNumber"/>
      </w:rPr>
      <w:fldChar w:fldCharType="end"/>
    </w:r>
  </w:p>
  <w:p w14:paraId="65AA0118" w14:textId="77777777" w:rsidR="001A2E4A" w:rsidRDefault="001A2E4A"/>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C673D" w14:textId="77777777" w:rsidR="001A2E4A" w:rsidRDefault="001A2E4A">
    <w:pPr>
      <w:pStyle w:val="Foote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9934F" w14:textId="4959FDD1" w:rsidR="001A2E4A" w:rsidRDefault="001A2E4A" w:rsidP="00CC6C4C">
    <w:pPr>
      <w:pStyle w:val="Footer"/>
      <w:framePr w:wrap="around" w:vAnchor="text" w:hAnchor="page" w:x="10921" w:y="135"/>
      <w:rPr>
        <w:rStyle w:val="PageNumber"/>
      </w:rPr>
    </w:pPr>
    <w:r>
      <w:rPr>
        <w:rStyle w:val="PageNumber"/>
      </w:rPr>
      <w:fldChar w:fldCharType="begin"/>
    </w:r>
    <w:r>
      <w:rPr>
        <w:rStyle w:val="PageNumber"/>
      </w:rPr>
      <w:instrText xml:space="preserve">PAGE  </w:instrText>
    </w:r>
    <w:r>
      <w:rPr>
        <w:rStyle w:val="PageNumber"/>
      </w:rPr>
      <w:fldChar w:fldCharType="separate"/>
    </w:r>
    <w:r w:rsidR="00361281">
      <w:rPr>
        <w:rStyle w:val="PageNumber"/>
        <w:noProof/>
      </w:rPr>
      <w:t>58</w:t>
    </w:r>
    <w:r>
      <w:rPr>
        <w:rStyle w:val="PageNumber"/>
      </w:rPr>
      <w:fldChar w:fldCharType="end"/>
    </w:r>
  </w:p>
  <w:p w14:paraId="44A533C9" w14:textId="77777777" w:rsidR="001A2E4A" w:rsidRDefault="001A2E4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2D5E0" w14:textId="77777777" w:rsidR="001A2E4A" w:rsidRDefault="001A2E4A" w:rsidP="001748D1">
      <w:r>
        <w:separator/>
      </w:r>
    </w:p>
    <w:p w14:paraId="50B3BC41" w14:textId="77777777" w:rsidR="001A2E4A" w:rsidRDefault="001A2E4A"/>
  </w:footnote>
  <w:footnote w:type="continuationSeparator" w:id="0">
    <w:p w14:paraId="20376459" w14:textId="77777777" w:rsidR="001A2E4A" w:rsidRDefault="001A2E4A" w:rsidP="001748D1">
      <w:r>
        <w:continuationSeparator/>
      </w:r>
    </w:p>
    <w:p w14:paraId="0811757D" w14:textId="77777777" w:rsidR="001A2E4A" w:rsidRDefault="001A2E4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BE3F0" w14:textId="2A909148" w:rsidR="001A2E4A" w:rsidRDefault="001A2E4A">
    <w:pPr>
      <w:pStyle w:val="Header"/>
    </w:pPr>
    <w:r>
      <w:rPr>
        <w:rFonts w:hint="eastAsia"/>
      </w:rPr>
      <w:ptab w:relativeTo="margin" w:alignment="right" w:leader="none"/>
    </w:r>
    <w:r w:rsidR="00361281">
      <w:t xml:space="preserve">VERSION </w:t>
    </w:r>
    <w:r w:rsidR="00361281">
      <w:t>FOR PUBLIC COMMENT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DA3"/>
    <w:multiLevelType w:val="hybridMultilevel"/>
    <w:tmpl w:val="B6045B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11C2D66"/>
    <w:multiLevelType w:val="hybridMultilevel"/>
    <w:tmpl w:val="99AE1B5C"/>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00347"/>
    <w:multiLevelType w:val="hybridMultilevel"/>
    <w:tmpl w:val="D76CE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4A96470"/>
    <w:multiLevelType w:val="hybridMultilevel"/>
    <w:tmpl w:val="EC9471DC"/>
    <w:lvl w:ilvl="0" w:tplc="7B167C0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E6E26"/>
    <w:multiLevelType w:val="hybridMultilevel"/>
    <w:tmpl w:val="F1B082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6D00394"/>
    <w:multiLevelType w:val="hybridMultilevel"/>
    <w:tmpl w:val="C89462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8DB5D62"/>
    <w:multiLevelType w:val="hybridMultilevel"/>
    <w:tmpl w:val="F262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0A132565"/>
    <w:multiLevelType w:val="hybridMultilevel"/>
    <w:tmpl w:val="97729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D0D5200"/>
    <w:multiLevelType w:val="hybridMultilevel"/>
    <w:tmpl w:val="C47A0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071186"/>
    <w:multiLevelType w:val="hybridMultilevel"/>
    <w:tmpl w:val="0E10EF7E"/>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103571B4"/>
    <w:multiLevelType w:val="hybridMultilevel"/>
    <w:tmpl w:val="C9147F3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4232D21"/>
    <w:multiLevelType w:val="hybridMultilevel"/>
    <w:tmpl w:val="46F45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67A7064"/>
    <w:multiLevelType w:val="hybridMultilevel"/>
    <w:tmpl w:val="D4DE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8A37F6"/>
    <w:multiLevelType w:val="hybridMultilevel"/>
    <w:tmpl w:val="3CC01B8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5">
    <w:nsid w:val="17E60BC4"/>
    <w:multiLevelType w:val="hybridMultilevel"/>
    <w:tmpl w:val="417EE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18EF2D4D"/>
    <w:multiLevelType w:val="hybridMultilevel"/>
    <w:tmpl w:val="334EC7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463F88"/>
    <w:multiLevelType w:val="hybridMultilevel"/>
    <w:tmpl w:val="66542D46"/>
    <w:lvl w:ilvl="0" w:tplc="44944D4E">
      <w:start w:val="1"/>
      <w:numFmt w:val="decimal"/>
      <w:pStyle w:val="ColorfulList-Accent1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AB7457"/>
    <w:multiLevelType w:val="hybridMultilevel"/>
    <w:tmpl w:val="D1A2C6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1C6C1D7E"/>
    <w:multiLevelType w:val="hybridMultilevel"/>
    <w:tmpl w:val="47B2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7611B1"/>
    <w:multiLevelType w:val="hybridMultilevel"/>
    <w:tmpl w:val="73A025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1D36584F"/>
    <w:multiLevelType w:val="hybridMultilevel"/>
    <w:tmpl w:val="3E86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AD7C24"/>
    <w:multiLevelType w:val="hybridMultilevel"/>
    <w:tmpl w:val="673A9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06D3216"/>
    <w:multiLevelType w:val="hybridMultilevel"/>
    <w:tmpl w:val="B42C87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9E7579"/>
    <w:multiLevelType w:val="hybridMultilevel"/>
    <w:tmpl w:val="7D8C0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130C59"/>
    <w:multiLevelType w:val="hybridMultilevel"/>
    <w:tmpl w:val="433C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1C65F75"/>
    <w:multiLevelType w:val="multilevel"/>
    <w:tmpl w:val="A59A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4F046B8"/>
    <w:multiLevelType w:val="hybridMultilevel"/>
    <w:tmpl w:val="85CA3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27082A8C"/>
    <w:multiLevelType w:val="hybridMultilevel"/>
    <w:tmpl w:val="0EA2D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BF3CC0"/>
    <w:multiLevelType w:val="hybridMultilevel"/>
    <w:tmpl w:val="96C21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2F1F78AF"/>
    <w:multiLevelType w:val="hybridMultilevel"/>
    <w:tmpl w:val="4A06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1D570C4"/>
    <w:multiLevelType w:val="hybridMultilevel"/>
    <w:tmpl w:val="D6D8D056"/>
    <w:lvl w:ilvl="0" w:tplc="10C8358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7E5090D"/>
    <w:multiLevelType w:val="hybridMultilevel"/>
    <w:tmpl w:val="AC7E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F07AD5"/>
    <w:multiLevelType w:val="hybridMultilevel"/>
    <w:tmpl w:val="24F09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C42BDB"/>
    <w:multiLevelType w:val="hybridMultilevel"/>
    <w:tmpl w:val="3850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865335"/>
    <w:multiLevelType w:val="multilevel"/>
    <w:tmpl w:val="C8249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1CD2906"/>
    <w:multiLevelType w:val="hybridMultilevel"/>
    <w:tmpl w:val="2A16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61A24FD"/>
    <w:multiLevelType w:val="hybridMultilevel"/>
    <w:tmpl w:val="44D2BC6E"/>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095274"/>
    <w:multiLevelType w:val="hybridMultilevel"/>
    <w:tmpl w:val="A6E4E9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495C1CBF"/>
    <w:multiLevelType w:val="hybridMultilevel"/>
    <w:tmpl w:val="FAC6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9E77042"/>
    <w:multiLevelType w:val="hybridMultilevel"/>
    <w:tmpl w:val="EA0E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A6675AE"/>
    <w:multiLevelType w:val="hybridMultilevel"/>
    <w:tmpl w:val="AB5E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D743BA"/>
    <w:multiLevelType w:val="hybridMultilevel"/>
    <w:tmpl w:val="CF12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D991C24"/>
    <w:multiLevelType w:val="hybridMultilevel"/>
    <w:tmpl w:val="A36CF16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nsid w:val="530D599D"/>
    <w:multiLevelType w:val="hybridMultilevel"/>
    <w:tmpl w:val="84CC05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54CE25FB"/>
    <w:multiLevelType w:val="hybridMultilevel"/>
    <w:tmpl w:val="72C6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8770A33"/>
    <w:multiLevelType w:val="hybridMultilevel"/>
    <w:tmpl w:val="4AF63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B342741"/>
    <w:multiLevelType w:val="hybridMultilevel"/>
    <w:tmpl w:val="3E583D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nsid w:val="5C79685A"/>
    <w:multiLevelType w:val="hybridMultilevel"/>
    <w:tmpl w:val="41C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FB904F9"/>
    <w:multiLevelType w:val="hybridMultilevel"/>
    <w:tmpl w:val="D548A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610A758C"/>
    <w:multiLevelType w:val="hybridMultilevel"/>
    <w:tmpl w:val="2C9E3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15A12DE"/>
    <w:multiLevelType w:val="multilevel"/>
    <w:tmpl w:val="29E8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1C43A5C"/>
    <w:multiLevelType w:val="multilevel"/>
    <w:tmpl w:val="212E4E80"/>
    <w:lvl w:ilvl="0">
      <w:start w:val="1"/>
      <w:numFmt w:val="decimal"/>
      <w:lvlText w:val="%1."/>
      <w:lvlJc w:val="left"/>
      <w:pPr>
        <w:tabs>
          <w:tab w:val="num" w:pos="720"/>
        </w:tabs>
        <w:ind w:left="720" w:hanging="720"/>
      </w:pPr>
      <w:rPr>
        <w:color w:val="51A534" w:themeColor="accent2"/>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nsid w:val="73C51495"/>
    <w:multiLevelType w:val="hybridMultilevel"/>
    <w:tmpl w:val="A70E2F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6D77903"/>
    <w:multiLevelType w:val="multilevel"/>
    <w:tmpl w:val="76B8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86915B2"/>
    <w:multiLevelType w:val="hybridMultilevel"/>
    <w:tmpl w:val="21623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nsid w:val="796C760A"/>
    <w:multiLevelType w:val="multilevel"/>
    <w:tmpl w:val="819EE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B287E6A"/>
    <w:multiLevelType w:val="multilevel"/>
    <w:tmpl w:val="F258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C8A161B"/>
    <w:multiLevelType w:val="hybridMultilevel"/>
    <w:tmpl w:val="4C826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4A6113"/>
    <w:multiLevelType w:val="hybridMultilevel"/>
    <w:tmpl w:val="3554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567D43"/>
    <w:multiLevelType w:val="hybridMultilevel"/>
    <w:tmpl w:val="876E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892233"/>
    <w:multiLevelType w:val="hybridMultilevel"/>
    <w:tmpl w:val="47DC3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7"/>
  </w:num>
  <w:num w:numId="2">
    <w:abstractNumId w:val="37"/>
  </w:num>
  <w:num w:numId="3">
    <w:abstractNumId w:val="23"/>
  </w:num>
  <w:num w:numId="4">
    <w:abstractNumId w:val="53"/>
  </w:num>
  <w:num w:numId="5">
    <w:abstractNumId w:val="46"/>
  </w:num>
  <w:num w:numId="6">
    <w:abstractNumId w:val="38"/>
  </w:num>
  <w:num w:numId="7">
    <w:abstractNumId w:val="24"/>
  </w:num>
  <w:num w:numId="8">
    <w:abstractNumId w:val="22"/>
  </w:num>
  <w:num w:numId="9">
    <w:abstractNumId w:val="16"/>
  </w:num>
  <w:num w:numId="10">
    <w:abstractNumId w:val="4"/>
  </w:num>
  <w:num w:numId="11">
    <w:abstractNumId w:val="50"/>
  </w:num>
  <w:num w:numId="12">
    <w:abstractNumId w:val="32"/>
  </w:num>
  <w:num w:numId="13">
    <w:abstractNumId w:val="52"/>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6"/>
  </w:num>
  <w:num w:numId="23">
    <w:abstractNumId w:val="33"/>
  </w:num>
  <w:num w:numId="24">
    <w:abstractNumId w:val="44"/>
  </w:num>
  <w:num w:numId="25">
    <w:abstractNumId w:val="12"/>
  </w:num>
  <w:num w:numId="26">
    <w:abstractNumId w:val="7"/>
  </w:num>
  <w:num w:numId="27">
    <w:abstractNumId w:val="49"/>
  </w:num>
  <w:num w:numId="28">
    <w:abstractNumId w:val="18"/>
  </w:num>
  <w:num w:numId="29">
    <w:abstractNumId w:val="0"/>
  </w:num>
  <w:num w:numId="30">
    <w:abstractNumId w:val="5"/>
  </w:num>
  <w:num w:numId="31">
    <w:abstractNumId w:val="15"/>
  </w:num>
  <w:num w:numId="32">
    <w:abstractNumId w:val="37"/>
  </w:num>
  <w:num w:numId="33">
    <w:abstractNumId w:val="56"/>
  </w:num>
  <w:num w:numId="34">
    <w:abstractNumId w:val="47"/>
  </w:num>
  <w:num w:numId="35">
    <w:abstractNumId w:val="43"/>
  </w:num>
  <w:num w:numId="36">
    <w:abstractNumId w:val="10"/>
  </w:num>
  <w:num w:numId="37">
    <w:abstractNumId w:val="3"/>
  </w:num>
  <w:num w:numId="38">
    <w:abstractNumId w:val="8"/>
  </w:num>
  <w:num w:numId="39">
    <w:abstractNumId w:val="29"/>
  </w:num>
  <w:num w:numId="40">
    <w:abstractNumId w:val="55"/>
  </w:num>
  <w:num w:numId="41">
    <w:abstractNumId w:val="61"/>
  </w:num>
  <w:num w:numId="42">
    <w:abstractNumId w:val="37"/>
  </w:num>
  <w:num w:numId="43">
    <w:abstractNumId w:val="59"/>
  </w:num>
  <w:num w:numId="44">
    <w:abstractNumId w:val="58"/>
  </w:num>
  <w:num w:numId="45">
    <w:abstractNumId w:val="39"/>
  </w:num>
  <w:num w:numId="46">
    <w:abstractNumId w:val="40"/>
  </w:num>
  <w:num w:numId="47">
    <w:abstractNumId w:val="30"/>
  </w:num>
  <w:num w:numId="48">
    <w:abstractNumId w:val="13"/>
  </w:num>
  <w:num w:numId="49">
    <w:abstractNumId w:val="42"/>
  </w:num>
  <w:num w:numId="50">
    <w:abstractNumId w:val="34"/>
  </w:num>
  <w:num w:numId="51">
    <w:abstractNumId w:val="60"/>
  </w:num>
  <w:num w:numId="52">
    <w:abstractNumId w:val="1"/>
  </w:num>
  <w:num w:numId="53">
    <w:abstractNumId w:val="31"/>
  </w:num>
  <w:num w:numId="54">
    <w:abstractNumId w:val="27"/>
  </w:num>
  <w:num w:numId="55">
    <w:abstractNumId w:val="54"/>
  </w:num>
  <w:num w:numId="56">
    <w:abstractNumId w:val="35"/>
  </w:num>
  <w:num w:numId="57">
    <w:abstractNumId w:val="20"/>
  </w:num>
  <w:num w:numId="58">
    <w:abstractNumId w:val="2"/>
  </w:num>
  <w:num w:numId="59">
    <w:abstractNumId w:val="9"/>
  </w:num>
  <w:num w:numId="60">
    <w:abstractNumId w:val="19"/>
  </w:num>
  <w:num w:numId="61">
    <w:abstractNumId w:val="25"/>
  </w:num>
  <w:num w:numId="62">
    <w:abstractNumId w:val="41"/>
  </w:num>
  <w:num w:numId="63">
    <w:abstractNumId w:val="45"/>
  </w:num>
  <w:num w:numId="64">
    <w:abstractNumId w:val="21"/>
  </w:num>
  <w:num w:numId="65">
    <w:abstractNumId w:val="28"/>
  </w:num>
  <w:num w:numId="66">
    <w:abstractNumId w:val="48"/>
  </w:num>
  <w:num w:numId="67">
    <w:abstractNumId w:val="6"/>
  </w:num>
  <w:num w:numId="68">
    <w:abstractNumId w:val="57"/>
  </w:num>
  <w:num w:numId="69">
    <w:abstractNumId w:val="51"/>
  </w:num>
  <w:num w:numId="70">
    <w:abstractNumId w:val="26"/>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itha Booth">
    <w15:presenceInfo w15:providerId="None" w15:userId="Keitha Booth"/>
  </w15:person>
  <w15:person w15:author="Amalia Pleake-Tamm">
    <w15:presenceInfo w15:providerId="None" w15:userId="Amalia Pleake-Ta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numFmt w:val="decimal"/>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F0"/>
    <w:rsid w:val="000005E4"/>
    <w:rsid w:val="000008D7"/>
    <w:rsid w:val="0000093A"/>
    <w:rsid w:val="00001957"/>
    <w:rsid w:val="00002C77"/>
    <w:rsid w:val="000030F3"/>
    <w:rsid w:val="00003DF7"/>
    <w:rsid w:val="000042DA"/>
    <w:rsid w:val="000044A2"/>
    <w:rsid w:val="000048B4"/>
    <w:rsid w:val="00004AEF"/>
    <w:rsid w:val="00004FAA"/>
    <w:rsid w:val="0000562E"/>
    <w:rsid w:val="00005637"/>
    <w:rsid w:val="00005B4A"/>
    <w:rsid w:val="00005BBE"/>
    <w:rsid w:val="0000650B"/>
    <w:rsid w:val="000067EF"/>
    <w:rsid w:val="00006B04"/>
    <w:rsid w:val="000075E6"/>
    <w:rsid w:val="0001200A"/>
    <w:rsid w:val="00012210"/>
    <w:rsid w:val="00012CCC"/>
    <w:rsid w:val="00012D5F"/>
    <w:rsid w:val="000130A7"/>
    <w:rsid w:val="00013D42"/>
    <w:rsid w:val="00014170"/>
    <w:rsid w:val="0001419A"/>
    <w:rsid w:val="00014872"/>
    <w:rsid w:val="00015116"/>
    <w:rsid w:val="000157AF"/>
    <w:rsid w:val="00016295"/>
    <w:rsid w:val="0001650F"/>
    <w:rsid w:val="000169DF"/>
    <w:rsid w:val="00016A85"/>
    <w:rsid w:val="00016C83"/>
    <w:rsid w:val="00017016"/>
    <w:rsid w:val="0001773E"/>
    <w:rsid w:val="00017CA9"/>
    <w:rsid w:val="0002079C"/>
    <w:rsid w:val="00020857"/>
    <w:rsid w:val="0002101B"/>
    <w:rsid w:val="000212B6"/>
    <w:rsid w:val="00021FF8"/>
    <w:rsid w:val="0002306F"/>
    <w:rsid w:val="00023A9F"/>
    <w:rsid w:val="00024AB2"/>
    <w:rsid w:val="0002581F"/>
    <w:rsid w:val="00025E45"/>
    <w:rsid w:val="00025FA4"/>
    <w:rsid w:val="000265CE"/>
    <w:rsid w:val="00026ED8"/>
    <w:rsid w:val="0002756C"/>
    <w:rsid w:val="00027E75"/>
    <w:rsid w:val="00030314"/>
    <w:rsid w:val="00030425"/>
    <w:rsid w:val="00030BD5"/>
    <w:rsid w:val="00032035"/>
    <w:rsid w:val="0003303D"/>
    <w:rsid w:val="00033689"/>
    <w:rsid w:val="00034330"/>
    <w:rsid w:val="000346E6"/>
    <w:rsid w:val="00034E39"/>
    <w:rsid w:val="00034F1F"/>
    <w:rsid w:val="00034F2D"/>
    <w:rsid w:val="000353B3"/>
    <w:rsid w:val="0003676E"/>
    <w:rsid w:val="0003707F"/>
    <w:rsid w:val="00037200"/>
    <w:rsid w:val="00037C67"/>
    <w:rsid w:val="00040EFB"/>
    <w:rsid w:val="000427BB"/>
    <w:rsid w:val="000429E6"/>
    <w:rsid w:val="00045C95"/>
    <w:rsid w:val="00045F71"/>
    <w:rsid w:val="000479A2"/>
    <w:rsid w:val="0005056C"/>
    <w:rsid w:val="00051347"/>
    <w:rsid w:val="000529EA"/>
    <w:rsid w:val="00052E5B"/>
    <w:rsid w:val="00052EBD"/>
    <w:rsid w:val="00053011"/>
    <w:rsid w:val="00053BF9"/>
    <w:rsid w:val="000552F8"/>
    <w:rsid w:val="000568DA"/>
    <w:rsid w:val="000573B4"/>
    <w:rsid w:val="00057427"/>
    <w:rsid w:val="00057E61"/>
    <w:rsid w:val="0006046A"/>
    <w:rsid w:val="0006051F"/>
    <w:rsid w:val="00060B09"/>
    <w:rsid w:val="00060DEE"/>
    <w:rsid w:val="00061411"/>
    <w:rsid w:val="000617D5"/>
    <w:rsid w:val="00062581"/>
    <w:rsid w:val="000631CE"/>
    <w:rsid w:val="00064E80"/>
    <w:rsid w:val="00064FF7"/>
    <w:rsid w:val="00066A72"/>
    <w:rsid w:val="00066CF9"/>
    <w:rsid w:val="000675EA"/>
    <w:rsid w:val="000705E3"/>
    <w:rsid w:val="00070706"/>
    <w:rsid w:val="00070822"/>
    <w:rsid w:val="000712BE"/>
    <w:rsid w:val="00071343"/>
    <w:rsid w:val="0007134E"/>
    <w:rsid w:val="000715B6"/>
    <w:rsid w:val="000721DF"/>
    <w:rsid w:val="00072D37"/>
    <w:rsid w:val="000734A2"/>
    <w:rsid w:val="0007353D"/>
    <w:rsid w:val="00073A20"/>
    <w:rsid w:val="00073C14"/>
    <w:rsid w:val="00074006"/>
    <w:rsid w:val="00074297"/>
    <w:rsid w:val="00074A05"/>
    <w:rsid w:val="0007564B"/>
    <w:rsid w:val="00076103"/>
    <w:rsid w:val="000769BA"/>
    <w:rsid w:val="00076CD9"/>
    <w:rsid w:val="00077099"/>
    <w:rsid w:val="00077DA7"/>
    <w:rsid w:val="00077E43"/>
    <w:rsid w:val="000808DB"/>
    <w:rsid w:val="0008115E"/>
    <w:rsid w:val="00081FDE"/>
    <w:rsid w:val="00082304"/>
    <w:rsid w:val="00082DA0"/>
    <w:rsid w:val="00083125"/>
    <w:rsid w:val="00083C8B"/>
    <w:rsid w:val="000840C0"/>
    <w:rsid w:val="00084802"/>
    <w:rsid w:val="00084805"/>
    <w:rsid w:val="0008596E"/>
    <w:rsid w:val="00085A01"/>
    <w:rsid w:val="00087B84"/>
    <w:rsid w:val="00090429"/>
    <w:rsid w:val="000906B1"/>
    <w:rsid w:val="00091006"/>
    <w:rsid w:val="00091105"/>
    <w:rsid w:val="000918BA"/>
    <w:rsid w:val="00091C69"/>
    <w:rsid w:val="00092B18"/>
    <w:rsid w:val="00092E7A"/>
    <w:rsid w:val="00094124"/>
    <w:rsid w:val="00094A41"/>
    <w:rsid w:val="00095E2B"/>
    <w:rsid w:val="00096AA5"/>
    <w:rsid w:val="00096B9B"/>
    <w:rsid w:val="0009744E"/>
    <w:rsid w:val="00097482"/>
    <w:rsid w:val="00097DD9"/>
    <w:rsid w:val="000A037F"/>
    <w:rsid w:val="000A11E4"/>
    <w:rsid w:val="000A2B17"/>
    <w:rsid w:val="000A33A7"/>
    <w:rsid w:val="000A3CDB"/>
    <w:rsid w:val="000A4092"/>
    <w:rsid w:val="000A534C"/>
    <w:rsid w:val="000A54F0"/>
    <w:rsid w:val="000A61CE"/>
    <w:rsid w:val="000A773C"/>
    <w:rsid w:val="000A7DD9"/>
    <w:rsid w:val="000B0238"/>
    <w:rsid w:val="000B079D"/>
    <w:rsid w:val="000B0807"/>
    <w:rsid w:val="000B0DBE"/>
    <w:rsid w:val="000B0F42"/>
    <w:rsid w:val="000B22BE"/>
    <w:rsid w:val="000B28AA"/>
    <w:rsid w:val="000B3FA7"/>
    <w:rsid w:val="000B4022"/>
    <w:rsid w:val="000B47DE"/>
    <w:rsid w:val="000B53BD"/>
    <w:rsid w:val="000B53E9"/>
    <w:rsid w:val="000B56A4"/>
    <w:rsid w:val="000B581B"/>
    <w:rsid w:val="000B6CB6"/>
    <w:rsid w:val="000B7404"/>
    <w:rsid w:val="000B78A9"/>
    <w:rsid w:val="000B7C85"/>
    <w:rsid w:val="000C083F"/>
    <w:rsid w:val="000C1DF0"/>
    <w:rsid w:val="000C24D1"/>
    <w:rsid w:val="000C27D7"/>
    <w:rsid w:val="000C2C27"/>
    <w:rsid w:val="000C2E05"/>
    <w:rsid w:val="000C3523"/>
    <w:rsid w:val="000C3529"/>
    <w:rsid w:val="000C3778"/>
    <w:rsid w:val="000C3B15"/>
    <w:rsid w:val="000C404D"/>
    <w:rsid w:val="000C530A"/>
    <w:rsid w:val="000C532F"/>
    <w:rsid w:val="000C5343"/>
    <w:rsid w:val="000C5436"/>
    <w:rsid w:val="000C59B7"/>
    <w:rsid w:val="000C5E3E"/>
    <w:rsid w:val="000C6702"/>
    <w:rsid w:val="000C6AEA"/>
    <w:rsid w:val="000C6AEC"/>
    <w:rsid w:val="000C7243"/>
    <w:rsid w:val="000C7287"/>
    <w:rsid w:val="000C78A0"/>
    <w:rsid w:val="000C7AF2"/>
    <w:rsid w:val="000D0662"/>
    <w:rsid w:val="000D0FEC"/>
    <w:rsid w:val="000D155A"/>
    <w:rsid w:val="000D16B0"/>
    <w:rsid w:val="000D1939"/>
    <w:rsid w:val="000D2A43"/>
    <w:rsid w:val="000D2D8B"/>
    <w:rsid w:val="000D2F84"/>
    <w:rsid w:val="000D3453"/>
    <w:rsid w:val="000D4C7B"/>
    <w:rsid w:val="000D504F"/>
    <w:rsid w:val="000D51BE"/>
    <w:rsid w:val="000D6190"/>
    <w:rsid w:val="000D6A05"/>
    <w:rsid w:val="000D71DF"/>
    <w:rsid w:val="000D7796"/>
    <w:rsid w:val="000E001F"/>
    <w:rsid w:val="000E0454"/>
    <w:rsid w:val="000E04D5"/>
    <w:rsid w:val="000E0A63"/>
    <w:rsid w:val="000E1188"/>
    <w:rsid w:val="000E1243"/>
    <w:rsid w:val="000E1975"/>
    <w:rsid w:val="000E3706"/>
    <w:rsid w:val="000E39E0"/>
    <w:rsid w:val="000E4288"/>
    <w:rsid w:val="000E4C90"/>
    <w:rsid w:val="000E6582"/>
    <w:rsid w:val="000E6C24"/>
    <w:rsid w:val="000E748E"/>
    <w:rsid w:val="000F0034"/>
    <w:rsid w:val="000F00E8"/>
    <w:rsid w:val="000F01C2"/>
    <w:rsid w:val="000F0A82"/>
    <w:rsid w:val="000F0FEB"/>
    <w:rsid w:val="000F1101"/>
    <w:rsid w:val="000F16CD"/>
    <w:rsid w:val="000F1C4B"/>
    <w:rsid w:val="000F1D4D"/>
    <w:rsid w:val="000F25BA"/>
    <w:rsid w:val="000F296E"/>
    <w:rsid w:val="000F2BC7"/>
    <w:rsid w:val="000F2C22"/>
    <w:rsid w:val="000F3B03"/>
    <w:rsid w:val="000F3B47"/>
    <w:rsid w:val="000F41A9"/>
    <w:rsid w:val="000F41DE"/>
    <w:rsid w:val="000F4842"/>
    <w:rsid w:val="000F4D7A"/>
    <w:rsid w:val="000F55CB"/>
    <w:rsid w:val="000F59BA"/>
    <w:rsid w:val="000F5DCA"/>
    <w:rsid w:val="000F647A"/>
    <w:rsid w:val="000F7040"/>
    <w:rsid w:val="000F7681"/>
    <w:rsid w:val="001002E8"/>
    <w:rsid w:val="001003F5"/>
    <w:rsid w:val="00100B0C"/>
    <w:rsid w:val="00100C8B"/>
    <w:rsid w:val="00100F11"/>
    <w:rsid w:val="00101CD6"/>
    <w:rsid w:val="00101F83"/>
    <w:rsid w:val="00102F14"/>
    <w:rsid w:val="00104BD5"/>
    <w:rsid w:val="00104C83"/>
    <w:rsid w:val="001050DC"/>
    <w:rsid w:val="00107A15"/>
    <w:rsid w:val="00107A92"/>
    <w:rsid w:val="00107FF3"/>
    <w:rsid w:val="00110806"/>
    <w:rsid w:val="00110F67"/>
    <w:rsid w:val="00111553"/>
    <w:rsid w:val="001115B8"/>
    <w:rsid w:val="001115BC"/>
    <w:rsid w:val="00111637"/>
    <w:rsid w:val="00111A2B"/>
    <w:rsid w:val="00111EDD"/>
    <w:rsid w:val="0011209C"/>
    <w:rsid w:val="00112479"/>
    <w:rsid w:val="001136B0"/>
    <w:rsid w:val="001139AE"/>
    <w:rsid w:val="00113C1A"/>
    <w:rsid w:val="00116219"/>
    <w:rsid w:val="001163DA"/>
    <w:rsid w:val="00117359"/>
    <w:rsid w:val="0011790A"/>
    <w:rsid w:val="00120E48"/>
    <w:rsid w:val="001216B9"/>
    <w:rsid w:val="00121AA7"/>
    <w:rsid w:val="00122194"/>
    <w:rsid w:val="00122D60"/>
    <w:rsid w:val="00123224"/>
    <w:rsid w:val="00123540"/>
    <w:rsid w:val="00123B1A"/>
    <w:rsid w:val="00123F21"/>
    <w:rsid w:val="00123FF7"/>
    <w:rsid w:val="00124989"/>
    <w:rsid w:val="001257E7"/>
    <w:rsid w:val="00125963"/>
    <w:rsid w:val="00125C3E"/>
    <w:rsid w:val="00125DB0"/>
    <w:rsid w:val="001261A2"/>
    <w:rsid w:val="001266E8"/>
    <w:rsid w:val="001274ED"/>
    <w:rsid w:val="001277AF"/>
    <w:rsid w:val="00127CBD"/>
    <w:rsid w:val="0013004E"/>
    <w:rsid w:val="00130C95"/>
    <w:rsid w:val="00131722"/>
    <w:rsid w:val="001324D2"/>
    <w:rsid w:val="001329C1"/>
    <w:rsid w:val="0013392C"/>
    <w:rsid w:val="00134118"/>
    <w:rsid w:val="00134436"/>
    <w:rsid w:val="001345B0"/>
    <w:rsid w:val="001345BF"/>
    <w:rsid w:val="00135130"/>
    <w:rsid w:val="001356D0"/>
    <w:rsid w:val="00135C3E"/>
    <w:rsid w:val="00135CF6"/>
    <w:rsid w:val="001367BE"/>
    <w:rsid w:val="0013684A"/>
    <w:rsid w:val="00136C93"/>
    <w:rsid w:val="001374BB"/>
    <w:rsid w:val="0013757F"/>
    <w:rsid w:val="00137D29"/>
    <w:rsid w:val="0014037A"/>
    <w:rsid w:val="001409E0"/>
    <w:rsid w:val="00140FB3"/>
    <w:rsid w:val="001412D1"/>
    <w:rsid w:val="00141CF2"/>
    <w:rsid w:val="00142152"/>
    <w:rsid w:val="001427DE"/>
    <w:rsid w:val="0014347E"/>
    <w:rsid w:val="0014416E"/>
    <w:rsid w:val="001441F3"/>
    <w:rsid w:val="00144DBE"/>
    <w:rsid w:val="001450C6"/>
    <w:rsid w:val="001453A9"/>
    <w:rsid w:val="00145817"/>
    <w:rsid w:val="00145E18"/>
    <w:rsid w:val="0014704C"/>
    <w:rsid w:val="001474A4"/>
    <w:rsid w:val="00147903"/>
    <w:rsid w:val="00147943"/>
    <w:rsid w:val="0015032F"/>
    <w:rsid w:val="001508C3"/>
    <w:rsid w:val="00151265"/>
    <w:rsid w:val="00151635"/>
    <w:rsid w:val="00151A89"/>
    <w:rsid w:val="0015201A"/>
    <w:rsid w:val="00152515"/>
    <w:rsid w:val="00152FB5"/>
    <w:rsid w:val="00153803"/>
    <w:rsid w:val="00153913"/>
    <w:rsid w:val="00154246"/>
    <w:rsid w:val="001567CC"/>
    <w:rsid w:val="001567F0"/>
    <w:rsid w:val="00156F1F"/>
    <w:rsid w:val="00156F48"/>
    <w:rsid w:val="00157DF7"/>
    <w:rsid w:val="0016004A"/>
    <w:rsid w:val="00160193"/>
    <w:rsid w:val="001601D7"/>
    <w:rsid w:val="001603AE"/>
    <w:rsid w:val="001604AC"/>
    <w:rsid w:val="00160A84"/>
    <w:rsid w:val="00160D51"/>
    <w:rsid w:val="0016175B"/>
    <w:rsid w:val="00161A15"/>
    <w:rsid w:val="00162250"/>
    <w:rsid w:val="001624D3"/>
    <w:rsid w:val="00162567"/>
    <w:rsid w:val="00162E96"/>
    <w:rsid w:val="00163020"/>
    <w:rsid w:val="00165041"/>
    <w:rsid w:val="001654D7"/>
    <w:rsid w:val="00165763"/>
    <w:rsid w:val="00166200"/>
    <w:rsid w:val="00166C91"/>
    <w:rsid w:val="001679E1"/>
    <w:rsid w:val="00167C16"/>
    <w:rsid w:val="00170B69"/>
    <w:rsid w:val="00170EF1"/>
    <w:rsid w:val="00171587"/>
    <w:rsid w:val="00171D48"/>
    <w:rsid w:val="0017231F"/>
    <w:rsid w:val="00173056"/>
    <w:rsid w:val="001731E6"/>
    <w:rsid w:val="001748D1"/>
    <w:rsid w:val="00174B1E"/>
    <w:rsid w:val="00175F11"/>
    <w:rsid w:val="00176C73"/>
    <w:rsid w:val="0017761D"/>
    <w:rsid w:val="00177948"/>
    <w:rsid w:val="001803A8"/>
    <w:rsid w:val="001807BD"/>
    <w:rsid w:val="001808E2"/>
    <w:rsid w:val="00180C84"/>
    <w:rsid w:val="001817FA"/>
    <w:rsid w:val="00182724"/>
    <w:rsid w:val="00182F6D"/>
    <w:rsid w:val="00183261"/>
    <w:rsid w:val="0018372A"/>
    <w:rsid w:val="00183F97"/>
    <w:rsid w:val="00184038"/>
    <w:rsid w:val="00184483"/>
    <w:rsid w:val="00184724"/>
    <w:rsid w:val="00184883"/>
    <w:rsid w:val="0018526F"/>
    <w:rsid w:val="00185293"/>
    <w:rsid w:val="00185738"/>
    <w:rsid w:val="00185BDC"/>
    <w:rsid w:val="00186063"/>
    <w:rsid w:val="00187B58"/>
    <w:rsid w:val="001906CA"/>
    <w:rsid w:val="001908B0"/>
    <w:rsid w:val="00190E61"/>
    <w:rsid w:val="00190EAD"/>
    <w:rsid w:val="0019157D"/>
    <w:rsid w:val="0019195F"/>
    <w:rsid w:val="00192C23"/>
    <w:rsid w:val="001934C8"/>
    <w:rsid w:val="001941F3"/>
    <w:rsid w:val="0019497D"/>
    <w:rsid w:val="0019515D"/>
    <w:rsid w:val="00195AA0"/>
    <w:rsid w:val="00196065"/>
    <w:rsid w:val="0019627E"/>
    <w:rsid w:val="00196762"/>
    <w:rsid w:val="001977BC"/>
    <w:rsid w:val="001A0517"/>
    <w:rsid w:val="001A0AC5"/>
    <w:rsid w:val="001A0C47"/>
    <w:rsid w:val="001A1459"/>
    <w:rsid w:val="001A14DB"/>
    <w:rsid w:val="001A2865"/>
    <w:rsid w:val="001A2E4A"/>
    <w:rsid w:val="001A2F9C"/>
    <w:rsid w:val="001A35B7"/>
    <w:rsid w:val="001A3FA0"/>
    <w:rsid w:val="001A4877"/>
    <w:rsid w:val="001A4DB7"/>
    <w:rsid w:val="001A4DFF"/>
    <w:rsid w:val="001A56F1"/>
    <w:rsid w:val="001A6063"/>
    <w:rsid w:val="001A6D7C"/>
    <w:rsid w:val="001A727E"/>
    <w:rsid w:val="001A75F0"/>
    <w:rsid w:val="001A767A"/>
    <w:rsid w:val="001B0260"/>
    <w:rsid w:val="001B0851"/>
    <w:rsid w:val="001B0E12"/>
    <w:rsid w:val="001B1041"/>
    <w:rsid w:val="001B17D2"/>
    <w:rsid w:val="001B1A8F"/>
    <w:rsid w:val="001B2376"/>
    <w:rsid w:val="001B260E"/>
    <w:rsid w:val="001B2A6F"/>
    <w:rsid w:val="001B36C5"/>
    <w:rsid w:val="001B41D7"/>
    <w:rsid w:val="001B428B"/>
    <w:rsid w:val="001B4A75"/>
    <w:rsid w:val="001B518B"/>
    <w:rsid w:val="001B54E6"/>
    <w:rsid w:val="001B65E4"/>
    <w:rsid w:val="001B6BA6"/>
    <w:rsid w:val="001B73C9"/>
    <w:rsid w:val="001B78E2"/>
    <w:rsid w:val="001C0022"/>
    <w:rsid w:val="001C0114"/>
    <w:rsid w:val="001C066B"/>
    <w:rsid w:val="001C0837"/>
    <w:rsid w:val="001C0D93"/>
    <w:rsid w:val="001C16F0"/>
    <w:rsid w:val="001C17A9"/>
    <w:rsid w:val="001C41CA"/>
    <w:rsid w:val="001C4BE8"/>
    <w:rsid w:val="001C4C5D"/>
    <w:rsid w:val="001C4CE2"/>
    <w:rsid w:val="001C51C6"/>
    <w:rsid w:val="001C574F"/>
    <w:rsid w:val="001C6040"/>
    <w:rsid w:val="001C6D87"/>
    <w:rsid w:val="001C7692"/>
    <w:rsid w:val="001D046F"/>
    <w:rsid w:val="001D1EC4"/>
    <w:rsid w:val="001D3542"/>
    <w:rsid w:val="001D480A"/>
    <w:rsid w:val="001D4D14"/>
    <w:rsid w:val="001D4D2D"/>
    <w:rsid w:val="001D5191"/>
    <w:rsid w:val="001D5E72"/>
    <w:rsid w:val="001D6945"/>
    <w:rsid w:val="001E0376"/>
    <w:rsid w:val="001E0ACF"/>
    <w:rsid w:val="001E0BAE"/>
    <w:rsid w:val="001E0C4A"/>
    <w:rsid w:val="001E1096"/>
    <w:rsid w:val="001E123F"/>
    <w:rsid w:val="001E1734"/>
    <w:rsid w:val="001E17A6"/>
    <w:rsid w:val="001E190F"/>
    <w:rsid w:val="001E19BB"/>
    <w:rsid w:val="001E2224"/>
    <w:rsid w:val="001E268C"/>
    <w:rsid w:val="001E2B04"/>
    <w:rsid w:val="001E37CD"/>
    <w:rsid w:val="001E3D97"/>
    <w:rsid w:val="001E481C"/>
    <w:rsid w:val="001E6154"/>
    <w:rsid w:val="001E7006"/>
    <w:rsid w:val="001E7A7F"/>
    <w:rsid w:val="001E7B9C"/>
    <w:rsid w:val="001E7C7F"/>
    <w:rsid w:val="001F07BD"/>
    <w:rsid w:val="001F0AA4"/>
    <w:rsid w:val="001F2CA9"/>
    <w:rsid w:val="001F3263"/>
    <w:rsid w:val="001F34F7"/>
    <w:rsid w:val="001F3719"/>
    <w:rsid w:val="001F4476"/>
    <w:rsid w:val="001F499A"/>
    <w:rsid w:val="001F4C8C"/>
    <w:rsid w:val="001F5327"/>
    <w:rsid w:val="001F7249"/>
    <w:rsid w:val="001F74DD"/>
    <w:rsid w:val="00200CA9"/>
    <w:rsid w:val="00201001"/>
    <w:rsid w:val="00201494"/>
    <w:rsid w:val="00202340"/>
    <w:rsid w:val="0020253A"/>
    <w:rsid w:val="00204CC4"/>
    <w:rsid w:val="002052EC"/>
    <w:rsid w:val="002055A3"/>
    <w:rsid w:val="002071C7"/>
    <w:rsid w:val="00210C03"/>
    <w:rsid w:val="00210F29"/>
    <w:rsid w:val="00210FF0"/>
    <w:rsid w:val="002122C2"/>
    <w:rsid w:val="0021236B"/>
    <w:rsid w:val="00212421"/>
    <w:rsid w:val="00212544"/>
    <w:rsid w:val="00214636"/>
    <w:rsid w:val="00214D35"/>
    <w:rsid w:val="00216280"/>
    <w:rsid w:val="00216742"/>
    <w:rsid w:val="002178A0"/>
    <w:rsid w:val="002202F2"/>
    <w:rsid w:val="002208CE"/>
    <w:rsid w:val="00220E60"/>
    <w:rsid w:val="00221340"/>
    <w:rsid w:val="002216A2"/>
    <w:rsid w:val="00221AF0"/>
    <w:rsid w:val="00221F3B"/>
    <w:rsid w:val="0022256E"/>
    <w:rsid w:val="002233E0"/>
    <w:rsid w:val="00223784"/>
    <w:rsid w:val="00223B8B"/>
    <w:rsid w:val="00224991"/>
    <w:rsid w:val="00224E65"/>
    <w:rsid w:val="00225821"/>
    <w:rsid w:val="00225A44"/>
    <w:rsid w:val="002271D4"/>
    <w:rsid w:val="0022729A"/>
    <w:rsid w:val="002278C9"/>
    <w:rsid w:val="00230253"/>
    <w:rsid w:val="0023092D"/>
    <w:rsid w:val="00231500"/>
    <w:rsid w:val="00232055"/>
    <w:rsid w:val="00232BF5"/>
    <w:rsid w:val="00232F17"/>
    <w:rsid w:val="002334AF"/>
    <w:rsid w:val="00233683"/>
    <w:rsid w:val="00233743"/>
    <w:rsid w:val="00233A1E"/>
    <w:rsid w:val="00233E47"/>
    <w:rsid w:val="00234F12"/>
    <w:rsid w:val="00235671"/>
    <w:rsid w:val="00235769"/>
    <w:rsid w:val="0023608F"/>
    <w:rsid w:val="00236295"/>
    <w:rsid w:val="0023643A"/>
    <w:rsid w:val="00240717"/>
    <w:rsid w:val="002407AF"/>
    <w:rsid w:val="00240A26"/>
    <w:rsid w:val="00241886"/>
    <w:rsid w:val="00241B8A"/>
    <w:rsid w:val="00242093"/>
    <w:rsid w:val="0024259F"/>
    <w:rsid w:val="00242C19"/>
    <w:rsid w:val="002430CB"/>
    <w:rsid w:val="00243215"/>
    <w:rsid w:val="00243932"/>
    <w:rsid w:val="002441D8"/>
    <w:rsid w:val="002452FA"/>
    <w:rsid w:val="00245681"/>
    <w:rsid w:val="0024569F"/>
    <w:rsid w:val="0024618B"/>
    <w:rsid w:val="00246226"/>
    <w:rsid w:val="00246F39"/>
    <w:rsid w:val="00247CEC"/>
    <w:rsid w:val="00247D04"/>
    <w:rsid w:val="00247FBD"/>
    <w:rsid w:val="002500AF"/>
    <w:rsid w:val="002500F7"/>
    <w:rsid w:val="00250124"/>
    <w:rsid w:val="00250615"/>
    <w:rsid w:val="00250824"/>
    <w:rsid w:val="00251554"/>
    <w:rsid w:val="00251992"/>
    <w:rsid w:val="002524C4"/>
    <w:rsid w:val="0025256D"/>
    <w:rsid w:val="00252AF9"/>
    <w:rsid w:val="00253257"/>
    <w:rsid w:val="00253396"/>
    <w:rsid w:val="002534BC"/>
    <w:rsid w:val="00254EED"/>
    <w:rsid w:val="00255896"/>
    <w:rsid w:val="00255B95"/>
    <w:rsid w:val="00256918"/>
    <w:rsid w:val="00257DF3"/>
    <w:rsid w:val="0026006F"/>
    <w:rsid w:val="002603BF"/>
    <w:rsid w:val="00261C0E"/>
    <w:rsid w:val="00261CE5"/>
    <w:rsid w:val="00262352"/>
    <w:rsid w:val="002625DA"/>
    <w:rsid w:val="00263338"/>
    <w:rsid w:val="00264098"/>
    <w:rsid w:val="00264CB3"/>
    <w:rsid w:val="00264E0E"/>
    <w:rsid w:val="00264E70"/>
    <w:rsid w:val="00264F11"/>
    <w:rsid w:val="002652CF"/>
    <w:rsid w:val="00265771"/>
    <w:rsid w:val="00266811"/>
    <w:rsid w:val="002669D1"/>
    <w:rsid w:val="00266E41"/>
    <w:rsid w:val="00267A7E"/>
    <w:rsid w:val="00267B14"/>
    <w:rsid w:val="00270354"/>
    <w:rsid w:val="00270DE8"/>
    <w:rsid w:val="002710B2"/>
    <w:rsid w:val="00271A5C"/>
    <w:rsid w:val="002732B0"/>
    <w:rsid w:val="0027365A"/>
    <w:rsid w:val="0027399B"/>
    <w:rsid w:val="0027399D"/>
    <w:rsid w:val="00273D31"/>
    <w:rsid w:val="00274104"/>
    <w:rsid w:val="00274122"/>
    <w:rsid w:val="002742CD"/>
    <w:rsid w:val="00274347"/>
    <w:rsid w:val="002745BA"/>
    <w:rsid w:val="00274CB9"/>
    <w:rsid w:val="002751E0"/>
    <w:rsid w:val="002756BB"/>
    <w:rsid w:val="002761C6"/>
    <w:rsid w:val="00276368"/>
    <w:rsid w:val="002763AF"/>
    <w:rsid w:val="002769A9"/>
    <w:rsid w:val="00276BB1"/>
    <w:rsid w:val="00276F4A"/>
    <w:rsid w:val="002774B7"/>
    <w:rsid w:val="00277BC2"/>
    <w:rsid w:val="00280387"/>
    <w:rsid w:val="00281002"/>
    <w:rsid w:val="00282CB9"/>
    <w:rsid w:val="00283B88"/>
    <w:rsid w:val="0028405C"/>
    <w:rsid w:val="002842EC"/>
    <w:rsid w:val="0028455E"/>
    <w:rsid w:val="00284687"/>
    <w:rsid w:val="00284A0C"/>
    <w:rsid w:val="002853D7"/>
    <w:rsid w:val="002856AA"/>
    <w:rsid w:val="002856BF"/>
    <w:rsid w:val="002859DB"/>
    <w:rsid w:val="00286702"/>
    <w:rsid w:val="00286968"/>
    <w:rsid w:val="00287B6C"/>
    <w:rsid w:val="0029086F"/>
    <w:rsid w:val="002915E6"/>
    <w:rsid w:val="00291638"/>
    <w:rsid w:val="0029230D"/>
    <w:rsid w:val="002923F0"/>
    <w:rsid w:val="002930CA"/>
    <w:rsid w:val="0029366E"/>
    <w:rsid w:val="0029374E"/>
    <w:rsid w:val="00294E31"/>
    <w:rsid w:val="0029564F"/>
    <w:rsid w:val="0029655F"/>
    <w:rsid w:val="002968EA"/>
    <w:rsid w:val="00297302"/>
    <w:rsid w:val="0029748C"/>
    <w:rsid w:val="00297804"/>
    <w:rsid w:val="0029782A"/>
    <w:rsid w:val="002A0D85"/>
    <w:rsid w:val="002A15EF"/>
    <w:rsid w:val="002A1AF6"/>
    <w:rsid w:val="002A1B06"/>
    <w:rsid w:val="002A3D01"/>
    <w:rsid w:val="002A56D0"/>
    <w:rsid w:val="002A5A27"/>
    <w:rsid w:val="002A5FE6"/>
    <w:rsid w:val="002A6423"/>
    <w:rsid w:val="002A79A9"/>
    <w:rsid w:val="002A7C09"/>
    <w:rsid w:val="002A7C60"/>
    <w:rsid w:val="002A7D42"/>
    <w:rsid w:val="002A7D99"/>
    <w:rsid w:val="002B0455"/>
    <w:rsid w:val="002B08DB"/>
    <w:rsid w:val="002B0B71"/>
    <w:rsid w:val="002B1534"/>
    <w:rsid w:val="002B24B8"/>
    <w:rsid w:val="002B25E0"/>
    <w:rsid w:val="002B2A11"/>
    <w:rsid w:val="002B2A34"/>
    <w:rsid w:val="002B2FF6"/>
    <w:rsid w:val="002B317C"/>
    <w:rsid w:val="002B45A0"/>
    <w:rsid w:val="002B5020"/>
    <w:rsid w:val="002B5286"/>
    <w:rsid w:val="002B5EDC"/>
    <w:rsid w:val="002B5F07"/>
    <w:rsid w:val="002B652B"/>
    <w:rsid w:val="002B6A85"/>
    <w:rsid w:val="002B6CC4"/>
    <w:rsid w:val="002B709B"/>
    <w:rsid w:val="002B75F6"/>
    <w:rsid w:val="002B7F72"/>
    <w:rsid w:val="002C072A"/>
    <w:rsid w:val="002C1203"/>
    <w:rsid w:val="002C16B3"/>
    <w:rsid w:val="002C267D"/>
    <w:rsid w:val="002C4B2A"/>
    <w:rsid w:val="002C5AC0"/>
    <w:rsid w:val="002C6449"/>
    <w:rsid w:val="002C6715"/>
    <w:rsid w:val="002C6837"/>
    <w:rsid w:val="002C6928"/>
    <w:rsid w:val="002C79FA"/>
    <w:rsid w:val="002C7F97"/>
    <w:rsid w:val="002D08AF"/>
    <w:rsid w:val="002D0984"/>
    <w:rsid w:val="002D0E28"/>
    <w:rsid w:val="002D117B"/>
    <w:rsid w:val="002D22EE"/>
    <w:rsid w:val="002D243B"/>
    <w:rsid w:val="002D2881"/>
    <w:rsid w:val="002D2A78"/>
    <w:rsid w:val="002D2DFC"/>
    <w:rsid w:val="002D3493"/>
    <w:rsid w:val="002D350E"/>
    <w:rsid w:val="002D3737"/>
    <w:rsid w:val="002D37E3"/>
    <w:rsid w:val="002D4974"/>
    <w:rsid w:val="002D4E85"/>
    <w:rsid w:val="002D5132"/>
    <w:rsid w:val="002D526E"/>
    <w:rsid w:val="002D5B88"/>
    <w:rsid w:val="002D6ADD"/>
    <w:rsid w:val="002D7658"/>
    <w:rsid w:val="002D7680"/>
    <w:rsid w:val="002D7B90"/>
    <w:rsid w:val="002E0966"/>
    <w:rsid w:val="002E20F9"/>
    <w:rsid w:val="002E24B4"/>
    <w:rsid w:val="002E29D8"/>
    <w:rsid w:val="002E2C4C"/>
    <w:rsid w:val="002E3375"/>
    <w:rsid w:val="002E35BF"/>
    <w:rsid w:val="002E35E4"/>
    <w:rsid w:val="002E371B"/>
    <w:rsid w:val="002E3EFD"/>
    <w:rsid w:val="002E4AEC"/>
    <w:rsid w:val="002E6572"/>
    <w:rsid w:val="002E672A"/>
    <w:rsid w:val="002E6848"/>
    <w:rsid w:val="002E6930"/>
    <w:rsid w:val="002E6C1A"/>
    <w:rsid w:val="002E6D6C"/>
    <w:rsid w:val="002E7235"/>
    <w:rsid w:val="002E7401"/>
    <w:rsid w:val="002F0186"/>
    <w:rsid w:val="002F09A2"/>
    <w:rsid w:val="002F14DA"/>
    <w:rsid w:val="002F1679"/>
    <w:rsid w:val="002F168D"/>
    <w:rsid w:val="002F1B47"/>
    <w:rsid w:val="002F23BB"/>
    <w:rsid w:val="002F2BB8"/>
    <w:rsid w:val="002F327D"/>
    <w:rsid w:val="002F32DB"/>
    <w:rsid w:val="002F34C3"/>
    <w:rsid w:val="002F3672"/>
    <w:rsid w:val="002F4DA2"/>
    <w:rsid w:val="002F576B"/>
    <w:rsid w:val="002F6024"/>
    <w:rsid w:val="002F6129"/>
    <w:rsid w:val="002F616F"/>
    <w:rsid w:val="002F6489"/>
    <w:rsid w:val="002F67AC"/>
    <w:rsid w:val="002F6D4E"/>
    <w:rsid w:val="002F79A9"/>
    <w:rsid w:val="002F7CCD"/>
    <w:rsid w:val="002F7E18"/>
    <w:rsid w:val="003005A0"/>
    <w:rsid w:val="00300898"/>
    <w:rsid w:val="00301EE7"/>
    <w:rsid w:val="003024C7"/>
    <w:rsid w:val="00302573"/>
    <w:rsid w:val="003041CC"/>
    <w:rsid w:val="00304AC7"/>
    <w:rsid w:val="0030542E"/>
    <w:rsid w:val="00305511"/>
    <w:rsid w:val="00305937"/>
    <w:rsid w:val="00306FCB"/>
    <w:rsid w:val="003072E4"/>
    <w:rsid w:val="003076DF"/>
    <w:rsid w:val="00307964"/>
    <w:rsid w:val="00310C23"/>
    <w:rsid w:val="00310FD7"/>
    <w:rsid w:val="003134D6"/>
    <w:rsid w:val="0031364B"/>
    <w:rsid w:val="003143D5"/>
    <w:rsid w:val="00315986"/>
    <w:rsid w:val="003169F8"/>
    <w:rsid w:val="00316A12"/>
    <w:rsid w:val="00317348"/>
    <w:rsid w:val="003175D1"/>
    <w:rsid w:val="00317BC5"/>
    <w:rsid w:val="0032055E"/>
    <w:rsid w:val="00321828"/>
    <w:rsid w:val="00321F57"/>
    <w:rsid w:val="003220EF"/>
    <w:rsid w:val="00322B4C"/>
    <w:rsid w:val="00322CA4"/>
    <w:rsid w:val="00322FC2"/>
    <w:rsid w:val="00323A2E"/>
    <w:rsid w:val="00324199"/>
    <w:rsid w:val="00325176"/>
    <w:rsid w:val="0032543B"/>
    <w:rsid w:val="00325E00"/>
    <w:rsid w:val="00326A27"/>
    <w:rsid w:val="00326EEA"/>
    <w:rsid w:val="00327500"/>
    <w:rsid w:val="00327A37"/>
    <w:rsid w:val="00327D63"/>
    <w:rsid w:val="003304CE"/>
    <w:rsid w:val="003313FF"/>
    <w:rsid w:val="00331A39"/>
    <w:rsid w:val="00331CBD"/>
    <w:rsid w:val="003335E6"/>
    <w:rsid w:val="00333E21"/>
    <w:rsid w:val="00335E2F"/>
    <w:rsid w:val="00336CFD"/>
    <w:rsid w:val="003378A2"/>
    <w:rsid w:val="00337929"/>
    <w:rsid w:val="003400F2"/>
    <w:rsid w:val="003408E4"/>
    <w:rsid w:val="00340DBE"/>
    <w:rsid w:val="00340FEB"/>
    <w:rsid w:val="00341186"/>
    <w:rsid w:val="003415A2"/>
    <w:rsid w:val="003418D5"/>
    <w:rsid w:val="0034220C"/>
    <w:rsid w:val="00342BE4"/>
    <w:rsid w:val="00342C56"/>
    <w:rsid w:val="00343C57"/>
    <w:rsid w:val="00344706"/>
    <w:rsid w:val="00345289"/>
    <w:rsid w:val="00345758"/>
    <w:rsid w:val="0034642C"/>
    <w:rsid w:val="00346B75"/>
    <w:rsid w:val="00346D12"/>
    <w:rsid w:val="00347035"/>
    <w:rsid w:val="003476DF"/>
    <w:rsid w:val="003479A7"/>
    <w:rsid w:val="0035011B"/>
    <w:rsid w:val="003503E9"/>
    <w:rsid w:val="00350A52"/>
    <w:rsid w:val="00350CA2"/>
    <w:rsid w:val="00351B40"/>
    <w:rsid w:val="00351BF7"/>
    <w:rsid w:val="00351DB0"/>
    <w:rsid w:val="00352357"/>
    <w:rsid w:val="003528C7"/>
    <w:rsid w:val="00352980"/>
    <w:rsid w:val="00352F0B"/>
    <w:rsid w:val="003532D4"/>
    <w:rsid w:val="00353313"/>
    <w:rsid w:val="003536B6"/>
    <w:rsid w:val="00353FD6"/>
    <w:rsid w:val="00354676"/>
    <w:rsid w:val="00354964"/>
    <w:rsid w:val="003549A3"/>
    <w:rsid w:val="00354B40"/>
    <w:rsid w:val="00355423"/>
    <w:rsid w:val="0035560B"/>
    <w:rsid w:val="00355F21"/>
    <w:rsid w:val="003561DF"/>
    <w:rsid w:val="00356B75"/>
    <w:rsid w:val="00356E55"/>
    <w:rsid w:val="00356FB2"/>
    <w:rsid w:val="00357970"/>
    <w:rsid w:val="0036042C"/>
    <w:rsid w:val="00361281"/>
    <w:rsid w:val="00361909"/>
    <w:rsid w:val="00361BA6"/>
    <w:rsid w:val="00361DDC"/>
    <w:rsid w:val="00362355"/>
    <w:rsid w:val="003628E3"/>
    <w:rsid w:val="00362B13"/>
    <w:rsid w:val="00362C15"/>
    <w:rsid w:val="00362F0A"/>
    <w:rsid w:val="0036315A"/>
    <w:rsid w:val="00363267"/>
    <w:rsid w:val="003642FA"/>
    <w:rsid w:val="0036467B"/>
    <w:rsid w:val="00364AD9"/>
    <w:rsid w:val="00364DCF"/>
    <w:rsid w:val="00364E6D"/>
    <w:rsid w:val="0036537C"/>
    <w:rsid w:val="00366955"/>
    <w:rsid w:val="003669EB"/>
    <w:rsid w:val="00370DEA"/>
    <w:rsid w:val="0037247D"/>
    <w:rsid w:val="00372BC1"/>
    <w:rsid w:val="00372BDD"/>
    <w:rsid w:val="00373258"/>
    <w:rsid w:val="003755AE"/>
    <w:rsid w:val="00375940"/>
    <w:rsid w:val="00375B52"/>
    <w:rsid w:val="0037664F"/>
    <w:rsid w:val="0037697B"/>
    <w:rsid w:val="00376B09"/>
    <w:rsid w:val="00376FE2"/>
    <w:rsid w:val="003773F0"/>
    <w:rsid w:val="00377457"/>
    <w:rsid w:val="00377C4D"/>
    <w:rsid w:val="00377C7D"/>
    <w:rsid w:val="00380099"/>
    <w:rsid w:val="00380EF5"/>
    <w:rsid w:val="003810A7"/>
    <w:rsid w:val="003811C4"/>
    <w:rsid w:val="003816A4"/>
    <w:rsid w:val="0038199E"/>
    <w:rsid w:val="00381B99"/>
    <w:rsid w:val="00383298"/>
    <w:rsid w:val="0038445A"/>
    <w:rsid w:val="00384463"/>
    <w:rsid w:val="00384704"/>
    <w:rsid w:val="00384EF6"/>
    <w:rsid w:val="00385CA7"/>
    <w:rsid w:val="0038619D"/>
    <w:rsid w:val="00386B0B"/>
    <w:rsid w:val="00386B39"/>
    <w:rsid w:val="00386DCC"/>
    <w:rsid w:val="00387031"/>
    <w:rsid w:val="003872CE"/>
    <w:rsid w:val="00387BC5"/>
    <w:rsid w:val="00387D23"/>
    <w:rsid w:val="00390A28"/>
    <w:rsid w:val="00390ECE"/>
    <w:rsid w:val="00391B7C"/>
    <w:rsid w:val="00391E23"/>
    <w:rsid w:val="00392CF0"/>
    <w:rsid w:val="003939EA"/>
    <w:rsid w:val="00393AC3"/>
    <w:rsid w:val="00393B63"/>
    <w:rsid w:val="00393ECF"/>
    <w:rsid w:val="00393EDD"/>
    <w:rsid w:val="00394379"/>
    <w:rsid w:val="0039449B"/>
    <w:rsid w:val="003944DE"/>
    <w:rsid w:val="00394A82"/>
    <w:rsid w:val="003952DC"/>
    <w:rsid w:val="00395516"/>
    <w:rsid w:val="003962F7"/>
    <w:rsid w:val="00397DAC"/>
    <w:rsid w:val="003A077D"/>
    <w:rsid w:val="003A1312"/>
    <w:rsid w:val="003A2452"/>
    <w:rsid w:val="003A27FC"/>
    <w:rsid w:val="003A3122"/>
    <w:rsid w:val="003A35B5"/>
    <w:rsid w:val="003A3BED"/>
    <w:rsid w:val="003A4033"/>
    <w:rsid w:val="003A4522"/>
    <w:rsid w:val="003A457C"/>
    <w:rsid w:val="003A5AEE"/>
    <w:rsid w:val="003A5B1C"/>
    <w:rsid w:val="003A5B60"/>
    <w:rsid w:val="003A5DEF"/>
    <w:rsid w:val="003A6CE4"/>
    <w:rsid w:val="003B011C"/>
    <w:rsid w:val="003B0207"/>
    <w:rsid w:val="003B0609"/>
    <w:rsid w:val="003B0BB4"/>
    <w:rsid w:val="003B0E7B"/>
    <w:rsid w:val="003B18B2"/>
    <w:rsid w:val="003B1F42"/>
    <w:rsid w:val="003B2203"/>
    <w:rsid w:val="003B245B"/>
    <w:rsid w:val="003B2653"/>
    <w:rsid w:val="003B2BD7"/>
    <w:rsid w:val="003B2EE2"/>
    <w:rsid w:val="003B2F1B"/>
    <w:rsid w:val="003B326B"/>
    <w:rsid w:val="003B3561"/>
    <w:rsid w:val="003B3B82"/>
    <w:rsid w:val="003B416A"/>
    <w:rsid w:val="003B4530"/>
    <w:rsid w:val="003B4702"/>
    <w:rsid w:val="003B49A8"/>
    <w:rsid w:val="003B4BDE"/>
    <w:rsid w:val="003B4E80"/>
    <w:rsid w:val="003B54B6"/>
    <w:rsid w:val="003B6353"/>
    <w:rsid w:val="003B6D1D"/>
    <w:rsid w:val="003B6D32"/>
    <w:rsid w:val="003B7451"/>
    <w:rsid w:val="003B74FD"/>
    <w:rsid w:val="003B7663"/>
    <w:rsid w:val="003C0014"/>
    <w:rsid w:val="003C0CDF"/>
    <w:rsid w:val="003C0FD8"/>
    <w:rsid w:val="003C1C0C"/>
    <w:rsid w:val="003C1DC9"/>
    <w:rsid w:val="003C3233"/>
    <w:rsid w:val="003C4156"/>
    <w:rsid w:val="003C499C"/>
    <w:rsid w:val="003C4C97"/>
    <w:rsid w:val="003C596D"/>
    <w:rsid w:val="003C5FE6"/>
    <w:rsid w:val="003C6E2F"/>
    <w:rsid w:val="003C6E7D"/>
    <w:rsid w:val="003C77D8"/>
    <w:rsid w:val="003C7C5D"/>
    <w:rsid w:val="003C7D01"/>
    <w:rsid w:val="003C7EF6"/>
    <w:rsid w:val="003D0CE4"/>
    <w:rsid w:val="003D1058"/>
    <w:rsid w:val="003D145A"/>
    <w:rsid w:val="003D176B"/>
    <w:rsid w:val="003D2108"/>
    <w:rsid w:val="003D298F"/>
    <w:rsid w:val="003D306B"/>
    <w:rsid w:val="003D344D"/>
    <w:rsid w:val="003D3890"/>
    <w:rsid w:val="003D38B5"/>
    <w:rsid w:val="003D40AA"/>
    <w:rsid w:val="003D414B"/>
    <w:rsid w:val="003D53A0"/>
    <w:rsid w:val="003D54BE"/>
    <w:rsid w:val="003D685A"/>
    <w:rsid w:val="003D7552"/>
    <w:rsid w:val="003D7754"/>
    <w:rsid w:val="003D7D67"/>
    <w:rsid w:val="003E067E"/>
    <w:rsid w:val="003E1F0A"/>
    <w:rsid w:val="003E25E0"/>
    <w:rsid w:val="003E265C"/>
    <w:rsid w:val="003E266B"/>
    <w:rsid w:val="003E30BC"/>
    <w:rsid w:val="003E333F"/>
    <w:rsid w:val="003E4D80"/>
    <w:rsid w:val="003E59EE"/>
    <w:rsid w:val="003E6833"/>
    <w:rsid w:val="003E6D58"/>
    <w:rsid w:val="003F0A2E"/>
    <w:rsid w:val="003F1572"/>
    <w:rsid w:val="003F1A30"/>
    <w:rsid w:val="003F1C96"/>
    <w:rsid w:val="003F2014"/>
    <w:rsid w:val="003F2981"/>
    <w:rsid w:val="003F37B9"/>
    <w:rsid w:val="003F3D29"/>
    <w:rsid w:val="003F3DA6"/>
    <w:rsid w:val="003F3EA3"/>
    <w:rsid w:val="003F4B3C"/>
    <w:rsid w:val="003F4C5D"/>
    <w:rsid w:val="003F4C9B"/>
    <w:rsid w:val="003F59F0"/>
    <w:rsid w:val="003F722F"/>
    <w:rsid w:val="003F7DB8"/>
    <w:rsid w:val="0040020F"/>
    <w:rsid w:val="00400F6E"/>
    <w:rsid w:val="00401216"/>
    <w:rsid w:val="004021E9"/>
    <w:rsid w:val="00402511"/>
    <w:rsid w:val="004025CA"/>
    <w:rsid w:val="00402AD9"/>
    <w:rsid w:val="00403608"/>
    <w:rsid w:val="00403F8F"/>
    <w:rsid w:val="00405A92"/>
    <w:rsid w:val="00405CAB"/>
    <w:rsid w:val="00405E55"/>
    <w:rsid w:val="00405FBB"/>
    <w:rsid w:val="004064F2"/>
    <w:rsid w:val="004065C9"/>
    <w:rsid w:val="00406FFF"/>
    <w:rsid w:val="0040720A"/>
    <w:rsid w:val="0041053E"/>
    <w:rsid w:val="00410EB4"/>
    <w:rsid w:val="0041140D"/>
    <w:rsid w:val="00411595"/>
    <w:rsid w:val="004117D2"/>
    <w:rsid w:val="004118BF"/>
    <w:rsid w:val="00411B61"/>
    <w:rsid w:val="00413216"/>
    <w:rsid w:val="004139CB"/>
    <w:rsid w:val="00414063"/>
    <w:rsid w:val="00414627"/>
    <w:rsid w:val="00415346"/>
    <w:rsid w:val="00415571"/>
    <w:rsid w:val="00415712"/>
    <w:rsid w:val="0041589D"/>
    <w:rsid w:val="004159D7"/>
    <w:rsid w:val="00415AB0"/>
    <w:rsid w:val="004161BF"/>
    <w:rsid w:val="0041646E"/>
    <w:rsid w:val="004165B7"/>
    <w:rsid w:val="00417348"/>
    <w:rsid w:val="00417987"/>
    <w:rsid w:val="00420283"/>
    <w:rsid w:val="0042068E"/>
    <w:rsid w:val="0042083C"/>
    <w:rsid w:val="00421A04"/>
    <w:rsid w:val="00421DD9"/>
    <w:rsid w:val="0042283F"/>
    <w:rsid w:val="00422E86"/>
    <w:rsid w:val="00423B2A"/>
    <w:rsid w:val="004242AF"/>
    <w:rsid w:val="0042439E"/>
    <w:rsid w:val="00425513"/>
    <w:rsid w:val="0042615B"/>
    <w:rsid w:val="004262BD"/>
    <w:rsid w:val="00426DF1"/>
    <w:rsid w:val="0042732F"/>
    <w:rsid w:val="004275B4"/>
    <w:rsid w:val="004277E9"/>
    <w:rsid w:val="00430153"/>
    <w:rsid w:val="00430DB4"/>
    <w:rsid w:val="0043103D"/>
    <w:rsid w:val="0043152A"/>
    <w:rsid w:val="00431F8B"/>
    <w:rsid w:val="004320BE"/>
    <w:rsid w:val="004324DB"/>
    <w:rsid w:val="00432962"/>
    <w:rsid w:val="00433345"/>
    <w:rsid w:val="00434CEE"/>
    <w:rsid w:val="00434D33"/>
    <w:rsid w:val="00435565"/>
    <w:rsid w:val="00435899"/>
    <w:rsid w:val="00435DCC"/>
    <w:rsid w:val="004364EC"/>
    <w:rsid w:val="00436D5E"/>
    <w:rsid w:val="00437230"/>
    <w:rsid w:val="00437FDF"/>
    <w:rsid w:val="00440082"/>
    <w:rsid w:val="00440757"/>
    <w:rsid w:val="00441E8A"/>
    <w:rsid w:val="00442B40"/>
    <w:rsid w:val="00443177"/>
    <w:rsid w:val="00443D59"/>
    <w:rsid w:val="00444DE3"/>
    <w:rsid w:val="004451F4"/>
    <w:rsid w:val="00445537"/>
    <w:rsid w:val="00445BE8"/>
    <w:rsid w:val="004461D1"/>
    <w:rsid w:val="00447215"/>
    <w:rsid w:val="00447CEC"/>
    <w:rsid w:val="00450D24"/>
    <w:rsid w:val="0045111E"/>
    <w:rsid w:val="00451B02"/>
    <w:rsid w:val="00451D7B"/>
    <w:rsid w:val="004520C6"/>
    <w:rsid w:val="004524FA"/>
    <w:rsid w:val="004527D5"/>
    <w:rsid w:val="004538C9"/>
    <w:rsid w:val="00453EAD"/>
    <w:rsid w:val="0045484D"/>
    <w:rsid w:val="004553C8"/>
    <w:rsid w:val="00455498"/>
    <w:rsid w:val="004561E2"/>
    <w:rsid w:val="004563D2"/>
    <w:rsid w:val="0045673F"/>
    <w:rsid w:val="004578CF"/>
    <w:rsid w:val="00457944"/>
    <w:rsid w:val="00460343"/>
    <w:rsid w:val="00460856"/>
    <w:rsid w:val="00460E0B"/>
    <w:rsid w:val="00460E63"/>
    <w:rsid w:val="00462903"/>
    <w:rsid w:val="004635A8"/>
    <w:rsid w:val="00463CD3"/>
    <w:rsid w:val="00463DC0"/>
    <w:rsid w:val="00463DD1"/>
    <w:rsid w:val="00463F94"/>
    <w:rsid w:val="00464128"/>
    <w:rsid w:val="004641C7"/>
    <w:rsid w:val="00464640"/>
    <w:rsid w:val="00465864"/>
    <w:rsid w:val="00467950"/>
    <w:rsid w:val="00470648"/>
    <w:rsid w:val="0047066A"/>
    <w:rsid w:val="0047086A"/>
    <w:rsid w:val="00471532"/>
    <w:rsid w:val="00473438"/>
    <w:rsid w:val="00473B06"/>
    <w:rsid w:val="00474932"/>
    <w:rsid w:val="00475562"/>
    <w:rsid w:val="00475FA5"/>
    <w:rsid w:val="00476E77"/>
    <w:rsid w:val="00476F9C"/>
    <w:rsid w:val="004800E5"/>
    <w:rsid w:val="00480199"/>
    <w:rsid w:val="004804FD"/>
    <w:rsid w:val="00480C28"/>
    <w:rsid w:val="00481A93"/>
    <w:rsid w:val="00482213"/>
    <w:rsid w:val="004824F0"/>
    <w:rsid w:val="00482F36"/>
    <w:rsid w:val="00482FE4"/>
    <w:rsid w:val="004838E9"/>
    <w:rsid w:val="00483F5E"/>
    <w:rsid w:val="0048432A"/>
    <w:rsid w:val="004843A3"/>
    <w:rsid w:val="00484592"/>
    <w:rsid w:val="004852D8"/>
    <w:rsid w:val="00485603"/>
    <w:rsid w:val="00485DF3"/>
    <w:rsid w:val="004863E5"/>
    <w:rsid w:val="00486A95"/>
    <w:rsid w:val="00486EE1"/>
    <w:rsid w:val="00486FBA"/>
    <w:rsid w:val="00487936"/>
    <w:rsid w:val="004879F7"/>
    <w:rsid w:val="00487CA1"/>
    <w:rsid w:val="004905F9"/>
    <w:rsid w:val="00490A74"/>
    <w:rsid w:val="00491C84"/>
    <w:rsid w:val="004924E8"/>
    <w:rsid w:val="00494BCF"/>
    <w:rsid w:val="00494C17"/>
    <w:rsid w:val="00494FC7"/>
    <w:rsid w:val="00495F6C"/>
    <w:rsid w:val="00496E39"/>
    <w:rsid w:val="004973F6"/>
    <w:rsid w:val="0049761E"/>
    <w:rsid w:val="004A0417"/>
    <w:rsid w:val="004A10EC"/>
    <w:rsid w:val="004A15BA"/>
    <w:rsid w:val="004A1DEA"/>
    <w:rsid w:val="004A2080"/>
    <w:rsid w:val="004A2443"/>
    <w:rsid w:val="004A26E0"/>
    <w:rsid w:val="004A29D4"/>
    <w:rsid w:val="004A3042"/>
    <w:rsid w:val="004A3B16"/>
    <w:rsid w:val="004A47AD"/>
    <w:rsid w:val="004A5536"/>
    <w:rsid w:val="004A5B29"/>
    <w:rsid w:val="004A5CE7"/>
    <w:rsid w:val="004A6AAB"/>
    <w:rsid w:val="004A6BA5"/>
    <w:rsid w:val="004A6DBE"/>
    <w:rsid w:val="004B0123"/>
    <w:rsid w:val="004B0CB4"/>
    <w:rsid w:val="004B1292"/>
    <w:rsid w:val="004B1995"/>
    <w:rsid w:val="004B1A02"/>
    <w:rsid w:val="004B1E27"/>
    <w:rsid w:val="004B29CF"/>
    <w:rsid w:val="004B310B"/>
    <w:rsid w:val="004B33C5"/>
    <w:rsid w:val="004B3826"/>
    <w:rsid w:val="004B3920"/>
    <w:rsid w:val="004B4DF2"/>
    <w:rsid w:val="004B4F26"/>
    <w:rsid w:val="004B53CF"/>
    <w:rsid w:val="004B5C7F"/>
    <w:rsid w:val="004B66DE"/>
    <w:rsid w:val="004B67B0"/>
    <w:rsid w:val="004B6916"/>
    <w:rsid w:val="004B7019"/>
    <w:rsid w:val="004B7268"/>
    <w:rsid w:val="004B7ACD"/>
    <w:rsid w:val="004B7CBA"/>
    <w:rsid w:val="004B7E8A"/>
    <w:rsid w:val="004C0908"/>
    <w:rsid w:val="004C0A2C"/>
    <w:rsid w:val="004C1D69"/>
    <w:rsid w:val="004C1E97"/>
    <w:rsid w:val="004C1E9D"/>
    <w:rsid w:val="004C2135"/>
    <w:rsid w:val="004C2563"/>
    <w:rsid w:val="004C31A3"/>
    <w:rsid w:val="004C353D"/>
    <w:rsid w:val="004C3720"/>
    <w:rsid w:val="004C4056"/>
    <w:rsid w:val="004C43D2"/>
    <w:rsid w:val="004C6231"/>
    <w:rsid w:val="004C6BFF"/>
    <w:rsid w:val="004C7A84"/>
    <w:rsid w:val="004D0294"/>
    <w:rsid w:val="004D0468"/>
    <w:rsid w:val="004D06B4"/>
    <w:rsid w:val="004D0F6B"/>
    <w:rsid w:val="004D26FB"/>
    <w:rsid w:val="004D2D29"/>
    <w:rsid w:val="004D3374"/>
    <w:rsid w:val="004D359B"/>
    <w:rsid w:val="004D3CC3"/>
    <w:rsid w:val="004D3CDD"/>
    <w:rsid w:val="004D3ECB"/>
    <w:rsid w:val="004D40DD"/>
    <w:rsid w:val="004D4906"/>
    <w:rsid w:val="004D4A68"/>
    <w:rsid w:val="004D4D62"/>
    <w:rsid w:val="004D5513"/>
    <w:rsid w:val="004D5FE1"/>
    <w:rsid w:val="004D7D3B"/>
    <w:rsid w:val="004E03E8"/>
    <w:rsid w:val="004E13BE"/>
    <w:rsid w:val="004E14E5"/>
    <w:rsid w:val="004E15B8"/>
    <w:rsid w:val="004E1FFE"/>
    <w:rsid w:val="004E25A0"/>
    <w:rsid w:val="004E3E23"/>
    <w:rsid w:val="004E432A"/>
    <w:rsid w:val="004E43A5"/>
    <w:rsid w:val="004E4996"/>
    <w:rsid w:val="004E4A27"/>
    <w:rsid w:val="004E5897"/>
    <w:rsid w:val="004E62FE"/>
    <w:rsid w:val="004E6471"/>
    <w:rsid w:val="004E6CD0"/>
    <w:rsid w:val="004E70C0"/>
    <w:rsid w:val="004E7104"/>
    <w:rsid w:val="004E7452"/>
    <w:rsid w:val="004E7C84"/>
    <w:rsid w:val="004E7F07"/>
    <w:rsid w:val="004F270A"/>
    <w:rsid w:val="004F3918"/>
    <w:rsid w:val="004F4137"/>
    <w:rsid w:val="004F550A"/>
    <w:rsid w:val="004F56FE"/>
    <w:rsid w:val="004F5909"/>
    <w:rsid w:val="00500458"/>
    <w:rsid w:val="00500F0E"/>
    <w:rsid w:val="00501506"/>
    <w:rsid w:val="00501904"/>
    <w:rsid w:val="005022AE"/>
    <w:rsid w:val="00502556"/>
    <w:rsid w:val="00502595"/>
    <w:rsid w:val="0050348B"/>
    <w:rsid w:val="00503886"/>
    <w:rsid w:val="00503E07"/>
    <w:rsid w:val="005064AE"/>
    <w:rsid w:val="00506D3E"/>
    <w:rsid w:val="00507190"/>
    <w:rsid w:val="00507701"/>
    <w:rsid w:val="00510822"/>
    <w:rsid w:val="00510BB1"/>
    <w:rsid w:val="00510FEC"/>
    <w:rsid w:val="00511E52"/>
    <w:rsid w:val="00511F85"/>
    <w:rsid w:val="005122CA"/>
    <w:rsid w:val="005129F6"/>
    <w:rsid w:val="00512CAF"/>
    <w:rsid w:val="00513C8D"/>
    <w:rsid w:val="00514049"/>
    <w:rsid w:val="00514F6F"/>
    <w:rsid w:val="00517E3F"/>
    <w:rsid w:val="00517EC5"/>
    <w:rsid w:val="0052021D"/>
    <w:rsid w:val="0052068E"/>
    <w:rsid w:val="0052072A"/>
    <w:rsid w:val="00520816"/>
    <w:rsid w:val="00520976"/>
    <w:rsid w:val="0052109D"/>
    <w:rsid w:val="0052233B"/>
    <w:rsid w:val="00522C09"/>
    <w:rsid w:val="00523A4A"/>
    <w:rsid w:val="00523FB9"/>
    <w:rsid w:val="00524248"/>
    <w:rsid w:val="005244D6"/>
    <w:rsid w:val="00524D47"/>
    <w:rsid w:val="005260AF"/>
    <w:rsid w:val="00527BC2"/>
    <w:rsid w:val="00527D39"/>
    <w:rsid w:val="005302E0"/>
    <w:rsid w:val="0053047A"/>
    <w:rsid w:val="00530DFA"/>
    <w:rsid w:val="00530E04"/>
    <w:rsid w:val="00531279"/>
    <w:rsid w:val="00531DD3"/>
    <w:rsid w:val="0053228E"/>
    <w:rsid w:val="005322BA"/>
    <w:rsid w:val="005359AA"/>
    <w:rsid w:val="00535DE5"/>
    <w:rsid w:val="00536A25"/>
    <w:rsid w:val="00537955"/>
    <w:rsid w:val="0054138F"/>
    <w:rsid w:val="005418E9"/>
    <w:rsid w:val="00541E62"/>
    <w:rsid w:val="00542644"/>
    <w:rsid w:val="00542D23"/>
    <w:rsid w:val="005447FE"/>
    <w:rsid w:val="00545398"/>
    <w:rsid w:val="00545BF6"/>
    <w:rsid w:val="005472CE"/>
    <w:rsid w:val="00547316"/>
    <w:rsid w:val="00547477"/>
    <w:rsid w:val="005474A8"/>
    <w:rsid w:val="00547DFB"/>
    <w:rsid w:val="00547EC3"/>
    <w:rsid w:val="00550053"/>
    <w:rsid w:val="005516FD"/>
    <w:rsid w:val="00552557"/>
    <w:rsid w:val="00552FE5"/>
    <w:rsid w:val="005531BD"/>
    <w:rsid w:val="0055363F"/>
    <w:rsid w:val="00553A0B"/>
    <w:rsid w:val="00553AA3"/>
    <w:rsid w:val="00553D99"/>
    <w:rsid w:val="00554391"/>
    <w:rsid w:val="00554F98"/>
    <w:rsid w:val="00555FB0"/>
    <w:rsid w:val="005561A2"/>
    <w:rsid w:val="005566BF"/>
    <w:rsid w:val="00557A4F"/>
    <w:rsid w:val="00560B5A"/>
    <w:rsid w:val="005616FC"/>
    <w:rsid w:val="0056433D"/>
    <w:rsid w:val="00565384"/>
    <w:rsid w:val="00565938"/>
    <w:rsid w:val="00566A21"/>
    <w:rsid w:val="00566AA9"/>
    <w:rsid w:val="00566C76"/>
    <w:rsid w:val="00566F1E"/>
    <w:rsid w:val="00567110"/>
    <w:rsid w:val="005706C4"/>
    <w:rsid w:val="0057228E"/>
    <w:rsid w:val="005725E4"/>
    <w:rsid w:val="005727FB"/>
    <w:rsid w:val="00572937"/>
    <w:rsid w:val="00573AE4"/>
    <w:rsid w:val="00573E8F"/>
    <w:rsid w:val="005745F2"/>
    <w:rsid w:val="00574F8D"/>
    <w:rsid w:val="0057512B"/>
    <w:rsid w:val="005756C0"/>
    <w:rsid w:val="005759F2"/>
    <w:rsid w:val="00576490"/>
    <w:rsid w:val="005808BB"/>
    <w:rsid w:val="00580B4F"/>
    <w:rsid w:val="00581873"/>
    <w:rsid w:val="00582D2E"/>
    <w:rsid w:val="00582E29"/>
    <w:rsid w:val="005842A4"/>
    <w:rsid w:val="00584AC0"/>
    <w:rsid w:val="00586D15"/>
    <w:rsid w:val="00587BA6"/>
    <w:rsid w:val="005905EA"/>
    <w:rsid w:val="00590939"/>
    <w:rsid w:val="00590B13"/>
    <w:rsid w:val="00590F53"/>
    <w:rsid w:val="005911FC"/>
    <w:rsid w:val="0059127C"/>
    <w:rsid w:val="0059286D"/>
    <w:rsid w:val="00593608"/>
    <w:rsid w:val="0059384D"/>
    <w:rsid w:val="00594B9F"/>
    <w:rsid w:val="00595E84"/>
    <w:rsid w:val="00596B31"/>
    <w:rsid w:val="005972E0"/>
    <w:rsid w:val="00597A42"/>
    <w:rsid w:val="005A0072"/>
    <w:rsid w:val="005A0DB3"/>
    <w:rsid w:val="005A1C6C"/>
    <w:rsid w:val="005A2017"/>
    <w:rsid w:val="005A2A72"/>
    <w:rsid w:val="005A41E4"/>
    <w:rsid w:val="005A4718"/>
    <w:rsid w:val="005A54BF"/>
    <w:rsid w:val="005A575E"/>
    <w:rsid w:val="005A67BF"/>
    <w:rsid w:val="005A6CEF"/>
    <w:rsid w:val="005A6ECF"/>
    <w:rsid w:val="005A7000"/>
    <w:rsid w:val="005A749A"/>
    <w:rsid w:val="005A7D30"/>
    <w:rsid w:val="005B0D72"/>
    <w:rsid w:val="005B1AE4"/>
    <w:rsid w:val="005B1CB9"/>
    <w:rsid w:val="005B2854"/>
    <w:rsid w:val="005B297B"/>
    <w:rsid w:val="005B2B74"/>
    <w:rsid w:val="005B4199"/>
    <w:rsid w:val="005B42F9"/>
    <w:rsid w:val="005B56D0"/>
    <w:rsid w:val="005B5F1D"/>
    <w:rsid w:val="005B6F58"/>
    <w:rsid w:val="005C0FDF"/>
    <w:rsid w:val="005C12CF"/>
    <w:rsid w:val="005C1409"/>
    <w:rsid w:val="005C1665"/>
    <w:rsid w:val="005C187C"/>
    <w:rsid w:val="005C2300"/>
    <w:rsid w:val="005C39DC"/>
    <w:rsid w:val="005C3FFC"/>
    <w:rsid w:val="005C42C5"/>
    <w:rsid w:val="005C45EA"/>
    <w:rsid w:val="005C492E"/>
    <w:rsid w:val="005C4CE8"/>
    <w:rsid w:val="005C5319"/>
    <w:rsid w:val="005C5C45"/>
    <w:rsid w:val="005C6C3A"/>
    <w:rsid w:val="005C7336"/>
    <w:rsid w:val="005C7437"/>
    <w:rsid w:val="005C79EA"/>
    <w:rsid w:val="005C7E68"/>
    <w:rsid w:val="005D0BBB"/>
    <w:rsid w:val="005D18EA"/>
    <w:rsid w:val="005D275C"/>
    <w:rsid w:val="005D2C1F"/>
    <w:rsid w:val="005D4B26"/>
    <w:rsid w:val="005D4DF4"/>
    <w:rsid w:val="005D58E5"/>
    <w:rsid w:val="005D73CF"/>
    <w:rsid w:val="005D774E"/>
    <w:rsid w:val="005D7CBA"/>
    <w:rsid w:val="005E0884"/>
    <w:rsid w:val="005E10CF"/>
    <w:rsid w:val="005E1A17"/>
    <w:rsid w:val="005E1D53"/>
    <w:rsid w:val="005E2449"/>
    <w:rsid w:val="005E2A20"/>
    <w:rsid w:val="005E325B"/>
    <w:rsid w:val="005E494A"/>
    <w:rsid w:val="005E5B39"/>
    <w:rsid w:val="005E6079"/>
    <w:rsid w:val="005E6602"/>
    <w:rsid w:val="005E6A9A"/>
    <w:rsid w:val="005E6AAC"/>
    <w:rsid w:val="005E6C3D"/>
    <w:rsid w:val="005E70D7"/>
    <w:rsid w:val="005E7606"/>
    <w:rsid w:val="005E7880"/>
    <w:rsid w:val="005E7B33"/>
    <w:rsid w:val="005E7D2F"/>
    <w:rsid w:val="005F0BE4"/>
    <w:rsid w:val="005F0FFB"/>
    <w:rsid w:val="005F1668"/>
    <w:rsid w:val="005F1DD4"/>
    <w:rsid w:val="005F2093"/>
    <w:rsid w:val="005F22A7"/>
    <w:rsid w:val="005F279E"/>
    <w:rsid w:val="005F383A"/>
    <w:rsid w:val="005F4014"/>
    <w:rsid w:val="005F4283"/>
    <w:rsid w:val="005F4603"/>
    <w:rsid w:val="005F48BC"/>
    <w:rsid w:val="005F4929"/>
    <w:rsid w:val="005F528D"/>
    <w:rsid w:val="005F5662"/>
    <w:rsid w:val="005F5B24"/>
    <w:rsid w:val="005F71C6"/>
    <w:rsid w:val="005F74F4"/>
    <w:rsid w:val="005F7585"/>
    <w:rsid w:val="005F7B12"/>
    <w:rsid w:val="005F7DD4"/>
    <w:rsid w:val="00600013"/>
    <w:rsid w:val="006003AA"/>
    <w:rsid w:val="00600AD2"/>
    <w:rsid w:val="006013CE"/>
    <w:rsid w:val="00601406"/>
    <w:rsid w:val="006014C9"/>
    <w:rsid w:val="0060238B"/>
    <w:rsid w:val="00602FF5"/>
    <w:rsid w:val="00603168"/>
    <w:rsid w:val="006034B8"/>
    <w:rsid w:val="00603A53"/>
    <w:rsid w:val="0060507E"/>
    <w:rsid w:val="0060517E"/>
    <w:rsid w:val="0060524F"/>
    <w:rsid w:val="00605B5D"/>
    <w:rsid w:val="00605BF5"/>
    <w:rsid w:val="00605FC8"/>
    <w:rsid w:val="006061EE"/>
    <w:rsid w:val="00606410"/>
    <w:rsid w:val="00606E3C"/>
    <w:rsid w:val="006070B5"/>
    <w:rsid w:val="0060748A"/>
    <w:rsid w:val="00607F54"/>
    <w:rsid w:val="00610C41"/>
    <w:rsid w:val="0061107A"/>
    <w:rsid w:val="00611284"/>
    <w:rsid w:val="0061131F"/>
    <w:rsid w:val="00611778"/>
    <w:rsid w:val="00611791"/>
    <w:rsid w:val="00612765"/>
    <w:rsid w:val="006133E8"/>
    <w:rsid w:val="006134E1"/>
    <w:rsid w:val="00613607"/>
    <w:rsid w:val="00613B69"/>
    <w:rsid w:val="006142A4"/>
    <w:rsid w:val="0061458A"/>
    <w:rsid w:val="00614BD0"/>
    <w:rsid w:val="00614C62"/>
    <w:rsid w:val="00614EB1"/>
    <w:rsid w:val="00614F37"/>
    <w:rsid w:val="00615814"/>
    <w:rsid w:val="006164A9"/>
    <w:rsid w:val="006168E0"/>
    <w:rsid w:val="00620039"/>
    <w:rsid w:val="00620320"/>
    <w:rsid w:val="006203E2"/>
    <w:rsid w:val="0062046F"/>
    <w:rsid w:val="00620748"/>
    <w:rsid w:val="0062079E"/>
    <w:rsid w:val="00620CAD"/>
    <w:rsid w:val="0062126D"/>
    <w:rsid w:val="00621E39"/>
    <w:rsid w:val="00621F0D"/>
    <w:rsid w:val="00623087"/>
    <w:rsid w:val="00624B87"/>
    <w:rsid w:val="00627494"/>
    <w:rsid w:val="00627A49"/>
    <w:rsid w:val="00630E0D"/>
    <w:rsid w:val="00630F9F"/>
    <w:rsid w:val="006313F1"/>
    <w:rsid w:val="006321F0"/>
    <w:rsid w:val="00633E03"/>
    <w:rsid w:val="0063460E"/>
    <w:rsid w:val="006359B9"/>
    <w:rsid w:val="00635CAE"/>
    <w:rsid w:val="00635CBF"/>
    <w:rsid w:val="00635E54"/>
    <w:rsid w:val="006362D1"/>
    <w:rsid w:val="00636518"/>
    <w:rsid w:val="00636D55"/>
    <w:rsid w:val="006402A6"/>
    <w:rsid w:val="00640BB8"/>
    <w:rsid w:val="00641648"/>
    <w:rsid w:val="00642659"/>
    <w:rsid w:val="00642A8B"/>
    <w:rsid w:val="00642CF1"/>
    <w:rsid w:val="0064327F"/>
    <w:rsid w:val="006435B0"/>
    <w:rsid w:val="006436A1"/>
    <w:rsid w:val="00643DB0"/>
    <w:rsid w:val="006461C2"/>
    <w:rsid w:val="00646996"/>
    <w:rsid w:val="00646B97"/>
    <w:rsid w:val="00647248"/>
    <w:rsid w:val="00647B2C"/>
    <w:rsid w:val="006503CB"/>
    <w:rsid w:val="00650E2C"/>
    <w:rsid w:val="00650E66"/>
    <w:rsid w:val="00650F9B"/>
    <w:rsid w:val="0065229E"/>
    <w:rsid w:val="00652433"/>
    <w:rsid w:val="00652B59"/>
    <w:rsid w:val="0065300C"/>
    <w:rsid w:val="0065335F"/>
    <w:rsid w:val="006543DF"/>
    <w:rsid w:val="006552BB"/>
    <w:rsid w:val="006555FD"/>
    <w:rsid w:val="0065584D"/>
    <w:rsid w:val="006560BF"/>
    <w:rsid w:val="00656A29"/>
    <w:rsid w:val="00657AF6"/>
    <w:rsid w:val="006600D1"/>
    <w:rsid w:val="00660D27"/>
    <w:rsid w:val="0066111E"/>
    <w:rsid w:val="006616B0"/>
    <w:rsid w:val="00661924"/>
    <w:rsid w:val="00661B36"/>
    <w:rsid w:val="00661CC0"/>
    <w:rsid w:val="00662A97"/>
    <w:rsid w:val="00663073"/>
    <w:rsid w:val="00663BFD"/>
    <w:rsid w:val="0066449D"/>
    <w:rsid w:val="00664FCB"/>
    <w:rsid w:val="00664FDA"/>
    <w:rsid w:val="00665138"/>
    <w:rsid w:val="00665486"/>
    <w:rsid w:val="0066558E"/>
    <w:rsid w:val="006658CC"/>
    <w:rsid w:val="006660BF"/>
    <w:rsid w:val="006708BB"/>
    <w:rsid w:val="0067246D"/>
    <w:rsid w:val="00672697"/>
    <w:rsid w:val="00672BB5"/>
    <w:rsid w:val="00672C9C"/>
    <w:rsid w:val="00672F19"/>
    <w:rsid w:val="00673BD7"/>
    <w:rsid w:val="00673EEE"/>
    <w:rsid w:val="006742E7"/>
    <w:rsid w:val="00674BD5"/>
    <w:rsid w:val="00676412"/>
    <w:rsid w:val="00680E18"/>
    <w:rsid w:val="00681A9A"/>
    <w:rsid w:val="00681D2B"/>
    <w:rsid w:val="00682C93"/>
    <w:rsid w:val="0068348D"/>
    <w:rsid w:val="006844A3"/>
    <w:rsid w:val="00684751"/>
    <w:rsid w:val="006849EB"/>
    <w:rsid w:val="00684A3E"/>
    <w:rsid w:val="00685259"/>
    <w:rsid w:val="006856D4"/>
    <w:rsid w:val="006859E1"/>
    <w:rsid w:val="006859F8"/>
    <w:rsid w:val="00685D27"/>
    <w:rsid w:val="006870AE"/>
    <w:rsid w:val="0068744A"/>
    <w:rsid w:val="00687A52"/>
    <w:rsid w:val="00691623"/>
    <w:rsid w:val="006917F2"/>
    <w:rsid w:val="00691AA9"/>
    <w:rsid w:val="00691D64"/>
    <w:rsid w:val="006932B8"/>
    <w:rsid w:val="00693357"/>
    <w:rsid w:val="00693555"/>
    <w:rsid w:val="00693865"/>
    <w:rsid w:val="00693E0F"/>
    <w:rsid w:val="006945CC"/>
    <w:rsid w:val="006947E1"/>
    <w:rsid w:val="00694E18"/>
    <w:rsid w:val="00694E29"/>
    <w:rsid w:val="00695B8F"/>
    <w:rsid w:val="00696D5B"/>
    <w:rsid w:val="006972BE"/>
    <w:rsid w:val="00697339"/>
    <w:rsid w:val="00697B47"/>
    <w:rsid w:val="00697BEF"/>
    <w:rsid w:val="00697DEE"/>
    <w:rsid w:val="006A1833"/>
    <w:rsid w:val="006A267D"/>
    <w:rsid w:val="006A296B"/>
    <w:rsid w:val="006A2F52"/>
    <w:rsid w:val="006A3D11"/>
    <w:rsid w:val="006A40F5"/>
    <w:rsid w:val="006A48C3"/>
    <w:rsid w:val="006A4FCE"/>
    <w:rsid w:val="006A54C3"/>
    <w:rsid w:val="006A66BF"/>
    <w:rsid w:val="006A6C42"/>
    <w:rsid w:val="006B00FF"/>
    <w:rsid w:val="006B02B8"/>
    <w:rsid w:val="006B0686"/>
    <w:rsid w:val="006B10D7"/>
    <w:rsid w:val="006B1434"/>
    <w:rsid w:val="006B19DE"/>
    <w:rsid w:val="006B1B2F"/>
    <w:rsid w:val="006B1D1A"/>
    <w:rsid w:val="006B1F28"/>
    <w:rsid w:val="006B1F4D"/>
    <w:rsid w:val="006B203A"/>
    <w:rsid w:val="006B2C52"/>
    <w:rsid w:val="006B2CDF"/>
    <w:rsid w:val="006B31BB"/>
    <w:rsid w:val="006B32C0"/>
    <w:rsid w:val="006B3836"/>
    <w:rsid w:val="006B3B16"/>
    <w:rsid w:val="006B41B7"/>
    <w:rsid w:val="006B4244"/>
    <w:rsid w:val="006B46B0"/>
    <w:rsid w:val="006B5179"/>
    <w:rsid w:val="006B54E6"/>
    <w:rsid w:val="006B5FA3"/>
    <w:rsid w:val="006B67A4"/>
    <w:rsid w:val="006B683A"/>
    <w:rsid w:val="006B7071"/>
    <w:rsid w:val="006B7208"/>
    <w:rsid w:val="006B7B06"/>
    <w:rsid w:val="006B7DEB"/>
    <w:rsid w:val="006C0451"/>
    <w:rsid w:val="006C0A86"/>
    <w:rsid w:val="006C152F"/>
    <w:rsid w:val="006C17CB"/>
    <w:rsid w:val="006C1A4B"/>
    <w:rsid w:val="006C1E9B"/>
    <w:rsid w:val="006C1ECF"/>
    <w:rsid w:val="006C264D"/>
    <w:rsid w:val="006C3624"/>
    <w:rsid w:val="006C3E3F"/>
    <w:rsid w:val="006C43DD"/>
    <w:rsid w:val="006C53C5"/>
    <w:rsid w:val="006C54C9"/>
    <w:rsid w:val="006C6328"/>
    <w:rsid w:val="006C6BA4"/>
    <w:rsid w:val="006C6CBC"/>
    <w:rsid w:val="006C6FBC"/>
    <w:rsid w:val="006C764A"/>
    <w:rsid w:val="006C7BC0"/>
    <w:rsid w:val="006C7C90"/>
    <w:rsid w:val="006C7E40"/>
    <w:rsid w:val="006D1473"/>
    <w:rsid w:val="006D3395"/>
    <w:rsid w:val="006D378B"/>
    <w:rsid w:val="006D3FC8"/>
    <w:rsid w:val="006D44D3"/>
    <w:rsid w:val="006D4505"/>
    <w:rsid w:val="006D5708"/>
    <w:rsid w:val="006D5B1C"/>
    <w:rsid w:val="006D5B35"/>
    <w:rsid w:val="006D5B80"/>
    <w:rsid w:val="006D5C37"/>
    <w:rsid w:val="006D5C80"/>
    <w:rsid w:val="006D5E24"/>
    <w:rsid w:val="006D729F"/>
    <w:rsid w:val="006E0487"/>
    <w:rsid w:val="006E072D"/>
    <w:rsid w:val="006E0CD1"/>
    <w:rsid w:val="006E1485"/>
    <w:rsid w:val="006E1F84"/>
    <w:rsid w:val="006E2BF7"/>
    <w:rsid w:val="006E2E8B"/>
    <w:rsid w:val="006E2FBE"/>
    <w:rsid w:val="006E3C67"/>
    <w:rsid w:val="006E638A"/>
    <w:rsid w:val="006E6CFA"/>
    <w:rsid w:val="006E6E0D"/>
    <w:rsid w:val="006E78FA"/>
    <w:rsid w:val="006F2610"/>
    <w:rsid w:val="006F2799"/>
    <w:rsid w:val="006F28A2"/>
    <w:rsid w:val="006F2A09"/>
    <w:rsid w:val="006F3753"/>
    <w:rsid w:val="006F3A41"/>
    <w:rsid w:val="006F3B13"/>
    <w:rsid w:val="006F3D09"/>
    <w:rsid w:val="006F49B2"/>
    <w:rsid w:val="006F4D30"/>
    <w:rsid w:val="006F5346"/>
    <w:rsid w:val="006F53EC"/>
    <w:rsid w:val="006F63D5"/>
    <w:rsid w:val="006F75F1"/>
    <w:rsid w:val="006F75FA"/>
    <w:rsid w:val="007000ED"/>
    <w:rsid w:val="007001A0"/>
    <w:rsid w:val="00700400"/>
    <w:rsid w:val="00700D2A"/>
    <w:rsid w:val="0070118B"/>
    <w:rsid w:val="00701D39"/>
    <w:rsid w:val="00701F57"/>
    <w:rsid w:val="00703BA3"/>
    <w:rsid w:val="00703FB2"/>
    <w:rsid w:val="007040F6"/>
    <w:rsid w:val="00704153"/>
    <w:rsid w:val="0070500B"/>
    <w:rsid w:val="00705BE4"/>
    <w:rsid w:val="007067DB"/>
    <w:rsid w:val="007068C7"/>
    <w:rsid w:val="00706BF7"/>
    <w:rsid w:val="00707DF1"/>
    <w:rsid w:val="00710415"/>
    <w:rsid w:val="00710CE6"/>
    <w:rsid w:val="00710DD6"/>
    <w:rsid w:val="00711EBC"/>
    <w:rsid w:val="00713B62"/>
    <w:rsid w:val="007144A3"/>
    <w:rsid w:val="00714941"/>
    <w:rsid w:val="007149BD"/>
    <w:rsid w:val="007152E9"/>
    <w:rsid w:val="0071548C"/>
    <w:rsid w:val="0071574D"/>
    <w:rsid w:val="00715C26"/>
    <w:rsid w:val="00715D0E"/>
    <w:rsid w:val="0071603C"/>
    <w:rsid w:val="007160B3"/>
    <w:rsid w:val="00716857"/>
    <w:rsid w:val="007169A6"/>
    <w:rsid w:val="00717049"/>
    <w:rsid w:val="00717198"/>
    <w:rsid w:val="0071733E"/>
    <w:rsid w:val="0071791A"/>
    <w:rsid w:val="007201D3"/>
    <w:rsid w:val="00720D9B"/>
    <w:rsid w:val="007222BA"/>
    <w:rsid w:val="00722887"/>
    <w:rsid w:val="00722FB9"/>
    <w:rsid w:val="00725C16"/>
    <w:rsid w:val="00725F25"/>
    <w:rsid w:val="00725F53"/>
    <w:rsid w:val="00726DAD"/>
    <w:rsid w:val="00727A75"/>
    <w:rsid w:val="007304A5"/>
    <w:rsid w:val="00730EF7"/>
    <w:rsid w:val="00732F14"/>
    <w:rsid w:val="007330B8"/>
    <w:rsid w:val="007338C1"/>
    <w:rsid w:val="00733BED"/>
    <w:rsid w:val="00733DE0"/>
    <w:rsid w:val="007340E7"/>
    <w:rsid w:val="00734567"/>
    <w:rsid w:val="0073592D"/>
    <w:rsid w:val="00735D6F"/>
    <w:rsid w:val="00736578"/>
    <w:rsid w:val="00736FCA"/>
    <w:rsid w:val="007371AA"/>
    <w:rsid w:val="00737505"/>
    <w:rsid w:val="0073757C"/>
    <w:rsid w:val="00737CC1"/>
    <w:rsid w:val="007400F0"/>
    <w:rsid w:val="007402D8"/>
    <w:rsid w:val="00740AF5"/>
    <w:rsid w:val="00741051"/>
    <w:rsid w:val="00741138"/>
    <w:rsid w:val="00741800"/>
    <w:rsid w:val="00742243"/>
    <w:rsid w:val="00742904"/>
    <w:rsid w:val="00742E03"/>
    <w:rsid w:val="00743312"/>
    <w:rsid w:val="00743549"/>
    <w:rsid w:val="00743F53"/>
    <w:rsid w:val="0074440E"/>
    <w:rsid w:val="00744BCF"/>
    <w:rsid w:val="00746595"/>
    <w:rsid w:val="00747771"/>
    <w:rsid w:val="00747803"/>
    <w:rsid w:val="00747D7A"/>
    <w:rsid w:val="00750564"/>
    <w:rsid w:val="007514FA"/>
    <w:rsid w:val="00751931"/>
    <w:rsid w:val="00752D50"/>
    <w:rsid w:val="00754440"/>
    <w:rsid w:val="00754971"/>
    <w:rsid w:val="00754B18"/>
    <w:rsid w:val="00754E35"/>
    <w:rsid w:val="00754E36"/>
    <w:rsid w:val="00755323"/>
    <w:rsid w:val="0075569B"/>
    <w:rsid w:val="007564E9"/>
    <w:rsid w:val="0075657E"/>
    <w:rsid w:val="00757351"/>
    <w:rsid w:val="007576A5"/>
    <w:rsid w:val="00760883"/>
    <w:rsid w:val="00761461"/>
    <w:rsid w:val="00761F4C"/>
    <w:rsid w:val="0076201F"/>
    <w:rsid w:val="00762442"/>
    <w:rsid w:val="00762600"/>
    <w:rsid w:val="00763F0C"/>
    <w:rsid w:val="00763F9F"/>
    <w:rsid w:val="00764010"/>
    <w:rsid w:val="00764CA8"/>
    <w:rsid w:val="00765004"/>
    <w:rsid w:val="007651C7"/>
    <w:rsid w:val="0076626F"/>
    <w:rsid w:val="007666C6"/>
    <w:rsid w:val="00766CD3"/>
    <w:rsid w:val="0076772A"/>
    <w:rsid w:val="00767A8E"/>
    <w:rsid w:val="00767FB6"/>
    <w:rsid w:val="00770573"/>
    <w:rsid w:val="007708DF"/>
    <w:rsid w:val="00771383"/>
    <w:rsid w:val="00771667"/>
    <w:rsid w:val="007718AB"/>
    <w:rsid w:val="00771DE3"/>
    <w:rsid w:val="00771EE3"/>
    <w:rsid w:val="00772BD0"/>
    <w:rsid w:val="00772E5B"/>
    <w:rsid w:val="007737AA"/>
    <w:rsid w:val="00775353"/>
    <w:rsid w:val="007757EE"/>
    <w:rsid w:val="00775866"/>
    <w:rsid w:val="007759E7"/>
    <w:rsid w:val="00775FF3"/>
    <w:rsid w:val="0077654A"/>
    <w:rsid w:val="007767FB"/>
    <w:rsid w:val="007770F3"/>
    <w:rsid w:val="0077754C"/>
    <w:rsid w:val="00780193"/>
    <w:rsid w:val="0078048D"/>
    <w:rsid w:val="00780871"/>
    <w:rsid w:val="00780F07"/>
    <w:rsid w:val="007825E9"/>
    <w:rsid w:val="00782B08"/>
    <w:rsid w:val="00783906"/>
    <w:rsid w:val="00783B52"/>
    <w:rsid w:val="007844DA"/>
    <w:rsid w:val="00784A47"/>
    <w:rsid w:val="00784C13"/>
    <w:rsid w:val="00784DFC"/>
    <w:rsid w:val="00785763"/>
    <w:rsid w:val="0078590E"/>
    <w:rsid w:val="007864C0"/>
    <w:rsid w:val="00786A0C"/>
    <w:rsid w:val="0078765D"/>
    <w:rsid w:val="00790571"/>
    <w:rsid w:val="007909A2"/>
    <w:rsid w:val="00790CEA"/>
    <w:rsid w:val="007921B4"/>
    <w:rsid w:val="00792DB6"/>
    <w:rsid w:val="007935EB"/>
    <w:rsid w:val="0079381B"/>
    <w:rsid w:val="00793C28"/>
    <w:rsid w:val="007946A4"/>
    <w:rsid w:val="00794DB9"/>
    <w:rsid w:val="00795AC3"/>
    <w:rsid w:val="007960A3"/>
    <w:rsid w:val="00796567"/>
    <w:rsid w:val="00796DFF"/>
    <w:rsid w:val="0079787F"/>
    <w:rsid w:val="00797C98"/>
    <w:rsid w:val="00797E23"/>
    <w:rsid w:val="00797F83"/>
    <w:rsid w:val="007A0708"/>
    <w:rsid w:val="007A1061"/>
    <w:rsid w:val="007A14BE"/>
    <w:rsid w:val="007A160C"/>
    <w:rsid w:val="007A257B"/>
    <w:rsid w:val="007A2A4B"/>
    <w:rsid w:val="007A368E"/>
    <w:rsid w:val="007A3CBF"/>
    <w:rsid w:val="007A429A"/>
    <w:rsid w:val="007A443C"/>
    <w:rsid w:val="007A4A1E"/>
    <w:rsid w:val="007A4BDC"/>
    <w:rsid w:val="007A4BF9"/>
    <w:rsid w:val="007A56A4"/>
    <w:rsid w:val="007A583E"/>
    <w:rsid w:val="007A58A1"/>
    <w:rsid w:val="007A58C5"/>
    <w:rsid w:val="007A5C5D"/>
    <w:rsid w:val="007A7104"/>
    <w:rsid w:val="007A7310"/>
    <w:rsid w:val="007A7C05"/>
    <w:rsid w:val="007B0350"/>
    <w:rsid w:val="007B0C46"/>
    <w:rsid w:val="007B10CB"/>
    <w:rsid w:val="007B1A6F"/>
    <w:rsid w:val="007B23B0"/>
    <w:rsid w:val="007B2537"/>
    <w:rsid w:val="007B2C6D"/>
    <w:rsid w:val="007B3555"/>
    <w:rsid w:val="007B4B68"/>
    <w:rsid w:val="007B4DA8"/>
    <w:rsid w:val="007B5E87"/>
    <w:rsid w:val="007C004A"/>
    <w:rsid w:val="007C11CD"/>
    <w:rsid w:val="007C11D1"/>
    <w:rsid w:val="007C1973"/>
    <w:rsid w:val="007C2E22"/>
    <w:rsid w:val="007C3D05"/>
    <w:rsid w:val="007C3D1F"/>
    <w:rsid w:val="007C4318"/>
    <w:rsid w:val="007C43A3"/>
    <w:rsid w:val="007C4DC4"/>
    <w:rsid w:val="007C5774"/>
    <w:rsid w:val="007C58DE"/>
    <w:rsid w:val="007C5F6C"/>
    <w:rsid w:val="007C6FDD"/>
    <w:rsid w:val="007C770D"/>
    <w:rsid w:val="007D0061"/>
    <w:rsid w:val="007D021A"/>
    <w:rsid w:val="007D0A88"/>
    <w:rsid w:val="007D0EE5"/>
    <w:rsid w:val="007D0FF7"/>
    <w:rsid w:val="007D241C"/>
    <w:rsid w:val="007D275D"/>
    <w:rsid w:val="007D2B8F"/>
    <w:rsid w:val="007D318E"/>
    <w:rsid w:val="007D3EC0"/>
    <w:rsid w:val="007D4C28"/>
    <w:rsid w:val="007D5113"/>
    <w:rsid w:val="007D59AF"/>
    <w:rsid w:val="007D5EEB"/>
    <w:rsid w:val="007D73C4"/>
    <w:rsid w:val="007D7762"/>
    <w:rsid w:val="007E0226"/>
    <w:rsid w:val="007E0966"/>
    <w:rsid w:val="007E0CF4"/>
    <w:rsid w:val="007E105B"/>
    <w:rsid w:val="007E155D"/>
    <w:rsid w:val="007E2488"/>
    <w:rsid w:val="007E3D16"/>
    <w:rsid w:val="007E4153"/>
    <w:rsid w:val="007E42C9"/>
    <w:rsid w:val="007E43AA"/>
    <w:rsid w:val="007E4906"/>
    <w:rsid w:val="007E4C8F"/>
    <w:rsid w:val="007E5641"/>
    <w:rsid w:val="007E5944"/>
    <w:rsid w:val="007E5BE2"/>
    <w:rsid w:val="007E5C24"/>
    <w:rsid w:val="007E61CF"/>
    <w:rsid w:val="007E7583"/>
    <w:rsid w:val="007E777C"/>
    <w:rsid w:val="007E7E99"/>
    <w:rsid w:val="007F00BD"/>
    <w:rsid w:val="007F069E"/>
    <w:rsid w:val="007F0FFF"/>
    <w:rsid w:val="007F13D8"/>
    <w:rsid w:val="007F1B2A"/>
    <w:rsid w:val="007F2006"/>
    <w:rsid w:val="007F2B5A"/>
    <w:rsid w:val="007F3646"/>
    <w:rsid w:val="007F3C3F"/>
    <w:rsid w:val="007F40BF"/>
    <w:rsid w:val="007F419B"/>
    <w:rsid w:val="007F4EB6"/>
    <w:rsid w:val="007F5917"/>
    <w:rsid w:val="007F5A81"/>
    <w:rsid w:val="007F5A87"/>
    <w:rsid w:val="007F616C"/>
    <w:rsid w:val="007F65FE"/>
    <w:rsid w:val="00800215"/>
    <w:rsid w:val="008018D4"/>
    <w:rsid w:val="00802324"/>
    <w:rsid w:val="00802EA7"/>
    <w:rsid w:val="00803007"/>
    <w:rsid w:val="00803699"/>
    <w:rsid w:val="00803A93"/>
    <w:rsid w:val="00804101"/>
    <w:rsid w:val="0080417D"/>
    <w:rsid w:val="00804CC2"/>
    <w:rsid w:val="0080531C"/>
    <w:rsid w:val="0080556E"/>
    <w:rsid w:val="00805BF4"/>
    <w:rsid w:val="008060C9"/>
    <w:rsid w:val="00806246"/>
    <w:rsid w:val="008065EA"/>
    <w:rsid w:val="008069D8"/>
    <w:rsid w:val="0080722F"/>
    <w:rsid w:val="0080761E"/>
    <w:rsid w:val="0080787B"/>
    <w:rsid w:val="00810442"/>
    <w:rsid w:val="00810C36"/>
    <w:rsid w:val="00811819"/>
    <w:rsid w:val="00812438"/>
    <w:rsid w:val="008132F1"/>
    <w:rsid w:val="00814614"/>
    <w:rsid w:val="0081487C"/>
    <w:rsid w:val="00814A1D"/>
    <w:rsid w:val="00814EA5"/>
    <w:rsid w:val="00815038"/>
    <w:rsid w:val="008152C2"/>
    <w:rsid w:val="008162C0"/>
    <w:rsid w:val="00816530"/>
    <w:rsid w:val="00816A3C"/>
    <w:rsid w:val="00816BAB"/>
    <w:rsid w:val="00817D47"/>
    <w:rsid w:val="00820DD9"/>
    <w:rsid w:val="00821948"/>
    <w:rsid w:val="00821A69"/>
    <w:rsid w:val="00821B11"/>
    <w:rsid w:val="0082236C"/>
    <w:rsid w:val="0082242E"/>
    <w:rsid w:val="00823875"/>
    <w:rsid w:val="0082575D"/>
    <w:rsid w:val="00826215"/>
    <w:rsid w:val="00826E20"/>
    <w:rsid w:val="00827A1A"/>
    <w:rsid w:val="00830335"/>
    <w:rsid w:val="00830B07"/>
    <w:rsid w:val="00830C45"/>
    <w:rsid w:val="0083131F"/>
    <w:rsid w:val="008316E6"/>
    <w:rsid w:val="00832629"/>
    <w:rsid w:val="00832C02"/>
    <w:rsid w:val="00834415"/>
    <w:rsid w:val="00834947"/>
    <w:rsid w:val="00834BC4"/>
    <w:rsid w:val="00837850"/>
    <w:rsid w:val="00837998"/>
    <w:rsid w:val="008401F9"/>
    <w:rsid w:val="008406F8"/>
    <w:rsid w:val="008414D8"/>
    <w:rsid w:val="0084240A"/>
    <w:rsid w:val="00843B85"/>
    <w:rsid w:val="00844871"/>
    <w:rsid w:val="00844E8E"/>
    <w:rsid w:val="008451E8"/>
    <w:rsid w:val="0084550A"/>
    <w:rsid w:val="00845913"/>
    <w:rsid w:val="008463C0"/>
    <w:rsid w:val="008469F1"/>
    <w:rsid w:val="008479F3"/>
    <w:rsid w:val="00847AE4"/>
    <w:rsid w:val="00847CDA"/>
    <w:rsid w:val="00850154"/>
    <w:rsid w:val="00850814"/>
    <w:rsid w:val="00850CE7"/>
    <w:rsid w:val="00850D71"/>
    <w:rsid w:val="0085109A"/>
    <w:rsid w:val="008510E0"/>
    <w:rsid w:val="008514E4"/>
    <w:rsid w:val="00851777"/>
    <w:rsid w:val="00852145"/>
    <w:rsid w:val="008523AB"/>
    <w:rsid w:val="008523CF"/>
    <w:rsid w:val="0085253D"/>
    <w:rsid w:val="008528F7"/>
    <w:rsid w:val="0085293E"/>
    <w:rsid w:val="00852BA5"/>
    <w:rsid w:val="00852BAD"/>
    <w:rsid w:val="00853719"/>
    <w:rsid w:val="0085573D"/>
    <w:rsid w:val="00856668"/>
    <w:rsid w:val="0085756F"/>
    <w:rsid w:val="0085778E"/>
    <w:rsid w:val="0086011A"/>
    <w:rsid w:val="00860272"/>
    <w:rsid w:val="008603A1"/>
    <w:rsid w:val="00860BE4"/>
    <w:rsid w:val="00861582"/>
    <w:rsid w:val="008617F6"/>
    <w:rsid w:val="00861E54"/>
    <w:rsid w:val="008622AB"/>
    <w:rsid w:val="008628E1"/>
    <w:rsid w:val="00862F4C"/>
    <w:rsid w:val="008637EF"/>
    <w:rsid w:val="008638FF"/>
    <w:rsid w:val="0086461C"/>
    <w:rsid w:val="008651C1"/>
    <w:rsid w:val="008656F3"/>
    <w:rsid w:val="00865D74"/>
    <w:rsid w:val="008662E7"/>
    <w:rsid w:val="0086715C"/>
    <w:rsid w:val="008674FF"/>
    <w:rsid w:val="0087040C"/>
    <w:rsid w:val="00871145"/>
    <w:rsid w:val="00872F5B"/>
    <w:rsid w:val="00873956"/>
    <w:rsid w:val="00874A71"/>
    <w:rsid w:val="00875FDC"/>
    <w:rsid w:val="00876354"/>
    <w:rsid w:val="00876911"/>
    <w:rsid w:val="00876A9E"/>
    <w:rsid w:val="00876C84"/>
    <w:rsid w:val="008770CC"/>
    <w:rsid w:val="00877207"/>
    <w:rsid w:val="008806A9"/>
    <w:rsid w:val="008814D5"/>
    <w:rsid w:val="00881E29"/>
    <w:rsid w:val="0088312E"/>
    <w:rsid w:val="0088356D"/>
    <w:rsid w:val="008835CA"/>
    <w:rsid w:val="00883C44"/>
    <w:rsid w:val="00883E09"/>
    <w:rsid w:val="00884641"/>
    <w:rsid w:val="00885174"/>
    <w:rsid w:val="0088529B"/>
    <w:rsid w:val="008854D6"/>
    <w:rsid w:val="00885A72"/>
    <w:rsid w:val="00886636"/>
    <w:rsid w:val="00886AF1"/>
    <w:rsid w:val="00886FE9"/>
    <w:rsid w:val="00887148"/>
    <w:rsid w:val="00887D2C"/>
    <w:rsid w:val="00887E91"/>
    <w:rsid w:val="008906CC"/>
    <w:rsid w:val="00891F04"/>
    <w:rsid w:val="00892772"/>
    <w:rsid w:val="00893203"/>
    <w:rsid w:val="0089362D"/>
    <w:rsid w:val="00893A3A"/>
    <w:rsid w:val="00893BE6"/>
    <w:rsid w:val="00893E50"/>
    <w:rsid w:val="0089424D"/>
    <w:rsid w:val="008951A0"/>
    <w:rsid w:val="0089542C"/>
    <w:rsid w:val="00896DB8"/>
    <w:rsid w:val="00897E67"/>
    <w:rsid w:val="008A069A"/>
    <w:rsid w:val="008A0C28"/>
    <w:rsid w:val="008A14AF"/>
    <w:rsid w:val="008A1F61"/>
    <w:rsid w:val="008A301C"/>
    <w:rsid w:val="008A35AE"/>
    <w:rsid w:val="008A3D43"/>
    <w:rsid w:val="008A3E89"/>
    <w:rsid w:val="008A400E"/>
    <w:rsid w:val="008A473E"/>
    <w:rsid w:val="008A5068"/>
    <w:rsid w:val="008A5079"/>
    <w:rsid w:val="008A55A8"/>
    <w:rsid w:val="008A62AC"/>
    <w:rsid w:val="008A6460"/>
    <w:rsid w:val="008A6769"/>
    <w:rsid w:val="008A6B5C"/>
    <w:rsid w:val="008A6D64"/>
    <w:rsid w:val="008A6E9B"/>
    <w:rsid w:val="008A70A7"/>
    <w:rsid w:val="008B02D4"/>
    <w:rsid w:val="008B0605"/>
    <w:rsid w:val="008B0A03"/>
    <w:rsid w:val="008B0A6E"/>
    <w:rsid w:val="008B0FC0"/>
    <w:rsid w:val="008B12CB"/>
    <w:rsid w:val="008B1F2E"/>
    <w:rsid w:val="008B3C14"/>
    <w:rsid w:val="008B3EC7"/>
    <w:rsid w:val="008B4029"/>
    <w:rsid w:val="008B42C7"/>
    <w:rsid w:val="008B4F48"/>
    <w:rsid w:val="008B4F6A"/>
    <w:rsid w:val="008B57A9"/>
    <w:rsid w:val="008B5DB9"/>
    <w:rsid w:val="008B6109"/>
    <w:rsid w:val="008B73CC"/>
    <w:rsid w:val="008C0194"/>
    <w:rsid w:val="008C0BE2"/>
    <w:rsid w:val="008C1903"/>
    <w:rsid w:val="008C196E"/>
    <w:rsid w:val="008C1B6C"/>
    <w:rsid w:val="008C2BF7"/>
    <w:rsid w:val="008C2C0C"/>
    <w:rsid w:val="008C351A"/>
    <w:rsid w:val="008C39E7"/>
    <w:rsid w:val="008C3C14"/>
    <w:rsid w:val="008C3C27"/>
    <w:rsid w:val="008C4241"/>
    <w:rsid w:val="008C489C"/>
    <w:rsid w:val="008C4FBD"/>
    <w:rsid w:val="008C6210"/>
    <w:rsid w:val="008C6796"/>
    <w:rsid w:val="008C6A43"/>
    <w:rsid w:val="008C6B18"/>
    <w:rsid w:val="008C711D"/>
    <w:rsid w:val="008D03B6"/>
    <w:rsid w:val="008D0EC7"/>
    <w:rsid w:val="008D2002"/>
    <w:rsid w:val="008D2906"/>
    <w:rsid w:val="008D2BB0"/>
    <w:rsid w:val="008D2C8E"/>
    <w:rsid w:val="008D3106"/>
    <w:rsid w:val="008D4E4B"/>
    <w:rsid w:val="008D5018"/>
    <w:rsid w:val="008D5DFA"/>
    <w:rsid w:val="008D6033"/>
    <w:rsid w:val="008D6FFE"/>
    <w:rsid w:val="008D7D04"/>
    <w:rsid w:val="008E0326"/>
    <w:rsid w:val="008E0FBA"/>
    <w:rsid w:val="008E23FB"/>
    <w:rsid w:val="008E2B4D"/>
    <w:rsid w:val="008E3076"/>
    <w:rsid w:val="008E3569"/>
    <w:rsid w:val="008E3B24"/>
    <w:rsid w:val="008E4049"/>
    <w:rsid w:val="008E43B9"/>
    <w:rsid w:val="008E52D9"/>
    <w:rsid w:val="008E7B09"/>
    <w:rsid w:val="008F0309"/>
    <w:rsid w:val="008F0A42"/>
    <w:rsid w:val="008F18E9"/>
    <w:rsid w:val="008F1D43"/>
    <w:rsid w:val="008F2032"/>
    <w:rsid w:val="008F443E"/>
    <w:rsid w:val="008F6793"/>
    <w:rsid w:val="008F6D7B"/>
    <w:rsid w:val="008F71C0"/>
    <w:rsid w:val="008F7204"/>
    <w:rsid w:val="008F7AC8"/>
    <w:rsid w:val="00900A6F"/>
    <w:rsid w:val="00900FA4"/>
    <w:rsid w:val="009018FD"/>
    <w:rsid w:val="00902899"/>
    <w:rsid w:val="009038E8"/>
    <w:rsid w:val="00904613"/>
    <w:rsid w:val="00904682"/>
    <w:rsid w:val="00904745"/>
    <w:rsid w:val="00905061"/>
    <w:rsid w:val="00905727"/>
    <w:rsid w:val="00905B0A"/>
    <w:rsid w:val="00906B62"/>
    <w:rsid w:val="00907436"/>
    <w:rsid w:val="009078D0"/>
    <w:rsid w:val="00907A0E"/>
    <w:rsid w:val="00910420"/>
    <w:rsid w:val="00910BE8"/>
    <w:rsid w:val="009120E7"/>
    <w:rsid w:val="00913367"/>
    <w:rsid w:val="009145CE"/>
    <w:rsid w:val="009147AD"/>
    <w:rsid w:val="00914E94"/>
    <w:rsid w:val="00915DAA"/>
    <w:rsid w:val="00915EDF"/>
    <w:rsid w:val="0091720E"/>
    <w:rsid w:val="00917A59"/>
    <w:rsid w:val="00917F64"/>
    <w:rsid w:val="0092110F"/>
    <w:rsid w:val="00921C95"/>
    <w:rsid w:val="00922947"/>
    <w:rsid w:val="00923052"/>
    <w:rsid w:val="00923146"/>
    <w:rsid w:val="00923848"/>
    <w:rsid w:val="00923A5F"/>
    <w:rsid w:val="00923B9A"/>
    <w:rsid w:val="00924056"/>
    <w:rsid w:val="00924EF2"/>
    <w:rsid w:val="009254B1"/>
    <w:rsid w:val="009255F1"/>
    <w:rsid w:val="00925B11"/>
    <w:rsid w:val="00925FA9"/>
    <w:rsid w:val="00926731"/>
    <w:rsid w:val="00926A6D"/>
    <w:rsid w:val="009272FE"/>
    <w:rsid w:val="009275A2"/>
    <w:rsid w:val="009277E9"/>
    <w:rsid w:val="00927A10"/>
    <w:rsid w:val="00927D7E"/>
    <w:rsid w:val="0093047C"/>
    <w:rsid w:val="009306E9"/>
    <w:rsid w:val="00930934"/>
    <w:rsid w:val="00930C00"/>
    <w:rsid w:val="00930F6D"/>
    <w:rsid w:val="00931483"/>
    <w:rsid w:val="009317D2"/>
    <w:rsid w:val="009318CE"/>
    <w:rsid w:val="00932ADB"/>
    <w:rsid w:val="00933CE0"/>
    <w:rsid w:val="00934517"/>
    <w:rsid w:val="00934D23"/>
    <w:rsid w:val="009353E8"/>
    <w:rsid w:val="00935CA0"/>
    <w:rsid w:val="00936006"/>
    <w:rsid w:val="0093702E"/>
    <w:rsid w:val="00937BE0"/>
    <w:rsid w:val="00937C7B"/>
    <w:rsid w:val="00940139"/>
    <w:rsid w:val="00940426"/>
    <w:rsid w:val="00941285"/>
    <w:rsid w:val="00943C06"/>
    <w:rsid w:val="00943F07"/>
    <w:rsid w:val="0094466D"/>
    <w:rsid w:val="00944893"/>
    <w:rsid w:val="0094490B"/>
    <w:rsid w:val="00944A47"/>
    <w:rsid w:val="00944D2A"/>
    <w:rsid w:val="009451BF"/>
    <w:rsid w:val="009471FB"/>
    <w:rsid w:val="00947E10"/>
    <w:rsid w:val="0095030F"/>
    <w:rsid w:val="009504F3"/>
    <w:rsid w:val="009506CF"/>
    <w:rsid w:val="00950781"/>
    <w:rsid w:val="009508E7"/>
    <w:rsid w:val="009510B5"/>
    <w:rsid w:val="009511E6"/>
    <w:rsid w:val="00951F91"/>
    <w:rsid w:val="00952EB6"/>
    <w:rsid w:val="009550C6"/>
    <w:rsid w:val="00956346"/>
    <w:rsid w:val="0095636A"/>
    <w:rsid w:val="009567FD"/>
    <w:rsid w:val="0095758D"/>
    <w:rsid w:val="009608CD"/>
    <w:rsid w:val="00960B81"/>
    <w:rsid w:val="00960D1C"/>
    <w:rsid w:val="00961FC0"/>
    <w:rsid w:val="0096229A"/>
    <w:rsid w:val="0096270F"/>
    <w:rsid w:val="00963938"/>
    <w:rsid w:val="00963C12"/>
    <w:rsid w:val="009641DE"/>
    <w:rsid w:val="00964E69"/>
    <w:rsid w:val="009657B0"/>
    <w:rsid w:val="00965871"/>
    <w:rsid w:val="0096590E"/>
    <w:rsid w:val="00966D38"/>
    <w:rsid w:val="0096773E"/>
    <w:rsid w:val="00967995"/>
    <w:rsid w:val="00971759"/>
    <w:rsid w:val="0097210E"/>
    <w:rsid w:val="0097313F"/>
    <w:rsid w:val="009731B4"/>
    <w:rsid w:val="00973302"/>
    <w:rsid w:val="0097343E"/>
    <w:rsid w:val="009744C1"/>
    <w:rsid w:val="0097477F"/>
    <w:rsid w:val="00974DCD"/>
    <w:rsid w:val="009751A7"/>
    <w:rsid w:val="009761CC"/>
    <w:rsid w:val="00976631"/>
    <w:rsid w:val="009768A5"/>
    <w:rsid w:val="00976C4D"/>
    <w:rsid w:val="00977030"/>
    <w:rsid w:val="009802AF"/>
    <w:rsid w:val="00980759"/>
    <w:rsid w:val="00980838"/>
    <w:rsid w:val="009808AB"/>
    <w:rsid w:val="0098093A"/>
    <w:rsid w:val="00980B74"/>
    <w:rsid w:val="00980D37"/>
    <w:rsid w:val="0098162D"/>
    <w:rsid w:val="00981A30"/>
    <w:rsid w:val="00982882"/>
    <w:rsid w:val="009828DB"/>
    <w:rsid w:val="00984AAC"/>
    <w:rsid w:val="009861D4"/>
    <w:rsid w:val="009864BD"/>
    <w:rsid w:val="009865B4"/>
    <w:rsid w:val="00986B64"/>
    <w:rsid w:val="009875EA"/>
    <w:rsid w:val="00987603"/>
    <w:rsid w:val="00987687"/>
    <w:rsid w:val="00987A39"/>
    <w:rsid w:val="00987AB4"/>
    <w:rsid w:val="00987FCB"/>
    <w:rsid w:val="009902E6"/>
    <w:rsid w:val="00990BB2"/>
    <w:rsid w:val="0099209A"/>
    <w:rsid w:val="009927F5"/>
    <w:rsid w:val="00992EFC"/>
    <w:rsid w:val="0099334E"/>
    <w:rsid w:val="009933D6"/>
    <w:rsid w:val="009935E4"/>
    <w:rsid w:val="00993A8A"/>
    <w:rsid w:val="00993CDC"/>
    <w:rsid w:val="0099412D"/>
    <w:rsid w:val="0099486F"/>
    <w:rsid w:val="009948B9"/>
    <w:rsid w:val="00994E52"/>
    <w:rsid w:val="009955CA"/>
    <w:rsid w:val="00996915"/>
    <w:rsid w:val="00996920"/>
    <w:rsid w:val="0099725D"/>
    <w:rsid w:val="0099797F"/>
    <w:rsid w:val="009A029D"/>
    <w:rsid w:val="009A05D9"/>
    <w:rsid w:val="009A1088"/>
    <w:rsid w:val="009A1140"/>
    <w:rsid w:val="009A1181"/>
    <w:rsid w:val="009A20EF"/>
    <w:rsid w:val="009A3502"/>
    <w:rsid w:val="009A3C18"/>
    <w:rsid w:val="009A40EB"/>
    <w:rsid w:val="009A4353"/>
    <w:rsid w:val="009A4F75"/>
    <w:rsid w:val="009A50ED"/>
    <w:rsid w:val="009A54C5"/>
    <w:rsid w:val="009A5AED"/>
    <w:rsid w:val="009A6A0D"/>
    <w:rsid w:val="009A708D"/>
    <w:rsid w:val="009A7A28"/>
    <w:rsid w:val="009B02B9"/>
    <w:rsid w:val="009B08CA"/>
    <w:rsid w:val="009B0B6D"/>
    <w:rsid w:val="009B0C98"/>
    <w:rsid w:val="009B1D24"/>
    <w:rsid w:val="009B2E93"/>
    <w:rsid w:val="009B2E9B"/>
    <w:rsid w:val="009B3505"/>
    <w:rsid w:val="009B3F38"/>
    <w:rsid w:val="009B3FAF"/>
    <w:rsid w:val="009B4124"/>
    <w:rsid w:val="009B4256"/>
    <w:rsid w:val="009B4512"/>
    <w:rsid w:val="009B5A53"/>
    <w:rsid w:val="009B606F"/>
    <w:rsid w:val="009B67E2"/>
    <w:rsid w:val="009B6845"/>
    <w:rsid w:val="009B6F46"/>
    <w:rsid w:val="009B7033"/>
    <w:rsid w:val="009B73DF"/>
    <w:rsid w:val="009C0392"/>
    <w:rsid w:val="009C0525"/>
    <w:rsid w:val="009C1364"/>
    <w:rsid w:val="009C166E"/>
    <w:rsid w:val="009C180D"/>
    <w:rsid w:val="009C1DB8"/>
    <w:rsid w:val="009C2356"/>
    <w:rsid w:val="009C2CD5"/>
    <w:rsid w:val="009C3C2C"/>
    <w:rsid w:val="009C44FA"/>
    <w:rsid w:val="009C479D"/>
    <w:rsid w:val="009C4EC1"/>
    <w:rsid w:val="009C50FE"/>
    <w:rsid w:val="009C5663"/>
    <w:rsid w:val="009C664A"/>
    <w:rsid w:val="009C71B3"/>
    <w:rsid w:val="009D0395"/>
    <w:rsid w:val="009D07AD"/>
    <w:rsid w:val="009D0A4E"/>
    <w:rsid w:val="009D0B97"/>
    <w:rsid w:val="009D0BF7"/>
    <w:rsid w:val="009D249B"/>
    <w:rsid w:val="009D505E"/>
    <w:rsid w:val="009D53B4"/>
    <w:rsid w:val="009D6AD6"/>
    <w:rsid w:val="009D707F"/>
    <w:rsid w:val="009D73AB"/>
    <w:rsid w:val="009D7529"/>
    <w:rsid w:val="009D7EAD"/>
    <w:rsid w:val="009E019A"/>
    <w:rsid w:val="009E073A"/>
    <w:rsid w:val="009E0FD1"/>
    <w:rsid w:val="009E1AD4"/>
    <w:rsid w:val="009E2E7B"/>
    <w:rsid w:val="009E4260"/>
    <w:rsid w:val="009E4495"/>
    <w:rsid w:val="009E48F3"/>
    <w:rsid w:val="009E4BF1"/>
    <w:rsid w:val="009E4D0F"/>
    <w:rsid w:val="009E6809"/>
    <w:rsid w:val="009E698C"/>
    <w:rsid w:val="009E6D8A"/>
    <w:rsid w:val="009E7159"/>
    <w:rsid w:val="009E7296"/>
    <w:rsid w:val="009F0021"/>
    <w:rsid w:val="009F0ECE"/>
    <w:rsid w:val="009F1162"/>
    <w:rsid w:val="009F3BBC"/>
    <w:rsid w:val="009F3FC4"/>
    <w:rsid w:val="009F4548"/>
    <w:rsid w:val="009F4773"/>
    <w:rsid w:val="009F5624"/>
    <w:rsid w:val="009F58B0"/>
    <w:rsid w:val="009F669E"/>
    <w:rsid w:val="009F7092"/>
    <w:rsid w:val="009F72A2"/>
    <w:rsid w:val="009F7EC1"/>
    <w:rsid w:val="00A00291"/>
    <w:rsid w:val="00A003D5"/>
    <w:rsid w:val="00A00563"/>
    <w:rsid w:val="00A006D1"/>
    <w:rsid w:val="00A00FCB"/>
    <w:rsid w:val="00A01EF8"/>
    <w:rsid w:val="00A02C46"/>
    <w:rsid w:val="00A02CD7"/>
    <w:rsid w:val="00A034D4"/>
    <w:rsid w:val="00A0523B"/>
    <w:rsid w:val="00A053BF"/>
    <w:rsid w:val="00A06610"/>
    <w:rsid w:val="00A0666D"/>
    <w:rsid w:val="00A06683"/>
    <w:rsid w:val="00A073A6"/>
    <w:rsid w:val="00A103D8"/>
    <w:rsid w:val="00A106FE"/>
    <w:rsid w:val="00A12C2D"/>
    <w:rsid w:val="00A12D4C"/>
    <w:rsid w:val="00A13130"/>
    <w:rsid w:val="00A13588"/>
    <w:rsid w:val="00A1440A"/>
    <w:rsid w:val="00A150AB"/>
    <w:rsid w:val="00A15551"/>
    <w:rsid w:val="00A155A9"/>
    <w:rsid w:val="00A16169"/>
    <w:rsid w:val="00A16B34"/>
    <w:rsid w:val="00A16DF3"/>
    <w:rsid w:val="00A2120D"/>
    <w:rsid w:val="00A2161A"/>
    <w:rsid w:val="00A21F05"/>
    <w:rsid w:val="00A21F84"/>
    <w:rsid w:val="00A226C1"/>
    <w:rsid w:val="00A2380E"/>
    <w:rsid w:val="00A2432E"/>
    <w:rsid w:val="00A2495A"/>
    <w:rsid w:val="00A24E88"/>
    <w:rsid w:val="00A2514D"/>
    <w:rsid w:val="00A2569C"/>
    <w:rsid w:val="00A2572F"/>
    <w:rsid w:val="00A25CB2"/>
    <w:rsid w:val="00A25E0F"/>
    <w:rsid w:val="00A25E9C"/>
    <w:rsid w:val="00A2606A"/>
    <w:rsid w:val="00A26631"/>
    <w:rsid w:val="00A26791"/>
    <w:rsid w:val="00A267AA"/>
    <w:rsid w:val="00A26A6A"/>
    <w:rsid w:val="00A276BB"/>
    <w:rsid w:val="00A278C3"/>
    <w:rsid w:val="00A27B0F"/>
    <w:rsid w:val="00A30E91"/>
    <w:rsid w:val="00A316E0"/>
    <w:rsid w:val="00A31BA8"/>
    <w:rsid w:val="00A32E09"/>
    <w:rsid w:val="00A33B3D"/>
    <w:rsid w:val="00A33E87"/>
    <w:rsid w:val="00A344DB"/>
    <w:rsid w:val="00A34FDB"/>
    <w:rsid w:val="00A35CAA"/>
    <w:rsid w:val="00A35E73"/>
    <w:rsid w:val="00A370BE"/>
    <w:rsid w:val="00A3787C"/>
    <w:rsid w:val="00A37F77"/>
    <w:rsid w:val="00A40073"/>
    <w:rsid w:val="00A40136"/>
    <w:rsid w:val="00A40664"/>
    <w:rsid w:val="00A40993"/>
    <w:rsid w:val="00A42B45"/>
    <w:rsid w:val="00A436C3"/>
    <w:rsid w:val="00A43819"/>
    <w:rsid w:val="00A44616"/>
    <w:rsid w:val="00A452FB"/>
    <w:rsid w:val="00A45507"/>
    <w:rsid w:val="00A46030"/>
    <w:rsid w:val="00A46716"/>
    <w:rsid w:val="00A5010E"/>
    <w:rsid w:val="00A506A2"/>
    <w:rsid w:val="00A508F3"/>
    <w:rsid w:val="00A51B7B"/>
    <w:rsid w:val="00A5202D"/>
    <w:rsid w:val="00A523DC"/>
    <w:rsid w:val="00A54251"/>
    <w:rsid w:val="00A5491C"/>
    <w:rsid w:val="00A54C1B"/>
    <w:rsid w:val="00A5514F"/>
    <w:rsid w:val="00A55A35"/>
    <w:rsid w:val="00A561A0"/>
    <w:rsid w:val="00A56FC6"/>
    <w:rsid w:val="00A57386"/>
    <w:rsid w:val="00A5779C"/>
    <w:rsid w:val="00A57A7E"/>
    <w:rsid w:val="00A57EB6"/>
    <w:rsid w:val="00A605CB"/>
    <w:rsid w:val="00A611AF"/>
    <w:rsid w:val="00A611DA"/>
    <w:rsid w:val="00A61A59"/>
    <w:rsid w:val="00A621B2"/>
    <w:rsid w:val="00A622EB"/>
    <w:rsid w:val="00A6262B"/>
    <w:rsid w:val="00A6359A"/>
    <w:rsid w:val="00A63655"/>
    <w:rsid w:val="00A6367C"/>
    <w:rsid w:val="00A638CB"/>
    <w:rsid w:val="00A63BE0"/>
    <w:rsid w:val="00A64417"/>
    <w:rsid w:val="00A6474A"/>
    <w:rsid w:val="00A64776"/>
    <w:rsid w:val="00A668E7"/>
    <w:rsid w:val="00A66D24"/>
    <w:rsid w:val="00A67809"/>
    <w:rsid w:val="00A71B7B"/>
    <w:rsid w:val="00A72014"/>
    <w:rsid w:val="00A7206B"/>
    <w:rsid w:val="00A72637"/>
    <w:rsid w:val="00A72687"/>
    <w:rsid w:val="00A72760"/>
    <w:rsid w:val="00A72A1E"/>
    <w:rsid w:val="00A751A6"/>
    <w:rsid w:val="00A7530A"/>
    <w:rsid w:val="00A75438"/>
    <w:rsid w:val="00A8075D"/>
    <w:rsid w:val="00A80E4A"/>
    <w:rsid w:val="00A81CD9"/>
    <w:rsid w:val="00A8227A"/>
    <w:rsid w:val="00A82F95"/>
    <w:rsid w:val="00A83268"/>
    <w:rsid w:val="00A83384"/>
    <w:rsid w:val="00A8344A"/>
    <w:rsid w:val="00A844AE"/>
    <w:rsid w:val="00A868DF"/>
    <w:rsid w:val="00A86925"/>
    <w:rsid w:val="00A87E8D"/>
    <w:rsid w:val="00A9011A"/>
    <w:rsid w:val="00A90381"/>
    <w:rsid w:val="00A91882"/>
    <w:rsid w:val="00A927E8"/>
    <w:rsid w:val="00A92946"/>
    <w:rsid w:val="00A93186"/>
    <w:rsid w:val="00A9331F"/>
    <w:rsid w:val="00A94744"/>
    <w:rsid w:val="00A954BF"/>
    <w:rsid w:val="00A96A97"/>
    <w:rsid w:val="00A96D1C"/>
    <w:rsid w:val="00A97137"/>
    <w:rsid w:val="00A97C2F"/>
    <w:rsid w:val="00AA079C"/>
    <w:rsid w:val="00AA0D2B"/>
    <w:rsid w:val="00AA1809"/>
    <w:rsid w:val="00AA1E1D"/>
    <w:rsid w:val="00AA26E3"/>
    <w:rsid w:val="00AA31FF"/>
    <w:rsid w:val="00AA3F24"/>
    <w:rsid w:val="00AA4E84"/>
    <w:rsid w:val="00AA552F"/>
    <w:rsid w:val="00AA5D25"/>
    <w:rsid w:val="00AA5E78"/>
    <w:rsid w:val="00AA5F8D"/>
    <w:rsid w:val="00AA6161"/>
    <w:rsid w:val="00AA6412"/>
    <w:rsid w:val="00AA6482"/>
    <w:rsid w:val="00AA64B6"/>
    <w:rsid w:val="00AA671A"/>
    <w:rsid w:val="00AA6E83"/>
    <w:rsid w:val="00AA7212"/>
    <w:rsid w:val="00AA7502"/>
    <w:rsid w:val="00AA76E9"/>
    <w:rsid w:val="00AA7B72"/>
    <w:rsid w:val="00AB1194"/>
    <w:rsid w:val="00AB164C"/>
    <w:rsid w:val="00AB199C"/>
    <w:rsid w:val="00AB255C"/>
    <w:rsid w:val="00AB2908"/>
    <w:rsid w:val="00AB2B21"/>
    <w:rsid w:val="00AB34FF"/>
    <w:rsid w:val="00AB3647"/>
    <w:rsid w:val="00AB378D"/>
    <w:rsid w:val="00AB399A"/>
    <w:rsid w:val="00AB3F47"/>
    <w:rsid w:val="00AB463F"/>
    <w:rsid w:val="00AB4A71"/>
    <w:rsid w:val="00AB4DFE"/>
    <w:rsid w:val="00AB5FD4"/>
    <w:rsid w:val="00AB631B"/>
    <w:rsid w:val="00AB6A94"/>
    <w:rsid w:val="00AC04C3"/>
    <w:rsid w:val="00AC2071"/>
    <w:rsid w:val="00AC26D4"/>
    <w:rsid w:val="00AC3580"/>
    <w:rsid w:val="00AC42EB"/>
    <w:rsid w:val="00AC473D"/>
    <w:rsid w:val="00AC49E4"/>
    <w:rsid w:val="00AC5278"/>
    <w:rsid w:val="00AC55A0"/>
    <w:rsid w:val="00AC56B2"/>
    <w:rsid w:val="00AC6075"/>
    <w:rsid w:val="00AC6092"/>
    <w:rsid w:val="00AC624D"/>
    <w:rsid w:val="00AC63FB"/>
    <w:rsid w:val="00AD0051"/>
    <w:rsid w:val="00AD025B"/>
    <w:rsid w:val="00AD15C1"/>
    <w:rsid w:val="00AD2737"/>
    <w:rsid w:val="00AD2757"/>
    <w:rsid w:val="00AD2C65"/>
    <w:rsid w:val="00AD3A6B"/>
    <w:rsid w:val="00AD4F6F"/>
    <w:rsid w:val="00AD550F"/>
    <w:rsid w:val="00AD5F5B"/>
    <w:rsid w:val="00AD61F4"/>
    <w:rsid w:val="00AD71FF"/>
    <w:rsid w:val="00AD75DC"/>
    <w:rsid w:val="00AD7A36"/>
    <w:rsid w:val="00AE00CA"/>
    <w:rsid w:val="00AE050A"/>
    <w:rsid w:val="00AE0E1D"/>
    <w:rsid w:val="00AE0F09"/>
    <w:rsid w:val="00AE0F2D"/>
    <w:rsid w:val="00AE138D"/>
    <w:rsid w:val="00AE162D"/>
    <w:rsid w:val="00AE1BE4"/>
    <w:rsid w:val="00AE1C07"/>
    <w:rsid w:val="00AE1EAE"/>
    <w:rsid w:val="00AE3A0D"/>
    <w:rsid w:val="00AE553D"/>
    <w:rsid w:val="00AE59F1"/>
    <w:rsid w:val="00AE7A3A"/>
    <w:rsid w:val="00AE7BFC"/>
    <w:rsid w:val="00AE7F15"/>
    <w:rsid w:val="00AF048E"/>
    <w:rsid w:val="00AF129D"/>
    <w:rsid w:val="00AF1990"/>
    <w:rsid w:val="00AF1CF2"/>
    <w:rsid w:val="00AF2152"/>
    <w:rsid w:val="00AF2585"/>
    <w:rsid w:val="00AF27B9"/>
    <w:rsid w:val="00AF295E"/>
    <w:rsid w:val="00AF39DB"/>
    <w:rsid w:val="00AF3C8E"/>
    <w:rsid w:val="00AF3D38"/>
    <w:rsid w:val="00AF422A"/>
    <w:rsid w:val="00AF42C0"/>
    <w:rsid w:val="00AF5665"/>
    <w:rsid w:val="00AF5E11"/>
    <w:rsid w:val="00AF5F82"/>
    <w:rsid w:val="00AF6422"/>
    <w:rsid w:val="00AF6F26"/>
    <w:rsid w:val="00AF79C5"/>
    <w:rsid w:val="00B007C6"/>
    <w:rsid w:val="00B00EAB"/>
    <w:rsid w:val="00B02BCD"/>
    <w:rsid w:val="00B036E1"/>
    <w:rsid w:val="00B03A82"/>
    <w:rsid w:val="00B03E70"/>
    <w:rsid w:val="00B04E79"/>
    <w:rsid w:val="00B05EB8"/>
    <w:rsid w:val="00B065A8"/>
    <w:rsid w:val="00B069C2"/>
    <w:rsid w:val="00B06F8E"/>
    <w:rsid w:val="00B0722B"/>
    <w:rsid w:val="00B07349"/>
    <w:rsid w:val="00B077D2"/>
    <w:rsid w:val="00B07D25"/>
    <w:rsid w:val="00B07D91"/>
    <w:rsid w:val="00B104CD"/>
    <w:rsid w:val="00B106B0"/>
    <w:rsid w:val="00B10756"/>
    <w:rsid w:val="00B10BD7"/>
    <w:rsid w:val="00B1103C"/>
    <w:rsid w:val="00B112EE"/>
    <w:rsid w:val="00B11A52"/>
    <w:rsid w:val="00B12238"/>
    <w:rsid w:val="00B12D4C"/>
    <w:rsid w:val="00B13CA9"/>
    <w:rsid w:val="00B13CF9"/>
    <w:rsid w:val="00B145C7"/>
    <w:rsid w:val="00B14D89"/>
    <w:rsid w:val="00B156F1"/>
    <w:rsid w:val="00B15839"/>
    <w:rsid w:val="00B15A58"/>
    <w:rsid w:val="00B15F4E"/>
    <w:rsid w:val="00B160D0"/>
    <w:rsid w:val="00B175E0"/>
    <w:rsid w:val="00B17BE9"/>
    <w:rsid w:val="00B2036B"/>
    <w:rsid w:val="00B206F2"/>
    <w:rsid w:val="00B20B7E"/>
    <w:rsid w:val="00B211E7"/>
    <w:rsid w:val="00B2267F"/>
    <w:rsid w:val="00B22C9E"/>
    <w:rsid w:val="00B24318"/>
    <w:rsid w:val="00B2468F"/>
    <w:rsid w:val="00B2636A"/>
    <w:rsid w:val="00B26891"/>
    <w:rsid w:val="00B26B28"/>
    <w:rsid w:val="00B274A7"/>
    <w:rsid w:val="00B27CAC"/>
    <w:rsid w:val="00B3002D"/>
    <w:rsid w:val="00B3107D"/>
    <w:rsid w:val="00B319BA"/>
    <w:rsid w:val="00B31DF9"/>
    <w:rsid w:val="00B32AB9"/>
    <w:rsid w:val="00B331F9"/>
    <w:rsid w:val="00B33731"/>
    <w:rsid w:val="00B33746"/>
    <w:rsid w:val="00B33964"/>
    <w:rsid w:val="00B33F8F"/>
    <w:rsid w:val="00B34254"/>
    <w:rsid w:val="00B34362"/>
    <w:rsid w:val="00B34695"/>
    <w:rsid w:val="00B34811"/>
    <w:rsid w:val="00B34E09"/>
    <w:rsid w:val="00B35101"/>
    <w:rsid w:val="00B3539C"/>
    <w:rsid w:val="00B35499"/>
    <w:rsid w:val="00B36CE1"/>
    <w:rsid w:val="00B36E7A"/>
    <w:rsid w:val="00B3734F"/>
    <w:rsid w:val="00B376B1"/>
    <w:rsid w:val="00B377AF"/>
    <w:rsid w:val="00B40BB4"/>
    <w:rsid w:val="00B411B3"/>
    <w:rsid w:val="00B4160B"/>
    <w:rsid w:val="00B41EA8"/>
    <w:rsid w:val="00B4355A"/>
    <w:rsid w:val="00B447EC"/>
    <w:rsid w:val="00B45922"/>
    <w:rsid w:val="00B45971"/>
    <w:rsid w:val="00B46C8D"/>
    <w:rsid w:val="00B501E9"/>
    <w:rsid w:val="00B50220"/>
    <w:rsid w:val="00B50456"/>
    <w:rsid w:val="00B51A58"/>
    <w:rsid w:val="00B51CEE"/>
    <w:rsid w:val="00B54AF5"/>
    <w:rsid w:val="00B55300"/>
    <w:rsid w:val="00B55711"/>
    <w:rsid w:val="00B55885"/>
    <w:rsid w:val="00B55A6A"/>
    <w:rsid w:val="00B55B0D"/>
    <w:rsid w:val="00B55BD2"/>
    <w:rsid w:val="00B55C16"/>
    <w:rsid w:val="00B56E65"/>
    <w:rsid w:val="00B57892"/>
    <w:rsid w:val="00B60D71"/>
    <w:rsid w:val="00B6110D"/>
    <w:rsid w:val="00B62025"/>
    <w:rsid w:val="00B621AE"/>
    <w:rsid w:val="00B62DF9"/>
    <w:rsid w:val="00B62E5C"/>
    <w:rsid w:val="00B637AA"/>
    <w:rsid w:val="00B63B3D"/>
    <w:rsid w:val="00B64365"/>
    <w:rsid w:val="00B64642"/>
    <w:rsid w:val="00B658CD"/>
    <w:rsid w:val="00B65B13"/>
    <w:rsid w:val="00B664E3"/>
    <w:rsid w:val="00B6675F"/>
    <w:rsid w:val="00B671F8"/>
    <w:rsid w:val="00B7031D"/>
    <w:rsid w:val="00B7045E"/>
    <w:rsid w:val="00B70609"/>
    <w:rsid w:val="00B70B47"/>
    <w:rsid w:val="00B70D37"/>
    <w:rsid w:val="00B71267"/>
    <w:rsid w:val="00B7146B"/>
    <w:rsid w:val="00B714A7"/>
    <w:rsid w:val="00B715F8"/>
    <w:rsid w:val="00B71800"/>
    <w:rsid w:val="00B71920"/>
    <w:rsid w:val="00B71E05"/>
    <w:rsid w:val="00B72253"/>
    <w:rsid w:val="00B722D0"/>
    <w:rsid w:val="00B72797"/>
    <w:rsid w:val="00B73EEE"/>
    <w:rsid w:val="00B74482"/>
    <w:rsid w:val="00B74D87"/>
    <w:rsid w:val="00B76678"/>
    <w:rsid w:val="00B80555"/>
    <w:rsid w:val="00B80F14"/>
    <w:rsid w:val="00B814C8"/>
    <w:rsid w:val="00B82A7F"/>
    <w:rsid w:val="00B82B22"/>
    <w:rsid w:val="00B82BBA"/>
    <w:rsid w:val="00B8315F"/>
    <w:rsid w:val="00B845B9"/>
    <w:rsid w:val="00B84BBF"/>
    <w:rsid w:val="00B8503B"/>
    <w:rsid w:val="00B852A7"/>
    <w:rsid w:val="00B87167"/>
    <w:rsid w:val="00B871BE"/>
    <w:rsid w:val="00B872EA"/>
    <w:rsid w:val="00B878E9"/>
    <w:rsid w:val="00B87A22"/>
    <w:rsid w:val="00B9053A"/>
    <w:rsid w:val="00B91249"/>
    <w:rsid w:val="00B921DB"/>
    <w:rsid w:val="00B939E4"/>
    <w:rsid w:val="00B93C08"/>
    <w:rsid w:val="00B93D07"/>
    <w:rsid w:val="00B93F96"/>
    <w:rsid w:val="00B944FC"/>
    <w:rsid w:val="00B960B8"/>
    <w:rsid w:val="00B962C0"/>
    <w:rsid w:val="00B964D9"/>
    <w:rsid w:val="00B965F2"/>
    <w:rsid w:val="00B968B4"/>
    <w:rsid w:val="00B9718C"/>
    <w:rsid w:val="00B978AA"/>
    <w:rsid w:val="00B97981"/>
    <w:rsid w:val="00B97ADC"/>
    <w:rsid w:val="00BA096A"/>
    <w:rsid w:val="00BA0B09"/>
    <w:rsid w:val="00BA0B9C"/>
    <w:rsid w:val="00BA130C"/>
    <w:rsid w:val="00BA17DE"/>
    <w:rsid w:val="00BA1E18"/>
    <w:rsid w:val="00BA1F05"/>
    <w:rsid w:val="00BA1F6F"/>
    <w:rsid w:val="00BA21BB"/>
    <w:rsid w:val="00BA224B"/>
    <w:rsid w:val="00BA2D58"/>
    <w:rsid w:val="00BA30EB"/>
    <w:rsid w:val="00BA3E31"/>
    <w:rsid w:val="00BA44D7"/>
    <w:rsid w:val="00BA4509"/>
    <w:rsid w:val="00BA55F1"/>
    <w:rsid w:val="00BA64A6"/>
    <w:rsid w:val="00BA6611"/>
    <w:rsid w:val="00BA7035"/>
    <w:rsid w:val="00BA728B"/>
    <w:rsid w:val="00BA74A3"/>
    <w:rsid w:val="00BA7A85"/>
    <w:rsid w:val="00BB017A"/>
    <w:rsid w:val="00BB138F"/>
    <w:rsid w:val="00BB16B9"/>
    <w:rsid w:val="00BB26D8"/>
    <w:rsid w:val="00BB2BEE"/>
    <w:rsid w:val="00BB3708"/>
    <w:rsid w:val="00BB3B84"/>
    <w:rsid w:val="00BB3EAD"/>
    <w:rsid w:val="00BB4143"/>
    <w:rsid w:val="00BB4398"/>
    <w:rsid w:val="00BB5CDC"/>
    <w:rsid w:val="00BB61F5"/>
    <w:rsid w:val="00BB735E"/>
    <w:rsid w:val="00BB7882"/>
    <w:rsid w:val="00BB79B2"/>
    <w:rsid w:val="00BB7FF9"/>
    <w:rsid w:val="00BC2770"/>
    <w:rsid w:val="00BC27A6"/>
    <w:rsid w:val="00BC330D"/>
    <w:rsid w:val="00BC48BA"/>
    <w:rsid w:val="00BC4DAB"/>
    <w:rsid w:val="00BC5510"/>
    <w:rsid w:val="00BC5CDA"/>
    <w:rsid w:val="00BC6925"/>
    <w:rsid w:val="00BC6FEF"/>
    <w:rsid w:val="00BC79A4"/>
    <w:rsid w:val="00BC7A0F"/>
    <w:rsid w:val="00BD00E1"/>
    <w:rsid w:val="00BD1814"/>
    <w:rsid w:val="00BD26D9"/>
    <w:rsid w:val="00BD2A77"/>
    <w:rsid w:val="00BD31AD"/>
    <w:rsid w:val="00BD3643"/>
    <w:rsid w:val="00BD4660"/>
    <w:rsid w:val="00BD4C18"/>
    <w:rsid w:val="00BD50F2"/>
    <w:rsid w:val="00BD5A25"/>
    <w:rsid w:val="00BD5A81"/>
    <w:rsid w:val="00BD5EF6"/>
    <w:rsid w:val="00BD67EE"/>
    <w:rsid w:val="00BD6D38"/>
    <w:rsid w:val="00BD713F"/>
    <w:rsid w:val="00BD7527"/>
    <w:rsid w:val="00BD786B"/>
    <w:rsid w:val="00BE030E"/>
    <w:rsid w:val="00BE0923"/>
    <w:rsid w:val="00BE0BE2"/>
    <w:rsid w:val="00BE0FDF"/>
    <w:rsid w:val="00BE1020"/>
    <w:rsid w:val="00BE2BA4"/>
    <w:rsid w:val="00BE358C"/>
    <w:rsid w:val="00BE3F1C"/>
    <w:rsid w:val="00BE43B6"/>
    <w:rsid w:val="00BE4C9E"/>
    <w:rsid w:val="00BE5A87"/>
    <w:rsid w:val="00BE663D"/>
    <w:rsid w:val="00BE6653"/>
    <w:rsid w:val="00BE69A9"/>
    <w:rsid w:val="00BE6E66"/>
    <w:rsid w:val="00BE6F2E"/>
    <w:rsid w:val="00BE7E73"/>
    <w:rsid w:val="00BF176E"/>
    <w:rsid w:val="00BF1F33"/>
    <w:rsid w:val="00BF249E"/>
    <w:rsid w:val="00BF263C"/>
    <w:rsid w:val="00BF270F"/>
    <w:rsid w:val="00BF30BE"/>
    <w:rsid w:val="00BF3AD1"/>
    <w:rsid w:val="00BF4989"/>
    <w:rsid w:val="00BF4EE8"/>
    <w:rsid w:val="00BF54DF"/>
    <w:rsid w:val="00BF57D4"/>
    <w:rsid w:val="00BF600F"/>
    <w:rsid w:val="00BF7175"/>
    <w:rsid w:val="00C0028E"/>
    <w:rsid w:val="00C00A5E"/>
    <w:rsid w:val="00C01166"/>
    <w:rsid w:val="00C0122E"/>
    <w:rsid w:val="00C013AB"/>
    <w:rsid w:val="00C01754"/>
    <w:rsid w:val="00C01AFF"/>
    <w:rsid w:val="00C02574"/>
    <w:rsid w:val="00C02881"/>
    <w:rsid w:val="00C0294E"/>
    <w:rsid w:val="00C02D8D"/>
    <w:rsid w:val="00C03E6C"/>
    <w:rsid w:val="00C03FC0"/>
    <w:rsid w:val="00C04891"/>
    <w:rsid w:val="00C04E4D"/>
    <w:rsid w:val="00C04EB6"/>
    <w:rsid w:val="00C05141"/>
    <w:rsid w:val="00C05169"/>
    <w:rsid w:val="00C05B71"/>
    <w:rsid w:val="00C0635F"/>
    <w:rsid w:val="00C0641C"/>
    <w:rsid w:val="00C066C4"/>
    <w:rsid w:val="00C1039A"/>
    <w:rsid w:val="00C10A90"/>
    <w:rsid w:val="00C1131C"/>
    <w:rsid w:val="00C11462"/>
    <w:rsid w:val="00C1238C"/>
    <w:rsid w:val="00C14B79"/>
    <w:rsid w:val="00C15A85"/>
    <w:rsid w:val="00C16B82"/>
    <w:rsid w:val="00C1752B"/>
    <w:rsid w:val="00C177C1"/>
    <w:rsid w:val="00C17BE6"/>
    <w:rsid w:val="00C20997"/>
    <w:rsid w:val="00C20A3B"/>
    <w:rsid w:val="00C20A73"/>
    <w:rsid w:val="00C2121C"/>
    <w:rsid w:val="00C22B12"/>
    <w:rsid w:val="00C234CE"/>
    <w:rsid w:val="00C238AD"/>
    <w:rsid w:val="00C24382"/>
    <w:rsid w:val="00C2483C"/>
    <w:rsid w:val="00C25845"/>
    <w:rsid w:val="00C259EB"/>
    <w:rsid w:val="00C270CD"/>
    <w:rsid w:val="00C27ECF"/>
    <w:rsid w:val="00C302A3"/>
    <w:rsid w:val="00C30324"/>
    <w:rsid w:val="00C30593"/>
    <w:rsid w:val="00C3071F"/>
    <w:rsid w:val="00C30E4C"/>
    <w:rsid w:val="00C31521"/>
    <w:rsid w:val="00C31FD5"/>
    <w:rsid w:val="00C32590"/>
    <w:rsid w:val="00C32B1D"/>
    <w:rsid w:val="00C3318A"/>
    <w:rsid w:val="00C335C9"/>
    <w:rsid w:val="00C34104"/>
    <w:rsid w:val="00C35539"/>
    <w:rsid w:val="00C401DA"/>
    <w:rsid w:val="00C4027C"/>
    <w:rsid w:val="00C40CAC"/>
    <w:rsid w:val="00C4191B"/>
    <w:rsid w:val="00C421BF"/>
    <w:rsid w:val="00C43303"/>
    <w:rsid w:val="00C43428"/>
    <w:rsid w:val="00C43A9D"/>
    <w:rsid w:val="00C45242"/>
    <w:rsid w:val="00C45381"/>
    <w:rsid w:val="00C45455"/>
    <w:rsid w:val="00C45B31"/>
    <w:rsid w:val="00C4604F"/>
    <w:rsid w:val="00C4654D"/>
    <w:rsid w:val="00C46DEC"/>
    <w:rsid w:val="00C46E6A"/>
    <w:rsid w:val="00C46F65"/>
    <w:rsid w:val="00C5000A"/>
    <w:rsid w:val="00C5007E"/>
    <w:rsid w:val="00C5053B"/>
    <w:rsid w:val="00C50FFF"/>
    <w:rsid w:val="00C516E5"/>
    <w:rsid w:val="00C51C96"/>
    <w:rsid w:val="00C51F0A"/>
    <w:rsid w:val="00C52208"/>
    <w:rsid w:val="00C526E0"/>
    <w:rsid w:val="00C5337A"/>
    <w:rsid w:val="00C538ED"/>
    <w:rsid w:val="00C53E08"/>
    <w:rsid w:val="00C541E6"/>
    <w:rsid w:val="00C54773"/>
    <w:rsid w:val="00C5554B"/>
    <w:rsid w:val="00C55AB1"/>
    <w:rsid w:val="00C560C8"/>
    <w:rsid w:val="00C574BC"/>
    <w:rsid w:val="00C60BD4"/>
    <w:rsid w:val="00C616F0"/>
    <w:rsid w:val="00C62C94"/>
    <w:rsid w:val="00C630CA"/>
    <w:rsid w:val="00C63378"/>
    <w:rsid w:val="00C63F4D"/>
    <w:rsid w:val="00C64307"/>
    <w:rsid w:val="00C64E7C"/>
    <w:rsid w:val="00C65B75"/>
    <w:rsid w:val="00C65BAD"/>
    <w:rsid w:val="00C65F49"/>
    <w:rsid w:val="00C65F92"/>
    <w:rsid w:val="00C6655A"/>
    <w:rsid w:val="00C66898"/>
    <w:rsid w:val="00C66EE8"/>
    <w:rsid w:val="00C708AB"/>
    <w:rsid w:val="00C70E5E"/>
    <w:rsid w:val="00C716EA"/>
    <w:rsid w:val="00C71AE4"/>
    <w:rsid w:val="00C739E1"/>
    <w:rsid w:val="00C74420"/>
    <w:rsid w:val="00C745EB"/>
    <w:rsid w:val="00C74834"/>
    <w:rsid w:val="00C74E00"/>
    <w:rsid w:val="00C75510"/>
    <w:rsid w:val="00C7780A"/>
    <w:rsid w:val="00C800B4"/>
    <w:rsid w:val="00C800D7"/>
    <w:rsid w:val="00C80336"/>
    <w:rsid w:val="00C805E0"/>
    <w:rsid w:val="00C80668"/>
    <w:rsid w:val="00C80793"/>
    <w:rsid w:val="00C80A3F"/>
    <w:rsid w:val="00C80F47"/>
    <w:rsid w:val="00C81418"/>
    <w:rsid w:val="00C81CFE"/>
    <w:rsid w:val="00C82074"/>
    <w:rsid w:val="00C826B7"/>
    <w:rsid w:val="00C82BE3"/>
    <w:rsid w:val="00C831F1"/>
    <w:rsid w:val="00C83C08"/>
    <w:rsid w:val="00C83F7B"/>
    <w:rsid w:val="00C84722"/>
    <w:rsid w:val="00C84AF2"/>
    <w:rsid w:val="00C8563A"/>
    <w:rsid w:val="00C86C25"/>
    <w:rsid w:val="00C8706A"/>
    <w:rsid w:val="00C87CCE"/>
    <w:rsid w:val="00C910EE"/>
    <w:rsid w:val="00C9112B"/>
    <w:rsid w:val="00C9215D"/>
    <w:rsid w:val="00C922C6"/>
    <w:rsid w:val="00C92505"/>
    <w:rsid w:val="00C93072"/>
    <w:rsid w:val="00C935C6"/>
    <w:rsid w:val="00C94A36"/>
    <w:rsid w:val="00C960D5"/>
    <w:rsid w:val="00C96333"/>
    <w:rsid w:val="00C96D1C"/>
    <w:rsid w:val="00C97C6C"/>
    <w:rsid w:val="00CA1DC7"/>
    <w:rsid w:val="00CA1E5B"/>
    <w:rsid w:val="00CA1F11"/>
    <w:rsid w:val="00CA24B6"/>
    <w:rsid w:val="00CA35A7"/>
    <w:rsid w:val="00CA3939"/>
    <w:rsid w:val="00CA3A40"/>
    <w:rsid w:val="00CA4173"/>
    <w:rsid w:val="00CA5764"/>
    <w:rsid w:val="00CA58F4"/>
    <w:rsid w:val="00CA74CE"/>
    <w:rsid w:val="00CA755D"/>
    <w:rsid w:val="00CA7867"/>
    <w:rsid w:val="00CB0057"/>
    <w:rsid w:val="00CB0059"/>
    <w:rsid w:val="00CB033D"/>
    <w:rsid w:val="00CB178F"/>
    <w:rsid w:val="00CB2256"/>
    <w:rsid w:val="00CB2566"/>
    <w:rsid w:val="00CB283B"/>
    <w:rsid w:val="00CB3283"/>
    <w:rsid w:val="00CB366C"/>
    <w:rsid w:val="00CB3795"/>
    <w:rsid w:val="00CB39A8"/>
    <w:rsid w:val="00CB3B88"/>
    <w:rsid w:val="00CB4902"/>
    <w:rsid w:val="00CB4CDF"/>
    <w:rsid w:val="00CB4F5B"/>
    <w:rsid w:val="00CB58B4"/>
    <w:rsid w:val="00CB63B9"/>
    <w:rsid w:val="00CB7039"/>
    <w:rsid w:val="00CB7D2B"/>
    <w:rsid w:val="00CB7E12"/>
    <w:rsid w:val="00CC01AF"/>
    <w:rsid w:val="00CC0AC0"/>
    <w:rsid w:val="00CC1020"/>
    <w:rsid w:val="00CC1493"/>
    <w:rsid w:val="00CC190A"/>
    <w:rsid w:val="00CC1B99"/>
    <w:rsid w:val="00CC28DA"/>
    <w:rsid w:val="00CC2A33"/>
    <w:rsid w:val="00CC2D39"/>
    <w:rsid w:val="00CC33C7"/>
    <w:rsid w:val="00CC3A38"/>
    <w:rsid w:val="00CC3CB8"/>
    <w:rsid w:val="00CC5F2D"/>
    <w:rsid w:val="00CC620E"/>
    <w:rsid w:val="00CC6C4C"/>
    <w:rsid w:val="00CC7633"/>
    <w:rsid w:val="00CD0A1F"/>
    <w:rsid w:val="00CD1691"/>
    <w:rsid w:val="00CD1BFA"/>
    <w:rsid w:val="00CD1D7F"/>
    <w:rsid w:val="00CD2A4E"/>
    <w:rsid w:val="00CD3C26"/>
    <w:rsid w:val="00CD5B70"/>
    <w:rsid w:val="00CD5BC3"/>
    <w:rsid w:val="00CD63A9"/>
    <w:rsid w:val="00CD77B2"/>
    <w:rsid w:val="00CD796F"/>
    <w:rsid w:val="00CD7B2E"/>
    <w:rsid w:val="00CE07B0"/>
    <w:rsid w:val="00CE0C9C"/>
    <w:rsid w:val="00CE1526"/>
    <w:rsid w:val="00CE2209"/>
    <w:rsid w:val="00CE22DD"/>
    <w:rsid w:val="00CE2CED"/>
    <w:rsid w:val="00CE2D8C"/>
    <w:rsid w:val="00CE31B9"/>
    <w:rsid w:val="00CE328A"/>
    <w:rsid w:val="00CE3401"/>
    <w:rsid w:val="00CE3E0B"/>
    <w:rsid w:val="00CE48FB"/>
    <w:rsid w:val="00CE4ABA"/>
    <w:rsid w:val="00CE4F5C"/>
    <w:rsid w:val="00CE503A"/>
    <w:rsid w:val="00CE56D8"/>
    <w:rsid w:val="00CE5A83"/>
    <w:rsid w:val="00CE601D"/>
    <w:rsid w:val="00CE6104"/>
    <w:rsid w:val="00CE6B49"/>
    <w:rsid w:val="00CE6DCE"/>
    <w:rsid w:val="00CE6E80"/>
    <w:rsid w:val="00CE796C"/>
    <w:rsid w:val="00CF0755"/>
    <w:rsid w:val="00CF0EF3"/>
    <w:rsid w:val="00CF2B5A"/>
    <w:rsid w:val="00CF3086"/>
    <w:rsid w:val="00CF30D3"/>
    <w:rsid w:val="00CF4331"/>
    <w:rsid w:val="00CF4B04"/>
    <w:rsid w:val="00CF5B9C"/>
    <w:rsid w:val="00CF6384"/>
    <w:rsid w:val="00CF6465"/>
    <w:rsid w:val="00CF6D60"/>
    <w:rsid w:val="00CF6DD4"/>
    <w:rsid w:val="00CF6ED6"/>
    <w:rsid w:val="00CF7396"/>
    <w:rsid w:val="00CF7754"/>
    <w:rsid w:val="00D01D9F"/>
    <w:rsid w:val="00D01E22"/>
    <w:rsid w:val="00D04F0C"/>
    <w:rsid w:val="00D05116"/>
    <w:rsid w:val="00D06130"/>
    <w:rsid w:val="00D0666D"/>
    <w:rsid w:val="00D06DE8"/>
    <w:rsid w:val="00D07149"/>
    <w:rsid w:val="00D07689"/>
    <w:rsid w:val="00D07B13"/>
    <w:rsid w:val="00D1084A"/>
    <w:rsid w:val="00D11965"/>
    <w:rsid w:val="00D11BCF"/>
    <w:rsid w:val="00D120CC"/>
    <w:rsid w:val="00D12131"/>
    <w:rsid w:val="00D12562"/>
    <w:rsid w:val="00D12AD7"/>
    <w:rsid w:val="00D145AD"/>
    <w:rsid w:val="00D14996"/>
    <w:rsid w:val="00D1558C"/>
    <w:rsid w:val="00D1568E"/>
    <w:rsid w:val="00D1633A"/>
    <w:rsid w:val="00D16665"/>
    <w:rsid w:val="00D16833"/>
    <w:rsid w:val="00D16A0C"/>
    <w:rsid w:val="00D16BAC"/>
    <w:rsid w:val="00D1775B"/>
    <w:rsid w:val="00D17B72"/>
    <w:rsid w:val="00D17C57"/>
    <w:rsid w:val="00D20CD1"/>
    <w:rsid w:val="00D20E6C"/>
    <w:rsid w:val="00D21B6E"/>
    <w:rsid w:val="00D22351"/>
    <w:rsid w:val="00D2253F"/>
    <w:rsid w:val="00D229FF"/>
    <w:rsid w:val="00D22D03"/>
    <w:rsid w:val="00D232EF"/>
    <w:rsid w:val="00D238D6"/>
    <w:rsid w:val="00D23CF9"/>
    <w:rsid w:val="00D23DB2"/>
    <w:rsid w:val="00D2457C"/>
    <w:rsid w:val="00D24CC6"/>
    <w:rsid w:val="00D2678F"/>
    <w:rsid w:val="00D26E55"/>
    <w:rsid w:val="00D27C96"/>
    <w:rsid w:val="00D27CE0"/>
    <w:rsid w:val="00D30B78"/>
    <w:rsid w:val="00D30DE0"/>
    <w:rsid w:val="00D30DF6"/>
    <w:rsid w:val="00D31D84"/>
    <w:rsid w:val="00D31DDE"/>
    <w:rsid w:val="00D32D86"/>
    <w:rsid w:val="00D32D9A"/>
    <w:rsid w:val="00D3355B"/>
    <w:rsid w:val="00D33ADB"/>
    <w:rsid w:val="00D33B1A"/>
    <w:rsid w:val="00D340C0"/>
    <w:rsid w:val="00D34210"/>
    <w:rsid w:val="00D3479B"/>
    <w:rsid w:val="00D3537B"/>
    <w:rsid w:val="00D36CC0"/>
    <w:rsid w:val="00D3724C"/>
    <w:rsid w:val="00D373CC"/>
    <w:rsid w:val="00D376C4"/>
    <w:rsid w:val="00D40448"/>
    <w:rsid w:val="00D41414"/>
    <w:rsid w:val="00D42703"/>
    <w:rsid w:val="00D444E5"/>
    <w:rsid w:val="00D451D0"/>
    <w:rsid w:val="00D456A6"/>
    <w:rsid w:val="00D45F83"/>
    <w:rsid w:val="00D45FEF"/>
    <w:rsid w:val="00D4683D"/>
    <w:rsid w:val="00D4697E"/>
    <w:rsid w:val="00D47566"/>
    <w:rsid w:val="00D477F5"/>
    <w:rsid w:val="00D507B1"/>
    <w:rsid w:val="00D51277"/>
    <w:rsid w:val="00D51B3B"/>
    <w:rsid w:val="00D51D43"/>
    <w:rsid w:val="00D5262B"/>
    <w:rsid w:val="00D5354F"/>
    <w:rsid w:val="00D5365C"/>
    <w:rsid w:val="00D53880"/>
    <w:rsid w:val="00D542C2"/>
    <w:rsid w:val="00D5480F"/>
    <w:rsid w:val="00D54D28"/>
    <w:rsid w:val="00D54D67"/>
    <w:rsid w:val="00D55B35"/>
    <w:rsid w:val="00D55C19"/>
    <w:rsid w:val="00D560CB"/>
    <w:rsid w:val="00D56206"/>
    <w:rsid w:val="00D56F1B"/>
    <w:rsid w:val="00D57671"/>
    <w:rsid w:val="00D57F47"/>
    <w:rsid w:val="00D6143A"/>
    <w:rsid w:val="00D615F3"/>
    <w:rsid w:val="00D6228C"/>
    <w:rsid w:val="00D62CBB"/>
    <w:rsid w:val="00D62F73"/>
    <w:rsid w:val="00D6302D"/>
    <w:rsid w:val="00D634FE"/>
    <w:rsid w:val="00D64606"/>
    <w:rsid w:val="00D65511"/>
    <w:rsid w:val="00D6576D"/>
    <w:rsid w:val="00D6657A"/>
    <w:rsid w:val="00D666E1"/>
    <w:rsid w:val="00D667B9"/>
    <w:rsid w:val="00D669B2"/>
    <w:rsid w:val="00D669DB"/>
    <w:rsid w:val="00D676EB"/>
    <w:rsid w:val="00D67903"/>
    <w:rsid w:val="00D67B6A"/>
    <w:rsid w:val="00D67BE2"/>
    <w:rsid w:val="00D67CB2"/>
    <w:rsid w:val="00D7012A"/>
    <w:rsid w:val="00D70240"/>
    <w:rsid w:val="00D702B4"/>
    <w:rsid w:val="00D70ECB"/>
    <w:rsid w:val="00D72C4F"/>
    <w:rsid w:val="00D72CAF"/>
    <w:rsid w:val="00D72FCE"/>
    <w:rsid w:val="00D73F33"/>
    <w:rsid w:val="00D74258"/>
    <w:rsid w:val="00D74647"/>
    <w:rsid w:val="00D756C6"/>
    <w:rsid w:val="00D764B1"/>
    <w:rsid w:val="00D80CD8"/>
    <w:rsid w:val="00D811D3"/>
    <w:rsid w:val="00D81581"/>
    <w:rsid w:val="00D8197B"/>
    <w:rsid w:val="00D826A6"/>
    <w:rsid w:val="00D82ADD"/>
    <w:rsid w:val="00D82C83"/>
    <w:rsid w:val="00D82CB1"/>
    <w:rsid w:val="00D82EC5"/>
    <w:rsid w:val="00D832BC"/>
    <w:rsid w:val="00D83419"/>
    <w:rsid w:val="00D834D3"/>
    <w:rsid w:val="00D83D4A"/>
    <w:rsid w:val="00D842D0"/>
    <w:rsid w:val="00D86ECB"/>
    <w:rsid w:val="00D87111"/>
    <w:rsid w:val="00D90811"/>
    <w:rsid w:val="00D92284"/>
    <w:rsid w:val="00D92756"/>
    <w:rsid w:val="00D92A03"/>
    <w:rsid w:val="00D93411"/>
    <w:rsid w:val="00D9351B"/>
    <w:rsid w:val="00D94394"/>
    <w:rsid w:val="00D9504A"/>
    <w:rsid w:val="00D95214"/>
    <w:rsid w:val="00D96B9B"/>
    <w:rsid w:val="00D96CCE"/>
    <w:rsid w:val="00D97380"/>
    <w:rsid w:val="00D97A42"/>
    <w:rsid w:val="00D97E60"/>
    <w:rsid w:val="00DA094C"/>
    <w:rsid w:val="00DA0A0B"/>
    <w:rsid w:val="00DA0BC4"/>
    <w:rsid w:val="00DA0E66"/>
    <w:rsid w:val="00DA102C"/>
    <w:rsid w:val="00DA1287"/>
    <w:rsid w:val="00DA1402"/>
    <w:rsid w:val="00DA2238"/>
    <w:rsid w:val="00DA267B"/>
    <w:rsid w:val="00DA2F82"/>
    <w:rsid w:val="00DA311D"/>
    <w:rsid w:val="00DA38D5"/>
    <w:rsid w:val="00DA3A88"/>
    <w:rsid w:val="00DA496D"/>
    <w:rsid w:val="00DA4CF2"/>
    <w:rsid w:val="00DA4FEF"/>
    <w:rsid w:val="00DA567B"/>
    <w:rsid w:val="00DA67DC"/>
    <w:rsid w:val="00DA6A07"/>
    <w:rsid w:val="00DA6FC6"/>
    <w:rsid w:val="00DA7670"/>
    <w:rsid w:val="00DB016E"/>
    <w:rsid w:val="00DB0513"/>
    <w:rsid w:val="00DB086B"/>
    <w:rsid w:val="00DB0E05"/>
    <w:rsid w:val="00DB1747"/>
    <w:rsid w:val="00DB1E35"/>
    <w:rsid w:val="00DB22DA"/>
    <w:rsid w:val="00DB2D44"/>
    <w:rsid w:val="00DB418C"/>
    <w:rsid w:val="00DB4687"/>
    <w:rsid w:val="00DB49C9"/>
    <w:rsid w:val="00DB528B"/>
    <w:rsid w:val="00DB62F2"/>
    <w:rsid w:val="00DB786F"/>
    <w:rsid w:val="00DB7A95"/>
    <w:rsid w:val="00DC03BE"/>
    <w:rsid w:val="00DC10BF"/>
    <w:rsid w:val="00DC2479"/>
    <w:rsid w:val="00DC24F6"/>
    <w:rsid w:val="00DC2A60"/>
    <w:rsid w:val="00DC3510"/>
    <w:rsid w:val="00DC35A7"/>
    <w:rsid w:val="00DC3FB1"/>
    <w:rsid w:val="00DC47BE"/>
    <w:rsid w:val="00DC5120"/>
    <w:rsid w:val="00DC654E"/>
    <w:rsid w:val="00DC7BC5"/>
    <w:rsid w:val="00DD02EE"/>
    <w:rsid w:val="00DD066C"/>
    <w:rsid w:val="00DD0FD4"/>
    <w:rsid w:val="00DD1477"/>
    <w:rsid w:val="00DD26ED"/>
    <w:rsid w:val="00DD3205"/>
    <w:rsid w:val="00DD367E"/>
    <w:rsid w:val="00DD3FF0"/>
    <w:rsid w:val="00DD4153"/>
    <w:rsid w:val="00DD473A"/>
    <w:rsid w:val="00DD524E"/>
    <w:rsid w:val="00DD52BE"/>
    <w:rsid w:val="00DD56A0"/>
    <w:rsid w:val="00DD6262"/>
    <w:rsid w:val="00DD6BC9"/>
    <w:rsid w:val="00DD7C67"/>
    <w:rsid w:val="00DE2140"/>
    <w:rsid w:val="00DE249A"/>
    <w:rsid w:val="00DE30AD"/>
    <w:rsid w:val="00DE4438"/>
    <w:rsid w:val="00DE5873"/>
    <w:rsid w:val="00DE7605"/>
    <w:rsid w:val="00DE7A0B"/>
    <w:rsid w:val="00DF01E4"/>
    <w:rsid w:val="00DF02C9"/>
    <w:rsid w:val="00DF0CFF"/>
    <w:rsid w:val="00DF181F"/>
    <w:rsid w:val="00DF1F1F"/>
    <w:rsid w:val="00DF2217"/>
    <w:rsid w:val="00DF2319"/>
    <w:rsid w:val="00DF2643"/>
    <w:rsid w:val="00DF2AAA"/>
    <w:rsid w:val="00DF2B45"/>
    <w:rsid w:val="00DF2DD6"/>
    <w:rsid w:val="00DF451D"/>
    <w:rsid w:val="00DF4CF4"/>
    <w:rsid w:val="00DF5C7F"/>
    <w:rsid w:val="00DF5E2C"/>
    <w:rsid w:val="00DF7DB7"/>
    <w:rsid w:val="00E00243"/>
    <w:rsid w:val="00E0065C"/>
    <w:rsid w:val="00E01423"/>
    <w:rsid w:val="00E020C8"/>
    <w:rsid w:val="00E02D43"/>
    <w:rsid w:val="00E043C3"/>
    <w:rsid w:val="00E04DAE"/>
    <w:rsid w:val="00E061C7"/>
    <w:rsid w:val="00E06D13"/>
    <w:rsid w:val="00E0718B"/>
    <w:rsid w:val="00E079AE"/>
    <w:rsid w:val="00E07BBB"/>
    <w:rsid w:val="00E10588"/>
    <w:rsid w:val="00E10C48"/>
    <w:rsid w:val="00E11BCE"/>
    <w:rsid w:val="00E1351D"/>
    <w:rsid w:val="00E13659"/>
    <w:rsid w:val="00E13B51"/>
    <w:rsid w:val="00E140B8"/>
    <w:rsid w:val="00E1437E"/>
    <w:rsid w:val="00E15110"/>
    <w:rsid w:val="00E1520F"/>
    <w:rsid w:val="00E16928"/>
    <w:rsid w:val="00E16DA3"/>
    <w:rsid w:val="00E1780A"/>
    <w:rsid w:val="00E17810"/>
    <w:rsid w:val="00E2002D"/>
    <w:rsid w:val="00E2015C"/>
    <w:rsid w:val="00E206AC"/>
    <w:rsid w:val="00E2093D"/>
    <w:rsid w:val="00E20E98"/>
    <w:rsid w:val="00E20ED5"/>
    <w:rsid w:val="00E213E8"/>
    <w:rsid w:val="00E216D0"/>
    <w:rsid w:val="00E21CB6"/>
    <w:rsid w:val="00E21F41"/>
    <w:rsid w:val="00E23E5D"/>
    <w:rsid w:val="00E24CA1"/>
    <w:rsid w:val="00E24DBF"/>
    <w:rsid w:val="00E25057"/>
    <w:rsid w:val="00E252FD"/>
    <w:rsid w:val="00E254E1"/>
    <w:rsid w:val="00E256B0"/>
    <w:rsid w:val="00E264FE"/>
    <w:rsid w:val="00E27E85"/>
    <w:rsid w:val="00E30449"/>
    <w:rsid w:val="00E307D5"/>
    <w:rsid w:val="00E30F38"/>
    <w:rsid w:val="00E31692"/>
    <w:rsid w:val="00E324EE"/>
    <w:rsid w:val="00E32AF8"/>
    <w:rsid w:val="00E3398B"/>
    <w:rsid w:val="00E3534F"/>
    <w:rsid w:val="00E35433"/>
    <w:rsid w:val="00E3670A"/>
    <w:rsid w:val="00E40251"/>
    <w:rsid w:val="00E412BA"/>
    <w:rsid w:val="00E41534"/>
    <w:rsid w:val="00E41BF6"/>
    <w:rsid w:val="00E43164"/>
    <w:rsid w:val="00E43635"/>
    <w:rsid w:val="00E44C91"/>
    <w:rsid w:val="00E44E78"/>
    <w:rsid w:val="00E46E17"/>
    <w:rsid w:val="00E472F4"/>
    <w:rsid w:val="00E47D3E"/>
    <w:rsid w:val="00E5002E"/>
    <w:rsid w:val="00E50125"/>
    <w:rsid w:val="00E50C02"/>
    <w:rsid w:val="00E50C0F"/>
    <w:rsid w:val="00E52144"/>
    <w:rsid w:val="00E52628"/>
    <w:rsid w:val="00E52F46"/>
    <w:rsid w:val="00E530D9"/>
    <w:rsid w:val="00E53296"/>
    <w:rsid w:val="00E53399"/>
    <w:rsid w:val="00E53B10"/>
    <w:rsid w:val="00E53C71"/>
    <w:rsid w:val="00E543E7"/>
    <w:rsid w:val="00E54955"/>
    <w:rsid w:val="00E54995"/>
    <w:rsid w:val="00E54A29"/>
    <w:rsid w:val="00E552EE"/>
    <w:rsid w:val="00E5562F"/>
    <w:rsid w:val="00E55824"/>
    <w:rsid w:val="00E559A8"/>
    <w:rsid w:val="00E5647D"/>
    <w:rsid w:val="00E56D06"/>
    <w:rsid w:val="00E57AB9"/>
    <w:rsid w:val="00E601F7"/>
    <w:rsid w:val="00E60A63"/>
    <w:rsid w:val="00E61089"/>
    <w:rsid w:val="00E61E97"/>
    <w:rsid w:val="00E6219F"/>
    <w:rsid w:val="00E62CEB"/>
    <w:rsid w:val="00E638ED"/>
    <w:rsid w:val="00E64924"/>
    <w:rsid w:val="00E71300"/>
    <w:rsid w:val="00E71517"/>
    <w:rsid w:val="00E73071"/>
    <w:rsid w:val="00E73B04"/>
    <w:rsid w:val="00E73FBD"/>
    <w:rsid w:val="00E74122"/>
    <w:rsid w:val="00E745C2"/>
    <w:rsid w:val="00E7460C"/>
    <w:rsid w:val="00E749D3"/>
    <w:rsid w:val="00E75734"/>
    <w:rsid w:val="00E771E5"/>
    <w:rsid w:val="00E77990"/>
    <w:rsid w:val="00E8112B"/>
    <w:rsid w:val="00E81790"/>
    <w:rsid w:val="00E826D8"/>
    <w:rsid w:val="00E8503C"/>
    <w:rsid w:val="00E8504B"/>
    <w:rsid w:val="00E853A9"/>
    <w:rsid w:val="00E85461"/>
    <w:rsid w:val="00E8556F"/>
    <w:rsid w:val="00E85AE9"/>
    <w:rsid w:val="00E86142"/>
    <w:rsid w:val="00E87029"/>
    <w:rsid w:val="00E873EB"/>
    <w:rsid w:val="00E877A7"/>
    <w:rsid w:val="00E879D2"/>
    <w:rsid w:val="00E9066D"/>
    <w:rsid w:val="00E90D5F"/>
    <w:rsid w:val="00E90EC5"/>
    <w:rsid w:val="00E918ED"/>
    <w:rsid w:val="00E92246"/>
    <w:rsid w:val="00E92719"/>
    <w:rsid w:val="00E92D1E"/>
    <w:rsid w:val="00E92E6C"/>
    <w:rsid w:val="00E9341A"/>
    <w:rsid w:val="00E948EF"/>
    <w:rsid w:val="00E95082"/>
    <w:rsid w:val="00E95B93"/>
    <w:rsid w:val="00E960B7"/>
    <w:rsid w:val="00E96514"/>
    <w:rsid w:val="00E96A8F"/>
    <w:rsid w:val="00E97121"/>
    <w:rsid w:val="00EA0E5A"/>
    <w:rsid w:val="00EA14DA"/>
    <w:rsid w:val="00EA1E03"/>
    <w:rsid w:val="00EA29B3"/>
    <w:rsid w:val="00EA2ADE"/>
    <w:rsid w:val="00EA2F6E"/>
    <w:rsid w:val="00EA2F88"/>
    <w:rsid w:val="00EA3266"/>
    <w:rsid w:val="00EA350D"/>
    <w:rsid w:val="00EA54C3"/>
    <w:rsid w:val="00EA602C"/>
    <w:rsid w:val="00EA62D6"/>
    <w:rsid w:val="00EA6971"/>
    <w:rsid w:val="00EA7116"/>
    <w:rsid w:val="00EA718A"/>
    <w:rsid w:val="00EA7921"/>
    <w:rsid w:val="00EA7A89"/>
    <w:rsid w:val="00EB01BA"/>
    <w:rsid w:val="00EB057A"/>
    <w:rsid w:val="00EB1482"/>
    <w:rsid w:val="00EB2631"/>
    <w:rsid w:val="00EB2AAD"/>
    <w:rsid w:val="00EB3ED8"/>
    <w:rsid w:val="00EB4B18"/>
    <w:rsid w:val="00EB50CB"/>
    <w:rsid w:val="00EB55C1"/>
    <w:rsid w:val="00EB67BD"/>
    <w:rsid w:val="00EB6F39"/>
    <w:rsid w:val="00EB70BD"/>
    <w:rsid w:val="00EC056B"/>
    <w:rsid w:val="00EC0E15"/>
    <w:rsid w:val="00EC17C8"/>
    <w:rsid w:val="00EC18D1"/>
    <w:rsid w:val="00EC1C3B"/>
    <w:rsid w:val="00EC2BF9"/>
    <w:rsid w:val="00EC3697"/>
    <w:rsid w:val="00EC3BC0"/>
    <w:rsid w:val="00EC4902"/>
    <w:rsid w:val="00EC5422"/>
    <w:rsid w:val="00EC5F3A"/>
    <w:rsid w:val="00EC65D0"/>
    <w:rsid w:val="00EC773B"/>
    <w:rsid w:val="00EC7A7B"/>
    <w:rsid w:val="00EC7F00"/>
    <w:rsid w:val="00ED156A"/>
    <w:rsid w:val="00ED1648"/>
    <w:rsid w:val="00ED2232"/>
    <w:rsid w:val="00ED2352"/>
    <w:rsid w:val="00ED2596"/>
    <w:rsid w:val="00ED3309"/>
    <w:rsid w:val="00ED4C52"/>
    <w:rsid w:val="00ED4E9A"/>
    <w:rsid w:val="00ED55EC"/>
    <w:rsid w:val="00ED591D"/>
    <w:rsid w:val="00ED5B43"/>
    <w:rsid w:val="00ED6314"/>
    <w:rsid w:val="00ED631F"/>
    <w:rsid w:val="00ED64D7"/>
    <w:rsid w:val="00ED65B0"/>
    <w:rsid w:val="00ED65E1"/>
    <w:rsid w:val="00ED68AE"/>
    <w:rsid w:val="00ED76C4"/>
    <w:rsid w:val="00ED7A18"/>
    <w:rsid w:val="00ED7AE5"/>
    <w:rsid w:val="00EE053A"/>
    <w:rsid w:val="00EE07AD"/>
    <w:rsid w:val="00EE0C81"/>
    <w:rsid w:val="00EE141B"/>
    <w:rsid w:val="00EE16F2"/>
    <w:rsid w:val="00EE2436"/>
    <w:rsid w:val="00EE2A8F"/>
    <w:rsid w:val="00EE30BF"/>
    <w:rsid w:val="00EE37A6"/>
    <w:rsid w:val="00EE3801"/>
    <w:rsid w:val="00EE391B"/>
    <w:rsid w:val="00EE3D51"/>
    <w:rsid w:val="00EE3F53"/>
    <w:rsid w:val="00EE4A2C"/>
    <w:rsid w:val="00EE4AAB"/>
    <w:rsid w:val="00EE4CD9"/>
    <w:rsid w:val="00EE526C"/>
    <w:rsid w:val="00EE5825"/>
    <w:rsid w:val="00EE5836"/>
    <w:rsid w:val="00EE5D46"/>
    <w:rsid w:val="00EE6DDB"/>
    <w:rsid w:val="00EE7108"/>
    <w:rsid w:val="00EE76DA"/>
    <w:rsid w:val="00EF03D1"/>
    <w:rsid w:val="00EF07F3"/>
    <w:rsid w:val="00EF0EF0"/>
    <w:rsid w:val="00EF1474"/>
    <w:rsid w:val="00EF1A6B"/>
    <w:rsid w:val="00EF22F2"/>
    <w:rsid w:val="00EF38A5"/>
    <w:rsid w:val="00EF43C7"/>
    <w:rsid w:val="00EF48FE"/>
    <w:rsid w:val="00EF4C73"/>
    <w:rsid w:val="00EF5341"/>
    <w:rsid w:val="00EF53B1"/>
    <w:rsid w:val="00EF5522"/>
    <w:rsid w:val="00EF5A4E"/>
    <w:rsid w:val="00EF5AEC"/>
    <w:rsid w:val="00EF5C92"/>
    <w:rsid w:val="00EF61EC"/>
    <w:rsid w:val="00EF6644"/>
    <w:rsid w:val="00EF6DD5"/>
    <w:rsid w:val="00EF731C"/>
    <w:rsid w:val="00EF7A49"/>
    <w:rsid w:val="00EF7B12"/>
    <w:rsid w:val="00EF7F5E"/>
    <w:rsid w:val="00F001A0"/>
    <w:rsid w:val="00F00301"/>
    <w:rsid w:val="00F011B2"/>
    <w:rsid w:val="00F0241D"/>
    <w:rsid w:val="00F0342A"/>
    <w:rsid w:val="00F04198"/>
    <w:rsid w:val="00F046B0"/>
    <w:rsid w:val="00F0510F"/>
    <w:rsid w:val="00F051A9"/>
    <w:rsid w:val="00F05BF8"/>
    <w:rsid w:val="00F062D2"/>
    <w:rsid w:val="00F06470"/>
    <w:rsid w:val="00F078C9"/>
    <w:rsid w:val="00F1021F"/>
    <w:rsid w:val="00F102B4"/>
    <w:rsid w:val="00F105D8"/>
    <w:rsid w:val="00F1072C"/>
    <w:rsid w:val="00F10796"/>
    <w:rsid w:val="00F10EE4"/>
    <w:rsid w:val="00F1110F"/>
    <w:rsid w:val="00F115B8"/>
    <w:rsid w:val="00F11701"/>
    <w:rsid w:val="00F11780"/>
    <w:rsid w:val="00F11FC6"/>
    <w:rsid w:val="00F11FF9"/>
    <w:rsid w:val="00F1267B"/>
    <w:rsid w:val="00F128A6"/>
    <w:rsid w:val="00F13291"/>
    <w:rsid w:val="00F139D0"/>
    <w:rsid w:val="00F14670"/>
    <w:rsid w:val="00F14C0D"/>
    <w:rsid w:val="00F15E79"/>
    <w:rsid w:val="00F15F7D"/>
    <w:rsid w:val="00F160B9"/>
    <w:rsid w:val="00F161BE"/>
    <w:rsid w:val="00F161E3"/>
    <w:rsid w:val="00F1651D"/>
    <w:rsid w:val="00F165CB"/>
    <w:rsid w:val="00F176C1"/>
    <w:rsid w:val="00F17EA4"/>
    <w:rsid w:val="00F17EEE"/>
    <w:rsid w:val="00F200B6"/>
    <w:rsid w:val="00F207FA"/>
    <w:rsid w:val="00F20A3E"/>
    <w:rsid w:val="00F233CB"/>
    <w:rsid w:val="00F23C61"/>
    <w:rsid w:val="00F24675"/>
    <w:rsid w:val="00F27143"/>
    <w:rsid w:val="00F27164"/>
    <w:rsid w:val="00F276B9"/>
    <w:rsid w:val="00F2776F"/>
    <w:rsid w:val="00F304BF"/>
    <w:rsid w:val="00F30976"/>
    <w:rsid w:val="00F30CEC"/>
    <w:rsid w:val="00F30D9F"/>
    <w:rsid w:val="00F31140"/>
    <w:rsid w:val="00F3234B"/>
    <w:rsid w:val="00F32905"/>
    <w:rsid w:val="00F32CEC"/>
    <w:rsid w:val="00F32E57"/>
    <w:rsid w:val="00F33245"/>
    <w:rsid w:val="00F33AC5"/>
    <w:rsid w:val="00F33AF3"/>
    <w:rsid w:val="00F34829"/>
    <w:rsid w:val="00F34F3D"/>
    <w:rsid w:val="00F35116"/>
    <w:rsid w:val="00F355CF"/>
    <w:rsid w:val="00F3569F"/>
    <w:rsid w:val="00F36746"/>
    <w:rsid w:val="00F36A52"/>
    <w:rsid w:val="00F36C26"/>
    <w:rsid w:val="00F37BDB"/>
    <w:rsid w:val="00F402C2"/>
    <w:rsid w:val="00F40F41"/>
    <w:rsid w:val="00F410B7"/>
    <w:rsid w:val="00F41310"/>
    <w:rsid w:val="00F415A0"/>
    <w:rsid w:val="00F41939"/>
    <w:rsid w:val="00F41A91"/>
    <w:rsid w:val="00F41DC3"/>
    <w:rsid w:val="00F42165"/>
    <w:rsid w:val="00F42606"/>
    <w:rsid w:val="00F4279E"/>
    <w:rsid w:val="00F42B23"/>
    <w:rsid w:val="00F42DE9"/>
    <w:rsid w:val="00F4309D"/>
    <w:rsid w:val="00F431E0"/>
    <w:rsid w:val="00F43991"/>
    <w:rsid w:val="00F43AE0"/>
    <w:rsid w:val="00F441DC"/>
    <w:rsid w:val="00F44E3E"/>
    <w:rsid w:val="00F45533"/>
    <w:rsid w:val="00F473AD"/>
    <w:rsid w:val="00F47A0D"/>
    <w:rsid w:val="00F5037C"/>
    <w:rsid w:val="00F50E9F"/>
    <w:rsid w:val="00F51DC1"/>
    <w:rsid w:val="00F5213E"/>
    <w:rsid w:val="00F52187"/>
    <w:rsid w:val="00F543E9"/>
    <w:rsid w:val="00F55196"/>
    <w:rsid w:val="00F552F6"/>
    <w:rsid w:val="00F56090"/>
    <w:rsid w:val="00F563E4"/>
    <w:rsid w:val="00F56563"/>
    <w:rsid w:val="00F5658A"/>
    <w:rsid w:val="00F5666E"/>
    <w:rsid w:val="00F56A71"/>
    <w:rsid w:val="00F57410"/>
    <w:rsid w:val="00F57A8B"/>
    <w:rsid w:val="00F600EE"/>
    <w:rsid w:val="00F60263"/>
    <w:rsid w:val="00F605C3"/>
    <w:rsid w:val="00F6073D"/>
    <w:rsid w:val="00F61220"/>
    <w:rsid w:val="00F614C1"/>
    <w:rsid w:val="00F6209C"/>
    <w:rsid w:val="00F62334"/>
    <w:rsid w:val="00F63407"/>
    <w:rsid w:val="00F65375"/>
    <w:rsid w:val="00F657F5"/>
    <w:rsid w:val="00F65CA3"/>
    <w:rsid w:val="00F66BB0"/>
    <w:rsid w:val="00F66FEE"/>
    <w:rsid w:val="00F670DB"/>
    <w:rsid w:val="00F67375"/>
    <w:rsid w:val="00F67889"/>
    <w:rsid w:val="00F67EF0"/>
    <w:rsid w:val="00F7083D"/>
    <w:rsid w:val="00F70BB1"/>
    <w:rsid w:val="00F70E21"/>
    <w:rsid w:val="00F70E45"/>
    <w:rsid w:val="00F726AE"/>
    <w:rsid w:val="00F73EB2"/>
    <w:rsid w:val="00F74D6D"/>
    <w:rsid w:val="00F75C7B"/>
    <w:rsid w:val="00F76090"/>
    <w:rsid w:val="00F7733A"/>
    <w:rsid w:val="00F77806"/>
    <w:rsid w:val="00F80700"/>
    <w:rsid w:val="00F80800"/>
    <w:rsid w:val="00F810EC"/>
    <w:rsid w:val="00F8262D"/>
    <w:rsid w:val="00F82AD3"/>
    <w:rsid w:val="00F82B9A"/>
    <w:rsid w:val="00F82FDC"/>
    <w:rsid w:val="00F834B7"/>
    <w:rsid w:val="00F836A3"/>
    <w:rsid w:val="00F836F0"/>
    <w:rsid w:val="00F837F4"/>
    <w:rsid w:val="00F83834"/>
    <w:rsid w:val="00F83FC2"/>
    <w:rsid w:val="00F84F8D"/>
    <w:rsid w:val="00F86CE3"/>
    <w:rsid w:val="00F86D5E"/>
    <w:rsid w:val="00F876E8"/>
    <w:rsid w:val="00F90051"/>
    <w:rsid w:val="00F9058D"/>
    <w:rsid w:val="00F90CAD"/>
    <w:rsid w:val="00F90E28"/>
    <w:rsid w:val="00F91561"/>
    <w:rsid w:val="00F9180D"/>
    <w:rsid w:val="00F92BE1"/>
    <w:rsid w:val="00F92C30"/>
    <w:rsid w:val="00F93ECD"/>
    <w:rsid w:val="00F94384"/>
    <w:rsid w:val="00F94C26"/>
    <w:rsid w:val="00F9582C"/>
    <w:rsid w:val="00F9714F"/>
    <w:rsid w:val="00F97941"/>
    <w:rsid w:val="00F97BD7"/>
    <w:rsid w:val="00FA0095"/>
    <w:rsid w:val="00FA02EF"/>
    <w:rsid w:val="00FA1866"/>
    <w:rsid w:val="00FA1A75"/>
    <w:rsid w:val="00FA259A"/>
    <w:rsid w:val="00FA26D6"/>
    <w:rsid w:val="00FA4751"/>
    <w:rsid w:val="00FA4B36"/>
    <w:rsid w:val="00FA5ED3"/>
    <w:rsid w:val="00FA6402"/>
    <w:rsid w:val="00FA65E0"/>
    <w:rsid w:val="00FA6620"/>
    <w:rsid w:val="00FA70C3"/>
    <w:rsid w:val="00FA7491"/>
    <w:rsid w:val="00FA7886"/>
    <w:rsid w:val="00FA79CA"/>
    <w:rsid w:val="00FB0B01"/>
    <w:rsid w:val="00FB2752"/>
    <w:rsid w:val="00FB2C50"/>
    <w:rsid w:val="00FB2CEC"/>
    <w:rsid w:val="00FB33FD"/>
    <w:rsid w:val="00FB3587"/>
    <w:rsid w:val="00FB3DC2"/>
    <w:rsid w:val="00FB3F4C"/>
    <w:rsid w:val="00FB438A"/>
    <w:rsid w:val="00FB4D58"/>
    <w:rsid w:val="00FB5337"/>
    <w:rsid w:val="00FB5B11"/>
    <w:rsid w:val="00FB5F3E"/>
    <w:rsid w:val="00FB5FA8"/>
    <w:rsid w:val="00FB6149"/>
    <w:rsid w:val="00FB6B1C"/>
    <w:rsid w:val="00FB6B76"/>
    <w:rsid w:val="00FB6EFD"/>
    <w:rsid w:val="00FB7612"/>
    <w:rsid w:val="00FB7ABA"/>
    <w:rsid w:val="00FC0A60"/>
    <w:rsid w:val="00FC18A1"/>
    <w:rsid w:val="00FC1BD6"/>
    <w:rsid w:val="00FC28B4"/>
    <w:rsid w:val="00FC367B"/>
    <w:rsid w:val="00FC3FB3"/>
    <w:rsid w:val="00FC4148"/>
    <w:rsid w:val="00FC4BC5"/>
    <w:rsid w:val="00FC5424"/>
    <w:rsid w:val="00FC62BE"/>
    <w:rsid w:val="00FC6966"/>
    <w:rsid w:val="00FC710E"/>
    <w:rsid w:val="00FC7C30"/>
    <w:rsid w:val="00FC7C4F"/>
    <w:rsid w:val="00FD018F"/>
    <w:rsid w:val="00FD06F7"/>
    <w:rsid w:val="00FD08F9"/>
    <w:rsid w:val="00FD0AB4"/>
    <w:rsid w:val="00FD0CCE"/>
    <w:rsid w:val="00FD11BC"/>
    <w:rsid w:val="00FD14E1"/>
    <w:rsid w:val="00FD1FB0"/>
    <w:rsid w:val="00FD29D6"/>
    <w:rsid w:val="00FD307F"/>
    <w:rsid w:val="00FD3568"/>
    <w:rsid w:val="00FD3C18"/>
    <w:rsid w:val="00FD4723"/>
    <w:rsid w:val="00FD52E4"/>
    <w:rsid w:val="00FD579F"/>
    <w:rsid w:val="00FD5B3C"/>
    <w:rsid w:val="00FD5D24"/>
    <w:rsid w:val="00FD689B"/>
    <w:rsid w:val="00FD77C1"/>
    <w:rsid w:val="00FE06AF"/>
    <w:rsid w:val="00FE1BA8"/>
    <w:rsid w:val="00FE1CBC"/>
    <w:rsid w:val="00FE2614"/>
    <w:rsid w:val="00FE35FA"/>
    <w:rsid w:val="00FE3D6F"/>
    <w:rsid w:val="00FE432B"/>
    <w:rsid w:val="00FE4DD8"/>
    <w:rsid w:val="00FE5E0B"/>
    <w:rsid w:val="00FE66C7"/>
    <w:rsid w:val="00FE6F99"/>
    <w:rsid w:val="00FE7D9B"/>
    <w:rsid w:val="00FF0125"/>
    <w:rsid w:val="00FF0600"/>
    <w:rsid w:val="00FF222B"/>
    <w:rsid w:val="00FF2303"/>
    <w:rsid w:val="00FF4066"/>
    <w:rsid w:val="00FF58EE"/>
    <w:rsid w:val="00FF62C8"/>
    <w:rsid w:val="00FF668B"/>
    <w:rsid w:val="00FF77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CA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color w:val="2222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endnote text"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t a glance text"/>
    <w:qFormat/>
    <w:rsid w:val="001567CC"/>
    <w:pPr>
      <w:tabs>
        <w:tab w:val="right" w:leader="dot" w:pos="2880"/>
      </w:tabs>
    </w:pPr>
    <w:rPr>
      <w:rFonts w:ascii="Gill Sans" w:hAnsi="Gill Sans" w:cs="Gill Sans"/>
      <w:sz w:val="22"/>
      <w:lang w:val="en-GB"/>
    </w:rPr>
  </w:style>
  <w:style w:type="paragraph" w:styleId="Heading1">
    <w:name w:val="heading 1"/>
    <w:basedOn w:val="Normal"/>
    <w:next w:val="Normal"/>
    <w:link w:val="Heading1Char"/>
    <w:uiPriority w:val="9"/>
    <w:qFormat/>
    <w:rsid w:val="00ED68AE"/>
    <w:pPr>
      <w:keepNext/>
      <w:keepLines/>
      <w:spacing w:before="480"/>
      <w:outlineLvl w:val="0"/>
    </w:pPr>
    <w:rPr>
      <w:rFonts w:eastAsiaTheme="majorEastAsia"/>
      <w:b/>
      <w:bCs/>
      <w:color w:val="3C6EA4" w:themeColor="text2"/>
      <w:sz w:val="32"/>
      <w:szCs w:val="32"/>
    </w:rPr>
  </w:style>
  <w:style w:type="paragraph" w:styleId="Heading2">
    <w:name w:val="heading 2"/>
    <w:basedOn w:val="Normal"/>
    <w:next w:val="Normal"/>
    <w:link w:val="Heading2Char"/>
    <w:uiPriority w:val="9"/>
    <w:unhideWhenUsed/>
    <w:qFormat/>
    <w:rsid w:val="00ED68AE"/>
    <w:pPr>
      <w:keepNext/>
      <w:keepLines/>
      <w:spacing w:before="200"/>
      <w:outlineLvl w:val="1"/>
    </w:pPr>
    <w:rPr>
      <w:rFonts w:eastAsiaTheme="majorEastAsia"/>
      <w:b/>
      <w:bCs/>
      <w:color w:val="3C6EA4" w:themeColor="text2"/>
      <w:sz w:val="26"/>
      <w:szCs w:val="26"/>
    </w:rPr>
  </w:style>
  <w:style w:type="paragraph" w:styleId="Heading3">
    <w:name w:val="heading 3"/>
    <w:basedOn w:val="Normal"/>
    <w:next w:val="Normal"/>
    <w:link w:val="Heading3Char"/>
    <w:uiPriority w:val="9"/>
    <w:unhideWhenUsed/>
    <w:qFormat/>
    <w:rsid w:val="00ED68AE"/>
    <w:pPr>
      <w:keepNext/>
      <w:keepLines/>
      <w:spacing w:before="200"/>
      <w:outlineLvl w:val="2"/>
    </w:pPr>
    <w:rPr>
      <w:rFonts w:eastAsiaTheme="majorEastAsia"/>
      <w:b/>
      <w:bCs/>
      <w:color w:val="3C6EA4" w:themeColor="text2"/>
    </w:rPr>
  </w:style>
  <w:style w:type="paragraph" w:styleId="Heading4">
    <w:name w:val="heading 4"/>
    <w:basedOn w:val="Normal"/>
    <w:next w:val="Normal"/>
    <w:link w:val="Heading4Char"/>
    <w:uiPriority w:val="9"/>
    <w:unhideWhenUsed/>
    <w:qFormat/>
    <w:rsid w:val="00ED68AE"/>
    <w:pPr>
      <w:keepNext/>
      <w:keepLines/>
      <w:spacing w:before="200"/>
      <w:outlineLvl w:val="3"/>
    </w:pPr>
    <w:rPr>
      <w:rFonts w:eastAsiaTheme="majorEastAsia"/>
      <w:b/>
      <w:bCs/>
      <w:i/>
      <w:iCs/>
      <w:color w:val="3C6EA4" w:themeColor="text2"/>
    </w:rPr>
  </w:style>
  <w:style w:type="paragraph" w:styleId="Heading5">
    <w:name w:val="heading 5"/>
    <w:aliases w:val="Table title outside"/>
    <w:basedOn w:val="Normal"/>
    <w:next w:val="Normal"/>
    <w:link w:val="Heading5Char"/>
    <w:uiPriority w:val="9"/>
    <w:unhideWhenUsed/>
    <w:qFormat/>
    <w:rsid w:val="00ED68AE"/>
    <w:pPr>
      <w:keepNext/>
      <w:keepLines/>
      <w:spacing w:before="200"/>
      <w:outlineLvl w:val="4"/>
    </w:pPr>
    <w:rPr>
      <w:rFonts w:asciiTheme="majorHAnsi" w:eastAsiaTheme="majorEastAsia" w:hAnsiTheme="majorHAnsi" w:cstheme="majorBidi"/>
      <w:b/>
      <w:color w:val="3C6EA4" w:themeColor="text2"/>
    </w:rPr>
  </w:style>
  <w:style w:type="paragraph" w:styleId="Heading6">
    <w:name w:val="heading 6"/>
    <w:basedOn w:val="Normal"/>
    <w:next w:val="Normal"/>
    <w:link w:val="Heading6Char"/>
    <w:uiPriority w:val="9"/>
    <w:unhideWhenUsed/>
    <w:rsid w:val="00C616F0"/>
    <w:pPr>
      <w:keepNext/>
      <w:keepLines/>
      <w:spacing w:before="200"/>
      <w:outlineLvl w:val="5"/>
    </w:pPr>
    <w:rPr>
      <w:rFonts w:asciiTheme="majorHAnsi" w:eastAsiaTheme="majorEastAsia" w:hAnsiTheme="majorHAnsi" w:cstheme="majorBidi"/>
      <w:i/>
      <w:iCs/>
      <w:color w:val="76420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8AE"/>
    <w:rPr>
      <w:rFonts w:ascii="Gill Sans" w:eastAsiaTheme="majorEastAsia" w:hAnsi="Gill Sans" w:cs="Gill Sans"/>
      <w:b/>
      <w:bCs/>
      <w:color w:val="3C6EA4" w:themeColor="text2"/>
      <w:sz w:val="32"/>
      <w:szCs w:val="32"/>
    </w:rPr>
  </w:style>
  <w:style w:type="character" w:customStyle="1" w:styleId="Heading2Char">
    <w:name w:val="Heading 2 Char"/>
    <w:basedOn w:val="DefaultParagraphFont"/>
    <w:link w:val="Heading2"/>
    <w:uiPriority w:val="9"/>
    <w:rsid w:val="00ED68AE"/>
    <w:rPr>
      <w:rFonts w:ascii="Gill Sans" w:eastAsiaTheme="majorEastAsia" w:hAnsi="Gill Sans" w:cs="Gill Sans"/>
      <w:b/>
      <w:bCs/>
      <w:color w:val="3C6EA4" w:themeColor="text2"/>
      <w:sz w:val="26"/>
      <w:szCs w:val="26"/>
    </w:rPr>
  </w:style>
  <w:style w:type="character" w:customStyle="1" w:styleId="Heading3Char">
    <w:name w:val="Heading 3 Char"/>
    <w:basedOn w:val="DefaultParagraphFont"/>
    <w:link w:val="Heading3"/>
    <w:uiPriority w:val="9"/>
    <w:rsid w:val="00ED68AE"/>
    <w:rPr>
      <w:rFonts w:ascii="Gill Sans" w:eastAsiaTheme="majorEastAsia" w:hAnsi="Gill Sans" w:cs="Gill Sans"/>
      <w:b/>
      <w:bCs/>
      <w:color w:val="3C6EA4" w:themeColor="text2"/>
      <w:sz w:val="22"/>
    </w:rPr>
  </w:style>
  <w:style w:type="character" w:customStyle="1" w:styleId="Heading4Char">
    <w:name w:val="Heading 4 Char"/>
    <w:basedOn w:val="DefaultParagraphFont"/>
    <w:link w:val="Heading4"/>
    <w:uiPriority w:val="9"/>
    <w:rsid w:val="00ED68AE"/>
    <w:rPr>
      <w:rFonts w:ascii="Gill Sans" w:eastAsiaTheme="majorEastAsia" w:hAnsi="Gill Sans" w:cs="Gill Sans"/>
      <w:b/>
      <w:bCs/>
      <w:i/>
      <w:iCs/>
      <w:color w:val="3C6EA4" w:themeColor="text2"/>
      <w:sz w:val="22"/>
    </w:rPr>
  </w:style>
  <w:style w:type="character" w:customStyle="1" w:styleId="Heading5Char">
    <w:name w:val="Heading 5 Char"/>
    <w:aliases w:val="Table title outside Char"/>
    <w:basedOn w:val="DefaultParagraphFont"/>
    <w:link w:val="Heading5"/>
    <w:uiPriority w:val="9"/>
    <w:rsid w:val="00ED68AE"/>
    <w:rPr>
      <w:rFonts w:asciiTheme="majorHAnsi" w:eastAsiaTheme="majorEastAsia" w:hAnsiTheme="majorHAnsi" w:cstheme="majorBidi"/>
      <w:b/>
      <w:color w:val="3C6EA4" w:themeColor="text2"/>
      <w:sz w:val="22"/>
    </w:rPr>
  </w:style>
  <w:style w:type="character" w:customStyle="1" w:styleId="Heading6Char">
    <w:name w:val="Heading 6 Char"/>
    <w:basedOn w:val="DefaultParagraphFont"/>
    <w:link w:val="Heading6"/>
    <w:uiPriority w:val="9"/>
    <w:rsid w:val="00C616F0"/>
    <w:rPr>
      <w:rFonts w:asciiTheme="majorHAnsi" w:eastAsiaTheme="majorEastAsia" w:hAnsiTheme="majorHAnsi" w:cstheme="majorBidi"/>
      <w:i/>
      <w:iCs/>
      <w:color w:val="76420D" w:themeColor="accent1" w:themeShade="7F"/>
      <w:sz w:val="20"/>
    </w:rPr>
  </w:style>
  <w:style w:type="paragraph" w:styleId="ListParagraph">
    <w:name w:val="List Paragraph"/>
    <w:basedOn w:val="Normal"/>
    <w:uiPriority w:val="34"/>
    <w:qFormat/>
    <w:rsid w:val="00ED68AE"/>
    <w:pPr>
      <w:numPr>
        <w:numId w:val="2"/>
      </w:numPr>
      <w:contextualSpacing/>
    </w:pPr>
  </w:style>
  <w:style w:type="paragraph" w:styleId="Title">
    <w:name w:val="Title"/>
    <w:basedOn w:val="Normal"/>
    <w:next w:val="Normal"/>
    <w:link w:val="TitleChar"/>
    <w:qFormat/>
    <w:rsid w:val="00ED68AE"/>
    <w:pPr>
      <w:pBdr>
        <w:bottom w:val="single" w:sz="8" w:space="1" w:color="3C6EA4" w:themeColor="text2"/>
      </w:pBdr>
      <w:spacing w:after="300"/>
      <w:contextualSpacing/>
    </w:pPr>
    <w:rPr>
      <w:rFonts w:eastAsiaTheme="majorEastAsia"/>
      <w:color w:val="000000" w:themeColor="text1"/>
      <w:spacing w:val="5"/>
      <w:kern w:val="28"/>
      <w:sz w:val="52"/>
      <w:szCs w:val="52"/>
    </w:rPr>
  </w:style>
  <w:style w:type="character" w:customStyle="1" w:styleId="TitleChar">
    <w:name w:val="Title Char"/>
    <w:basedOn w:val="DefaultParagraphFont"/>
    <w:link w:val="Title"/>
    <w:rsid w:val="00ED68AE"/>
    <w:rPr>
      <w:rFonts w:ascii="Gill Sans" w:eastAsiaTheme="majorEastAsia" w:hAnsi="Gill Sans" w:cs="Gill Sans"/>
      <w:color w:val="000000" w:themeColor="text1"/>
      <w:spacing w:val="5"/>
      <w:kern w:val="28"/>
      <w:sz w:val="52"/>
      <w:szCs w:val="52"/>
    </w:rPr>
  </w:style>
  <w:style w:type="paragraph" w:styleId="TOC1">
    <w:name w:val="toc 1"/>
    <w:basedOn w:val="Normal"/>
    <w:next w:val="Normal"/>
    <w:autoRedefine/>
    <w:uiPriority w:val="39"/>
    <w:unhideWhenUsed/>
    <w:qFormat/>
    <w:rsid w:val="006C7E40"/>
    <w:pPr>
      <w:tabs>
        <w:tab w:val="clear" w:pos="2880"/>
      </w:tabs>
      <w:spacing w:before="120"/>
    </w:pPr>
    <w:rPr>
      <w:b/>
      <w:szCs w:val="22"/>
    </w:rPr>
  </w:style>
  <w:style w:type="paragraph" w:styleId="TOC2">
    <w:name w:val="toc 2"/>
    <w:basedOn w:val="Normal"/>
    <w:next w:val="Normal"/>
    <w:autoRedefine/>
    <w:uiPriority w:val="39"/>
    <w:unhideWhenUsed/>
    <w:qFormat/>
    <w:rsid w:val="006C7E40"/>
    <w:pPr>
      <w:tabs>
        <w:tab w:val="clear" w:pos="2880"/>
      </w:tabs>
      <w:ind w:left="220"/>
    </w:pPr>
    <w:rPr>
      <w:szCs w:val="22"/>
    </w:rPr>
  </w:style>
  <w:style w:type="paragraph" w:styleId="TOC3">
    <w:name w:val="toc 3"/>
    <w:basedOn w:val="Normal"/>
    <w:next w:val="Normal"/>
    <w:autoRedefine/>
    <w:uiPriority w:val="39"/>
    <w:unhideWhenUsed/>
    <w:rsid w:val="00C616F0"/>
    <w:pPr>
      <w:tabs>
        <w:tab w:val="clear" w:pos="2880"/>
      </w:tabs>
      <w:ind w:left="440"/>
    </w:pPr>
    <w:rPr>
      <w:rFonts w:asciiTheme="minorHAnsi" w:hAnsiTheme="minorHAnsi"/>
      <w:szCs w:val="22"/>
    </w:rPr>
  </w:style>
  <w:style w:type="paragraph" w:styleId="TOC4">
    <w:name w:val="toc 4"/>
    <w:basedOn w:val="Normal"/>
    <w:next w:val="Normal"/>
    <w:autoRedefine/>
    <w:uiPriority w:val="39"/>
    <w:unhideWhenUsed/>
    <w:rsid w:val="00C616F0"/>
    <w:pPr>
      <w:tabs>
        <w:tab w:val="clear" w:pos="2880"/>
      </w:tabs>
      <w:ind w:left="660"/>
    </w:pPr>
    <w:rPr>
      <w:rFonts w:asciiTheme="minorHAnsi" w:hAnsiTheme="minorHAnsi"/>
      <w:sz w:val="20"/>
    </w:rPr>
  </w:style>
  <w:style w:type="paragraph" w:styleId="TOC5">
    <w:name w:val="toc 5"/>
    <w:basedOn w:val="Normal"/>
    <w:next w:val="Normal"/>
    <w:autoRedefine/>
    <w:uiPriority w:val="39"/>
    <w:unhideWhenUsed/>
    <w:rsid w:val="00C616F0"/>
    <w:pPr>
      <w:tabs>
        <w:tab w:val="clear" w:pos="2880"/>
      </w:tabs>
      <w:ind w:left="880"/>
    </w:pPr>
    <w:rPr>
      <w:rFonts w:asciiTheme="minorHAnsi" w:hAnsiTheme="minorHAnsi"/>
      <w:sz w:val="20"/>
    </w:rPr>
  </w:style>
  <w:style w:type="paragraph" w:styleId="TOC6">
    <w:name w:val="toc 6"/>
    <w:basedOn w:val="Normal"/>
    <w:next w:val="Normal"/>
    <w:autoRedefine/>
    <w:uiPriority w:val="39"/>
    <w:unhideWhenUsed/>
    <w:rsid w:val="00C616F0"/>
    <w:pPr>
      <w:tabs>
        <w:tab w:val="clear" w:pos="2880"/>
      </w:tabs>
      <w:ind w:left="1100"/>
    </w:pPr>
    <w:rPr>
      <w:rFonts w:asciiTheme="minorHAnsi" w:hAnsiTheme="minorHAnsi"/>
      <w:sz w:val="20"/>
    </w:rPr>
  </w:style>
  <w:style w:type="paragraph" w:styleId="TOC7">
    <w:name w:val="toc 7"/>
    <w:basedOn w:val="Normal"/>
    <w:next w:val="Normal"/>
    <w:autoRedefine/>
    <w:uiPriority w:val="39"/>
    <w:unhideWhenUsed/>
    <w:rsid w:val="00C616F0"/>
    <w:pPr>
      <w:tabs>
        <w:tab w:val="clear" w:pos="2880"/>
      </w:tabs>
      <w:ind w:left="1320"/>
    </w:pPr>
    <w:rPr>
      <w:rFonts w:asciiTheme="minorHAnsi" w:hAnsiTheme="minorHAnsi"/>
      <w:sz w:val="20"/>
    </w:rPr>
  </w:style>
  <w:style w:type="paragraph" w:styleId="TOC8">
    <w:name w:val="toc 8"/>
    <w:basedOn w:val="Normal"/>
    <w:next w:val="Normal"/>
    <w:autoRedefine/>
    <w:uiPriority w:val="39"/>
    <w:unhideWhenUsed/>
    <w:rsid w:val="00C616F0"/>
    <w:pPr>
      <w:tabs>
        <w:tab w:val="clear" w:pos="2880"/>
      </w:tabs>
      <w:ind w:left="1540"/>
    </w:pPr>
    <w:rPr>
      <w:rFonts w:asciiTheme="minorHAnsi" w:hAnsiTheme="minorHAnsi"/>
      <w:sz w:val="20"/>
    </w:rPr>
  </w:style>
  <w:style w:type="paragraph" w:styleId="TOC9">
    <w:name w:val="toc 9"/>
    <w:basedOn w:val="Normal"/>
    <w:next w:val="Normal"/>
    <w:autoRedefine/>
    <w:uiPriority w:val="39"/>
    <w:unhideWhenUsed/>
    <w:rsid w:val="00C616F0"/>
    <w:pPr>
      <w:tabs>
        <w:tab w:val="clear" w:pos="2880"/>
      </w:tabs>
      <w:ind w:left="1760"/>
    </w:pPr>
    <w:rPr>
      <w:rFonts w:asciiTheme="minorHAnsi" w:hAnsiTheme="minorHAnsi"/>
      <w:sz w:val="20"/>
    </w:rPr>
  </w:style>
  <w:style w:type="paragraph" w:styleId="Footer">
    <w:name w:val="footer"/>
    <w:basedOn w:val="Normal"/>
    <w:link w:val="FooterChar"/>
    <w:uiPriority w:val="99"/>
    <w:unhideWhenUsed/>
    <w:rsid w:val="00C616F0"/>
    <w:pPr>
      <w:tabs>
        <w:tab w:val="center" w:pos="4320"/>
        <w:tab w:val="right" w:pos="8640"/>
      </w:tabs>
    </w:pPr>
  </w:style>
  <w:style w:type="character" w:customStyle="1" w:styleId="FooterChar">
    <w:name w:val="Footer Char"/>
    <w:basedOn w:val="DefaultParagraphFont"/>
    <w:link w:val="Footer"/>
    <w:uiPriority w:val="99"/>
    <w:rsid w:val="00C616F0"/>
    <w:rPr>
      <w:rFonts w:ascii="Garamond" w:hAnsi="Garamond"/>
      <w:color w:val="222222"/>
      <w:sz w:val="20"/>
    </w:rPr>
  </w:style>
  <w:style w:type="character" w:styleId="PageNumber">
    <w:name w:val="page number"/>
    <w:basedOn w:val="DefaultParagraphFont"/>
    <w:uiPriority w:val="99"/>
    <w:semiHidden/>
    <w:unhideWhenUsed/>
    <w:rsid w:val="00C616F0"/>
  </w:style>
  <w:style w:type="paragraph" w:styleId="NormalWeb">
    <w:name w:val="Normal (Web)"/>
    <w:basedOn w:val="Normal"/>
    <w:uiPriority w:val="99"/>
    <w:unhideWhenUsed/>
    <w:rsid w:val="00C616F0"/>
    <w:pPr>
      <w:spacing w:before="100" w:beforeAutospacing="1" w:after="100" w:afterAutospacing="1"/>
    </w:pPr>
    <w:rPr>
      <w:rFonts w:ascii="Times" w:hAnsi="Times" w:cs="Times New Roman"/>
      <w:color w:val="auto"/>
    </w:rPr>
  </w:style>
  <w:style w:type="table" w:styleId="TableGrid">
    <w:name w:val="Table Grid"/>
    <w:basedOn w:val="TableNormal"/>
    <w:uiPriority w:val="39"/>
    <w:rsid w:val="00C61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qFormat/>
    <w:rsid w:val="00C616F0"/>
    <w:rPr>
      <w:rFonts w:ascii="Calibri" w:eastAsia="Calibri" w:hAnsi="Calibri" w:cs="Calibri"/>
      <w:color w:val="000000"/>
      <w:lang w:val="en-ZA" w:eastAsia="en-ZA"/>
    </w:rPr>
  </w:style>
  <w:style w:type="character" w:customStyle="1" w:styleId="EndnoteTextChar">
    <w:name w:val="Endnote Text Char"/>
    <w:basedOn w:val="DefaultParagraphFont"/>
    <w:link w:val="EndnoteText"/>
    <w:uiPriority w:val="99"/>
    <w:rsid w:val="00C616F0"/>
    <w:rPr>
      <w:rFonts w:ascii="Calibri" w:eastAsia="Calibri" w:hAnsi="Calibri" w:cs="Calibri"/>
      <w:color w:val="000000"/>
      <w:sz w:val="20"/>
      <w:lang w:val="en-ZA" w:eastAsia="en-ZA"/>
    </w:rPr>
  </w:style>
  <w:style w:type="character" w:styleId="EndnoteReference">
    <w:name w:val="endnote reference"/>
    <w:basedOn w:val="DefaultParagraphFont"/>
    <w:uiPriority w:val="99"/>
    <w:unhideWhenUsed/>
    <w:qFormat/>
    <w:rsid w:val="00C616F0"/>
    <w:rPr>
      <w:vertAlign w:val="superscript"/>
    </w:rPr>
  </w:style>
  <w:style w:type="character" w:styleId="Hyperlink">
    <w:name w:val="Hyperlink"/>
    <w:basedOn w:val="DefaultParagraphFont"/>
    <w:uiPriority w:val="99"/>
    <w:unhideWhenUsed/>
    <w:rsid w:val="00C616F0"/>
    <w:rPr>
      <w:color w:val="3B70AA" w:themeColor="hyperlink"/>
      <w:u w:val="single"/>
    </w:rPr>
  </w:style>
  <w:style w:type="paragraph" w:styleId="Header">
    <w:name w:val="header"/>
    <w:basedOn w:val="Normal"/>
    <w:link w:val="HeaderChar"/>
    <w:uiPriority w:val="99"/>
    <w:unhideWhenUsed/>
    <w:rsid w:val="00C616F0"/>
    <w:pPr>
      <w:tabs>
        <w:tab w:val="center" w:pos="4320"/>
        <w:tab w:val="right" w:pos="8640"/>
      </w:tabs>
    </w:pPr>
  </w:style>
  <w:style w:type="character" w:customStyle="1" w:styleId="HeaderChar">
    <w:name w:val="Header Char"/>
    <w:basedOn w:val="DefaultParagraphFont"/>
    <w:link w:val="Header"/>
    <w:uiPriority w:val="99"/>
    <w:rsid w:val="00C616F0"/>
    <w:rPr>
      <w:rFonts w:ascii="Garamond" w:hAnsi="Garamond"/>
      <w:color w:val="222222"/>
      <w:sz w:val="20"/>
    </w:rPr>
  </w:style>
  <w:style w:type="paragraph" w:styleId="DocumentMap">
    <w:name w:val="Document Map"/>
    <w:basedOn w:val="Normal"/>
    <w:link w:val="DocumentMapChar"/>
    <w:uiPriority w:val="99"/>
    <w:semiHidden/>
    <w:unhideWhenUsed/>
    <w:rsid w:val="00C616F0"/>
    <w:rPr>
      <w:rFonts w:ascii="Lucida Grande" w:hAnsi="Lucida Grande" w:cs="Lucida Grande"/>
    </w:rPr>
  </w:style>
  <w:style w:type="character" w:customStyle="1" w:styleId="DocumentMapChar">
    <w:name w:val="Document Map Char"/>
    <w:basedOn w:val="DefaultParagraphFont"/>
    <w:link w:val="DocumentMap"/>
    <w:uiPriority w:val="99"/>
    <w:semiHidden/>
    <w:rsid w:val="00C616F0"/>
    <w:rPr>
      <w:rFonts w:ascii="Lucida Grande" w:hAnsi="Lucida Grande" w:cs="Lucida Grande"/>
      <w:color w:val="222222"/>
      <w:sz w:val="20"/>
    </w:rPr>
  </w:style>
  <w:style w:type="paragraph" w:customStyle="1" w:styleId="ColorfulList-Accent11">
    <w:name w:val="Colorful List - Accent 11"/>
    <w:basedOn w:val="Normal"/>
    <w:uiPriority w:val="34"/>
    <w:qFormat/>
    <w:rsid w:val="00C616F0"/>
    <w:pPr>
      <w:numPr>
        <w:numId w:val="1"/>
      </w:numPr>
    </w:pPr>
    <w:rPr>
      <w:rFonts w:asciiTheme="majorHAnsi" w:eastAsia="Calibri" w:hAnsiTheme="majorHAnsi" w:cs="Times New Roman"/>
      <w:color w:val="auto"/>
      <w:szCs w:val="22"/>
    </w:rPr>
  </w:style>
  <w:style w:type="character" w:styleId="CommentReference">
    <w:name w:val="annotation reference"/>
    <w:uiPriority w:val="99"/>
    <w:semiHidden/>
    <w:unhideWhenUsed/>
    <w:rsid w:val="00C616F0"/>
    <w:rPr>
      <w:sz w:val="16"/>
      <w:szCs w:val="16"/>
    </w:rPr>
  </w:style>
  <w:style w:type="paragraph" w:styleId="CommentText">
    <w:name w:val="annotation text"/>
    <w:basedOn w:val="Normal"/>
    <w:link w:val="CommentTextChar"/>
    <w:uiPriority w:val="99"/>
    <w:unhideWhenUsed/>
    <w:rsid w:val="00C616F0"/>
    <w:rPr>
      <w:rFonts w:ascii="Cambria" w:eastAsia="Cambria" w:hAnsi="Cambria" w:cs="Times New Roman"/>
      <w:color w:val="auto"/>
    </w:rPr>
  </w:style>
  <w:style w:type="character" w:customStyle="1" w:styleId="CommentTextChar">
    <w:name w:val="Comment Text Char"/>
    <w:basedOn w:val="DefaultParagraphFont"/>
    <w:link w:val="CommentText"/>
    <w:uiPriority w:val="99"/>
    <w:rsid w:val="00C616F0"/>
    <w:rPr>
      <w:rFonts w:ascii="Cambria" w:eastAsia="Cambria" w:hAnsi="Cambria" w:cs="Times New Roman"/>
      <w:sz w:val="20"/>
      <w:szCs w:val="20"/>
    </w:rPr>
  </w:style>
  <w:style w:type="paragraph" w:customStyle="1" w:styleId="ColorfulList-Accent12">
    <w:name w:val="Colorful List - Accent 12"/>
    <w:uiPriority w:val="34"/>
    <w:rsid w:val="00C616F0"/>
    <w:pPr>
      <w:spacing w:after="200" w:line="276" w:lineRule="auto"/>
      <w:ind w:left="720"/>
    </w:pPr>
    <w:rPr>
      <w:rFonts w:ascii="Times New Roman" w:eastAsia="ヒラギノ角ゴ Pro W3" w:hAnsi="Times New Roman" w:cs="Times New Roman"/>
      <w:color w:val="000000"/>
      <w:sz w:val="28"/>
    </w:rPr>
  </w:style>
  <w:style w:type="paragraph" w:styleId="FootnoteText">
    <w:name w:val="footnote text"/>
    <w:basedOn w:val="Normal"/>
    <w:link w:val="FootnoteTextChar"/>
    <w:uiPriority w:val="99"/>
    <w:unhideWhenUsed/>
    <w:rsid w:val="00C616F0"/>
    <w:rPr>
      <w:rFonts w:ascii="Cambria" w:eastAsia="Cambria" w:hAnsi="Cambria" w:cs="Times New Roman"/>
      <w:color w:val="auto"/>
    </w:rPr>
  </w:style>
  <w:style w:type="character" w:customStyle="1" w:styleId="FootnoteTextChar">
    <w:name w:val="Footnote Text Char"/>
    <w:basedOn w:val="DefaultParagraphFont"/>
    <w:link w:val="FootnoteText"/>
    <w:uiPriority w:val="99"/>
    <w:rsid w:val="00C616F0"/>
    <w:rPr>
      <w:rFonts w:ascii="Cambria" w:eastAsia="Cambria" w:hAnsi="Cambria" w:cs="Times New Roman"/>
      <w:sz w:val="20"/>
      <w:szCs w:val="20"/>
    </w:rPr>
  </w:style>
  <w:style w:type="character" w:styleId="FootnoteReference">
    <w:name w:val="footnote reference"/>
    <w:uiPriority w:val="99"/>
    <w:unhideWhenUsed/>
    <w:rsid w:val="00C616F0"/>
    <w:rPr>
      <w:vertAlign w:val="superscript"/>
    </w:rPr>
  </w:style>
  <w:style w:type="paragraph" w:customStyle="1" w:styleId="Default">
    <w:name w:val="Default"/>
    <w:rsid w:val="00C616F0"/>
    <w:pPr>
      <w:autoSpaceDE w:val="0"/>
      <w:autoSpaceDN w:val="0"/>
      <w:adjustRightInd w:val="0"/>
    </w:pPr>
    <w:rPr>
      <w:rFonts w:ascii="Calibri" w:eastAsia="Cambria" w:hAnsi="Calibri" w:cs="Calibri"/>
      <w:color w:val="000000"/>
    </w:rPr>
  </w:style>
  <w:style w:type="paragraph" w:customStyle="1" w:styleId="ListParagraph1">
    <w:name w:val="List Paragraph1"/>
    <w:uiPriority w:val="34"/>
    <w:rsid w:val="00C616F0"/>
    <w:pPr>
      <w:spacing w:after="200" w:line="276" w:lineRule="auto"/>
      <w:ind w:left="720"/>
    </w:pPr>
    <w:rPr>
      <w:rFonts w:ascii="Times New Roman" w:eastAsia="ヒラギノ角ゴ Pro W3" w:hAnsi="Times New Roman" w:cs="Times New Roman"/>
      <w:color w:val="000000"/>
      <w:sz w:val="28"/>
    </w:rPr>
  </w:style>
  <w:style w:type="character" w:styleId="Emphasis">
    <w:name w:val="Emphasis"/>
    <w:uiPriority w:val="20"/>
    <w:qFormat/>
    <w:rsid w:val="00C616F0"/>
    <w:rPr>
      <w:iCs/>
    </w:rPr>
  </w:style>
  <w:style w:type="paragraph" w:styleId="BalloonText">
    <w:name w:val="Balloon Text"/>
    <w:basedOn w:val="Normal"/>
    <w:link w:val="BalloonTextChar"/>
    <w:uiPriority w:val="99"/>
    <w:semiHidden/>
    <w:unhideWhenUsed/>
    <w:rsid w:val="00C616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16F0"/>
    <w:rPr>
      <w:rFonts w:ascii="Lucida Grande" w:hAnsi="Lucida Grande" w:cs="Lucida Grande"/>
      <w:color w:val="222222"/>
      <w:sz w:val="18"/>
      <w:szCs w:val="18"/>
    </w:rPr>
  </w:style>
  <w:style w:type="character" w:styleId="FollowedHyperlink">
    <w:name w:val="FollowedHyperlink"/>
    <w:basedOn w:val="DefaultParagraphFont"/>
    <w:uiPriority w:val="99"/>
    <w:semiHidden/>
    <w:unhideWhenUsed/>
    <w:rsid w:val="00C616F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616F0"/>
    <w:pPr>
      <w:spacing w:after="120"/>
    </w:pPr>
    <w:rPr>
      <w:rFonts w:ascii="Garamond" w:eastAsiaTheme="minorEastAsia" w:hAnsi="Garamond" w:cstheme="minorBidi"/>
      <w:b/>
      <w:bCs/>
      <w:color w:val="222222"/>
    </w:rPr>
  </w:style>
  <w:style w:type="character" w:customStyle="1" w:styleId="CommentSubjectChar">
    <w:name w:val="Comment Subject Char"/>
    <w:basedOn w:val="CommentTextChar"/>
    <w:link w:val="CommentSubject"/>
    <w:uiPriority w:val="99"/>
    <w:semiHidden/>
    <w:rsid w:val="00C616F0"/>
    <w:rPr>
      <w:rFonts w:ascii="Garamond" w:eastAsia="Cambria" w:hAnsi="Garamond" w:cs="Times New Roman"/>
      <w:b/>
      <w:bCs/>
      <w:color w:val="222222"/>
      <w:sz w:val="20"/>
      <w:szCs w:val="20"/>
    </w:rPr>
  </w:style>
  <w:style w:type="paragraph" w:styleId="Revision">
    <w:name w:val="Revision"/>
    <w:hidden/>
    <w:uiPriority w:val="99"/>
    <w:semiHidden/>
    <w:rsid w:val="00C616F0"/>
  </w:style>
  <w:style w:type="paragraph" w:styleId="TOCHeading">
    <w:name w:val="TOC Heading"/>
    <w:basedOn w:val="Heading1"/>
    <w:next w:val="Normal"/>
    <w:uiPriority w:val="39"/>
    <w:unhideWhenUsed/>
    <w:qFormat/>
    <w:rsid w:val="00EB01BA"/>
    <w:pPr>
      <w:outlineLvl w:val="9"/>
    </w:pPr>
    <w:rPr>
      <w:rFonts w:asciiTheme="majorHAnsi" w:hAnsiTheme="majorHAnsi" w:cstheme="majorBidi"/>
      <w:color w:val="auto"/>
    </w:rPr>
  </w:style>
  <w:style w:type="paragraph" w:customStyle="1" w:styleId="Nospacefeaturetolerant">
    <w:name w:val="No space (feature tolerant)"/>
    <w:basedOn w:val="Normal"/>
    <w:qFormat/>
    <w:rsid w:val="00ED68AE"/>
    <w:rPr>
      <w:rFonts w:ascii="Adobe Caslon Pro" w:hAnsi="Adobe Caslon Pro"/>
      <w:szCs w:val="22"/>
    </w:rPr>
  </w:style>
  <w:style w:type="paragraph" w:customStyle="1" w:styleId="Normalrglronly">
    <w:name w:val="Normal (rglr only)"/>
    <w:basedOn w:val="Normal"/>
    <w:qFormat/>
    <w:rsid w:val="004D26FB"/>
    <w:pPr>
      <w:spacing w:after="120"/>
    </w:pPr>
    <w:rPr>
      <w:rFonts w:eastAsia="Cambria" w:cs="Times New Roman"/>
      <w:bCs/>
      <w:color w:val="auto"/>
      <w:szCs w:val="22"/>
    </w:rPr>
  </w:style>
  <w:style w:type="paragraph" w:customStyle="1" w:styleId="APQuotefeaturetol">
    <w:name w:val="AP Quote (feature tol)"/>
    <w:basedOn w:val="Normal"/>
    <w:qFormat/>
    <w:rsid w:val="00ED68AE"/>
    <w:pPr>
      <w:spacing w:after="120"/>
    </w:pPr>
    <w:rPr>
      <w:i/>
      <w:szCs w:val="22"/>
    </w:rPr>
  </w:style>
  <w:style w:type="paragraph" w:customStyle="1" w:styleId="Pullquote">
    <w:name w:val="Pull quote"/>
    <w:basedOn w:val="Normal"/>
    <w:next w:val="Normal"/>
    <w:qFormat/>
    <w:rsid w:val="00ED68AE"/>
    <w:rPr>
      <w:color w:val="4BACC6" w:themeColor="accent5"/>
      <w:sz w:val="24"/>
    </w:rPr>
  </w:style>
  <w:style w:type="paragraph" w:customStyle="1" w:styleId="Tabletitleinside">
    <w:name w:val="Table title inside"/>
    <w:basedOn w:val="Heading5"/>
    <w:qFormat/>
    <w:rsid w:val="00ED68AE"/>
    <w:pPr>
      <w:spacing w:before="60"/>
    </w:pPr>
    <w:rPr>
      <w:rFonts w:ascii="Gill Sans" w:hAnsi="Gill Sans"/>
    </w:rPr>
  </w:style>
  <w:style w:type="paragraph" w:customStyle="1" w:styleId="Tableheader">
    <w:name w:val="Table header"/>
    <w:basedOn w:val="Normal"/>
    <w:qFormat/>
    <w:rsid w:val="00ED68AE"/>
    <w:rPr>
      <w:rFonts w:ascii="Gill Sans SemiBold" w:hAnsi="Gill Sans SemiBold"/>
      <w:color w:val="B26414" w:themeColor="accent1" w:themeShade="BF"/>
    </w:rPr>
  </w:style>
  <w:style w:type="paragraph" w:customStyle="1" w:styleId="Rowcolumntitles">
    <w:name w:val="Row/column titles"/>
    <w:basedOn w:val="Normal"/>
    <w:qFormat/>
    <w:rsid w:val="00ED68AE"/>
    <w:rPr>
      <w:color w:val="000000" w:themeColor="text1"/>
    </w:rPr>
  </w:style>
  <w:style w:type="paragraph" w:customStyle="1" w:styleId="Tablebullet">
    <w:name w:val="Table bullet"/>
    <w:basedOn w:val="ListParagraph"/>
    <w:qFormat/>
    <w:rsid w:val="00ED68AE"/>
    <w:pPr>
      <w:ind w:left="180" w:hanging="180"/>
    </w:pPr>
    <w:rPr>
      <w:b/>
    </w:rPr>
  </w:style>
  <w:style w:type="paragraph" w:customStyle="1" w:styleId="Ataglancetitle">
    <w:name w:val="At a glance title"/>
    <w:basedOn w:val="Normal"/>
    <w:qFormat/>
    <w:rsid w:val="00ED68AE"/>
    <w:rPr>
      <w:b/>
      <w:color w:val="E68723" w:themeColor="accent1"/>
    </w:rPr>
  </w:style>
  <w:style w:type="paragraph" w:customStyle="1" w:styleId="Ataglancesubtitle">
    <w:name w:val="At a glance subtitle"/>
    <w:basedOn w:val="Normal"/>
    <w:qFormat/>
    <w:rsid w:val="00ED68AE"/>
    <w:pPr>
      <w:spacing w:before="120"/>
    </w:pPr>
    <w:rPr>
      <w:b/>
      <w:i/>
      <w:color w:val="4A5648" w:themeColor="accent4" w:themeShade="80"/>
    </w:rPr>
  </w:style>
  <w:style w:type="paragraph" w:styleId="Caption">
    <w:name w:val="caption"/>
    <w:basedOn w:val="Normal"/>
    <w:next w:val="Normal"/>
    <w:uiPriority w:val="35"/>
    <w:semiHidden/>
    <w:unhideWhenUsed/>
    <w:qFormat/>
    <w:rsid w:val="00ED68AE"/>
    <w:pPr>
      <w:spacing w:after="200"/>
    </w:pPr>
    <w:rPr>
      <w:b/>
      <w:bCs/>
      <w:color w:val="E68723" w:themeColor="accent1"/>
      <w:sz w:val="18"/>
      <w:szCs w:val="18"/>
    </w:rPr>
  </w:style>
  <w:style w:type="paragraph" w:styleId="Subtitle">
    <w:name w:val="Subtitle"/>
    <w:basedOn w:val="Normal"/>
    <w:next w:val="Normal"/>
    <w:link w:val="SubtitleChar"/>
    <w:uiPriority w:val="11"/>
    <w:qFormat/>
    <w:rsid w:val="00ED68AE"/>
    <w:pPr>
      <w:numPr>
        <w:ilvl w:val="1"/>
      </w:numPr>
      <w:spacing w:after="60"/>
    </w:pPr>
    <w:rPr>
      <w:rFonts w:eastAsiaTheme="majorEastAsia"/>
      <w:iCs/>
      <w:color w:val="3C6EA4" w:themeColor="text2"/>
      <w:spacing w:val="15"/>
      <w:sz w:val="36"/>
      <w:szCs w:val="36"/>
    </w:rPr>
  </w:style>
  <w:style w:type="character" w:customStyle="1" w:styleId="SubtitleChar">
    <w:name w:val="Subtitle Char"/>
    <w:basedOn w:val="DefaultParagraphFont"/>
    <w:link w:val="Subtitle"/>
    <w:uiPriority w:val="11"/>
    <w:rsid w:val="00ED68AE"/>
    <w:rPr>
      <w:rFonts w:ascii="Gill Sans" w:eastAsiaTheme="majorEastAsia" w:hAnsi="Gill Sans" w:cs="Gill Sans"/>
      <w:iCs/>
      <w:color w:val="3C6EA4" w:themeColor="text2"/>
      <w:spacing w:val="15"/>
      <w:sz w:val="36"/>
      <w:szCs w:val="36"/>
    </w:rPr>
  </w:style>
  <w:style w:type="paragraph" w:styleId="Quote">
    <w:name w:val="Quote"/>
    <w:aliases w:val="Long quote"/>
    <w:basedOn w:val="Normal"/>
    <w:next w:val="Normal"/>
    <w:link w:val="QuoteChar"/>
    <w:uiPriority w:val="29"/>
    <w:qFormat/>
    <w:rsid w:val="00ED68AE"/>
    <w:pPr>
      <w:ind w:left="720"/>
    </w:pPr>
    <w:rPr>
      <w:rFonts w:ascii="Adobe Caslon Pro" w:hAnsi="Adobe Caslon Pro" w:cstheme="minorBidi"/>
      <w:i/>
      <w:iCs/>
      <w:color w:val="000000" w:themeColor="text1"/>
    </w:rPr>
  </w:style>
  <w:style w:type="character" w:customStyle="1" w:styleId="QuoteChar">
    <w:name w:val="Quote Char"/>
    <w:aliases w:val="Long quote Char"/>
    <w:basedOn w:val="DefaultParagraphFont"/>
    <w:link w:val="Quote"/>
    <w:uiPriority w:val="29"/>
    <w:rsid w:val="00ED68AE"/>
    <w:rPr>
      <w:rFonts w:ascii="Adobe Caslon Pro" w:hAnsi="Adobe Caslon Pro"/>
      <w:i/>
      <w:iCs/>
      <w:color w:val="000000" w:themeColor="text1"/>
      <w:sz w:val="22"/>
    </w:rPr>
  </w:style>
  <w:style w:type="paragraph" w:customStyle="1" w:styleId="Normal1">
    <w:name w:val="Normal1"/>
    <w:rsid w:val="005474A8"/>
    <w:pPr>
      <w:spacing w:line="276" w:lineRule="auto"/>
    </w:pPr>
    <w:rPr>
      <w:rFonts w:ascii="Arial" w:eastAsia="Arial" w:hAnsi="Arial" w:cs="Arial"/>
      <w:color w:val="000000"/>
      <w:sz w:val="22"/>
    </w:rPr>
  </w:style>
  <w:style w:type="paragraph" w:styleId="NoSpacing">
    <w:name w:val="No Spacing"/>
    <w:uiPriority w:val="1"/>
    <w:qFormat/>
    <w:rsid w:val="005474A8"/>
    <w:pPr>
      <w:tabs>
        <w:tab w:val="right" w:leader="dot" w:pos="2880"/>
      </w:tabs>
    </w:pPr>
    <w:rPr>
      <w:rFonts w:ascii="Gill Sans" w:hAnsi="Gill Sans" w:cs="Gill Sans"/>
      <w:sz w:val="22"/>
    </w:rPr>
  </w:style>
  <w:style w:type="character" w:customStyle="1" w:styleId="st1">
    <w:name w:val="st1"/>
    <w:basedOn w:val="DefaultParagraphFont"/>
    <w:rsid w:val="005474A8"/>
  </w:style>
  <w:style w:type="character" w:customStyle="1" w:styleId="gt-card-ttl-txt1">
    <w:name w:val="gt-card-ttl-txt1"/>
    <w:basedOn w:val="DefaultParagraphFont"/>
    <w:rsid w:val="005474A8"/>
    <w:rPr>
      <w:color w:val="222222"/>
    </w:rPr>
  </w:style>
  <w:style w:type="character" w:customStyle="1" w:styleId="apple-converted-space">
    <w:name w:val="apple-converted-space"/>
    <w:basedOn w:val="DefaultParagraphFont"/>
    <w:rsid w:val="005474A8"/>
  </w:style>
  <w:style w:type="table" w:styleId="LightShading-Accent4">
    <w:name w:val="Light Shading Accent 4"/>
    <w:basedOn w:val="TableNormal"/>
    <w:uiPriority w:val="60"/>
    <w:rsid w:val="00F1267B"/>
    <w:rPr>
      <w:color w:val="6F816B" w:themeColor="accent4" w:themeShade="BF"/>
    </w:rPr>
    <w:tblPr>
      <w:tblStyleRowBandSize w:val="1"/>
      <w:tblStyleColBandSize w:val="1"/>
      <w:tblInd w:w="0" w:type="dxa"/>
      <w:tblBorders>
        <w:top w:val="single" w:sz="8" w:space="0" w:color="98A795" w:themeColor="accent4"/>
        <w:bottom w:val="single" w:sz="8" w:space="0" w:color="98A79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8A795" w:themeColor="accent4"/>
          <w:left w:val="nil"/>
          <w:bottom w:val="single" w:sz="8" w:space="0" w:color="98A795" w:themeColor="accent4"/>
          <w:right w:val="nil"/>
          <w:insideH w:val="nil"/>
          <w:insideV w:val="nil"/>
        </w:tcBorders>
      </w:tcPr>
    </w:tblStylePr>
    <w:tblStylePr w:type="lastRow">
      <w:pPr>
        <w:spacing w:before="0" w:after="0" w:line="240" w:lineRule="auto"/>
      </w:pPr>
      <w:rPr>
        <w:b/>
        <w:bCs/>
      </w:rPr>
      <w:tblPr/>
      <w:tcPr>
        <w:tcBorders>
          <w:top w:val="single" w:sz="8" w:space="0" w:color="98A795" w:themeColor="accent4"/>
          <w:left w:val="nil"/>
          <w:bottom w:val="single" w:sz="8" w:space="0" w:color="98A7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9E4" w:themeFill="accent4" w:themeFillTint="3F"/>
      </w:tcPr>
    </w:tblStylePr>
    <w:tblStylePr w:type="band1Horz">
      <w:tblPr/>
      <w:tcPr>
        <w:tcBorders>
          <w:left w:val="nil"/>
          <w:right w:val="nil"/>
          <w:insideH w:val="nil"/>
          <w:insideV w:val="nil"/>
        </w:tcBorders>
        <w:shd w:val="clear" w:color="auto" w:fill="E5E9E4" w:themeFill="accent4" w:themeFillTint="3F"/>
      </w:tcPr>
    </w:tblStylePr>
  </w:style>
  <w:style w:type="table" w:styleId="ColorfulGrid-Accent4">
    <w:name w:val="Colorful Grid Accent 4"/>
    <w:basedOn w:val="TableNormal"/>
    <w:uiPriority w:val="73"/>
    <w:rsid w:val="00F126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DE9" w:themeFill="accent4" w:themeFillTint="33"/>
    </w:tcPr>
    <w:tblStylePr w:type="firstRow">
      <w:rPr>
        <w:b/>
        <w:bCs/>
      </w:rPr>
      <w:tblPr/>
      <w:tcPr>
        <w:shd w:val="clear" w:color="auto" w:fill="D5DBD4" w:themeFill="accent4" w:themeFillTint="66"/>
      </w:tcPr>
    </w:tblStylePr>
    <w:tblStylePr w:type="lastRow">
      <w:rPr>
        <w:b/>
        <w:bCs/>
        <w:color w:val="000000" w:themeColor="text1"/>
      </w:rPr>
      <w:tblPr/>
      <w:tcPr>
        <w:shd w:val="clear" w:color="auto" w:fill="D5DBD4" w:themeFill="accent4" w:themeFillTint="66"/>
      </w:tcPr>
    </w:tblStylePr>
    <w:tblStylePr w:type="firstCol">
      <w:rPr>
        <w:color w:val="FFFFFF" w:themeColor="background1"/>
      </w:rPr>
      <w:tblPr/>
      <w:tcPr>
        <w:shd w:val="clear" w:color="auto" w:fill="6F816B" w:themeFill="accent4" w:themeFillShade="BF"/>
      </w:tcPr>
    </w:tblStylePr>
    <w:tblStylePr w:type="lastCol">
      <w:rPr>
        <w:color w:val="FFFFFF" w:themeColor="background1"/>
      </w:rPr>
      <w:tblPr/>
      <w:tcPr>
        <w:shd w:val="clear" w:color="auto" w:fill="6F816B" w:themeFill="accent4" w:themeFillShade="BF"/>
      </w:tcPr>
    </w:tblStylePr>
    <w:tblStylePr w:type="band1Vert">
      <w:tblPr/>
      <w:tcPr>
        <w:shd w:val="clear" w:color="auto" w:fill="CBD3CA" w:themeFill="accent4" w:themeFillTint="7F"/>
      </w:tcPr>
    </w:tblStylePr>
    <w:tblStylePr w:type="band1Horz">
      <w:tblPr/>
      <w:tcPr>
        <w:shd w:val="clear" w:color="auto" w:fill="CBD3CA" w:themeFill="accent4" w:themeFillTint="7F"/>
      </w:tcPr>
    </w:tblStylePr>
  </w:style>
  <w:style w:type="table" w:styleId="MediumList2-Accent4">
    <w:name w:val="Medium List 2 Accent 4"/>
    <w:basedOn w:val="TableNormal"/>
    <w:uiPriority w:val="66"/>
    <w:rsid w:val="00F1267B"/>
    <w:rPr>
      <w:rFonts w:asciiTheme="majorHAnsi" w:eastAsiaTheme="majorEastAsia" w:hAnsiTheme="majorHAnsi" w:cstheme="majorBidi"/>
      <w:color w:val="000000" w:themeColor="text1"/>
    </w:rPr>
    <w:tblPr>
      <w:tblStyleRowBandSize w:val="1"/>
      <w:tblStyleColBandSize w:val="1"/>
      <w:tblInd w:w="0" w:type="dxa"/>
      <w:tblBorders>
        <w:top w:val="single" w:sz="8" w:space="0" w:color="98A795" w:themeColor="accent4"/>
        <w:left w:val="single" w:sz="8" w:space="0" w:color="98A795" w:themeColor="accent4"/>
        <w:bottom w:val="single" w:sz="8" w:space="0" w:color="98A795" w:themeColor="accent4"/>
        <w:right w:val="single" w:sz="8" w:space="0" w:color="98A79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8A795" w:themeColor="accent4"/>
          <w:right w:val="nil"/>
          <w:insideH w:val="nil"/>
          <w:insideV w:val="nil"/>
        </w:tcBorders>
        <w:shd w:val="clear" w:color="auto" w:fill="FFFFFF" w:themeFill="background1"/>
      </w:tcPr>
    </w:tblStylePr>
    <w:tblStylePr w:type="lastRow">
      <w:tblPr/>
      <w:tcPr>
        <w:tcBorders>
          <w:top w:val="single" w:sz="8" w:space="0" w:color="98A79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795" w:themeColor="accent4"/>
          <w:insideH w:val="nil"/>
          <w:insideV w:val="nil"/>
        </w:tcBorders>
        <w:shd w:val="clear" w:color="auto" w:fill="FFFFFF" w:themeFill="background1"/>
      </w:tcPr>
    </w:tblStylePr>
    <w:tblStylePr w:type="lastCol">
      <w:tblPr/>
      <w:tcPr>
        <w:tcBorders>
          <w:top w:val="nil"/>
          <w:left w:val="single" w:sz="8" w:space="0" w:color="98A7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9E4" w:themeFill="accent4" w:themeFillTint="3F"/>
      </w:tcPr>
    </w:tblStylePr>
    <w:tblStylePr w:type="band1Horz">
      <w:tblPr/>
      <w:tcPr>
        <w:tcBorders>
          <w:top w:val="nil"/>
          <w:bottom w:val="nil"/>
          <w:insideH w:val="nil"/>
          <w:insideV w:val="nil"/>
        </w:tcBorders>
        <w:shd w:val="clear" w:color="auto" w:fill="E5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4">
    <w:name w:val="Light Grid Accent 4"/>
    <w:basedOn w:val="TableNormal"/>
    <w:uiPriority w:val="62"/>
    <w:rsid w:val="00F1267B"/>
    <w:tblPr>
      <w:tblStyleRowBandSize w:val="1"/>
      <w:tblStyleColBandSize w:val="1"/>
      <w:tblInd w:w="0" w:type="dxa"/>
      <w:tblBorders>
        <w:top w:val="single" w:sz="8" w:space="0" w:color="98A795" w:themeColor="accent4"/>
        <w:left w:val="single" w:sz="8" w:space="0" w:color="98A795" w:themeColor="accent4"/>
        <w:bottom w:val="single" w:sz="8" w:space="0" w:color="98A795" w:themeColor="accent4"/>
        <w:right w:val="single" w:sz="8" w:space="0" w:color="98A795" w:themeColor="accent4"/>
        <w:insideH w:val="single" w:sz="8" w:space="0" w:color="98A795" w:themeColor="accent4"/>
        <w:insideV w:val="single" w:sz="8" w:space="0" w:color="98A79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8A795" w:themeColor="accent4"/>
          <w:left w:val="single" w:sz="8" w:space="0" w:color="98A795" w:themeColor="accent4"/>
          <w:bottom w:val="single" w:sz="18" w:space="0" w:color="98A795" w:themeColor="accent4"/>
          <w:right w:val="single" w:sz="8" w:space="0" w:color="98A795" w:themeColor="accent4"/>
          <w:insideH w:val="nil"/>
          <w:insideV w:val="single" w:sz="8" w:space="0" w:color="98A7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795" w:themeColor="accent4"/>
          <w:left w:val="single" w:sz="8" w:space="0" w:color="98A795" w:themeColor="accent4"/>
          <w:bottom w:val="single" w:sz="8" w:space="0" w:color="98A795" w:themeColor="accent4"/>
          <w:right w:val="single" w:sz="8" w:space="0" w:color="98A795" w:themeColor="accent4"/>
          <w:insideH w:val="nil"/>
          <w:insideV w:val="single" w:sz="8" w:space="0" w:color="98A7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795" w:themeColor="accent4"/>
          <w:left w:val="single" w:sz="8" w:space="0" w:color="98A795" w:themeColor="accent4"/>
          <w:bottom w:val="single" w:sz="8" w:space="0" w:color="98A795" w:themeColor="accent4"/>
          <w:right w:val="single" w:sz="8" w:space="0" w:color="98A795" w:themeColor="accent4"/>
        </w:tcBorders>
      </w:tcPr>
    </w:tblStylePr>
    <w:tblStylePr w:type="band1Vert">
      <w:tblPr/>
      <w:tcPr>
        <w:tcBorders>
          <w:top w:val="single" w:sz="8" w:space="0" w:color="98A795" w:themeColor="accent4"/>
          <w:left w:val="single" w:sz="8" w:space="0" w:color="98A795" w:themeColor="accent4"/>
          <w:bottom w:val="single" w:sz="8" w:space="0" w:color="98A795" w:themeColor="accent4"/>
          <w:right w:val="single" w:sz="8" w:space="0" w:color="98A795" w:themeColor="accent4"/>
        </w:tcBorders>
        <w:shd w:val="clear" w:color="auto" w:fill="E5E9E4" w:themeFill="accent4" w:themeFillTint="3F"/>
      </w:tcPr>
    </w:tblStylePr>
    <w:tblStylePr w:type="band1Horz">
      <w:tblPr/>
      <w:tcPr>
        <w:tcBorders>
          <w:top w:val="single" w:sz="8" w:space="0" w:color="98A795" w:themeColor="accent4"/>
          <w:left w:val="single" w:sz="8" w:space="0" w:color="98A795" w:themeColor="accent4"/>
          <w:bottom w:val="single" w:sz="8" w:space="0" w:color="98A795" w:themeColor="accent4"/>
          <w:right w:val="single" w:sz="8" w:space="0" w:color="98A795" w:themeColor="accent4"/>
          <w:insideV w:val="single" w:sz="8" w:space="0" w:color="98A795" w:themeColor="accent4"/>
        </w:tcBorders>
        <w:shd w:val="clear" w:color="auto" w:fill="E5E9E4" w:themeFill="accent4" w:themeFillTint="3F"/>
      </w:tcPr>
    </w:tblStylePr>
    <w:tblStylePr w:type="band2Horz">
      <w:tblPr/>
      <w:tcPr>
        <w:tcBorders>
          <w:top w:val="single" w:sz="8" w:space="0" w:color="98A795" w:themeColor="accent4"/>
          <w:left w:val="single" w:sz="8" w:space="0" w:color="98A795" w:themeColor="accent4"/>
          <w:bottom w:val="single" w:sz="8" w:space="0" w:color="98A795" w:themeColor="accent4"/>
          <w:right w:val="single" w:sz="8" w:space="0" w:color="98A795" w:themeColor="accent4"/>
          <w:insideV w:val="single" w:sz="8" w:space="0" w:color="98A795" w:themeColor="accent4"/>
        </w:tcBorders>
      </w:tcPr>
    </w:tblStylePr>
  </w:style>
  <w:style w:type="table" w:styleId="MediumList1-Accent4">
    <w:name w:val="Medium List 1 Accent 4"/>
    <w:basedOn w:val="TableNormal"/>
    <w:uiPriority w:val="65"/>
    <w:rsid w:val="00F1267B"/>
    <w:rPr>
      <w:color w:val="000000" w:themeColor="text1"/>
    </w:rPr>
    <w:tblPr>
      <w:tblStyleRowBandSize w:val="1"/>
      <w:tblStyleColBandSize w:val="1"/>
      <w:tblInd w:w="0" w:type="dxa"/>
      <w:tblBorders>
        <w:top w:val="single" w:sz="8" w:space="0" w:color="98A795" w:themeColor="accent4"/>
        <w:bottom w:val="single" w:sz="8" w:space="0" w:color="98A79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8A795" w:themeColor="accent4"/>
        </w:tcBorders>
      </w:tcPr>
    </w:tblStylePr>
    <w:tblStylePr w:type="lastRow">
      <w:rPr>
        <w:b/>
        <w:bCs/>
        <w:color w:val="3C6EA4" w:themeColor="text2"/>
      </w:rPr>
      <w:tblPr/>
      <w:tcPr>
        <w:tcBorders>
          <w:top w:val="single" w:sz="8" w:space="0" w:color="98A795" w:themeColor="accent4"/>
          <w:bottom w:val="single" w:sz="8" w:space="0" w:color="98A795" w:themeColor="accent4"/>
        </w:tcBorders>
      </w:tcPr>
    </w:tblStylePr>
    <w:tblStylePr w:type="firstCol">
      <w:rPr>
        <w:b/>
        <w:bCs/>
      </w:rPr>
    </w:tblStylePr>
    <w:tblStylePr w:type="lastCol">
      <w:rPr>
        <w:b/>
        <w:bCs/>
      </w:rPr>
      <w:tblPr/>
      <w:tcPr>
        <w:tcBorders>
          <w:top w:val="single" w:sz="8" w:space="0" w:color="98A795" w:themeColor="accent4"/>
          <w:bottom w:val="single" w:sz="8" w:space="0" w:color="98A795" w:themeColor="accent4"/>
        </w:tcBorders>
      </w:tcPr>
    </w:tblStylePr>
    <w:tblStylePr w:type="band1Vert">
      <w:tblPr/>
      <w:tcPr>
        <w:shd w:val="clear" w:color="auto" w:fill="E5E9E4" w:themeFill="accent4" w:themeFillTint="3F"/>
      </w:tcPr>
    </w:tblStylePr>
    <w:tblStylePr w:type="band1Horz">
      <w:tblPr/>
      <w:tcPr>
        <w:shd w:val="clear" w:color="auto" w:fill="E5E9E4" w:themeFill="accent4" w:themeFillTint="3F"/>
      </w:tcPr>
    </w:tblStylePr>
  </w:style>
  <w:style w:type="table" w:styleId="MediumList2">
    <w:name w:val="Medium List 2"/>
    <w:basedOn w:val="TableNormal"/>
    <w:uiPriority w:val="66"/>
    <w:rsid w:val="000769B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4">
    <w:name w:val="Medium Grid 3 Accent 4"/>
    <w:basedOn w:val="TableNormal"/>
    <w:uiPriority w:val="69"/>
    <w:rsid w:val="000769B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7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7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7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7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3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3CA" w:themeFill="accent4" w:themeFillTint="7F"/>
      </w:tcPr>
    </w:tblStylePr>
  </w:style>
  <w:style w:type="table" w:styleId="MediumShading2-Accent4">
    <w:name w:val="Medium Shading 2 Accent 4"/>
    <w:basedOn w:val="TableNormal"/>
    <w:uiPriority w:val="64"/>
    <w:rsid w:val="00405FB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7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795" w:themeFill="accent4"/>
      </w:tcPr>
    </w:tblStylePr>
    <w:tblStylePr w:type="lastCol">
      <w:rPr>
        <w:b/>
        <w:bCs/>
        <w:color w:val="FFFFFF" w:themeColor="background1"/>
      </w:rPr>
      <w:tblPr/>
      <w:tcPr>
        <w:tcBorders>
          <w:left w:val="nil"/>
          <w:right w:val="nil"/>
          <w:insideH w:val="nil"/>
          <w:insideV w:val="nil"/>
        </w:tcBorders>
        <w:shd w:val="clear" w:color="auto" w:fill="98A7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7152E9"/>
    <w:rPr>
      <w:b/>
      <w:bCs/>
    </w:rPr>
  </w:style>
  <w:style w:type="character" w:customStyle="1" w:styleId="UnresolvedMention1">
    <w:name w:val="Unresolved Mention1"/>
    <w:basedOn w:val="DefaultParagraphFont"/>
    <w:uiPriority w:val="99"/>
    <w:rsid w:val="00893203"/>
    <w:rPr>
      <w:color w:val="808080"/>
      <w:shd w:val="clear" w:color="auto" w:fill="E6E6E6"/>
    </w:rPr>
  </w:style>
  <w:style w:type="paragraph" w:customStyle="1" w:styleId="qowt-stl-heading5">
    <w:name w:val="qowt-stl-heading5"/>
    <w:basedOn w:val="Normal"/>
    <w:rsid w:val="0035560B"/>
    <w:pPr>
      <w:tabs>
        <w:tab w:val="clear" w:pos="2880"/>
      </w:tabs>
      <w:spacing w:before="100" w:beforeAutospacing="1" w:after="100" w:afterAutospacing="1"/>
    </w:pPr>
    <w:rPr>
      <w:rFonts w:ascii="Times New Roman" w:eastAsia="Times New Roman" w:hAnsi="Times New Roman" w:cs="Times New Roman"/>
      <w:color w:val="auto"/>
      <w:sz w:val="24"/>
      <w:szCs w:val="24"/>
      <w:lang w:val="en-NZ" w:eastAsia="en-NZ"/>
    </w:rPr>
  </w:style>
  <w:style w:type="paragraph" w:customStyle="1" w:styleId="qowt-stl-normal">
    <w:name w:val="qowt-stl-normal"/>
    <w:basedOn w:val="Normal"/>
    <w:rsid w:val="0035560B"/>
    <w:pPr>
      <w:tabs>
        <w:tab w:val="clear" w:pos="2880"/>
      </w:tabs>
      <w:spacing w:before="100" w:beforeAutospacing="1" w:after="100" w:afterAutospacing="1"/>
    </w:pPr>
    <w:rPr>
      <w:rFonts w:ascii="Times New Roman" w:eastAsia="Times New Roman" w:hAnsi="Times New Roman" w:cs="Times New Roman"/>
      <w:color w:val="auto"/>
      <w:sz w:val="24"/>
      <w:szCs w:val="24"/>
      <w:lang w:val="en-NZ" w:eastAsia="en-NZ"/>
    </w:rPr>
  </w:style>
  <w:style w:type="paragraph" w:customStyle="1" w:styleId="qowt-stl-tabletext">
    <w:name w:val="qowt-stl-tabletext"/>
    <w:basedOn w:val="Normal"/>
    <w:rsid w:val="0048432A"/>
    <w:pPr>
      <w:tabs>
        <w:tab w:val="clear" w:pos="2880"/>
      </w:tabs>
      <w:spacing w:before="100" w:beforeAutospacing="1" w:after="100" w:afterAutospacing="1"/>
    </w:pPr>
    <w:rPr>
      <w:rFonts w:ascii="Times New Roman" w:eastAsia="Times New Roman" w:hAnsi="Times New Roman" w:cs="Times New Roman"/>
      <w:color w:val="auto"/>
      <w:sz w:val="24"/>
      <w:szCs w:val="24"/>
      <w:lang w:val="en-NZ" w:eastAsia="en-NZ"/>
    </w:rPr>
  </w:style>
  <w:style w:type="paragraph" w:customStyle="1" w:styleId="qowt-stl-tableheading2">
    <w:name w:val="qowt-stl-tableheading2"/>
    <w:basedOn w:val="Normal"/>
    <w:rsid w:val="0048432A"/>
    <w:pPr>
      <w:tabs>
        <w:tab w:val="clear" w:pos="2880"/>
      </w:tabs>
      <w:spacing w:before="100" w:beforeAutospacing="1" w:after="100" w:afterAutospacing="1"/>
    </w:pPr>
    <w:rPr>
      <w:rFonts w:ascii="Times New Roman" w:eastAsia="Times New Roman" w:hAnsi="Times New Roman" w:cs="Times New Roman"/>
      <w:color w:val="auto"/>
      <w:sz w:val="24"/>
      <w:szCs w:val="24"/>
      <w:lang w:val="en-NZ" w:eastAsia="en-NZ"/>
    </w:rPr>
  </w:style>
  <w:style w:type="paragraph" w:customStyle="1" w:styleId="text">
    <w:name w:val="text"/>
    <w:basedOn w:val="Normal"/>
    <w:rsid w:val="008B5DB9"/>
    <w:pPr>
      <w:tabs>
        <w:tab w:val="clear" w:pos="2880"/>
      </w:tabs>
      <w:spacing w:before="100" w:beforeAutospacing="1" w:after="100" w:afterAutospacing="1"/>
    </w:pPr>
    <w:rPr>
      <w:rFonts w:ascii="Times New Roman" w:eastAsia="Times New Roman" w:hAnsi="Times New Roman" w:cs="Times New Roman"/>
      <w:color w:val="auto"/>
      <w:sz w:val="24"/>
      <w:szCs w:val="24"/>
      <w:lang w:val="en-NZ" w:eastAsia="en-NZ"/>
    </w:rPr>
  </w:style>
  <w:style w:type="character" w:customStyle="1" w:styleId="label">
    <w:name w:val="label"/>
    <w:basedOn w:val="DefaultParagraphFont"/>
    <w:rsid w:val="008B5DB9"/>
  </w:style>
  <w:style w:type="character" w:customStyle="1" w:styleId="UnresolvedMention2">
    <w:name w:val="Unresolved Mention2"/>
    <w:basedOn w:val="DefaultParagraphFont"/>
    <w:uiPriority w:val="99"/>
    <w:semiHidden/>
    <w:unhideWhenUsed/>
    <w:rsid w:val="00F5658A"/>
    <w:rPr>
      <w:color w:val="808080"/>
      <w:shd w:val="clear" w:color="auto" w:fill="E6E6E6"/>
    </w:rPr>
  </w:style>
  <w:style w:type="character" w:customStyle="1" w:styleId="publication-italic">
    <w:name w:val="publication-italic"/>
    <w:basedOn w:val="DefaultParagraphFont"/>
    <w:rsid w:val="007A5C5D"/>
  </w:style>
  <w:style w:type="paragraph" w:customStyle="1" w:styleId="m-6052412394718367828msolistparagraph">
    <w:name w:val="m_-6052412394718367828msolistparagraph"/>
    <w:basedOn w:val="Normal"/>
    <w:rsid w:val="00282CB9"/>
    <w:pPr>
      <w:tabs>
        <w:tab w:val="clear" w:pos="2880"/>
      </w:tabs>
      <w:spacing w:before="100" w:beforeAutospacing="1" w:after="100" w:afterAutospacing="1"/>
    </w:pPr>
    <w:rPr>
      <w:rFonts w:ascii="Times New Roman" w:eastAsia="Times New Roman" w:hAnsi="Times New Roman" w:cs="Times New Roman"/>
      <w:color w:val="auto"/>
      <w:sz w:val="24"/>
      <w:szCs w:val="24"/>
      <w:lang w:val="en-NZ" w:eastAsia="en-NZ"/>
    </w:rPr>
  </w:style>
  <w:style w:type="character" w:customStyle="1" w:styleId="aqj">
    <w:name w:val="aqj"/>
    <w:basedOn w:val="DefaultParagraphFont"/>
    <w:rsid w:val="00282CB9"/>
  </w:style>
  <w:style w:type="paragraph" w:customStyle="1" w:styleId="SSCBodytext">
    <w:name w:val="SSC Body text"/>
    <w:basedOn w:val="Normal"/>
    <w:link w:val="SSCBodytextChar"/>
    <w:qFormat/>
    <w:rsid w:val="005A67BF"/>
    <w:pPr>
      <w:tabs>
        <w:tab w:val="clear" w:pos="2880"/>
      </w:tabs>
      <w:spacing w:before="100" w:line="276" w:lineRule="auto"/>
    </w:pPr>
    <w:rPr>
      <w:rFonts w:asciiTheme="minorHAnsi" w:hAnsiTheme="minorHAnsi" w:cstheme="minorBidi"/>
      <w:color w:val="auto"/>
      <w:sz w:val="20"/>
      <w:lang w:val="en-NZ"/>
    </w:rPr>
  </w:style>
  <w:style w:type="character" w:customStyle="1" w:styleId="SSCBodytextChar">
    <w:name w:val="SSC Body text Char"/>
    <w:basedOn w:val="DefaultParagraphFont"/>
    <w:link w:val="SSCBodytext"/>
    <w:rsid w:val="005A67BF"/>
    <w:rPr>
      <w:rFonts w:asciiTheme="minorHAnsi" w:hAnsiTheme="minorHAnsi"/>
      <w:color w:val="auto"/>
      <w:lang w:val="en-NZ"/>
    </w:rPr>
  </w:style>
  <w:style w:type="character" w:customStyle="1" w:styleId="mw-headline">
    <w:name w:val="mw-headline"/>
    <w:basedOn w:val="DefaultParagraphFont"/>
    <w:rsid w:val="00A02C46"/>
  </w:style>
  <w:style w:type="character" w:customStyle="1" w:styleId="mw-editsection">
    <w:name w:val="mw-editsection"/>
    <w:basedOn w:val="DefaultParagraphFont"/>
    <w:rsid w:val="00A02C46"/>
  </w:style>
  <w:style w:type="character" w:customStyle="1" w:styleId="mw-editsection-bracket">
    <w:name w:val="mw-editsection-bracket"/>
    <w:basedOn w:val="DefaultParagraphFont"/>
    <w:rsid w:val="00A02C46"/>
  </w:style>
  <w:style w:type="paragraph" w:customStyle="1" w:styleId="Numberedpara3level1">
    <w:name w:val="Numbered para (3) level 1"/>
    <w:basedOn w:val="Normal"/>
    <w:qFormat/>
    <w:rsid w:val="005E2A20"/>
    <w:pPr>
      <w:keepLines/>
      <w:numPr>
        <w:numId w:val="37"/>
      </w:numPr>
      <w:tabs>
        <w:tab w:val="clear" w:pos="2880"/>
      </w:tabs>
      <w:spacing w:before="120" w:after="120"/>
    </w:pPr>
    <w:rPr>
      <w:rFonts w:ascii="Calibri" w:eastAsiaTheme="minorHAnsi" w:hAnsi="Calibri" w:cs="Times New Roman"/>
      <w:color w:val="auto"/>
      <w:sz w:val="24"/>
      <w:szCs w:val="24"/>
      <w:lang w:val="en-NZ"/>
    </w:rPr>
  </w:style>
  <w:style w:type="paragraph" w:customStyle="1" w:styleId="Numberedpara3level211">
    <w:name w:val="Numbered para (3) level 2 (1.1)"/>
    <w:basedOn w:val="Normal"/>
    <w:qFormat/>
    <w:rsid w:val="005E2A20"/>
    <w:pPr>
      <w:keepLines/>
      <w:numPr>
        <w:ilvl w:val="1"/>
        <w:numId w:val="37"/>
      </w:numPr>
      <w:tabs>
        <w:tab w:val="clear" w:pos="2880"/>
      </w:tabs>
      <w:spacing w:before="120" w:after="120"/>
    </w:pPr>
    <w:rPr>
      <w:rFonts w:ascii="Calibri" w:eastAsiaTheme="minorHAnsi" w:hAnsi="Calibri" w:cs="Times New Roman"/>
      <w:color w:val="auto"/>
      <w:sz w:val="24"/>
      <w:szCs w:val="24"/>
      <w:lang w:val="en-NZ"/>
    </w:rPr>
  </w:style>
  <w:style w:type="paragraph" w:customStyle="1" w:styleId="Numberedpara3level3111">
    <w:name w:val="Numbered para (3) level 3 (1.1.1)"/>
    <w:basedOn w:val="Normal"/>
    <w:qFormat/>
    <w:rsid w:val="005E2A20"/>
    <w:pPr>
      <w:keepLines/>
      <w:numPr>
        <w:ilvl w:val="2"/>
        <w:numId w:val="37"/>
      </w:numPr>
      <w:tabs>
        <w:tab w:val="clear" w:pos="2880"/>
      </w:tabs>
      <w:spacing w:before="120" w:after="120"/>
    </w:pPr>
    <w:rPr>
      <w:rFonts w:ascii="Calibri" w:eastAsiaTheme="minorHAnsi" w:hAnsi="Calibri" w:cs="Times New Roman"/>
      <w:color w:val="auto"/>
      <w:sz w:val="24"/>
      <w:szCs w:val="24"/>
      <w:lang w:val="en-NZ"/>
    </w:rPr>
  </w:style>
  <w:style w:type="character" w:customStyle="1" w:styleId="UnresolvedMention3">
    <w:name w:val="Unresolved Mention3"/>
    <w:basedOn w:val="DefaultParagraphFont"/>
    <w:uiPriority w:val="99"/>
    <w:rsid w:val="00097482"/>
    <w:rPr>
      <w:color w:val="808080"/>
      <w:shd w:val="clear" w:color="auto" w:fill="E6E6E6"/>
    </w:rPr>
  </w:style>
  <w:style w:type="character" w:customStyle="1" w:styleId="UnresolvedMention4">
    <w:name w:val="Unresolved Mention4"/>
    <w:basedOn w:val="DefaultParagraphFont"/>
    <w:uiPriority w:val="99"/>
    <w:rsid w:val="002E35BF"/>
    <w:rPr>
      <w:color w:val="808080"/>
      <w:shd w:val="clear" w:color="auto" w:fill="E6E6E6"/>
    </w:rPr>
  </w:style>
  <w:style w:type="character" w:customStyle="1" w:styleId="UnresolvedMention5">
    <w:name w:val="Unresolved Mention5"/>
    <w:basedOn w:val="DefaultParagraphFont"/>
    <w:uiPriority w:val="99"/>
    <w:rsid w:val="004E03E8"/>
    <w:rPr>
      <w:color w:val="808080"/>
      <w:shd w:val="clear" w:color="auto" w:fill="E6E6E6"/>
    </w:rPr>
  </w:style>
  <w:style w:type="character" w:styleId="HTMLCite">
    <w:name w:val="HTML Cite"/>
    <w:uiPriority w:val="99"/>
    <w:semiHidden/>
    <w:rsid w:val="007960A3"/>
    <w:rPr>
      <w:i/>
      <w:iCs/>
    </w:rPr>
  </w:style>
  <w:style w:type="character" w:customStyle="1" w:styleId="UnresolvedMention6">
    <w:name w:val="Unresolved Mention6"/>
    <w:basedOn w:val="DefaultParagraphFont"/>
    <w:uiPriority w:val="99"/>
    <w:rsid w:val="0023608F"/>
    <w:rPr>
      <w:color w:val="808080"/>
      <w:shd w:val="clear" w:color="auto" w:fill="E6E6E6"/>
    </w:rPr>
  </w:style>
  <w:style w:type="character" w:customStyle="1" w:styleId="UnresolvedMention7">
    <w:name w:val="Unresolved Mention7"/>
    <w:basedOn w:val="DefaultParagraphFont"/>
    <w:uiPriority w:val="99"/>
    <w:rsid w:val="00DC7BC5"/>
    <w:rPr>
      <w:color w:val="808080"/>
      <w:shd w:val="clear" w:color="auto" w:fill="E6E6E6"/>
    </w:rPr>
  </w:style>
  <w:style w:type="character" w:customStyle="1" w:styleId="UnresolvedMention">
    <w:name w:val="Unresolved Mention"/>
    <w:basedOn w:val="DefaultParagraphFont"/>
    <w:uiPriority w:val="99"/>
    <w:semiHidden/>
    <w:unhideWhenUsed/>
    <w:rsid w:val="00E877A7"/>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color w:val="2222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endnote text"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t a glance text"/>
    <w:qFormat/>
    <w:rsid w:val="001567CC"/>
    <w:pPr>
      <w:tabs>
        <w:tab w:val="right" w:leader="dot" w:pos="2880"/>
      </w:tabs>
    </w:pPr>
    <w:rPr>
      <w:rFonts w:ascii="Gill Sans" w:hAnsi="Gill Sans" w:cs="Gill Sans"/>
      <w:sz w:val="22"/>
      <w:lang w:val="en-GB"/>
    </w:rPr>
  </w:style>
  <w:style w:type="paragraph" w:styleId="Heading1">
    <w:name w:val="heading 1"/>
    <w:basedOn w:val="Normal"/>
    <w:next w:val="Normal"/>
    <w:link w:val="Heading1Char"/>
    <w:uiPriority w:val="9"/>
    <w:qFormat/>
    <w:rsid w:val="00ED68AE"/>
    <w:pPr>
      <w:keepNext/>
      <w:keepLines/>
      <w:spacing w:before="480"/>
      <w:outlineLvl w:val="0"/>
    </w:pPr>
    <w:rPr>
      <w:rFonts w:eastAsiaTheme="majorEastAsia"/>
      <w:b/>
      <w:bCs/>
      <w:color w:val="3C6EA4" w:themeColor="text2"/>
      <w:sz w:val="32"/>
      <w:szCs w:val="32"/>
    </w:rPr>
  </w:style>
  <w:style w:type="paragraph" w:styleId="Heading2">
    <w:name w:val="heading 2"/>
    <w:basedOn w:val="Normal"/>
    <w:next w:val="Normal"/>
    <w:link w:val="Heading2Char"/>
    <w:uiPriority w:val="9"/>
    <w:unhideWhenUsed/>
    <w:qFormat/>
    <w:rsid w:val="00ED68AE"/>
    <w:pPr>
      <w:keepNext/>
      <w:keepLines/>
      <w:spacing w:before="200"/>
      <w:outlineLvl w:val="1"/>
    </w:pPr>
    <w:rPr>
      <w:rFonts w:eastAsiaTheme="majorEastAsia"/>
      <w:b/>
      <w:bCs/>
      <w:color w:val="3C6EA4" w:themeColor="text2"/>
      <w:sz w:val="26"/>
      <w:szCs w:val="26"/>
    </w:rPr>
  </w:style>
  <w:style w:type="paragraph" w:styleId="Heading3">
    <w:name w:val="heading 3"/>
    <w:basedOn w:val="Normal"/>
    <w:next w:val="Normal"/>
    <w:link w:val="Heading3Char"/>
    <w:uiPriority w:val="9"/>
    <w:unhideWhenUsed/>
    <w:qFormat/>
    <w:rsid w:val="00ED68AE"/>
    <w:pPr>
      <w:keepNext/>
      <w:keepLines/>
      <w:spacing w:before="200"/>
      <w:outlineLvl w:val="2"/>
    </w:pPr>
    <w:rPr>
      <w:rFonts w:eastAsiaTheme="majorEastAsia"/>
      <w:b/>
      <w:bCs/>
      <w:color w:val="3C6EA4" w:themeColor="text2"/>
    </w:rPr>
  </w:style>
  <w:style w:type="paragraph" w:styleId="Heading4">
    <w:name w:val="heading 4"/>
    <w:basedOn w:val="Normal"/>
    <w:next w:val="Normal"/>
    <w:link w:val="Heading4Char"/>
    <w:uiPriority w:val="9"/>
    <w:unhideWhenUsed/>
    <w:qFormat/>
    <w:rsid w:val="00ED68AE"/>
    <w:pPr>
      <w:keepNext/>
      <w:keepLines/>
      <w:spacing w:before="200"/>
      <w:outlineLvl w:val="3"/>
    </w:pPr>
    <w:rPr>
      <w:rFonts w:eastAsiaTheme="majorEastAsia"/>
      <w:b/>
      <w:bCs/>
      <w:i/>
      <w:iCs/>
      <w:color w:val="3C6EA4" w:themeColor="text2"/>
    </w:rPr>
  </w:style>
  <w:style w:type="paragraph" w:styleId="Heading5">
    <w:name w:val="heading 5"/>
    <w:aliases w:val="Table title outside"/>
    <w:basedOn w:val="Normal"/>
    <w:next w:val="Normal"/>
    <w:link w:val="Heading5Char"/>
    <w:uiPriority w:val="9"/>
    <w:unhideWhenUsed/>
    <w:qFormat/>
    <w:rsid w:val="00ED68AE"/>
    <w:pPr>
      <w:keepNext/>
      <w:keepLines/>
      <w:spacing w:before="200"/>
      <w:outlineLvl w:val="4"/>
    </w:pPr>
    <w:rPr>
      <w:rFonts w:asciiTheme="majorHAnsi" w:eastAsiaTheme="majorEastAsia" w:hAnsiTheme="majorHAnsi" w:cstheme="majorBidi"/>
      <w:b/>
      <w:color w:val="3C6EA4" w:themeColor="text2"/>
    </w:rPr>
  </w:style>
  <w:style w:type="paragraph" w:styleId="Heading6">
    <w:name w:val="heading 6"/>
    <w:basedOn w:val="Normal"/>
    <w:next w:val="Normal"/>
    <w:link w:val="Heading6Char"/>
    <w:uiPriority w:val="9"/>
    <w:unhideWhenUsed/>
    <w:rsid w:val="00C616F0"/>
    <w:pPr>
      <w:keepNext/>
      <w:keepLines/>
      <w:spacing w:before="200"/>
      <w:outlineLvl w:val="5"/>
    </w:pPr>
    <w:rPr>
      <w:rFonts w:asciiTheme="majorHAnsi" w:eastAsiaTheme="majorEastAsia" w:hAnsiTheme="majorHAnsi" w:cstheme="majorBidi"/>
      <w:i/>
      <w:iCs/>
      <w:color w:val="76420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8AE"/>
    <w:rPr>
      <w:rFonts w:ascii="Gill Sans" w:eastAsiaTheme="majorEastAsia" w:hAnsi="Gill Sans" w:cs="Gill Sans"/>
      <w:b/>
      <w:bCs/>
      <w:color w:val="3C6EA4" w:themeColor="text2"/>
      <w:sz w:val="32"/>
      <w:szCs w:val="32"/>
    </w:rPr>
  </w:style>
  <w:style w:type="character" w:customStyle="1" w:styleId="Heading2Char">
    <w:name w:val="Heading 2 Char"/>
    <w:basedOn w:val="DefaultParagraphFont"/>
    <w:link w:val="Heading2"/>
    <w:uiPriority w:val="9"/>
    <w:rsid w:val="00ED68AE"/>
    <w:rPr>
      <w:rFonts w:ascii="Gill Sans" w:eastAsiaTheme="majorEastAsia" w:hAnsi="Gill Sans" w:cs="Gill Sans"/>
      <w:b/>
      <w:bCs/>
      <w:color w:val="3C6EA4" w:themeColor="text2"/>
      <w:sz w:val="26"/>
      <w:szCs w:val="26"/>
    </w:rPr>
  </w:style>
  <w:style w:type="character" w:customStyle="1" w:styleId="Heading3Char">
    <w:name w:val="Heading 3 Char"/>
    <w:basedOn w:val="DefaultParagraphFont"/>
    <w:link w:val="Heading3"/>
    <w:uiPriority w:val="9"/>
    <w:rsid w:val="00ED68AE"/>
    <w:rPr>
      <w:rFonts w:ascii="Gill Sans" w:eastAsiaTheme="majorEastAsia" w:hAnsi="Gill Sans" w:cs="Gill Sans"/>
      <w:b/>
      <w:bCs/>
      <w:color w:val="3C6EA4" w:themeColor="text2"/>
      <w:sz w:val="22"/>
    </w:rPr>
  </w:style>
  <w:style w:type="character" w:customStyle="1" w:styleId="Heading4Char">
    <w:name w:val="Heading 4 Char"/>
    <w:basedOn w:val="DefaultParagraphFont"/>
    <w:link w:val="Heading4"/>
    <w:uiPriority w:val="9"/>
    <w:rsid w:val="00ED68AE"/>
    <w:rPr>
      <w:rFonts w:ascii="Gill Sans" w:eastAsiaTheme="majorEastAsia" w:hAnsi="Gill Sans" w:cs="Gill Sans"/>
      <w:b/>
      <w:bCs/>
      <w:i/>
      <w:iCs/>
      <w:color w:val="3C6EA4" w:themeColor="text2"/>
      <w:sz w:val="22"/>
    </w:rPr>
  </w:style>
  <w:style w:type="character" w:customStyle="1" w:styleId="Heading5Char">
    <w:name w:val="Heading 5 Char"/>
    <w:aliases w:val="Table title outside Char"/>
    <w:basedOn w:val="DefaultParagraphFont"/>
    <w:link w:val="Heading5"/>
    <w:uiPriority w:val="9"/>
    <w:rsid w:val="00ED68AE"/>
    <w:rPr>
      <w:rFonts w:asciiTheme="majorHAnsi" w:eastAsiaTheme="majorEastAsia" w:hAnsiTheme="majorHAnsi" w:cstheme="majorBidi"/>
      <w:b/>
      <w:color w:val="3C6EA4" w:themeColor="text2"/>
      <w:sz w:val="22"/>
    </w:rPr>
  </w:style>
  <w:style w:type="character" w:customStyle="1" w:styleId="Heading6Char">
    <w:name w:val="Heading 6 Char"/>
    <w:basedOn w:val="DefaultParagraphFont"/>
    <w:link w:val="Heading6"/>
    <w:uiPriority w:val="9"/>
    <w:rsid w:val="00C616F0"/>
    <w:rPr>
      <w:rFonts w:asciiTheme="majorHAnsi" w:eastAsiaTheme="majorEastAsia" w:hAnsiTheme="majorHAnsi" w:cstheme="majorBidi"/>
      <w:i/>
      <w:iCs/>
      <w:color w:val="76420D" w:themeColor="accent1" w:themeShade="7F"/>
      <w:sz w:val="20"/>
    </w:rPr>
  </w:style>
  <w:style w:type="paragraph" w:styleId="ListParagraph">
    <w:name w:val="List Paragraph"/>
    <w:basedOn w:val="Normal"/>
    <w:uiPriority w:val="34"/>
    <w:qFormat/>
    <w:rsid w:val="00ED68AE"/>
    <w:pPr>
      <w:numPr>
        <w:numId w:val="2"/>
      </w:numPr>
      <w:contextualSpacing/>
    </w:pPr>
  </w:style>
  <w:style w:type="paragraph" w:styleId="Title">
    <w:name w:val="Title"/>
    <w:basedOn w:val="Normal"/>
    <w:next w:val="Normal"/>
    <w:link w:val="TitleChar"/>
    <w:qFormat/>
    <w:rsid w:val="00ED68AE"/>
    <w:pPr>
      <w:pBdr>
        <w:bottom w:val="single" w:sz="8" w:space="1" w:color="3C6EA4" w:themeColor="text2"/>
      </w:pBdr>
      <w:spacing w:after="300"/>
      <w:contextualSpacing/>
    </w:pPr>
    <w:rPr>
      <w:rFonts w:eastAsiaTheme="majorEastAsia"/>
      <w:color w:val="000000" w:themeColor="text1"/>
      <w:spacing w:val="5"/>
      <w:kern w:val="28"/>
      <w:sz w:val="52"/>
      <w:szCs w:val="52"/>
    </w:rPr>
  </w:style>
  <w:style w:type="character" w:customStyle="1" w:styleId="TitleChar">
    <w:name w:val="Title Char"/>
    <w:basedOn w:val="DefaultParagraphFont"/>
    <w:link w:val="Title"/>
    <w:rsid w:val="00ED68AE"/>
    <w:rPr>
      <w:rFonts w:ascii="Gill Sans" w:eastAsiaTheme="majorEastAsia" w:hAnsi="Gill Sans" w:cs="Gill Sans"/>
      <w:color w:val="000000" w:themeColor="text1"/>
      <w:spacing w:val="5"/>
      <w:kern w:val="28"/>
      <w:sz w:val="52"/>
      <w:szCs w:val="52"/>
    </w:rPr>
  </w:style>
  <w:style w:type="paragraph" w:styleId="TOC1">
    <w:name w:val="toc 1"/>
    <w:basedOn w:val="Normal"/>
    <w:next w:val="Normal"/>
    <w:autoRedefine/>
    <w:uiPriority w:val="39"/>
    <w:unhideWhenUsed/>
    <w:qFormat/>
    <w:rsid w:val="006C7E40"/>
    <w:pPr>
      <w:tabs>
        <w:tab w:val="clear" w:pos="2880"/>
      </w:tabs>
      <w:spacing w:before="120"/>
    </w:pPr>
    <w:rPr>
      <w:b/>
      <w:szCs w:val="22"/>
    </w:rPr>
  </w:style>
  <w:style w:type="paragraph" w:styleId="TOC2">
    <w:name w:val="toc 2"/>
    <w:basedOn w:val="Normal"/>
    <w:next w:val="Normal"/>
    <w:autoRedefine/>
    <w:uiPriority w:val="39"/>
    <w:unhideWhenUsed/>
    <w:qFormat/>
    <w:rsid w:val="006C7E40"/>
    <w:pPr>
      <w:tabs>
        <w:tab w:val="clear" w:pos="2880"/>
      </w:tabs>
      <w:ind w:left="220"/>
    </w:pPr>
    <w:rPr>
      <w:szCs w:val="22"/>
    </w:rPr>
  </w:style>
  <w:style w:type="paragraph" w:styleId="TOC3">
    <w:name w:val="toc 3"/>
    <w:basedOn w:val="Normal"/>
    <w:next w:val="Normal"/>
    <w:autoRedefine/>
    <w:uiPriority w:val="39"/>
    <w:unhideWhenUsed/>
    <w:rsid w:val="00C616F0"/>
    <w:pPr>
      <w:tabs>
        <w:tab w:val="clear" w:pos="2880"/>
      </w:tabs>
      <w:ind w:left="440"/>
    </w:pPr>
    <w:rPr>
      <w:rFonts w:asciiTheme="minorHAnsi" w:hAnsiTheme="minorHAnsi"/>
      <w:szCs w:val="22"/>
    </w:rPr>
  </w:style>
  <w:style w:type="paragraph" w:styleId="TOC4">
    <w:name w:val="toc 4"/>
    <w:basedOn w:val="Normal"/>
    <w:next w:val="Normal"/>
    <w:autoRedefine/>
    <w:uiPriority w:val="39"/>
    <w:unhideWhenUsed/>
    <w:rsid w:val="00C616F0"/>
    <w:pPr>
      <w:tabs>
        <w:tab w:val="clear" w:pos="2880"/>
      </w:tabs>
      <w:ind w:left="660"/>
    </w:pPr>
    <w:rPr>
      <w:rFonts w:asciiTheme="minorHAnsi" w:hAnsiTheme="minorHAnsi"/>
      <w:sz w:val="20"/>
    </w:rPr>
  </w:style>
  <w:style w:type="paragraph" w:styleId="TOC5">
    <w:name w:val="toc 5"/>
    <w:basedOn w:val="Normal"/>
    <w:next w:val="Normal"/>
    <w:autoRedefine/>
    <w:uiPriority w:val="39"/>
    <w:unhideWhenUsed/>
    <w:rsid w:val="00C616F0"/>
    <w:pPr>
      <w:tabs>
        <w:tab w:val="clear" w:pos="2880"/>
      </w:tabs>
      <w:ind w:left="880"/>
    </w:pPr>
    <w:rPr>
      <w:rFonts w:asciiTheme="minorHAnsi" w:hAnsiTheme="minorHAnsi"/>
      <w:sz w:val="20"/>
    </w:rPr>
  </w:style>
  <w:style w:type="paragraph" w:styleId="TOC6">
    <w:name w:val="toc 6"/>
    <w:basedOn w:val="Normal"/>
    <w:next w:val="Normal"/>
    <w:autoRedefine/>
    <w:uiPriority w:val="39"/>
    <w:unhideWhenUsed/>
    <w:rsid w:val="00C616F0"/>
    <w:pPr>
      <w:tabs>
        <w:tab w:val="clear" w:pos="2880"/>
      </w:tabs>
      <w:ind w:left="1100"/>
    </w:pPr>
    <w:rPr>
      <w:rFonts w:asciiTheme="minorHAnsi" w:hAnsiTheme="minorHAnsi"/>
      <w:sz w:val="20"/>
    </w:rPr>
  </w:style>
  <w:style w:type="paragraph" w:styleId="TOC7">
    <w:name w:val="toc 7"/>
    <w:basedOn w:val="Normal"/>
    <w:next w:val="Normal"/>
    <w:autoRedefine/>
    <w:uiPriority w:val="39"/>
    <w:unhideWhenUsed/>
    <w:rsid w:val="00C616F0"/>
    <w:pPr>
      <w:tabs>
        <w:tab w:val="clear" w:pos="2880"/>
      </w:tabs>
      <w:ind w:left="1320"/>
    </w:pPr>
    <w:rPr>
      <w:rFonts w:asciiTheme="minorHAnsi" w:hAnsiTheme="minorHAnsi"/>
      <w:sz w:val="20"/>
    </w:rPr>
  </w:style>
  <w:style w:type="paragraph" w:styleId="TOC8">
    <w:name w:val="toc 8"/>
    <w:basedOn w:val="Normal"/>
    <w:next w:val="Normal"/>
    <w:autoRedefine/>
    <w:uiPriority w:val="39"/>
    <w:unhideWhenUsed/>
    <w:rsid w:val="00C616F0"/>
    <w:pPr>
      <w:tabs>
        <w:tab w:val="clear" w:pos="2880"/>
      </w:tabs>
      <w:ind w:left="1540"/>
    </w:pPr>
    <w:rPr>
      <w:rFonts w:asciiTheme="minorHAnsi" w:hAnsiTheme="minorHAnsi"/>
      <w:sz w:val="20"/>
    </w:rPr>
  </w:style>
  <w:style w:type="paragraph" w:styleId="TOC9">
    <w:name w:val="toc 9"/>
    <w:basedOn w:val="Normal"/>
    <w:next w:val="Normal"/>
    <w:autoRedefine/>
    <w:uiPriority w:val="39"/>
    <w:unhideWhenUsed/>
    <w:rsid w:val="00C616F0"/>
    <w:pPr>
      <w:tabs>
        <w:tab w:val="clear" w:pos="2880"/>
      </w:tabs>
      <w:ind w:left="1760"/>
    </w:pPr>
    <w:rPr>
      <w:rFonts w:asciiTheme="minorHAnsi" w:hAnsiTheme="minorHAnsi"/>
      <w:sz w:val="20"/>
    </w:rPr>
  </w:style>
  <w:style w:type="paragraph" w:styleId="Footer">
    <w:name w:val="footer"/>
    <w:basedOn w:val="Normal"/>
    <w:link w:val="FooterChar"/>
    <w:uiPriority w:val="99"/>
    <w:unhideWhenUsed/>
    <w:rsid w:val="00C616F0"/>
    <w:pPr>
      <w:tabs>
        <w:tab w:val="center" w:pos="4320"/>
        <w:tab w:val="right" w:pos="8640"/>
      </w:tabs>
    </w:pPr>
  </w:style>
  <w:style w:type="character" w:customStyle="1" w:styleId="FooterChar">
    <w:name w:val="Footer Char"/>
    <w:basedOn w:val="DefaultParagraphFont"/>
    <w:link w:val="Footer"/>
    <w:uiPriority w:val="99"/>
    <w:rsid w:val="00C616F0"/>
    <w:rPr>
      <w:rFonts w:ascii="Garamond" w:hAnsi="Garamond"/>
      <w:color w:val="222222"/>
      <w:sz w:val="20"/>
    </w:rPr>
  </w:style>
  <w:style w:type="character" w:styleId="PageNumber">
    <w:name w:val="page number"/>
    <w:basedOn w:val="DefaultParagraphFont"/>
    <w:uiPriority w:val="99"/>
    <w:semiHidden/>
    <w:unhideWhenUsed/>
    <w:rsid w:val="00C616F0"/>
  </w:style>
  <w:style w:type="paragraph" w:styleId="NormalWeb">
    <w:name w:val="Normal (Web)"/>
    <w:basedOn w:val="Normal"/>
    <w:uiPriority w:val="99"/>
    <w:unhideWhenUsed/>
    <w:rsid w:val="00C616F0"/>
    <w:pPr>
      <w:spacing w:before="100" w:beforeAutospacing="1" w:after="100" w:afterAutospacing="1"/>
    </w:pPr>
    <w:rPr>
      <w:rFonts w:ascii="Times" w:hAnsi="Times" w:cs="Times New Roman"/>
      <w:color w:val="auto"/>
    </w:rPr>
  </w:style>
  <w:style w:type="table" w:styleId="TableGrid">
    <w:name w:val="Table Grid"/>
    <w:basedOn w:val="TableNormal"/>
    <w:uiPriority w:val="39"/>
    <w:rsid w:val="00C61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qFormat/>
    <w:rsid w:val="00C616F0"/>
    <w:rPr>
      <w:rFonts w:ascii="Calibri" w:eastAsia="Calibri" w:hAnsi="Calibri" w:cs="Calibri"/>
      <w:color w:val="000000"/>
      <w:lang w:val="en-ZA" w:eastAsia="en-ZA"/>
    </w:rPr>
  </w:style>
  <w:style w:type="character" w:customStyle="1" w:styleId="EndnoteTextChar">
    <w:name w:val="Endnote Text Char"/>
    <w:basedOn w:val="DefaultParagraphFont"/>
    <w:link w:val="EndnoteText"/>
    <w:uiPriority w:val="99"/>
    <w:rsid w:val="00C616F0"/>
    <w:rPr>
      <w:rFonts w:ascii="Calibri" w:eastAsia="Calibri" w:hAnsi="Calibri" w:cs="Calibri"/>
      <w:color w:val="000000"/>
      <w:sz w:val="20"/>
      <w:lang w:val="en-ZA" w:eastAsia="en-ZA"/>
    </w:rPr>
  </w:style>
  <w:style w:type="character" w:styleId="EndnoteReference">
    <w:name w:val="endnote reference"/>
    <w:basedOn w:val="DefaultParagraphFont"/>
    <w:uiPriority w:val="99"/>
    <w:unhideWhenUsed/>
    <w:qFormat/>
    <w:rsid w:val="00C616F0"/>
    <w:rPr>
      <w:vertAlign w:val="superscript"/>
    </w:rPr>
  </w:style>
  <w:style w:type="character" w:styleId="Hyperlink">
    <w:name w:val="Hyperlink"/>
    <w:basedOn w:val="DefaultParagraphFont"/>
    <w:uiPriority w:val="99"/>
    <w:unhideWhenUsed/>
    <w:rsid w:val="00C616F0"/>
    <w:rPr>
      <w:color w:val="3B70AA" w:themeColor="hyperlink"/>
      <w:u w:val="single"/>
    </w:rPr>
  </w:style>
  <w:style w:type="paragraph" w:styleId="Header">
    <w:name w:val="header"/>
    <w:basedOn w:val="Normal"/>
    <w:link w:val="HeaderChar"/>
    <w:uiPriority w:val="99"/>
    <w:unhideWhenUsed/>
    <w:rsid w:val="00C616F0"/>
    <w:pPr>
      <w:tabs>
        <w:tab w:val="center" w:pos="4320"/>
        <w:tab w:val="right" w:pos="8640"/>
      </w:tabs>
    </w:pPr>
  </w:style>
  <w:style w:type="character" w:customStyle="1" w:styleId="HeaderChar">
    <w:name w:val="Header Char"/>
    <w:basedOn w:val="DefaultParagraphFont"/>
    <w:link w:val="Header"/>
    <w:uiPriority w:val="99"/>
    <w:rsid w:val="00C616F0"/>
    <w:rPr>
      <w:rFonts w:ascii="Garamond" w:hAnsi="Garamond"/>
      <w:color w:val="222222"/>
      <w:sz w:val="20"/>
    </w:rPr>
  </w:style>
  <w:style w:type="paragraph" w:styleId="DocumentMap">
    <w:name w:val="Document Map"/>
    <w:basedOn w:val="Normal"/>
    <w:link w:val="DocumentMapChar"/>
    <w:uiPriority w:val="99"/>
    <w:semiHidden/>
    <w:unhideWhenUsed/>
    <w:rsid w:val="00C616F0"/>
    <w:rPr>
      <w:rFonts w:ascii="Lucida Grande" w:hAnsi="Lucida Grande" w:cs="Lucida Grande"/>
    </w:rPr>
  </w:style>
  <w:style w:type="character" w:customStyle="1" w:styleId="DocumentMapChar">
    <w:name w:val="Document Map Char"/>
    <w:basedOn w:val="DefaultParagraphFont"/>
    <w:link w:val="DocumentMap"/>
    <w:uiPriority w:val="99"/>
    <w:semiHidden/>
    <w:rsid w:val="00C616F0"/>
    <w:rPr>
      <w:rFonts w:ascii="Lucida Grande" w:hAnsi="Lucida Grande" w:cs="Lucida Grande"/>
      <w:color w:val="222222"/>
      <w:sz w:val="20"/>
    </w:rPr>
  </w:style>
  <w:style w:type="paragraph" w:customStyle="1" w:styleId="ColorfulList-Accent11">
    <w:name w:val="Colorful List - Accent 11"/>
    <w:basedOn w:val="Normal"/>
    <w:uiPriority w:val="34"/>
    <w:qFormat/>
    <w:rsid w:val="00C616F0"/>
    <w:pPr>
      <w:numPr>
        <w:numId w:val="1"/>
      </w:numPr>
    </w:pPr>
    <w:rPr>
      <w:rFonts w:asciiTheme="majorHAnsi" w:eastAsia="Calibri" w:hAnsiTheme="majorHAnsi" w:cs="Times New Roman"/>
      <w:color w:val="auto"/>
      <w:szCs w:val="22"/>
    </w:rPr>
  </w:style>
  <w:style w:type="character" w:styleId="CommentReference">
    <w:name w:val="annotation reference"/>
    <w:uiPriority w:val="99"/>
    <w:semiHidden/>
    <w:unhideWhenUsed/>
    <w:rsid w:val="00C616F0"/>
    <w:rPr>
      <w:sz w:val="16"/>
      <w:szCs w:val="16"/>
    </w:rPr>
  </w:style>
  <w:style w:type="paragraph" w:styleId="CommentText">
    <w:name w:val="annotation text"/>
    <w:basedOn w:val="Normal"/>
    <w:link w:val="CommentTextChar"/>
    <w:uiPriority w:val="99"/>
    <w:unhideWhenUsed/>
    <w:rsid w:val="00C616F0"/>
    <w:rPr>
      <w:rFonts w:ascii="Cambria" w:eastAsia="Cambria" w:hAnsi="Cambria" w:cs="Times New Roman"/>
      <w:color w:val="auto"/>
    </w:rPr>
  </w:style>
  <w:style w:type="character" w:customStyle="1" w:styleId="CommentTextChar">
    <w:name w:val="Comment Text Char"/>
    <w:basedOn w:val="DefaultParagraphFont"/>
    <w:link w:val="CommentText"/>
    <w:uiPriority w:val="99"/>
    <w:rsid w:val="00C616F0"/>
    <w:rPr>
      <w:rFonts w:ascii="Cambria" w:eastAsia="Cambria" w:hAnsi="Cambria" w:cs="Times New Roman"/>
      <w:sz w:val="20"/>
      <w:szCs w:val="20"/>
    </w:rPr>
  </w:style>
  <w:style w:type="paragraph" w:customStyle="1" w:styleId="ColorfulList-Accent12">
    <w:name w:val="Colorful List - Accent 12"/>
    <w:uiPriority w:val="34"/>
    <w:rsid w:val="00C616F0"/>
    <w:pPr>
      <w:spacing w:after="200" w:line="276" w:lineRule="auto"/>
      <w:ind w:left="720"/>
    </w:pPr>
    <w:rPr>
      <w:rFonts w:ascii="Times New Roman" w:eastAsia="ヒラギノ角ゴ Pro W3" w:hAnsi="Times New Roman" w:cs="Times New Roman"/>
      <w:color w:val="000000"/>
      <w:sz w:val="28"/>
    </w:rPr>
  </w:style>
  <w:style w:type="paragraph" w:styleId="FootnoteText">
    <w:name w:val="footnote text"/>
    <w:basedOn w:val="Normal"/>
    <w:link w:val="FootnoteTextChar"/>
    <w:uiPriority w:val="99"/>
    <w:unhideWhenUsed/>
    <w:rsid w:val="00C616F0"/>
    <w:rPr>
      <w:rFonts w:ascii="Cambria" w:eastAsia="Cambria" w:hAnsi="Cambria" w:cs="Times New Roman"/>
      <w:color w:val="auto"/>
    </w:rPr>
  </w:style>
  <w:style w:type="character" w:customStyle="1" w:styleId="FootnoteTextChar">
    <w:name w:val="Footnote Text Char"/>
    <w:basedOn w:val="DefaultParagraphFont"/>
    <w:link w:val="FootnoteText"/>
    <w:uiPriority w:val="99"/>
    <w:rsid w:val="00C616F0"/>
    <w:rPr>
      <w:rFonts w:ascii="Cambria" w:eastAsia="Cambria" w:hAnsi="Cambria" w:cs="Times New Roman"/>
      <w:sz w:val="20"/>
      <w:szCs w:val="20"/>
    </w:rPr>
  </w:style>
  <w:style w:type="character" w:styleId="FootnoteReference">
    <w:name w:val="footnote reference"/>
    <w:uiPriority w:val="99"/>
    <w:unhideWhenUsed/>
    <w:rsid w:val="00C616F0"/>
    <w:rPr>
      <w:vertAlign w:val="superscript"/>
    </w:rPr>
  </w:style>
  <w:style w:type="paragraph" w:customStyle="1" w:styleId="Default">
    <w:name w:val="Default"/>
    <w:rsid w:val="00C616F0"/>
    <w:pPr>
      <w:autoSpaceDE w:val="0"/>
      <w:autoSpaceDN w:val="0"/>
      <w:adjustRightInd w:val="0"/>
    </w:pPr>
    <w:rPr>
      <w:rFonts w:ascii="Calibri" w:eastAsia="Cambria" w:hAnsi="Calibri" w:cs="Calibri"/>
      <w:color w:val="000000"/>
    </w:rPr>
  </w:style>
  <w:style w:type="paragraph" w:customStyle="1" w:styleId="ListParagraph1">
    <w:name w:val="List Paragraph1"/>
    <w:uiPriority w:val="34"/>
    <w:rsid w:val="00C616F0"/>
    <w:pPr>
      <w:spacing w:after="200" w:line="276" w:lineRule="auto"/>
      <w:ind w:left="720"/>
    </w:pPr>
    <w:rPr>
      <w:rFonts w:ascii="Times New Roman" w:eastAsia="ヒラギノ角ゴ Pro W3" w:hAnsi="Times New Roman" w:cs="Times New Roman"/>
      <w:color w:val="000000"/>
      <w:sz w:val="28"/>
    </w:rPr>
  </w:style>
  <w:style w:type="character" w:styleId="Emphasis">
    <w:name w:val="Emphasis"/>
    <w:uiPriority w:val="20"/>
    <w:qFormat/>
    <w:rsid w:val="00C616F0"/>
    <w:rPr>
      <w:iCs/>
    </w:rPr>
  </w:style>
  <w:style w:type="paragraph" w:styleId="BalloonText">
    <w:name w:val="Balloon Text"/>
    <w:basedOn w:val="Normal"/>
    <w:link w:val="BalloonTextChar"/>
    <w:uiPriority w:val="99"/>
    <w:semiHidden/>
    <w:unhideWhenUsed/>
    <w:rsid w:val="00C616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16F0"/>
    <w:rPr>
      <w:rFonts w:ascii="Lucida Grande" w:hAnsi="Lucida Grande" w:cs="Lucida Grande"/>
      <w:color w:val="222222"/>
      <w:sz w:val="18"/>
      <w:szCs w:val="18"/>
    </w:rPr>
  </w:style>
  <w:style w:type="character" w:styleId="FollowedHyperlink">
    <w:name w:val="FollowedHyperlink"/>
    <w:basedOn w:val="DefaultParagraphFont"/>
    <w:uiPriority w:val="99"/>
    <w:semiHidden/>
    <w:unhideWhenUsed/>
    <w:rsid w:val="00C616F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616F0"/>
    <w:pPr>
      <w:spacing w:after="120"/>
    </w:pPr>
    <w:rPr>
      <w:rFonts w:ascii="Garamond" w:eastAsiaTheme="minorEastAsia" w:hAnsi="Garamond" w:cstheme="minorBidi"/>
      <w:b/>
      <w:bCs/>
      <w:color w:val="222222"/>
    </w:rPr>
  </w:style>
  <w:style w:type="character" w:customStyle="1" w:styleId="CommentSubjectChar">
    <w:name w:val="Comment Subject Char"/>
    <w:basedOn w:val="CommentTextChar"/>
    <w:link w:val="CommentSubject"/>
    <w:uiPriority w:val="99"/>
    <w:semiHidden/>
    <w:rsid w:val="00C616F0"/>
    <w:rPr>
      <w:rFonts w:ascii="Garamond" w:eastAsia="Cambria" w:hAnsi="Garamond" w:cs="Times New Roman"/>
      <w:b/>
      <w:bCs/>
      <w:color w:val="222222"/>
      <w:sz w:val="20"/>
      <w:szCs w:val="20"/>
    </w:rPr>
  </w:style>
  <w:style w:type="paragraph" w:styleId="Revision">
    <w:name w:val="Revision"/>
    <w:hidden/>
    <w:uiPriority w:val="99"/>
    <w:semiHidden/>
    <w:rsid w:val="00C616F0"/>
  </w:style>
  <w:style w:type="paragraph" w:styleId="TOCHeading">
    <w:name w:val="TOC Heading"/>
    <w:basedOn w:val="Heading1"/>
    <w:next w:val="Normal"/>
    <w:uiPriority w:val="39"/>
    <w:unhideWhenUsed/>
    <w:qFormat/>
    <w:rsid w:val="00EB01BA"/>
    <w:pPr>
      <w:outlineLvl w:val="9"/>
    </w:pPr>
    <w:rPr>
      <w:rFonts w:asciiTheme="majorHAnsi" w:hAnsiTheme="majorHAnsi" w:cstheme="majorBidi"/>
      <w:color w:val="auto"/>
    </w:rPr>
  </w:style>
  <w:style w:type="paragraph" w:customStyle="1" w:styleId="Nospacefeaturetolerant">
    <w:name w:val="No space (feature tolerant)"/>
    <w:basedOn w:val="Normal"/>
    <w:qFormat/>
    <w:rsid w:val="00ED68AE"/>
    <w:rPr>
      <w:rFonts w:ascii="Adobe Caslon Pro" w:hAnsi="Adobe Caslon Pro"/>
      <w:szCs w:val="22"/>
    </w:rPr>
  </w:style>
  <w:style w:type="paragraph" w:customStyle="1" w:styleId="Normalrglronly">
    <w:name w:val="Normal (rglr only)"/>
    <w:basedOn w:val="Normal"/>
    <w:qFormat/>
    <w:rsid w:val="004D26FB"/>
    <w:pPr>
      <w:spacing w:after="120"/>
    </w:pPr>
    <w:rPr>
      <w:rFonts w:eastAsia="Cambria" w:cs="Times New Roman"/>
      <w:bCs/>
      <w:color w:val="auto"/>
      <w:szCs w:val="22"/>
    </w:rPr>
  </w:style>
  <w:style w:type="paragraph" w:customStyle="1" w:styleId="APQuotefeaturetol">
    <w:name w:val="AP Quote (feature tol)"/>
    <w:basedOn w:val="Normal"/>
    <w:qFormat/>
    <w:rsid w:val="00ED68AE"/>
    <w:pPr>
      <w:spacing w:after="120"/>
    </w:pPr>
    <w:rPr>
      <w:i/>
      <w:szCs w:val="22"/>
    </w:rPr>
  </w:style>
  <w:style w:type="paragraph" w:customStyle="1" w:styleId="Pullquote">
    <w:name w:val="Pull quote"/>
    <w:basedOn w:val="Normal"/>
    <w:next w:val="Normal"/>
    <w:qFormat/>
    <w:rsid w:val="00ED68AE"/>
    <w:rPr>
      <w:color w:val="4BACC6" w:themeColor="accent5"/>
      <w:sz w:val="24"/>
    </w:rPr>
  </w:style>
  <w:style w:type="paragraph" w:customStyle="1" w:styleId="Tabletitleinside">
    <w:name w:val="Table title inside"/>
    <w:basedOn w:val="Heading5"/>
    <w:qFormat/>
    <w:rsid w:val="00ED68AE"/>
    <w:pPr>
      <w:spacing w:before="60"/>
    </w:pPr>
    <w:rPr>
      <w:rFonts w:ascii="Gill Sans" w:hAnsi="Gill Sans"/>
    </w:rPr>
  </w:style>
  <w:style w:type="paragraph" w:customStyle="1" w:styleId="Tableheader">
    <w:name w:val="Table header"/>
    <w:basedOn w:val="Normal"/>
    <w:qFormat/>
    <w:rsid w:val="00ED68AE"/>
    <w:rPr>
      <w:rFonts w:ascii="Gill Sans SemiBold" w:hAnsi="Gill Sans SemiBold"/>
      <w:color w:val="B26414" w:themeColor="accent1" w:themeShade="BF"/>
    </w:rPr>
  </w:style>
  <w:style w:type="paragraph" w:customStyle="1" w:styleId="Rowcolumntitles">
    <w:name w:val="Row/column titles"/>
    <w:basedOn w:val="Normal"/>
    <w:qFormat/>
    <w:rsid w:val="00ED68AE"/>
    <w:rPr>
      <w:color w:val="000000" w:themeColor="text1"/>
    </w:rPr>
  </w:style>
  <w:style w:type="paragraph" w:customStyle="1" w:styleId="Tablebullet">
    <w:name w:val="Table bullet"/>
    <w:basedOn w:val="ListParagraph"/>
    <w:qFormat/>
    <w:rsid w:val="00ED68AE"/>
    <w:pPr>
      <w:ind w:left="180" w:hanging="180"/>
    </w:pPr>
    <w:rPr>
      <w:b/>
    </w:rPr>
  </w:style>
  <w:style w:type="paragraph" w:customStyle="1" w:styleId="Ataglancetitle">
    <w:name w:val="At a glance title"/>
    <w:basedOn w:val="Normal"/>
    <w:qFormat/>
    <w:rsid w:val="00ED68AE"/>
    <w:rPr>
      <w:b/>
      <w:color w:val="E68723" w:themeColor="accent1"/>
    </w:rPr>
  </w:style>
  <w:style w:type="paragraph" w:customStyle="1" w:styleId="Ataglancesubtitle">
    <w:name w:val="At a glance subtitle"/>
    <w:basedOn w:val="Normal"/>
    <w:qFormat/>
    <w:rsid w:val="00ED68AE"/>
    <w:pPr>
      <w:spacing w:before="120"/>
    </w:pPr>
    <w:rPr>
      <w:b/>
      <w:i/>
      <w:color w:val="4A5648" w:themeColor="accent4" w:themeShade="80"/>
    </w:rPr>
  </w:style>
  <w:style w:type="paragraph" w:styleId="Caption">
    <w:name w:val="caption"/>
    <w:basedOn w:val="Normal"/>
    <w:next w:val="Normal"/>
    <w:uiPriority w:val="35"/>
    <w:semiHidden/>
    <w:unhideWhenUsed/>
    <w:qFormat/>
    <w:rsid w:val="00ED68AE"/>
    <w:pPr>
      <w:spacing w:after="200"/>
    </w:pPr>
    <w:rPr>
      <w:b/>
      <w:bCs/>
      <w:color w:val="E68723" w:themeColor="accent1"/>
      <w:sz w:val="18"/>
      <w:szCs w:val="18"/>
    </w:rPr>
  </w:style>
  <w:style w:type="paragraph" w:styleId="Subtitle">
    <w:name w:val="Subtitle"/>
    <w:basedOn w:val="Normal"/>
    <w:next w:val="Normal"/>
    <w:link w:val="SubtitleChar"/>
    <w:uiPriority w:val="11"/>
    <w:qFormat/>
    <w:rsid w:val="00ED68AE"/>
    <w:pPr>
      <w:numPr>
        <w:ilvl w:val="1"/>
      </w:numPr>
      <w:spacing w:after="60"/>
    </w:pPr>
    <w:rPr>
      <w:rFonts w:eastAsiaTheme="majorEastAsia"/>
      <w:iCs/>
      <w:color w:val="3C6EA4" w:themeColor="text2"/>
      <w:spacing w:val="15"/>
      <w:sz w:val="36"/>
      <w:szCs w:val="36"/>
    </w:rPr>
  </w:style>
  <w:style w:type="character" w:customStyle="1" w:styleId="SubtitleChar">
    <w:name w:val="Subtitle Char"/>
    <w:basedOn w:val="DefaultParagraphFont"/>
    <w:link w:val="Subtitle"/>
    <w:uiPriority w:val="11"/>
    <w:rsid w:val="00ED68AE"/>
    <w:rPr>
      <w:rFonts w:ascii="Gill Sans" w:eastAsiaTheme="majorEastAsia" w:hAnsi="Gill Sans" w:cs="Gill Sans"/>
      <w:iCs/>
      <w:color w:val="3C6EA4" w:themeColor="text2"/>
      <w:spacing w:val="15"/>
      <w:sz w:val="36"/>
      <w:szCs w:val="36"/>
    </w:rPr>
  </w:style>
  <w:style w:type="paragraph" w:styleId="Quote">
    <w:name w:val="Quote"/>
    <w:aliases w:val="Long quote"/>
    <w:basedOn w:val="Normal"/>
    <w:next w:val="Normal"/>
    <w:link w:val="QuoteChar"/>
    <w:uiPriority w:val="29"/>
    <w:qFormat/>
    <w:rsid w:val="00ED68AE"/>
    <w:pPr>
      <w:ind w:left="720"/>
    </w:pPr>
    <w:rPr>
      <w:rFonts w:ascii="Adobe Caslon Pro" w:hAnsi="Adobe Caslon Pro" w:cstheme="minorBidi"/>
      <w:i/>
      <w:iCs/>
      <w:color w:val="000000" w:themeColor="text1"/>
    </w:rPr>
  </w:style>
  <w:style w:type="character" w:customStyle="1" w:styleId="QuoteChar">
    <w:name w:val="Quote Char"/>
    <w:aliases w:val="Long quote Char"/>
    <w:basedOn w:val="DefaultParagraphFont"/>
    <w:link w:val="Quote"/>
    <w:uiPriority w:val="29"/>
    <w:rsid w:val="00ED68AE"/>
    <w:rPr>
      <w:rFonts w:ascii="Adobe Caslon Pro" w:hAnsi="Adobe Caslon Pro"/>
      <w:i/>
      <w:iCs/>
      <w:color w:val="000000" w:themeColor="text1"/>
      <w:sz w:val="22"/>
    </w:rPr>
  </w:style>
  <w:style w:type="paragraph" w:customStyle="1" w:styleId="Normal1">
    <w:name w:val="Normal1"/>
    <w:rsid w:val="005474A8"/>
    <w:pPr>
      <w:spacing w:line="276" w:lineRule="auto"/>
    </w:pPr>
    <w:rPr>
      <w:rFonts w:ascii="Arial" w:eastAsia="Arial" w:hAnsi="Arial" w:cs="Arial"/>
      <w:color w:val="000000"/>
      <w:sz w:val="22"/>
    </w:rPr>
  </w:style>
  <w:style w:type="paragraph" w:styleId="NoSpacing">
    <w:name w:val="No Spacing"/>
    <w:uiPriority w:val="1"/>
    <w:qFormat/>
    <w:rsid w:val="005474A8"/>
    <w:pPr>
      <w:tabs>
        <w:tab w:val="right" w:leader="dot" w:pos="2880"/>
      </w:tabs>
    </w:pPr>
    <w:rPr>
      <w:rFonts w:ascii="Gill Sans" w:hAnsi="Gill Sans" w:cs="Gill Sans"/>
      <w:sz w:val="22"/>
    </w:rPr>
  </w:style>
  <w:style w:type="character" w:customStyle="1" w:styleId="st1">
    <w:name w:val="st1"/>
    <w:basedOn w:val="DefaultParagraphFont"/>
    <w:rsid w:val="005474A8"/>
  </w:style>
  <w:style w:type="character" w:customStyle="1" w:styleId="gt-card-ttl-txt1">
    <w:name w:val="gt-card-ttl-txt1"/>
    <w:basedOn w:val="DefaultParagraphFont"/>
    <w:rsid w:val="005474A8"/>
    <w:rPr>
      <w:color w:val="222222"/>
    </w:rPr>
  </w:style>
  <w:style w:type="character" w:customStyle="1" w:styleId="apple-converted-space">
    <w:name w:val="apple-converted-space"/>
    <w:basedOn w:val="DefaultParagraphFont"/>
    <w:rsid w:val="005474A8"/>
  </w:style>
  <w:style w:type="table" w:styleId="LightShading-Accent4">
    <w:name w:val="Light Shading Accent 4"/>
    <w:basedOn w:val="TableNormal"/>
    <w:uiPriority w:val="60"/>
    <w:rsid w:val="00F1267B"/>
    <w:rPr>
      <w:color w:val="6F816B" w:themeColor="accent4" w:themeShade="BF"/>
    </w:rPr>
    <w:tblPr>
      <w:tblStyleRowBandSize w:val="1"/>
      <w:tblStyleColBandSize w:val="1"/>
      <w:tblInd w:w="0" w:type="dxa"/>
      <w:tblBorders>
        <w:top w:val="single" w:sz="8" w:space="0" w:color="98A795" w:themeColor="accent4"/>
        <w:bottom w:val="single" w:sz="8" w:space="0" w:color="98A795"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8A795" w:themeColor="accent4"/>
          <w:left w:val="nil"/>
          <w:bottom w:val="single" w:sz="8" w:space="0" w:color="98A795" w:themeColor="accent4"/>
          <w:right w:val="nil"/>
          <w:insideH w:val="nil"/>
          <w:insideV w:val="nil"/>
        </w:tcBorders>
      </w:tcPr>
    </w:tblStylePr>
    <w:tblStylePr w:type="lastRow">
      <w:pPr>
        <w:spacing w:before="0" w:after="0" w:line="240" w:lineRule="auto"/>
      </w:pPr>
      <w:rPr>
        <w:b/>
        <w:bCs/>
      </w:rPr>
      <w:tblPr/>
      <w:tcPr>
        <w:tcBorders>
          <w:top w:val="single" w:sz="8" w:space="0" w:color="98A795" w:themeColor="accent4"/>
          <w:left w:val="nil"/>
          <w:bottom w:val="single" w:sz="8" w:space="0" w:color="98A7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9E4" w:themeFill="accent4" w:themeFillTint="3F"/>
      </w:tcPr>
    </w:tblStylePr>
    <w:tblStylePr w:type="band1Horz">
      <w:tblPr/>
      <w:tcPr>
        <w:tcBorders>
          <w:left w:val="nil"/>
          <w:right w:val="nil"/>
          <w:insideH w:val="nil"/>
          <w:insideV w:val="nil"/>
        </w:tcBorders>
        <w:shd w:val="clear" w:color="auto" w:fill="E5E9E4" w:themeFill="accent4" w:themeFillTint="3F"/>
      </w:tcPr>
    </w:tblStylePr>
  </w:style>
  <w:style w:type="table" w:styleId="ColorfulGrid-Accent4">
    <w:name w:val="Colorful Grid Accent 4"/>
    <w:basedOn w:val="TableNormal"/>
    <w:uiPriority w:val="73"/>
    <w:rsid w:val="00F126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DE9" w:themeFill="accent4" w:themeFillTint="33"/>
    </w:tcPr>
    <w:tblStylePr w:type="firstRow">
      <w:rPr>
        <w:b/>
        <w:bCs/>
      </w:rPr>
      <w:tblPr/>
      <w:tcPr>
        <w:shd w:val="clear" w:color="auto" w:fill="D5DBD4" w:themeFill="accent4" w:themeFillTint="66"/>
      </w:tcPr>
    </w:tblStylePr>
    <w:tblStylePr w:type="lastRow">
      <w:rPr>
        <w:b/>
        <w:bCs/>
        <w:color w:val="000000" w:themeColor="text1"/>
      </w:rPr>
      <w:tblPr/>
      <w:tcPr>
        <w:shd w:val="clear" w:color="auto" w:fill="D5DBD4" w:themeFill="accent4" w:themeFillTint="66"/>
      </w:tcPr>
    </w:tblStylePr>
    <w:tblStylePr w:type="firstCol">
      <w:rPr>
        <w:color w:val="FFFFFF" w:themeColor="background1"/>
      </w:rPr>
      <w:tblPr/>
      <w:tcPr>
        <w:shd w:val="clear" w:color="auto" w:fill="6F816B" w:themeFill="accent4" w:themeFillShade="BF"/>
      </w:tcPr>
    </w:tblStylePr>
    <w:tblStylePr w:type="lastCol">
      <w:rPr>
        <w:color w:val="FFFFFF" w:themeColor="background1"/>
      </w:rPr>
      <w:tblPr/>
      <w:tcPr>
        <w:shd w:val="clear" w:color="auto" w:fill="6F816B" w:themeFill="accent4" w:themeFillShade="BF"/>
      </w:tcPr>
    </w:tblStylePr>
    <w:tblStylePr w:type="band1Vert">
      <w:tblPr/>
      <w:tcPr>
        <w:shd w:val="clear" w:color="auto" w:fill="CBD3CA" w:themeFill="accent4" w:themeFillTint="7F"/>
      </w:tcPr>
    </w:tblStylePr>
    <w:tblStylePr w:type="band1Horz">
      <w:tblPr/>
      <w:tcPr>
        <w:shd w:val="clear" w:color="auto" w:fill="CBD3CA" w:themeFill="accent4" w:themeFillTint="7F"/>
      </w:tcPr>
    </w:tblStylePr>
  </w:style>
  <w:style w:type="table" w:styleId="MediumList2-Accent4">
    <w:name w:val="Medium List 2 Accent 4"/>
    <w:basedOn w:val="TableNormal"/>
    <w:uiPriority w:val="66"/>
    <w:rsid w:val="00F1267B"/>
    <w:rPr>
      <w:rFonts w:asciiTheme="majorHAnsi" w:eastAsiaTheme="majorEastAsia" w:hAnsiTheme="majorHAnsi" w:cstheme="majorBidi"/>
      <w:color w:val="000000" w:themeColor="text1"/>
    </w:rPr>
    <w:tblPr>
      <w:tblStyleRowBandSize w:val="1"/>
      <w:tblStyleColBandSize w:val="1"/>
      <w:tblInd w:w="0" w:type="dxa"/>
      <w:tblBorders>
        <w:top w:val="single" w:sz="8" w:space="0" w:color="98A795" w:themeColor="accent4"/>
        <w:left w:val="single" w:sz="8" w:space="0" w:color="98A795" w:themeColor="accent4"/>
        <w:bottom w:val="single" w:sz="8" w:space="0" w:color="98A795" w:themeColor="accent4"/>
        <w:right w:val="single" w:sz="8" w:space="0" w:color="98A795"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8A795" w:themeColor="accent4"/>
          <w:right w:val="nil"/>
          <w:insideH w:val="nil"/>
          <w:insideV w:val="nil"/>
        </w:tcBorders>
        <w:shd w:val="clear" w:color="auto" w:fill="FFFFFF" w:themeFill="background1"/>
      </w:tcPr>
    </w:tblStylePr>
    <w:tblStylePr w:type="lastRow">
      <w:tblPr/>
      <w:tcPr>
        <w:tcBorders>
          <w:top w:val="single" w:sz="8" w:space="0" w:color="98A79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795" w:themeColor="accent4"/>
          <w:insideH w:val="nil"/>
          <w:insideV w:val="nil"/>
        </w:tcBorders>
        <w:shd w:val="clear" w:color="auto" w:fill="FFFFFF" w:themeFill="background1"/>
      </w:tcPr>
    </w:tblStylePr>
    <w:tblStylePr w:type="lastCol">
      <w:tblPr/>
      <w:tcPr>
        <w:tcBorders>
          <w:top w:val="nil"/>
          <w:left w:val="single" w:sz="8" w:space="0" w:color="98A7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9E4" w:themeFill="accent4" w:themeFillTint="3F"/>
      </w:tcPr>
    </w:tblStylePr>
    <w:tblStylePr w:type="band1Horz">
      <w:tblPr/>
      <w:tcPr>
        <w:tcBorders>
          <w:top w:val="nil"/>
          <w:bottom w:val="nil"/>
          <w:insideH w:val="nil"/>
          <w:insideV w:val="nil"/>
        </w:tcBorders>
        <w:shd w:val="clear" w:color="auto" w:fill="E5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4">
    <w:name w:val="Light Grid Accent 4"/>
    <w:basedOn w:val="TableNormal"/>
    <w:uiPriority w:val="62"/>
    <w:rsid w:val="00F1267B"/>
    <w:tblPr>
      <w:tblStyleRowBandSize w:val="1"/>
      <w:tblStyleColBandSize w:val="1"/>
      <w:tblInd w:w="0" w:type="dxa"/>
      <w:tblBorders>
        <w:top w:val="single" w:sz="8" w:space="0" w:color="98A795" w:themeColor="accent4"/>
        <w:left w:val="single" w:sz="8" w:space="0" w:color="98A795" w:themeColor="accent4"/>
        <w:bottom w:val="single" w:sz="8" w:space="0" w:color="98A795" w:themeColor="accent4"/>
        <w:right w:val="single" w:sz="8" w:space="0" w:color="98A795" w:themeColor="accent4"/>
        <w:insideH w:val="single" w:sz="8" w:space="0" w:color="98A795" w:themeColor="accent4"/>
        <w:insideV w:val="single" w:sz="8" w:space="0" w:color="98A795"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8A795" w:themeColor="accent4"/>
          <w:left w:val="single" w:sz="8" w:space="0" w:color="98A795" w:themeColor="accent4"/>
          <w:bottom w:val="single" w:sz="18" w:space="0" w:color="98A795" w:themeColor="accent4"/>
          <w:right w:val="single" w:sz="8" w:space="0" w:color="98A795" w:themeColor="accent4"/>
          <w:insideH w:val="nil"/>
          <w:insideV w:val="single" w:sz="8" w:space="0" w:color="98A7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795" w:themeColor="accent4"/>
          <w:left w:val="single" w:sz="8" w:space="0" w:color="98A795" w:themeColor="accent4"/>
          <w:bottom w:val="single" w:sz="8" w:space="0" w:color="98A795" w:themeColor="accent4"/>
          <w:right w:val="single" w:sz="8" w:space="0" w:color="98A795" w:themeColor="accent4"/>
          <w:insideH w:val="nil"/>
          <w:insideV w:val="single" w:sz="8" w:space="0" w:color="98A7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795" w:themeColor="accent4"/>
          <w:left w:val="single" w:sz="8" w:space="0" w:color="98A795" w:themeColor="accent4"/>
          <w:bottom w:val="single" w:sz="8" w:space="0" w:color="98A795" w:themeColor="accent4"/>
          <w:right w:val="single" w:sz="8" w:space="0" w:color="98A795" w:themeColor="accent4"/>
        </w:tcBorders>
      </w:tcPr>
    </w:tblStylePr>
    <w:tblStylePr w:type="band1Vert">
      <w:tblPr/>
      <w:tcPr>
        <w:tcBorders>
          <w:top w:val="single" w:sz="8" w:space="0" w:color="98A795" w:themeColor="accent4"/>
          <w:left w:val="single" w:sz="8" w:space="0" w:color="98A795" w:themeColor="accent4"/>
          <w:bottom w:val="single" w:sz="8" w:space="0" w:color="98A795" w:themeColor="accent4"/>
          <w:right w:val="single" w:sz="8" w:space="0" w:color="98A795" w:themeColor="accent4"/>
        </w:tcBorders>
        <w:shd w:val="clear" w:color="auto" w:fill="E5E9E4" w:themeFill="accent4" w:themeFillTint="3F"/>
      </w:tcPr>
    </w:tblStylePr>
    <w:tblStylePr w:type="band1Horz">
      <w:tblPr/>
      <w:tcPr>
        <w:tcBorders>
          <w:top w:val="single" w:sz="8" w:space="0" w:color="98A795" w:themeColor="accent4"/>
          <w:left w:val="single" w:sz="8" w:space="0" w:color="98A795" w:themeColor="accent4"/>
          <w:bottom w:val="single" w:sz="8" w:space="0" w:color="98A795" w:themeColor="accent4"/>
          <w:right w:val="single" w:sz="8" w:space="0" w:color="98A795" w:themeColor="accent4"/>
          <w:insideV w:val="single" w:sz="8" w:space="0" w:color="98A795" w:themeColor="accent4"/>
        </w:tcBorders>
        <w:shd w:val="clear" w:color="auto" w:fill="E5E9E4" w:themeFill="accent4" w:themeFillTint="3F"/>
      </w:tcPr>
    </w:tblStylePr>
    <w:tblStylePr w:type="band2Horz">
      <w:tblPr/>
      <w:tcPr>
        <w:tcBorders>
          <w:top w:val="single" w:sz="8" w:space="0" w:color="98A795" w:themeColor="accent4"/>
          <w:left w:val="single" w:sz="8" w:space="0" w:color="98A795" w:themeColor="accent4"/>
          <w:bottom w:val="single" w:sz="8" w:space="0" w:color="98A795" w:themeColor="accent4"/>
          <w:right w:val="single" w:sz="8" w:space="0" w:color="98A795" w:themeColor="accent4"/>
          <w:insideV w:val="single" w:sz="8" w:space="0" w:color="98A795" w:themeColor="accent4"/>
        </w:tcBorders>
      </w:tcPr>
    </w:tblStylePr>
  </w:style>
  <w:style w:type="table" w:styleId="MediumList1-Accent4">
    <w:name w:val="Medium List 1 Accent 4"/>
    <w:basedOn w:val="TableNormal"/>
    <w:uiPriority w:val="65"/>
    <w:rsid w:val="00F1267B"/>
    <w:rPr>
      <w:color w:val="000000" w:themeColor="text1"/>
    </w:rPr>
    <w:tblPr>
      <w:tblStyleRowBandSize w:val="1"/>
      <w:tblStyleColBandSize w:val="1"/>
      <w:tblInd w:w="0" w:type="dxa"/>
      <w:tblBorders>
        <w:top w:val="single" w:sz="8" w:space="0" w:color="98A795" w:themeColor="accent4"/>
        <w:bottom w:val="single" w:sz="8" w:space="0" w:color="98A795"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8A795" w:themeColor="accent4"/>
        </w:tcBorders>
      </w:tcPr>
    </w:tblStylePr>
    <w:tblStylePr w:type="lastRow">
      <w:rPr>
        <w:b/>
        <w:bCs/>
        <w:color w:val="3C6EA4" w:themeColor="text2"/>
      </w:rPr>
      <w:tblPr/>
      <w:tcPr>
        <w:tcBorders>
          <w:top w:val="single" w:sz="8" w:space="0" w:color="98A795" w:themeColor="accent4"/>
          <w:bottom w:val="single" w:sz="8" w:space="0" w:color="98A795" w:themeColor="accent4"/>
        </w:tcBorders>
      </w:tcPr>
    </w:tblStylePr>
    <w:tblStylePr w:type="firstCol">
      <w:rPr>
        <w:b/>
        <w:bCs/>
      </w:rPr>
    </w:tblStylePr>
    <w:tblStylePr w:type="lastCol">
      <w:rPr>
        <w:b/>
        <w:bCs/>
      </w:rPr>
      <w:tblPr/>
      <w:tcPr>
        <w:tcBorders>
          <w:top w:val="single" w:sz="8" w:space="0" w:color="98A795" w:themeColor="accent4"/>
          <w:bottom w:val="single" w:sz="8" w:space="0" w:color="98A795" w:themeColor="accent4"/>
        </w:tcBorders>
      </w:tcPr>
    </w:tblStylePr>
    <w:tblStylePr w:type="band1Vert">
      <w:tblPr/>
      <w:tcPr>
        <w:shd w:val="clear" w:color="auto" w:fill="E5E9E4" w:themeFill="accent4" w:themeFillTint="3F"/>
      </w:tcPr>
    </w:tblStylePr>
    <w:tblStylePr w:type="band1Horz">
      <w:tblPr/>
      <w:tcPr>
        <w:shd w:val="clear" w:color="auto" w:fill="E5E9E4" w:themeFill="accent4" w:themeFillTint="3F"/>
      </w:tcPr>
    </w:tblStylePr>
  </w:style>
  <w:style w:type="table" w:styleId="MediumList2">
    <w:name w:val="Medium List 2"/>
    <w:basedOn w:val="TableNormal"/>
    <w:uiPriority w:val="66"/>
    <w:rsid w:val="000769B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4">
    <w:name w:val="Medium Grid 3 Accent 4"/>
    <w:basedOn w:val="TableNormal"/>
    <w:uiPriority w:val="69"/>
    <w:rsid w:val="000769B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7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7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7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7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3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3CA" w:themeFill="accent4" w:themeFillTint="7F"/>
      </w:tcPr>
    </w:tblStylePr>
  </w:style>
  <w:style w:type="table" w:styleId="MediumShading2-Accent4">
    <w:name w:val="Medium Shading 2 Accent 4"/>
    <w:basedOn w:val="TableNormal"/>
    <w:uiPriority w:val="64"/>
    <w:rsid w:val="00405FB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7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795" w:themeFill="accent4"/>
      </w:tcPr>
    </w:tblStylePr>
    <w:tblStylePr w:type="lastCol">
      <w:rPr>
        <w:b/>
        <w:bCs/>
        <w:color w:val="FFFFFF" w:themeColor="background1"/>
      </w:rPr>
      <w:tblPr/>
      <w:tcPr>
        <w:tcBorders>
          <w:left w:val="nil"/>
          <w:right w:val="nil"/>
          <w:insideH w:val="nil"/>
          <w:insideV w:val="nil"/>
        </w:tcBorders>
        <w:shd w:val="clear" w:color="auto" w:fill="98A7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sid w:val="007152E9"/>
    <w:rPr>
      <w:b/>
      <w:bCs/>
    </w:rPr>
  </w:style>
  <w:style w:type="character" w:customStyle="1" w:styleId="UnresolvedMention1">
    <w:name w:val="Unresolved Mention1"/>
    <w:basedOn w:val="DefaultParagraphFont"/>
    <w:uiPriority w:val="99"/>
    <w:rsid w:val="00893203"/>
    <w:rPr>
      <w:color w:val="808080"/>
      <w:shd w:val="clear" w:color="auto" w:fill="E6E6E6"/>
    </w:rPr>
  </w:style>
  <w:style w:type="paragraph" w:customStyle="1" w:styleId="qowt-stl-heading5">
    <w:name w:val="qowt-stl-heading5"/>
    <w:basedOn w:val="Normal"/>
    <w:rsid w:val="0035560B"/>
    <w:pPr>
      <w:tabs>
        <w:tab w:val="clear" w:pos="2880"/>
      </w:tabs>
      <w:spacing w:before="100" w:beforeAutospacing="1" w:after="100" w:afterAutospacing="1"/>
    </w:pPr>
    <w:rPr>
      <w:rFonts w:ascii="Times New Roman" w:eastAsia="Times New Roman" w:hAnsi="Times New Roman" w:cs="Times New Roman"/>
      <w:color w:val="auto"/>
      <w:sz w:val="24"/>
      <w:szCs w:val="24"/>
      <w:lang w:val="en-NZ" w:eastAsia="en-NZ"/>
    </w:rPr>
  </w:style>
  <w:style w:type="paragraph" w:customStyle="1" w:styleId="qowt-stl-normal">
    <w:name w:val="qowt-stl-normal"/>
    <w:basedOn w:val="Normal"/>
    <w:rsid w:val="0035560B"/>
    <w:pPr>
      <w:tabs>
        <w:tab w:val="clear" w:pos="2880"/>
      </w:tabs>
      <w:spacing w:before="100" w:beforeAutospacing="1" w:after="100" w:afterAutospacing="1"/>
    </w:pPr>
    <w:rPr>
      <w:rFonts w:ascii="Times New Roman" w:eastAsia="Times New Roman" w:hAnsi="Times New Roman" w:cs="Times New Roman"/>
      <w:color w:val="auto"/>
      <w:sz w:val="24"/>
      <w:szCs w:val="24"/>
      <w:lang w:val="en-NZ" w:eastAsia="en-NZ"/>
    </w:rPr>
  </w:style>
  <w:style w:type="paragraph" w:customStyle="1" w:styleId="qowt-stl-tabletext">
    <w:name w:val="qowt-stl-tabletext"/>
    <w:basedOn w:val="Normal"/>
    <w:rsid w:val="0048432A"/>
    <w:pPr>
      <w:tabs>
        <w:tab w:val="clear" w:pos="2880"/>
      </w:tabs>
      <w:spacing w:before="100" w:beforeAutospacing="1" w:after="100" w:afterAutospacing="1"/>
    </w:pPr>
    <w:rPr>
      <w:rFonts w:ascii="Times New Roman" w:eastAsia="Times New Roman" w:hAnsi="Times New Roman" w:cs="Times New Roman"/>
      <w:color w:val="auto"/>
      <w:sz w:val="24"/>
      <w:szCs w:val="24"/>
      <w:lang w:val="en-NZ" w:eastAsia="en-NZ"/>
    </w:rPr>
  </w:style>
  <w:style w:type="paragraph" w:customStyle="1" w:styleId="qowt-stl-tableheading2">
    <w:name w:val="qowt-stl-tableheading2"/>
    <w:basedOn w:val="Normal"/>
    <w:rsid w:val="0048432A"/>
    <w:pPr>
      <w:tabs>
        <w:tab w:val="clear" w:pos="2880"/>
      </w:tabs>
      <w:spacing w:before="100" w:beforeAutospacing="1" w:after="100" w:afterAutospacing="1"/>
    </w:pPr>
    <w:rPr>
      <w:rFonts w:ascii="Times New Roman" w:eastAsia="Times New Roman" w:hAnsi="Times New Roman" w:cs="Times New Roman"/>
      <w:color w:val="auto"/>
      <w:sz w:val="24"/>
      <w:szCs w:val="24"/>
      <w:lang w:val="en-NZ" w:eastAsia="en-NZ"/>
    </w:rPr>
  </w:style>
  <w:style w:type="paragraph" w:customStyle="1" w:styleId="text">
    <w:name w:val="text"/>
    <w:basedOn w:val="Normal"/>
    <w:rsid w:val="008B5DB9"/>
    <w:pPr>
      <w:tabs>
        <w:tab w:val="clear" w:pos="2880"/>
      </w:tabs>
      <w:spacing w:before="100" w:beforeAutospacing="1" w:after="100" w:afterAutospacing="1"/>
    </w:pPr>
    <w:rPr>
      <w:rFonts w:ascii="Times New Roman" w:eastAsia="Times New Roman" w:hAnsi="Times New Roman" w:cs="Times New Roman"/>
      <w:color w:val="auto"/>
      <w:sz w:val="24"/>
      <w:szCs w:val="24"/>
      <w:lang w:val="en-NZ" w:eastAsia="en-NZ"/>
    </w:rPr>
  </w:style>
  <w:style w:type="character" w:customStyle="1" w:styleId="label">
    <w:name w:val="label"/>
    <w:basedOn w:val="DefaultParagraphFont"/>
    <w:rsid w:val="008B5DB9"/>
  </w:style>
  <w:style w:type="character" w:customStyle="1" w:styleId="UnresolvedMention2">
    <w:name w:val="Unresolved Mention2"/>
    <w:basedOn w:val="DefaultParagraphFont"/>
    <w:uiPriority w:val="99"/>
    <w:semiHidden/>
    <w:unhideWhenUsed/>
    <w:rsid w:val="00F5658A"/>
    <w:rPr>
      <w:color w:val="808080"/>
      <w:shd w:val="clear" w:color="auto" w:fill="E6E6E6"/>
    </w:rPr>
  </w:style>
  <w:style w:type="character" w:customStyle="1" w:styleId="publication-italic">
    <w:name w:val="publication-italic"/>
    <w:basedOn w:val="DefaultParagraphFont"/>
    <w:rsid w:val="007A5C5D"/>
  </w:style>
  <w:style w:type="paragraph" w:customStyle="1" w:styleId="m-6052412394718367828msolistparagraph">
    <w:name w:val="m_-6052412394718367828msolistparagraph"/>
    <w:basedOn w:val="Normal"/>
    <w:rsid w:val="00282CB9"/>
    <w:pPr>
      <w:tabs>
        <w:tab w:val="clear" w:pos="2880"/>
      </w:tabs>
      <w:spacing w:before="100" w:beforeAutospacing="1" w:after="100" w:afterAutospacing="1"/>
    </w:pPr>
    <w:rPr>
      <w:rFonts w:ascii="Times New Roman" w:eastAsia="Times New Roman" w:hAnsi="Times New Roman" w:cs="Times New Roman"/>
      <w:color w:val="auto"/>
      <w:sz w:val="24"/>
      <w:szCs w:val="24"/>
      <w:lang w:val="en-NZ" w:eastAsia="en-NZ"/>
    </w:rPr>
  </w:style>
  <w:style w:type="character" w:customStyle="1" w:styleId="aqj">
    <w:name w:val="aqj"/>
    <w:basedOn w:val="DefaultParagraphFont"/>
    <w:rsid w:val="00282CB9"/>
  </w:style>
  <w:style w:type="paragraph" w:customStyle="1" w:styleId="SSCBodytext">
    <w:name w:val="SSC Body text"/>
    <w:basedOn w:val="Normal"/>
    <w:link w:val="SSCBodytextChar"/>
    <w:qFormat/>
    <w:rsid w:val="005A67BF"/>
    <w:pPr>
      <w:tabs>
        <w:tab w:val="clear" w:pos="2880"/>
      </w:tabs>
      <w:spacing w:before="100" w:line="276" w:lineRule="auto"/>
    </w:pPr>
    <w:rPr>
      <w:rFonts w:asciiTheme="minorHAnsi" w:hAnsiTheme="minorHAnsi" w:cstheme="minorBidi"/>
      <w:color w:val="auto"/>
      <w:sz w:val="20"/>
      <w:lang w:val="en-NZ"/>
    </w:rPr>
  </w:style>
  <w:style w:type="character" w:customStyle="1" w:styleId="SSCBodytextChar">
    <w:name w:val="SSC Body text Char"/>
    <w:basedOn w:val="DefaultParagraphFont"/>
    <w:link w:val="SSCBodytext"/>
    <w:rsid w:val="005A67BF"/>
    <w:rPr>
      <w:rFonts w:asciiTheme="minorHAnsi" w:hAnsiTheme="minorHAnsi"/>
      <w:color w:val="auto"/>
      <w:lang w:val="en-NZ"/>
    </w:rPr>
  </w:style>
  <w:style w:type="character" w:customStyle="1" w:styleId="mw-headline">
    <w:name w:val="mw-headline"/>
    <w:basedOn w:val="DefaultParagraphFont"/>
    <w:rsid w:val="00A02C46"/>
  </w:style>
  <w:style w:type="character" w:customStyle="1" w:styleId="mw-editsection">
    <w:name w:val="mw-editsection"/>
    <w:basedOn w:val="DefaultParagraphFont"/>
    <w:rsid w:val="00A02C46"/>
  </w:style>
  <w:style w:type="character" w:customStyle="1" w:styleId="mw-editsection-bracket">
    <w:name w:val="mw-editsection-bracket"/>
    <w:basedOn w:val="DefaultParagraphFont"/>
    <w:rsid w:val="00A02C46"/>
  </w:style>
  <w:style w:type="paragraph" w:customStyle="1" w:styleId="Numberedpara3level1">
    <w:name w:val="Numbered para (3) level 1"/>
    <w:basedOn w:val="Normal"/>
    <w:qFormat/>
    <w:rsid w:val="005E2A20"/>
    <w:pPr>
      <w:keepLines/>
      <w:numPr>
        <w:numId w:val="37"/>
      </w:numPr>
      <w:tabs>
        <w:tab w:val="clear" w:pos="2880"/>
      </w:tabs>
      <w:spacing w:before="120" w:after="120"/>
    </w:pPr>
    <w:rPr>
      <w:rFonts w:ascii="Calibri" w:eastAsiaTheme="minorHAnsi" w:hAnsi="Calibri" w:cs="Times New Roman"/>
      <w:color w:val="auto"/>
      <w:sz w:val="24"/>
      <w:szCs w:val="24"/>
      <w:lang w:val="en-NZ"/>
    </w:rPr>
  </w:style>
  <w:style w:type="paragraph" w:customStyle="1" w:styleId="Numberedpara3level211">
    <w:name w:val="Numbered para (3) level 2 (1.1)"/>
    <w:basedOn w:val="Normal"/>
    <w:qFormat/>
    <w:rsid w:val="005E2A20"/>
    <w:pPr>
      <w:keepLines/>
      <w:numPr>
        <w:ilvl w:val="1"/>
        <w:numId w:val="37"/>
      </w:numPr>
      <w:tabs>
        <w:tab w:val="clear" w:pos="2880"/>
      </w:tabs>
      <w:spacing w:before="120" w:after="120"/>
    </w:pPr>
    <w:rPr>
      <w:rFonts w:ascii="Calibri" w:eastAsiaTheme="minorHAnsi" w:hAnsi="Calibri" w:cs="Times New Roman"/>
      <w:color w:val="auto"/>
      <w:sz w:val="24"/>
      <w:szCs w:val="24"/>
      <w:lang w:val="en-NZ"/>
    </w:rPr>
  </w:style>
  <w:style w:type="paragraph" w:customStyle="1" w:styleId="Numberedpara3level3111">
    <w:name w:val="Numbered para (3) level 3 (1.1.1)"/>
    <w:basedOn w:val="Normal"/>
    <w:qFormat/>
    <w:rsid w:val="005E2A20"/>
    <w:pPr>
      <w:keepLines/>
      <w:numPr>
        <w:ilvl w:val="2"/>
        <w:numId w:val="37"/>
      </w:numPr>
      <w:tabs>
        <w:tab w:val="clear" w:pos="2880"/>
      </w:tabs>
      <w:spacing w:before="120" w:after="120"/>
    </w:pPr>
    <w:rPr>
      <w:rFonts w:ascii="Calibri" w:eastAsiaTheme="minorHAnsi" w:hAnsi="Calibri" w:cs="Times New Roman"/>
      <w:color w:val="auto"/>
      <w:sz w:val="24"/>
      <w:szCs w:val="24"/>
      <w:lang w:val="en-NZ"/>
    </w:rPr>
  </w:style>
  <w:style w:type="character" w:customStyle="1" w:styleId="UnresolvedMention3">
    <w:name w:val="Unresolved Mention3"/>
    <w:basedOn w:val="DefaultParagraphFont"/>
    <w:uiPriority w:val="99"/>
    <w:rsid w:val="00097482"/>
    <w:rPr>
      <w:color w:val="808080"/>
      <w:shd w:val="clear" w:color="auto" w:fill="E6E6E6"/>
    </w:rPr>
  </w:style>
  <w:style w:type="character" w:customStyle="1" w:styleId="UnresolvedMention4">
    <w:name w:val="Unresolved Mention4"/>
    <w:basedOn w:val="DefaultParagraphFont"/>
    <w:uiPriority w:val="99"/>
    <w:rsid w:val="002E35BF"/>
    <w:rPr>
      <w:color w:val="808080"/>
      <w:shd w:val="clear" w:color="auto" w:fill="E6E6E6"/>
    </w:rPr>
  </w:style>
  <w:style w:type="character" w:customStyle="1" w:styleId="UnresolvedMention5">
    <w:name w:val="Unresolved Mention5"/>
    <w:basedOn w:val="DefaultParagraphFont"/>
    <w:uiPriority w:val="99"/>
    <w:rsid w:val="004E03E8"/>
    <w:rPr>
      <w:color w:val="808080"/>
      <w:shd w:val="clear" w:color="auto" w:fill="E6E6E6"/>
    </w:rPr>
  </w:style>
  <w:style w:type="character" w:styleId="HTMLCite">
    <w:name w:val="HTML Cite"/>
    <w:uiPriority w:val="99"/>
    <w:semiHidden/>
    <w:rsid w:val="007960A3"/>
    <w:rPr>
      <w:i/>
      <w:iCs/>
    </w:rPr>
  </w:style>
  <w:style w:type="character" w:customStyle="1" w:styleId="UnresolvedMention6">
    <w:name w:val="Unresolved Mention6"/>
    <w:basedOn w:val="DefaultParagraphFont"/>
    <w:uiPriority w:val="99"/>
    <w:rsid w:val="0023608F"/>
    <w:rPr>
      <w:color w:val="808080"/>
      <w:shd w:val="clear" w:color="auto" w:fill="E6E6E6"/>
    </w:rPr>
  </w:style>
  <w:style w:type="character" w:customStyle="1" w:styleId="UnresolvedMention7">
    <w:name w:val="Unresolved Mention7"/>
    <w:basedOn w:val="DefaultParagraphFont"/>
    <w:uiPriority w:val="99"/>
    <w:rsid w:val="00DC7BC5"/>
    <w:rPr>
      <w:color w:val="808080"/>
      <w:shd w:val="clear" w:color="auto" w:fill="E6E6E6"/>
    </w:rPr>
  </w:style>
  <w:style w:type="character" w:customStyle="1" w:styleId="UnresolvedMention">
    <w:name w:val="Unresolved Mention"/>
    <w:basedOn w:val="DefaultParagraphFont"/>
    <w:uiPriority w:val="99"/>
    <w:semiHidden/>
    <w:unhideWhenUsed/>
    <w:rsid w:val="00E877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106">
      <w:bodyDiv w:val="1"/>
      <w:marLeft w:val="0"/>
      <w:marRight w:val="0"/>
      <w:marTop w:val="0"/>
      <w:marBottom w:val="0"/>
      <w:divBdr>
        <w:top w:val="none" w:sz="0" w:space="0" w:color="auto"/>
        <w:left w:val="none" w:sz="0" w:space="0" w:color="auto"/>
        <w:bottom w:val="none" w:sz="0" w:space="0" w:color="auto"/>
        <w:right w:val="none" w:sz="0" w:space="0" w:color="auto"/>
      </w:divBdr>
      <w:divsChild>
        <w:div w:id="451557335">
          <w:marLeft w:val="0"/>
          <w:marRight w:val="0"/>
          <w:marTop w:val="83"/>
          <w:marBottom w:val="0"/>
          <w:divBdr>
            <w:top w:val="none" w:sz="0" w:space="0" w:color="auto"/>
            <w:left w:val="none" w:sz="0" w:space="0" w:color="auto"/>
            <w:bottom w:val="none" w:sz="0" w:space="0" w:color="auto"/>
            <w:right w:val="none" w:sz="0" w:space="0" w:color="auto"/>
          </w:divBdr>
        </w:div>
        <w:div w:id="1088965390">
          <w:marLeft w:val="0"/>
          <w:marRight w:val="0"/>
          <w:marTop w:val="83"/>
          <w:marBottom w:val="0"/>
          <w:divBdr>
            <w:top w:val="none" w:sz="0" w:space="0" w:color="auto"/>
            <w:left w:val="none" w:sz="0" w:space="0" w:color="auto"/>
            <w:bottom w:val="none" w:sz="0" w:space="0" w:color="auto"/>
            <w:right w:val="none" w:sz="0" w:space="0" w:color="auto"/>
          </w:divBdr>
        </w:div>
      </w:divsChild>
    </w:div>
    <w:div w:id="42995138">
      <w:bodyDiv w:val="1"/>
      <w:marLeft w:val="0"/>
      <w:marRight w:val="0"/>
      <w:marTop w:val="0"/>
      <w:marBottom w:val="0"/>
      <w:divBdr>
        <w:top w:val="none" w:sz="0" w:space="0" w:color="auto"/>
        <w:left w:val="none" w:sz="0" w:space="0" w:color="auto"/>
        <w:bottom w:val="none" w:sz="0" w:space="0" w:color="auto"/>
        <w:right w:val="none" w:sz="0" w:space="0" w:color="auto"/>
      </w:divBdr>
    </w:div>
    <w:div w:id="52236099">
      <w:bodyDiv w:val="1"/>
      <w:marLeft w:val="0"/>
      <w:marRight w:val="0"/>
      <w:marTop w:val="0"/>
      <w:marBottom w:val="0"/>
      <w:divBdr>
        <w:top w:val="none" w:sz="0" w:space="0" w:color="auto"/>
        <w:left w:val="none" w:sz="0" w:space="0" w:color="auto"/>
        <w:bottom w:val="none" w:sz="0" w:space="0" w:color="auto"/>
        <w:right w:val="none" w:sz="0" w:space="0" w:color="auto"/>
      </w:divBdr>
    </w:div>
    <w:div w:id="78215794">
      <w:bodyDiv w:val="1"/>
      <w:marLeft w:val="0"/>
      <w:marRight w:val="0"/>
      <w:marTop w:val="0"/>
      <w:marBottom w:val="0"/>
      <w:divBdr>
        <w:top w:val="none" w:sz="0" w:space="0" w:color="auto"/>
        <w:left w:val="none" w:sz="0" w:space="0" w:color="auto"/>
        <w:bottom w:val="none" w:sz="0" w:space="0" w:color="auto"/>
        <w:right w:val="none" w:sz="0" w:space="0" w:color="auto"/>
      </w:divBdr>
    </w:div>
    <w:div w:id="209418802">
      <w:bodyDiv w:val="1"/>
      <w:marLeft w:val="0"/>
      <w:marRight w:val="0"/>
      <w:marTop w:val="0"/>
      <w:marBottom w:val="0"/>
      <w:divBdr>
        <w:top w:val="none" w:sz="0" w:space="0" w:color="auto"/>
        <w:left w:val="none" w:sz="0" w:space="0" w:color="auto"/>
        <w:bottom w:val="none" w:sz="0" w:space="0" w:color="auto"/>
        <w:right w:val="none" w:sz="0" w:space="0" w:color="auto"/>
      </w:divBdr>
    </w:div>
    <w:div w:id="228394020">
      <w:bodyDiv w:val="1"/>
      <w:marLeft w:val="0"/>
      <w:marRight w:val="0"/>
      <w:marTop w:val="0"/>
      <w:marBottom w:val="0"/>
      <w:divBdr>
        <w:top w:val="none" w:sz="0" w:space="0" w:color="auto"/>
        <w:left w:val="none" w:sz="0" w:space="0" w:color="auto"/>
        <w:bottom w:val="none" w:sz="0" w:space="0" w:color="auto"/>
        <w:right w:val="none" w:sz="0" w:space="0" w:color="auto"/>
      </w:divBdr>
    </w:div>
    <w:div w:id="267203563">
      <w:bodyDiv w:val="1"/>
      <w:marLeft w:val="0"/>
      <w:marRight w:val="0"/>
      <w:marTop w:val="0"/>
      <w:marBottom w:val="0"/>
      <w:divBdr>
        <w:top w:val="none" w:sz="0" w:space="0" w:color="auto"/>
        <w:left w:val="none" w:sz="0" w:space="0" w:color="auto"/>
        <w:bottom w:val="none" w:sz="0" w:space="0" w:color="auto"/>
        <w:right w:val="none" w:sz="0" w:space="0" w:color="auto"/>
      </w:divBdr>
    </w:div>
    <w:div w:id="269164781">
      <w:bodyDiv w:val="1"/>
      <w:marLeft w:val="0"/>
      <w:marRight w:val="0"/>
      <w:marTop w:val="0"/>
      <w:marBottom w:val="0"/>
      <w:divBdr>
        <w:top w:val="none" w:sz="0" w:space="0" w:color="auto"/>
        <w:left w:val="none" w:sz="0" w:space="0" w:color="auto"/>
        <w:bottom w:val="none" w:sz="0" w:space="0" w:color="auto"/>
        <w:right w:val="none" w:sz="0" w:space="0" w:color="auto"/>
      </w:divBdr>
    </w:div>
    <w:div w:id="279382606">
      <w:bodyDiv w:val="1"/>
      <w:marLeft w:val="0"/>
      <w:marRight w:val="0"/>
      <w:marTop w:val="0"/>
      <w:marBottom w:val="0"/>
      <w:divBdr>
        <w:top w:val="none" w:sz="0" w:space="0" w:color="auto"/>
        <w:left w:val="none" w:sz="0" w:space="0" w:color="auto"/>
        <w:bottom w:val="none" w:sz="0" w:space="0" w:color="auto"/>
        <w:right w:val="none" w:sz="0" w:space="0" w:color="auto"/>
      </w:divBdr>
    </w:div>
    <w:div w:id="291863239">
      <w:bodyDiv w:val="1"/>
      <w:marLeft w:val="0"/>
      <w:marRight w:val="0"/>
      <w:marTop w:val="0"/>
      <w:marBottom w:val="0"/>
      <w:divBdr>
        <w:top w:val="none" w:sz="0" w:space="0" w:color="auto"/>
        <w:left w:val="none" w:sz="0" w:space="0" w:color="auto"/>
        <w:bottom w:val="none" w:sz="0" w:space="0" w:color="auto"/>
        <w:right w:val="none" w:sz="0" w:space="0" w:color="auto"/>
      </w:divBdr>
    </w:div>
    <w:div w:id="298415273">
      <w:bodyDiv w:val="1"/>
      <w:marLeft w:val="0"/>
      <w:marRight w:val="0"/>
      <w:marTop w:val="0"/>
      <w:marBottom w:val="0"/>
      <w:divBdr>
        <w:top w:val="none" w:sz="0" w:space="0" w:color="auto"/>
        <w:left w:val="none" w:sz="0" w:space="0" w:color="auto"/>
        <w:bottom w:val="none" w:sz="0" w:space="0" w:color="auto"/>
        <w:right w:val="none" w:sz="0" w:space="0" w:color="auto"/>
      </w:divBdr>
    </w:div>
    <w:div w:id="339087577">
      <w:bodyDiv w:val="1"/>
      <w:marLeft w:val="0"/>
      <w:marRight w:val="0"/>
      <w:marTop w:val="0"/>
      <w:marBottom w:val="0"/>
      <w:divBdr>
        <w:top w:val="none" w:sz="0" w:space="0" w:color="auto"/>
        <w:left w:val="none" w:sz="0" w:space="0" w:color="auto"/>
        <w:bottom w:val="none" w:sz="0" w:space="0" w:color="auto"/>
        <w:right w:val="none" w:sz="0" w:space="0" w:color="auto"/>
      </w:divBdr>
    </w:div>
    <w:div w:id="361444807">
      <w:bodyDiv w:val="1"/>
      <w:marLeft w:val="0"/>
      <w:marRight w:val="0"/>
      <w:marTop w:val="0"/>
      <w:marBottom w:val="0"/>
      <w:divBdr>
        <w:top w:val="none" w:sz="0" w:space="0" w:color="auto"/>
        <w:left w:val="none" w:sz="0" w:space="0" w:color="auto"/>
        <w:bottom w:val="none" w:sz="0" w:space="0" w:color="auto"/>
        <w:right w:val="none" w:sz="0" w:space="0" w:color="auto"/>
      </w:divBdr>
    </w:div>
    <w:div w:id="377168138">
      <w:bodyDiv w:val="1"/>
      <w:marLeft w:val="0"/>
      <w:marRight w:val="0"/>
      <w:marTop w:val="0"/>
      <w:marBottom w:val="0"/>
      <w:divBdr>
        <w:top w:val="none" w:sz="0" w:space="0" w:color="auto"/>
        <w:left w:val="none" w:sz="0" w:space="0" w:color="auto"/>
        <w:bottom w:val="none" w:sz="0" w:space="0" w:color="auto"/>
        <w:right w:val="none" w:sz="0" w:space="0" w:color="auto"/>
      </w:divBdr>
    </w:div>
    <w:div w:id="380599172">
      <w:bodyDiv w:val="1"/>
      <w:marLeft w:val="0"/>
      <w:marRight w:val="0"/>
      <w:marTop w:val="0"/>
      <w:marBottom w:val="0"/>
      <w:divBdr>
        <w:top w:val="none" w:sz="0" w:space="0" w:color="auto"/>
        <w:left w:val="none" w:sz="0" w:space="0" w:color="auto"/>
        <w:bottom w:val="none" w:sz="0" w:space="0" w:color="auto"/>
        <w:right w:val="none" w:sz="0" w:space="0" w:color="auto"/>
      </w:divBdr>
    </w:div>
    <w:div w:id="398406915">
      <w:bodyDiv w:val="1"/>
      <w:marLeft w:val="0"/>
      <w:marRight w:val="0"/>
      <w:marTop w:val="0"/>
      <w:marBottom w:val="0"/>
      <w:divBdr>
        <w:top w:val="none" w:sz="0" w:space="0" w:color="auto"/>
        <w:left w:val="none" w:sz="0" w:space="0" w:color="auto"/>
        <w:bottom w:val="none" w:sz="0" w:space="0" w:color="auto"/>
        <w:right w:val="none" w:sz="0" w:space="0" w:color="auto"/>
      </w:divBdr>
    </w:div>
    <w:div w:id="441874838">
      <w:bodyDiv w:val="1"/>
      <w:marLeft w:val="0"/>
      <w:marRight w:val="0"/>
      <w:marTop w:val="0"/>
      <w:marBottom w:val="0"/>
      <w:divBdr>
        <w:top w:val="none" w:sz="0" w:space="0" w:color="auto"/>
        <w:left w:val="none" w:sz="0" w:space="0" w:color="auto"/>
        <w:bottom w:val="none" w:sz="0" w:space="0" w:color="auto"/>
        <w:right w:val="none" w:sz="0" w:space="0" w:color="auto"/>
      </w:divBdr>
    </w:div>
    <w:div w:id="470902464">
      <w:bodyDiv w:val="1"/>
      <w:marLeft w:val="0"/>
      <w:marRight w:val="0"/>
      <w:marTop w:val="0"/>
      <w:marBottom w:val="0"/>
      <w:divBdr>
        <w:top w:val="none" w:sz="0" w:space="0" w:color="auto"/>
        <w:left w:val="none" w:sz="0" w:space="0" w:color="auto"/>
        <w:bottom w:val="none" w:sz="0" w:space="0" w:color="auto"/>
        <w:right w:val="none" w:sz="0" w:space="0" w:color="auto"/>
      </w:divBdr>
    </w:div>
    <w:div w:id="527959944">
      <w:bodyDiv w:val="1"/>
      <w:marLeft w:val="0"/>
      <w:marRight w:val="0"/>
      <w:marTop w:val="0"/>
      <w:marBottom w:val="0"/>
      <w:divBdr>
        <w:top w:val="none" w:sz="0" w:space="0" w:color="auto"/>
        <w:left w:val="none" w:sz="0" w:space="0" w:color="auto"/>
        <w:bottom w:val="none" w:sz="0" w:space="0" w:color="auto"/>
        <w:right w:val="none" w:sz="0" w:space="0" w:color="auto"/>
      </w:divBdr>
    </w:div>
    <w:div w:id="568737727">
      <w:bodyDiv w:val="1"/>
      <w:marLeft w:val="0"/>
      <w:marRight w:val="0"/>
      <w:marTop w:val="0"/>
      <w:marBottom w:val="0"/>
      <w:divBdr>
        <w:top w:val="none" w:sz="0" w:space="0" w:color="auto"/>
        <w:left w:val="none" w:sz="0" w:space="0" w:color="auto"/>
        <w:bottom w:val="none" w:sz="0" w:space="0" w:color="auto"/>
        <w:right w:val="none" w:sz="0" w:space="0" w:color="auto"/>
      </w:divBdr>
    </w:div>
    <w:div w:id="569004589">
      <w:bodyDiv w:val="1"/>
      <w:marLeft w:val="0"/>
      <w:marRight w:val="0"/>
      <w:marTop w:val="0"/>
      <w:marBottom w:val="0"/>
      <w:divBdr>
        <w:top w:val="none" w:sz="0" w:space="0" w:color="auto"/>
        <w:left w:val="none" w:sz="0" w:space="0" w:color="auto"/>
        <w:bottom w:val="none" w:sz="0" w:space="0" w:color="auto"/>
        <w:right w:val="none" w:sz="0" w:space="0" w:color="auto"/>
      </w:divBdr>
    </w:div>
    <w:div w:id="586037632">
      <w:bodyDiv w:val="1"/>
      <w:marLeft w:val="0"/>
      <w:marRight w:val="0"/>
      <w:marTop w:val="0"/>
      <w:marBottom w:val="0"/>
      <w:divBdr>
        <w:top w:val="none" w:sz="0" w:space="0" w:color="auto"/>
        <w:left w:val="none" w:sz="0" w:space="0" w:color="auto"/>
        <w:bottom w:val="none" w:sz="0" w:space="0" w:color="auto"/>
        <w:right w:val="none" w:sz="0" w:space="0" w:color="auto"/>
      </w:divBdr>
    </w:div>
    <w:div w:id="604117409">
      <w:bodyDiv w:val="1"/>
      <w:marLeft w:val="0"/>
      <w:marRight w:val="0"/>
      <w:marTop w:val="0"/>
      <w:marBottom w:val="0"/>
      <w:divBdr>
        <w:top w:val="none" w:sz="0" w:space="0" w:color="auto"/>
        <w:left w:val="none" w:sz="0" w:space="0" w:color="auto"/>
        <w:bottom w:val="none" w:sz="0" w:space="0" w:color="auto"/>
        <w:right w:val="none" w:sz="0" w:space="0" w:color="auto"/>
      </w:divBdr>
    </w:div>
    <w:div w:id="609699140">
      <w:bodyDiv w:val="1"/>
      <w:marLeft w:val="0"/>
      <w:marRight w:val="0"/>
      <w:marTop w:val="0"/>
      <w:marBottom w:val="0"/>
      <w:divBdr>
        <w:top w:val="none" w:sz="0" w:space="0" w:color="auto"/>
        <w:left w:val="none" w:sz="0" w:space="0" w:color="auto"/>
        <w:bottom w:val="none" w:sz="0" w:space="0" w:color="auto"/>
        <w:right w:val="none" w:sz="0" w:space="0" w:color="auto"/>
      </w:divBdr>
      <w:divsChild>
        <w:div w:id="687679656">
          <w:marLeft w:val="0"/>
          <w:marRight w:val="0"/>
          <w:marTop w:val="0"/>
          <w:marBottom w:val="0"/>
          <w:divBdr>
            <w:top w:val="none" w:sz="0" w:space="0" w:color="auto"/>
            <w:left w:val="none" w:sz="0" w:space="0" w:color="auto"/>
            <w:bottom w:val="none" w:sz="0" w:space="0" w:color="auto"/>
            <w:right w:val="none" w:sz="0" w:space="0" w:color="auto"/>
          </w:divBdr>
          <w:divsChild>
            <w:div w:id="1990279492">
              <w:marLeft w:val="0"/>
              <w:marRight w:val="0"/>
              <w:marTop w:val="0"/>
              <w:marBottom w:val="0"/>
              <w:divBdr>
                <w:top w:val="none" w:sz="0" w:space="0" w:color="auto"/>
                <w:left w:val="none" w:sz="0" w:space="0" w:color="auto"/>
                <w:bottom w:val="none" w:sz="0" w:space="0" w:color="auto"/>
                <w:right w:val="none" w:sz="0" w:space="0" w:color="auto"/>
              </w:divBdr>
              <w:divsChild>
                <w:div w:id="1320619162">
                  <w:marLeft w:val="0"/>
                  <w:marRight w:val="0"/>
                  <w:marTop w:val="0"/>
                  <w:marBottom w:val="0"/>
                  <w:divBdr>
                    <w:top w:val="none" w:sz="0" w:space="0" w:color="auto"/>
                    <w:left w:val="none" w:sz="0" w:space="0" w:color="auto"/>
                    <w:bottom w:val="none" w:sz="0" w:space="0" w:color="auto"/>
                    <w:right w:val="none" w:sz="0" w:space="0" w:color="auto"/>
                  </w:divBdr>
                </w:div>
              </w:divsChild>
            </w:div>
            <w:div w:id="14614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9461">
      <w:bodyDiv w:val="1"/>
      <w:marLeft w:val="0"/>
      <w:marRight w:val="0"/>
      <w:marTop w:val="0"/>
      <w:marBottom w:val="0"/>
      <w:divBdr>
        <w:top w:val="none" w:sz="0" w:space="0" w:color="auto"/>
        <w:left w:val="none" w:sz="0" w:space="0" w:color="auto"/>
        <w:bottom w:val="none" w:sz="0" w:space="0" w:color="auto"/>
        <w:right w:val="none" w:sz="0" w:space="0" w:color="auto"/>
      </w:divBdr>
    </w:div>
    <w:div w:id="629550615">
      <w:bodyDiv w:val="1"/>
      <w:marLeft w:val="0"/>
      <w:marRight w:val="0"/>
      <w:marTop w:val="0"/>
      <w:marBottom w:val="0"/>
      <w:divBdr>
        <w:top w:val="none" w:sz="0" w:space="0" w:color="auto"/>
        <w:left w:val="none" w:sz="0" w:space="0" w:color="auto"/>
        <w:bottom w:val="none" w:sz="0" w:space="0" w:color="auto"/>
        <w:right w:val="none" w:sz="0" w:space="0" w:color="auto"/>
      </w:divBdr>
    </w:div>
    <w:div w:id="675377700">
      <w:bodyDiv w:val="1"/>
      <w:marLeft w:val="0"/>
      <w:marRight w:val="0"/>
      <w:marTop w:val="0"/>
      <w:marBottom w:val="0"/>
      <w:divBdr>
        <w:top w:val="none" w:sz="0" w:space="0" w:color="auto"/>
        <w:left w:val="none" w:sz="0" w:space="0" w:color="auto"/>
        <w:bottom w:val="none" w:sz="0" w:space="0" w:color="auto"/>
        <w:right w:val="none" w:sz="0" w:space="0" w:color="auto"/>
      </w:divBdr>
    </w:div>
    <w:div w:id="711467902">
      <w:bodyDiv w:val="1"/>
      <w:marLeft w:val="0"/>
      <w:marRight w:val="0"/>
      <w:marTop w:val="0"/>
      <w:marBottom w:val="0"/>
      <w:divBdr>
        <w:top w:val="none" w:sz="0" w:space="0" w:color="auto"/>
        <w:left w:val="none" w:sz="0" w:space="0" w:color="auto"/>
        <w:bottom w:val="none" w:sz="0" w:space="0" w:color="auto"/>
        <w:right w:val="none" w:sz="0" w:space="0" w:color="auto"/>
      </w:divBdr>
    </w:div>
    <w:div w:id="753624218">
      <w:bodyDiv w:val="1"/>
      <w:marLeft w:val="0"/>
      <w:marRight w:val="0"/>
      <w:marTop w:val="0"/>
      <w:marBottom w:val="0"/>
      <w:divBdr>
        <w:top w:val="none" w:sz="0" w:space="0" w:color="auto"/>
        <w:left w:val="none" w:sz="0" w:space="0" w:color="auto"/>
        <w:bottom w:val="none" w:sz="0" w:space="0" w:color="auto"/>
        <w:right w:val="none" w:sz="0" w:space="0" w:color="auto"/>
      </w:divBdr>
    </w:div>
    <w:div w:id="773014805">
      <w:bodyDiv w:val="1"/>
      <w:marLeft w:val="0"/>
      <w:marRight w:val="0"/>
      <w:marTop w:val="0"/>
      <w:marBottom w:val="0"/>
      <w:divBdr>
        <w:top w:val="none" w:sz="0" w:space="0" w:color="auto"/>
        <w:left w:val="none" w:sz="0" w:space="0" w:color="auto"/>
        <w:bottom w:val="none" w:sz="0" w:space="0" w:color="auto"/>
        <w:right w:val="none" w:sz="0" w:space="0" w:color="auto"/>
      </w:divBdr>
    </w:div>
    <w:div w:id="793867429">
      <w:bodyDiv w:val="1"/>
      <w:marLeft w:val="0"/>
      <w:marRight w:val="0"/>
      <w:marTop w:val="0"/>
      <w:marBottom w:val="0"/>
      <w:divBdr>
        <w:top w:val="none" w:sz="0" w:space="0" w:color="auto"/>
        <w:left w:val="none" w:sz="0" w:space="0" w:color="auto"/>
        <w:bottom w:val="none" w:sz="0" w:space="0" w:color="auto"/>
        <w:right w:val="none" w:sz="0" w:space="0" w:color="auto"/>
      </w:divBdr>
    </w:div>
    <w:div w:id="796484420">
      <w:bodyDiv w:val="1"/>
      <w:marLeft w:val="0"/>
      <w:marRight w:val="0"/>
      <w:marTop w:val="0"/>
      <w:marBottom w:val="0"/>
      <w:divBdr>
        <w:top w:val="none" w:sz="0" w:space="0" w:color="auto"/>
        <w:left w:val="none" w:sz="0" w:space="0" w:color="auto"/>
        <w:bottom w:val="none" w:sz="0" w:space="0" w:color="auto"/>
        <w:right w:val="none" w:sz="0" w:space="0" w:color="auto"/>
      </w:divBdr>
    </w:div>
    <w:div w:id="814028868">
      <w:bodyDiv w:val="1"/>
      <w:marLeft w:val="0"/>
      <w:marRight w:val="0"/>
      <w:marTop w:val="0"/>
      <w:marBottom w:val="0"/>
      <w:divBdr>
        <w:top w:val="none" w:sz="0" w:space="0" w:color="auto"/>
        <w:left w:val="none" w:sz="0" w:space="0" w:color="auto"/>
        <w:bottom w:val="none" w:sz="0" w:space="0" w:color="auto"/>
        <w:right w:val="none" w:sz="0" w:space="0" w:color="auto"/>
      </w:divBdr>
    </w:div>
    <w:div w:id="836455147">
      <w:bodyDiv w:val="1"/>
      <w:marLeft w:val="0"/>
      <w:marRight w:val="0"/>
      <w:marTop w:val="0"/>
      <w:marBottom w:val="0"/>
      <w:divBdr>
        <w:top w:val="none" w:sz="0" w:space="0" w:color="auto"/>
        <w:left w:val="none" w:sz="0" w:space="0" w:color="auto"/>
        <w:bottom w:val="none" w:sz="0" w:space="0" w:color="auto"/>
        <w:right w:val="none" w:sz="0" w:space="0" w:color="auto"/>
      </w:divBdr>
    </w:div>
    <w:div w:id="857933367">
      <w:bodyDiv w:val="1"/>
      <w:marLeft w:val="0"/>
      <w:marRight w:val="0"/>
      <w:marTop w:val="0"/>
      <w:marBottom w:val="0"/>
      <w:divBdr>
        <w:top w:val="none" w:sz="0" w:space="0" w:color="auto"/>
        <w:left w:val="none" w:sz="0" w:space="0" w:color="auto"/>
        <w:bottom w:val="none" w:sz="0" w:space="0" w:color="auto"/>
        <w:right w:val="none" w:sz="0" w:space="0" w:color="auto"/>
      </w:divBdr>
    </w:div>
    <w:div w:id="950556021">
      <w:bodyDiv w:val="1"/>
      <w:marLeft w:val="0"/>
      <w:marRight w:val="0"/>
      <w:marTop w:val="0"/>
      <w:marBottom w:val="0"/>
      <w:divBdr>
        <w:top w:val="none" w:sz="0" w:space="0" w:color="auto"/>
        <w:left w:val="none" w:sz="0" w:space="0" w:color="auto"/>
        <w:bottom w:val="none" w:sz="0" w:space="0" w:color="auto"/>
        <w:right w:val="none" w:sz="0" w:space="0" w:color="auto"/>
      </w:divBdr>
    </w:div>
    <w:div w:id="961613058">
      <w:bodyDiv w:val="1"/>
      <w:marLeft w:val="0"/>
      <w:marRight w:val="0"/>
      <w:marTop w:val="0"/>
      <w:marBottom w:val="0"/>
      <w:divBdr>
        <w:top w:val="none" w:sz="0" w:space="0" w:color="auto"/>
        <w:left w:val="none" w:sz="0" w:space="0" w:color="auto"/>
        <w:bottom w:val="none" w:sz="0" w:space="0" w:color="auto"/>
        <w:right w:val="none" w:sz="0" w:space="0" w:color="auto"/>
      </w:divBdr>
      <w:divsChild>
        <w:div w:id="1183013208">
          <w:marLeft w:val="0"/>
          <w:marRight w:val="0"/>
          <w:marTop w:val="0"/>
          <w:marBottom w:val="0"/>
          <w:divBdr>
            <w:top w:val="none" w:sz="0" w:space="0" w:color="auto"/>
            <w:left w:val="none" w:sz="0" w:space="0" w:color="auto"/>
            <w:bottom w:val="none" w:sz="0" w:space="0" w:color="auto"/>
            <w:right w:val="none" w:sz="0" w:space="0" w:color="auto"/>
          </w:divBdr>
        </w:div>
        <w:div w:id="542985047">
          <w:marLeft w:val="0"/>
          <w:marRight w:val="0"/>
          <w:marTop w:val="0"/>
          <w:marBottom w:val="0"/>
          <w:divBdr>
            <w:top w:val="none" w:sz="0" w:space="0" w:color="auto"/>
            <w:left w:val="none" w:sz="0" w:space="0" w:color="auto"/>
            <w:bottom w:val="none" w:sz="0" w:space="0" w:color="auto"/>
            <w:right w:val="none" w:sz="0" w:space="0" w:color="auto"/>
          </w:divBdr>
        </w:div>
        <w:div w:id="1760638228">
          <w:marLeft w:val="0"/>
          <w:marRight w:val="0"/>
          <w:marTop w:val="0"/>
          <w:marBottom w:val="0"/>
          <w:divBdr>
            <w:top w:val="none" w:sz="0" w:space="0" w:color="auto"/>
            <w:left w:val="none" w:sz="0" w:space="0" w:color="auto"/>
            <w:bottom w:val="none" w:sz="0" w:space="0" w:color="auto"/>
            <w:right w:val="none" w:sz="0" w:space="0" w:color="auto"/>
          </w:divBdr>
        </w:div>
        <w:div w:id="1277982279">
          <w:marLeft w:val="0"/>
          <w:marRight w:val="0"/>
          <w:marTop w:val="0"/>
          <w:marBottom w:val="0"/>
          <w:divBdr>
            <w:top w:val="none" w:sz="0" w:space="0" w:color="auto"/>
            <w:left w:val="none" w:sz="0" w:space="0" w:color="auto"/>
            <w:bottom w:val="none" w:sz="0" w:space="0" w:color="auto"/>
            <w:right w:val="none" w:sz="0" w:space="0" w:color="auto"/>
          </w:divBdr>
        </w:div>
        <w:div w:id="1066998189">
          <w:marLeft w:val="0"/>
          <w:marRight w:val="0"/>
          <w:marTop w:val="0"/>
          <w:marBottom w:val="0"/>
          <w:divBdr>
            <w:top w:val="none" w:sz="0" w:space="0" w:color="auto"/>
            <w:left w:val="none" w:sz="0" w:space="0" w:color="auto"/>
            <w:bottom w:val="none" w:sz="0" w:space="0" w:color="auto"/>
            <w:right w:val="none" w:sz="0" w:space="0" w:color="auto"/>
          </w:divBdr>
        </w:div>
        <w:div w:id="154491051">
          <w:marLeft w:val="0"/>
          <w:marRight w:val="0"/>
          <w:marTop w:val="0"/>
          <w:marBottom w:val="0"/>
          <w:divBdr>
            <w:top w:val="none" w:sz="0" w:space="0" w:color="auto"/>
            <w:left w:val="none" w:sz="0" w:space="0" w:color="auto"/>
            <w:bottom w:val="none" w:sz="0" w:space="0" w:color="auto"/>
            <w:right w:val="none" w:sz="0" w:space="0" w:color="auto"/>
          </w:divBdr>
        </w:div>
      </w:divsChild>
    </w:div>
    <w:div w:id="1028143434">
      <w:bodyDiv w:val="1"/>
      <w:marLeft w:val="0"/>
      <w:marRight w:val="0"/>
      <w:marTop w:val="0"/>
      <w:marBottom w:val="0"/>
      <w:divBdr>
        <w:top w:val="none" w:sz="0" w:space="0" w:color="auto"/>
        <w:left w:val="none" w:sz="0" w:space="0" w:color="auto"/>
        <w:bottom w:val="none" w:sz="0" w:space="0" w:color="auto"/>
        <w:right w:val="none" w:sz="0" w:space="0" w:color="auto"/>
      </w:divBdr>
    </w:div>
    <w:div w:id="1052846211">
      <w:bodyDiv w:val="1"/>
      <w:marLeft w:val="0"/>
      <w:marRight w:val="0"/>
      <w:marTop w:val="0"/>
      <w:marBottom w:val="0"/>
      <w:divBdr>
        <w:top w:val="none" w:sz="0" w:space="0" w:color="auto"/>
        <w:left w:val="none" w:sz="0" w:space="0" w:color="auto"/>
        <w:bottom w:val="none" w:sz="0" w:space="0" w:color="auto"/>
        <w:right w:val="none" w:sz="0" w:space="0" w:color="auto"/>
      </w:divBdr>
    </w:div>
    <w:div w:id="1053307933">
      <w:bodyDiv w:val="1"/>
      <w:marLeft w:val="0"/>
      <w:marRight w:val="0"/>
      <w:marTop w:val="0"/>
      <w:marBottom w:val="0"/>
      <w:divBdr>
        <w:top w:val="none" w:sz="0" w:space="0" w:color="auto"/>
        <w:left w:val="none" w:sz="0" w:space="0" w:color="auto"/>
        <w:bottom w:val="none" w:sz="0" w:space="0" w:color="auto"/>
        <w:right w:val="none" w:sz="0" w:space="0" w:color="auto"/>
      </w:divBdr>
    </w:div>
    <w:div w:id="1059983142">
      <w:bodyDiv w:val="1"/>
      <w:marLeft w:val="0"/>
      <w:marRight w:val="0"/>
      <w:marTop w:val="0"/>
      <w:marBottom w:val="0"/>
      <w:divBdr>
        <w:top w:val="none" w:sz="0" w:space="0" w:color="auto"/>
        <w:left w:val="none" w:sz="0" w:space="0" w:color="auto"/>
        <w:bottom w:val="none" w:sz="0" w:space="0" w:color="auto"/>
        <w:right w:val="none" w:sz="0" w:space="0" w:color="auto"/>
      </w:divBdr>
    </w:div>
    <w:div w:id="1104884027">
      <w:bodyDiv w:val="1"/>
      <w:marLeft w:val="0"/>
      <w:marRight w:val="0"/>
      <w:marTop w:val="0"/>
      <w:marBottom w:val="0"/>
      <w:divBdr>
        <w:top w:val="none" w:sz="0" w:space="0" w:color="auto"/>
        <w:left w:val="none" w:sz="0" w:space="0" w:color="auto"/>
        <w:bottom w:val="none" w:sz="0" w:space="0" w:color="auto"/>
        <w:right w:val="none" w:sz="0" w:space="0" w:color="auto"/>
      </w:divBdr>
    </w:div>
    <w:div w:id="1149592686">
      <w:bodyDiv w:val="1"/>
      <w:marLeft w:val="0"/>
      <w:marRight w:val="0"/>
      <w:marTop w:val="0"/>
      <w:marBottom w:val="0"/>
      <w:divBdr>
        <w:top w:val="none" w:sz="0" w:space="0" w:color="auto"/>
        <w:left w:val="none" w:sz="0" w:space="0" w:color="auto"/>
        <w:bottom w:val="none" w:sz="0" w:space="0" w:color="auto"/>
        <w:right w:val="none" w:sz="0" w:space="0" w:color="auto"/>
      </w:divBdr>
    </w:div>
    <w:div w:id="1197696939">
      <w:bodyDiv w:val="1"/>
      <w:marLeft w:val="0"/>
      <w:marRight w:val="0"/>
      <w:marTop w:val="0"/>
      <w:marBottom w:val="0"/>
      <w:divBdr>
        <w:top w:val="none" w:sz="0" w:space="0" w:color="auto"/>
        <w:left w:val="none" w:sz="0" w:space="0" w:color="auto"/>
        <w:bottom w:val="none" w:sz="0" w:space="0" w:color="auto"/>
        <w:right w:val="none" w:sz="0" w:space="0" w:color="auto"/>
      </w:divBdr>
    </w:div>
    <w:div w:id="1233613875">
      <w:bodyDiv w:val="1"/>
      <w:marLeft w:val="0"/>
      <w:marRight w:val="0"/>
      <w:marTop w:val="0"/>
      <w:marBottom w:val="0"/>
      <w:divBdr>
        <w:top w:val="none" w:sz="0" w:space="0" w:color="auto"/>
        <w:left w:val="none" w:sz="0" w:space="0" w:color="auto"/>
        <w:bottom w:val="none" w:sz="0" w:space="0" w:color="auto"/>
        <w:right w:val="none" w:sz="0" w:space="0" w:color="auto"/>
      </w:divBdr>
    </w:div>
    <w:div w:id="1268125757">
      <w:bodyDiv w:val="1"/>
      <w:marLeft w:val="0"/>
      <w:marRight w:val="0"/>
      <w:marTop w:val="0"/>
      <w:marBottom w:val="0"/>
      <w:divBdr>
        <w:top w:val="none" w:sz="0" w:space="0" w:color="auto"/>
        <w:left w:val="none" w:sz="0" w:space="0" w:color="auto"/>
        <w:bottom w:val="none" w:sz="0" w:space="0" w:color="auto"/>
        <w:right w:val="none" w:sz="0" w:space="0" w:color="auto"/>
      </w:divBdr>
    </w:div>
    <w:div w:id="1330712625">
      <w:bodyDiv w:val="1"/>
      <w:marLeft w:val="0"/>
      <w:marRight w:val="0"/>
      <w:marTop w:val="0"/>
      <w:marBottom w:val="0"/>
      <w:divBdr>
        <w:top w:val="none" w:sz="0" w:space="0" w:color="auto"/>
        <w:left w:val="none" w:sz="0" w:space="0" w:color="auto"/>
        <w:bottom w:val="none" w:sz="0" w:space="0" w:color="auto"/>
        <w:right w:val="none" w:sz="0" w:space="0" w:color="auto"/>
      </w:divBdr>
      <w:divsChild>
        <w:div w:id="345790906">
          <w:marLeft w:val="547"/>
          <w:marRight w:val="0"/>
          <w:marTop w:val="0"/>
          <w:marBottom w:val="0"/>
          <w:divBdr>
            <w:top w:val="none" w:sz="0" w:space="0" w:color="auto"/>
            <w:left w:val="none" w:sz="0" w:space="0" w:color="auto"/>
            <w:bottom w:val="none" w:sz="0" w:space="0" w:color="auto"/>
            <w:right w:val="none" w:sz="0" w:space="0" w:color="auto"/>
          </w:divBdr>
        </w:div>
      </w:divsChild>
    </w:div>
    <w:div w:id="1357004730">
      <w:bodyDiv w:val="1"/>
      <w:marLeft w:val="0"/>
      <w:marRight w:val="0"/>
      <w:marTop w:val="0"/>
      <w:marBottom w:val="0"/>
      <w:divBdr>
        <w:top w:val="none" w:sz="0" w:space="0" w:color="auto"/>
        <w:left w:val="none" w:sz="0" w:space="0" w:color="auto"/>
        <w:bottom w:val="none" w:sz="0" w:space="0" w:color="auto"/>
        <w:right w:val="none" w:sz="0" w:space="0" w:color="auto"/>
      </w:divBdr>
    </w:div>
    <w:div w:id="1379628951">
      <w:bodyDiv w:val="1"/>
      <w:marLeft w:val="0"/>
      <w:marRight w:val="0"/>
      <w:marTop w:val="0"/>
      <w:marBottom w:val="0"/>
      <w:divBdr>
        <w:top w:val="none" w:sz="0" w:space="0" w:color="auto"/>
        <w:left w:val="none" w:sz="0" w:space="0" w:color="auto"/>
        <w:bottom w:val="none" w:sz="0" w:space="0" w:color="auto"/>
        <w:right w:val="none" w:sz="0" w:space="0" w:color="auto"/>
      </w:divBdr>
    </w:div>
    <w:div w:id="1386099033">
      <w:bodyDiv w:val="1"/>
      <w:marLeft w:val="0"/>
      <w:marRight w:val="0"/>
      <w:marTop w:val="0"/>
      <w:marBottom w:val="0"/>
      <w:divBdr>
        <w:top w:val="none" w:sz="0" w:space="0" w:color="auto"/>
        <w:left w:val="none" w:sz="0" w:space="0" w:color="auto"/>
        <w:bottom w:val="none" w:sz="0" w:space="0" w:color="auto"/>
        <w:right w:val="none" w:sz="0" w:space="0" w:color="auto"/>
      </w:divBdr>
    </w:div>
    <w:div w:id="1387023851">
      <w:bodyDiv w:val="1"/>
      <w:marLeft w:val="0"/>
      <w:marRight w:val="0"/>
      <w:marTop w:val="0"/>
      <w:marBottom w:val="0"/>
      <w:divBdr>
        <w:top w:val="none" w:sz="0" w:space="0" w:color="auto"/>
        <w:left w:val="none" w:sz="0" w:space="0" w:color="auto"/>
        <w:bottom w:val="none" w:sz="0" w:space="0" w:color="auto"/>
        <w:right w:val="none" w:sz="0" w:space="0" w:color="auto"/>
      </w:divBdr>
    </w:div>
    <w:div w:id="1389573969">
      <w:bodyDiv w:val="1"/>
      <w:marLeft w:val="0"/>
      <w:marRight w:val="0"/>
      <w:marTop w:val="0"/>
      <w:marBottom w:val="0"/>
      <w:divBdr>
        <w:top w:val="none" w:sz="0" w:space="0" w:color="auto"/>
        <w:left w:val="none" w:sz="0" w:space="0" w:color="auto"/>
        <w:bottom w:val="none" w:sz="0" w:space="0" w:color="auto"/>
        <w:right w:val="none" w:sz="0" w:space="0" w:color="auto"/>
      </w:divBdr>
    </w:div>
    <w:div w:id="1417897917">
      <w:bodyDiv w:val="1"/>
      <w:marLeft w:val="0"/>
      <w:marRight w:val="0"/>
      <w:marTop w:val="0"/>
      <w:marBottom w:val="0"/>
      <w:divBdr>
        <w:top w:val="none" w:sz="0" w:space="0" w:color="auto"/>
        <w:left w:val="none" w:sz="0" w:space="0" w:color="auto"/>
        <w:bottom w:val="none" w:sz="0" w:space="0" w:color="auto"/>
        <w:right w:val="none" w:sz="0" w:space="0" w:color="auto"/>
      </w:divBdr>
    </w:div>
    <w:div w:id="1491092224">
      <w:bodyDiv w:val="1"/>
      <w:marLeft w:val="0"/>
      <w:marRight w:val="0"/>
      <w:marTop w:val="0"/>
      <w:marBottom w:val="0"/>
      <w:divBdr>
        <w:top w:val="none" w:sz="0" w:space="0" w:color="auto"/>
        <w:left w:val="none" w:sz="0" w:space="0" w:color="auto"/>
        <w:bottom w:val="none" w:sz="0" w:space="0" w:color="auto"/>
        <w:right w:val="none" w:sz="0" w:space="0" w:color="auto"/>
      </w:divBdr>
    </w:div>
    <w:div w:id="1504932926">
      <w:bodyDiv w:val="1"/>
      <w:marLeft w:val="0"/>
      <w:marRight w:val="0"/>
      <w:marTop w:val="0"/>
      <w:marBottom w:val="0"/>
      <w:divBdr>
        <w:top w:val="none" w:sz="0" w:space="0" w:color="auto"/>
        <w:left w:val="none" w:sz="0" w:space="0" w:color="auto"/>
        <w:bottom w:val="none" w:sz="0" w:space="0" w:color="auto"/>
        <w:right w:val="none" w:sz="0" w:space="0" w:color="auto"/>
      </w:divBdr>
    </w:div>
    <w:div w:id="1512180328">
      <w:bodyDiv w:val="1"/>
      <w:marLeft w:val="0"/>
      <w:marRight w:val="0"/>
      <w:marTop w:val="0"/>
      <w:marBottom w:val="0"/>
      <w:divBdr>
        <w:top w:val="none" w:sz="0" w:space="0" w:color="auto"/>
        <w:left w:val="none" w:sz="0" w:space="0" w:color="auto"/>
        <w:bottom w:val="none" w:sz="0" w:space="0" w:color="auto"/>
        <w:right w:val="none" w:sz="0" w:space="0" w:color="auto"/>
      </w:divBdr>
    </w:div>
    <w:div w:id="1515068430">
      <w:bodyDiv w:val="1"/>
      <w:marLeft w:val="0"/>
      <w:marRight w:val="0"/>
      <w:marTop w:val="0"/>
      <w:marBottom w:val="0"/>
      <w:divBdr>
        <w:top w:val="none" w:sz="0" w:space="0" w:color="auto"/>
        <w:left w:val="none" w:sz="0" w:space="0" w:color="auto"/>
        <w:bottom w:val="none" w:sz="0" w:space="0" w:color="auto"/>
        <w:right w:val="none" w:sz="0" w:space="0" w:color="auto"/>
      </w:divBdr>
    </w:div>
    <w:div w:id="1539587190">
      <w:bodyDiv w:val="1"/>
      <w:marLeft w:val="0"/>
      <w:marRight w:val="0"/>
      <w:marTop w:val="0"/>
      <w:marBottom w:val="0"/>
      <w:divBdr>
        <w:top w:val="none" w:sz="0" w:space="0" w:color="auto"/>
        <w:left w:val="none" w:sz="0" w:space="0" w:color="auto"/>
        <w:bottom w:val="none" w:sz="0" w:space="0" w:color="auto"/>
        <w:right w:val="none" w:sz="0" w:space="0" w:color="auto"/>
      </w:divBdr>
    </w:div>
    <w:div w:id="1540507883">
      <w:bodyDiv w:val="1"/>
      <w:marLeft w:val="0"/>
      <w:marRight w:val="0"/>
      <w:marTop w:val="0"/>
      <w:marBottom w:val="0"/>
      <w:divBdr>
        <w:top w:val="none" w:sz="0" w:space="0" w:color="auto"/>
        <w:left w:val="none" w:sz="0" w:space="0" w:color="auto"/>
        <w:bottom w:val="none" w:sz="0" w:space="0" w:color="auto"/>
        <w:right w:val="none" w:sz="0" w:space="0" w:color="auto"/>
      </w:divBdr>
    </w:div>
    <w:div w:id="1611232738">
      <w:bodyDiv w:val="1"/>
      <w:marLeft w:val="0"/>
      <w:marRight w:val="0"/>
      <w:marTop w:val="0"/>
      <w:marBottom w:val="0"/>
      <w:divBdr>
        <w:top w:val="none" w:sz="0" w:space="0" w:color="auto"/>
        <w:left w:val="none" w:sz="0" w:space="0" w:color="auto"/>
        <w:bottom w:val="none" w:sz="0" w:space="0" w:color="auto"/>
        <w:right w:val="none" w:sz="0" w:space="0" w:color="auto"/>
      </w:divBdr>
    </w:div>
    <w:div w:id="1631283006">
      <w:bodyDiv w:val="1"/>
      <w:marLeft w:val="0"/>
      <w:marRight w:val="0"/>
      <w:marTop w:val="0"/>
      <w:marBottom w:val="0"/>
      <w:divBdr>
        <w:top w:val="none" w:sz="0" w:space="0" w:color="auto"/>
        <w:left w:val="none" w:sz="0" w:space="0" w:color="auto"/>
        <w:bottom w:val="none" w:sz="0" w:space="0" w:color="auto"/>
        <w:right w:val="none" w:sz="0" w:space="0" w:color="auto"/>
      </w:divBdr>
    </w:div>
    <w:div w:id="1651402126">
      <w:bodyDiv w:val="1"/>
      <w:marLeft w:val="0"/>
      <w:marRight w:val="0"/>
      <w:marTop w:val="0"/>
      <w:marBottom w:val="0"/>
      <w:divBdr>
        <w:top w:val="none" w:sz="0" w:space="0" w:color="auto"/>
        <w:left w:val="none" w:sz="0" w:space="0" w:color="auto"/>
        <w:bottom w:val="none" w:sz="0" w:space="0" w:color="auto"/>
        <w:right w:val="none" w:sz="0" w:space="0" w:color="auto"/>
      </w:divBdr>
    </w:div>
    <w:div w:id="1660697386">
      <w:bodyDiv w:val="1"/>
      <w:marLeft w:val="0"/>
      <w:marRight w:val="0"/>
      <w:marTop w:val="0"/>
      <w:marBottom w:val="0"/>
      <w:divBdr>
        <w:top w:val="none" w:sz="0" w:space="0" w:color="auto"/>
        <w:left w:val="none" w:sz="0" w:space="0" w:color="auto"/>
        <w:bottom w:val="none" w:sz="0" w:space="0" w:color="auto"/>
        <w:right w:val="none" w:sz="0" w:space="0" w:color="auto"/>
      </w:divBdr>
    </w:div>
    <w:div w:id="1702586408">
      <w:bodyDiv w:val="1"/>
      <w:marLeft w:val="0"/>
      <w:marRight w:val="0"/>
      <w:marTop w:val="0"/>
      <w:marBottom w:val="0"/>
      <w:divBdr>
        <w:top w:val="none" w:sz="0" w:space="0" w:color="auto"/>
        <w:left w:val="none" w:sz="0" w:space="0" w:color="auto"/>
        <w:bottom w:val="none" w:sz="0" w:space="0" w:color="auto"/>
        <w:right w:val="none" w:sz="0" w:space="0" w:color="auto"/>
      </w:divBdr>
    </w:div>
    <w:div w:id="1716812157">
      <w:bodyDiv w:val="1"/>
      <w:marLeft w:val="0"/>
      <w:marRight w:val="0"/>
      <w:marTop w:val="0"/>
      <w:marBottom w:val="0"/>
      <w:divBdr>
        <w:top w:val="none" w:sz="0" w:space="0" w:color="auto"/>
        <w:left w:val="none" w:sz="0" w:space="0" w:color="auto"/>
        <w:bottom w:val="none" w:sz="0" w:space="0" w:color="auto"/>
        <w:right w:val="none" w:sz="0" w:space="0" w:color="auto"/>
      </w:divBdr>
    </w:div>
    <w:div w:id="1736858856">
      <w:bodyDiv w:val="1"/>
      <w:marLeft w:val="0"/>
      <w:marRight w:val="0"/>
      <w:marTop w:val="0"/>
      <w:marBottom w:val="0"/>
      <w:divBdr>
        <w:top w:val="none" w:sz="0" w:space="0" w:color="auto"/>
        <w:left w:val="none" w:sz="0" w:space="0" w:color="auto"/>
        <w:bottom w:val="none" w:sz="0" w:space="0" w:color="auto"/>
        <w:right w:val="none" w:sz="0" w:space="0" w:color="auto"/>
      </w:divBdr>
    </w:div>
    <w:div w:id="1740979006">
      <w:bodyDiv w:val="1"/>
      <w:marLeft w:val="0"/>
      <w:marRight w:val="0"/>
      <w:marTop w:val="0"/>
      <w:marBottom w:val="0"/>
      <w:divBdr>
        <w:top w:val="none" w:sz="0" w:space="0" w:color="auto"/>
        <w:left w:val="none" w:sz="0" w:space="0" w:color="auto"/>
        <w:bottom w:val="none" w:sz="0" w:space="0" w:color="auto"/>
        <w:right w:val="none" w:sz="0" w:space="0" w:color="auto"/>
      </w:divBdr>
    </w:div>
    <w:div w:id="1837258058">
      <w:bodyDiv w:val="1"/>
      <w:marLeft w:val="0"/>
      <w:marRight w:val="0"/>
      <w:marTop w:val="0"/>
      <w:marBottom w:val="0"/>
      <w:divBdr>
        <w:top w:val="none" w:sz="0" w:space="0" w:color="auto"/>
        <w:left w:val="none" w:sz="0" w:space="0" w:color="auto"/>
        <w:bottom w:val="none" w:sz="0" w:space="0" w:color="auto"/>
        <w:right w:val="none" w:sz="0" w:space="0" w:color="auto"/>
      </w:divBdr>
    </w:div>
    <w:div w:id="1866560063">
      <w:bodyDiv w:val="1"/>
      <w:marLeft w:val="0"/>
      <w:marRight w:val="0"/>
      <w:marTop w:val="0"/>
      <w:marBottom w:val="0"/>
      <w:divBdr>
        <w:top w:val="none" w:sz="0" w:space="0" w:color="auto"/>
        <w:left w:val="none" w:sz="0" w:space="0" w:color="auto"/>
        <w:bottom w:val="none" w:sz="0" w:space="0" w:color="auto"/>
        <w:right w:val="none" w:sz="0" w:space="0" w:color="auto"/>
      </w:divBdr>
    </w:div>
    <w:div w:id="1870222025">
      <w:bodyDiv w:val="1"/>
      <w:marLeft w:val="0"/>
      <w:marRight w:val="0"/>
      <w:marTop w:val="0"/>
      <w:marBottom w:val="0"/>
      <w:divBdr>
        <w:top w:val="none" w:sz="0" w:space="0" w:color="auto"/>
        <w:left w:val="none" w:sz="0" w:space="0" w:color="auto"/>
        <w:bottom w:val="none" w:sz="0" w:space="0" w:color="auto"/>
        <w:right w:val="none" w:sz="0" w:space="0" w:color="auto"/>
      </w:divBdr>
      <w:divsChild>
        <w:div w:id="171842608">
          <w:marLeft w:val="0"/>
          <w:marRight w:val="0"/>
          <w:marTop w:val="83"/>
          <w:marBottom w:val="0"/>
          <w:divBdr>
            <w:top w:val="none" w:sz="0" w:space="0" w:color="auto"/>
            <w:left w:val="none" w:sz="0" w:space="0" w:color="auto"/>
            <w:bottom w:val="none" w:sz="0" w:space="0" w:color="auto"/>
            <w:right w:val="none" w:sz="0" w:space="0" w:color="auto"/>
          </w:divBdr>
        </w:div>
        <w:div w:id="1936551143">
          <w:marLeft w:val="0"/>
          <w:marRight w:val="0"/>
          <w:marTop w:val="83"/>
          <w:marBottom w:val="0"/>
          <w:divBdr>
            <w:top w:val="none" w:sz="0" w:space="0" w:color="auto"/>
            <w:left w:val="none" w:sz="0" w:space="0" w:color="auto"/>
            <w:bottom w:val="none" w:sz="0" w:space="0" w:color="auto"/>
            <w:right w:val="none" w:sz="0" w:space="0" w:color="auto"/>
          </w:divBdr>
        </w:div>
      </w:divsChild>
    </w:div>
    <w:div w:id="1943222581">
      <w:bodyDiv w:val="1"/>
      <w:marLeft w:val="0"/>
      <w:marRight w:val="0"/>
      <w:marTop w:val="0"/>
      <w:marBottom w:val="0"/>
      <w:divBdr>
        <w:top w:val="none" w:sz="0" w:space="0" w:color="auto"/>
        <w:left w:val="none" w:sz="0" w:space="0" w:color="auto"/>
        <w:bottom w:val="none" w:sz="0" w:space="0" w:color="auto"/>
        <w:right w:val="none" w:sz="0" w:space="0" w:color="auto"/>
      </w:divBdr>
    </w:div>
    <w:div w:id="2004048810">
      <w:bodyDiv w:val="1"/>
      <w:marLeft w:val="0"/>
      <w:marRight w:val="0"/>
      <w:marTop w:val="0"/>
      <w:marBottom w:val="0"/>
      <w:divBdr>
        <w:top w:val="none" w:sz="0" w:space="0" w:color="auto"/>
        <w:left w:val="none" w:sz="0" w:space="0" w:color="auto"/>
        <w:bottom w:val="none" w:sz="0" w:space="0" w:color="auto"/>
        <w:right w:val="none" w:sz="0" w:space="0" w:color="auto"/>
      </w:divBdr>
    </w:div>
    <w:div w:id="2009483506">
      <w:bodyDiv w:val="1"/>
      <w:marLeft w:val="0"/>
      <w:marRight w:val="0"/>
      <w:marTop w:val="0"/>
      <w:marBottom w:val="0"/>
      <w:divBdr>
        <w:top w:val="none" w:sz="0" w:space="0" w:color="auto"/>
        <w:left w:val="none" w:sz="0" w:space="0" w:color="auto"/>
        <w:bottom w:val="none" w:sz="0" w:space="0" w:color="auto"/>
        <w:right w:val="none" w:sz="0" w:space="0" w:color="auto"/>
      </w:divBdr>
    </w:div>
    <w:div w:id="2054188721">
      <w:bodyDiv w:val="1"/>
      <w:marLeft w:val="0"/>
      <w:marRight w:val="0"/>
      <w:marTop w:val="0"/>
      <w:marBottom w:val="0"/>
      <w:divBdr>
        <w:top w:val="none" w:sz="0" w:space="0" w:color="auto"/>
        <w:left w:val="none" w:sz="0" w:space="0" w:color="auto"/>
        <w:bottom w:val="none" w:sz="0" w:space="0" w:color="auto"/>
        <w:right w:val="none" w:sz="0" w:space="0" w:color="auto"/>
      </w:divBdr>
    </w:div>
    <w:div w:id="2061897746">
      <w:bodyDiv w:val="1"/>
      <w:marLeft w:val="0"/>
      <w:marRight w:val="0"/>
      <w:marTop w:val="0"/>
      <w:marBottom w:val="0"/>
      <w:divBdr>
        <w:top w:val="none" w:sz="0" w:space="0" w:color="auto"/>
        <w:left w:val="none" w:sz="0" w:space="0" w:color="auto"/>
        <w:bottom w:val="none" w:sz="0" w:space="0" w:color="auto"/>
        <w:right w:val="none" w:sz="0" w:space="0" w:color="auto"/>
      </w:divBdr>
    </w:div>
    <w:div w:id="2111779785">
      <w:bodyDiv w:val="1"/>
      <w:marLeft w:val="0"/>
      <w:marRight w:val="0"/>
      <w:marTop w:val="0"/>
      <w:marBottom w:val="0"/>
      <w:divBdr>
        <w:top w:val="none" w:sz="0" w:space="0" w:color="auto"/>
        <w:left w:val="none" w:sz="0" w:space="0" w:color="auto"/>
        <w:bottom w:val="none" w:sz="0" w:space="0" w:color="auto"/>
        <w:right w:val="none" w:sz="0" w:space="0" w:color="auto"/>
      </w:divBdr>
    </w:div>
    <w:div w:id="2124877897">
      <w:bodyDiv w:val="1"/>
      <w:marLeft w:val="0"/>
      <w:marRight w:val="0"/>
      <w:marTop w:val="0"/>
      <w:marBottom w:val="0"/>
      <w:divBdr>
        <w:top w:val="none" w:sz="0" w:space="0" w:color="auto"/>
        <w:left w:val="none" w:sz="0" w:space="0" w:color="auto"/>
        <w:bottom w:val="none" w:sz="0" w:space="0" w:color="auto"/>
        <w:right w:val="none" w:sz="0" w:space="0" w:color="auto"/>
      </w:divBdr>
    </w:div>
    <w:div w:id="2132622980">
      <w:bodyDiv w:val="1"/>
      <w:marLeft w:val="0"/>
      <w:marRight w:val="0"/>
      <w:marTop w:val="0"/>
      <w:marBottom w:val="0"/>
      <w:divBdr>
        <w:top w:val="none" w:sz="0" w:space="0" w:color="auto"/>
        <w:left w:val="none" w:sz="0" w:space="0" w:color="auto"/>
        <w:bottom w:val="none" w:sz="0" w:space="0" w:color="auto"/>
        <w:right w:val="none" w:sz="0" w:space="0" w:color="auto"/>
      </w:divBdr>
      <w:divsChild>
        <w:div w:id="1774402944">
          <w:marLeft w:val="0"/>
          <w:marRight w:val="0"/>
          <w:marTop w:val="0"/>
          <w:marBottom w:val="0"/>
          <w:divBdr>
            <w:top w:val="none" w:sz="0" w:space="0" w:color="auto"/>
            <w:left w:val="none" w:sz="0" w:space="0" w:color="auto"/>
            <w:bottom w:val="none" w:sz="0" w:space="0" w:color="auto"/>
            <w:right w:val="none" w:sz="0" w:space="0" w:color="auto"/>
          </w:divBdr>
        </w:div>
      </w:divsChild>
    </w:div>
    <w:div w:id="213601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10.xml"/><Relationship Id="rId21" Type="http://schemas.openxmlformats.org/officeDocument/2006/relationships/image" Target="media/image2.png"/><Relationship Id="rId22" Type="http://schemas.openxmlformats.org/officeDocument/2006/relationships/image" Target="media/image3.png"/><Relationship Id="rId23" Type="http://schemas.openxmlformats.org/officeDocument/2006/relationships/hyperlink" Target="https://en.wikipedia.org/wiki/Right_to_fair_trial" TargetMode="External"/><Relationship Id="rId24" Type="http://schemas.openxmlformats.org/officeDocument/2006/relationships/hyperlink" Target="https://en.wikipedia.org/wiki/Unicameralism" TargetMode="External"/><Relationship Id="rId25" Type="http://schemas.openxmlformats.org/officeDocument/2006/relationships/hyperlink" Target="https://en.wikipedia.org/wiki/New_Zealand_Parliament" TargetMode="External"/><Relationship Id="rId26" Type="http://schemas.openxmlformats.org/officeDocument/2006/relationships/hyperlink" Target="https://en.wikipedia.org/wiki/Cabinet_of_New_Zealand" TargetMode="External"/><Relationship Id="rId27" Type="http://schemas.openxmlformats.org/officeDocument/2006/relationships/hyperlink" Target="https://en.wikipedia.org/wiki/Prime_Minister_of_New_Zealand" TargetMode="External"/><Relationship Id="rId28" Type="http://schemas.openxmlformats.org/officeDocument/2006/relationships/hyperlink" Target="http://www.treasury.govt.nz/budget/2017/estimates" TargetMode="External"/><Relationship Id="rId29" Type="http://schemas.openxmlformats.org/officeDocument/2006/relationships/hyperlink" Target="http://www.treasury.govt.nz"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budget.govt.nz/" TargetMode="External"/><Relationship Id="rId31" Type="http://schemas.openxmlformats.org/officeDocument/2006/relationships/hyperlink" Target="http://www.stuff.co.nz/dominion-post/comment/editorials/10640015/Editorial-Abuse-of-OIA-disgraceful" TargetMode="External"/><Relationship Id="rId32" Type="http://schemas.openxmlformats.org/officeDocument/2006/relationships/hyperlink" Target="http://www.legislation.govt.nz/glossary.aspx" TargetMode="Externa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irm@opengovpartnership.org" TargetMode="External"/><Relationship Id="rId34" Type="http://schemas.openxmlformats.org/officeDocument/2006/relationships/fontTable" Target="fontTable.xml"/><Relationship Id="rId35" Type="http://schemas.openxmlformats.org/officeDocument/2006/relationships/theme" Target="theme/theme1.xml"/><Relationship Id="rId36" Type="http://schemas.microsoft.com/office/2011/relationships/commentsExtended" Target="commentsExtended.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image" Target="media/image1.png"/><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footer" Target="footer9.xml"/><Relationship Id="rId37" Type="http://schemas.microsoft.com/office/2016/09/relationships/commentsIds" Target="commentsIds.xml"/><Relationship Id="rId38" Type="http://schemas.microsoft.com/office/2011/relationships/people" Target="people.xml"/></Relationships>
</file>

<file path=word/_rels/endnotes.xml.rels><?xml version="1.0" encoding="UTF-8" standalone="yes"?>
<Relationships xmlns="http://schemas.openxmlformats.org/package/2006/relationships"><Relationship Id="rId11" Type="http://schemas.openxmlformats.org/officeDocument/2006/relationships/hyperlink" Target="http://www.pco.govt.nz/drafting-agencies/" TargetMode="External"/><Relationship Id="rId12" Type="http://schemas.openxmlformats.org/officeDocument/2006/relationships/hyperlink" Target="http://bit.ly/13vGtqS" TargetMode="External"/><Relationship Id="rId13" Type="http://schemas.openxmlformats.org/officeDocument/2006/relationships/hyperlink" Target="http://bit.ly/18kEzCt" TargetMode="External"/><Relationship Id="rId1" Type="http://schemas.openxmlformats.org/officeDocument/2006/relationships/hyperlink" Target="http://bit.ly/2AfrdZw" TargetMode="External"/><Relationship Id="rId2" Type="http://schemas.openxmlformats.org/officeDocument/2006/relationships/hyperlink" Target="http://www.ssc.govt.nz/sites/all/files/cab-paper-erd(13)-25-join-ogp.pdf" TargetMode="External"/><Relationship Id="rId3" Type="http://schemas.openxmlformats.org/officeDocument/2006/relationships/hyperlink" Target="http://ssc.govt.nz/sites/all/files/ogp-action-plan-cab-paper-upjul17.pdf" TargetMode="External"/><Relationship Id="rId4" Type="http://schemas.openxmlformats.org/officeDocument/2006/relationships/hyperlink" Target="http://ssc.govt.nz/sites/all/files/ogp-action-plan-cab-min-upjul17.pdf" TargetMode="External"/><Relationship Id="rId5" Type="http://schemas.openxmlformats.org/officeDocument/2006/relationships/hyperlink" Target="http://bit.ly/1oJVF4V" TargetMode="External"/><Relationship Id="rId6" Type="http://schemas.openxmlformats.org/officeDocument/2006/relationships/hyperlink" Target="http://bit.ly/2uZA7rR" TargetMode="External"/><Relationship Id="rId7" Type="http://schemas.openxmlformats.org/officeDocument/2006/relationships/hyperlink" Target="http://www.treasury.govt.nz/publications/informationreleases/ogp/towards-open-budget-may17.pdf" TargetMode="External"/><Relationship Id="rId8" Type="http://schemas.openxmlformats.org/officeDocument/2006/relationships/hyperlink" Target="http://www.treasury.govt.nz/budget/2017" TargetMode="External"/><Relationship Id="rId9" Type="http://schemas.openxmlformats.org/officeDocument/2006/relationships/hyperlink" Target="http://www.ombudsman.parliament.nz/resources-and-publications/oia-complaints-data" TargetMode="External"/><Relationship Id="rId10" Type="http://schemas.openxmlformats.org/officeDocument/2006/relationships/hyperlink" Target="https://www.data.govt.nz/blog/open-data-charter/" TargetMode="External"/></Relationships>
</file>

<file path=word/theme/theme1.xml><?xml version="1.0" encoding="utf-8"?>
<a:theme xmlns:a="http://schemas.openxmlformats.org/drawingml/2006/main" name="IRM Report">
  <a:themeElements>
    <a:clrScheme name="OGP Theme">
      <a:dk1>
        <a:srgbClr val="000000"/>
      </a:dk1>
      <a:lt1>
        <a:srgbClr val="FFFFFF"/>
      </a:lt1>
      <a:dk2>
        <a:srgbClr val="3C6EA4"/>
      </a:dk2>
      <a:lt2>
        <a:srgbClr val="98A795"/>
      </a:lt2>
      <a:accent1>
        <a:srgbClr val="E68723"/>
      </a:accent1>
      <a:accent2>
        <a:srgbClr val="51A534"/>
      </a:accent2>
      <a:accent3>
        <a:srgbClr val="173B42"/>
      </a:accent3>
      <a:accent4>
        <a:srgbClr val="98A795"/>
      </a:accent4>
      <a:accent5>
        <a:srgbClr val="4BACC6"/>
      </a:accent5>
      <a:accent6>
        <a:srgbClr val="F79646"/>
      </a:accent6>
      <a:hlink>
        <a:srgbClr val="3B70AA"/>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A0C68-C1CF-1D4F-A3F5-FB18EC1B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23192</Words>
  <Characters>132197</Characters>
  <Application>Microsoft Macintosh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Open Government Partnership</Company>
  <LinksUpToDate>false</LinksUpToDate>
  <CharactersWithSpaces>155079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Preston Whitt</dc:creator>
  <cp:lastModifiedBy>Laura Vossler</cp:lastModifiedBy>
  <cp:revision>2</cp:revision>
  <cp:lastPrinted>2017-12-20T03:23:00Z</cp:lastPrinted>
  <dcterms:created xsi:type="dcterms:W3CDTF">2018-01-19T21:32:00Z</dcterms:created>
  <dcterms:modified xsi:type="dcterms:W3CDTF">2018-01-19T21:32:00Z</dcterms:modified>
</cp:coreProperties>
</file>