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E9" w:rsidRPr="005725C2" w:rsidRDefault="00C72CE9" w:rsidP="00FF7EC2">
      <w:pPr>
        <w:tabs>
          <w:tab w:val="left" w:pos="0"/>
        </w:tabs>
        <w:spacing w:line="240" w:lineRule="auto"/>
        <w:jc w:val="center"/>
        <w:rPr>
          <w:rFonts w:ascii="StobiSerif Regular" w:hAnsi="StobiSerif Regular" w:cs="Tahoma"/>
          <w:lang w:val="mk-MK"/>
        </w:rPr>
      </w:pPr>
      <w:bookmarkStart w:id="0" w:name="_GoBack"/>
      <w:bookmarkEnd w:id="0"/>
      <w:r w:rsidRPr="005725C2">
        <w:rPr>
          <w:rFonts w:ascii="StobiSerif Regular" w:hAnsi="StobiSerif Regular" w:cs="Tahoma"/>
          <w:noProof/>
        </w:rPr>
        <w:drawing>
          <wp:inline distT="0" distB="0" distL="0" distR="0">
            <wp:extent cx="551815" cy="594995"/>
            <wp:effectExtent l="0" t="0" r="635" b="0"/>
            <wp:docPr id="1" name="Picture 1" descr="Description: 558px-Coat_of_arms_of_the_Republic_of_Macedonia_sv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558px-Coat_of_arms_of_the_Republic_of_Macedonia_svg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94995"/>
                    </a:xfrm>
                    <a:prstGeom prst="rect">
                      <a:avLst/>
                    </a:prstGeom>
                    <a:noFill/>
                    <a:ln>
                      <a:noFill/>
                    </a:ln>
                  </pic:spPr>
                </pic:pic>
              </a:graphicData>
            </a:graphic>
          </wp:inline>
        </w:drawing>
      </w:r>
    </w:p>
    <w:p w:rsidR="00C72CE9" w:rsidRPr="005725C2" w:rsidRDefault="00C72CE9" w:rsidP="00FF7EC2">
      <w:pPr>
        <w:spacing w:line="240" w:lineRule="auto"/>
        <w:jc w:val="center"/>
        <w:rPr>
          <w:rFonts w:ascii="StobiSerif Regular" w:hAnsi="StobiSerif Regular" w:cs="Tahoma"/>
          <w:lang w:val="mk-MK"/>
        </w:rPr>
      </w:pPr>
      <w:r w:rsidRPr="005725C2">
        <w:rPr>
          <w:rFonts w:ascii="StobiSerif Regular" w:hAnsi="StobiSerif Regular" w:cs="Tahoma"/>
          <w:lang w:val="mk-MK"/>
        </w:rPr>
        <w:t xml:space="preserve"> Република  Македонија</w:t>
      </w:r>
    </w:p>
    <w:p w:rsidR="00C72CE9" w:rsidRPr="005725C2" w:rsidRDefault="00C72CE9" w:rsidP="00FF7EC2">
      <w:pPr>
        <w:spacing w:line="240" w:lineRule="auto"/>
        <w:jc w:val="center"/>
        <w:rPr>
          <w:rFonts w:ascii="StobiSerif Regular" w:hAnsi="StobiSerif Regular" w:cs="Tahoma"/>
          <w:lang w:val="mk-MK"/>
        </w:rPr>
      </w:pPr>
      <w:r w:rsidRPr="005725C2">
        <w:rPr>
          <w:rFonts w:ascii="StobiSerif Regular" w:hAnsi="StobiSerif Regular" w:cs="Tahoma"/>
          <w:lang w:val="mk-MK"/>
        </w:rPr>
        <w:t xml:space="preserve">        Министерство за информатичко општество и администрација</w:t>
      </w:r>
    </w:p>
    <w:p w:rsidR="00C72CE9" w:rsidRPr="00232275" w:rsidRDefault="00C72CE9" w:rsidP="00FF7EC2">
      <w:pPr>
        <w:spacing w:line="240" w:lineRule="auto"/>
        <w:ind w:left="-360"/>
        <w:jc w:val="center"/>
        <w:rPr>
          <w:rFonts w:ascii="StobiSerif Regular" w:hAnsi="StobiSerif Regular" w:cs="Tahoma"/>
          <w:lang w:val="mk-MK"/>
        </w:rPr>
      </w:pPr>
    </w:p>
    <w:p w:rsidR="00C72CE9" w:rsidRPr="00232275" w:rsidRDefault="00C72CE9" w:rsidP="00FF7EC2">
      <w:pPr>
        <w:spacing w:line="240" w:lineRule="auto"/>
        <w:ind w:left="-360"/>
        <w:jc w:val="center"/>
        <w:rPr>
          <w:rFonts w:ascii="StobiSerif Regular" w:hAnsi="StobiSerif Regular" w:cs="Tahoma"/>
          <w:lang w:val="mk-MK"/>
        </w:rPr>
      </w:pPr>
    </w:p>
    <w:p w:rsidR="00C72CE9" w:rsidRPr="00232275" w:rsidRDefault="00C72CE9" w:rsidP="00FF7EC2">
      <w:pPr>
        <w:spacing w:line="240" w:lineRule="auto"/>
        <w:ind w:left="-360"/>
        <w:jc w:val="center"/>
        <w:rPr>
          <w:rFonts w:ascii="StobiSerif Regular" w:hAnsi="StobiSerif Regular" w:cs="Tahoma"/>
          <w:lang w:val="mk-MK"/>
        </w:rPr>
      </w:pPr>
    </w:p>
    <w:p w:rsidR="00C72CE9" w:rsidRPr="00232275" w:rsidRDefault="00C72CE9" w:rsidP="00FF7EC2">
      <w:pPr>
        <w:tabs>
          <w:tab w:val="left" w:pos="1710"/>
        </w:tabs>
        <w:spacing w:line="240" w:lineRule="auto"/>
        <w:ind w:left="-360"/>
        <w:rPr>
          <w:rFonts w:ascii="StobiSerif Regular" w:hAnsi="StobiSerif Regular" w:cs="Tahoma"/>
          <w:lang w:val="mk-MK"/>
        </w:rPr>
      </w:pPr>
    </w:p>
    <w:p w:rsidR="00FF7EC2" w:rsidRPr="00232275" w:rsidRDefault="00FF7EC2" w:rsidP="00FF7EC2">
      <w:pPr>
        <w:tabs>
          <w:tab w:val="left" w:pos="1710"/>
        </w:tabs>
        <w:spacing w:line="240" w:lineRule="auto"/>
        <w:ind w:left="-360"/>
        <w:rPr>
          <w:rFonts w:ascii="StobiSerif Regular" w:hAnsi="StobiSerif Regular" w:cs="Tahoma"/>
          <w:lang w:val="mk-MK"/>
        </w:rPr>
      </w:pPr>
    </w:p>
    <w:p w:rsidR="00FF7EC2" w:rsidRPr="00232275" w:rsidRDefault="00FF7EC2" w:rsidP="00FF7EC2">
      <w:pPr>
        <w:tabs>
          <w:tab w:val="left" w:pos="1710"/>
        </w:tabs>
        <w:spacing w:line="240" w:lineRule="auto"/>
        <w:ind w:left="-360"/>
        <w:rPr>
          <w:rFonts w:ascii="StobiSerif Regular" w:hAnsi="StobiSerif Regular" w:cs="Tahoma"/>
          <w:lang w:val="mk-MK"/>
        </w:rPr>
      </w:pPr>
    </w:p>
    <w:p w:rsidR="00C72CE9" w:rsidRPr="00232275" w:rsidRDefault="00C72CE9" w:rsidP="00FF7EC2">
      <w:pPr>
        <w:tabs>
          <w:tab w:val="left" w:pos="1710"/>
        </w:tabs>
        <w:spacing w:line="240" w:lineRule="auto"/>
        <w:ind w:left="-360"/>
        <w:rPr>
          <w:rFonts w:ascii="StobiSerif Regular" w:hAnsi="StobiSerif Regular" w:cs="Tahoma"/>
          <w:lang w:val="mk-MK"/>
        </w:rPr>
      </w:pPr>
    </w:p>
    <w:p w:rsidR="00FF7EC2" w:rsidRPr="00232275" w:rsidRDefault="00FF7EC2" w:rsidP="00FF7EC2">
      <w:pPr>
        <w:tabs>
          <w:tab w:val="left" w:pos="1710"/>
        </w:tabs>
        <w:spacing w:line="240" w:lineRule="auto"/>
        <w:ind w:left="-360"/>
        <w:rPr>
          <w:rFonts w:ascii="StobiSerif Regular" w:hAnsi="StobiSerif Regular" w:cs="Tahoma"/>
          <w:lang w:val="mk-MK"/>
        </w:rPr>
      </w:pPr>
    </w:p>
    <w:p w:rsidR="00C72CE9" w:rsidRPr="00232275" w:rsidRDefault="00C72CE9" w:rsidP="00FF7EC2">
      <w:pPr>
        <w:tabs>
          <w:tab w:val="left" w:pos="1710"/>
        </w:tabs>
        <w:spacing w:line="240" w:lineRule="auto"/>
        <w:ind w:left="-360"/>
        <w:rPr>
          <w:rFonts w:ascii="StobiSerif Regular" w:hAnsi="StobiSerif Regular" w:cs="Tahoma"/>
          <w:lang w:val="mk-MK"/>
        </w:rPr>
      </w:pPr>
    </w:p>
    <w:p w:rsidR="00C72CE9" w:rsidRPr="00232275" w:rsidRDefault="009352DB" w:rsidP="00FF7EC2">
      <w:pPr>
        <w:spacing w:line="240" w:lineRule="auto"/>
        <w:ind w:left="-360"/>
        <w:jc w:val="center"/>
        <w:rPr>
          <w:rFonts w:ascii="StobiSerif Regular" w:hAnsi="StobiSerif Regular" w:cs="Tahoma"/>
          <w:lang w:val="mk-MK"/>
        </w:rPr>
      </w:pPr>
      <w:r w:rsidRPr="009352DB">
        <w:rPr>
          <w:rFonts w:ascii="StobiSerif Regular" w:hAnsi="StobiSerif Regular" w:cs="Tahoma"/>
          <w:lang w:val="mk-MK"/>
        </w:rPr>
        <w:t>ИНФОРМАЦИЈА ЗА РЕЗУЛТАТИТЕ НА РАБОТНАТА ГРУПА ЗА ИМПЛЕМЕНТИРАЊЕ НА АКЦИСКИОТ ПЛАН ЗА ОТВОРЕНО ВЛАДИНО ПАРТНЕРСТВО 201</w:t>
      </w:r>
      <w:r>
        <w:rPr>
          <w:rFonts w:ascii="StobiSerif Regular" w:hAnsi="StobiSerif Regular" w:cs="Tahoma"/>
        </w:rPr>
        <w:t>6</w:t>
      </w:r>
      <w:r w:rsidRPr="009352DB">
        <w:rPr>
          <w:rFonts w:ascii="StobiSerif Regular" w:hAnsi="StobiSerif Regular" w:cs="Tahoma"/>
          <w:lang w:val="mk-MK"/>
        </w:rPr>
        <w:t>-201</w:t>
      </w:r>
      <w:r>
        <w:rPr>
          <w:rFonts w:ascii="StobiSerif Regular" w:hAnsi="StobiSerif Regular" w:cs="Tahoma"/>
        </w:rPr>
        <w:t>8</w:t>
      </w:r>
      <w:r w:rsidRPr="009352DB">
        <w:rPr>
          <w:rFonts w:ascii="StobiSerif Regular" w:hAnsi="StobiSerif Regular" w:cs="Tahoma"/>
          <w:lang w:val="mk-MK"/>
        </w:rPr>
        <w:t xml:space="preserve"> ГОДИНА СО ФИНАЛЕН ИЗВЕШТАЈ ЗА САМООЦЕНУВАЊЕ</w:t>
      </w:r>
    </w:p>
    <w:p w:rsidR="00C72CE9" w:rsidRPr="00232275" w:rsidRDefault="00C72CE9" w:rsidP="00FF7EC2">
      <w:pPr>
        <w:spacing w:line="240" w:lineRule="auto"/>
        <w:ind w:left="-360"/>
        <w:jc w:val="center"/>
        <w:rPr>
          <w:rFonts w:ascii="StobiSerif Regular" w:hAnsi="StobiSerif Regular" w:cs="Tahoma"/>
          <w:lang w:val="mk-MK"/>
        </w:rPr>
      </w:pPr>
    </w:p>
    <w:p w:rsidR="00C72CE9" w:rsidRPr="0044458B" w:rsidRDefault="00C72CE9" w:rsidP="00FF7EC2">
      <w:pPr>
        <w:spacing w:line="240" w:lineRule="auto"/>
        <w:ind w:left="-360"/>
        <w:jc w:val="center"/>
        <w:rPr>
          <w:rFonts w:ascii="StobiSerif Regular" w:hAnsi="StobiSerif Regular" w:cs="Tahoma"/>
        </w:rPr>
      </w:pPr>
    </w:p>
    <w:p w:rsidR="00C72CE9" w:rsidRPr="00232275" w:rsidRDefault="00C72CE9" w:rsidP="00FF7EC2">
      <w:pPr>
        <w:spacing w:line="240" w:lineRule="auto"/>
        <w:rPr>
          <w:rFonts w:ascii="StobiSerif Regular" w:hAnsi="StobiSerif Regular" w:cs="Tahoma"/>
          <w:lang w:val="mk-MK"/>
        </w:rPr>
      </w:pPr>
    </w:p>
    <w:p w:rsidR="00263FB2" w:rsidRPr="00232275" w:rsidRDefault="00263FB2" w:rsidP="00FF7EC2">
      <w:pPr>
        <w:spacing w:line="240" w:lineRule="auto"/>
        <w:rPr>
          <w:rFonts w:ascii="StobiSerif Regular" w:hAnsi="StobiSerif Regular" w:cs="Tahoma"/>
          <w:lang w:val="mk-MK"/>
        </w:rPr>
      </w:pPr>
    </w:p>
    <w:p w:rsidR="00263FB2" w:rsidRPr="00232275" w:rsidRDefault="00263FB2" w:rsidP="00FF7EC2">
      <w:pPr>
        <w:spacing w:line="240" w:lineRule="auto"/>
        <w:rPr>
          <w:rFonts w:ascii="StobiSerif Regular" w:hAnsi="StobiSerif Regular" w:cs="Tahoma"/>
          <w:lang w:val="mk-MK"/>
        </w:rPr>
      </w:pPr>
    </w:p>
    <w:p w:rsidR="00263FB2" w:rsidRPr="00232275" w:rsidRDefault="00263FB2" w:rsidP="00FF7EC2">
      <w:pPr>
        <w:spacing w:line="240" w:lineRule="auto"/>
        <w:rPr>
          <w:rFonts w:ascii="StobiSerif Regular" w:hAnsi="StobiSerif Regular" w:cs="Tahoma"/>
          <w:lang w:val="mk-MK"/>
        </w:rPr>
      </w:pPr>
    </w:p>
    <w:p w:rsidR="00263FB2" w:rsidRPr="00232275" w:rsidRDefault="00263FB2" w:rsidP="00FF7EC2">
      <w:pPr>
        <w:spacing w:line="240" w:lineRule="auto"/>
        <w:rPr>
          <w:rFonts w:ascii="StobiSerif Regular" w:hAnsi="StobiSerif Regular" w:cs="Tahoma"/>
          <w:lang w:val="mk-MK"/>
        </w:rPr>
      </w:pPr>
    </w:p>
    <w:p w:rsidR="00263FB2" w:rsidRPr="00232275" w:rsidRDefault="00263FB2" w:rsidP="00FF7EC2">
      <w:pPr>
        <w:spacing w:line="240" w:lineRule="auto"/>
        <w:rPr>
          <w:rFonts w:ascii="StobiSerif Regular" w:hAnsi="StobiSerif Regular" w:cs="Tahoma"/>
          <w:lang w:val="mk-MK"/>
        </w:rPr>
      </w:pPr>
    </w:p>
    <w:p w:rsidR="00FF7EC2" w:rsidRPr="00232275" w:rsidRDefault="00FF7EC2" w:rsidP="00FF7EC2">
      <w:pPr>
        <w:spacing w:line="240" w:lineRule="auto"/>
        <w:rPr>
          <w:rFonts w:ascii="StobiSerif Regular" w:hAnsi="StobiSerif Regular" w:cs="Tahoma"/>
          <w:lang w:val="mk-MK"/>
        </w:rPr>
      </w:pPr>
    </w:p>
    <w:p w:rsidR="00FF7EC2" w:rsidRPr="00232275" w:rsidRDefault="00FF7EC2" w:rsidP="00FF7EC2">
      <w:pPr>
        <w:spacing w:line="240" w:lineRule="auto"/>
        <w:rPr>
          <w:rFonts w:ascii="StobiSerif Regular" w:hAnsi="StobiSerif Regular" w:cs="Tahoma"/>
          <w:lang w:val="mk-MK"/>
        </w:rPr>
      </w:pPr>
    </w:p>
    <w:p w:rsidR="00FF7EC2" w:rsidRPr="00232275" w:rsidRDefault="00FF7EC2" w:rsidP="00FF7EC2">
      <w:pPr>
        <w:spacing w:line="240" w:lineRule="auto"/>
        <w:rPr>
          <w:rFonts w:ascii="StobiSerif Regular" w:hAnsi="StobiSerif Regular" w:cs="Tahoma"/>
          <w:lang w:val="mk-MK"/>
        </w:rPr>
      </w:pPr>
    </w:p>
    <w:p w:rsidR="00C72CE9" w:rsidRPr="00232275" w:rsidRDefault="00C72CE9" w:rsidP="00FF7EC2">
      <w:pPr>
        <w:spacing w:line="240" w:lineRule="auto"/>
        <w:ind w:left="-360"/>
        <w:jc w:val="center"/>
        <w:rPr>
          <w:rFonts w:ascii="StobiSerif Regular" w:hAnsi="StobiSerif Regular" w:cs="Tahoma"/>
          <w:lang w:val="mk-MK"/>
        </w:rPr>
      </w:pPr>
    </w:p>
    <w:p w:rsidR="00C72CE9" w:rsidRPr="00232275" w:rsidRDefault="00C72CE9" w:rsidP="00FF7EC2">
      <w:pPr>
        <w:spacing w:line="240" w:lineRule="auto"/>
        <w:ind w:left="-360"/>
        <w:jc w:val="center"/>
        <w:rPr>
          <w:rFonts w:ascii="StobiSerif Regular" w:hAnsi="StobiSerif Regular" w:cs="Tahoma"/>
          <w:lang w:val="mk-MK"/>
        </w:rPr>
      </w:pPr>
      <w:r w:rsidRPr="00232275">
        <w:rPr>
          <w:rFonts w:ascii="StobiSerif Regular" w:hAnsi="StobiSerif Regular" w:cs="Tahoma"/>
          <w:lang w:val="mk-MK"/>
        </w:rPr>
        <w:t xml:space="preserve">Скопје,  </w:t>
      </w:r>
      <w:r w:rsidR="00701FB0">
        <w:rPr>
          <w:rFonts w:ascii="StobiSerif Regular" w:hAnsi="StobiSerif Regular" w:cs="Tahoma"/>
          <w:lang w:val="mk-MK"/>
        </w:rPr>
        <w:t>ное</w:t>
      </w:r>
      <w:r w:rsidR="009352DB">
        <w:rPr>
          <w:rFonts w:ascii="StobiSerif Regular" w:hAnsi="StobiSerif Regular" w:cs="Tahoma"/>
          <w:lang w:val="mk-MK"/>
        </w:rPr>
        <w:t>мври</w:t>
      </w:r>
      <w:r w:rsidR="0030355D" w:rsidRPr="00232275">
        <w:rPr>
          <w:rFonts w:ascii="StobiSerif Regular" w:hAnsi="StobiSerif Regular" w:cs="Tahoma"/>
          <w:lang w:val="mk-MK"/>
        </w:rPr>
        <w:t xml:space="preserve"> 2018</w:t>
      </w:r>
      <w:r w:rsidRPr="00232275">
        <w:rPr>
          <w:rFonts w:ascii="StobiSerif Regular" w:hAnsi="StobiSerif Regular" w:cs="Tahoma"/>
          <w:lang w:val="mk-MK"/>
        </w:rPr>
        <w:t xml:space="preserve"> година</w:t>
      </w:r>
    </w:p>
    <w:p w:rsidR="00132528" w:rsidRPr="00232275" w:rsidRDefault="00132528" w:rsidP="00FF7EC2">
      <w:pPr>
        <w:spacing w:line="240" w:lineRule="auto"/>
        <w:ind w:firstLine="720"/>
        <w:jc w:val="both"/>
        <w:rPr>
          <w:rFonts w:ascii="StobiSerif Regular" w:hAnsi="StobiSerif Regular" w:cs="Tahoma"/>
          <w:lang w:val="mk-MK"/>
        </w:rPr>
      </w:pPr>
    </w:p>
    <w:p w:rsidR="00FF7EC2" w:rsidRDefault="00FF7EC2" w:rsidP="00A8381C">
      <w:pPr>
        <w:spacing w:line="240" w:lineRule="auto"/>
        <w:jc w:val="both"/>
        <w:rPr>
          <w:rFonts w:ascii="StobiSerif Regular" w:hAnsi="StobiSerif Regular" w:cs="Tahoma"/>
          <w:lang w:val="mk-MK"/>
        </w:rPr>
      </w:pPr>
    </w:p>
    <w:p w:rsidR="0044458B" w:rsidRPr="0089647C" w:rsidRDefault="0044458B" w:rsidP="00A8381C">
      <w:pPr>
        <w:spacing w:line="240" w:lineRule="auto"/>
        <w:jc w:val="both"/>
        <w:rPr>
          <w:rFonts w:ascii="StobiSerif Regular" w:hAnsi="StobiSerif Regular" w:cs="Tahoma"/>
        </w:rPr>
      </w:pPr>
    </w:p>
    <w:p w:rsidR="00A8381C" w:rsidRPr="0044458B" w:rsidRDefault="0044458B" w:rsidP="0044458B">
      <w:pPr>
        <w:pStyle w:val="ListParagraph"/>
        <w:numPr>
          <w:ilvl w:val="0"/>
          <w:numId w:val="37"/>
        </w:numPr>
        <w:spacing w:line="240" w:lineRule="auto"/>
        <w:jc w:val="both"/>
        <w:rPr>
          <w:rFonts w:ascii="StobiSerif Regular" w:hAnsi="StobiSerif Regular" w:cs="Tahoma"/>
          <w:b/>
          <w:color w:val="4F81BD" w:themeColor="accent1"/>
          <w:lang w:val="mk-MK"/>
        </w:rPr>
      </w:pPr>
      <w:r w:rsidRPr="0044458B">
        <w:rPr>
          <w:rFonts w:ascii="StobiSerif Regular" w:hAnsi="StobiSerif Regular" w:cs="Tahoma"/>
          <w:b/>
          <w:color w:val="4F81BD" w:themeColor="accent1"/>
          <w:lang w:val="mk-MK"/>
        </w:rPr>
        <w:t>ВОВЕД И ИСТОРИЈАТ</w:t>
      </w:r>
    </w:p>
    <w:p w:rsidR="00FF7EC2" w:rsidRPr="00232275" w:rsidRDefault="00FF7EC2" w:rsidP="00FF7EC2">
      <w:pPr>
        <w:spacing w:line="240" w:lineRule="auto"/>
        <w:ind w:firstLine="720"/>
        <w:jc w:val="both"/>
        <w:rPr>
          <w:rFonts w:ascii="StobiSerif Regular" w:hAnsi="StobiSerif Regular" w:cs="Tahoma"/>
          <w:highlight w:val="yellow"/>
          <w:lang w:val="mk-MK"/>
        </w:rPr>
      </w:pPr>
    </w:p>
    <w:p w:rsidR="00132528" w:rsidRDefault="004E0051" w:rsidP="00FF7EC2">
      <w:pPr>
        <w:spacing w:line="240" w:lineRule="auto"/>
        <w:ind w:firstLine="720"/>
        <w:jc w:val="both"/>
        <w:rPr>
          <w:rFonts w:ascii="StobiSerif Regular" w:hAnsi="StobiSerif Regular" w:cs="Tahoma"/>
          <w:lang w:val="mk-MK"/>
        </w:rPr>
      </w:pPr>
      <w:r w:rsidRPr="004E0051">
        <w:rPr>
          <w:rFonts w:ascii="StobiSerif Regular" w:hAnsi="StobiSerif Regular" w:cs="Tahoma"/>
          <w:lang w:val="mk-MK"/>
        </w:rPr>
        <w:t xml:space="preserve">Република Македонија </w:t>
      </w:r>
      <w:r>
        <w:rPr>
          <w:rFonts w:ascii="StobiSerif Regular" w:hAnsi="StobiSerif Regular" w:cs="Tahoma"/>
          <w:lang w:val="mk-MK"/>
        </w:rPr>
        <w:t xml:space="preserve">од 2011 година </w:t>
      </w:r>
      <w:r w:rsidRPr="004E0051">
        <w:rPr>
          <w:rFonts w:ascii="StobiSerif Regular" w:hAnsi="StobiSerif Regular" w:cs="Tahoma"/>
          <w:lang w:val="mk-MK"/>
        </w:rPr>
        <w:t>е дел од глобалната инцијатива за Отв</w:t>
      </w:r>
      <w:r>
        <w:rPr>
          <w:rFonts w:ascii="StobiSerif Regular" w:hAnsi="StobiSerif Regular" w:cs="Tahoma"/>
          <w:lang w:val="mk-MK"/>
        </w:rPr>
        <w:t>орено владино партнерство (ОВП),</w:t>
      </w:r>
      <w:r w:rsidRPr="004E0051">
        <w:rPr>
          <w:rFonts w:ascii="StobiSerif Regular" w:hAnsi="StobiSerif Regular" w:cs="Tahoma"/>
          <w:lang w:val="mk-MK"/>
        </w:rPr>
        <w:t xml:space="preserve"> меѓународна платформа во рамките на која Владите и граѓанските организации се залагаат за Влади кои се поотворени и поодговорни кон граѓаните. </w:t>
      </w:r>
      <w:r w:rsidR="00C52206">
        <w:rPr>
          <w:rFonts w:ascii="StobiSerif Regular" w:hAnsi="StobiSerif Regular" w:cs="Tahoma"/>
          <w:lang w:val="mk-MK"/>
        </w:rPr>
        <w:t>Согласно обврската</w:t>
      </w:r>
      <w:r w:rsidR="009041DA" w:rsidRPr="009041DA">
        <w:rPr>
          <w:rFonts w:ascii="StobiSerif Regular" w:hAnsi="StobiSerif Regular" w:cs="Tahoma"/>
          <w:lang w:val="mk-MK"/>
        </w:rPr>
        <w:t xml:space="preserve"> </w:t>
      </w:r>
      <w:r w:rsidR="00C52206">
        <w:rPr>
          <w:rFonts w:ascii="StobiSerif Regular" w:hAnsi="StobiSerif Regular" w:cs="Tahoma"/>
          <w:lang w:val="mk-MK"/>
        </w:rPr>
        <w:t>која произлегува од</w:t>
      </w:r>
      <w:r w:rsidR="009041DA" w:rsidRPr="009041DA">
        <w:rPr>
          <w:rFonts w:ascii="StobiSerif Regular" w:hAnsi="StobiSerif Regular" w:cs="Tahoma"/>
          <w:lang w:val="mk-MK"/>
        </w:rPr>
        <w:t xml:space="preserve"> оваа инцијатива </w:t>
      </w:r>
      <w:r w:rsidR="00C568AC">
        <w:rPr>
          <w:rFonts w:ascii="StobiSerif Regular" w:hAnsi="StobiSerif Regular" w:cs="Tahoma"/>
          <w:lang w:val="mk-MK"/>
        </w:rPr>
        <w:t>з</w:t>
      </w:r>
      <w:r w:rsidR="009041DA" w:rsidRPr="009041DA">
        <w:rPr>
          <w:rFonts w:ascii="StobiSerif Regular" w:hAnsi="StobiSerif Regular" w:cs="Tahoma"/>
          <w:lang w:val="mk-MK"/>
        </w:rPr>
        <w:t xml:space="preserve">а </w:t>
      </w:r>
      <w:r w:rsidR="00C568AC">
        <w:rPr>
          <w:rFonts w:ascii="StobiSerif Regular" w:hAnsi="StobiSerif Regular" w:cs="Tahoma"/>
          <w:lang w:val="mk-MK"/>
        </w:rPr>
        <w:t>подготвување на</w:t>
      </w:r>
      <w:r w:rsidR="009041DA" w:rsidRPr="009041DA">
        <w:rPr>
          <w:rFonts w:ascii="StobiSerif Regular" w:hAnsi="StobiSerif Regular" w:cs="Tahoma"/>
          <w:lang w:val="mk-MK"/>
        </w:rPr>
        <w:t xml:space="preserve"> </w:t>
      </w:r>
      <w:r w:rsidR="002A74A1">
        <w:rPr>
          <w:rFonts w:ascii="StobiSerif Regular" w:hAnsi="StobiSerif Regular" w:cs="Tahoma"/>
          <w:lang w:val="mk-MK"/>
        </w:rPr>
        <w:t xml:space="preserve">двогодишни </w:t>
      </w:r>
      <w:r w:rsidR="009041DA" w:rsidRPr="009041DA">
        <w:rPr>
          <w:rFonts w:ascii="StobiSerif Regular" w:hAnsi="StobiSerif Regular" w:cs="Tahoma"/>
          <w:lang w:val="mk-MK"/>
        </w:rPr>
        <w:t xml:space="preserve">Акциски планови, Владата на Република Македонија во јуни 2012 година го усвои првиот а во мај 2014 година </w:t>
      </w:r>
      <w:r w:rsidR="002A74A1">
        <w:rPr>
          <w:rFonts w:ascii="StobiSerif Regular" w:hAnsi="StobiSerif Regular" w:cs="Tahoma"/>
          <w:lang w:val="mk-MK"/>
        </w:rPr>
        <w:t xml:space="preserve">и </w:t>
      </w:r>
      <w:r w:rsidR="009041DA" w:rsidRPr="009041DA">
        <w:rPr>
          <w:rFonts w:ascii="StobiSerif Regular" w:hAnsi="StobiSerif Regular" w:cs="Tahoma"/>
          <w:lang w:val="mk-MK"/>
        </w:rPr>
        <w:t xml:space="preserve">вториот Акциски план за Отворено владино партнерство.  </w:t>
      </w:r>
    </w:p>
    <w:p w:rsidR="00C72CE9" w:rsidRPr="009F332B" w:rsidRDefault="002A74A1" w:rsidP="002A74A1">
      <w:pPr>
        <w:spacing w:line="240" w:lineRule="auto"/>
        <w:ind w:firstLine="720"/>
        <w:jc w:val="both"/>
        <w:rPr>
          <w:rFonts w:ascii="StobiSerif Regular" w:hAnsi="StobiSerif Regular" w:cs="Tahoma"/>
          <w:lang w:val="mk-MK"/>
        </w:rPr>
      </w:pPr>
      <w:r w:rsidRPr="009F332B">
        <w:rPr>
          <w:rFonts w:ascii="StobiSerif Regular" w:hAnsi="StobiSerif Regular" w:cs="Tahoma"/>
          <w:lang w:val="mk-MK"/>
        </w:rPr>
        <w:t xml:space="preserve">Достигнувањата од овие два акциски планови и петте ,,СМАРТ“ препораки  од механизмот за независно известување преставуваа основа на која се градеа приоритетите и достигнувања за периодот 2016-2018 година содржани во </w:t>
      </w:r>
      <w:r w:rsidR="00C01311" w:rsidRPr="009F332B">
        <w:rPr>
          <w:rFonts w:ascii="StobiSerif Regular" w:hAnsi="StobiSerif Regular"/>
          <w:lang w:val="mk-MK"/>
        </w:rPr>
        <w:t>Третиот Национален Акциски план за Отворено владино партнерство 2016-2018 година</w:t>
      </w:r>
      <w:r w:rsidRPr="009F332B">
        <w:rPr>
          <w:rFonts w:ascii="StobiSerif Regular" w:hAnsi="StobiSerif Regular"/>
          <w:lang w:val="mk-MK"/>
        </w:rPr>
        <w:t>.</w:t>
      </w:r>
      <w:r w:rsidR="009041DA" w:rsidRPr="009F332B">
        <w:rPr>
          <w:rFonts w:ascii="StobiSerif Regular" w:hAnsi="StobiSerif Regular"/>
          <w:lang w:val="mk-MK"/>
        </w:rPr>
        <w:t xml:space="preserve"> </w:t>
      </w:r>
      <w:r w:rsidR="002610CC" w:rsidRPr="009F332B">
        <w:rPr>
          <w:rFonts w:ascii="StobiSerif Regular" w:hAnsi="StobiSerif Regular"/>
          <w:lang w:val="mk-MK"/>
        </w:rPr>
        <w:t xml:space="preserve"> </w:t>
      </w:r>
      <w:r w:rsidR="00C568AC" w:rsidRPr="009F332B">
        <w:rPr>
          <w:rFonts w:ascii="StobiSerif Regular" w:hAnsi="StobiSerif Regular"/>
          <w:lang w:val="mk-MK"/>
        </w:rPr>
        <w:t xml:space="preserve">Акцискиот план беше </w:t>
      </w:r>
      <w:r w:rsidR="002610CC" w:rsidRPr="009F332B">
        <w:rPr>
          <w:rFonts w:ascii="StobiSerif Regular" w:hAnsi="StobiSerif Regular"/>
          <w:lang w:val="mk-MK"/>
        </w:rPr>
        <w:t>фокусиран на</w:t>
      </w:r>
      <w:r w:rsidR="002438D0" w:rsidRPr="009F332B">
        <w:rPr>
          <w:rFonts w:ascii="StobiSerif Regular" w:hAnsi="StobiSerif Regular"/>
          <w:lang w:val="mk-MK"/>
        </w:rPr>
        <w:t xml:space="preserve"> </w:t>
      </w:r>
      <w:r w:rsidR="00601A78" w:rsidRPr="009F332B">
        <w:rPr>
          <w:rFonts w:ascii="StobiSerif Regular" w:hAnsi="StobiSerif Regular"/>
          <w:lang w:val="mk-MK"/>
        </w:rPr>
        <w:t>осум</w:t>
      </w:r>
      <w:r w:rsidR="002438D0" w:rsidRPr="009F332B">
        <w:rPr>
          <w:rFonts w:ascii="StobiSerif Regular" w:hAnsi="StobiSerif Regular"/>
          <w:lang w:val="mk-MK"/>
        </w:rPr>
        <w:t xml:space="preserve"> приоритетни теми</w:t>
      </w:r>
      <w:r w:rsidR="00601A78" w:rsidRPr="009F332B">
        <w:rPr>
          <w:rFonts w:ascii="StobiSerif Regular" w:hAnsi="StobiSerif Regular"/>
          <w:lang w:val="mk-MK"/>
        </w:rPr>
        <w:t>: партиципативно креирање на политики, отворени податоци, слобода на информации, спречување на корупција и промовирање на доброто владеење, ефикасно управување со јавните ресурси (фискална транспарентност), отвореност на локално ниво, јавни услуги и климатски промени.</w:t>
      </w:r>
    </w:p>
    <w:p w:rsidR="009041DA" w:rsidRPr="00A8381C" w:rsidRDefault="00C568AC" w:rsidP="00A8381C">
      <w:pPr>
        <w:spacing w:line="240" w:lineRule="auto"/>
        <w:ind w:firstLine="720"/>
        <w:jc w:val="both"/>
        <w:rPr>
          <w:rFonts w:ascii="StobiSerif Regular" w:hAnsi="StobiSerif Regular" w:cs="Tahoma"/>
          <w:highlight w:val="yellow"/>
          <w:lang w:val="mk-MK"/>
        </w:rPr>
      </w:pPr>
      <w:r w:rsidRPr="009F332B">
        <w:rPr>
          <w:rFonts w:ascii="StobiSerif Regular" w:hAnsi="StobiSerif Regular" w:cs="Tahoma"/>
          <w:lang w:val="mk-MK"/>
        </w:rPr>
        <w:t>В</w:t>
      </w:r>
      <w:r w:rsidR="002A74A1" w:rsidRPr="009F332B">
        <w:rPr>
          <w:rFonts w:ascii="StobiSerif Regular" w:hAnsi="StobiSerif Regular" w:cs="Tahoma"/>
          <w:lang w:val="mk-MK"/>
        </w:rPr>
        <w:t>оспоставениот систем за организација</w:t>
      </w:r>
      <w:r w:rsidR="002A74A1" w:rsidRPr="002A74A1">
        <w:rPr>
          <w:rFonts w:ascii="StobiSerif Regular" w:hAnsi="StobiSerif Regular" w:cs="Tahoma"/>
          <w:lang w:val="mk-MK"/>
        </w:rPr>
        <w:t xml:space="preserve"> на имплементацијата и следењето на </w:t>
      </w:r>
      <w:r>
        <w:rPr>
          <w:rFonts w:ascii="StobiSerif Regular" w:hAnsi="StobiSerif Regular" w:cs="Tahoma"/>
          <w:lang w:val="mk-MK"/>
        </w:rPr>
        <w:t xml:space="preserve">реализацијата на </w:t>
      </w:r>
      <w:r w:rsidR="002A74A1" w:rsidRPr="002A74A1">
        <w:rPr>
          <w:rFonts w:ascii="StobiSerif Regular" w:hAnsi="StobiSerif Regular" w:cs="Tahoma"/>
          <w:lang w:val="mk-MK"/>
        </w:rPr>
        <w:t xml:space="preserve">заложбите со вториот Акциски план продолжи во Акцискиот план за Отворено владино партнерство 2016-2018 година, со формирање на работни групи </w:t>
      </w:r>
      <w:r w:rsidR="00C72CE9" w:rsidRPr="00232275">
        <w:rPr>
          <w:rFonts w:ascii="StobiSerif Regular" w:hAnsi="StobiSerif Regular" w:cs="Tahoma"/>
          <w:lang w:val="mk-MK"/>
        </w:rPr>
        <w:t xml:space="preserve">со претставници од сите релевантни институции и претставници од граѓанските организации во соодветните области (односно посебна подгрупа за секој приоритет). </w:t>
      </w:r>
    </w:p>
    <w:p w:rsidR="009041DA" w:rsidRPr="00A8381C" w:rsidRDefault="00A8381C" w:rsidP="00A8381C">
      <w:pPr>
        <w:pStyle w:val="ListParagraph"/>
        <w:spacing w:line="240" w:lineRule="auto"/>
        <w:ind w:left="0" w:firstLine="720"/>
        <w:jc w:val="both"/>
        <w:rPr>
          <w:rFonts w:ascii="StobiSerif Regular" w:hAnsi="StobiSerif Regular" w:cs="Tahoma"/>
          <w:lang w:val="mk-MK"/>
        </w:rPr>
      </w:pPr>
      <w:r>
        <w:rPr>
          <w:rFonts w:ascii="StobiSerif Regular" w:hAnsi="StobiSerif Regular" w:cs="Tahoma"/>
          <w:lang w:val="mk-MK"/>
        </w:rPr>
        <w:t xml:space="preserve">Со </w:t>
      </w:r>
      <w:r w:rsidRPr="009B3DAA">
        <w:rPr>
          <w:rFonts w:ascii="StobiSerif Regular" w:hAnsi="StobiSerif Regular" w:cs="Tahoma"/>
          <w:lang w:val="mk-MK"/>
        </w:rPr>
        <w:t xml:space="preserve">реализација </w:t>
      </w:r>
      <w:r>
        <w:rPr>
          <w:rFonts w:ascii="StobiSerif Regular" w:hAnsi="StobiSerif Regular" w:cs="Tahoma"/>
          <w:lang w:val="mk-MK"/>
        </w:rPr>
        <w:t xml:space="preserve">на заложбите дефинирани во </w:t>
      </w:r>
      <w:r w:rsidRPr="00A8381C">
        <w:rPr>
          <w:rFonts w:ascii="StobiSerif Regular" w:hAnsi="StobiSerif Regular" w:cs="Tahoma"/>
          <w:lang w:val="mk-MK"/>
        </w:rPr>
        <w:t>Третиот Национален Акциски план за Отворено владино партнерство 2016-2018 година</w:t>
      </w:r>
      <w:r>
        <w:rPr>
          <w:rFonts w:ascii="StobiSerif Regular" w:hAnsi="StobiSerif Regular" w:cs="Tahoma"/>
          <w:lang w:val="mk-MK"/>
        </w:rPr>
        <w:t xml:space="preserve"> се</w:t>
      </w:r>
      <w:r w:rsidRPr="00A8381C">
        <w:rPr>
          <w:rFonts w:ascii="StobiSerif Regular" w:hAnsi="StobiSerif Regular" w:cs="Tahoma"/>
          <w:lang w:val="mk-MK"/>
        </w:rPr>
        <w:t xml:space="preserve"> постигна напредок во областите кои придонесуваат кон остварување на основните принципи на Отвореното владино партнерство. Беа развиени голем број активности за унапредување на транспарентноста на власта, подобрување на ефективноста на институционалните механизми за јавно учество, поголема вклученост на граѓаните во процесот на донесување одлуки, буџетска транспарентност, управување со податоците и чувањето регистри во државните и во јавните институции  како и зголемување на  стандардите за интегритет и поголем пристап до технологија за сите граѓани на Република Македонија.</w:t>
      </w:r>
    </w:p>
    <w:p w:rsidR="009041DA" w:rsidRDefault="009041DA" w:rsidP="00FF7EC2">
      <w:pPr>
        <w:pStyle w:val="ListParagraph"/>
        <w:spacing w:line="240" w:lineRule="auto"/>
        <w:ind w:left="0" w:firstLine="720"/>
        <w:jc w:val="both"/>
        <w:rPr>
          <w:rFonts w:ascii="StobiSerif Regular" w:hAnsi="StobiSerif Regular" w:cs="Tahoma"/>
          <w:lang w:val="mk-MK"/>
        </w:rPr>
      </w:pPr>
    </w:p>
    <w:p w:rsidR="009041DA" w:rsidRDefault="009041DA" w:rsidP="00FF7EC2">
      <w:pPr>
        <w:pStyle w:val="ListParagraph"/>
        <w:spacing w:line="240" w:lineRule="auto"/>
        <w:ind w:left="0" w:firstLine="720"/>
        <w:jc w:val="both"/>
        <w:rPr>
          <w:rFonts w:ascii="StobiSerif Regular" w:hAnsi="StobiSerif Regular" w:cs="Tahoma"/>
          <w:lang w:val="mk-MK"/>
        </w:rPr>
      </w:pPr>
    </w:p>
    <w:p w:rsidR="009041DA" w:rsidRDefault="009041DA" w:rsidP="00FF7EC2">
      <w:pPr>
        <w:pStyle w:val="ListParagraph"/>
        <w:spacing w:line="240" w:lineRule="auto"/>
        <w:ind w:left="0" w:firstLine="720"/>
        <w:jc w:val="both"/>
        <w:rPr>
          <w:rFonts w:ascii="StobiSerif Regular" w:hAnsi="StobiSerif Regular" w:cs="Tahoma"/>
          <w:lang w:val="mk-MK"/>
        </w:rPr>
      </w:pPr>
    </w:p>
    <w:p w:rsidR="0044458B" w:rsidRDefault="0044458B" w:rsidP="00FF7EC2">
      <w:pPr>
        <w:pStyle w:val="ListParagraph"/>
        <w:spacing w:line="240" w:lineRule="auto"/>
        <w:ind w:left="0" w:firstLine="720"/>
        <w:jc w:val="both"/>
        <w:rPr>
          <w:rFonts w:ascii="StobiSerif Regular" w:hAnsi="StobiSerif Regular" w:cs="Tahoma"/>
          <w:lang w:val="mk-MK"/>
        </w:rPr>
      </w:pPr>
    </w:p>
    <w:p w:rsidR="0044458B" w:rsidRPr="0044458B" w:rsidRDefault="0044458B" w:rsidP="0044458B">
      <w:pPr>
        <w:pStyle w:val="ListParagraph"/>
        <w:numPr>
          <w:ilvl w:val="0"/>
          <w:numId w:val="37"/>
        </w:numPr>
        <w:spacing w:line="240" w:lineRule="auto"/>
        <w:jc w:val="both"/>
        <w:rPr>
          <w:rFonts w:ascii="StobiSerif Regular" w:hAnsi="StobiSerif Regular" w:cs="Tahoma"/>
          <w:b/>
          <w:color w:val="4F81BD" w:themeColor="accent1"/>
          <w:lang w:val="mk-MK"/>
        </w:rPr>
      </w:pPr>
      <w:r w:rsidRPr="0044458B">
        <w:rPr>
          <w:rFonts w:ascii="StobiSerif Regular" w:hAnsi="StobiSerif Regular" w:cs="Tahoma"/>
          <w:b/>
          <w:color w:val="4F81BD" w:themeColor="accent1"/>
          <w:lang w:val="mk-MK"/>
        </w:rPr>
        <w:t>ПРОЦЕС НА</w:t>
      </w:r>
      <w:r w:rsidRPr="0044458B">
        <w:rPr>
          <w:rFonts w:ascii="StobiSerif Regular" w:hAnsi="StobiSerif Regular" w:cs="Tahoma"/>
          <w:b/>
          <w:color w:val="4F81BD" w:themeColor="accent1"/>
        </w:rPr>
        <w:t xml:space="preserve"> </w:t>
      </w:r>
      <w:r w:rsidRPr="0044458B">
        <w:rPr>
          <w:rFonts w:ascii="StobiSerif Regular" w:hAnsi="StobiSerif Regular" w:cs="Tahoma"/>
          <w:b/>
          <w:color w:val="4F81BD" w:themeColor="accent1"/>
          <w:lang w:val="mk-MK"/>
        </w:rPr>
        <w:t>КРЕИРАЊЕ НАЦИОНАЛЕН АКЦИСКИ ПЛАН</w:t>
      </w:r>
    </w:p>
    <w:p w:rsidR="0044458B" w:rsidRPr="00D9133B" w:rsidRDefault="0044458B" w:rsidP="00D9133B">
      <w:pPr>
        <w:spacing w:line="240" w:lineRule="auto"/>
        <w:jc w:val="both"/>
        <w:rPr>
          <w:rFonts w:ascii="StobiSerif Regular" w:hAnsi="StobiSerif Regular" w:cs="Tahoma"/>
          <w:lang w:val="mk-MK"/>
        </w:rPr>
      </w:pPr>
    </w:p>
    <w:p w:rsidR="0089647C" w:rsidRDefault="0089647C" w:rsidP="0089647C">
      <w:pPr>
        <w:pStyle w:val="ListParagraph"/>
        <w:spacing w:line="240" w:lineRule="auto"/>
        <w:ind w:left="0" w:firstLine="720"/>
        <w:contextualSpacing w:val="0"/>
        <w:jc w:val="both"/>
        <w:rPr>
          <w:rFonts w:ascii="StobiSerif Regular" w:hAnsi="StobiSerif Regular" w:cs="Tahoma"/>
          <w:lang w:val="mk-MK"/>
        </w:rPr>
      </w:pPr>
      <w:r>
        <w:rPr>
          <w:rFonts w:ascii="StobiSerif Regular" w:hAnsi="StobiSerif Regular" w:cs="Tahoma"/>
          <w:lang w:val="mk-MK"/>
        </w:rPr>
        <w:t>С</w:t>
      </w:r>
      <w:r w:rsidRPr="0044458B">
        <w:rPr>
          <w:rFonts w:ascii="StobiSerif Regular" w:hAnsi="StobiSerif Regular" w:cs="Tahoma"/>
          <w:lang w:val="mk-MK"/>
        </w:rPr>
        <w:t>огласно Инцијативата за Отворено владино партнерство</w:t>
      </w:r>
      <w:r>
        <w:rPr>
          <w:rFonts w:ascii="StobiSerif Regular" w:hAnsi="StobiSerif Regular" w:cs="Tahoma"/>
          <w:lang w:val="mk-MK"/>
        </w:rPr>
        <w:t xml:space="preserve">, </w:t>
      </w:r>
      <w:r w:rsidRPr="0044458B">
        <w:rPr>
          <w:rFonts w:ascii="StobiSerif Regular" w:hAnsi="StobiSerif Regular" w:cs="Tahoma"/>
          <w:lang w:val="mk-MK"/>
        </w:rPr>
        <w:t xml:space="preserve"> при подготовка на </w:t>
      </w:r>
      <w:r>
        <w:rPr>
          <w:rFonts w:ascii="StobiSerif Regular" w:hAnsi="StobiSerif Regular" w:cs="Tahoma"/>
          <w:lang w:val="mk-MK"/>
        </w:rPr>
        <w:t>акцискиот</w:t>
      </w:r>
      <w:r w:rsidRPr="0044458B">
        <w:rPr>
          <w:rFonts w:ascii="StobiSerif Regular" w:hAnsi="StobiSerif Regular" w:cs="Tahoma"/>
          <w:lang w:val="mk-MK"/>
        </w:rPr>
        <w:t xml:space="preserve"> план </w:t>
      </w:r>
      <w:r w:rsidR="0044458B" w:rsidRPr="0044458B">
        <w:rPr>
          <w:rFonts w:ascii="StobiSerif Regular" w:hAnsi="StobiSerif Regular" w:cs="Tahoma"/>
          <w:lang w:val="mk-MK"/>
        </w:rPr>
        <w:t xml:space="preserve">е неопходно активно вклучување на сите </w:t>
      </w:r>
      <w:r>
        <w:rPr>
          <w:rFonts w:ascii="StobiSerif Regular" w:hAnsi="StobiSerif Regular" w:cs="Tahoma"/>
          <w:lang w:val="mk-MK"/>
        </w:rPr>
        <w:t>заинтересирани страни</w:t>
      </w:r>
      <w:r w:rsidR="0044458B" w:rsidRPr="0044458B">
        <w:rPr>
          <w:rFonts w:ascii="StobiSerif Regular" w:hAnsi="StobiSerif Regular" w:cs="Tahoma"/>
          <w:lang w:val="mk-MK"/>
        </w:rPr>
        <w:t xml:space="preserve"> во дефини</w:t>
      </w:r>
      <w:r w:rsidR="00F03387">
        <w:rPr>
          <w:rFonts w:ascii="StobiSerif Regular" w:hAnsi="StobiSerif Regular" w:cs="Tahoma"/>
          <w:lang w:val="mk-MK"/>
        </w:rPr>
        <w:t>рање на приоритетните цели и заложби</w:t>
      </w:r>
      <w:r w:rsidR="009255E2">
        <w:rPr>
          <w:rFonts w:ascii="StobiSerif Regular" w:hAnsi="StobiSerif Regular" w:cs="Tahoma"/>
          <w:lang w:val="mk-MK"/>
        </w:rPr>
        <w:t xml:space="preserve"> </w:t>
      </w:r>
      <w:r w:rsidR="00F03387">
        <w:rPr>
          <w:rFonts w:ascii="StobiSerif Regular" w:hAnsi="StobiSerif Regular" w:cs="Tahoma"/>
          <w:lang w:val="mk-MK"/>
        </w:rPr>
        <w:t xml:space="preserve">и </w:t>
      </w:r>
      <w:r w:rsidR="009255E2">
        <w:rPr>
          <w:rFonts w:ascii="StobiSerif Regular" w:hAnsi="StobiSerif Regular" w:cs="Tahoma"/>
          <w:lang w:val="mk-MK"/>
        </w:rPr>
        <w:t>во</w:t>
      </w:r>
      <w:r w:rsidR="00F03387">
        <w:rPr>
          <w:rFonts w:ascii="StobiSerif Regular" w:hAnsi="StobiSerif Regular" w:cs="Tahoma"/>
          <w:lang w:val="mk-MK"/>
        </w:rPr>
        <w:t xml:space="preserve"> </w:t>
      </w:r>
      <w:r w:rsidR="0044458B" w:rsidRPr="0044458B">
        <w:rPr>
          <w:rFonts w:ascii="StobiSerif Regular" w:hAnsi="StobiSerif Regular" w:cs="Tahoma"/>
          <w:lang w:val="mk-MK"/>
        </w:rPr>
        <w:t>имплементација</w:t>
      </w:r>
      <w:r w:rsidR="00F03387">
        <w:rPr>
          <w:rFonts w:ascii="StobiSerif Regular" w:hAnsi="StobiSerif Regular" w:cs="Tahoma"/>
          <w:lang w:val="mk-MK"/>
        </w:rPr>
        <w:t>та</w:t>
      </w:r>
      <w:r w:rsidR="0044458B" w:rsidRPr="0044458B">
        <w:rPr>
          <w:rFonts w:ascii="StobiSerif Regular" w:hAnsi="StobiSerif Regular" w:cs="Tahoma"/>
          <w:lang w:val="mk-MK"/>
        </w:rPr>
        <w:t xml:space="preserve"> на </w:t>
      </w:r>
      <w:r w:rsidR="00F03387">
        <w:rPr>
          <w:rFonts w:ascii="StobiSerif Regular" w:hAnsi="StobiSerif Regular" w:cs="Tahoma"/>
          <w:lang w:val="mk-MK"/>
        </w:rPr>
        <w:t>достигнувањата</w:t>
      </w:r>
      <w:r w:rsidR="0044458B" w:rsidRPr="0044458B">
        <w:rPr>
          <w:rFonts w:ascii="StobiSerif Regular" w:hAnsi="StobiSerif Regular" w:cs="Tahoma"/>
          <w:lang w:val="mk-MK"/>
        </w:rPr>
        <w:t xml:space="preserve"> и нивно</w:t>
      </w:r>
      <w:r w:rsidR="00F03387">
        <w:rPr>
          <w:rFonts w:ascii="StobiSerif Regular" w:hAnsi="StobiSerif Regular" w:cs="Tahoma"/>
          <w:lang w:val="mk-MK"/>
        </w:rPr>
        <w:t>то</w:t>
      </w:r>
      <w:r w:rsidR="0044458B" w:rsidRPr="0044458B">
        <w:rPr>
          <w:rFonts w:ascii="StobiSerif Regular" w:hAnsi="StobiSerif Regular" w:cs="Tahoma"/>
          <w:lang w:val="mk-MK"/>
        </w:rPr>
        <w:t xml:space="preserve"> следење, </w:t>
      </w:r>
      <w:r w:rsidR="00F03387">
        <w:rPr>
          <w:rFonts w:ascii="StobiSerif Regular" w:hAnsi="StobiSerif Regular" w:cs="Tahoma"/>
          <w:lang w:val="mk-MK"/>
        </w:rPr>
        <w:t xml:space="preserve">преку </w:t>
      </w:r>
      <w:r w:rsidR="0044458B" w:rsidRPr="0044458B">
        <w:rPr>
          <w:rFonts w:ascii="StobiSerif Regular" w:hAnsi="StobiSerif Regular" w:cs="Tahoma"/>
          <w:lang w:val="mk-MK"/>
        </w:rPr>
        <w:t xml:space="preserve">формирање на работна група со номинирани претставници </w:t>
      </w:r>
      <w:r w:rsidR="00F03387" w:rsidRPr="00F03387">
        <w:rPr>
          <w:rFonts w:ascii="StobiSerif Regular" w:hAnsi="StobiSerif Regular" w:cs="Tahoma"/>
          <w:lang w:val="mk-MK"/>
        </w:rPr>
        <w:t>на граѓанското општество</w:t>
      </w:r>
      <w:r w:rsidR="00F03387">
        <w:rPr>
          <w:rFonts w:ascii="StobiSerif Regular" w:hAnsi="StobiSerif Regular" w:cs="Tahoma"/>
          <w:lang w:val="mk-MK"/>
        </w:rPr>
        <w:t xml:space="preserve"> и</w:t>
      </w:r>
      <w:r w:rsidR="00F03387" w:rsidRPr="00F03387">
        <w:rPr>
          <w:rFonts w:ascii="StobiSerif Regular" w:hAnsi="StobiSerif Regular" w:cs="Tahoma"/>
          <w:lang w:val="mk-MK"/>
        </w:rPr>
        <w:t xml:space="preserve"> претставници од сите институции носители на поединечни </w:t>
      </w:r>
      <w:r w:rsidR="00F03387">
        <w:rPr>
          <w:rFonts w:ascii="StobiSerif Regular" w:hAnsi="StobiSerif Regular" w:cs="Tahoma"/>
          <w:lang w:val="mk-MK"/>
        </w:rPr>
        <w:t>заложби</w:t>
      </w:r>
      <w:r w:rsidR="00F03387" w:rsidRPr="00F03387">
        <w:rPr>
          <w:rFonts w:ascii="StobiSerif Regular" w:hAnsi="StobiSerif Regular" w:cs="Tahoma"/>
          <w:lang w:val="mk-MK"/>
        </w:rPr>
        <w:t xml:space="preserve"> </w:t>
      </w:r>
      <w:r w:rsidR="00F03387">
        <w:rPr>
          <w:rFonts w:ascii="StobiSerif Regular" w:hAnsi="StobiSerif Regular" w:cs="Tahoma"/>
          <w:lang w:val="mk-MK"/>
        </w:rPr>
        <w:t>како</w:t>
      </w:r>
      <w:r w:rsidR="0044458B" w:rsidRPr="0044458B">
        <w:rPr>
          <w:rFonts w:ascii="StobiSerif Regular" w:hAnsi="StobiSerif Regular" w:cs="Tahoma"/>
          <w:lang w:val="mk-MK"/>
        </w:rPr>
        <w:t xml:space="preserve"> </w:t>
      </w:r>
      <w:r w:rsidR="00F03387">
        <w:rPr>
          <w:rFonts w:ascii="StobiSerif Regular" w:hAnsi="StobiSerif Regular" w:cs="Tahoma"/>
          <w:lang w:val="mk-MK"/>
        </w:rPr>
        <w:t>координатори</w:t>
      </w:r>
      <w:r w:rsidR="009255E2">
        <w:rPr>
          <w:rFonts w:ascii="StobiSerif Regular" w:hAnsi="StobiSerif Regular" w:cs="Tahoma"/>
          <w:lang w:val="mk-MK"/>
        </w:rPr>
        <w:t>,</w:t>
      </w:r>
      <w:r w:rsidR="0044458B" w:rsidRPr="0044458B">
        <w:rPr>
          <w:rFonts w:ascii="StobiSerif Regular" w:hAnsi="StobiSerif Regular" w:cs="Tahoma"/>
          <w:lang w:val="mk-MK"/>
        </w:rPr>
        <w:t xml:space="preserve"> со цел да се покаже целосен координиран пристап кон спроведување на </w:t>
      </w:r>
      <w:r w:rsidR="009255E2">
        <w:rPr>
          <w:rFonts w:ascii="StobiSerif Regular" w:hAnsi="StobiSerif Regular" w:cs="Tahoma"/>
          <w:lang w:val="mk-MK"/>
        </w:rPr>
        <w:t>достигнувањата</w:t>
      </w:r>
      <w:r w:rsidR="0044458B" w:rsidRPr="0044458B">
        <w:rPr>
          <w:rFonts w:ascii="StobiSerif Regular" w:hAnsi="StobiSerif Regular" w:cs="Tahoma"/>
          <w:lang w:val="mk-MK"/>
        </w:rPr>
        <w:t xml:space="preserve"> од Инцијативата </w:t>
      </w:r>
      <w:r w:rsidR="00F03387">
        <w:rPr>
          <w:rFonts w:ascii="StobiSerif Regular" w:hAnsi="StobiSerif Regular" w:cs="Tahoma"/>
          <w:lang w:val="mk-MK"/>
        </w:rPr>
        <w:t>за Отворено владино партнерство.</w:t>
      </w:r>
    </w:p>
    <w:p w:rsidR="009255E2" w:rsidRDefault="009255E2" w:rsidP="0089647C">
      <w:pPr>
        <w:pStyle w:val="ListParagraph"/>
        <w:spacing w:line="240" w:lineRule="auto"/>
        <w:ind w:left="0" w:firstLine="720"/>
        <w:contextualSpacing w:val="0"/>
        <w:jc w:val="both"/>
        <w:rPr>
          <w:rFonts w:ascii="StobiSerif Regular" w:hAnsi="StobiSerif Regular" w:cs="Tahoma"/>
          <w:lang w:val="mk-MK"/>
        </w:rPr>
      </w:pPr>
      <w:r>
        <w:rPr>
          <w:rFonts w:ascii="StobiSerif Regular" w:hAnsi="StobiSerif Regular" w:cs="Tahoma"/>
          <w:lang w:val="mk-MK"/>
        </w:rPr>
        <w:t>П</w:t>
      </w:r>
      <w:r w:rsidR="0044458B" w:rsidRPr="0044458B">
        <w:rPr>
          <w:rFonts w:ascii="StobiSerif Regular" w:hAnsi="StobiSerif Regular" w:cs="Tahoma"/>
          <w:lang w:val="mk-MK"/>
        </w:rPr>
        <w:t>роцесот на мониторинг на имплементација</w:t>
      </w:r>
      <w:r>
        <w:rPr>
          <w:rFonts w:ascii="StobiSerif Regular" w:hAnsi="StobiSerif Regular" w:cs="Tahoma"/>
          <w:lang w:val="mk-MK"/>
        </w:rPr>
        <w:t>та</w:t>
      </w:r>
      <w:r w:rsidR="0044458B" w:rsidRPr="0044458B">
        <w:rPr>
          <w:rFonts w:ascii="StobiSerif Regular" w:hAnsi="StobiSerif Regular" w:cs="Tahoma"/>
          <w:lang w:val="mk-MK"/>
        </w:rPr>
        <w:t xml:space="preserve"> на акцискиот план</w:t>
      </w:r>
      <w:r>
        <w:rPr>
          <w:rFonts w:ascii="StobiSerif Regular" w:hAnsi="StobiSerif Regular" w:cs="Tahoma"/>
          <w:lang w:val="mk-MK"/>
        </w:rPr>
        <w:t xml:space="preserve"> го врши министерството назначено како координатор на иницијативата</w:t>
      </w:r>
      <w:r w:rsidR="0044458B" w:rsidRPr="0044458B">
        <w:rPr>
          <w:rFonts w:ascii="StobiSerif Regular" w:hAnsi="StobiSerif Regular" w:cs="Tahoma"/>
          <w:lang w:val="mk-MK"/>
        </w:rPr>
        <w:t xml:space="preserve">, </w:t>
      </w:r>
      <w:r>
        <w:rPr>
          <w:rFonts w:ascii="StobiSerif Regular" w:hAnsi="StobiSerif Regular" w:cs="Tahoma"/>
          <w:lang w:val="mk-MK"/>
        </w:rPr>
        <w:t>кое</w:t>
      </w:r>
      <w:r w:rsidR="0044458B" w:rsidRPr="0044458B">
        <w:rPr>
          <w:rFonts w:ascii="StobiSerif Regular" w:hAnsi="StobiSerif Regular" w:cs="Tahoma"/>
          <w:lang w:val="mk-MK"/>
        </w:rPr>
        <w:t xml:space="preserve"> доставува редовни извештаи на меѓународно ниво </w:t>
      </w:r>
      <w:r>
        <w:rPr>
          <w:rFonts w:ascii="StobiSerif Regular" w:hAnsi="StobiSerif Regular" w:cs="Tahoma"/>
          <w:lang w:val="mk-MK"/>
        </w:rPr>
        <w:t>и обезбедува</w:t>
      </w:r>
      <w:r w:rsidR="0044458B" w:rsidRPr="0044458B">
        <w:rPr>
          <w:rFonts w:ascii="StobiSerif Regular" w:hAnsi="StobiSerif Regular" w:cs="Tahoma"/>
          <w:lang w:val="mk-MK"/>
        </w:rPr>
        <w:t xml:space="preserve"> широк и јавен консултациски процес согласно насоките за сите земји членки на оваа глобална иницијатива. </w:t>
      </w:r>
    </w:p>
    <w:p w:rsidR="0044458B" w:rsidRPr="00D9133B" w:rsidRDefault="0044458B" w:rsidP="0089647C">
      <w:pPr>
        <w:pStyle w:val="ListParagraph"/>
        <w:spacing w:line="240" w:lineRule="auto"/>
        <w:ind w:left="0" w:firstLine="720"/>
        <w:contextualSpacing w:val="0"/>
        <w:jc w:val="both"/>
        <w:rPr>
          <w:rFonts w:ascii="StobiSerif Regular" w:hAnsi="StobiSerif Regular" w:cs="Tahoma"/>
        </w:rPr>
      </w:pPr>
      <w:r w:rsidRPr="0044458B">
        <w:rPr>
          <w:rFonts w:ascii="StobiSerif Regular" w:hAnsi="StobiSerif Regular" w:cs="Tahoma"/>
          <w:lang w:val="mk-MK"/>
        </w:rPr>
        <w:lastRenderedPageBreak/>
        <w:t xml:space="preserve">Оттука, Министерството за информатичко општество и администрација го </w:t>
      </w:r>
      <w:r w:rsidR="009255E2">
        <w:rPr>
          <w:rFonts w:ascii="StobiSerif Regular" w:hAnsi="StobiSerif Regular" w:cs="Tahoma"/>
          <w:lang w:val="mk-MK"/>
        </w:rPr>
        <w:t>водеше</w:t>
      </w:r>
      <w:r w:rsidRPr="0044458B">
        <w:rPr>
          <w:rFonts w:ascii="StobiSerif Regular" w:hAnsi="StobiSerif Regular" w:cs="Tahoma"/>
          <w:lang w:val="mk-MK"/>
        </w:rPr>
        <w:t xml:space="preserve"> коор</w:t>
      </w:r>
      <w:r w:rsidR="00D9133B">
        <w:rPr>
          <w:rFonts w:ascii="StobiSerif Regular" w:hAnsi="StobiSerif Regular" w:cs="Tahoma"/>
          <w:lang w:val="mk-MK"/>
        </w:rPr>
        <w:t xml:space="preserve">динативниот процес на создавање </w:t>
      </w:r>
      <w:r w:rsidRPr="0044458B">
        <w:rPr>
          <w:rFonts w:ascii="StobiSerif Regular" w:hAnsi="StobiSerif Regular" w:cs="Tahoma"/>
          <w:lang w:val="mk-MK"/>
        </w:rPr>
        <w:t xml:space="preserve">на </w:t>
      </w:r>
      <w:r w:rsidR="00D9133B" w:rsidRPr="00D9133B">
        <w:rPr>
          <w:rFonts w:ascii="StobiSerif Regular" w:hAnsi="StobiSerif Regular" w:cs="Tahoma"/>
          <w:lang w:val="mk-MK"/>
        </w:rPr>
        <w:t>Третиот Национален Акциски план за Отворено владино партнерство 2016-2018 година</w:t>
      </w:r>
      <w:r w:rsidRPr="00D9133B">
        <w:rPr>
          <w:rFonts w:ascii="StobiSerif Regular" w:hAnsi="StobiSerif Regular" w:cs="Tahoma"/>
          <w:lang w:val="mk-MK"/>
        </w:rPr>
        <w:t xml:space="preserve"> </w:t>
      </w:r>
      <w:r w:rsidRPr="0044458B">
        <w:rPr>
          <w:rFonts w:ascii="StobiSerif Regular" w:hAnsi="StobiSerif Regular" w:cs="Tahoma"/>
          <w:lang w:val="mk-MK"/>
        </w:rPr>
        <w:t xml:space="preserve">со номинирани претставници од сите институции носители на поединечни </w:t>
      </w:r>
      <w:r w:rsidR="009255E2">
        <w:rPr>
          <w:rFonts w:ascii="StobiSerif Regular" w:hAnsi="StobiSerif Regular" w:cs="Tahoma"/>
          <w:lang w:val="mk-MK"/>
        </w:rPr>
        <w:t>заложби</w:t>
      </w:r>
      <w:r w:rsidRPr="0044458B">
        <w:rPr>
          <w:rFonts w:ascii="StobiSerif Regular" w:hAnsi="StobiSerif Regular" w:cs="Tahoma"/>
          <w:lang w:val="mk-MK"/>
        </w:rPr>
        <w:t xml:space="preserve"> како и претставници на граѓанското општество, согласно барањето и насоките од меѓународните правила на глобалната инцијатива за Отворено владино партнерство. </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44458B" w:rsidRPr="009255E2" w:rsidRDefault="00AA7F17" w:rsidP="0044458B">
      <w:pPr>
        <w:pStyle w:val="ListParagraph"/>
        <w:spacing w:line="240" w:lineRule="auto"/>
        <w:ind w:left="0" w:firstLine="720"/>
        <w:jc w:val="both"/>
        <w:rPr>
          <w:rFonts w:ascii="StobiSerif Regular" w:hAnsi="StobiSerif Regular" w:cs="Tahoma"/>
          <w:color w:val="4F81BD" w:themeColor="accent1"/>
          <w:lang w:val="mk-MK"/>
        </w:rPr>
      </w:pPr>
      <w:r>
        <w:rPr>
          <w:rFonts w:ascii="StobiSerif Regular" w:hAnsi="StobiSerif Regular" w:cs="Tahoma"/>
          <w:color w:val="4F81BD" w:themeColor="accent1"/>
          <w:lang w:val="mk-MK"/>
        </w:rPr>
        <w:t xml:space="preserve">2.1 </w:t>
      </w:r>
      <w:r w:rsidR="0044458B" w:rsidRPr="009255E2">
        <w:rPr>
          <w:rFonts w:ascii="StobiSerif Regular" w:hAnsi="StobiSerif Regular" w:cs="Tahoma"/>
          <w:color w:val="4F81BD" w:themeColor="accent1"/>
          <w:lang w:val="mk-MK"/>
        </w:rPr>
        <w:t>Консултации во процесот на подготовка на акцискиот план</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E362D9" w:rsidRDefault="0044458B" w:rsidP="00E362D9">
      <w:pPr>
        <w:pStyle w:val="ListParagraph"/>
        <w:spacing w:line="240" w:lineRule="auto"/>
        <w:ind w:left="0" w:firstLine="720"/>
        <w:jc w:val="both"/>
        <w:rPr>
          <w:rFonts w:ascii="StobiSerif Regular" w:hAnsi="StobiSerif Regular" w:cs="Tahoma"/>
          <w:lang w:val="mk-MK"/>
        </w:rPr>
      </w:pPr>
      <w:r w:rsidRPr="0044458B">
        <w:rPr>
          <w:rFonts w:ascii="StobiSerif Regular" w:hAnsi="StobiSerif Regular" w:cs="Tahoma"/>
          <w:lang w:val="mk-MK"/>
        </w:rPr>
        <w:t>Согласно утврдената временска рамка, консултацискиот процес за подготовка на Акцискиот план за Отворено владино партнерство за 201</w:t>
      </w:r>
      <w:r w:rsidR="00702E94">
        <w:rPr>
          <w:rFonts w:ascii="StobiSerif Regular" w:hAnsi="StobiSerif Regular" w:cs="Tahoma"/>
        </w:rPr>
        <w:t>6</w:t>
      </w:r>
      <w:r w:rsidRPr="0044458B">
        <w:rPr>
          <w:rFonts w:ascii="StobiSerif Regular" w:hAnsi="StobiSerif Regular" w:cs="Tahoma"/>
          <w:lang w:val="mk-MK"/>
        </w:rPr>
        <w:t>-201</w:t>
      </w:r>
      <w:r w:rsidR="00702E94">
        <w:rPr>
          <w:rFonts w:ascii="StobiSerif Regular" w:hAnsi="StobiSerif Regular" w:cs="Tahoma"/>
        </w:rPr>
        <w:t>8</w:t>
      </w:r>
      <w:r w:rsidRPr="0044458B">
        <w:rPr>
          <w:rFonts w:ascii="StobiSerif Regular" w:hAnsi="StobiSerif Regular" w:cs="Tahoma"/>
          <w:lang w:val="mk-MK"/>
        </w:rPr>
        <w:t xml:space="preserve"> година траеше </w:t>
      </w:r>
      <w:r w:rsidR="00702E94">
        <w:rPr>
          <w:rFonts w:ascii="StobiSerif Regular" w:hAnsi="StobiSerif Regular" w:cs="Tahoma"/>
          <w:lang w:val="mk-MK"/>
        </w:rPr>
        <w:t xml:space="preserve">четири </w:t>
      </w:r>
      <w:r w:rsidRPr="0044458B">
        <w:rPr>
          <w:rFonts w:ascii="StobiSerif Regular" w:hAnsi="StobiSerif Regular" w:cs="Tahoma"/>
          <w:lang w:val="mk-MK"/>
        </w:rPr>
        <w:t>месеци</w:t>
      </w:r>
      <w:r w:rsidR="00702E94">
        <w:rPr>
          <w:rFonts w:ascii="StobiSerif Regular" w:hAnsi="StobiSerif Regular" w:cs="Tahoma"/>
          <w:lang w:val="mk-MK"/>
        </w:rPr>
        <w:t>.</w:t>
      </w:r>
      <w:r w:rsidR="00702E94" w:rsidRPr="00702E94">
        <w:t xml:space="preserve"> </w:t>
      </w:r>
      <w:r w:rsidR="00702E94" w:rsidRPr="00702E94">
        <w:rPr>
          <w:rFonts w:ascii="StobiSerif Regular" w:hAnsi="StobiSerif Regular" w:cs="Tahoma"/>
          <w:lang w:val="mk-MK"/>
        </w:rPr>
        <w:t>Процесот започна</w:t>
      </w:r>
      <w:r w:rsidR="00702E94">
        <w:rPr>
          <w:rFonts w:ascii="StobiSerif Regular" w:hAnsi="StobiSerif Regular" w:cs="Tahoma"/>
          <w:lang w:val="mk-MK"/>
        </w:rPr>
        <w:t xml:space="preserve"> </w:t>
      </w:r>
      <w:r w:rsidR="00E362D9">
        <w:rPr>
          <w:rFonts w:ascii="StobiSerif Regular" w:hAnsi="StobiSerif Regular" w:cs="Tahoma"/>
          <w:lang w:val="mk-MK"/>
        </w:rPr>
        <w:t>сo споведување на</w:t>
      </w:r>
      <w:r w:rsidR="0011548E" w:rsidRPr="0011548E">
        <w:rPr>
          <w:rFonts w:ascii="StobiSerif Regular" w:hAnsi="StobiSerif Regular" w:cs="Tahoma"/>
          <w:lang w:val="mk-MK"/>
        </w:rPr>
        <w:t xml:space="preserve"> анкета преку on-line прашалник со цел да </w:t>
      </w:r>
      <w:r w:rsidR="00E362D9">
        <w:rPr>
          <w:rFonts w:ascii="StobiSerif Regular" w:hAnsi="StobiSerif Regular" w:cs="Tahoma"/>
          <w:lang w:val="mk-MK"/>
        </w:rPr>
        <w:t>се</w:t>
      </w:r>
      <w:r w:rsidR="0011548E" w:rsidRPr="0011548E">
        <w:rPr>
          <w:rFonts w:ascii="StobiSerif Regular" w:hAnsi="StobiSerif Regular" w:cs="Tahoma"/>
          <w:lang w:val="mk-MK"/>
        </w:rPr>
        <w:t xml:space="preserve"> испита информираноста на граѓанските организации за </w:t>
      </w:r>
      <w:r w:rsidR="00E362D9">
        <w:rPr>
          <w:rFonts w:ascii="StobiSerif Regular" w:hAnsi="StobiSerif Regular" w:cs="Tahoma"/>
          <w:lang w:val="mk-MK"/>
        </w:rPr>
        <w:t>ОВП</w:t>
      </w:r>
      <w:r w:rsidR="0011548E" w:rsidRPr="0011548E">
        <w:rPr>
          <w:rFonts w:ascii="StobiSerif Regular" w:hAnsi="StobiSerif Regular" w:cs="Tahoma"/>
          <w:lang w:val="mk-MK"/>
        </w:rPr>
        <w:t xml:space="preserve"> и нивната заинтересираност за учество во процесот на креирање</w:t>
      </w:r>
      <w:r w:rsidR="00E362D9">
        <w:rPr>
          <w:rFonts w:ascii="StobiSerif Regular" w:hAnsi="StobiSerif Regular" w:cs="Tahoma"/>
          <w:lang w:val="mk-MK"/>
        </w:rPr>
        <w:t xml:space="preserve"> нов АП. </w:t>
      </w:r>
      <w:r w:rsidRPr="0044458B">
        <w:rPr>
          <w:rFonts w:ascii="StobiSerif Regular" w:hAnsi="StobiSerif Regular" w:cs="Tahoma"/>
          <w:lang w:val="mk-MK"/>
        </w:rPr>
        <w:t xml:space="preserve">Исто така, беа одржани </w:t>
      </w:r>
      <w:r w:rsidR="00E362D9" w:rsidRPr="00E362D9">
        <w:rPr>
          <w:rFonts w:ascii="StobiSerif Regular" w:hAnsi="StobiSerif Regular" w:cs="Tahoma"/>
          <w:lang w:val="mk-MK"/>
        </w:rPr>
        <w:t>три тематски работилници</w:t>
      </w:r>
      <w:r w:rsidR="00E362D9">
        <w:rPr>
          <w:rFonts w:ascii="StobiSerif Regular" w:hAnsi="StobiSerif Regular" w:cs="Tahoma"/>
          <w:lang w:val="mk-MK"/>
        </w:rPr>
        <w:t xml:space="preserve"> за идентификување на</w:t>
      </w:r>
      <w:r w:rsidR="00E362D9" w:rsidRPr="00E362D9">
        <w:t xml:space="preserve"> </w:t>
      </w:r>
      <w:r w:rsidR="00E362D9" w:rsidRPr="00E362D9">
        <w:rPr>
          <w:rFonts w:ascii="StobiSerif Regular" w:hAnsi="StobiSerif Regular" w:cs="Tahoma"/>
          <w:lang w:val="mk-MK"/>
        </w:rPr>
        <w:t>предлози за кои граѓанското општество се заложи да влезат во Акцискиот план</w:t>
      </w:r>
      <w:r w:rsidR="00E362D9" w:rsidRPr="00E362D9">
        <w:t xml:space="preserve"> </w:t>
      </w:r>
      <w:r w:rsidR="00E362D9">
        <w:rPr>
          <w:rFonts w:ascii="StobiSerif Regular" w:hAnsi="StobiSerif Regular" w:cs="Tahoma"/>
          <w:lang w:val="mk-MK"/>
        </w:rPr>
        <w:t>и два јав</w:t>
      </w:r>
      <w:r w:rsidR="00E362D9" w:rsidRPr="00E362D9">
        <w:rPr>
          <w:rFonts w:ascii="StobiSerif Regular" w:hAnsi="StobiSerif Regular" w:cs="Tahoma"/>
          <w:lang w:val="mk-MK"/>
        </w:rPr>
        <w:t>н</w:t>
      </w:r>
      <w:r w:rsidR="00E362D9">
        <w:rPr>
          <w:rFonts w:ascii="StobiSerif Regular" w:hAnsi="StobiSerif Regular" w:cs="Tahoma"/>
          <w:lang w:val="mk-MK"/>
        </w:rPr>
        <w:t>и</w:t>
      </w:r>
      <w:r w:rsidR="00E362D9" w:rsidRPr="00E362D9">
        <w:rPr>
          <w:rFonts w:ascii="StobiSerif Regular" w:hAnsi="StobiSerif Regular" w:cs="Tahoma"/>
          <w:lang w:val="mk-MK"/>
        </w:rPr>
        <w:t xml:space="preserve"> настан</w:t>
      </w:r>
      <w:r w:rsidR="00E362D9">
        <w:rPr>
          <w:rFonts w:ascii="StobiSerif Regular" w:hAnsi="StobiSerif Regular" w:cs="Tahoma"/>
          <w:lang w:val="mk-MK"/>
        </w:rPr>
        <w:t>и</w:t>
      </w:r>
      <w:r w:rsidR="00E362D9" w:rsidRPr="00E362D9">
        <w:rPr>
          <w:rFonts w:ascii="StobiSerif Regular" w:hAnsi="StobiSerif Regular" w:cs="Tahoma"/>
          <w:lang w:val="mk-MK"/>
        </w:rPr>
        <w:t xml:space="preserve"> </w:t>
      </w:r>
      <w:r w:rsidR="00E362D9">
        <w:rPr>
          <w:rFonts w:ascii="StobiSerif Regular" w:hAnsi="StobiSerif Regular" w:cs="Tahoma"/>
          <w:lang w:val="mk-MK"/>
        </w:rPr>
        <w:t>на ко</w:t>
      </w:r>
      <w:r w:rsidR="00E362D9" w:rsidRPr="00E362D9">
        <w:rPr>
          <w:rFonts w:ascii="StobiSerif Regular" w:hAnsi="StobiSerif Regular" w:cs="Tahoma"/>
          <w:lang w:val="mk-MK"/>
        </w:rPr>
        <w:t xml:space="preserve">и се создаде простор за дискусија меѓу граѓанските организации и владините институции </w:t>
      </w:r>
      <w:r w:rsidR="00E362D9">
        <w:rPr>
          <w:rFonts w:ascii="StobiSerif Regular" w:hAnsi="StobiSerif Regular" w:cs="Tahoma"/>
          <w:lang w:val="mk-MK"/>
        </w:rPr>
        <w:t xml:space="preserve">за </w:t>
      </w:r>
      <w:r w:rsidR="00E362D9" w:rsidRPr="00E362D9">
        <w:rPr>
          <w:rFonts w:ascii="StobiSerif Regular" w:hAnsi="StobiSerif Regular" w:cs="Tahoma"/>
          <w:lang w:val="mk-MK"/>
        </w:rPr>
        <w:t>ко-креирање на предлог мерки за третиот акциски план</w:t>
      </w:r>
      <w:r w:rsidRPr="0044458B">
        <w:rPr>
          <w:rFonts w:ascii="StobiSerif Regular" w:hAnsi="StobiSerif Regular" w:cs="Tahoma"/>
          <w:lang w:val="mk-MK"/>
        </w:rPr>
        <w:t xml:space="preserve">. </w:t>
      </w:r>
      <w:r w:rsidR="00E362D9">
        <w:rPr>
          <w:rFonts w:ascii="StobiSerif Regular" w:hAnsi="StobiSerif Regular" w:cs="Tahoma"/>
          <w:lang w:val="mk-MK"/>
        </w:rPr>
        <w:t>П</w:t>
      </w:r>
      <w:r w:rsidR="00E362D9" w:rsidRPr="00E362D9">
        <w:rPr>
          <w:rFonts w:ascii="StobiSerif Regular" w:hAnsi="StobiSerif Regular" w:cs="Tahoma"/>
          <w:lang w:val="mk-MK"/>
        </w:rPr>
        <w:t xml:space="preserve">роцесот на дефинирање </w:t>
      </w:r>
      <w:r w:rsidR="00E362D9" w:rsidRPr="00940449">
        <w:rPr>
          <w:rFonts w:ascii="StobiSerif Regular" w:hAnsi="StobiSerif Regular" w:cs="Tahoma"/>
          <w:color w:val="000000" w:themeColor="text1"/>
          <w:lang w:val="mk-MK"/>
        </w:rPr>
        <w:t xml:space="preserve">на </w:t>
      </w:r>
      <w:r w:rsidR="00E805D7" w:rsidRPr="00940449">
        <w:rPr>
          <w:rFonts w:ascii="StobiSerif Regular" w:hAnsi="StobiSerif Regular" w:cs="Tahoma"/>
          <w:color w:val="000000" w:themeColor="text1"/>
          <w:lang w:val="mk-MK"/>
        </w:rPr>
        <w:t xml:space="preserve">финалните </w:t>
      </w:r>
      <w:r w:rsidR="00E805D7">
        <w:rPr>
          <w:rFonts w:ascii="StobiSerif Regular" w:hAnsi="StobiSerif Regular" w:cs="Tahoma"/>
          <w:lang w:val="mk-MK"/>
        </w:rPr>
        <w:t>предлог мерки се спроведуваше преку</w:t>
      </w:r>
      <w:r w:rsidR="00E362D9" w:rsidRPr="00E362D9">
        <w:rPr>
          <w:rFonts w:ascii="StobiSerif Regular" w:hAnsi="StobiSerif Regular" w:cs="Tahoma"/>
          <w:lang w:val="mk-MK"/>
        </w:rPr>
        <w:t xml:space="preserve"> тематски работни состаноци</w:t>
      </w:r>
      <w:r w:rsidR="00E805D7" w:rsidRPr="00E805D7">
        <w:t xml:space="preserve"> </w:t>
      </w:r>
      <w:r w:rsidR="00E805D7">
        <w:rPr>
          <w:rFonts w:ascii="StobiSerif Regular" w:hAnsi="StobiSerif Regular" w:cs="Tahoma"/>
          <w:lang w:val="mk-MK"/>
        </w:rPr>
        <w:t>помеѓу п</w:t>
      </w:r>
      <w:r w:rsidR="00E805D7" w:rsidRPr="00E805D7">
        <w:rPr>
          <w:rFonts w:ascii="StobiSerif Regular" w:hAnsi="StobiSerif Regular" w:cs="Tahoma"/>
          <w:lang w:val="mk-MK"/>
        </w:rPr>
        <w:t xml:space="preserve">ретставниците на граѓанските организации и владините институции кои дадоа свои предлози </w:t>
      </w:r>
      <w:r w:rsidR="00E805D7">
        <w:rPr>
          <w:rFonts w:ascii="StobiSerif Regular" w:hAnsi="StobiSerif Regular" w:cs="Tahoma"/>
          <w:lang w:val="mk-MK"/>
        </w:rPr>
        <w:t>како и преку доставување</w:t>
      </w:r>
      <w:r w:rsidR="00E805D7" w:rsidRPr="00E805D7">
        <w:rPr>
          <w:rFonts w:ascii="StobiSerif Regular" w:hAnsi="StobiSerif Regular" w:cs="Tahoma"/>
          <w:lang w:val="mk-MK"/>
        </w:rPr>
        <w:t xml:space="preserve"> ком</w:t>
      </w:r>
      <w:r w:rsidR="00E805D7">
        <w:rPr>
          <w:rFonts w:ascii="StobiSerif Regular" w:hAnsi="StobiSerif Regular" w:cs="Tahoma"/>
          <w:lang w:val="mk-MK"/>
        </w:rPr>
        <w:t>ентари и забелешки на објавените</w:t>
      </w:r>
      <w:r w:rsidR="00E805D7" w:rsidRPr="00E805D7">
        <w:rPr>
          <w:rFonts w:ascii="StobiSerif Regular" w:hAnsi="StobiSerif Regular" w:cs="Tahoma"/>
          <w:lang w:val="mk-MK"/>
        </w:rPr>
        <w:t xml:space="preserve"> </w:t>
      </w:r>
      <w:r w:rsidR="00E805D7">
        <w:rPr>
          <w:rFonts w:ascii="StobiSerif Regular" w:hAnsi="StobiSerif Regular" w:cs="Tahoma"/>
          <w:lang w:val="mk-MK"/>
        </w:rPr>
        <w:t>нацрт верзии</w:t>
      </w:r>
      <w:r w:rsidR="00E805D7" w:rsidRPr="00E805D7">
        <w:rPr>
          <w:rFonts w:ascii="StobiSerif Regular" w:hAnsi="StobiSerif Regular" w:cs="Tahoma"/>
          <w:lang w:val="mk-MK"/>
        </w:rPr>
        <w:t xml:space="preserve"> на акцискиот план</w:t>
      </w:r>
      <w:r w:rsidR="00E805D7">
        <w:rPr>
          <w:rFonts w:ascii="StobiSerif Regular" w:hAnsi="StobiSerif Regular" w:cs="Tahoma"/>
          <w:lang w:val="mk-MK"/>
        </w:rPr>
        <w:t xml:space="preserve"> на веб страната на МИОА</w:t>
      </w:r>
      <w:r w:rsidR="00AA7F17">
        <w:rPr>
          <w:rFonts w:ascii="StobiSerif Regular" w:hAnsi="StobiSerif Regular" w:cs="Tahoma"/>
          <w:lang w:val="mk-MK"/>
        </w:rPr>
        <w:t xml:space="preserve"> </w:t>
      </w:r>
      <w:r w:rsidR="00AA7F17" w:rsidRPr="00015659">
        <w:rPr>
          <w:rFonts w:ascii="StobiSerif Regular" w:hAnsi="StobiSerif Regular" w:cs="Tahoma"/>
          <w:lang w:val="mk-MK"/>
        </w:rPr>
        <w:t>и на порталот е-демократија</w:t>
      </w:r>
      <w:r w:rsidR="00AA6218">
        <w:rPr>
          <w:rStyle w:val="FootnoteReference"/>
          <w:rFonts w:ascii="StobiSerif Regular" w:hAnsi="StobiSerif Regular" w:cs="Tahoma"/>
          <w:lang w:val="mk-MK"/>
        </w:rPr>
        <w:footnoteReference w:id="1"/>
      </w:r>
      <w:r w:rsidR="00E805D7" w:rsidRPr="00015659">
        <w:rPr>
          <w:rFonts w:ascii="StobiSerif Regular" w:hAnsi="StobiSerif Regular" w:cs="Tahoma"/>
          <w:lang w:val="mk-MK"/>
        </w:rPr>
        <w:t>.</w:t>
      </w:r>
      <w:r w:rsidR="00AA7F17">
        <w:rPr>
          <w:rFonts w:ascii="StobiSerif Regular" w:hAnsi="StobiSerif Regular" w:cs="Tahoma"/>
          <w:lang w:val="mk-MK"/>
        </w:rPr>
        <w:t xml:space="preserve"> </w:t>
      </w:r>
    </w:p>
    <w:p w:rsidR="00AA7F17" w:rsidRDefault="00AA7F17" w:rsidP="00E362D9">
      <w:pPr>
        <w:pStyle w:val="ListParagraph"/>
        <w:spacing w:line="240" w:lineRule="auto"/>
        <w:ind w:left="0" w:firstLine="720"/>
        <w:jc w:val="both"/>
        <w:rPr>
          <w:rFonts w:ascii="StobiSerif Regular" w:hAnsi="StobiSerif Regular" w:cs="Tahoma"/>
          <w:lang w:val="mk-MK"/>
        </w:rPr>
      </w:pPr>
    </w:p>
    <w:p w:rsidR="0044458B" w:rsidRPr="0044458B" w:rsidRDefault="0044458B" w:rsidP="00E362D9">
      <w:pPr>
        <w:pStyle w:val="ListParagraph"/>
        <w:spacing w:line="240" w:lineRule="auto"/>
        <w:ind w:left="0" w:firstLine="720"/>
        <w:jc w:val="both"/>
        <w:rPr>
          <w:rFonts w:ascii="StobiSerif Regular" w:hAnsi="StobiSerif Regular" w:cs="Tahoma"/>
          <w:lang w:val="mk-MK"/>
        </w:rPr>
      </w:pPr>
      <w:r w:rsidRPr="0044458B">
        <w:rPr>
          <w:rFonts w:ascii="StobiSerif Regular" w:hAnsi="StobiSerif Regular" w:cs="Tahoma"/>
          <w:lang w:val="mk-MK"/>
        </w:rPr>
        <w:t xml:space="preserve">Како резултат од овој широк консултативен процес </w:t>
      </w:r>
      <w:r w:rsidR="00E805D7" w:rsidRPr="00E805D7">
        <w:rPr>
          <w:rFonts w:ascii="StobiSerif Regular" w:hAnsi="StobiSerif Regular" w:cs="Tahoma"/>
          <w:lang w:val="mk-MK"/>
        </w:rPr>
        <w:t>со директна вклученост на 489 претставници од владиниот, граѓанскиот и приватниот сектор и академските институции</w:t>
      </w:r>
      <w:r w:rsidRPr="00E805D7">
        <w:rPr>
          <w:rFonts w:ascii="StobiSerif Regular" w:hAnsi="StobiSerif Regular" w:cs="Tahoma"/>
          <w:lang w:val="mk-MK"/>
        </w:rPr>
        <w:t>,</w:t>
      </w:r>
      <w:r w:rsidRPr="0044458B">
        <w:rPr>
          <w:rFonts w:ascii="StobiSerif Regular" w:hAnsi="StobiSerif Regular" w:cs="Tahoma"/>
          <w:lang w:val="mk-MK"/>
        </w:rPr>
        <w:t xml:space="preserve"> се подготви </w:t>
      </w:r>
      <w:r w:rsidR="00AA7F17">
        <w:rPr>
          <w:rFonts w:ascii="StobiSerif Regular" w:hAnsi="StobiSerif Regular" w:cs="Tahoma"/>
          <w:lang w:val="mk-MK"/>
        </w:rPr>
        <w:t xml:space="preserve">третиот Национален </w:t>
      </w:r>
      <w:r w:rsidRPr="0044458B">
        <w:rPr>
          <w:rFonts w:ascii="StobiSerif Regular" w:hAnsi="StobiSerif Regular" w:cs="Tahoma"/>
          <w:lang w:val="mk-MK"/>
        </w:rPr>
        <w:t>Акциски план за Отворено владино пар</w:t>
      </w:r>
      <w:r w:rsidR="00AA7F17">
        <w:rPr>
          <w:rFonts w:ascii="StobiSerif Regular" w:hAnsi="StobiSerif Regular" w:cs="Tahoma"/>
          <w:lang w:val="mk-MK"/>
        </w:rPr>
        <w:t>т</w:t>
      </w:r>
      <w:r w:rsidRPr="0044458B">
        <w:rPr>
          <w:rFonts w:ascii="StobiSerif Regular" w:hAnsi="StobiSerif Regular" w:cs="Tahoma"/>
          <w:lang w:val="mk-MK"/>
        </w:rPr>
        <w:t>не</w:t>
      </w:r>
      <w:r w:rsidR="00AA7F17">
        <w:rPr>
          <w:rFonts w:ascii="StobiSerif Regular" w:hAnsi="StobiSerif Regular" w:cs="Tahoma"/>
          <w:lang w:val="mk-MK"/>
        </w:rPr>
        <w:t>рст</w:t>
      </w:r>
      <w:r w:rsidRPr="0044458B">
        <w:rPr>
          <w:rFonts w:ascii="StobiSerif Regular" w:hAnsi="StobiSerif Regular" w:cs="Tahoma"/>
          <w:lang w:val="mk-MK"/>
        </w:rPr>
        <w:t>во за 201</w:t>
      </w:r>
      <w:r w:rsidR="00AA7F17">
        <w:rPr>
          <w:rFonts w:ascii="StobiSerif Regular" w:hAnsi="StobiSerif Regular" w:cs="Tahoma"/>
          <w:lang w:val="mk-MK"/>
        </w:rPr>
        <w:t>6</w:t>
      </w:r>
      <w:r w:rsidRPr="0044458B">
        <w:rPr>
          <w:rFonts w:ascii="StobiSerif Regular" w:hAnsi="StobiSerif Regular" w:cs="Tahoma"/>
          <w:lang w:val="mk-MK"/>
        </w:rPr>
        <w:t>-201</w:t>
      </w:r>
      <w:r w:rsidR="00AA7F17">
        <w:rPr>
          <w:rFonts w:ascii="StobiSerif Regular" w:hAnsi="StobiSerif Regular" w:cs="Tahoma"/>
          <w:lang w:val="mk-MK"/>
        </w:rPr>
        <w:t>8</w:t>
      </w:r>
      <w:r w:rsidRPr="0044458B">
        <w:rPr>
          <w:rFonts w:ascii="StobiSerif Regular" w:hAnsi="StobiSerif Regular" w:cs="Tahoma"/>
          <w:lang w:val="mk-MK"/>
        </w:rPr>
        <w:t xml:space="preserve"> година </w:t>
      </w:r>
      <w:r w:rsidR="00AA7F17" w:rsidRPr="00AA7F17">
        <w:rPr>
          <w:rFonts w:ascii="StobiSerif Regular" w:hAnsi="StobiSerif Regular" w:cs="Tahoma"/>
          <w:lang w:val="mk-MK"/>
        </w:rPr>
        <w:t xml:space="preserve">во </w:t>
      </w:r>
      <w:r w:rsidR="00AA7F17">
        <w:rPr>
          <w:rFonts w:ascii="StobiSerif Regular" w:hAnsi="StobiSerif Regular" w:cs="Tahoma"/>
          <w:lang w:val="mk-MK"/>
        </w:rPr>
        <w:t>беа</w:t>
      </w:r>
      <w:r w:rsidR="00AA7F17" w:rsidRPr="00AA7F17">
        <w:rPr>
          <w:rFonts w:ascii="StobiSerif Regular" w:hAnsi="StobiSerif Regular" w:cs="Tahoma"/>
          <w:lang w:val="mk-MK"/>
        </w:rPr>
        <w:t xml:space="preserve"> дефинирани 100 достигнувања, 34 заложби разработени во 8 приоритетни теми</w:t>
      </w:r>
      <w:r w:rsidR="00701FB0">
        <w:rPr>
          <w:rFonts w:ascii="StobiSerif Regular" w:hAnsi="StobiSerif Regular" w:cs="Tahoma"/>
          <w:lang w:val="mk-MK"/>
        </w:rPr>
        <w:t xml:space="preserve">. </w:t>
      </w:r>
      <w:r w:rsidRPr="0044458B">
        <w:rPr>
          <w:rFonts w:ascii="StobiSerif Regular" w:hAnsi="StobiSerif Regular" w:cs="Tahoma"/>
          <w:lang w:val="mk-MK"/>
        </w:rPr>
        <w:t>По усвојувањето, Министерството за информатичко општест</w:t>
      </w:r>
      <w:r w:rsidR="00AA7F17">
        <w:rPr>
          <w:rFonts w:ascii="StobiSerif Regular" w:hAnsi="StobiSerif Regular" w:cs="Tahoma"/>
          <w:lang w:val="mk-MK"/>
        </w:rPr>
        <w:t>во и администрација во јуни 2016</w:t>
      </w:r>
      <w:r w:rsidRPr="0044458B">
        <w:rPr>
          <w:rFonts w:ascii="StobiSerif Regular" w:hAnsi="StobiSerif Regular" w:cs="Tahoma"/>
          <w:lang w:val="mk-MK"/>
        </w:rPr>
        <w:t xml:space="preserve"> година Акцискиот план го достави на англиски јазик до интернационалата на Отвореното владино партнерство во Вашингтон и </w:t>
      </w:r>
      <w:r w:rsidR="00AA7F17">
        <w:rPr>
          <w:rFonts w:ascii="StobiSerif Regular" w:hAnsi="StobiSerif Regular" w:cs="Tahoma"/>
          <w:lang w:val="mk-MK"/>
        </w:rPr>
        <w:t>беше објавен</w:t>
      </w:r>
      <w:r w:rsidRPr="0044458B">
        <w:rPr>
          <w:rFonts w:ascii="StobiSerif Regular" w:hAnsi="StobiSerif Regular" w:cs="Tahoma"/>
          <w:lang w:val="mk-MK"/>
        </w:rPr>
        <w:t xml:space="preserve"> на opengovparnetrship.org. </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44458B" w:rsidRPr="00AA7F17" w:rsidRDefault="00AA7F17" w:rsidP="0044458B">
      <w:pPr>
        <w:pStyle w:val="ListParagraph"/>
        <w:spacing w:line="240" w:lineRule="auto"/>
        <w:ind w:left="0" w:firstLine="720"/>
        <w:jc w:val="both"/>
        <w:rPr>
          <w:rFonts w:ascii="StobiSerif Regular" w:hAnsi="StobiSerif Regular" w:cs="Tahoma"/>
          <w:color w:val="4F81BD" w:themeColor="accent1"/>
          <w:lang w:val="mk-MK"/>
        </w:rPr>
      </w:pPr>
      <w:r>
        <w:rPr>
          <w:rFonts w:ascii="StobiSerif Regular" w:hAnsi="StobiSerif Regular" w:cs="Tahoma"/>
          <w:color w:val="4F81BD" w:themeColor="accent1"/>
          <w:lang w:val="mk-MK"/>
        </w:rPr>
        <w:t xml:space="preserve">2.2 </w:t>
      </w:r>
      <w:r w:rsidR="0044458B" w:rsidRPr="00AA7F17">
        <w:rPr>
          <w:rFonts w:ascii="StobiSerif Regular" w:hAnsi="StobiSerif Regular" w:cs="Tahoma"/>
          <w:color w:val="4F81BD" w:themeColor="accent1"/>
          <w:lang w:val="mk-MK"/>
        </w:rPr>
        <w:t>Консултации во процесот на имплементација на акцискиот план</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44458B" w:rsidRPr="0044458B" w:rsidRDefault="0044458B" w:rsidP="0044458B">
      <w:pPr>
        <w:pStyle w:val="ListParagraph"/>
        <w:spacing w:line="240" w:lineRule="auto"/>
        <w:ind w:left="0" w:firstLine="720"/>
        <w:jc w:val="both"/>
        <w:rPr>
          <w:rFonts w:ascii="StobiSerif Regular" w:hAnsi="StobiSerif Regular" w:cs="Tahoma"/>
          <w:lang w:val="mk-MK"/>
        </w:rPr>
      </w:pPr>
      <w:r w:rsidRPr="0044458B">
        <w:rPr>
          <w:rFonts w:ascii="StobiSerif Regular" w:hAnsi="StobiSerif Regular" w:cs="Tahoma"/>
          <w:lang w:val="mk-MK"/>
        </w:rPr>
        <w:t>За имплементација на Акцискиот план за О</w:t>
      </w:r>
      <w:r w:rsidR="00AA7F17">
        <w:rPr>
          <w:rFonts w:ascii="StobiSerif Regular" w:hAnsi="StobiSerif Regular" w:cs="Tahoma"/>
          <w:lang w:val="mk-MK"/>
        </w:rPr>
        <w:t>творено владино партнерство 2016-2018</w:t>
      </w:r>
      <w:r w:rsidRPr="0044458B">
        <w:rPr>
          <w:rFonts w:ascii="StobiSerif Regular" w:hAnsi="StobiSerif Regular" w:cs="Tahoma"/>
          <w:lang w:val="mk-MK"/>
        </w:rPr>
        <w:t xml:space="preserve"> година беше формирана работна група со сите чинители за поединечните приоритетни области: </w:t>
      </w:r>
      <w:r w:rsidR="00DF372F" w:rsidRPr="00DF372F">
        <w:rPr>
          <w:rFonts w:ascii="StobiSerif Regular" w:hAnsi="StobiSerif Regular" w:cs="Tahoma"/>
          <w:lang w:val="mk-MK"/>
        </w:rPr>
        <w:t>партиципативно креирање на политики, отворени податоци, слобода на информации, спречување на корупција и промовирање на доброто владеење, ефикасно управување со јавните ресурси (фискална транспарентност), отвореност на локално ниво, јавни услуги и климатски промени</w:t>
      </w:r>
      <w:r w:rsidRPr="0044458B">
        <w:rPr>
          <w:rFonts w:ascii="StobiSerif Regular" w:hAnsi="StobiSerif Regular" w:cs="Tahoma"/>
          <w:lang w:val="mk-MK"/>
        </w:rPr>
        <w:t xml:space="preserve">. Секоја работна група </w:t>
      </w:r>
      <w:r w:rsidR="00DF372F">
        <w:rPr>
          <w:rFonts w:ascii="StobiSerif Regular" w:hAnsi="StobiSerif Regular" w:cs="Tahoma"/>
          <w:lang w:val="mk-MK"/>
        </w:rPr>
        <w:t>беше составена од</w:t>
      </w:r>
      <w:r w:rsidRPr="0044458B">
        <w:rPr>
          <w:rFonts w:ascii="StobiSerif Regular" w:hAnsi="StobiSerif Regular" w:cs="Tahoma"/>
          <w:lang w:val="mk-MK"/>
        </w:rPr>
        <w:t xml:space="preserve"> координатор, заменик координатор и членови (претставници од релевантни институции и претставници на граѓанскиот сектор) кои дадоа свој придонес во спроведувањето на мерките од акцискиот план. Работата и динамиката на состанување беше во надлежност на работните групи додека за подготовка на кварталните извештаи и преземање на тековни активности редовно се одржуваа состаноци на ниво н</w:t>
      </w:r>
      <w:r w:rsidR="00940449">
        <w:rPr>
          <w:rFonts w:ascii="StobiSerif Regular" w:hAnsi="StobiSerif Regular" w:cs="Tahoma"/>
          <w:lang w:val="mk-MK"/>
        </w:rPr>
        <w:t xml:space="preserve">а координатори на работни групи. </w:t>
      </w:r>
      <w:r w:rsidRPr="0044458B">
        <w:rPr>
          <w:rFonts w:ascii="StobiSerif Regular" w:hAnsi="StobiSerif Regular" w:cs="Tahoma"/>
          <w:lang w:val="mk-MK"/>
        </w:rPr>
        <w:t>Во текот на имплементацијата на мерките од акцискиот план, покрај работните состаноци на ниво на работни групи по приоритети, консултацијата се вршеше по пат на електронска пошта а централно место за увид и коментирање беше обезбедено на порталот</w:t>
      </w:r>
      <w:r w:rsidR="00940449">
        <w:rPr>
          <w:rFonts w:ascii="StobiSerif Regular" w:hAnsi="StobiSerif Regular" w:cs="Tahoma"/>
        </w:rPr>
        <w:t xml:space="preserve"> </w:t>
      </w:r>
      <w:r w:rsidRPr="0044458B">
        <w:rPr>
          <w:rFonts w:ascii="StobiSerif Regular" w:hAnsi="StobiSerif Regular" w:cs="Tahoma"/>
          <w:lang w:val="mk-MK"/>
        </w:rPr>
        <w:t>е-де</w:t>
      </w:r>
      <w:r w:rsidR="00DF372F">
        <w:rPr>
          <w:rFonts w:ascii="StobiSerif Regular" w:hAnsi="StobiSerif Regular" w:cs="Tahoma"/>
          <w:lang w:val="mk-MK"/>
        </w:rPr>
        <w:t>мократија. Во периодот јуни 2016 – јуни 2018</w:t>
      </w:r>
      <w:r w:rsidRPr="0044458B">
        <w:rPr>
          <w:rFonts w:ascii="StobiSerif Regular" w:hAnsi="StobiSerif Regular" w:cs="Tahoma"/>
          <w:lang w:val="mk-MK"/>
        </w:rPr>
        <w:t xml:space="preserve"> година беа подготвени и утврдени од страна на Владата на Република Македонија </w:t>
      </w:r>
      <w:r w:rsidR="00DF372F">
        <w:rPr>
          <w:rFonts w:ascii="StobiSerif Regular" w:hAnsi="StobiSerif Regular" w:cs="Tahoma"/>
          <w:lang w:val="mk-MK"/>
        </w:rPr>
        <w:t>4</w:t>
      </w:r>
      <w:r w:rsidRPr="0044458B">
        <w:rPr>
          <w:rFonts w:ascii="StobiSerif Regular" w:hAnsi="StobiSerif Regular" w:cs="Tahoma"/>
          <w:lang w:val="mk-MK"/>
        </w:rPr>
        <w:t xml:space="preserve"> </w:t>
      </w:r>
      <w:r w:rsidRPr="0044458B">
        <w:rPr>
          <w:rFonts w:ascii="StobiSerif Regular" w:hAnsi="StobiSerif Regular" w:cs="Tahoma"/>
          <w:lang w:val="mk-MK"/>
        </w:rPr>
        <w:lastRenderedPageBreak/>
        <w:t>извештаи за прогресот во имплементацијата на Акцискиот план за Отворено владино партнерство 201</w:t>
      </w:r>
      <w:r w:rsidR="00FB0DF3">
        <w:rPr>
          <w:rFonts w:ascii="StobiSerif Regular" w:hAnsi="StobiSerif Regular" w:cs="Tahoma"/>
          <w:lang w:val="mk-MK"/>
        </w:rPr>
        <w:t>6</w:t>
      </w:r>
      <w:r w:rsidRPr="0044458B">
        <w:rPr>
          <w:rFonts w:ascii="StobiSerif Regular" w:hAnsi="StobiSerif Regular" w:cs="Tahoma"/>
          <w:lang w:val="mk-MK"/>
        </w:rPr>
        <w:t>-201</w:t>
      </w:r>
      <w:r w:rsidR="00FB0DF3">
        <w:rPr>
          <w:rFonts w:ascii="StobiSerif Regular" w:hAnsi="StobiSerif Regular" w:cs="Tahoma"/>
          <w:lang w:val="mk-MK"/>
        </w:rPr>
        <w:t>8</w:t>
      </w:r>
      <w:r w:rsidRPr="0044458B">
        <w:rPr>
          <w:rFonts w:ascii="StobiSerif Regular" w:hAnsi="StobiSerif Regular" w:cs="Tahoma"/>
          <w:lang w:val="mk-MK"/>
        </w:rPr>
        <w:t xml:space="preserve"> година. </w:t>
      </w:r>
    </w:p>
    <w:p w:rsidR="0044458B" w:rsidRDefault="0044458B" w:rsidP="0044458B">
      <w:pPr>
        <w:pStyle w:val="ListParagraph"/>
        <w:spacing w:line="240" w:lineRule="auto"/>
        <w:ind w:left="0" w:firstLine="720"/>
        <w:jc w:val="both"/>
        <w:rPr>
          <w:rFonts w:ascii="StobiSerif Regular" w:hAnsi="StobiSerif Regular" w:cs="Tahoma"/>
          <w:lang w:val="mk-MK"/>
        </w:rPr>
      </w:pPr>
    </w:p>
    <w:p w:rsidR="009B3DAA" w:rsidRPr="009B3DAA" w:rsidRDefault="009B3DAA" w:rsidP="009B3DAA">
      <w:pPr>
        <w:pStyle w:val="ListParagraph"/>
        <w:spacing w:line="240" w:lineRule="auto"/>
        <w:ind w:left="1134" w:hanging="414"/>
        <w:jc w:val="both"/>
        <w:rPr>
          <w:rFonts w:ascii="StobiSerif Regular" w:hAnsi="StobiSerif Regular" w:cs="Tahoma"/>
          <w:color w:val="4F81BD" w:themeColor="accent1"/>
          <w:lang w:val="mk-MK"/>
        </w:rPr>
      </w:pPr>
      <w:r w:rsidRPr="009B3DAA">
        <w:rPr>
          <w:rFonts w:ascii="StobiSerif Regular" w:hAnsi="StobiSerif Regular" w:cs="Tahoma"/>
          <w:color w:val="4F81BD" w:themeColor="accent1"/>
          <w:lang w:val="mk-MK"/>
        </w:rPr>
        <w:t>2.3 Поврзување на Отвореното владино партнерство со Одржливите развојни цели</w:t>
      </w:r>
    </w:p>
    <w:p w:rsidR="0044458B" w:rsidRDefault="0044458B" w:rsidP="009B3DAA">
      <w:pPr>
        <w:pStyle w:val="ListParagraph"/>
        <w:spacing w:after="0" w:line="240" w:lineRule="auto"/>
        <w:ind w:left="0" w:firstLine="720"/>
        <w:contextualSpacing w:val="0"/>
        <w:jc w:val="both"/>
        <w:rPr>
          <w:rFonts w:ascii="StobiSerif Regular" w:hAnsi="StobiSerif Regular" w:cs="Tahoma"/>
          <w:lang w:val="mk-MK"/>
        </w:rPr>
      </w:pPr>
    </w:p>
    <w:p w:rsidR="009B3DAA" w:rsidRPr="009B3DAA" w:rsidRDefault="009B3DAA" w:rsidP="009B3DAA">
      <w:pPr>
        <w:ind w:firstLine="720"/>
        <w:jc w:val="both"/>
        <w:rPr>
          <w:rFonts w:ascii="StobiSerif Regular" w:eastAsia="Calibri" w:hAnsi="StobiSerif Regular" w:cs="Tahoma"/>
          <w:lang w:val="mk-MK"/>
        </w:rPr>
      </w:pPr>
      <w:r w:rsidRPr="009B3DAA">
        <w:rPr>
          <w:rFonts w:ascii="StobiSerif Regular" w:eastAsia="Calibri" w:hAnsi="StobiSerif Regular" w:cs="Tahoma"/>
          <w:lang w:val="mk-MK"/>
        </w:rPr>
        <w:t xml:space="preserve">Во рамките на заложбите на Република Македонија за постигнување на Одржливите развојни цели како и прифаќањето на „Заедничката декларација за Отворена влада за спроведување на Агендата за одржлив развој до 2030“,  во текот на подготовката на овој Акциски план Владата на Република Македонија се одлучи на пионерски напор за интегрирање на принципите за одржлив развој во Агендата за отворена влада. </w:t>
      </w:r>
    </w:p>
    <w:p w:rsidR="009B3DAA" w:rsidRPr="009B3DAA" w:rsidRDefault="009B3DAA" w:rsidP="009B3DAA">
      <w:pPr>
        <w:ind w:firstLine="720"/>
        <w:jc w:val="both"/>
        <w:rPr>
          <w:rFonts w:ascii="StobiSerif Regular" w:eastAsia="Calibri" w:hAnsi="StobiSerif Regular" w:cs="Tahoma"/>
          <w:lang w:val="mk-MK"/>
        </w:rPr>
      </w:pPr>
      <w:r w:rsidRPr="009B3DAA">
        <w:rPr>
          <w:rFonts w:ascii="StobiSerif Regular" w:eastAsia="Calibri" w:hAnsi="StobiSerif Regular" w:cs="Tahoma"/>
          <w:lang w:val="mk-MK"/>
        </w:rPr>
        <w:t xml:space="preserve">Во текот на консултативните настани организирани во периодот февруари-мај 2016, беа објаснети и популаризирани одржливите развојни цели и воедно учесниците беа поттикнати да размислуваат и да предложат како мерките од Акцискиот план за Отворено владино партнерство можат да бидат релевантни и усогласени со Агендата за одржлив развој. </w:t>
      </w:r>
    </w:p>
    <w:p w:rsidR="009B3DAA" w:rsidRDefault="009B3DAA" w:rsidP="0044458B">
      <w:pPr>
        <w:pStyle w:val="ListParagraph"/>
        <w:spacing w:line="240" w:lineRule="auto"/>
        <w:ind w:left="0" w:firstLine="720"/>
        <w:jc w:val="both"/>
        <w:rPr>
          <w:rFonts w:ascii="StobiSerif Regular" w:hAnsi="StobiSerif Regular" w:cs="Tahoma"/>
          <w:lang w:val="mk-MK"/>
        </w:rPr>
      </w:pPr>
      <w:r w:rsidRPr="009B3DAA">
        <w:rPr>
          <w:rFonts w:ascii="StobiSerif Regular" w:hAnsi="StobiSerif Regular" w:cs="Tahoma"/>
          <w:lang w:val="mk-MK"/>
        </w:rPr>
        <w:t>Интегрирањето на развојните цели во Отвореното владино партнерство е направено според постојните глобално дефинирани развојни цели и индикатори, бидејќи во моментот тече процесот на локализирање на Одржливите развојн</w:t>
      </w:r>
      <w:r>
        <w:rPr>
          <w:rFonts w:ascii="StobiSerif Regular" w:hAnsi="StobiSerif Regular" w:cs="Tahoma"/>
          <w:lang w:val="mk-MK"/>
        </w:rPr>
        <w:t>и цели за Македонија. И</w:t>
      </w:r>
      <w:r w:rsidRPr="009B3DAA">
        <w:rPr>
          <w:rFonts w:ascii="StobiSerif Regular" w:hAnsi="StobiSerif Regular" w:cs="Tahoma"/>
          <w:lang w:val="mk-MK"/>
        </w:rPr>
        <w:t xml:space="preserve">дентификувањето на врските помеѓу мерките на Отвореното владино партнерство и глобалните развојни цели кое се постигна во овој процес е голем исчекор во унапредувањето на Одржливите развојни цели во Република Македонија и самиот процес и исходот од истиот ќе бидат земени предвид во понатамошните чекори на Владата на Република Македонија за локализирање на глобалните развојни цели во другите национални политики. </w:t>
      </w:r>
    </w:p>
    <w:p w:rsidR="009B3DAA" w:rsidRDefault="009B3DAA" w:rsidP="0044458B">
      <w:pPr>
        <w:pStyle w:val="ListParagraph"/>
        <w:spacing w:line="240" w:lineRule="auto"/>
        <w:ind w:left="0" w:firstLine="720"/>
        <w:jc w:val="both"/>
        <w:rPr>
          <w:rFonts w:ascii="StobiSerif Regular" w:hAnsi="StobiSerif Regular" w:cs="Tahoma"/>
          <w:lang w:val="mk-MK"/>
        </w:rPr>
      </w:pPr>
    </w:p>
    <w:p w:rsidR="009B3DAA" w:rsidRPr="0044458B" w:rsidRDefault="009B3DAA" w:rsidP="0044458B">
      <w:pPr>
        <w:pStyle w:val="ListParagraph"/>
        <w:spacing w:line="240" w:lineRule="auto"/>
        <w:ind w:left="0" w:firstLine="720"/>
        <w:jc w:val="both"/>
        <w:rPr>
          <w:rFonts w:ascii="StobiSerif Regular" w:hAnsi="StobiSerif Regular" w:cs="Tahoma"/>
          <w:lang w:val="mk-MK"/>
        </w:rPr>
      </w:pPr>
    </w:p>
    <w:p w:rsidR="0044458B" w:rsidRPr="0044458B" w:rsidRDefault="0044458B" w:rsidP="0044458B">
      <w:pPr>
        <w:pStyle w:val="ListParagraph"/>
        <w:numPr>
          <w:ilvl w:val="0"/>
          <w:numId w:val="37"/>
        </w:numPr>
        <w:spacing w:line="240" w:lineRule="auto"/>
        <w:jc w:val="both"/>
        <w:rPr>
          <w:rFonts w:ascii="StobiSerif Regular" w:hAnsi="StobiSerif Regular" w:cs="Tahoma"/>
          <w:b/>
          <w:color w:val="4F81BD" w:themeColor="accent1"/>
          <w:lang w:val="mk-MK"/>
        </w:rPr>
      </w:pPr>
      <w:r w:rsidRPr="0044458B">
        <w:rPr>
          <w:rFonts w:ascii="StobiSerif Regular" w:hAnsi="StobiSerif Regular" w:cs="Tahoma"/>
          <w:b/>
          <w:color w:val="4F81BD" w:themeColor="accent1"/>
          <w:lang w:val="mk-MK"/>
        </w:rPr>
        <w:t>ИРМ ПРЕПОРАКИ</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44458B" w:rsidRPr="0044458B" w:rsidRDefault="0044458B" w:rsidP="0044458B">
      <w:pPr>
        <w:pStyle w:val="ListParagraph"/>
        <w:spacing w:line="240" w:lineRule="auto"/>
        <w:ind w:left="0" w:firstLine="720"/>
        <w:jc w:val="both"/>
        <w:rPr>
          <w:rFonts w:ascii="StobiSerif Regular" w:hAnsi="StobiSerif Regular" w:cs="Tahoma"/>
          <w:lang w:val="mk-MK"/>
        </w:rPr>
      </w:pPr>
      <w:r w:rsidRPr="0044458B">
        <w:rPr>
          <w:rFonts w:ascii="StobiSerif Regular" w:hAnsi="StobiSerif Regular" w:cs="Tahoma"/>
          <w:lang w:val="mk-MK"/>
        </w:rPr>
        <w:t xml:space="preserve">Врз основа на предизвиците и наодите утврдени во </w:t>
      </w:r>
      <w:r w:rsidR="0013576A">
        <w:rPr>
          <w:rFonts w:ascii="StobiSerif Regular" w:hAnsi="StobiSerif Regular" w:cs="Tahoma"/>
          <w:lang w:val="mk-MK"/>
        </w:rPr>
        <w:t>вториот Извештај</w:t>
      </w:r>
      <w:r w:rsidRPr="0044458B">
        <w:rPr>
          <w:rFonts w:ascii="StobiSerif Regular" w:hAnsi="StobiSerif Regular" w:cs="Tahoma"/>
          <w:lang w:val="mk-MK"/>
        </w:rPr>
        <w:t xml:space="preserve"> за напредокот</w:t>
      </w:r>
      <w:r w:rsidR="00015659">
        <w:rPr>
          <w:rFonts w:ascii="StobiSerif Regular" w:hAnsi="StobiSerif Regular" w:cs="Tahoma"/>
          <w:lang w:val="mk-MK"/>
        </w:rPr>
        <w:t xml:space="preserve"> на Република Македонија</w:t>
      </w:r>
      <w:r w:rsidRPr="0044458B">
        <w:rPr>
          <w:rFonts w:ascii="StobiSerif Regular" w:hAnsi="StobiSerif Regular" w:cs="Tahoma"/>
          <w:lang w:val="mk-MK"/>
        </w:rPr>
        <w:t>, подготвен во рамките на независниот механизам за известување, во текот на подготовката на Акцискиот план за О</w:t>
      </w:r>
      <w:r w:rsidR="00015659">
        <w:rPr>
          <w:rFonts w:ascii="StobiSerif Regular" w:hAnsi="StobiSerif Regular" w:cs="Tahoma"/>
          <w:lang w:val="mk-MK"/>
        </w:rPr>
        <w:t>творено владино партнерство 2016-2018</w:t>
      </w:r>
      <w:r w:rsidRPr="0044458B">
        <w:rPr>
          <w:rFonts w:ascii="StobiSerif Regular" w:hAnsi="StobiSerif Regular" w:cs="Tahoma"/>
          <w:lang w:val="mk-MK"/>
        </w:rPr>
        <w:t xml:space="preserve"> година беа земени во предвид главните препораки и тоа:</w:t>
      </w: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D91E2E" w:rsidRPr="00232EA6" w:rsidRDefault="00232EA6" w:rsidP="0049380A">
      <w:pPr>
        <w:pStyle w:val="ListParagraph"/>
        <w:numPr>
          <w:ilvl w:val="0"/>
          <w:numId w:val="38"/>
        </w:numPr>
        <w:spacing w:line="240" w:lineRule="auto"/>
        <w:jc w:val="both"/>
        <w:rPr>
          <w:rFonts w:ascii="StobiSerif Regular" w:hAnsi="StobiSerif Regular" w:cs="Tahoma"/>
          <w:lang w:val="mk-MK"/>
        </w:rPr>
      </w:pPr>
      <w:r>
        <w:rPr>
          <w:rFonts w:ascii="StobiSerif Regular" w:hAnsi="StobiSerif Regular" w:cs="Tahoma"/>
          <w:lang w:val="mk-MK"/>
        </w:rPr>
        <w:t>В</w:t>
      </w:r>
      <w:r w:rsidR="00D91E2E" w:rsidRPr="000543FD">
        <w:rPr>
          <w:rFonts w:ascii="StobiSerif Regular" w:hAnsi="StobiSerif Regular" w:cs="Tahoma"/>
          <w:lang w:val="mk-MK"/>
        </w:rPr>
        <w:t xml:space="preserve">о процесот на подготовка и развој на заложбите за третиот национален акциски план посебно внимание се посвети истите да содржат трансформативни, реалистични и мерливи достигнувања остварливи за период од две години. Во текот на работните состаноци за креирање на предлог </w:t>
      </w:r>
      <w:r w:rsidR="0049380A">
        <w:rPr>
          <w:rFonts w:ascii="StobiSerif Regular" w:hAnsi="StobiSerif Regular" w:cs="Tahoma"/>
          <w:lang w:val="mk-MK"/>
        </w:rPr>
        <w:t>достигнувањата</w:t>
      </w:r>
      <w:r w:rsidR="00D91E2E" w:rsidRPr="000543FD">
        <w:rPr>
          <w:rFonts w:ascii="StobiSerif Regular" w:hAnsi="StobiSerif Regular" w:cs="Tahoma"/>
          <w:lang w:val="mk-MK"/>
        </w:rPr>
        <w:t xml:space="preserve">, претставниците на граѓанските организации и владините институции се фокусираа на дефинирање </w:t>
      </w:r>
      <w:r w:rsidR="0049380A" w:rsidRPr="000543FD">
        <w:rPr>
          <w:rFonts w:ascii="StobiSerif Regular" w:hAnsi="StobiSerif Regular" w:cs="Tahoma"/>
          <w:lang w:val="mk-MK"/>
        </w:rPr>
        <w:t xml:space="preserve">и приоретизирање </w:t>
      </w:r>
      <w:r w:rsidR="00D91E2E" w:rsidRPr="000543FD">
        <w:rPr>
          <w:rFonts w:ascii="StobiSerif Regular" w:hAnsi="StobiSerif Regular" w:cs="Tahoma"/>
          <w:lang w:val="mk-MK"/>
        </w:rPr>
        <w:t xml:space="preserve">на предлог </w:t>
      </w:r>
      <w:r w:rsidR="0049380A" w:rsidRPr="0049380A">
        <w:rPr>
          <w:rFonts w:ascii="StobiSerif Regular" w:hAnsi="StobiSerif Regular" w:cs="Tahoma"/>
          <w:lang w:val="mk-MK"/>
        </w:rPr>
        <w:t>достигнувања</w:t>
      </w:r>
      <w:r w:rsidR="00D91E2E" w:rsidRPr="000543FD">
        <w:rPr>
          <w:rFonts w:ascii="StobiSerif Regular" w:hAnsi="StobiSerif Regular" w:cs="Tahoma"/>
          <w:lang w:val="mk-MK"/>
        </w:rPr>
        <w:t xml:space="preserve"> согласно </w:t>
      </w:r>
      <w:r w:rsidR="0049380A">
        <w:rPr>
          <w:rFonts w:ascii="StobiSerif Regular" w:hAnsi="StobiSerif Regular" w:cs="Tahoma"/>
          <w:lang w:val="mk-MK"/>
        </w:rPr>
        <w:t>проблемите идентификувани во</w:t>
      </w:r>
      <w:r w:rsidR="0049380A" w:rsidRPr="0049380A">
        <w:rPr>
          <w:rFonts w:ascii="StobiSerif Regular" w:hAnsi="StobiSerif Regular" w:cs="Tahoma"/>
          <w:lang w:val="mk-MK"/>
        </w:rPr>
        <w:t xml:space="preserve"> претходните акциски планови</w:t>
      </w:r>
      <w:r w:rsidR="0049380A">
        <w:rPr>
          <w:rFonts w:ascii="StobiSerif Regular" w:hAnsi="StobiSerif Regular" w:cs="Tahoma"/>
          <w:lang w:val="mk-MK"/>
        </w:rPr>
        <w:t xml:space="preserve"> и</w:t>
      </w:r>
      <w:r w:rsidR="0049380A" w:rsidRPr="0049380A">
        <w:rPr>
          <w:rFonts w:ascii="StobiSerif Regular" w:hAnsi="StobiSerif Regular" w:cs="Tahoma"/>
          <w:lang w:val="mk-MK"/>
        </w:rPr>
        <w:t xml:space="preserve"> </w:t>
      </w:r>
      <w:r>
        <w:rPr>
          <w:rFonts w:ascii="StobiSerif Regular" w:hAnsi="StobiSerif Regular" w:cs="Tahoma"/>
          <w:lang w:val="mk-MK"/>
        </w:rPr>
        <w:t xml:space="preserve">препораките и </w:t>
      </w:r>
      <w:r w:rsidR="00D91E2E" w:rsidRPr="000543FD">
        <w:rPr>
          <w:rFonts w:ascii="StobiSerif Regular" w:hAnsi="StobiSerif Regular" w:cs="Tahoma"/>
          <w:lang w:val="mk-MK"/>
        </w:rPr>
        <w:t xml:space="preserve">критериумите од независниот механизам за известување.  </w:t>
      </w:r>
    </w:p>
    <w:p w:rsidR="0044458B" w:rsidRDefault="001A4C56" w:rsidP="001A4C56">
      <w:pPr>
        <w:pStyle w:val="ListParagraph"/>
        <w:numPr>
          <w:ilvl w:val="0"/>
          <w:numId w:val="38"/>
        </w:numPr>
        <w:spacing w:line="240" w:lineRule="auto"/>
        <w:jc w:val="both"/>
        <w:rPr>
          <w:rFonts w:ascii="StobiSerif Regular" w:hAnsi="StobiSerif Regular" w:cs="Tahoma"/>
          <w:lang w:val="mk-MK"/>
        </w:rPr>
      </w:pPr>
      <w:r w:rsidRPr="001A4C56">
        <w:rPr>
          <w:rFonts w:ascii="StobiSerif Regular" w:hAnsi="StobiSerif Regular" w:cs="Tahoma"/>
          <w:lang w:val="mk-MK"/>
        </w:rPr>
        <w:t xml:space="preserve">Во создавањето на овој акциски план </w:t>
      </w:r>
      <w:r w:rsidR="000543FD" w:rsidRPr="000543FD">
        <w:rPr>
          <w:rFonts w:ascii="StobiSerif Regular" w:hAnsi="StobiSerif Regular" w:cs="Tahoma"/>
          <w:lang w:val="mk-MK"/>
        </w:rPr>
        <w:t xml:space="preserve">централно место зазедоа консултациите во и </w:t>
      </w:r>
      <w:r>
        <w:rPr>
          <w:rFonts w:ascii="StobiSerif Regular" w:hAnsi="StobiSerif Regular" w:cs="Tahoma"/>
          <w:lang w:val="mk-MK"/>
        </w:rPr>
        <w:t>надвор од Владата, вклучувајќи</w:t>
      </w:r>
      <w:r w:rsidR="000543FD" w:rsidRPr="000543FD">
        <w:rPr>
          <w:rFonts w:ascii="StobiSerif Regular" w:hAnsi="StobiSerif Regular" w:cs="Tahoma"/>
          <w:lang w:val="mk-MK"/>
        </w:rPr>
        <w:t xml:space="preserve"> широки консултации со министерствата и други органи на државната управа, како и консултација со општата јавност, граѓанските организации, академските институции и приватниот сектор</w:t>
      </w:r>
      <w:r>
        <w:rPr>
          <w:rFonts w:ascii="StobiSerif Regular" w:hAnsi="StobiSerif Regular" w:cs="Tahoma"/>
          <w:lang w:val="mk-MK"/>
        </w:rPr>
        <w:t xml:space="preserve"> преку организирање на голем број на </w:t>
      </w:r>
      <w:r w:rsidRPr="001A4C56">
        <w:rPr>
          <w:rFonts w:ascii="StobiSerif Regular" w:hAnsi="StobiSerif Regular" w:cs="Tahoma"/>
          <w:lang w:val="mk-MK"/>
        </w:rPr>
        <w:t>тематски работилници</w:t>
      </w:r>
      <w:r>
        <w:rPr>
          <w:rFonts w:ascii="StobiSerif Regular" w:hAnsi="StobiSerif Regular" w:cs="Tahoma"/>
          <w:lang w:val="mk-MK"/>
        </w:rPr>
        <w:t xml:space="preserve">, јавни настани, </w:t>
      </w:r>
      <w:r w:rsidRPr="001A4C56">
        <w:rPr>
          <w:rFonts w:ascii="StobiSerif Regular" w:hAnsi="StobiSerif Regular" w:cs="Tahoma"/>
          <w:lang w:val="mk-MK"/>
        </w:rPr>
        <w:t>работни состаноци</w:t>
      </w:r>
      <w:r>
        <w:rPr>
          <w:rFonts w:ascii="StobiSerif Regular" w:hAnsi="StobiSerif Regular" w:cs="Tahoma"/>
          <w:lang w:val="mk-MK"/>
        </w:rPr>
        <w:t xml:space="preserve"> и</w:t>
      </w:r>
      <w:r w:rsidRPr="001A4C56">
        <w:rPr>
          <w:rFonts w:ascii="StobiSerif Regular" w:hAnsi="StobiSerif Regular" w:cs="Tahoma"/>
          <w:lang w:val="mk-MK"/>
        </w:rPr>
        <w:t xml:space="preserve"> </w:t>
      </w:r>
      <w:r>
        <w:rPr>
          <w:rFonts w:ascii="StobiSerif Regular" w:hAnsi="StobiSerif Regular" w:cs="Tahoma"/>
          <w:lang w:val="mk-MK"/>
        </w:rPr>
        <w:t>објава на</w:t>
      </w:r>
      <w:r w:rsidRPr="001A4C56">
        <w:rPr>
          <w:rFonts w:ascii="StobiSerif Regular" w:hAnsi="StobiSerif Regular" w:cs="Tahoma"/>
          <w:lang w:val="mk-MK"/>
        </w:rPr>
        <w:t xml:space="preserve"> нацрт верзии на </w:t>
      </w:r>
      <w:r>
        <w:rPr>
          <w:rFonts w:ascii="StobiSerif Regular" w:hAnsi="StobiSerif Regular" w:cs="Tahoma"/>
          <w:lang w:val="mk-MK"/>
        </w:rPr>
        <w:t>АП</w:t>
      </w:r>
      <w:r w:rsidRPr="001A4C56">
        <w:rPr>
          <w:rFonts w:ascii="StobiSerif Regular" w:hAnsi="StobiSerif Regular" w:cs="Tahoma"/>
          <w:lang w:val="mk-MK"/>
        </w:rPr>
        <w:t xml:space="preserve"> на веб страната на МИОА и на порталот е-демократија</w:t>
      </w:r>
      <w:r w:rsidR="000543FD" w:rsidRPr="001A4C56">
        <w:rPr>
          <w:rFonts w:ascii="StobiSerif Regular" w:hAnsi="StobiSerif Regular" w:cs="Tahoma"/>
          <w:lang w:val="mk-MK"/>
        </w:rPr>
        <w:t>.</w:t>
      </w:r>
    </w:p>
    <w:p w:rsidR="00E72C61" w:rsidRDefault="00597DDD" w:rsidP="00597DDD">
      <w:pPr>
        <w:pStyle w:val="ListParagraph"/>
        <w:numPr>
          <w:ilvl w:val="0"/>
          <w:numId w:val="38"/>
        </w:numPr>
        <w:spacing w:line="240" w:lineRule="auto"/>
        <w:jc w:val="both"/>
        <w:rPr>
          <w:rFonts w:ascii="StobiSerif Regular" w:hAnsi="StobiSerif Regular" w:cs="Tahoma"/>
          <w:lang w:val="mk-MK"/>
        </w:rPr>
      </w:pPr>
      <w:r>
        <w:rPr>
          <w:rFonts w:ascii="StobiSerif Regular" w:hAnsi="StobiSerif Regular" w:cs="Tahoma"/>
          <w:lang w:val="mk-MK"/>
        </w:rPr>
        <w:t xml:space="preserve">Согласно идентификуваните </w:t>
      </w:r>
      <w:r w:rsidRPr="00E72C61">
        <w:rPr>
          <w:rFonts w:ascii="StobiSerif Regular" w:hAnsi="StobiSerif Regular" w:cs="Tahoma"/>
          <w:lang w:val="mk-MK"/>
        </w:rPr>
        <w:t>потенцијални трансформативни приоритети</w:t>
      </w:r>
      <w:r>
        <w:rPr>
          <w:rFonts w:ascii="StobiSerif Regular" w:hAnsi="StobiSerif Regular" w:cs="Tahoma"/>
          <w:lang w:val="mk-MK"/>
        </w:rPr>
        <w:t>, третиот АП содржи заложби кои се однесуваат на</w:t>
      </w:r>
      <w:r w:rsidR="00114745">
        <w:rPr>
          <w:rFonts w:ascii="StobiSerif Regular" w:hAnsi="StobiSerif Regular" w:cs="Tahoma"/>
          <w:lang w:val="mk-MK"/>
        </w:rPr>
        <w:t>:</w:t>
      </w:r>
      <w:r>
        <w:rPr>
          <w:rFonts w:ascii="StobiSerif Regular" w:hAnsi="StobiSerif Regular" w:cs="Tahoma"/>
          <w:lang w:val="mk-MK"/>
        </w:rPr>
        <w:t xml:space="preserve"> </w:t>
      </w:r>
    </w:p>
    <w:p w:rsidR="00E72C61" w:rsidRPr="00114745" w:rsidRDefault="00E72C61" w:rsidP="00114745">
      <w:pPr>
        <w:pStyle w:val="ListParagraph"/>
        <w:numPr>
          <w:ilvl w:val="0"/>
          <w:numId w:val="39"/>
        </w:numPr>
        <w:spacing w:line="240" w:lineRule="auto"/>
        <w:jc w:val="both"/>
        <w:rPr>
          <w:rFonts w:ascii="StobiSerif Regular" w:hAnsi="StobiSerif Regular" w:cs="Tahoma"/>
          <w:lang w:val="mk-MK"/>
        </w:rPr>
      </w:pPr>
      <w:r w:rsidRPr="00114745">
        <w:rPr>
          <w:rFonts w:ascii="StobiSerif Regular" w:hAnsi="StobiSerif Regular" w:cs="StobiSerif Regular"/>
          <w:lang w:val="mk-MK"/>
        </w:rPr>
        <w:lastRenderedPageBreak/>
        <w:t>Буџетска</w:t>
      </w:r>
      <w:r w:rsidRPr="00114745">
        <w:rPr>
          <w:rFonts w:ascii="StobiSerif Regular" w:hAnsi="StobiSerif Regular" w:cs="Tahoma"/>
          <w:lang w:val="mk-MK"/>
        </w:rPr>
        <w:t xml:space="preserve"> </w:t>
      </w:r>
      <w:r w:rsidRPr="00114745">
        <w:rPr>
          <w:rFonts w:ascii="StobiSerif Regular" w:hAnsi="StobiSerif Regular" w:cs="StobiSerif Regular"/>
          <w:lang w:val="mk-MK"/>
        </w:rPr>
        <w:t>транспарентност</w:t>
      </w:r>
      <w:r w:rsidRPr="00114745">
        <w:rPr>
          <w:rFonts w:ascii="StobiSerif Regular" w:hAnsi="StobiSerif Regular" w:cs="Tahoma"/>
          <w:lang w:val="mk-MK"/>
        </w:rPr>
        <w:t xml:space="preserve">, </w:t>
      </w:r>
      <w:r w:rsidRPr="00114745">
        <w:rPr>
          <w:rFonts w:ascii="StobiSerif Regular" w:hAnsi="StobiSerif Regular" w:cs="StobiSerif Regular"/>
          <w:lang w:val="mk-MK"/>
        </w:rPr>
        <w:t>вклучувајќи</w:t>
      </w:r>
      <w:r w:rsidRPr="00114745">
        <w:rPr>
          <w:rFonts w:ascii="StobiSerif Regular" w:hAnsi="StobiSerif Regular" w:cs="Tahoma"/>
          <w:lang w:val="mk-MK"/>
        </w:rPr>
        <w:t xml:space="preserve"> </w:t>
      </w:r>
      <w:r w:rsidRPr="00114745">
        <w:rPr>
          <w:rFonts w:ascii="StobiSerif Regular" w:hAnsi="StobiSerif Regular" w:cs="StobiSerif Regular"/>
          <w:lang w:val="mk-MK"/>
        </w:rPr>
        <w:t>ја</w:t>
      </w:r>
      <w:r w:rsidRPr="00114745">
        <w:rPr>
          <w:rFonts w:ascii="StobiSerif Regular" w:hAnsi="StobiSerif Regular" w:cs="Tahoma"/>
          <w:lang w:val="mk-MK"/>
        </w:rPr>
        <w:t xml:space="preserve"> </w:t>
      </w:r>
      <w:r w:rsidRPr="00114745">
        <w:rPr>
          <w:rFonts w:ascii="StobiSerif Regular" w:hAnsi="StobiSerif Regular" w:cs="StobiSerif Regular"/>
          <w:lang w:val="mk-MK"/>
        </w:rPr>
        <w:t>и</w:t>
      </w:r>
      <w:r w:rsidRPr="00114745">
        <w:rPr>
          <w:rFonts w:ascii="StobiSerif Regular" w:hAnsi="StobiSerif Regular" w:cs="Tahoma"/>
          <w:lang w:val="mk-MK"/>
        </w:rPr>
        <w:t xml:space="preserve"> </w:t>
      </w:r>
      <w:r w:rsidRPr="00114745">
        <w:rPr>
          <w:rFonts w:ascii="StobiSerif Regular" w:hAnsi="StobiSerif Regular" w:cs="StobiSerif Regular"/>
          <w:lang w:val="mk-MK"/>
        </w:rPr>
        <w:t>транспарентноста</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јавната</w:t>
      </w:r>
      <w:r w:rsidRPr="00114745">
        <w:rPr>
          <w:rFonts w:ascii="StobiSerif Regular" w:hAnsi="StobiSerif Regular" w:cs="Tahoma"/>
          <w:lang w:val="mk-MK"/>
        </w:rPr>
        <w:t xml:space="preserve"> </w:t>
      </w:r>
      <w:r w:rsidRPr="00114745">
        <w:rPr>
          <w:rFonts w:ascii="StobiSerif Regular" w:hAnsi="StobiSerif Regular" w:cs="StobiSerif Regular"/>
          <w:lang w:val="mk-MK"/>
        </w:rPr>
        <w:t>потрошувачка</w:t>
      </w:r>
      <w:r w:rsidR="00114745">
        <w:rPr>
          <w:rFonts w:ascii="StobiSerif Regular" w:hAnsi="StobiSerif Regular" w:cs="StobiSerif Regular"/>
          <w:lang w:val="mk-MK"/>
        </w:rPr>
        <w:t xml:space="preserve"> (</w:t>
      </w:r>
      <w:r w:rsidR="001F0463">
        <w:rPr>
          <w:rFonts w:ascii="StobiSerif Regular" w:hAnsi="StobiSerif Regular" w:cs="StobiSerif Regular"/>
          <w:lang w:val="mk-MK"/>
        </w:rPr>
        <w:t xml:space="preserve">заложба 5.1 </w:t>
      </w:r>
      <w:r w:rsidR="00114745" w:rsidRPr="00114745">
        <w:rPr>
          <w:rFonts w:ascii="StobiSerif Regular" w:hAnsi="StobiSerif Regular" w:cs="StobiSerif Regular"/>
          <w:lang w:val="mk-MK"/>
        </w:rPr>
        <w:t>Иницијатива за отворен буџет</w:t>
      </w:r>
      <w:r w:rsidR="00114745">
        <w:rPr>
          <w:rFonts w:ascii="StobiSerif Regular" w:hAnsi="StobiSerif Regular" w:cs="StobiSerif Regular"/>
          <w:lang w:val="mk-MK"/>
        </w:rPr>
        <w:t xml:space="preserve"> и </w:t>
      </w:r>
      <w:r w:rsidR="001F0463">
        <w:rPr>
          <w:rFonts w:ascii="StobiSerif Regular" w:hAnsi="StobiSerif Regular" w:cs="StobiSerif Regular"/>
          <w:lang w:val="mk-MK"/>
        </w:rPr>
        <w:t>заложба 5.3 С</w:t>
      </w:r>
      <w:r w:rsidR="00114745" w:rsidRPr="00114745">
        <w:rPr>
          <w:rFonts w:ascii="StobiSerif Regular" w:hAnsi="StobiSerif Regular" w:cs="StobiSerif Regular"/>
          <w:lang w:val="mk-MK"/>
        </w:rPr>
        <w:t>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w:t>
      </w:r>
      <w:r w:rsidR="00114745">
        <w:rPr>
          <w:rFonts w:ascii="StobiSerif Regular" w:hAnsi="StobiSerif Regular" w:cs="StobiSerif Regular"/>
          <w:lang w:val="mk-MK"/>
        </w:rPr>
        <w:t>)</w:t>
      </w:r>
    </w:p>
    <w:p w:rsidR="00E72C61" w:rsidRPr="009B3DAA" w:rsidRDefault="00E72C61" w:rsidP="001F0463">
      <w:pPr>
        <w:pStyle w:val="ListParagraph"/>
        <w:numPr>
          <w:ilvl w:val="0"/>
          <w:numId w:val="39"/>
        </w:numPr>
        <w:spacing w:line="240" w:lineRule="auto"/>
        <w:jc w:val="both"/>
        <w:rPr>
          <w:rFonts w:ascii="StobiSerif Regular" w:hAnsi="StobiSerif Regular" w:cs="Tahoma"/>
          <w:lang w:val="mk-MK"/>
        </w:rPr>
      </w:pPr>
      <w:r w:rsidRPr="00114745">
        <w:rPr>
          <w:rFonts w:ascii="StobiSerif Regular" w:hAnsi="StobiSerif Regular" w:cs="StobiSerif Regular"/>
          <w:lang w:val="mk-MK"/>
        </w:rPr>
        <w:t>Квалитет</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управување</w:t>
      </w:r>
      <w:r w:rsidRPr="00114745">
        <w:rPr>
          <w:rFonts w:ascii="StobiSerif Regular" w:hAnsi="StobiSerif Regular" w:cs="Tahoma"/>
          <w:lang w:val="mk-MK"/>
        </w:rPr>
        <w:t xml:space="preserve"> </w:t>
      </w:r>
      <w:r w:rsidRPr="00114745">
        <w:rPr>
          <w:rFonts w:ascii="StobiSerif Regular" w:hAnsi="StobiSerif Regular" w:cs="StobiSerif Regular"/>
          <w:lang w:val="mk-MK"/>
        </w:rPr>
        <w:t>со</w:t>
      </w:r>
      <w:r w:rsidRPr="00114745">
        <w:rPr>
          <w:rFonts w:ascii="StobiSerif Regular" w:hAnsi="StobiSerif Regular" w:cs="Tahoma"/>
          <w:lang w:val="mk-MK"/>
        </w:rPr>
        <w:t xml:space="preserve"> </w:t>
      </w:r>
      <w:r w:rsidRPr="00114745">
        <w:rPr>
          <w:rFonts w:ascii="StobiSerif Regular" w:hAnsi="StobiSerif Regular" w:cs="StobiSerif Regular"/>
          <w:lang w:val="mk-MK"/>
        </w:rPr>
        <w:t>податоци</w:t>
      </w:r>
      <w:r w:rsidRPr="00114745">
        <w:rPr>
          <w:rFonts w:ascii="StobiSerif Regular" w:hAnsi="StobiSerif Regular" w:cs="Tahoma"/>
          <w:lang w:val="mk-MK"/>
        </w:rPr>
        <w:t xml:space="preserve"> </w:t>
      </w:r>
      <w:r w:rsidRPr="00114745">
        <w:rPr>
          <w:rFonts w:ascii="StobiSerif Regular" w:hAnsi="StobiSerif Regular" w:cs="StobiSerif Regular"/>
          <w:lang w:val="mk-MK"/>
        </w:rPr>
        <w:t>и</w:t>
      </w:r>
      <w:r w:rsidRPr="00114745">
        <w:rPr>
          <w:rFonts w:ascii="StobiSerif Regular" w:hAnsi="StobiSerif Regular" w:cs="Tahoma"/>
          <w:lang w:val="mk-MK"/>
        </w:rPr>
        <w:t xml:space="preserve"> </w:t>
      </w:r>
      <w:r w:rsidRPr="00114745">
        <w:rPr>
          <w:rFonts w:ascii="StobiSerif Regular" w:hAnsi="StobiSerif Regular" w:cs="StobiSerif Regular"/>
          <w:lang w:val="mk-MK"/>
        </w:rPr>
        <w:t>чување</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евиденција</w:t>
      </w:r>
      <w:r w:rsidRPr="00114745">
        <w:rPr>
          <w:rFonts w:ascii="StobiSerif Regular" w:hAnsi="StobiSerif Regular" w:cs="Tahoma"/>
          <w:lang w:val="mk-MK"/>
        </w:rPr>
        <w:t xml:space="preserve"> </w:t>
      </w:r>
      <w:r w:rsidRPr="00114745">
        <w:rPr>
          <w:rFonts w:ascii="StobiSerif Regular" w:hAnsi="StobiSerif Regular" w:cs="StobiSerif Regular"/>
          <w:lang w:val="mk-MK"/>
        </w:rPr>
        <w:t>во</w:t>
      </w:r>
      <w:r w:rsidRPr="00114745">
        <w:rPr>
          <w:rFonts w:ascii="StobiSerif Regular" w:hAnsi="StobiSerif Regular" w:cs="Tahoma"/>
          <w:lang w:val="mk-MK"/>
        </w:rPr>
        <w:t xml:space="preserve"> </w:t>
      </w:r>
      <w:r w:rsidRPr="00114745">
        <w:rPr>
          <w:rFonts w:ascii="StobiSerif Regular" w:hAnsi="StobiSerif Regular" w:cs="StobiSerif Regular"/>
          <w:lang w:val="mk-MK"/>
        </w:rPr>
        <w:t>државните</w:t>
      </w:r>
      <w:r w:rsidRPr="00114745">
        <w:rPr>
          <w:rFonts w:ascii="StobiSerif Regular" w:hAnsi="StobiSerif Regular" w:cs="Tahoma"/>
          <w:lang w:val="mk-MK"/>
        </w:rPr>
        <w:t xml:space="preserve"> </w:t>
      </w:r>
      <w:r w:rsidRPr="00114745">
        <w:rPr>
          <w:rFonts w:ascii="StobiSerif Regular" w:hAnsi="StobiSerif Regular" w:cs="StobiSerif Regular"/>
          <w:lang w:val="mk-MK"/>
        </w:rPr>
        <w:t>и</w:t>
      </w:r>
      <w:r w:rsidRPr="00114745">
        <w:rPr>
          <w:rFonts w:ascii="StobiSerif Regular" w:hAnsi="StobiSerif Regular" w:cs="Tahoma"/>
          <w:lang w:val="mk-MK"/>
        </w:rPr>
        <w:t xml:space="preserve"> </w:t>
      </w:r>
      <w:r w:rsidRPr="00114745">
        <w:rPr>
          <w:rFonts w:ascii="StobiSerif Regular" w:hAnsi="StobiSerif Regular" w:cs="StobiSerif Regular"/>
          <w:lang w:val="mk-MK"/>
        </w:rPr>
        <w:t>јавните</w:t>
      </w:r>
      <w:r w:rsidRPr="00114745">
        <w:rPr>
          <w:rFonts w:ascii="StobiSerif Regular" w:hAnsi="StobiSerif Regular" w:cs="Tahoma"/>
          <w:lang w:val="mk-MK"/>
        </w:rPr>
        <w:t xml:space="preserve"> </w:t>
      </w:r>
      <w:r w:rsidRPr="009B3DAA">
        <w:rPr>
          <w:rFonts w:ascii="StobiSerif Regular" w:hAnsi="StobiSerif Regular" w:cs="StobiSerif Regular"/>
          <w:lang w:val="mk-MK"/>
        </w:rPr>
        <w:t>институции</w:t>
      </w:r>
      <w:r w:rsidR="00114745" w:rsidRPr="009B3DAA">
        <w:rPr>
          <w:rFonts w:ascii="StobiSerif Regular" w:hAnsi="StobiSerif Regular" w:cs="StobiSerif Regular"/>
          <w:lang w:val="mk-MK"/>
        </w:rPr>
        <w:t xml:space="preserve"> (</w:t>
      </w:r>
      <w:r w:rsidR="001F0463">
        <w:rPr>
          <w:rFonts w:ascii="StobiSerif Regular" w:hAnsi="StobiSerif Regular" w:cs="StobiSerif Regular"/>
          <w:lang w:val="mk-MK"/>
        </w:rPr>
        <w:t>заложба 2</w:t>
      </w:r>
      <w:r w:rsidR="001F0463" w:rsidRPr="001F0463">
        <w:rPr>
          <w:rFonts w:ascii="StobiSerif Regular" w:hAnsi="StobiSerif Regular" w:cs="StobiSerif Regular"/>
          <w:lang w:val="mk-MK"/>
        </w:rPr>
        <w:t xml:space="preserve">.1 </w:t>
      </w:r>
      <w:r w:rsidR="009B3DAA" w:rsidRPr="009B3DAA">
        <w:rPr>
          <w:rFonts w:ascii="StobiSerif Regular" w:hAnsi="StobiSerif Regular" w:cs="StobiSerif Regular"/>
          <w:lang w:val="mk-MK"/>
        </w:rPr>
        <w:t>Креирање на стандарди за отворени податоци</w:t>
      </w:r>
      <w:r w:rsidR="001F0463">
        <w:rPr>
          <w:rFonts w:ascii="StobiSerif Regular" w:hAnsi="StobiSerif Regular" w:cs="StobiSerif Regular"/>
          <w:lang w:val="mk-MK"/>
        </w:rPr>
        <w:t>)</w:t>
      </w:r>
    </w:p>
    <w:p w:rsidR="00E72C61" w:rsidRPr="00114745" w:rsidRDefault="00E72C61" w:rsidP="00685D87">
      <w:pPr>
        <w:pStyle w:val="ListParagraph"/>
        <w:numPr>
          <w:ilvl w:val="0"/>
          <w:numId w:val="39"/>
        </w:numPr>
        <w:spacing w:line="240" w:lineRule="auto"/>
        <w:jc w:val="both"/>
        <w:rPr>
          <w:rFonts w:ascii="StobiSerif Regular" w:hAnsi="StobiSerif Regular" w:cs="Tahoma"/>
          <w:lang w:val="mk-MK"/>
        </w:rPr>
      </w:pPr>
      <w:r w:rsidRPr="00114745">
        <w:rPr>
          <w:rFonts w:ascii="StobiSerif Regular" w:hAnsi="StobiSerif Regular" w:cs="StobiSerif Regular"/>
          <w:lang w:val="mk-MK"/>
        </w:rPr>
        <w:t>Подобрување</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ефективноста</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институционалниот</w:t>
      </w:r>
      <w:r w:rsidRPr="00114745">
        <w:rPr>
          <w:rFonts w:ascii="StobiSerif Regular" w:hAnsi="StobiSerif Regular" w:cs="Tahoma"/>
          <w:lang w:val="mk-MK"/>
        </w:rPr>
        <w:t xml:space="preserve"> </w:t>
      </w:r>
      <w:r w:rsidRPr="00114745">
        <w:rPr>
          <w:rFonts w:ascii="StobiSerif Regular" w:hAnsi="StobiSerif Regular" w:cs="StobiSerif Regular"/>
          <w:lang w:val="mk-MK"/>
        </w:rPr>
        <w:t>механизам</w:t>
      </w:r>
      <w:r w:rsidRPr="00114745">
        <w:rPr>
          <w:rFonts w:ascii="StobiSerif Regular" w:hAnsi="StobiSerif Regular" w:cs="Tahoma"/>
          <w:lang w:val="mk-MK"/>
        </w:rPr>
        <w:t xml:space="preserve"> </w:t>
      </w:r>
      <w:r w:rsidRPr="00114745">
        <w:rPr>
          <w:rFonts w:ascii="StobiSerif Regular" w:hAnsi="StobiSerif Regular" w:cs="StobiSerif Regular"/>
          <w:lang w:val="mk-MK"/>
        </w:rPr>
        <w:t>за</w:t>
      </w:r>
      <w:r w:rsidRPr="00114745">
        <w:rPr>
          <w:rFonts w:ascii="StobiSerif Regular" w:hAnsi="StobiSerif Regular" w:cs="Tahoma"/>
          <w:lang w:val="mk-MK"/>
        </w:rPr>
        <w:t xml:space="preserve"> </w:t>
      </w:r>
      <w:r w:rsidRPr="00114745">
        <w:rPr>
          <w:rFonts w:ascii="StobiSerif Regular" w:hAnsi="StobiSerif Regular" w:cs="StobiSerif Regular"/>
          <w:lang w:val="mk-MK"/>
        </w:rPr>
        <w:t>учеств</w:t>
      </w:r>
      <w:r w:rsidRPr="00114745">
        <w:rPr>
          <w:rFonts w:ascii="StobiSerif Regular" w:hAnsi="StobiSerif Regular" w:cs="Tahoma"/>
          <w:lang w:val="mk-MK"/>
        </w:rPr>
        <w:t>о на јавноста</w:t>
      </w:r>
      <w:r w:rsidR="00685D87">
        <w:rPr>
          <w:rFonts w:ascii="StobiSerif Regular" w:hAnsi="StobiSerif Regular" w:cs="Tahoma"/>
          <w:lang w:val="mk-MK"/>
        </w:rPr>
        <w:t xml:space="preserve"> (</w:t>
      </w:r>
      <w:r w:rsidR="001F0463">
        <w:rPr>
          <w:rFonts w:ascii="StobiSerif Regular" w:hAnsi="StobiSerif Regular" w:cs="Tahoma"/>
          <w:lang w:val="mk-MK"/>
        </w:rPr>
        <w:t xml:space="preserve">достигнување 1.2.1 </w:t>
      </w:r>
      <w:r w:rsidR="00685D87" w:rsidRPr="00685D87">
        <w:rPr>
          <w:rFonts w:ascii="StobiSerif Regular" w:hAnsi="StobiSerif Regular" w:cs="Tahoma"/>
          <w:lang w:val="mk-MK"/>
        </w:rPr>
        <w:t>Формирање на советодавно тело за унапредување на соработката, дијалогот и поттикнување на развојот на граѓанскиот сектор составенo од претставници на Владата, органите на државната управа и ГО</w:t>
      </w:r>
      <w:r w:rsidR="00685D87">
        <w:rPr>
          <w:rFonts w:ascii="StobiSerif Regular" w:hAnsi="StobiSerif Regular" w:cs="Tahoma"/>
          <w:lang w:val="mk-MK"/>
        </w:rPr>
        <w:t>)</w:t>
      </w:r>
    </w:p>
    <w:p w:rsidR="00E72C61" w:rsidRPr="00114745" w:rsidRDefault="00E72C61" w:rsidP="001F0463">
      <w:pPr>
        <w:pStyle w:val="ListParagraph"/>
        <w:numPr>
          <w:ilvl w:val="0"/>
          <w:numId w:val="39"/>
        </w:numPr>
        <w:spacing w:line="240" w:lineRule="auto"/>
        <w:jc w:val="both"/>
        <w:rPr>
          <w:rFonts w:ascii="StobiSerif Regular" w:hAnsi="StobiSerif Regular" w:cs="Tahoma"/>
          <w:lang w:val="mk-MK"/>
        </w:rPr>
      </w:pPr>
      <w:r w:rsidRPr="00114745">
        <w:rPr>
          <w:rFonts w:ascii="StobiSerif Regular" w:hAnsi="StobiSerif Regular" w:cs="StobiSerif Regular"/>
          <w:lang w:val="mk-MK"/>
        </w:rPr>
        <w:t>Заштитни</w:t>
      </w:r>
      <w:r w:rsidRPr="00114745">
        <w:rPr>
          <w:rFonts w:ascii="StobiSerif Regular" w:hAnsi="StobiSerif Regular" w:cs="Tahoma"/>
          <w:lang w:val="mk-MK"/>
        </w:rPr>
        <w:t xml:space="preserve"> </w:t>
      </w:r>
      <w:r w:rsidRPr="00114745">
        <w:rPr>
          <w:rFonts w:ascii="StobiSerif Regular" w:hAnsi="StobiSerif Regular" w:cs="StobiSerif Regular"/>
          <w:lang w:val="mk-MK"/>
        </w:rPr>
        <w:t>мерки</w:t>
      </w:r>
      <w:r w:rsidRPr="00114745">
        <w:rPr>
          <w:rFonts w:ascii="StobiSerif Regular" w:hAnsi="StobiSerif Regular" w:cs="Tahoma"/>
          <w:lang w:val="mk-MK"/>
        </w:rPr>
        <w:t xml:space="preserve"> </w:t>
      </w:r>
      <w:r w:rsidRPr="00114745">
        <w:rPr>
          <w:rFonts w:ascii="StobiSerif Regular" w:hAnsi="StobiSerif Regular" w:cs="StobiSerif Regular"/>
          <w:lang w:val="mk-MK"/>
        </w:rPr>
        <w:t>за</w:t>
      </w:r>
      <w:r w:rsidRPr="00114745">
        <w:rPr>
          <w:rFonts w:ascii="StobiSerif Regular" w:hAnsi="StobiSerif Regular" w:cs="Tahoma"/>
          <w:lang w:val="mk-MK"/>
        </w:rPr>
        <w:t xml:space="preserve"> </w:t>
      </w:r>
      <w:r w:rsidRPr="00114745">
        <w:rPr>
          <w:rFonts w:ascii="StobiSerif Regular" w:hAnsi="StobiSerif Regular" w:cs="StobiSerif Regular"/>
          <w:lang w:val="mk-MK"/>
        </w:rPr>
        <w:t>правото</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слободно</w:t>
      </w:r>
      <w:r w:rsidRPr="00114745">
        <w:rPr>
          <w:rFonts w:ascii="StobiSerif Regular" w:hAnsi="StobiSerif Regular" w:cs="Tahoma"/>
          <w:lang w:val="mk-MK"/>
        </w:rPr>
        <w:t xml:space="preserve"> </w:t>
      </w:r>
      <w:r w:rsidRPr="00114745">
        <w:rPr>
          <w:rFonts w:ascii="StobiSerif Regular" w:hAnsi="StobiSerif Regular" w:cs="StobiSerif Regular"/>
          <w:lang w:val="mk-MK"/>
        </w:rPr>
        <w:t>изразување</w:t>
      </w:r>
      <w:r w:rsidRPr="00114745">
        <w:rPr>
          <w:rFonts w:ascii="StobiSerif Regular" w:hAnsi="StobiSerif Regular" w:cs="Tahoma"/>
          <w:lang w:val="mk-MK"/>
        </w:rPr>
        <w:t xml:space="preserve">, </w:t>
      </w:r>
      <w:r w:rsidRPr="00114745">
        <w:rPr>
          <w:rFonts w:ascii="StobiSerif Regular" w:hAnsi="StobiSerif Regular" w:cs="StobiSerif Regular"/>
          <w:lang w:val="mk-MK"/>
        </w:rPr>
        <w:t>слободата</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14745">
        <w:rPr>
          <w:rFonts w:ascii="StobiSerif Regular" w:hAnsi="StobiSerif Regular" w:cs="StobiSerif Regular"/>
          <w:lang w:val="mk-MK"/>
        </w:rPr>
        <w:t>медиумите</w:t>
      </w:r>
      <w:r w:rsidRPr="00114745">
        <w:rPr>
          <w:rFonts w:ascii="StobiSerif Regular" w:hAnsi="StobiSerif Regular" w:cs="Tahoma"/>
          <w:lang w:val="mk-MK"/>
        </w:rPr>
        <w:t xml:space="preserve"> </w:t>
      </w:r>
      <w:r w:rsidRPr="00114745">
        <w:rPr>
          <w:rFonts w:ascii="StobiSerif Regular" w:hAnsi="StobiSerif Regular" w:cs="StobiSerif Regular"/>
          <w:lang w:val="mk-MK"/>
        </w:rPr>
        <w:t>и</w:t>
      </w:r>
      <w:r w:rsidRPr="00114745">
        <w:rPr>
          <w:rFonts w:ascii="StobiSerif Regular" w:hAnsi="StobiSerif Regular" w:cs="Tahoma"/>
          <w:lang w:val="mk-MK"/>
        </w:rPr>
        <w:t xml:space="preserve"> </w:t>
      </w:r>
      <w:r w:rsidRPr="00114745">
        <w:rPr>
          <w:rFonts w:ascii="StobiSerif Regular" w:hAnsi="StobiSerif Regular" w:cs="StobiSerif Regular"/>
          <w:lang w:val="mk-MK"/>
        </w:rPr>
        <w:t>правото</w:t>
      </w:r>
      <w:r w:rsidRPr="00114745">
        <w:rPr>
          <w:rFonts w:ascii="StobiSerif Regular" w:hAnsi="StobiSerif Regular" w:cs="Tahoma"/>
          <w:lang w:val="mk-MK"/>
        </w:rPr>
        <w:t xml:space="preserve"> </w:t>
      </w:r>
      <w:r w:rsidRPr="00114745">
        <w:rPr>
          <w:rFonts w:ascii="StobiSerif Regular" w:hAnsi="StobiSerif Regular" w:cs="StobiSerif Regular"/>
          <w:lang w:val="mk-MK"/>
        </w:rPr>
        <w:t>на</w:t>
      </w:r>
      <w:r w:rsidRPr="00114745">
        <w:rPr>
          <w:rFonts w:ascii="StobiSerif Regular" w:hAnsi="StobiSerif Regular" w:cs="Tahoma"/>
          <w:lang w:val="mk-MK"/>
        </w:rPr>
        <w:t xml:space="preserve"> </w:t>
      </w:r>
      <w:r w:rsidRPr="001F0463">
        <w:rPr>
          <w:rFonts w:ascii="StobiSerif Regular" w:hAnsi="StobiSerif Regular" w:cs="StobiSerif Regular"/>
          <w:lang w:val="mk-MK"/>
        </w:rPr>
        <w:t>собирање</w:t>
      </w:r>
      <w:r w:rsidR="00685D87" w:rsidRPr="001F0463">
        <w:rPr>
          <w:rFonts w:ascii="StobiSerif Regular" w:hAnsi="StobiSerif Regular" w:cs="StobiSerif Regular"/>
          <w:lang w:val="mk-MK"/>
        </w:rPr>
        <w:t xml:space="preserve"> (</w:t>
      </w:r>
      <w:r w:rsidR="001F0463">
        <w:rPr>
          <w:rFonts w:ascii="StobiSerif Regular" w:hAnsi="StobiSerif Regular" w:cs="StobiSerif Regular"/>
          <w:lang w:val="mk-MK"/>
        </w:rPr>
        <w:t xml:space="preserve">заложба </w:t>
      </w:r>
      <w:r w:rsidR="001F0463" w:rsidRPr="001F0463">
        <w:rPr>
          <w:rFonts w:ascii="StobiSerif Regular" w:hAnsi="StobiSerif Regular" w:cs="StobiSerif Regular"/>
          <w:lang w:val="mk-MK"/>
        </w:rPr>
        <w:t>4.1 Имплементација на Законот за заштита на укажувачи и јак</w:t>
      </w:r>
      <w:r w:rsidR="001F0463">
        <w:rPr>
          <w:rFonts w:ascii="StobiSerif Regular" w:hAnsi="StobiSerif Regular" w:cs="StobiSerif Regular"/>
          <w:lang w:val="mk-MK"/>
        </w:rPr>
        <w:t>нење на свеста за укажувањето).</w:t>
      </w:r>
    </w:p>
    <w:p w:rsidR="0044458B" w:rsidRDefault="0044458B" w:rsidP="0044458B">
      <w:pPr>
        <w:pStyle w:val="ListParagraph"/>
        <w:spacing w:line="240" w:lineRule="auto"/>
        <w:ind w:left="0" w:firstLine="720"/>
        <w:jc w:val="both"/>
        <w:rPr>
          <w:rFonts w:ascii="StobiSerif Regular" w:hAnsi="StobiSerif Regular" w:cs="Tahoma"/>
          <w:lang w:val="mk-MK"/>
        </w:rPr>
      </w:pPr>
    </w:p>
    <w:p w:rsidR="001B56C7" w:rsidRPr="0044458B" w:rsidRDefault="001B56C7" w:rsidP="0044458B">
      <w:pPr>
        <w:pStyle w:val="ListParagraph"/>
        <w:spacing w:line="240" w:lineRule="auto"/>
        <w:ind w:left="0" w:firstLine="720"/>
        <w:jc w:val="both"/>
        <w:rPr>
          <w:rFonts w:ascii="StobiSerif Regular" w:hAnsi="StobiSerif Regular" w:cs="Tahoma"/>
          <w:lang w:val="mk-MK"/>
        </w:rPr>
      </w:pPr>
    </w:p>
    <w:p w:rsidR="0044458B" w:rsidRPr="0044458B" w:rsidRDefault="0044458B" w:rsidP="0044458B">
      <w:pPr>
        <w:pStyle w:val="ListParagraph"/>
        <w:spacing w:line="240" w:lineRule="auto"/>
        <w:ind w:left="0" w:firstLine="720"/>
        <w:jc w:val="both"/>
        <w:rPr>
          <w:rFonts w:ascii="StobiSerif Regular" w:hAnsi="StobiSerif Regular" w:cs="Tahoma"/>
          <w:lang w:val="mk-MK"/>
        </w:rPr>
      </w:pPr>
    </w:p>
    <w:p w:rsidR="009041DA" w:rsidRPr="0044458B" w:rsidRDefault="0044458B" w:rsidP="0044458B">
      <w:pPr>
        <w:pStyle w:val="ListParagraph"/>
        <w:numPr>
          <w:ilvl w:val="0"/>
          <w:numId w:val="37"/>
        </w:numPr>
        <w:spacing w:line="240" w:lineRule="auto"/>
        <w:jc w:val="both"/>
        <w:rPr>
          <w:rFonts w:ascii="StobiSerif Regular" w:hAnsi="StobiSerif Regular" w:cs="Tahoma"/>
          <w:b/>
          <w:color w:val="4F81BD" w:themeColor="accent1"/>
          <w:lang w:val="mk-MK"/>
        </w:rPr>
      </w:pPr>
      <w:r w:rsidRPr="0044458B">
        <w:rPr>
          <w:rFonts w:ascii="StobiSerif Regular" w:hAnsi="StobiSerif Regular" w:cs="Tahoma"/>
          <w:b/>
          <w:color w:val="4F81BD" w:themeColor="accent1"/>
          <w:lang w:val="mk-MK"/>
        </w:rPr>
        <w:t>ИМПЛЕМЕНТАЦИЈА НА ОБВРСКИ ЗА НАЦИОНАЛНИОТ АКЦИСКИ ПЛАН</w:t>
      </w:r>
    </w:p>
    <w:p w:rsidR="009041DA" w:rsidRPr="005725C2" w:rsidRDefault="009041DA" w:rsidP="005725C2">
      <w:pPr>
        <w:spacing w:line="240" w:lineRule="auto"/>
        <w:jc w:val="both"/>
        <w:rPr>
          <w:rFonts w:ascii="StobiSerif Regular" w:hAnsi="StobiSerif Regular" w:cs="Tahoma"/>
          <w:lang w:val="mk-MK"/>
        </w:rPr>
      </w:pPr>
    </w:p>
    <w:p w:rsidR="001B56C7" w:rsidRPr="00232275" w:rsidRDefault="001B56C7" w:rsidP="001B56C7">
      <w:pPr>
        <w:spacing w:line="240" w:lineRule="auto"/>
        <w:ind w:firstLine="709"/>
        <w:jc w:val="both"/>
        <w:rPr>
          <w:rFonts w:ascii="StobiSerif Regular" w:hAnsi="StobiSerif Regular" w:cs="Tahoma"/>
          <w:sz w:val="20"/>
          <w:szCs w:val="20"/>
          <w:lang w:val="mk-MK"/>
        </w:rPr>
      </w:pPr>
      <w:r>
        <w:rPr>
          <w:rFonts w:ascii="StobiSerif Regular" w:hAnsi="StobiSerif Regular" w:cs="Tahoma"/>
          <w:lang w:val="mk-MK"/>
        </w:rPr>
        <w:t xml:space="preserve">Во </w:t>
      </w:r>
      <w:r w:rsidRPr="001B56C7">
        <w:rPr>
          <w:rFonts w:ascii="StobiSerif Regular" w:hAnsi="StobiSerif Regular" w:cs="Tahoma"/>
          <w:lang w:val="mk-MK"/>
        </w:rPr>
        <w:t>третиот Национален Акциски план за Отворено владино па</w:t>
      </w:r>
      <w:r>
        <w:rPr>
          <w:rFonts w:ascii="StobiSerif Regular" w:hAnsi="StobiSerif Regular" w:cs="Tahoma"/>
          <w:lang w:val="mk-MK"/>
        </w:rPr>
        <w:t>ртнерство за 2016-2018 година</w:t>
      </w:r>
      <w:r w:rsidRPr="001B56C7">
        <w:rPr>
          <w:rFonts w:ascii="StobiSerif Regular" w:hAnsi="StobiSerif Regular" w:cs="Tahoma"/>
          <w:lang w:val="mk-MK"/>
        </w:rPr>
        <w:t xml:space="preserve"> беа дефинирани 100 достигнувања, 34 заложби разработени во 8 приоритетни теми.</w:t>
      </w:r>
      <w:r w:rsidRPr="001B56C7">
        <w:t xml:space="preserve"> </w:t>
      </w:r>
      <w:r w:rsidRPr="001B56C7">
        <w:rPr>
          <w:rFonts w:ascii="StobiSerif Regular" w:hAnsi="StobiSerif Regular" w:cs="Tahoma"/>
          <w:lang w:val="mk-MK"/>
        </w:rPr>
        <w:t>Поради изоставување на заложбата 6.8 ,,Подобрување на комуналните услуги на локално ниво“ во известувањето во однос на статусот на</w:t>
      </w:r>
      <w:r w:rsidR="008A5DB8">
        <w:rPr>
          <w:rFonts w:ascii="StobiSerif Regular" w:hAnsi="StobiSerif Regular" w:cs="Tahoma"/>
          <w:lang w:val="mk-MK"/>
        </w:rPr>
        <w:t xml:space="preserve"> реализација на Акцискиот план </w:t>
      </w:r>
      <w:r w:rsidRPr="001B56C7">
        <w:rPr>
          <w:rFonts w:ascii="StobiSerif Regular" w:hAnsi="StobiSerif Regular" w:cs="Tahoma"/>
          <w:lang w:val="mk-MK"/>
        </w:rPr>
        <w:t>се с</w:t>
      </w:r>
      <w:r w:rsidR="008A5DB8">
        <w:rPr>
          <w:rFonts w:ascii="StobiSerif Regular" w:hAnsi="StobiSerif Regular" w:cs="Tahoma"/>
          <w:lang w:val="mk-MK"/>
        </w:rPr>
        <w:t>ледеа вкупно 33 заложби од кои</w:t>
      </w:r>
      <w:r w:rsidR="00856C98">
        <w:rPr>
          <w:rFonts w:ascii="StobiSerif Regular" w:hAnsi="StobiSerif Regular" w:cs="Tahoma"/>
          <w:lang w:val="mk-MK"/>
        </w:rPr>
        <w:t xml:space="preserve"> 1</w:t>
      </w:r>
      <w:r w:rsidR="00856C98">
        <w:rPr>
          <w:rFonts w:ascii="StobiSerif Regular" w:hAnsi="StobiSerif Regular" w:cs="Tahoma"/>
        </w:rPr>
        <w:t>3</w:t>
      </w:r>
      <w:r w:rsidRPr="00232275">
        <w:rPr>
          <w:rFonts w:ascii="StobiSerif Regular" w:hAnsi="StobiSerif Regular" w:cs="Tahoma"/>
          <w:lang w:val="mk-MK"/>
        </w:rPr>
        <w:t xml:space="preserve"> заложби се целосно завршени, </w:t>
      </w:r>
      <w:r w:rsidR="00856C98">
        <w:rPr>
          <w:rFonts w:ascii="StobiSerif Regular" w:hAnsi="StobiSerif Regular" w:cs="Tahoma"/>
        </w:rPr>
        <w:t>14</w:t>
      </w:r>
      <w:r w:rsidRPr="00232275">
        <w:rPr>
          <w:rFonts w:ascii="StobiSerif Regular" w:hAnsi="StobiSerif Regular" w:cs="Tahoma"/>
        </w:rPr>
        <w:t xml:space="preserve"> </w:t>
      </w:r>
      <w:r w:rsidRPr="00232275">
        <w:rPr>
          <w:rFonts w:ascii="StobiSerif Regular" w:hAnsi="StobiSerif Regular" w:cs="Tahoma"/>
          <w:lang w:val="mk-MK"/>
        </w:rPr>
        <w:t xml:space="preserve">имаат значително ниво на реализација, </w:t>
      </w:r>
      <w:r>
        <w:rPr>
          <w:rFonts w:ascii="StobiSerif Regular" w:hAnsi="StobiSerif Regular" w:cs="Tahoma"/>
        </w:rPr>
        <w:t>5</w:t>
      </w:r>
      <w:r>
        <w:rPr>
          <w:rFonts w:ascii="StobiSerif Regular" w:hAnsi="StobiSerif Regular" w:cs="Tahoma"/>
          <w:lang w:val="mk-MK"/>
        </w:rPr>
        <w:t xml:space="preserve"> се на ограничено ниво и</w:t>
      </w:r>
      <w:r w:rsidRPr="00232275">
        <w:rPr>
          <w:rFonts w:ascii="StobiSerif Regular" w:hAnsi="StobiSerif Regular" w:cs="Tahoma"/>
          <w:lang w:val="mk-MK"/>
        </w:rPr>
        <w:t xml:space="preserve"> 1 заложба </w:t>
      </w:r>
      <w:r>
        <w:rPr>
          <w:rFonts w:ascii="StobiSerif Regular" w:hAnsi="StobiSerif Regular" w:cs="Tahoma"/>
          <w:lang w:val="mk-MK"/>
        </w:rPr>
        <w:t>е незапочната</w:t>
      </w:r>
      <w:r w:rsidRPr="00232275">
        <w:rPr>
          <w:rFonts w:ascii="StobiSerif Regular" w:hAnsi="StobiSerif Regular" w:cs="Tahoma"/>
          <w:lang w:val="mk-MK"/>
        </w:rPr>
        <w:t>.</w:t>
      </w:r>
    </w:p>
    <w:p w:rsidR="001B56C7" w:rsidRPr="001B56C7" w:rsidRDefault="001B56C7" w:rsidP="001B56C7">
      <w:pPr>
        <w:pStyle w:val="ListParagraph"/>
        <w:spacing w:line="240" w:lineRule="auto"/>
        <w:ind w:left="0" w:firstLine="720"/>
        <w:jc w:val="both"/>
        <w:rPr>
          <w:rFonts w:ascii="StobiSerif Regular" w:hAnsi="StobiSerif Regular" w:cs="Tahoma"/>
          <w:lang w:val="mk-MK"/>
        </w:rPr>
      </w:pPr>
    </w:p>
    <w:p w:rsidR="00C72CE9" w:rsidRPr="00232275" w:rsidRDefault="001F0463" w:rsidP="00FF7EC2">
      <w:pPr>
        <w:pStyle w:val="ListParagraph"/>
        <w:spacing w:line="240" w:lineRule="auto"/>
        <w:ind w:left="0" w:firstLine="720"/>
        <w:jc w:val="both"/>
        <w:rPr>
          <w:rFonts w:ascii="StobiSerif Regular" w:hAnsi="StobiSerif Regular" w:cs="Tahoma"/>
        </w:rPr>
      </w:pPr>
      <w:r>
        <w:rPr>
          <w:rFonts w:ascii="StobiSerif Regular" w:hAnsi="StobiSerif Regular" w:cs="Tahoma"/>
          <w:lang w:val="mk-MK"/>
        </w:rPr>
        <w:t>Подолу во табела 1</w:t>
      </w:r>
      <w:r w:rsidRPr="00232275">
        <w:rPr>
          <w:rFonts w:ascii="StobiSerif Regular" w:hAnsi="StobiSerif Regular" w:cs="Tahoma"/>
          <w:lang w:val="mk-MK"/>
        </w:rPr>
        <w:t xml:space="preserve"> е даден збирен приказ на ниво на реализација за секој поединечен приоритет од Акцискиот план 2016-2018 година за кој е започната имплементацијата</w:t>
      </w:r>
      <w:r>
        <w:rPr>
          <w:rFonts w:ascii="StobiSerif Regular" w:hAnsi="StobiSerif Regular" w:cs="Tahoma"/>
          <w:lang w:val="mk-MK"/>
        </w:rPr>
        <w:t xml:space="preserve"> додека во табела 2</w:t>
      </w:r>
      <w:r w:rsidRPr="00232275">
        <w:rPr>
          <w:rFonts w:ascii="StobiSerif Regular" w:hAnsi="StobiSerif Regular" w:cs="Tahoma"/>
          <w:lang w:val="mk-MK"/>
        </w:rPr>
        <w:t xml:space="preserve"> е даден преглед  на  напредокот и главните постигн</w:t>
      </w:r>
      <w:r>
        <w:rPr>
          <w:rFonts w:ascii="StobiSerif Regular" w:hAnsi="StobiSerif Regular" w:cs="Tahoma"/>
          <w:lang w:val="mk-MK"/>
        </w:rPr>
        <w:t>ати резултати</w:t>
      </w:r>
      <w:r w:rsidR="00C72CE9" w:rsidRPr="00232275">
        <w:rPr>
          <w:rFonts w:ascii="StobiSerif Regular" w:hAnsi="StobiSerif Regular" w:cs="Tahoma"/>
          <w:lang w:val="mk-MK"/>
        </w:rPr>
        <w:t xml:space="preserve">. </w:t>
      </w:r>
    </w:p>
    <w:p w:rsidR="00C72CE9" w:rsidRPr="00232275" w:rsidRDefault="00C72CE9" w:rsidP="00FF7EC2">
      <w:pPr>
        <w:pStyle w:val="ListParagraph"/>
        <w:spacing w:line="240" w:lineRule="auto"/>
        <w:ind w:left="0" w:firstLine="720"/>
        <w:jc w:val="both"/>
        <w:rPr>
          <w:rFonts w:ascii="StobiSerif Regular" w:hAnsi="StobiSerif Regular" w:cs="Tahoma"/>
          <w:sz w:val="20"/>
          <w:szCs w:val="20"/>
          <w:lang w:val="mk-MK"/>
        </w:rPr>
      </w:pPr>
    </w:p>
    <w:p w:rsidR="00B760C9" w:rsidRDefault="00B760C9"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Pr="00232275" w:rsidRDefault="001B56C7" w:rsidP="00FF7EC2">
      <w:pPr>
        <w:pStyle w:val="ListParagraph"/>
        <w:spacing w:line="240" w:lineRule="auto"/>
        <w:ind w:left="0" w:firstLine="720"/>
        <w:jc w:val="both"/>
        <w:rPr>
          <w:rFonts w:ascii="StobiSerif Regular" w:hAnsi="StobiSerif Regular" w:cs="Tahoma"/>
          <w:sz w:val="20"/>
          <w:szCs w:val="20"/>
          <w:lang w:val="mk-MK"/>
        </w:rPr>
      </w:pPr>
    </w:p>
    <w:p w:rsidR="001F0463" w:rsidRPr="00232275" w:rsidRDefault="001F0463" w:rsidP="001F0463">
      <w:pPr>
        <w:spacing w:line="240" w:lineRule="auto"/>
        <w:jc w:val="both"/>
        <w:rPr>
          <w:rFonts w:ascii="StobiSerif Regular" w:hAnsi="StobiSerif Regular" w:cs="Tahoma"/>
          <w:b/>
        </w:rPr>
      </w:pPr>
      <w:r w:rsidRPr="00232275">
        <w:rPr>
          <w:rFonts w:ascii="StobiSerif Regular" w:hAnsi="StobiSerif Regular" w:cs="Tahoma"/>
          <w:b/>
          <w:lang w:val="mk-MK"/>
        </w:rPr>
        <w:t xml:space="preserve">Табела 2. Збирен приказ на ниво на реализација за секој поединечен приоритет од Акцискиот план 2016-2018 година </w:t>
      </w:r>
    </w:p>
    <w:p w:rsidR="001B56C7" w:rsidRPr="00232275" w:rsidRDefault="001B56C7" w:rsidP="001F0463">
      <w:pPr>
        <w:spacing w:line="240" w:lineRule="auto"/>
        <w:jc w:val="both"/>
        <w:rPr>
          <w:rFonts w:ascii="StobiSerif Regular" w:hAnsi="StobiSerif Regular"/>
          <w:sz w:val="20"/>
          <w:szCs w:val="20"/>
          <w:lang w:val="mk-MK"/>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567"/>
        <w:gridCol w:w="425"/>
        <w:gridCol w:w="425"/>
        <w:gridCol w:w="425"/>
        <w:gridCol w:w="1276"/>
      </w:tblGrid>
      <w:tr w:rsidR="001F0463" w:rsidRPr="00232275" w:rsidTr="005E40AF">
        <w:tc>
          <w:tcPr>
            <w:tcW w:w="6658" w:type="dxa"/>
            <w:shd w:val="clear" w:color="auto" w:fill="DDD9C3"/>
          </w:tcPr>
          <w:p w:rsidR="001F0463" w:rsidRPr="00232275" w:rsidRDefault="001F0463" w:rsidP="005E40AF">
            <w:pPr>
              <w:spacing w:after="0" w:line="240" w:lineRule="auto"/>
              <w:rPr>
                <w:rFonts w:ascii="StobiSerif Regular" w:hAnsi="StobiSerif Regular" w:cs="Tahoma"/>
                <w:b/>
                <w:sz w:val="20"/>
                <w:szCs w:val="20"/>
                <w:lang w:val="mk-MK"/>
              </w:rPr>
            </w:pPr>
            <w:r w:rsidRPr="00232275">
              <w:rPr>
                <w:rFonts w:ascii="StobiSerif Regular" w:hAnsi="StobiSerif Regular" w:cs="Tahoma"/>
                <w:b/>
                <w:sz w:val="20"/>
                <w:szCs w:val="20"/>
                <w:lang w:val="mk-MK"/>
              </w:rPr>
              <w:t>ПРИОРИТЕТ  /ЗАЛОЖБА</w:t>
            </w:r>
          </w:p>
        </w:tc>
        <w:tc>
          <w:tcPr>
            <w:tcW w:w="1842" w:type="dxa"/>
            <w:gridSpan w:val="4"/>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НИВО НА РЕАЛИЗАЦИЈА</w:t>
            </w:r>
          </w:p>
        </w:tc>
        <w:tc>
          <w:tcPr>
            <w:tcW w:w="1276" w:type="dxa"/>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КРАЕН ДАТУМ</w:t>
            </w:r>
          </w:p>
        </w:tc>
      </w:tr>
      <w:tr w:rsidR="001F0463" w:rsidRPr="00232275" w:rsidTr="005E40AF">
        <w:trPr>
          <w:trHeight w:val="2310"/>
        </w:trPr>
        <w:tc>
          <w:tcPr>
            <w:tcW w:w="6658" w:type="dxa"/>
            <w:tcBorders>
              <w:bottom w:val="single" w:sz="4" w:space="0" w:color="auto"/>
            </w:tcBorders>
            <w:shd w:val="clear" w:color="auto" w:fill="F2F2F2"/>
          </w:tcPr>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tabs>
                <w:tab w:val="left" w:pos="945"/>
              </w:tabs>
              <w:spacing w:after="0" w:line="240" w:lineRule="auto"/>
              <w:rPr>
                <w:rFonts w:ascii="StobiSerif Regular" w:hAnsi="StobiSerif Regular" w:cs="Tahoma"/>
                <w:b/>
                <w:sz w:val="20"/>
                <w:szCs w:val="20"/>
              </w:rPr>
            </w:pPr>
            <w:r w:rsidRPr="00232275">
              <w:rPr>
                <w:rFonts w:ascii="StobiSerif Regular" w:hAnsi="StobiSerif Regular" w:cs="Tahoma"/>
                <w:b/>
                <w:sz w:val="20"/>
                <w:szCs w:val="20"/>
                <w:lang w:val="mk-MK"/>
              </w:rPr>
              <w:tab/>
            </w: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tc>
        <w:tc>
          <w:tcPr>
            <w:tcW w:w="567" w:type="dxa"/>
            <w:tcBorders>
              <w:bottom w:val="single" w:sz="4" w:space="0" w:color="auto"/>
            </w:tcBorders>
            <w:shd w:val="clear" w:color="auto" w:fill="EEECE1"/>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Е</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З</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А</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П</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Ч</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А</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Т</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tc>
        <w:tc>
          <w:tcPr>
            <w:tcW w:w="425" w:type="dxa"/>
            <w:tcBorders>
              <w:bottom w:val="single" w:sz="4" w:space="0" w:color="auto"/>
            </w:tcBorders>
            <w:shd w:val="clear" w:color="auto" w:fill="EEECE1"/>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Г</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Р</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А</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И</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Ч</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Е</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tc>
        <w:tc>
          <w:tcPr>
            <w:tcW w:w="425" w:type="dxa"/>
            <w:tcBorders>
              <w:bottom w:val="single" w:sz="4" w:space="0" w:color="auto"/>
            </w:tcBorders>
            <w:shd w:val="clear" w:color="auto" w:fill="EEECE1"/>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З</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А</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Ч</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И</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Т</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Е</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Л</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tc>
        <w:tc>
          <w:tcPr>
            <w:tcW w:w="425" w:type="dxa"/>
            <w:tcBorders>
              <w:bottom w:val="single" w:sz="4" w:space="0" w:color="auto"/>
            </w:tcBorders>
            <w:shd w:val="clear" w:color="auto" w:fill="EEECE1"/>
          </w:tcPr>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З</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А</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В</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Р</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Ш</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Е</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Н</w:t>
            </w:r>
          </w:p>
          <w:p w:rsidR="001F0463" w:rsidRPr="00232275" w:rsidRDefault="001F0463" w:rsidP="005E40AF">
            <w:pPr>
              <w:spacing w:after="0" w:line="240" w:lineRule="auto"/>
              <w:jc w:val="center"/>
              <w:rPr>
                <w:rFonts w:ascii="StobiSerif Regular" w:hAnsi="StobiSerif Regular" w:cs="Tahoma"/>
                <w:b/>
                <w:sz w:val="20"/>
                <w:szCs w:val="20"/>
                <w:lang w:val="mk-MK"/>
              </w:rPr>
            </w:pPr>
            <w:r w:rsidRPr="00232275">
              <w:rPr>
                <w:rFonts w:ascii="StobiSerif Regular" w:hAnsi="StobiSerif Regular" w:cs="Tahoma"/>
                <w:b/>
                <w:sz w:val="20"/>
                <w:szCs w:val="20"/>
                <w:lang w:val="mk-MK"/>
              </w:rPr>
              <w:t>О</w:t>
            </w:r>
          </w:p>
        </w:tc>
        <w:tc>
          <w:tcPr>
            <w:tcW w:w="1276" w:type="dxa"/>
            <w:tcBorders>
              <w:bottom w:val="single" w:sz="4" w:space="0" w:color="auto"/>
            </w:tcBorders>
            <w:shd w:val="clear" w:color="auto" w:fill="F2F2F2"/>
          </w:tcPr>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rPr>
                <w:rFonts w:ascii="StobiSerif Regular" w:hAnsi="StobiSerif Regular" w:cs="Tahoma"/>
                <w:b/>
                <w:sz w:val="20"/>
                <w:szCs w:val="20"/>
                <w:lang w:val="mk-MK"/>
              </w:rPr>
            </w:pPr>
          </w:p>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cs="Tahoma"/>
                <w:b/>
                <w:sz w:val="20"/>
                <w:szCs w:val="20"/>
                <w:lang w:val="mk-MK"/>
              </w:rPr>
            </w:pPr>
            <w:r w:rsidRPr="00232275">
              <w:rPr>
                <w:rFonts w:ascii="StobiSerif Regular" w:hAnsi="StobiSerif Regular" w:cs="Tahoma"/>
                <w:b/>
                <w:sz w:val="20"/>
                <w:szCs w:val="20"/>
                <w:lang w:val="mk-MK"/>
              </w:rPr>
              <w:t>ПАРТИЦИПАТИВНО КРЕИРАЊЕ НА ПОЛИТИКИ</w:t>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rPr>
                <w:rFonts w:ascii="StobiSerif Regular" w:hAnsi="StobiSerif Regular"/>
                <w:sz w:val="20"/>
                <w:szCs w:val="20"/>
              </w:rPr>
            </w:pPr>
            <w:r w:rsidRPr="00232275">
              <w:rPr>
                <w:rFonts w:ascii="StobiSerif Regular" w:hAnsi="StobiSerif Regular"/>
                <w:sz w:val="20"/>
                <w:szCs w:val="20"/>
              </w:rPr>
              <w:t>1.1 Унапредување на процесот за консултација со засегнатите страни во процесот на креирање на политики</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642"/>
        </w:trPr>
        <w:tc>
          <w:tcPr>
            <w:tcW w:w="6658" w:type="dxa"/>
            <w:shd w:val="clear" w:color="auto" w:fill="auto"/>
          </w:tcPr>
          <w:p w:rsidR="001F0463" w:rsidRPr="00232275" w:rsidRDefault="001F0463" w:rsidP="005E40AF">
            <w:pPr>
              <w:spacing w:after="0" w:line="240" w:lineRule="auto"/>
              <w:rPr>
                <w:rFonts w:ascii="StobiSerif Regular" w:hAnsi="StobiSerif Regular"/>
                <w:sz w:val="20"/>
                <w:szCs w:val="20"/>
                <w:lang w:val="mk-MK"/>
              </w:rPr>
            </w:pPr>
            <w:r w:rsidRPr="00232275">
              <w:rPr>
                <w:rFonts w:ascii="StobiSerif Regular" w:hAnsi="StobiSerif Regular"/>
                <w:sz w:val="20"/>
                <w:szCs w:val="20"/>
              </w:rPr>
              <w:t>1.2  Унапредување на соработката со граѓанскиот сектор</w:t>
            </w:r>
            <w:r w:rsidRPr="00232275">
              <w:rPr>
                <w:rFonts w:ascii="StobiSerif Regular" w:hAnsi="StobiSerif Regular"/>
                <w:sz w:val="20"/>
                <w:szCs w:val="20"/>
              </w:rPr>
              <w:tab/>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1/2018</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sz w:val="20"/>
                <w:szCs w:val="20"/>
                <w:lang w:val="mk-MK"/>
              </w:rPr>
            </w:pPr>
            <w:r w:rsidRPr="00232275">
              <w:rPr>
                <w:rFonts w:ascii="StobiSerif Regular" w:hAnsi="StobiSerif Regular" w:cs="Tahoma"/>
                <w:b/>
                <w:sz w:val="20"/>
                <w:szCs w:val="20"/>
                <w:lang w:val="mk-MK"/>
              </w:rPr>
              <w:t>ОТВОРЕНИ ПОДАТОЦИ</w:t>
            </w:r>
            <w:r w:rsidRPr="00232275">
              <w:rPr>
                <w:rFonts w:ascii="StobiSerif Regular" w:hAnsi="StobiSerif Regular" w:cs="Tahoma"/>
                <w:b/>
                <w:sz w:val="20"/>
                <w:szCs w:val="20"/>
                <w:lang w:val="mk-MK"/>
              </w:rPr>
              <w:tab/>
            </w:r>
            <w:r w:rsidRPr="00232275">
              <w:rPr>
                <w:rFonts w:ascii="StobiSerif Regular" w:hAnsi="StobiSerif Regular"/>
                <w:sz w:val="20"/>
                <w:szCs w:val="20"/>
              </w:rPr>
              <w:tab/>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391"/>
        </w:trPr>
        <w:tc>
          <w:tcPr>
            <w:tcW w:w="6658" w:type="dxa"/>
            <w:shd w:val="clear" w:color="auto" w:fill="auto"/>
          </w:tcPr>
          <w:p w:rsidR="001F0463" w:rsidRPr="00232275" w:rsidRDefault="001F0463" w:rsidP="005E40AF">
            <w:pPr>
              <w:spacing w:after="0" w:line="240" w:lineRule="auto"/>
              <w:rPr>
                <w:rFonts w:ascii="StobiSerif Regular" w:hAnsi="StobiSerif Regular"/>
                <w:sz w:val="20"/>
                <w:szCs w:val="20"/>
                <w:lang w:val="mk-MK"/>
              </w:rPr>
            </w:pPr>
            <w:r w:rsidRPr="00232275">
              <w:rPr>
                <w:rFonts w:ascii="StobiSerif Regular" w:hAnsi="StobiSerif Regular"/>
                <w:sz w:val="20"/>
                <w:szCs w:val="20"/>
              </w:rPr>
              <w:t>2.1 Креирање на стандарди за отворени податоци</w:t>
            </w:r>
          </w:p>
          <w:p w:rsidR="001F0463" w:rsidRPr="00232275" w:rsidRDefault="001F0463" w:rsidP="005E40AF">
            <w:pPr>
              <w:spacing w:after="0" w:line="240" w:lineRule="auto"/>
              <w:rPr>
                <w:rFonts w:ascii="StobiSerif Regular" w:hAnsi="StobiSerif Regular"/>
                <w:sz w:val="16"/>
                <w:szCs w:val="16"/>
                <w:lang w:val="mk-MK"/>
              </w:rPr>
            </w:pPr>
          </w:p>
          <w:p w:rsidR="001F0463" w:rsidRPr="00232275" w:rsidRDefault="001F0463" w:rsidP="005E40AF">
            <w:pPr>
              <w:spacing w:after="0" w:line="240" w:lineRule="auto"/>
              <w:rPr>
                <w:rFonts w:ascii="StobiSerif Regular" w:hAnsi="StobiSerif Regular"/>
                <w:sz w:val="16"/>
                <w:szCs w:val="16"/>
                <w:lang w:val="mk-MK"/>
              </w:rPr>
            </w:pPr>
          </w:p>
        </w:tc>
        <w:tc>
          <w:tcPr>
            <w:tcW w:w="567"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7/2018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sz w:val="20"/>
                <w:szCs w:val="20"/>
              </w:rPr>
              <w:t>2.2  Подобрување на платформата за отворени податоци и нејзино приближување кон граѓаните</w:t>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695"/>
        </w:trPr>
        <w:tc>
          <w:tcPr>
            <w:tcW w:w="6658"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sz w:val="20"/>
                <w:szCs w:val="20"/>
              </w:rPr>
              <w:t>2.3  Зголемување на свеста за отворени податоци</w:t>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8/2018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2.4  Каталогизација и категоризација на податочните сетови на државните институции</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699"/>
        </w:trPr>
        <w:tc>
          <w:tcPr>
            <w:tcW w:w="6658"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sz w:val="20"/>
                <w:szCs w:val="20"/>
              </w:rPr>
              <w:t>2.5  Линкување на отворените податоци на порталите на државните институции</w:t>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9/2017</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cs="Tahoma"/>
                <w:b/>
                <w:sz w:val="20"/>
                <w:szCs w:val="20"/>
                <w:lang w:val="mk-MK"/>
              </w:rPr>
            </w:pPr>
            <w:r w:rsidRPr="00232275">
              <w:rPr>
                <w:rFonts w:ascii="StobiSerif Regular" w:hAnsi="StobiSerif Regular" w:cs="Tahoma"/>
                <w:b/>
                <w:sz w:val="20"/>
                <w:szCs w:val="20"/>
                <w:lang w:val="mk-MK"/>
              </w:rPr>
              <w:t>СЛОБОДА НА ИНФОРМАЦИИ</w:t>
            </w:r>
            <w:r w:rsidRPr="00232275">
              <w:rPr>
                <w:rFonts w:ascii="StobiSerif Regular" w:hAnsi="StobiSerif Regular" w:cs="Tahoma"/>
                <w:b/>
                <w:sz w:val="20"/>
                <w:szCs w:val="20"/>
                <w:lang w:val="mk-MK"/>
              </w:rPr>
              <w:tab/>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57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3.1 Унапредување и олеснување на пристапот до информации</w:t>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sz w:val="20"/>
                <w:szCs w:val="20"/>
                <w:lang w:val="mk-MK"/>
              </w:rPr>
            </w:pPr>
            <w:r w:rsidRPr="00232275">
              <w:rPr>
                <w:rFonts w:ascii="StobiSerif Regular" w:hAnsi="StobiSerif Regular" w:cs="Tahoma"/>
                <w:b/>
                <w:sz w:val="20"/>
                <w:szCs w:val="20"/>
                <w:lang w:val="mk-MK"/>
              </w:rPr>
              <w:t>СПРЕЧУВАЊЕ НА КОРУПЦИЈАТА И ПРОМОВИРАЊЕ НА ДОБРОТО</w:t>
            </w:r>
            <w:r w:rsidRPr="00232275">
              <w:rPr>
                <w:rFonts w:ascii="StobiSerif Regular" w:hAnsi="StobiSerif Regular" w:cs="Tahoma"/>
                <w:b/>
                <w:sz w:val="20"/>
                <w:szCs w:val="20"/>
              </w:rPr>
              <w:t xml:space="preserve"> </w:t>
            </w:r>
            <w:r w:rsidRPr="00232275">
              <w:rPr>
                <w:rFonts w:ascii="StobiSerif Regular" w:hAnsi="StobiSerif Regular" w:cs="Tahoma"/>
                <w:b/>
                <w:sz w:val="20"/>
                <w:szCs w:val="20"/>
                <w:lang w:val="mk-MK"/>
              </w:rPr>
              <w:t>ВЛАДЕЕЊ</w:t>
            </w:r>
            <w:r w:rsidRPr="00232275">
              <w:rPr>
                <w:rFonts w:ascii="StobiSerif Regular" w:hAnsi="StobiSerif Regular" w:cs="Tahoma"/>
                <w:b/>
                <w:sz w:val="20"/>
                <w:szCs w:val="20"/>
              </w:rPr>
              <w:t>E</w:t>
            </w:r>
            <w:r w:rsidRPr="00232275">
              <w:rPr>
                <w:rFonts w:ascii="StobiSerif Regular" w:hAnsi="StobiSerif Regular" w:cs="Tahoma"/>
                <w:b/>
                <w:sz w:val="20"/>
                <w:szCs w:val="20"/>
                <w:lang w:val="mk-MK"/>
              </w:rPr>
              <w:tab/>
            </w:r>
            <w:r w:rsidRPr="00232275">
              <w:rPr>
                <w:rFonts w:ascii="StobiSerif Regular" w:hAnsi="StobiSerif Regular"/>
                <w:sz w:val="20"/>
                <w:szCs w:val="20"/>
              </w:rPr>
              <w:tab/>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391"/>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4.1 Имплементација на Законот за заштита на укажувачи и јакнење на свеста за укажувањето</w:t>
            </w: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4.2  Отворени податоци за  имотната состојба на избрани и именувани лица</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4.3  Промовирање на интегритет, транспарентност и отчетност на локално ниво и следење на напредокот</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4.4 Унапредување на соработката и зголемена проактивност во спречување на корупцијата и судирот на интереси</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cs="Tahoma"/>
                <w:sz w:val="16"/>
                <w:szCs w:val="16"/>
                <w:lang w:val="mk-MK"/>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2018</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b/>
                <w:sz w:val="20"/>
                <w:szCs w:val="20"/>
              </w:rPr>
            </w:pPr>
            <w:r w:rsidRPr="00232275">
              <w:rPr>
                <w:rFonts w:ascii="StobiSerif Regular" w:hAnsi="StobiSerif Regular"/>
                <w:b/>
                <w:sz w:val="20"/>
                <w:szCs w:val="20"/>
              </w:rPr>
              <w:t>ЕФИКАСНО УПРАВУВАЊЕ СО ЈАВНИТЕ РЕСУРСИ</w:t>
            </w:r>
          </w:p>
          <w:p w:rsidR="001F0463" w:rsidRPr="00232275" w:rsidRDefault="001F0463" w:rsidP="005E40AF">
            <w:pPr>
              <w:spacing w:after="0" w:line="240" w:lineRule="auto"/>
              <w:rPr>
                <w:rFonts w:ascii="StobiSerif Regular" w:hAnsi="StobiSerif Regular"/>
                <w:b/>
                <w:sz w:val="20"/>
                <w:szCs w:val="20"/>
                <w:lang w:val="mk-MK"/>
              </w:rPr>
            </w:pPr>
            <w:r w:rsidRPr="00232275">
              <w:rPr>
                <w:rFonts w:ascii="StobiSerif Regular" w:hAnsi="StobiSerif Regular"/>
                <w:b/>
                <w:sz w:val="20"/>
                <w:szCs w:val="20"/>
              </w:rPr>
              <w:lastRenderedPageBreak/>
              <w:t xml:space="preserve"> (ФИСКАЛНА ТРАНСПАРЕНТНОСТ)</w:t>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856C98" w:rsidRPr="00232275" w:rsidTr="00856C98">
        <w:trPr>
          <w:trHeight w:val="391"/>
        </w:trPr>
        <w:tc>
          <w:tcPr>
            <w:tcW w:w="6658" w:type="dxa"/>
            <w:shd w:val="clear" w:color="auto" w:fill="auto"/>
          </w:tcPr>
          <w:p w:rsidR="00856C98" w:rsidRPr="00232275" w:rsidRDefault="00856C98" w:rsidP="00856C98">
            <w:pPr>
              <w:spacing w:after="0" w:line="240" w:lineRule="auto"/>
              <w:jc w:val="both"/>
              <w:rPr>
                <w:rFonts w:ascii="StobiSerif Regular" w:hAnsi="StobiSerif Regular"/>
                <w:sz w:val="20"/>
                <w:szCs w:val="20"/>
              </w:rPr>
            </w:pPr>
            <w:r w:rsidRPr="00232275">
              <w:rPr>
                <w:rFonts w:ascii="StobiSerif Regular" w:hAnsi="StobiSerif Regular"/>
                <w:sz w:val="20"/>
                <w:szCs w:val="20"/>
              </w:rPr>
              <w:t>5.1 Иницијатива за отворен буџет</w:t>
            </w:r>
            <w:r w:rsidRPr="00232275">
              <w:rPr>
                <w:rFonts w:ascii="StobiSerif Regular" w:hAnsi="StobiSerif Regular"/>
                <w:sz w:val="20"/>
                <w:szCs w:val="20"/>
              </w:rPr>
              <w:tab/>
            </w:r>
          </w:p>
          <w:p w:rsidR="00856C98" w:rsidRPr="00232275" w:rsidRDefault="00856C98" w:rsidP="00856C98">
            <w:pPr>
              <w:spacing w:after="0" w:line="240" w:lineRule="auto"/>
              <w:jc w:val="both"/>
              <w:rPr>
                <w:rFonts w:ascii="StobiSerif Regular" w:hAnsi="StobiSerif Regular"/>
                <w:sz w:val="16"/>
                <w:szCs w:val="16"/>
              </w:rPr>
            </w:pPr>
          </w:p>
          <w:p w:rsidR="00856C98" w:rsidRPr="00232275" w:rsidRDefault="00856C98" w:rsidP="00856C98">
            <w:pPr>
              <w:spacing w:after="0" w:line="240" w:lineRule="auto"/>
              <w:jc w:val="both"/>
              <w:rPr>
                <w:rFonts w:ascii="StobiSerif Regular" w:hAnsi="StobiSerif Regular"/>
                <w:sz w:val="16"/>
                <w:szCs w:val="16"/>
                <w:lang w:val="mk-MK"/>
              </w:rPr>
            </w:pPr>
          </w:p>
        </w:tc>
        <w:tc>
          <w:tcPr>
            <w:tcW w:w="567" w:type="dxa"/>
            <w:tcBorders>
              <w:top w:val="nil"/>
            </w:tcBorders>
            <w:shd w:val="clear" w:color="auto" w:fill="FFFFFF"/>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hemeFill="text2" w:themeFillTint="99"/>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1276" w:type="dxa"/>
            <w:shd w:val="clear" w:color="auto" w:fill="auto"/>
          </w:tcPr>
          <w:p w:rsidR="00856C98" w:rsidRPr="00232275" w:rsidRDefault="00856C98" w:rsidP="00856C98">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rPr>
          <w:trHeight w:val="533"/>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5.2 Отворени податоци за здравствени програми</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sz w:val="16"/>
                <w:szCs w:val="16"/>
              </w:rPr>
            </w:pPr>
          </w:p>
          <w:p w:rsidR="001F0463" w:rsidRPr="00232275" w:rsidRDefault="001F0463" w:rsidP="005E40AF">
            <w:pPr>
              <w:spacing w:after="0" w:line="240" w:lineRule="auto"/>
              <w:jc w:val="both"/>
              <w:rPr>
                <w:rFonts w:ascii="StobiSerif Regular" w:hAnsi="StobiSerif Regular"/>
                <w:sz w:val="16"/>
                <w:szCs w:val="16"/>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5.3.Создавање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w:t>
            </w:r>
            <w:r w:rsidRPr="00232275">
              <w:rPr>
                <w:rFonts w:ascii="StobiSerif Regular" w:hAnsi="StobiSerif Regular"/>
                <w:sz w:val="20"/>
                <w:szCs w:val="20"/>
              </w:rPr>
              <w:tab/>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5.4. Вклучување на транспарентен и објективен начин на претставници на здруженијата и фондациите, како и на останатите ГО, во секторските работни групи за планирање и програмирање на ИПА 2</w:t>
            </w:r>
            <w:r w:rsidRPr="00232275">
              <w:rPr>
                <w:rFonts w:ascii="StobiSerif Regular" w:hAnsi="StobiSerif Regular"/>
                <w:sz w:val="20"/>
                <w:szCs w:val="20"/>
              </w:rPr>
              <w:tab/>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5.5. Објавување на податоци за склучени договори и добиена помош преку Програмата за инфраструктурен развој (ОРИО) на Кралството Холандија</w:t>
            </w:r>
            <w:r w:rsidRPr="00232275">
              <w:rPr>
                <w:rFonts w:ascii="StobiSerif Regular" w:hAnsi="StobiSerif Regular"/>
                <w:sz w:val="20"/>
                <w:szCs w:val="20"/>
              </w:rPr>
              <w:tab/>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rPr>
          <w:trHeight w:val="520"/>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5.6.Воведување на јавно достапен регистар на договори за концесии</w:t>
            </w:r>
          </w:p>
          <w:p w:rsidR="001F0463" w:rsidRPr="00232275" w:rsidRDefault="001F0463" w:rsidP="005E40AF">
            <w:pPr>
              <w:spacing w:after="0" w:line="240" w:lineRule="auto"/>
              <w:jc w:val="both"/>
              <w:rPr>
                <w:rFonts w:ascii="StobiSerif Regular" w:hAnsi="StobiSerif Regular"/>
                <w:sz w:val="16"/>
                <w:szCs w:val="16"/>
              </w:rPr>
            </w:pP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5.7</w:t>
            </w:r>
            <w:r w:rsidRPr="00232275">
              <w:rPr>
                <w:rFonts w:ascii="StobiSerif Regular" w:hAnsi="StobiSerif Regular"/>
                <w:sz w:val="20"/>
                <w:szCs w:val="20"/>
                <w:lang w:val="mk-MK"/>
              </w:rPr>
              <w:t xml:space="preserve"> </w:t>
            </w:r>
            <w:r w:rsidRPr="00232275">
              <w:rPr>
                <w:rFonts w:ascii="StobiSerif Regular" w:hAnsi="StobiSerif Regular"/>
                <w:sz w:val="20"/>
                <w:szCs w:val="20"/>
              </w:rPr>
              <w:t>Зголемување на придобивките од трошење на буџетските средства за превентивна и куративна здравствена заштита за граѓаните</w:t>
            </w:r>
            <w:r w:rsidRPr="00232275">
              <w:rPr>
                <w:rFonts w:ascii="StobiSerif Regular" w:hAnsi="StobiSerif Regular"/>
                <w:sz w:val="20"/>
                <w:szCs w:val="20"/>
              </w:rPr>
              <w:tab/>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12/2017</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5.8.Објавување податоци на квартално ниво за планирана и реализирана домашна и странска помош за рурален развој и земјоделство</w:t>
            </w:r>
            <w:r w:rsidRPr="00232275">
              <w:rPr>
                <w:rFonts w:ascii="StobiSerif Regular" w:hAnsi="StobiSerif Regular"/>
                <w:sz w:val="20"/>
                <w:szCs w:val="20"/>
              </w:rPr>
              <w:tab/>
            </w:r>
          </w:p>
        </w:tc>
        <w:tc>
          <w:tcPr>
            <w:tcW w:w="567"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sz w:val="20"/>
                <w:szCs w:val="20"/>
              </w:rPr>
              <w:t>5.9.Утврдување податоци за државна помош кои периодично треба да се објавуваат и нивно објавување</w:t>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Континуирано</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b/>
                <w:sz w:val="20"/>
                <w:szCs w:val="20"/>
                <w:lang w:val="mk-MK"/>
              </w:rPr>
            </w:pPr>
            <w:r w:rsidRPr="00232275">
              <w:rPr>
                <w:rFonts w:ascii="StobiSerif Regular" w:hAnsi="StobiSerif Regular"/>
                <w:b/>
                <w:sz w:val="20"/>
                <w:szCs w:val="20"/>
                <w:lang w:val="mk-MK"/>
              </w:rPr>
              <w:t>ОТВОРЕНОСТ НА ЛОКАЛНО НИВО</w:t>
            </w:r>
            <w:r w:rsidRPr="00232275">
              <w:rPr>
                <w:rFonts w:ascii="StobiSerif Regular" w:hAnsi="StobiSerif Regular"/>
                <w:b/>
                <w:sz w:val="20"/>
                <w:szCs w:val="20"/>
                <w:lang w:val="mk-MK"/>
              </w:rPr>
              <w:tab/>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391"/>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6.1. Развивање на стандарди за транспарентност и отворени податоци на локално ниво</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6/2017</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6.2.Воспоставување на нови алатки за подобрување на финансиската транспарентност и отчетност на ЕЛС</w:t>
            </w:r>
            <w:r w:rsidRPr="00232275">
              <w:rPr>
                <w:rFonts w:ascii="StobiSerif Regular" w:hAnsi="StobiSerif Regular"/>
                <w:sz w:val="20"/>
                <w:szCs w:val="20"/>
              </w:rPr>
              <w:tab/>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12/2017</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6.3.Подобрување на функционалноста на институционалните механизми за консултација на локално ниво</w:t>
            </w:r>
            <w:r w:rsidRPr="00232275">
              <w:rPr>
                <w:rFonts w:ascii="StobiSerif Regular" w:hAnsi="StobiSerif Regular"/>
                <w:sz w:val="20"/>
                <w:szCs w:val="20"/>
              </w:rPr>
              <w:tab/>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6.4. Зајакнување на капацитетите за соработка на Единиците на локалната самоуправа со граѓанските организации</w:t>
            </w:r>
            <w:r w:rsidRPr="00232275">
              <w:rPr>
                <w:rFonts w:ascii="StobiSerif Regular" w:hAnsi="StobiSerif Regular"/>
                <w:sz w:val="20"/>
                <w:szCs w:val="20"/>
              </w:rPr>
              <w:tab/>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12/2019</w:t>
            </w:r>
          </w:p>
        </w:tc>
      </w:tr>
      <w:tr w:rsidR="001F0463" w:rsidRPr="00232275" w:rsidTr="005E40AF">
        <w:trPr>
          <w:trHeight w:val="485"/>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6.5. Мониторинг и евалуација на квалитетот на услугите на локално ниво</w:t>
            </w: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12/2019</w:t>
            </w:r>
          </w:p>
        </w:tc>
      </w:tr>
      <w:tr w:rsidR="001F0463" w:rsidRPr="00232275" w:rsidTr="005E40AF">
        <w:trPr>
          <w:trHeight w:val="416"/>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6.6.Подобрување на социјалните услуги на локално ниво</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sz w:val="16"/>
                <w:szCs w:val="16"/>
              </w:rPr>
            </w:pP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06/2018</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6.7.Подобрување на социјална инклузија на лица со попреченост  на локално ниво</w:t>
            </w:r>
            <w:r w:rsidRPr="00232275">
              <w:rPr>
                <w:rFonts w:ascii="StobiSerif Regular" w:hAnsi="StobiSerif Regular"/>
                <w:sz w:val="20"/>
                <w:szCs w:val="20"/>
              </w:rPr>
              <w:tab/>
            </w:r>
          </w:p>
          <w:p w:rsidR="001F0463" w:rsidRPr="00232275" w:rsidRDefault="001F0463" w:rsidP="005E40AF">
            <w:pPr>
              <w:spacing w:after="0" w:line="240" w:lineRule="auto"/>
              <w:jc w:val="both"/>
              <w:rPr>
                <w:rFonts w:ascii="StobiSerif Regular" w:hAnsi="StobiSerif Regular"/>
                <w:sz w:val="16"/>
                <w:szCs w:val="16"/>
                <w:lang w:val="mk-MK"/>
              </w:rPr>
            </w:pP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12/2017</w:t>
            </w:r>
          </w:p>
        </w:tc>
      </w:tr>
      <w:tr w:rsidR="001F0463" w:rsidRPr="00232275" w:rsidTr="005E40AF">
        <w:trPr>
          <w:trHeight w:val="742"/>
        </w:trPr>
        <w:tc>
          <w:tcPr>
            <w:tcW w:w="6658" w:type="dxa"/>
            <w:shd w:val="clear" w:color="auto" w:fill="auto"/>
          </w:tcPr>
          <w:p w:rsidR="001F0463" w:rsidRPr="000940EC" w:rsidRDefault="001F0463" w:rsidP="005E40AF">
            <w:pPr>
              <w:spacing w:after="0" w:line="240" w:lineRule="auto"/>
              <w:jc w:val="both"/>
              <w:rPr>
                <w:rFonts w:ascii="StobiSerif Regular" w:hAnsi="StobiSerif Regular"/>
                <w:sz w:val="20"/>
                <w:szCs w:val="20"/>
                <w:lang w:val="mk-MK"/>
              </w:rPr>
            </w:pPr>
            <w:r>
              <w:rPr>
                <w:rFonts w:ascii="StobiSerif Regular" w:hAnsi="StobiSerif Regular"/>
                <w:sz w:val="20"/>
                <w:szCs w:val="20"/>
                <w:lang w:val="mk-MK"/>
              </w:rPr>
              <w:t>6.8 Подобрување на комуналните услуги на локално ниво</w:t>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w:t>
            </w: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w:t>
            </w: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w:t>
            </w: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w:t>
            </w: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rPr>
              <w:t>/</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Pr>
                <w:rFonts w:ascii="StobiSerif Regular" w:hAnsi="StobiSerif Regular"/>
                <w:sz w:val="20"/>
                <w:szCs w:val="20"/>
              </w:rPr>
              <w:lastRenderedPageBreak/>
              <w:t>6.9</w:t>
            </w:r>
            <w:r w:rsidRPr="00232275">
              <w:rPr>
                <w:rFonts w:ascii="StobiSerif Regular" w:hAnsi="StobiSerif Regular"/>
                <w:sz w:val="20"/>
                <w:szCs w:val="20"/>
              </w:rPr>
              <w:t>.Поголема информираност на граѓаните за институцијата Народен правобранител</w:t>
            </w:r>
          </w:p>
        </w:tc>
        <w:tc>
          <w:tcPr>
            <w:tcW w:w="567" w:type="dxa"/>
            <w:shd w:val="clear" w:color="auto" w:fill="FFFFFF"/>
          </w:tcPr>
          <w:p w:rsidR="001F0463" w:rsidRPr="00232275" w:rsidRDefault="001F0463" w:rsidP="005E40AF">
            <w:pPr>
              <w:spacing w:after="0" w:line="240" w:lineRule="auto"/>
              <w:jc w:val="both"/>
              <w:rPr>
                <w:rFonts w:ascii="StobiSerif Regular" w:hAnsi="StobiSerif Regular" w:cs="Tahoma"/>
                <w:sz w:val="20"/>
                <w:szCs w:val="20"/>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0940EC">
              <w:rPr>
                <w:rFonts w:ascii="StobiSerif Regular" w:hAnsi="StobiSerif Regular" w:cs="Tahoma"/>
                <w:sz w:val="20"/>
                <w:szCs w:val="20"/>
                <w:lang w:val="mk-MK"/>
              </w:rPr>
              <w:t>07/2017</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b/>
                <w:sz w:val="20"/>
                <w:szCs w:val="20"/>
                <w:lang w:val="mk-MK"/>
              </w:rPr>
            </w:pPr>
            <w:r w:rsidRPr="00232275">
              <w:rPr>
                <w:rFonts w:ascii="StobiSerif Regular" w:hAnsi="StobiSerif Regular"/>
                <w:b/>
                <w:sz w:val="20"/>
                <w:szCs w:val="20"/>
                <w:lang w:val="mk-MK"/>
              </w:rPr>
              <w:t>ЈАВНИ УСЛУГИ</w:t>
            </w:r>
            <w:r w:rsidRPr="00232275">
              <w:rPr>
                <w:rFonts w:ascii="StobiSerif Regular" w:hAnsi="StobiSerif Regular"/>
                <w:b/>
                <w:sz w:val="20"/>
                <w:szCs w:val="20"/>
                <w:lang w:val="mk-MK"/>
              </w:rPr>
              <w:tab/>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736"/>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7.1 Поволна правна средина за социјални договори</w:t>
            </w:r>
            <w:r w:rsidRPr="00232275">
              <w:rPr>
                <w:rFonts w:ascii="StobiSerif Regular" w:hAnsi="StobiSerif Regular"/>
                <w:sz w:val="20"/>
                <w:szCs w:val="20"/>
              </w:rPr>
              <w:tab/>
            </w:r>
          </w:p>
          <w:p w:rsidR="001F0463" w:rsidRPr="00232275" w:rsidRDefault="001F0463" w:rsidP="005E40AF">
            <w:pPr>
              <w:spacing w:after="0" w:line="240" w:lineRule="auto"/>
              <w:rPr>
                <w:rFonts w:ascii="StobiSerif Regular" w:hAnsi="StobiSerif Regular"/>
                <w:sz w:val="16"/>
                <w:szCs w:val="16"/>
                <w:lang w:val="mk-MK"/>
              </w:rPr>
            </w:pPr>
          </w:p>
          <w:p w:rsidR="001F0463" w:rsidRPr="00232275" w:rsidRDefault="001F0463" w:rsidP="005E40AF">
            <w:pPr>
              <w:spacing w:after="0" w:line="240" w:lineRule="auto"/>
              <w:rPr>
                <w:rFonts w:ascii="StobiSerif Regular" w:hAnsi="StobiSerif Regular"/>
                <w:sz w:val="16"/>
                <w:szCs w:val="16"/>
                <w:lang w:val="mk-MK"/>
              </w:rPr>
            </w:pPr>
          </w:p>
        </w:tc>
        <w:tc>
          <w:tcPr>
            <w:tcW w:w="567"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FFFFFF"/>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tcBorders>
              <w:top w:val="nil"/>
            </w:tcBorders>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6/2018</w:t>
            </w:r>
          </w:p>
        </w:tc>
      </w:tr>
      <w:tr w:rsidR="001F0463" w:rsidRPr="00232275" w:rsidTr="005E40AF">
        <w:tc>
          <w:tcPr>
            <w:tcW w:w="6658" w:type="dxa"/>
            <w:tcBorders>
              <w:right w:val="nil"/>
            </w:tcBorders>
            <w:shd w:val="clear" w:color="auto" w:fill="DDD9C3"/>
          </w:tcPr>
          <w:p w:rsidR="001F0463" w:rsidRPr="00232275" w:rsidRDefault="001F0463" w:rsidP="005E40AF">
            <w:pPr>
              <w:spacing w:after="0" w:line="240" w:lineRule="auto"/>
              <w:rPr>
                <w:rFonts w:ascii="StobiSerif Regular" w:hAnsi="StobiSerif Regular"/>
                <w:b/>
                <w:sz w:val="20"/>
                <w:szCs w:val="20"/>
                <w:lang w:val="mk-MK"/>
              </w:rPr>
            </w:pPr>
            <w:r w:rsidRPr="00232275">
              <w:rPr>
                <w:rFonts w:ascii="StobiSerif Regular" w:hAnsi="StobiSerif Regular"/>
                <w:b/>
                <w:sz w:val="20"/>
                <w:szCs w:val="20"/>
                <w:lang w:val="mk-MK"/>
              </w:rPr>
              <w:t>КЛИМАТСКИ ПРОМЕНИ</w:t>
            </w:r>
          </w:p>
        </w:tc>
        <w:tc>
          <w:tcPr>
            <w:tcW w:w="1842" w:type="dxa"/>
            <w:gridSpan w:val="4"/>
            <w:tcBorders>
              <w:left w:val="nil"/>
              <w:righ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c>
          <w:tcPr>
            <w:tcW w:w="1276" w:type="dxa"/>
            <w:tcBorders>
              <w:left w:val="nil"/>
            </w:tcBorders>
            <w:shd w:val="clear" w:color="auto" w:fill="DDD9C3"/>
          </w:tcPr>
          <w:p w:rsidR="001F0463" w:rsidRPr="00232275" w:rsidRDefault="001F0463" w:rsidP="005E40AF">
            <w:pPr>
              <w:spacing w:after="0" w:line="240" w:lineRule="auto"/>
              <w:jc w:val="center"/>
              <w:rPr>
                <w:rFonts w:ascii="StobiSerif Regular" w:hAnsi="StobiSerif Regular" w:cs="Tahoma"/>
                <w:b/>
                <w:sz w:val="20"/>
                <w:szCs w:val="20"/>
                <w:lang w:val="mk-MK"/>
              </w:rPr>
            </w:pP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8.1 Развој на климатските политики на национално ниво на транспарентен и партиципативен начин</w:t>
            </w:r>
            <w:r w:rsidRPr="00232275">
              <w:rPr>
                <w:rFonts w:ascii="StobiSerif Regular" w:hAnsi="StobiSerif Regular"/>
                <w:sz w:val="20"/>
                <w:szCs w:val="20"/>
              </w:rPr>
              <w:tab/>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9/2017</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8.2 Отворени податоци за климатски промени на национално и локално ниво</w:t>
            </w:r>
            <w:r w:rsidRPr="00232275">
              <w:rPr>
                <w:rFonts w:ascii="StobiSerif Regular" w:hAnsi="StobiSerif Regular"/>
                <w:sz w:val="20"/>
                <w:szCs w:val="20"/>
              </w:rPr>
              <w:tab/>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9/2017</w:t>
            </w:r>
          </w:p>
        </w:tc>
      </w:tr>
      <w:tr w:rsidR="001F0463" w:rsidRPr="00232275" w:rsidTr="005E40AF">
        <w:trPr>
          <w:trHeight w:val="742"/>
        </w:trPr>
        <w:tc>
          <w:tcPr>
            <w:tcW w:w="6658" w:type="dxa"/>
            <w:shd w:val="clear" w:color="auto" w:fill="auto"/>
          </w:tcPr>
          <w:p w:rsidR="001F0463" w:rsidRPr="00232275" w:rsidRDefault="001F0463" w:rsidP="005E40AF">
            <w:pPr>
              <w:spacing w:after="0" w:line="240" w:lineRule="auto"/>
              <w:jc w:val="both"/>
              <w:rPr>
                <w:rFonts w:ascii="StobiSerif Regular" w:hAnsi="StobiSerif Regular"/>
                <w:sz w:val="20"/>
                <w:szCs w:val="20"/>
              </w:rPr>
            </w:pPr>
            <w:r w:rsidRPr="00232275">
              <w:rPr>
                <w:rFonts w:ascii="StobiSerif Regular" w:hAnsi="StobiSerif Regular"/>
                <w:sz w:val="20"/>
                <w:szCs w:val="20"/>
              </w:rPr>
              <w:t>8.3. Обезбедување на одговорност и вклученост на приватниот сектор во националната акција за климатски промени</w:t>
            </w:r>
          </w:p>
        </w:tc>
        <w:tc>
          <w:tcPr>
            <w:tcW w:w="567"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FFFFFF" w:themeFill="background1"/>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425" w:type="dxa"/>
            <w:shd w:val="clear" w:color="auto" w:fill="548DD4" w:themeFill="text2" w:themeFillTint="99"/>
          </w:tcPr>
          <w:p w:rsidR="001F0463" w:rsidRPr="00232275" w:rsidRDefault="001F0463" w:rsidP="005E40AF">
            <w:pPr>
              <w:spacing w:after="0" w:line="240" w:lineRule="auto"/>
              <w:jc w:val="both"/>
              <w:rPr>
                <w:rFonts w:ascii="StobiSerif Regular" w:hAnsi="StobiSerif Regular" w:cs="Tahoma"/>
                <w:sz w:val="20"/>
                <w:szCs w:val="20"/>
                <w:lang w:val="mk-MK"/>
              </w:rPr>
            </w:pPr>
          </w:p>
        </w:tc>
        <w:tc>
          <w:tcPr>
            <w:tcW w:w="1276" w:type="dxa"/>
            <w:shd w:val="clear" w:color="auto" w:fill="auto"/>
          </w:tcPr>
          <w:p w:rsidR="001F0463" w:rsidRPr="00232275" w:rsidRDefault="001F0463" w:rsidP="005E40AF">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9/2017</w:t>
            </w:r>
          </w:p>
        </w:tc>
      </w:tr>
    </w:tbl>
    <w:p w:rsidR="001F0463" w:rsidRPr="00232275" w:rsidRDefault="001F0463" w:rsidP="001F0463">
      <w:pPr>
        <w:spacing w:line="240" w:lineRule="auto"/>
        <w:rPr>
          <w:rFonts w:ascii="StobiSerif Regular" w:hAnsi="StobiSerif Regular"/>
          <w:sz w:val="20"/>
          <w:szCs w:val="20"/>
          <w:lang w:val="mk-MK"/>
        </w:rPr>
      </w:pPr>
    </w:p>
    <w:p w:rsidR="001F0463" w:rsidRPr="008E3733" w:rsidRDefault="001F0463" w:rsidP="001F0463">
      <w:pPr>
        <w:rPr>
          <w:rFonts w:ascii="StobiSerif Regular" w:hAnsi="StobiSerif Regular" w:cs="Tahoma"/>
          <w:lang w:val="mk-MK"/>
        </w:rPr>
      </w:pPr>
    </w:p>
    <w:p w:rsidR="00B760C9" w:rsidRDefault="00B760C9"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Default="001B56C7" w:rsidP="00FF7EC2">
      <w:pPr>
        <w:pStyle w:val="ListParagraph"/>
        <w:spacing w:line="240" w:lineRule="auto"/>
        <w:ind w:left="0" w:firstLine="720"/>
        <w:jc w:val="both"/>
        <w:rPr>
          <w:rFonts w:ascii="StobiSerif Regular" w:hAnsi="StobiSerif Regular" w:cs="Tahoma"/>
          <w:sz w:val="20"/>
          <w:szCs w:val="20"/>
          <w:lang w:val="mk-MK"/>
        </w:rPr>
      </w:pPr>
    </w:p>
    <w:p w:rsidR="001B56C7" w:rsidRPr="00232275" w:rsidRDefault="001B56C7" w:rsidP="00FF7EC2">
      <w:pPr>
        <w:pStyle w:val="ListParagraph"/>
        <w:spacing w:line="240" w:lineRule="auto"/>
        <w:ind w:left="0" w:firstLine="720"/>
        <w:jc w:val="both"/>
        <w:rPr>
          <w:rFonts w:ascii="StobiSerif Regular" w:hAnsi="StobiSerif Regular" w:cs="Tahoma"/>
          <w:sz w:val="20"/>
          <w:szCs w:val="20"/>
          <w:lang w:val="mk-MK"/>
        </w:rPr>
      </w:pPr>
    </w:p>
    <w:p w:rsidR="00B760C9" w:rsidRPr="00232275" w:rsidRDefault="00B760C9" w:rsidP="00FF7EC2">
      <w:pPr>
        <w:pStyle w:val="ListParagraph"/>
        <w:spacing w:line="240" w:lineRule="auto"/>
        <w:ind w:left="0" w:firstLine="720"/>
        <w:jc w:val="both"/>
        <w:rPr>
          <w:rFonts w:ascii="StobiSerif Regular" w:hAnsi="StobiSerif Regular" w:cs="Tahoma"/>
          <w:sz w:val="20"/>
          <w:szCs w:val="20"/>
          <w:lang w:val="mk-MK"/>
        </w:rPr>
      </w:pPr>
    </w:p>
    <w:p w:rsidR="00B760C9" w:rsidRPr="00232275" w:rsidRDefault="00B760C9" w:rsidP="00FF7EC2">
      <w:pPr>
        <w:pStyle w:val="ListParagraph"/>
        <w:spacing w:line="240" w:lineRule="auto"/>
        <w:ind w:left="0" w:firstLine="720"/>
        <w:jc w:val="both"/>
        <w:rPr>
          <w:rFonts w:ascii="StobiSerif Regular" w:hAnsi="StobiSerif Regular" w:cs="Tahoma"/>
          <w:sz w:val="20"/>
          <w:szCs w:val="20"/>
          <w:lang w:val="mk-MK"/>
        </w:rPr>
      </w:pPr>
    </w:p>
    <w:p w:rsidR="00B760C9" w:rsidRPr="00232275" w:rsidRDefault="00B760C9" w:rsidP="00FF7EC2">
      <w:pPr>
        <w:pStyle w:val="ListParagraph"/>
        <w:spacing w:line="240" w:lineRule="auto"/>
        <w:ind w:left="0" w:firstLine="720"/>
        <w:jc w:val="both"/>
        <w:rPr>
          <w:rFonts w:ascii="StobiSerif Regular" w:hAnsi="StobiSerif Regular" w:cs="Tahoma"/>
          <w:sz w:val="20"/>
          <w:szCs w:val="20"/>
          <w:lang w:val="mk-MK"/>
        </w:rPr>
      </w:pPr>
    </w:p>
    <w:p w:rsidR="008E3733" w:rsidRDefault="001F0463" w:rsidP="00FF7EC2">
      <w:pPr>
        <w:spacing w:line="240" w:lineRule="auto"/>
        <w:jc w:val="both"/>
        <w:rPr>
          <w:rFonts w:ascii="StobiSerif Regular" w:hAnsi="StobiSerif Regular" w:cs="Tahoma"/>
          <w:b/>
          <w:lang w:val="mk-MK"/>
        </w:rPr>
      </w:pPr>
      <w:r>
        <w:rPr>
          <w:rFonts w:ascii="StobiSerif Regular" w:hAnsi="StobiSerif Regular" w:cs="Tahoma"/>
          <w:b/>
          <w:lang w:val="mk-MK"/>
        </w:rPr>
        <w:t>Табела 2</w:t>
      </w:r>
      <w:r w:rsidR="00C72CE9" w:rsidRPr="00232275">
        <w:rPr>
          <w:rFonts w:ascii="StobiSerif Regular" w:hAnsi="StobiSerif Regular" w:cs="Tahoma"/>
          <w:b/>
          <w:lang w:val="mk-MK"/>
        </w:rPr>
        <w:t>. Преглед  на  напредокот и главните постигнати резултати за секој поединечен приоритет од Акцискиот план 201</w:t>
      </w:r>
      <w:r w:rsidR="00C72CE9" w:rsidRPr="00232275">
        <w:rPr>
          <w:rFonts w:ascii="StobiSerif Regular" w:hAnsi="StobiSerif Regular" w:cs="Tahoma"/>
          <w:b/>
        </w:rPr>
        <w:t>6</w:t>
      </w:r>
      <w:r w:rsidR="00C72CE9" w:rsidRPr="00232275">
        <w:rPr>
          <w:rFonts w:ascii="StobiSerif Regular" w:hAnsi="StobiSerif Regular" w:cs="Tahoma"/>
          <w:b/>
          <w:lang w:val="mk-MK"/>
        </w:rPr>
        <w:t>-201</w:t>
      </w:r>
      <w:r w:rsidR="00C72CE9" w:rsidRPr="00232275">
        <w:rPr>
          <w:rFonts w:ascii="StobiSerif Regular" w:hAnsi="StobiSerif Regular" w:cs="Tahoma"/>
          <w:b/>
        </w:rPr>
        <w:t>8</w:t>
      </w:r>
      <w:r w:rsidR="00C72CE9" w:rsidRPr="00232275">
        <w:rPr>
          <w:rFonts w:ascii="StobiSerif Regular" w:hAnsi="StobiSerif Regular" w:cs="Tahoma"/>
          <w:b/>
          <w:lang w:val="mk-MK"/>
        </w:rPr>
        <w:t xml:space="preserve"> година за кој е започната имплементацијата</w:t>
      </w:r>
    </w:p>
    <w:p w:rsidR="008E3733" w:rsidRDefault="008E3733" w:rsidP="008E3733">
      <w:pPr>
        <w:rPr>
          <w:rFonts w:ascii="StobiSerif Regular" w:hAnsi="StobiSerif Regular" w:cs="Tahoma"/>
          <w:lang w:val="mk-MK"/>
        </w:rPr>
      </w:pPr>
    </w:p>
    <w:tbl>
      <w:tblPr>
        <w:tblW w:w="9924" w:type="dxa"/>
        <w:tblInd w:w="-318" w:type="dxa"/>
        <w:tblLayout w:type="fixed"/>
        <w:tblLook w:val="04A0" w:firstRow="1" w:lastRow="0" w:firstColumn="1" w:lastColumn="0" w:noHBand="0" w:noVBand="1"/>
      </w:tblPr>
      <w:tblGrid>
        <w:gridCol w:w="1896"/>
        <w:gridCol w:w="2783"/>
        <w:gridCol w:w="5245"/>
      </w:tblGrid>
      <w:tr w:rsidR="008E3733" w:rsidRPr="00232275" w:rsidTr="008E3733">
        <w:trPr>
          <w:trHeight w:val="794"/>
        </w:trPr>
        <w:tc>
          <w:tcPr>
            <w:tcW w:w="9924" w:type="dxa"/>
            <w:gridSpan w:val="3"/>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pStyle w:val="Heading1"/>
              <w:numPr>
                <w:ilvl w:val="0"/>
                <w:numId w:val="2"/>
              </w:numPr>
              <w:rPr>
                <w:rFonts w:ascii="StobiSerif Regular" w:hAnsi="StobiSerif Regular"/>
                <w:lang w:val="mk-MK"/>
              </w:rPr>
            </w:pPr>
            <w:bookmarkStart w:id="1" w:name="_Toc453059099"/>
            <w:bookmarkStart w:id="2" w:name="_Toc453059191"/>
            <w:bookmarkStart w:id="3" w:name="_Toc453059237"/>
            <w:r w:rsidRPr="00232275">
              <w:rPr>
                <w:rFonts w:ascii="StobiSerif Regular" w:hAnsi="StobiSerif Regular"/>
                <w:lang w:val="mk-MK"/>
              </w:rPr>
              <w:t>ПАРТИЦИПАТИВНО КРЕИРАЊЕ НА ПОЛИТИКИ</w:t>
            </w:r>
            <w:bookmarkEnd w:id="1"/>
            <w:bookmarkEnd w:id="2"/>
            <w:bookmarkEnd w:id="3"/>
          </w:p>
        </w:tc>
      </w:tr>
      <w:tr w:rsidR="008E3733" w:rsidRPr="00232275"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hAnsi="StobiSerif Regular"/>
                <w:b/>
                <w:sz w:val="20"/>
                <w:szCs w:val="20"/>
                <w:lang w:val="mk-MK"/>
              </w:rPr>
            </w:pPr>
            <w:r w:rsidRPr="00232275">
              <w:rPr>
                <w:rFonts w:ascii="StobiSerif Regular" w:hAnsi="StobiSerif Regular"/>
                <w:b/>
                <w:sz w:val="20"/>
                <w:szCs w:val="20"/>
                <w:lang w:val="mk-MK"/>
              </w:rPr>
              <w:t>1.1 Унапредување на процесот за консултација со засегнатите страни во</w:t>
            </w:r>
          </w:p>
          <w:p w:rsidR="008E3733" w:rsidRPr="00232275" w:rsidRDefault="008E3733" w:rsidP="008E3733">
            <w:pPr>
              <w:pStyle w:val="Heading1"/>
              <w:rPr>
                <w:rFonts w:ascii="StobiSerif Regular" w:hAnsi="StobiSerif Regular"/>
                <w:lang w:val="mk-MK"/>
              </w:rPr>
            </w:pPr>
            <w:r w:rsidRPr="00232275">
              <w:rPr>
                <w:rFonts w:ascii="StobiSerif Regular" w:hAnsi="StobiSerif Regular"/>
                <w:lang w:val="mk-MK"/>
              </w:rPr>
              <w:t>процесот на креирање на политики</w:t>
            </w:r>
          </w:p>
        </w:tc>
      </w:tr>
      <w:tr w:rsidR="008E3733" w:rsidRPr="00232275" w:rsidTr="008E3733">
        <w:trPr>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(0</w:t>
            </w:r>
            <w:r w:rsidRPr="00232275">
              <w:rPr>
                <w:rFonts w:ascii="StobiSerif Regular" w:hAnsi="StobiSerif Regular"/>
                <w:sz w:val="20"/>
                <w:szCs w:val="20"/>
              </w:rPr>
              <w:t>7</w:t>
            </w:r>
            <w:r w:rsidRPr="00232275">
              <w:rPr>
                <w:rFonts w:ascii="StobiSerif Regular" w:hAnsi="StobiSerif Regular"/>
                <w:sz w:val="20"/>
                <w:szCs w:val="20"/>
                <w:lang w:val="mk-MK"/>
              </w:rPr>
              <w:t>/2016–</w:t>
            </w:r>
            <w:r w:rsidRPr="00232275">
              <w:rPr>
                <w:rFonts w:ascii="StobiSerif Regular" w:hAnsi="StobiSerif Regular"/>
                <w:sz w:val="20"/>
                <w:szCs w:val="20"/>
              </w:rPr>
              <w:t>0</w:t>
            </w:r>
            <w:r w:rsidRPr="00232275">
              <w:rPr>
                <w:rFonts w:ascii="StobiSerif Regular" w:hAnsi="StobiSerif Regular"/>
                <w:sz w:val="20"/>
                <w:szCs w:val="20"/>
                <w:lang w:val="mk-MK"/>
              </w:rPr>
              <w:t>6/2018)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тековна обврска</w:t>
            </w:r>
          </w:p>
          <w:p w:rsidR="008E3733" w:rsidRPr="00232275" w:rsidRDefault="008E3733" w:rsidP="008E3733">
            <w:pPr>
              <w:spacing w:after="0" w:line="240" w:lineRule="auto"/>
              <w:jc w:val="center"/>
              <w:rPr>
                <w:rFonts w:ascii="StobiSerif Regular" w:hAnsi="StobiSerif Regular"/>
                <w:sz w:val="20"/>
                <w:szCs w:val="20"/>
                <w:lang w:val="mk-MK"/>
              </w:rPr>
            </w:pPr>
          </w:p>
        </w:tc>
      </w:tr>
      <w:tr w:rsidR="008E3733" w:rsidRPr="00232275" w:rsidTr="008E3733">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45" w:type="dxa"/>
            <w:tcBorders>
              <w:top w:val="nil"/>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информатичко општество и администрација</w:t>
            </w:r>
          </w:p>
        </w:tc>
      </w:tr>
      <w:tr w:rsidR="008E3733" w:rsidRPr="00232275" w:rsidTr="008E3733">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Гордана Гапиќ Димитровска </w:t>
            </w:r>
          </w:p>
          <w:p w:rsidR="008E3733" w:rsidRPr="00232275" w:rsidRDefault="008E3733" w:rsidP="008E3733">
            <w:pPr>
              <w:spacing w:after="0" w:line="240" w:lineRule="auto"/>
              <w:ind w:left="720"/>
              <w:rPr>
                <w:rFonts w:ascii="StobiSerif Regular" w:hAnsi="StobiSerif Regular"/>
                <w:sz w:val="20"/>
                <w:szCs w:val="20"/>
                <w:lang w:val="mk-MK"/>
              </w:rPr>
            </w:pPr>
            <w:r w:rsidRPr="00232275">
              <w:rPr>
                <w:rFonts w:ascii="StobiSerif Regular" w:hAnsi="StobiSerif Regular"/>
                <w:sz w:val="20"/>
                <w:szCs w:val="20"/>
                <w:lang w:val="mk-MK"/>
              </w:rPr>
              <w:t xml:space="preserve">             Марина Шаф-Радеска</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Раководител на Одделение за управување со процесот на проценка, објава и следење на регулативата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lastRenderedPageBreak/>
              <w:t>Помлад соработник во Одделение за управување со процесот на проценка,</w:t>
            </w:r>
            <w:r w:rsidRPr="00232275">
              <w:rPr>
                <w:rFonts w:ascii="StobiSerif Regular" w:hAnsi="StobiSerif Regular"/>
                <w:sz w:val="20"/>
                <w:szCs w:val="20"/>
              </w:rPr>
              <w:t xml:space="preserve"> </w:t>
            </w:r>
            <w:r w:rsidRPr="00232275">
              <w:rPr>
                <w:rFonts w:ascii="StobiSerif Regular" w:hAnsi="StobiSerif Regular"/>
                <w:sz w:val="20"/>
                <w:szCs w:val="20"/>
                <w:lang w:val="mk-MK"/>
              </w:rPr>
              <w:t>објава и следење на регулативата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Сектор за регулаторна реформа </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lastRenderedPageBreak/>
              <w:t>Email</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gordana.dimitrovska@mioa.gov.mk</w:t>
            </w:r>
          </w:p>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marina.shaf@mioa.gov.mk</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+389 3200 944</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+389 3200 919</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МИОА, ГС на ВРМ,</w:t>
            </w:r>
            <w:r w:rsidRPr="00232275">
              <w:rPr>
                <w:rFonts w:ascii="StobiSerif Regular" w:hAnsi="StobiSerif Regular"/>
                <w:sz w:val="20"/>
                <w:szCs w:val="20"/>
              </w:rPr>
              <w:t xml:space="preserve"> </w:t>
            </w:r>
            <w:r w:rsidRPr="00232275">
              <w:rPr>
                <w:rFonts w:ascii="StobiSerif Regular" w:hAnsi="StobiSerif Regular"/>
                <w:sz w:val="20"/>
                <w:szCs w:val="20"/>
                <w:lang w:val="mk-MK"/>
              </w:rPr>
              <w:t>ЦРМ,  министерства </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МЦМС,</w:t>
            </w:r>
            <w:r w:rsidRPr="00232275">
              <w:rPr>
                <w:rFonts w:ascii="StobiSerif Regular" w:hAnsi="StobiSerif Regular"/>
                <w:sz w:val="20"/>
                <w:szCs w:val="20"/>
              </w:rPr>
              <w:t xml:space="preserve"> </w:t>
            </w:r>
            <w:r w:rsidRPr="00232275">
              <w:rPr>
                <w:rFonts w:ascii="StobiSerif Regular" w:hAnsi="StobiSerif Regular"/>
                <w:sz w:val="20"/>
                <w:szCs w:val="20"/>
                <w:lang w:val="mk-MK"/>
              </w:rPr>
              <w:t>ЦИКП</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4" w:space="0" w:color="auto"/>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83" w:type="dxa"/>
            <w:vMerge/>
            <w:tcBorders>
              <w:top w:val="nil"/>
              <w:left w:val="single" w:sz="8" w:space="0" w:color="auto"/>
              <w:bottom w:val="single" w:sz="4" w:space="0" w:color="auto"/>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283"/>
        </w:trPr>
        <w:tc>
          <w:tcPr>
            <w:tcW w:w="4679" w:type="dxa"/>
            <w:gridSpan w:val="2"/>
            <w:tcBorders>
              <w:top w:val="single" w:sz="4"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Вклучувањето на јавноста во процесите на креирање политики и подготовка на закони се уште не е на задоволително ниво. Иако е воспоставен уште во 2009 година, Единствениот национален електронски регистар на прописи, сеуште не се користи доволно за онлајн консултации за предлог-законите. Минималниот период за консултации не се почитува кај сите предлог-закони и тој е значително пократок во однос на стандардите поставени во земјите на ЕУ и регионот. Јавноста нема увид во ефектите од процесот на консултации и во моментов не се достапни сумирани повратни информации од спроведениот процес на консултација. </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Афирмирање и унапредување на воспоставените практики за партиципативно креирање на политики поддржано од владиниот и граѓанскиот  сектор. </w:t>
            </w:r>
          </w:p>
        </w:tc>
      </w:tr>
      <w:tr w:rsidR="008E3733" w:rsidRPr="00232275" w:rsidTr="008E3733">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Јакнењето на односите помеѓу Владата и граѓанскиот сектор е клучно начело за добро владеење и преставува неопходна инвестиција во процесот на креирање квалитетни политики.</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Со мерките предвидени во овој приоритет се придонесува кон подобрување на јавните услуги и  зголемување на јавниот интегритет.</w:t>
            </w:r>
            <w:r w:rsidRPr="00232275">
              <w:rPr>
                <w:rFonts w:ascii="StobiSerif Regular" w:hAnsi="StobiSerif Regular"/>
                <w:sz w:val="20"/>
                <w:szCs w:val="20"/>
                <w:shd w:val="clear" w:color="auto" w:fill="FFFFFF"/>
                <w:lang w:val="mk-MK"/>
              </w:rPr>
              <w:t xml:space="preserve"> </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 xml:space="preserve">Таргет 16.7: Да се обезбеди репрезентативно одлучување на сите нивоа, со кое ќе се реагира на проблемите, а ќе </w:t>
            </w:r>
            <w:r w:rsidRPr="00232275">
              <w:rPr>
                <w:rFonts w:ascii="StobiSerif Regular" w:hAnsi="StobiSerif Regular"/>
                <w:sz w:val="20"/>
                <w:szCs w:val="20"/>
                <w:lang w:val="mk-MK"/>
              </w:rPr>
              <w:lastRenderedPageBreak/>
              <w:t>биде засновано на вклученост и партиципација на засегнатите страни</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Со мерките од оваа заложба се придонесува кон поквалитетно одлучување од страна на креаторите на политики засновано на консултација со  засегнатите страни.  </w:t>
            </w:r>
          </w:p>
        </w:tc>
      </w:tr>
      <w:tr w:rsidR="008E3733" w:rsidRPr="00232275" w:rsidTr="008E3733">
        <w:trPr>
          <w:trHeight w:val="4195"/>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lastRenderedPageBreak/>
              <w:t>Важност</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Процесот на консултации со засегнати страни овозможува Владата да има пристап до нови извори на идеи, информации и ресурси кои се важни во процесот на креирање на политики и донесување на одлуки.</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Афирмирањето и унапредувањето на воспоставените практики и процедури за креирање на политики поддржани од владиниот и јавниот сектор претставуваат основа за унапредување на транспарентноста и одговорноста на Владата пред јавноста. Исто така, информатичката технологија која ги поддржува воспоставените процедури за креирање на политики овозможува поголема отвореност, навременост и одговорност на јавниот сектор. </w:t>
            </w:r>
          </w:p>
        </w:tc>
      </w:tr>
      <w:tr w:rsidR="008E3733" w:rsidRPr="00232275" w:rsidTr="008E3733">
        <w:trPr>
          <w:trHeight w:val="168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оваа заложба се очекува во период од две години да се зголеми отчетноста и отвореноста на владата преку подобрување на процесот на спроведените консултации со јавноста:</w:t>
            </w:r>
          </w:p>
          <w:p w:rsidR="008E3733" w:rsidRPr="00232275" w:rsidRDefault="008E3733" w:rsidP="008E3733">
            <w:pPr>
              <w:numPr>
                <w:ilvl w:val="1"/>
                <w:numId w:val="1"/>
              </w:numPr>
              <w:spacing w:after="0" w:line="240" w:lineRule="auto"/>
              <w:ind w:left="175" w:hanging="184"/>
              <w:jc w:val="both"/>
              <w:rPr>
                <w:rFonts w:ascii="StobiSerif Regular" w:hAnsi="StobiSerif Regular"/>
                <w:sz w:val="20"/>
                <w:szCs w:val="20"/>
                <w:lang w:val="mk-MK"/>
              </w:rPr>
            </w:pPr>
            <w:r w:rsidRPr="00232275">
              <w:rPr>
                <w:rFonts w:ascii="StobiSerif Regular" w:hAnsi="StobiSerif Regular"/>
                <w:sz w:val="20"/>
                <w:szCs w:val="20"/>
                <w:lang w:val="mk-MK"/>
              </w:rPr>
              <w:t xml:space="preserve">во процесот на подготовка на ex ante и ex post проценка на влијанието на регулативата преку подготовка и објава на Годишен извештај за спроведени консултации, </w:t>
            </w:r>
          </w:p>
          <w:p w:rsidR="008E3733" w:rsidRPr="00232275" w:rsidRDefault="008E3733" w:rsidP="008E3733">
            <w:pPr>
              <w:numPr>
                <w:ilvl w:val="1"/>
                <w:numId w:val="1"/>
              </w:numPr>
              <w:spacing w:after="0" w:line="240" w:lineRule="auto"/>
              <w:ind w:left="175" w:hanging="184"/>
              <w:jc w:val="both"/>
              <w:rPr>
                <w:rFonts w:ascii="StobiSerif Regular" w:hAnsi="StobiSerif Regular"/>
                <w:sz w:val="20"/>
                <w:szCs w:val="20"/>
                <w:lang w:val="mk-MK"/>
              </w:rPr>
            </w:pPr>
            <w:r w:rsidRPr="00232275">
              <w:rPr>
                <w:rFonts w:ascii="StobiSerif Regular" w:hAnsi="StobiSerif Regular"/>
                <w:sz w:val="20"/>
                <w:szCs w:val="20"/>
                <w:lang w:val="mk-MK"/>
              </w:rPr>
              <w:t>споделување на резултатите од независното следење на отвореноста на Владини институции во процесите на креирање политики и подготовка на закони од страна на невладина организација,</w:t>
            </w:r>
          </w:p>
          <w:p w:rsidR="008E3733" w:rsidRPr="00232275" w:rsidRDefault="008E3733" w:rsidP="008E3733">
            <w:pPr>
              <w:numPr>
                <w:ilvl w:val="1"/>
                <w:numId w:val="1"/>
              </w:numPr>
              <w:spacing w:after="0" w:line="240" w:lineRule="auto"/>
              <w:ind w:left="175" w:hanging="184"/>
              <w:jc w:val="both"/>
              <w:rPr>
                <w:rFonts w:ascii="StobiSerif Regular" w:hAnsi="StobiSerif Regular"/>
                <w:sz w:val="20"/>
                <w:szCs w:val="20"/>
                <w:lang w:val="mk-MK"/>
              </w:rPr>
            </w:pPr>
            <w:r w:rsidRPr="00232275">
              <w:rPr>
                <w:rFonts w:ascii="StobiSerif Regular" w:hAnsi="StobiSerif Regular"/>
                <w:sz w:val="20"/>
                <w:szCs w:val="20"/>
                <w:lang w:val="mk-MK"/>
              </w:rPr>
              <w:t>зголемување на рокот за консултација со засегнатите страни во процесот на подготовка извештајот за проценка на влијанието на регулативата и подготовката на предлозите на закони</w:t>
            </w:r>
          </w:p>
          <w:p w:rsidR="008E3733" w:rsidRPr="00232275" w:rsidRDefault="008E3733" w:rsidP="008E3733">
            <w:pPr>
              <w:numPr>
                <w:ilvl w:val="1"/>
                <w:numId w:val="1"/>
              </w:numPr>
              <w:spacing w:after="0" w:line="240" w:lineRule="auto"/>
              <w:ind w:left="175" w:hanging="184"/>
              <w:jc w:val="both"/>
              <w:rPr>
                <w:rFonts w:ascii="StobiSerif Regular" w:hAnsi="StobiSerif Regular"/>
                <w:sz w:val="20"/>
                <w:szCs w:val="20"/>
                <w:lang w:val="mk-MK"/>
              </w:rPr>
            </w:pPr>
            <w:r w:rsidRPr="00232275">
              <w:rPr>
                <w:rFonts w:ascii="StobiSerif Regular" w:hAnsi="StobiSerif Regular"/>
                <w:sz w:val="20"/>
                <w:szCs w:val="20"/>
                <w:lang w:val="mk-MK"/>
              </w:rPr>
              <w:t>објавување на информација од одржани седници на Влада за утврдени предлози на закони, донесени одлуки и други мерки</w:t>
            </w:r>
          </w:p>
          <w:p w:rsidR="008E3733" w:rsidRPr="00232275" w:rsidRDefault="008E3733" w:rsidP="008E3733">
            <w:pPr>
              <w:numPr>
                <w:ilvl w:val="1"/>
                <w:numId w:val="1"/>
              </w:numPr>
              <w:spacing w:after="0" w:line="240" w:lineRule="auto"/>
              <w:ind w:left="175" w:hanging="184"/>
              <w:jc w:val="both"/>
              <w:rPr>
                <w:rFonts w:ascii="StobiSerif Regular" w:hAnsi="StobiSerif Regular"/>
                <w:sz w:val="20"/>
                <w:szCs w:val="20"/>
                <w:lang w:val="mk-MK"/>
              </w:rPr>
            </w:pPr>
            <w:r w:rsidRPr="00232275">
              <w:rPr>
                <w:rFonts w:ascii="StobiSerif Regular" w:hAnsi="StobiSerif Regular"/>
                <w:sz w:val="20"/>
                <w:szCs w:val="20"/>
                <w:lang w:val="mk-MK"/>
              </w:rPr>
              <w:t>објавување на основни податоци за граѓански организации и деловни субјекти на веб страната на Централен регистар на РМ.</w:t>
            </w:r>
          </w:p>
        </w:tc>
      </w:tr>
    </w:tbl>
    <w:tbl>
      <w:tblPr>
        <w:tblStyle w:val="TableGrid"/>
        <w:tblW w:w="9924" w:type="dxa"/>
        <w:tblInd w:w="-318" w:type="dxa"/>
        <w:tblLayout w:type="fixed"/>
        <w:tblLook w:val="04A0" w:firstRow="1" w:lastRow="0" w:firstColumn="1" w:lastColumn="0" w:noHBand="0" w:noVBand="1"/>
      </w:tblPr>
      <w:tblGrid>
        <w:gridCol w:w="4679"/>
        <w:gridCol w:w="1417"/>
        <w:gridCol w:w="1276"/>
        <w:gridCol w:w="1410"/>
        <w:gridCol w:w="1142"/>
      </w:tblGrid>
      <w:tr w:rsidR="008E3733" w:rsidRPr="00232275" w:rsidTr="008E3733">
        <w:trPr>
          <w:trHeight w:val="299"/>
        </w:trPr>
        <w:tc>
          <w:tcPr>
            <w:tcW w:w="4679" w:type="dxa"/>
            <w:vMerge w:val="restart"/>
          </w:tcPr>
          <w:p w:rsidR="008E3733" w:rsidRPr="00232275" w:rsidRDefault="008E3733" w:rsidP="008E3733">
            <w:pPr>
              <w:jc w:val="center"/>
              <w:rPr>
                <w:rFonts w:ascii="StobiSerif Regular" w:hAnsi="StobiSerif Regular" w:cs="Tahoma"/>
                <w:sz w:val="20"/>
                <w:szCs w:val="20"/>
                <w:lang w:val="mk-MK"/>
              </w:rPr>
            </w:pPr>
          </w:p>
          <w:p w:rsidR="008E3733" w:rsidRPr="00232275" w:rsidRDefault="008E3733" w:rsidP="008E3733">
            <w:pPr>
              <w:jc w:val="center"/>
              <w:rPr>
                <w:rFonts w:ascii="StobiSerif Regular" w:hAnsi="StobiSerif Regular" w:cs="Tahoma"/>
                <w:sz w:val="20"/>
                <w:szCs w:val="20"/>
                <w:lang w:val="mk-MK"/>
              </w:rPr>
            </w:pPr>
            <w:r w:rsidRPr="00232275">
              <w:rPr>
                <w:rFonts w:ascii="StobiSerif Regular" w:hAnsi="StobiSerif Regular"/>
                <w:sz w:val="20"/>
                <w:szCs w:val="20"/>
                <w:lang w:val="mk-MK"/>
              </w:rPr>
              <w:t>Статус на реализација на заложба</w:t>
            </w:r>
          </w:p>
        </w:tc>
        <w:tc>
          <w:tcPr>
            <w:tcW w:w="1417"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410"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142"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FE1794">
        <w:trPr>
          <w:trHeight w:val="373"/>
        </w:trPr>
        <w:tc>
          <w:tcPr>
            <w:tcW w:w="4679" w:type="dxa"/>
            <w:vMerge/>
          </w:tcPr>
          <w:p w:rsidR="008E3733" w:rsidRPr="00232275" w:rsidRDefault="008E3733" w:rsidP="008E3733">
            <w:pPr>
              <w:jc w:val="center"/>
              <w:rPr>
                <w:rFonts w:ascii="StobiSerif Regular" w:hAnsi="StobiSerif Regular" w:cs="Tahoma"/>
                <w:sz w:val="20"/>
                <w:szCs w:val="20"/>
                <w:lang w:val="mk-MK"/>
              </w:rPr>
            </w:pPr>
          </w:p>
        </w:tc>
        <w:tc>
          <w:tcPr>
            <w:tcW w:w="1417" w:type="dxa"/>
          </w:tcPr>
          <w:p w:rsidR="008E3733" w:rsidRPr="00232275" w:rsidRDefault="008E3733" w:rsidP="008E3733">
            <w:pPr>
              <w:jc w:val="both"/>
              <w:rPr>
                <w:rFonts w:ascii="StobiSerif Regular" w:hAnsi="StobiSerif Regular" w:cs="Tahoma"/>
                <w:sz w:val="16"/>
                <w:szCs w:val="16"/>
                <w:lang w:val="mk-MK"/>
              </w:rPr>
            </w:pPr>
          </w:p>
        </w:tc>
        <w:tc>
          <w:tcPr>
            <w:tcW w:w="1276" w:type="dxa"/>
            <w:shd w:val="clear" w:color="auto" w:fill="FFFFFF" w:themeFill="background1"/>
          </w:tcPr>
          <w:p w:rsidR="008E3733" w:rsidRPr="00232275" w:rsidRDefault="008E3733" w:rsidP="008E3733">
            <w:pPr>
              <w:jc w:val="both"/>
              <w:rPr>
                <w:rFonts w:ascii="StobiSerif Regular" w:hAnsi="StobiSerif Regular" w:cs="Tahoma"/>
                <w:sz w:val="16"/>
                <w:szCs w:val="16"/>
                <w:lang w:val="mk-MK"/>
              </w:rPr>
            </w:pPr>
          </w:p>
        </w:tc>
        <w:tc>
          <w:tcPr>
            <w:tcW w:w="1410" w:type="dxa"/>
            <w:shd w:val="clear" w:color="auto" w:fill="FFFFFF" w:themeFill="background1"/>
          </w:tcPr>
          <w:p w:rsidR="008E3733" w:rsidRPr="00232275" w:rsidRDefault="008E3733" w:rsidP="008E3733">
            <w:pPr>
              <w:jc w:val="both"/>
              <w:rPr>
                <w:rFonts w:ascii="StobiSerif Regular" w:hAnsi="StobiSerif Regular" w:cs="Tahoma"/>
                <w:sz w:val="16"/>
                <w:szCs w:val="16"/>
                <w:lang w:val="mk-MK"/>
              </w:rPr>
            </w:pPr>
          </w:p>
        </w:tc>
        <w:tc>
          <w:tcPr>
            <w:tcW w:w="1142" w:type="dxa"/>
            <w:shd w:val="clear" w:color="auto" w:fill="548DD4" w:themeFill="text2" w:themeFillTint="99"/>
          </w:tcPr>
          <w:p w:rsidR="008E3733" w:rsidRPr="00232275" w:rsidRDefault="008E3733" w:rsidP="008E3733">
            <w:pPr>
              <w:jc w:val="both"/>
              <w:rPr>
                <w:rFonts w:ascii="StobiSerif Regular" w:hAnsi="StobiSerif Regular" w:cs="Tahoma"/>
                <w:sz w:val="16"/>
                <w:szCs w:val="16"/>
                <w:lang w:val="mk-MK"/>
              </w:rPr>
            </w:pPr>
          </w:p>
        </w:tc>
      </w:tr>
      <w:tr w:rsidR="008E3733" w:rsidRPr="00232275" w:rsidTr="008E3733">
        <w:trPr>
          <w:trHeight w:val="607"/>
        </w:trPr>
        <w:tc>
          <w:tcPr>
            <w:tcW w:w="4679" w:type="dxa"/>
            <w:shd w:val="clear" w:color="auto" w:fill="DBE5F1" w:themeFill="accent1" w:themeFillTint="33"/>
            <w:vAlign w:val="center"/>
          </w:tcPr>
          <w:p w:rsidR="008E3733" w:rsidRPr="00232275" w:rsidRDefault="008E3733" w:rsidP="008E3733">
            <w:pPr>
              <w:jc w:val="center"/>
              <w:rPr>
                <w:rFonts w:ascii="StobiSerif Regular" w:hAnsi="StobiSerif Regular"/>
                <w:sz w:val="20"/>
                <w:szCs w:val="20"/>
                <w:lang w:val="mk-MK"/>
              </w:rPr>
            </w:pPr>
            <w:r w:rsidRPr="00232275">
              <w:rPr>
                <w:rFonts w:ascii="StobiSerif Regular" w:hAnsi="StobiSerif Regular"/>
                <w:sz w:val="20"/>
                <w:szCs w:val="20"/>
                <w:lang w:val="mk-MK"/>
              </w:rPr>
              <w:t>Назив на достигнување</w:t>
            </w:r>
          </w:p>
        </w:tc>
        <w:tc>
          <w:tcPr>
            <w:tcW w:w="5245" w:type="dxa"/>
            <w:gridSpan w:val="4"/>
            <w:shd w:val="clear" w:color="auto" w:fill="DBE5F1" w:themeFill="accent1" w:themeFillTint="33"/>
            <w:vAlign w:val="center"/>
          </w:tcPr>
          <w:p w:rsidR="008E3733" w:rsidRPr="00232275" w:rsidRDefault="008E3733" w:rsidP="008E3733">
            <w:pPr>
              <w:jc w:val="both"/>
              <w:rPr>
                <w:rFonts w:ascii="StobiSerif Regular" w:hAnsi="StobiSerif Regular" w:cs="Tahoma"/>
                <w:sz w:val="20"/>
                <w:szCs w:val="20"/>
                <w:lang w:val="mk-MK"/>
              </w:rPr>
            </w:pPr>
            <w:r w:rsidRPr="00232275">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8E3733" w:rsidRPr="00232275" w:rsidTr="008E3733">
        <w:trPr>
          <w:trHeight w:val="1255"/>
        </w:trPr>
        <w:tc>
          <w:tcPr>
            <w:tcW w:w="4679"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lastRenderedPageBreak/>
              <w:t xml:space="preserve">1.1.1 Развој на методологија за следење, собирање и обработка на податоци за спроведени консултации во процесот на подготовка на предлог закони од страна на министерствата </w:t>
            </w:r>
          </w:p>
        </w:tc>
        <w:tc>
          <w:tcPr>
            <w:tcW w:w="5245" w:type="dxa"/>
            <w:gridSpan w:val="4"/>
            <w:vAlign w:val="center"/>
          </w:tcPr>
          <w:p w:rsidR="008E3733" w:rsidRPr="00AE5F56" w:rsidRDefault="008E3733" w:rsidP="00AE5F56">
            <w:pPr>
              <w:numPr>
                <w:ilvl w:val="1"/>
                <w:numId w:val="1"/>
              </w:numPr>
              <w:ind w:left="175" w:hanging="184"/>
              <w:jc w:val="both"/>
              <w:rPr>
                <w:rFonts w:ascii="StobiSerif Regular" w:hAnsi="StobiSerif Regular"/>
                <w:sz w:val="20"/>
                <w:szCs w:val="20"/>
                <w:lang w:val="mk-MK"/>
              </w:rPr>
            </w:pPr>
            <w:r w:rsidRPr="001D1CBB">
              <w:rPr>
                <w:rFonts w:ascii="StobiSerif Regular" w:hAnsi="StobiSerif Regular"/>
                <w:sz w:val="20"/>
                <w:szCs w:val="20"/>
                <w:lang w:val="mk-MK"/>
              </w:rPr>
              <w:t>Врз основа на анализата за процесите на консултации при подготовка на предлог-закони која опфати преглед на законската и институционалната рамка за вклучување на јавноста во процесите на подготовка на законите; искуствата и капацитетите на органите на државната управа за спроведување на консултации со засегнатите страни и меѓународните стандарди и пракса за вклучување на јавноста во процесите на подготовка на законите се подготвија предлог Насоки за оценка на процесот на консултации со засегнатите страни при подготовка на предлог закони. Составен дел на насоките се Прашалник за оценка на процесот на консултации со засегнатите страни при подготовка на поединечни предлог закони (за администрација) и Прашалник за вклучување на јавноста во процесот на подготовка на предлог-закон (за засегнати страни)</w:t>
            </w:r>
            <w:r w:rsidR="001D1CBB" w:rsidRPr="001D1CBB">
              <w:rPr>
                <w:rFonts w:ascii="StobiSerif Regular" w:hAnsi="StobiSerif Regular"/>
                <w:sz w:val="20"/>
                <w:szCs w:val="20"/>
                <w:lang w:val="mk-MK"/>
              </w:rPr>
              <w:t xml:space="preserve">. </w:t>
            </w:r>
          </w:p>
        </w:tc>
      </w:tr>
      <w:tr w:rsidR="008E3733" w:rsidRPr="00232275" w:rsidTr="008E3733">
        <w:trPr>
          <w:trHeight w:val="1132"/>
        </w:trPr>
        <w:tc>
          <w:tcPr>
            <w:tcW w:w="4679"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1.1.2. Изработка и објава на Годишен извештај за спроведени консултации во процесот на подготовка на предлог закони од страна на министерствата</w:t>
            </w:r>
          </w:p>
        </w:tc>
        <w:tc>
          <w:tcPr>
            <w:tcW w:w="5245" w:type="dxa"/>
            <w:gridSpan w:val="4"/>
            <w:vAlign w:val="center"/>
          </w:tcPr>
          <w:p w:rsidR="008E3733" w:rsidRPr="00232275" w:rsidRDefault="001D1CBB" w:rsidP="008E3733">
            <w:pPr>
              <w:numPr>
                <w:ilvl w:val="1"/>
                <w:numId w:val="1"/>
              </w:numPr>
              <w:ind w:left="175" w:hanging="184"/>
              <w:jc w:val="both"/>
              <w:rPr>
                <w:rFonts w:ascii="StobiSerif Regular" w:hAnsi="StobiSerif Regular" w:cs="Tahoma"/>
                <w:sz w:val="20"/>
                <w:szCs w:val="20"/>
                <w:lang w:val="mk-MK"/>
              </w:rPr>
            </w:pPr>
            <w:r>
              <w:rPr>
                <w:rFonts w:ascii="StobiSerif Regular" w:hAnsi="StobiSerif Regular" w:cs="Tahoma"/>
                <w:sz w:val="20"/>
                <w:szCs w:val="20"/>
                <w:lang w:val="mk-MK"/>
              </w:rPr>
              <w:t>В</w:t>
            </w:r>
            <w:r w:rsidR="008E3733" w:rsidRPr="00232275">
              <w:rPr>
                <w:rFonts w:ascii="StobiSerif Regular" w:hAnsi="StobiSerif Regular" w:cs="Tahoma"/>
                <w:sz w:val="20"/>
                <w:szCs w:val="20"/>
                <w:lang w:val="mk-MK"/>
              </w:rPr>
              <w:t xml:space="preserve">рз основа на насоките за оценка на процесот на консултации со засегнатите страни при подготовка на предлог закони преку поединечни квалитативни и квантитативни анализи за спроведените консултации за секој предлог закон од страна на органите на државната управа да се подготвува  сумарен годишен извештај за процесот на консултации кој ќе содржи информации за релевантноста на консултациите и за перформансите на соодветните органи на државната управа во овој процес. </w:t>
            </w:r>
            <w:r>
              <w:rPr>
                <w:rFonts w:ascii="StobiSerif Regular" w:hAnsi="StobiSerif Regular" w:cs="Tahoma"/>
                <w:sz w:val="20"/>
                <w:szCs w:val="20"/>
                <w:lang w:val="mk-MK"/>
              </w:rPr>
              <w:t xml:space="preserve">Ова ќе се обозможи преку ЕНЕР. </w:t>
            </w:r>
            <w:r w:rsidR="008E3733" w:rsidRPr="00232275">
              <w:rPr>
                <w:rFonts w:ascii="StobiSerif Regular" w:hAnsi="StobiSerif Regular" w:cs="Tahoma"/>
                <w:sz w:val="20"/>
                <w:szCs w:val="20"/>
                <w:lang w:val="mk-MK"/>
              </w:rPr>
              <w:t>Очекувано е првиот Извештај да се објави во 2019 година со анализа за 2018 година.</w:t>
            </w:r>
          </w:p>
        </w:tc>
      </w:tr>
      <w:tr w:rsidR="008E3733" w:rsidRPr="00232275" w:rsidTr="008E3733">
        <w:trPr>
          <w:trHeight w:val="1132"/>
        </w:trPr>
        <w:tc>
          <w:tcPr>
            <w:tcW w:w="4679"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1.1.3. Надворешно следење на Единствениот национален електронски регистар на прописи (ЕНЕР)</w:t>
            </w:r>
          </w:p>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-јавно објавени резултати и широко дистрибуирани до носителите на одлуки</w:t>
            </w:r>
          </w:p>
        </w:tc>
        <w:tc>
          <w:tcPr>
            <w:tcW w:w="5245" w:type="dxa"/>
            <w:gridSpan w:val="4"/>
            <w:vAlign w:val="center"/>
          </w:tcPr>
          <w:p w:rsidR="008E3733" w:rsidRPr="00232275" w:rsidRDefault="008E3733" w:rsidP="008E3733">
            <w:pPr>
              <w:ind w:left="175"/>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 МЦМС продолжи со следење на објавување на предлог закони на ЕНЕР во 2017</w:t>
            </w:r>
            <w:r w:rsidR="00FE1794">
              <w:rPr>
                <w:rFonts w:ascii="StobiSerif Regular" w:hAnsi="StobiSerif Regular" w:cs="Tahoma"/>
                <w:sz w:val="20"/>
                <w:szCs w:val="20"/>
                <w:lang w:val="mk-MK"/>
              </w:rPr>
              <w:t xml:space="preserve"> и </w:t>
            </w:r>
            <w:r w:rsidRPr="00232275">
              <w:rPr>
                <w:rFonts w:ascii="StobiSerif Regular" w:hAnsi="StobiSerif Regular" w:cs="Tahoma"/>
                <w:sz w:val="20"/>
                <w:szCs w:val="20"/>
                <w:lang w:val="mk-MK"/>
              </w:rPr>
              <w:t xml:space="preserve"> </w:t>
            </w:r>
            <w:r w:rsidR="00FE1794">
              <w:rPr>
                <w:rFonts w:ascii="StobiSerif Regular" w:hAnsi="StobiSerif Regular" w:cs="Tahoma"/>
                <w:sz w:val="20"/>
                <w:szCs w:val="20"/>
                <w:lang w:val="mk-MK"/>
              </w:rPr>
              <w:t xml:space="preserve">2018 </w:t>
            </w:r>
            <w:r w:rsidRPr="00232275">
              <w:rPr>
                <w:rFonts w:ascii="StobiSerif Regular" w:hAnsi="StobiSerif Regular" w:cs="Tahoma"/>
                <w:sz w:val="20"/>
                <w:szCs w:val="20"/>
                <w:lang w:val="mk-MK"/>
              </w:rPr>
              <w:t xml:space="preserve">г. Иако беше предвидено да биде објавен краток документ со резултати од следењето на ЕНЕР сепак поради малиот број предлог закони објавени на ЕНЕР, а и поради малиот број изгласани закони извештајот </w:t>
            </w:r>
            <w:r w:rsidR="00FE1794">
              <w:rPr>
                <w:rFonts w:ascii="StobiSerif Regular" w:hAnsi="StobiSerif Regular" w:cs="Tahoma"/>
                <w:sz w:val="20"/>
                <w:szCs w:val="20"/>
                <w:lang w:val="mk-MK"/>
              </w:rPr>
              <w:t xml:space="preserve">не се </w:t>
            </w:r>
            <w:r w:rsidRPr="00232275">
              <w:rPr>
                <w:rFonts w:ascii="StobiSerif Regular" w:hAnsi="StobiSerif Regular" w:cs="Tahoma"/>
                <w:sz w:val="20"/>
                <w:szCs w:val="20"/>
                <w:lang w:val="mk-MK"/>
              </w:rPr>
              <w:t>објави</w:t>
            </w:r>
            <w:r w:rsidR="00FE1794">
              <w:rPr>
                <w:rFonts w:ascii="StobiSerif Regular" w:hAnsi="StobiSerif Regular" w:cs="Tahoma"/>
                <w:sz w:val="20"/>
                <w:szCs w:val="20"/>
                <w:lang w:val="mk-MK"/>
              </w:rPr>
              <w:t>.</w:t>
            </w:r>
            <w:r w:rsidRPr="00232275">
              <w:rPr>
                <w:rFonts w:ascii="StobiSerif Regular" w:hAnsi="StobiSerif Regular" w:cs="Tahoma"/>
                <w:sz w:val="20"/>
                <w:szCs w:val="20"/>
                <w:lang w:val="mk-MK"/>
              </w:rPr>
              <w:t xml:space="preserve"> </w:t>
            </w:r>
          </w:p>
          <w:p w:rsidR="008E3733" w:rsidRPr="00232275" w:rsidRDefault="008E3733" w:rsidP="008E3733">
            <w:pPr>
              <w:ind w:left="175"/>
              <w:jc w:val="both"/>
              <w:rPr>
                <w:rFonts w:ascii="StobiSerif Regular" w:hAnsi="StobiSerif Regular" w:cs="Tahoma"/>
                <w:sz w:val="20"/>
                <w:szCs w:val="20"/>
                <w:lang w:val="mk-MK"/>
              </w:rPr>
            </w:pPr>
          </w:p>
        </w:tc>
      </w:tr>
      <w:tr w:rsidR="008E3733" w:rsidRPr="00232275" w:rsidTr="008E3733">
        <w:trPr>
          <w:trHeight w:val="1132"/>
        </w:trPr>
        <w:tc>
          <w:tcPr>
            <w:tcW w:w="4679"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1.1.4. Зголемување на рокот за консултација со засегнатите страни во процесот на подготовка на предлог законите од страна на министерствата</w:t>
            </w:r>
          </w:p>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 Зголемување на рокот од објавување на ЕНЕР на Известувањето за почетокот на процесот за подготовка на предлог законот  до објава на нацрт на закон од 5 на 15 дена</w:t>
            </w:r>
          </w:p>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 Зголемување на рокот за консултации на ЕНЕР по нацрт Извештај за ПВР и нацрт на закон од најмалку 10 на најмалку 20 дена</w:t>
            </w:r>
          </w:p>
        </w:tc>
        <w:tc>
          <w:tcPr>
            <w:tcW w:w="5245" w:type="dxa"/>
            <w:gridSpan w:val="4"/>
            <w:vAlign w:val="center"/>
          </w:tcPr>
          <w:p w:rsidR="008E3733" w:rsidRPr="00232275" w:rsidRDefault="008E3733" w:rsidP="008E3733">
            <w:pPr>
              <w:ind w:left="172"/>
              <w:jc w:val="both"/>
              <w:rPr>
                <w:rFonts w:ascii="StobiSerif Regular" w:hAnsi="StobiSerif Regular" w:cs="Tahoma"/>
                <w:sz w:val="20"/>
                <w:szCs w:val="20"/>
                <w:lang w:val="mk-MK"/>
              </w:rPr>
            </w:pPr>
            <w:r w:rsidRPr="00232275">
              <w:rPr>
                <w:rFonts w:ascii="StobiSerif Regular" w:hAnsi="StobiSerif Regular" w:cs="Tahoma"/>
                <w:sz w:val="20"/>
                <w:szCs w:val="20"/>
                <w:lang w:val="mk-MK"/>
              </w:rPr>
              <w:t>Со Деловникот за изменување на Деловникот за работа на Владата на Република Македонија (Службен весник на РМ бр.113 од 18.08.2017), рокот за консултации на Единствениот национален електронски регистар на прописи-ЕНЕР се зголеми од 10 на 20 дена. Зголемувањето на рокот за консултации има за цел да поттикне поголемо учество на пошироката јавност при подготовка на прописите. На тој начин креаторите на политиките ќе носат одлуки засновани на аргументи и во консултација со сите засегнати страни.</w:t>
            </w:r>
          </w:p>
        </w:tc>
      </w:tr>
      <w:tr w:rsidR="008E3733" w:rsidRPr="00232275" w:rsidTr="008E3733">
        <w:trPr>
          <w:trHeight w:val="800"/>
        </w:trPr>
        <w:tc>
          <w:tcPr>
            <w:tcW w:w="4679"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1.1.5 Објавување на Соопштение за јавност од одржани седници на Влада за утврдени предлози на закони, донесени одлуки и други мерки</w:t>
            </w:r>
          </w:p>
        </w:tc>
        <w:tc>
          <w:tcPr>
            <w:tcW w:w="5245" w:type="dxa"/>
            <w:gridSpan w:val="4"/>
            <w:vAlign w:val="center"/>
          </w:tcPr>
          <w:p w:rsidR="008E3733" w:rsidRPr="00232275" w:rsidRDefault="008E3733" w:rsidP="008E3733">
            <w:pPr>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Тековно, од страна на службата за односи со јавност во Владата на Република Македонија – Генерален секретаријат, јавноста се информира преку соопштенија во пишаните  и електронските медиуми, како и на официјалната веб страна на Владата, за одржаните седници на Владата, за утврдените предлог Закони кои </w:t>
            </w:r>
            <w:r w:rsidRPr="00232275">
              <w:rPr>
                <w:rFonts w:ascii="StobiSerif Regular" w:hAnsi="StobiSerif Regular" w:cs="Tahoma"/>
                <w:sz w:val="20"/>
                <w:szCs w:val="20"/>
                <w:lang w:val="mk-MK"/>
              </w:rPr>
              <w:lastRenderedPageBreak/>
              <w:t>се доставуваат до Собранието на Република Македонија на усвојување, донесените одлуки (кои се објавуваат во Службен весник на Република Македонија), други одлуки кои не се објавуваат во Службен весник на РМ, но е потребно јавноста да биде информирана за истите, како и други мерки кои се однесуваат на различни права и обврски од страна на граѓаните на Република Македонија</w:t>
            </w:r>
          </w:p>
          <w:p w:rsidR="008E3733" w:rsidRPr="00232275" w:rsidRDefault="008E3733" w:rsidP="008E3733">
            <w:pPr>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rPr>
              <w:t xml:space="preserve">Согласно заложбите и искажаната транспарентност за работењето на Владата на Република Македонија, на веб страницата на Владата е креирана нова секција „Седници на Влада“ </w:t>
            </w:r>
            <w:hyperlink r:id="rId9" w:history="1">
              <w:r w:rsidRPr="00232275">
                <w:rPr>
                  <w:rStyle w:val="Hyperlink"/>
                  <w:rFonts w:ascii="StobiSerif Regular" w:hAnsi="StobiSerif Regular" w:cs="Tahoma"/>
                  <w:color w:val="auto"/>
                  <w:sz w:val="20"/>
                  <w:szCs w:val="20"/>
                </w:rPr>
                <w:t>http://vlada.mk/vladini-sednici</w:t>
              </w:r>
            </w:hyperlink>
            <w:r w:rsidRPr="00232275">
              <w:rPr>
                <w:rFonts w:ascii="StobiSerif Regular" w:hAnsi="StobiSerif Regular" w:cs="Tahoma"/>
                <w:b/>
                <w:sz w:val="20"/>
                <w:szCs w:val="20"/>
              </w:rPr>
              <w:t xml:space="preserve"> </w:t>
            </w:r>
            <w:r w:rsidRPr="00232275">
              <w:rPr>
                <w:rFonts w:ascii="StobiSerif Regular" w:hAnsi="StobiSerif Regular" w:cs="Tahoma"/>
                <w:sz w:val="20"/>
                <w:szCs w:val="20"/>
              </w:rPr>
              <w:t>со која е овозможена достапност до дневните редови и усвоените записници од седниците на Владата (донесените заклучоци по точките од дневниот ред). Оваа новина на 17.08.2017 година е официјално објавена и промовирана во медиумите.</w:t>
            </w:r>
          </w:p>
        </w:tc>
      </w:tr>
      <w:tr w:rsidR="00040A3E" w:rsidRPr="00232275" w:rsidTr="008E3733">
        <w:trPr>
          <w:trHeight w:val="1132"/>
        </w:trPr>
        <w:tc>
          <w:tcPr>
            <w:tcW w:w="4679" w:type="dxa"/>
            <w:vAlign w:val="center"/>
          </w:tcPr>
          <w:p w:rsidR="00040A3E" w:rsidRPr="00232275" w:rsidRDefault="00040A3E" w:rsidP="00040A3E">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lastRenderedPageBreak/>
              <w:t>1.1.6 Дефинирање на листа за објавување на основни (агрегирани) податоци за граѓански организации и деловни субјекти на веб страната на Централен регистар на РМ</w:t>
            </w:r>
          </w:p>
        </w:tc>
        <w:tc>
          <w:tcPr>
            <w:tcW w:w="5245" w:type="dxa"/>
            <w:gridSpan w:val="4"/>
            <w:vAlign w:val="center"/>
          </w:tcPr>
          <w:p w:rsidR="00040A3E" w:rsidRPr="00232275" w:rsidRDefault="00040A3E" w:rsidP="00040A3E">
            <w:pPr>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Централниот регистар на РМ (ЦРРМ) дефинира листа на основни (агрегирани) податоци за граѓански организации и деловни субјекти кои би се објавувале на веб страната на ЦРРМ. Податоците ги опфаќаат субјектите за кои ЦРРМ има податоци – трговски друштва и други правни лица, и тоа поделени по Организационен облик, Сектор на дејности (индустрија) и статистички региони, односно опфатени се следните податоци за:</w:t>
            </w:r>
          </w:p>
          <w:p w:rsidR="00040A3E" w:rsidRPr="00232275" w:rsidRDefault="00040A3E" w:rsidP="00040A3E">
            <w:pPr>
              <w:pStyle w:val="ListParagraph"/>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Број на субјекти од трговскиот регистар и регистарот на други правни лица (основани и избришани во предметната година)</w:t>
            </w:r>
          </w:p>
          <w:p w:rsidR="00040A3E" w:rsidRPr="00232275" w:rsidRDefault="00040A3E" w:rsidP="00040A3E">
            <w:pPr>
              <w:pStyle w:val="ListParagraph"/>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Број на поднесени годишни сметки и финансиски податоци (приходи, расходи, вработени) за сите типови на обработка  на годишни сметки (видови на обрасци и дополнително за непрофитни по секој организационен облик од глава- 10.0 - Општествени организации, фондации и здружение на граѓани) </w:t>
            </w:r>
          </w:p>
        </w:tc>
      </w:tr>
      <w:tr w:rsidR="00040A3E" w:rsidRPr="00232275" w:rsidTr="008E3733">
        <w:trPr>
          <w:trHeight w:val="699"/>
        </w:trPr>
        <w:tc>
          <w:tcPr>
            <w:tcW w:w="4679" w:type="dxa"/>
            <w:vAlign w:val="center"/>
          </w:tcPr>
          <w:p w:rsidR="00040A3E" w:rsidRPr="00232275" w:rsidRDefault="00040A3E" w:rsidP="00040A3E">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1.1.7 Објавување на основни (агрегирани) податоци за граѓански организации и деловни субјекти на веб страната на Централен регистар на РМ</w:t>
            </w:r>
          </w:p>
        </w:tc>
        <w:tc>
          <w:tcPr>
            <w:tcW w:w="5245" w:type="dxa"/>
            <w:gridSpan w:val="4"/>
            <w:vAlign w:val="center"/>
          </w:tcPr>
          <w:p w:rsidR="00040A3E" w:rsidRPr="00232275" w:rsidRDefault="00040A3E" w:rsidP="00040A3E">
            <w:pPr>
              <w:jc w:val="both"/>
              <w:rPr>
                <w:rFonts w:ascii="StobiSerif Regular" w:hAnsi="StobiSerif Regular" w:cs="Tahoma"/>
                <w:sz w:val="20"/>
                <w:szCs w:val="20"/>
                <w:lang w:val="mk-MK"/>
              </w:rPr>
            </w:pPr>
            <w:r>
              <w:rPr>
                <w:rFonts w:ascii="StobiSerif Regular" w:hAnsi="StobiSerif Regular" w:cs="Tahoma"/>
                <w:sz w:val="20"/>
                <w:szCs w:val="20"/>
                <w:lang w:val="mk-MK"/>
              </w:rPr>
              <w:t>Следните</w:t>
            </w:r>
            <w:r w:rsidRPr="00232275">
              <w:rPr>
                <w:rFonts w:ascii="StobiSerif Regular" w:hAnsi="StobiSerif Regular" w:cs="Tahoma"/>
                <w:sz w:val="20"/>
                <w:szCs w:val="20"/>
                <w:lang w:val="mk-MK"/>
              </w:rPr>
              <w:t xml:space="preserve"> податоци </w:t>
            </w:r>
            <w:r>
              <w:rPr>
                <w:rFonts w:ascii="StobiSerif Regular" w:hAnsi="StobiSerif Regular" w:cs="Tahoma"/>
                <w:sz w:val="20"/>
                <w:szCs w:val="20"/>
                <w:lang w:val="mk-MK"/>
              </w:rPr>
              <w:t>се</w:t>
            </w:r>
            <w:r w:rsidRPr="00232275">
              <w:rPr>
                <w:rFonts w:ascii="StobiSerif Regular" w:hAnsi="StobiSerif Regular" w:cs="Tahoma"/>
                <w:sz w:val="20"/>
                <w:szCs w:val="20"/>
                <w:lang w:val="mk-MK"/>
              </w:rPr>
              <w:t xml:space="preserve"> објав</w:t>
            </w:r>
            <w:r>
              <w:rPr>
                <w:rFonts w:ascii="StobiSerif Regular" w:hAnsi="StobiSerif Regular" w:cs="Tahoma"/>
                <w:sz w:val="20"/>
                <w:szCs w:val="20"/>
                <w:lang w:val="mk-MK"/>
              </w:rPr>
              <w:t xml:space="preserve">ени </w:t>
            </w:r>
            <w:r w:rsidRPr="00232275">
              <w:rPr>
                <w:rFonts w:ascii="StobiSerif Regular" w:hAnsi="StobiSerif Regular" w:cs="Tahoma"/>
                <w:sz w:val="20"/>
                <w:szCs w:val="20"/>
                <w:lang w:val="mk-MK"/>
              </w:rPr>
              <w:t>на веб страница</w:t>
            </w:r>
            <w:r>
              <w:rPr>
                <w:rFonts w:ascii="StobiSerif Regular" w:hAnsi="StobiSerif Regular" w:cs="Tahoma"/>
                <w:sz w:val="20"/>
                <w:szCs w:val="20"/>
                <w:lang w:val="mk-MK"/>
              </w:rPr>
              <w:t>та</w:t>
            </w:r>
            <w:r>
              <w:rPr>
                <w:rFonts w:ascii="StobiSerif Regular" w:hAnsi="StobiSerif Regular" w:cs="Tahoma"/>
                <w:sz w:val="20"/>
                <w:szCs w:val="20"/>
              </w:rPr>
              <w:t xml:space="preserve"> </w:t>
            </w:r>
            <w:hyperlink r:id="rId10" w:history="1">
              <w:r w:rsidRPr="00E549E1">
                <w:rPr>
                  <w:rFonts w:ascii="StobiSerif Regular" w:hAnsi="StobiSerif Regular" w:cs="Tahoma"/>
                  <w:sz w:val="20"/>
                  <w:szCs w:val="20"/>
                </w:rPr>
                <w:t>http://www.crm.com.mk/DS/default.aspx?MainId=1&amp;CatID=90</w:t>
              </w:r>
            </w:hyperlink>
            <w:r w:rsidRPr="00232275">
              <w:rPr>
                <w:rFonts w:ascii="StobiSerif Regular" w:hAnsi="StobiSerif Regular" w:cs="Tahoma"/>
                <w:sz w:val="20"/>
                <w:szCs w:val="20"/>
                <w:lang w:val="mk-MK"/>
              </w:rPr>
              <w:t xml:space="preserve"> на Централн</w:t>
            </w:r>
            <w:r>
              <w:rPr>
                <w:rFonts w:ascii="StobiSerif Regular" w:hAnsi="StobiSerif Regular" w:cs="Tahoma"/>
                <w:sz w:val="20"/>
                <w:szCs w:val="20"/>
                <w:lang w:val="mk-MK"/>
              </w:rPr>
              <w:t>иот</w:t>
            </w:r>
            <w:r w:rsidRPr="00232275">
              <w:rPr>
                <w:rFonts w:ascii="StobiSerif Regular" w:hAnsi="StobiSerif Regular" w:cs="Tahoma"/>
                <w:sz w:val="20"/>
                <w:szCs w:val="20"/>
                <w:lang w:val="mk-MK"/>
              </w:rPr>
              <w:t xml:space="preserve"> регистар на РМ:</w:t>
            </w:r>
          </w:p>
          <w:p w:rsidR="00040A3E" w:rsidRPr="00232275" w:rsidRDefault="00040A3E" w:rsidP="00040A3E">
            <w:pPr>
              <w:pStyle w:val="ListParagraph"/>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Број на субјекти од трговскиот регистар и регистарот на други правни лица (основани и избришани во предметната година, поединечно по НКД –сектор, организационен облик и статистички регион), за години 2015</w:t>
            </w:r>
            <w:r>
              <w:rPr>
                <w:rFonts w:ascii="StobiSerif Regular" w:hAnsi="StobiSerif Regular" w:cs="Tahoma"/>
                <w:sz w:val="20"/>
                <w:szCs w:val="20"/>
                <w:lang w:val="mk-MK"/>
              </w:rPr>
              <w:t>,</w:t>
            </w:r>
            <w:r w:rsidRPr="00232275">
              <w:rPr>
                <w:rFonts w:ascii="StobiSerif Regular" w:hAnsi="StobiSerif Regular" w:cs="Tahoma"/>
                <w:sz w:val="20"/>
                <w:szCs w:val="20"/>
                <w:lang w:val="mk-MK"/>
              </w:rPr>
              <w:t xml:space="preserve"> 2016</w:t>
            </w:r>
            <w:r>
              <w:rPr>
                <w:rFonts w:ascii="StobiSerif Regular" w:hAnsi="StobiSerif Regular" w:cs="Tahoma"/>
                <w:sz w:val="20"/>
                <w:szCs w:val="20"/>
                <w:lang w:val="mk-MK"/>
              </w:rPr>
              <w:t xml:space="preserve"> и 2017</w:t>
            </w:r>
            <w:r w:rsidRPr="00232275">
              <w:rPr>
                <w:rFonts w:ascii="StobiSerif Regular" w:hAnsi="StobiSerif Regular" w:cs="Tahoma"/>
                <w:sz w:val="20"/>
                <w:szCs w:val="20"/>
                <w:lang w:val="mk-MK"/>
              </w:rPr>
              <w:t xml:space="preserve"> </w:t>
            </w:r>
          </w:p>
          <w:p w:rsidR="00040A3E" w:rsidRDefault="00040A3E" w:rsidP="00040A3E">
            <w:pPr>
              <w:pStyle w:val="ListParagraph"/>
              <w:numPr>
                <w:ilvl w:val="1"/>
                <w:numId w:val="1"/>
              </w:numPr>
              <w:ind w:left="175" w:hanging="184"/>
              <w:jc w:val="both"/>
              <w:rPr>
                <w:rFonts w:ascii="StobiSerif Regular" w:hAnsi="StobiSerif Regular" w:cs="Tahoma"/>
                <w:sz w:val="20"/>
                <w:szCs w:val="20"/>
                <w:lang w:val="mk-MK"/>
              </w:rPr>
            </w:pPr>
            <w:r w:rsidRPr="00232275">
              <w:rPr>
                <w:rFonts w:ascii="StobiSerif Regular" w:hAnsi="StobiSerif Regular" w:cs="Tahoma"/>
                <w:sz w:val="20"/>
                <w:szCs w:val="20"/>
                <w:lang w:val="mk-MK"/>
              </w:rPr>
              <w:t>Број на поднесени годишни сметки и финансиски податоци(приходи, расходи, вработени, поединечно по НКД –сектор и статистички регион) за сите типови на обработка (видови на обрасци и дополнително за непрофитни по секој организационен облик од глава- 10.0 - Општествени организации, фондации и здружение на граѓани) на годишни сметки, за години 2015</w:t>
            </w:r>
            <w:r>
              <w:rPr>
                <w:rFonts w:ascii="StobiSerif Regular" w:hAnsi="StobiSerif Regular" w:cs="Tahoma"/>
                <w:sz w:val="20"/>
                <w:szCs w:val="20"/>
                <w:lang w:val="mk-MK"/>
              </w:rPr>
              <w:t>,</w:t>
            </w:r>
            <w:r w:rsidRPr="00232275">
              <w:rPr>
                <w:rFonts w:ascii="StobiSerif Regular" w:hAnsi="StobiSerif Regular" w:cs="Tahoma"/>
                <w:sz w:val="20"/>
                <w:szCs w:val="20"/>
                <w:lang w:val="mk-MK"/>
              </w:rPr>
              <w:t xml:space="preserve"> 2016</w:t>
            </w:r>
            <w:r>
              <w:rPr>
                <w:rFonts w:ascii="StobiSerif Regular" w:hAnsi="StobiSerif Regular" w:cs="Tahoma"/>
                <w:sz w:val="20"/>
                <w:szCs w:val="20"/>
                <w:lang w:val="mk-MK"/>
              </w:rPr>
              <w:t xml:space="preserve"> и 2017 </w:t>
            </w:r>
            <w:r w:rsidRPr="00232275">
              <w:rPr>
                <w:rFonts w:ascii="StobiSerif Regular" w:hAnsi="StobiSerif Regular" w:cs="Tahoma"/>
                <w:sz w:val="20"/>
                <w:szCs w:val="20"/>
                <w:lang w:val="mk-MK"/>
              </w:rPr>
              <w:t>.</w:t>
            </w:r>
            <w:bookmarkStart w:id="4" w:name="_MailEndCompose"/>
            <w:r w:rsidRPr="00232275">
              <w:rPr>
                <w:rFonts w:ascii="StobiSerif Regular" w:hAnsi="StobiSerif Regular" w:cs="Tahoma"/>
                <w:sz w:val="20"/>
                <w:szCs w:val="20"/>
                <w:lang w:val="mk-MK"/>
              </w:rPr>
              <w:t>“</w:t>
            </w:r>
            <w:bookmarkEnd w:id="4"/>
          </w:p>
          <w:p w:rsidR="00040A3E" w:rsidRPr="00232275" w:rsidRDefault="00040A3E" w:rsidP="00040A3E">
            <w:pPr>
              <w:pStyle w:val="ListParagraph"/>
              <w:ind w:left="175"/>
              <w:jc w:val="both"/>
              <w:rPr>
                <w:rFonts w:ascii="StobiSerif Regular" w:hAnsi="StobiSerif Regular" w:cs="Tahoma"/>
                <w:sz w:val="20"/>
                <w:szCs w:val="20"/>
                <w:lang w:val="mk-MK"/>
              </w:rPr>
            </w:pPr>
            <w:r>
              <w:rPr>
                <w:rFonts w:ascii="StobiSerif Regular" w:hAnsi="StobiSerif Regular" w:cs="Tahoma"/>
                <w:sz w:val="20"/>
                <w:szCs w:val="20"/>
                <w:lang w:val="mk-MK"/>
              </w:rPr>
              <w:lastRenderedPageBreak/>
              <w:t>За 2018 и наредните години овие податоци ќе се објавуваат тековно по нивната достапност.</w:t>
            </w:r>
            <w:r w:rsidRPr="00232275" w:rsidDel="0023575C">
              <w:rPr>
                <w:rFonts w:ascii="StobiSerif Regular" w:hAnsi="StobiSerif Regular" w:cs="Tahoma"/>
                <w:sz w:val="20"/>
                <w:szCs w:val="20"/>
                <w:lang w:val="mk-MK"/>
              </w:rPr>
              <w:t xml:space="preserve"> </w:t>
            </w:r>
          </w:p>
        </w:tc>
      </w:tr>
    </w:tbl>
    <w:p w:rsidR="008E3733" w:rsidRPr="00232275" w:rsidRDefault="008E3733" w:rsidP="008E3733">
      <w:pPr>
        <w:spacing w:line="240" w:lineRule="auto"/>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807"/>
        <w:gridCol w:w="5221"/>
      </w:tblGrid>
      <w:tr w:rsidR="008E3733" w:rsidRPr="00232275"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bookmarkStart w:id="5" w:name="_Toc453059102"/>
            <w:bookmarkStart w:id="6" w:name="_Toc453059194"/>
            <w:bookmarkStart w:id="7" w:name="_Toc453059240"/>
            <w:r w:rsidRPr="00232275">
              <w:rPr>
                <w:rFonts w:ascii="StobiSerif Regular" w:hAnsi="StobiSerif Regular"/>
                <w:b/>
                <w:sz w:val="20"/>
                <w:szCs w:val="20"/>
                <w:lang w:val="mk-MK"/>
              </w:rPr>
              <w:t>1.2  Унапредување на соработката со граѓанскиот сектор</w:t>
            </w:r>
            <w:bookmarkEnd w:id="5"/>
            <w:bookmarkEnd w:id="6"/>
            <w:bookmarkEnd w:id="7"/>
          </w:p>
        </w:tc>
      </w:tr>
      <w:tr w:rsidR="008E3733" w:rsidRPr="00232275" w:rsidTr="008E3733">
        <w:trPr>
          <w:trHeight w:val="520"/>
        </w:trPr>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rPr>
              <w:t>7/</w:t>
            </w:r>
            <w:r w:rsidRPr="00232275">
              <w:rPr>
                <w:rFonts w:ascii="StobiSerif Regular" w:hAnsi="StobiSerif Regular"/>
                <w:sz w:val="20"/>
                <w:szCs w:val="20"/>
                <w:lang w:val="mk-MK"/>
              </w:rPr>
              <w:t xml:space="preserve">2016 – </w:t>
            </w:r>
            <w:r w:rsidRPr="00232275">
              <w:rPr>
                <w:rFonts w:ascii="StobiSerif Regular" w:hAnsi="StobiSerif Regular"/>
                <w:sz w:val="20"/>
                <w:szCs w:val="20"/>
              </w:rPr>
              <w:t>1/</w:t>
            </w:r>
            <w:r w:rsidRPr="00232275">
              <w:rPr>
                <w:rFonts w:ascii="StobiSerif Regular" w:hAnsi="StobiSerif Regular"/>
                <w:sz w:val="20"/>
                <w:szCs w:val="20"/>
                <w:lang w:val="mk-MK"/>
              </w:rPr>
              <w:t>2018)</w:t>
            </w:r>
          </w:p>
        </w:tc>
        <w:tc>
          <w:tcPr>
            <w:tcW w:w="5221" w:type="dxa"/>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тековна обврска</w:t>
            </w:r>
          </w:p>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600"/>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21" w:type="dxa"/>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Генерален секретаријат на Влада на РМ </w:t>
            </w:r>
          </w:p>
        </w:tc>
      </w:tr>
      <w:tr w:rsidR="008E3733" w:rsidRPr="00232275" w:rsidTr="008E3733">
        <w:trPr>
          <w:trHeight w:val="627"/>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Сузана Никодијевиќ-Филиповска</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hAnsi="StobiSerif Regular"/>
                <w:sz w:val="20"/>
                <w:szCs w:val="20"/>
                <w:lang w:val="mk-MK"/>
              </w:rPr>
            </w:pP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Раководител на Сектор за анализа на политиките и координација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 xml:space="preserve">suzana.nikodijevic@gs.gov.mk </w:t>
            </w:r>
          </w:p>
        </w:tc>
      </w:tr>
      <w:tr w:rsidR="008E3733" w:rsidRPr="00232275" w:rsidTr="008E3733">
        <w:trPr>
          <w:trHeight w:val="60"/>
        </w:trPr>
        <w:tc>
          <w:tcPr>
            <w:tcW w:w="4703" w:type="dxa"/>
            <w:gridSpan w:val="2"/>
            <w:tcBorders>
              <w:top w:val="single" w:sz="8" w:space="0" w:color="auto"/>
              <w:left w:val="single" w:sz="8" w:space="0" w:color="auto"/>
              <w:bottom w:val="single" w:sz="4"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+ 389 75 266 400</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rPr>
              <w:t>+ 389 2 3118 022 лока.191</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807"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2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Генерален секретаријат на Влада на РМ</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22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21"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48"/>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21"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Потреба за поактивно вклучување на граѓанските организации во дефинирање на политиките што го засегаат граѓанскиот сектор и поголема соработка во спроведување и следење на заеднички иницијативи.</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Унапредување на соработката на Владата со граѓанскиот сектор преку формирање на советодавното тело за соработка, дијалог и поттикнување на развојот на граѓанскиот сектор, партиципативно креирање политики преку зголемен број на иницијативи од граѓанските организации за годишната Програма за работа на Владата, согласно Кодексот за добри практики за учество на граѓанскиот сектор во процесот на креирање на политики и продолжување на соработката преку партиципативна подготовка на новата Стратегија за соработка на Владата со граѓанскиот сектор 2018-2020.</w:t>
            </w:r>
          </w:p>
        </w:tc>
      </w:tr>
      <w:tr w:rsidR="008E3733" w:rsidRPr="00232275" w:rsidTr="008E3733">
        <w:trPr>
          <w:trHeight w:val="406"/>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lastRenderedPageBreak/>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ind w:left="-7"/>
              <w:jc w:val="both"/>
              <w:rPr>
                <w:rFonts w:ascii="StobiSerif Regular" w:hAnsi="StobiSerif Regular"/>
                <w:sz w:val="20"/>
                <w:szCs w:val="20"/>
              </w:rPr>
            </w:pPr>
            <w:r w:rsidRPr="00232275">
              <w:rPr>
                <w:rFonts w:ascii="StobiSerif Regular" w:hAnsi="StobiSerif Regular"/>
                <w:sz w:val="20"/>
                <w:szCs w:val="20"/>
                <w:lang w:val="mk-MK"/>
              </w:rPr>
              <w:t>Ф</w:t>
            </w:r>
            <w:r w:rsidRPr="00232275">
              <w:rPr>
                <w:rFonts w:ascii="StobiSerif Regular" w:hAnsi="StobiSerif Regular"/>
                <w:sz w:val="20"/>
                <w:szCs w:val="20"/>
              </w:rPr>
              <w:t>ормирање на Совет за соработка на Владата со граѓанскиот сектор;</w:t>
            </w:r>
          </w:p>
          <w:p w:rsidR="008E3733" w:rsidRPr="00232275" w:rsidRDefault="008E3733" w:rsidP="008E3733">
            <w:pPr>
              <w:spacing w:after="0" w:line="240" w:lineRule="auto"/>
              <w:ind w:left="-7"/>
              <w:jc w:val="both"/>
              <w:rPr>
                <w:rFonts w:ascii="StobiSerif Regular" w:hAnsi="StobiSerif Regular"/>
                <w:sz w:val="20"/>
                <w:szCs w:val="20"/>
                <w:lang w:val="mk-MK"/>
              </w:rPr>
            </w:pPr>
            <w:r w:rsidRPr="00232275">
              <w:rPr>
                <w:rFonts w:ascii="StobiSerif Regular" w:hAnsi="StobiSerif Regular"/>
                <w:sz w:val="20"/>
                <w:szCs w:val="20"/>
                <w:lang w:val="mk-MK"/>
              </w:rPr>
              <w:t>Објавување на повик за придонес на граѓанскиот сектор во подготвување на Годишната програма за работа на Владата;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Подготовка на новата Стратегија за соработка на Владата со граѓанскиот сектор 2018-2020 преку партиципативно учество на граѓанските организации во работни групи, јавни дебати и други форми на консултации.</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221"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Граѓанско учество</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Таргет 16.7: Да се обезбеди репрезентативно одлучување на сите нивоа, со кое ќе се реагира на проблемите, а ќе биде засновано на вклученост и партиципација на засегнатите страни</w:t>
            </w:r>
            <w:r w:rsidRPr="00232275">
              <w:rPr>
                <w:rFonts w:ascii="StobiSerif Regular" w:hAnsi="StobiSerif Regular"/>
                <w:sz w:val="20"/>
                <w:szCs w:val="20"/>
              </w:rPr>
              <w:t>.</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за поквалитетно одлучување од страна на креаторите на политики засновано на консултација со  засегнатите страни</w:t>
            </w:r>
            <w:r w:rsidRPr="00232275">
              <w:rPr>
                <w:rFonts w:ascii="StobiSerif Regular" w:hAnsi="StobiSerif Regular"/>
                <w:sz w:val="20"/>
                <w:szCs w:val="20"/>
              </w:rPr>
              <w:t xml:space="preserve"> </w:t>
            </w:r>
            <w:r w:rsidRPr="00232275">
              <w:rPr>
                <w:rFonts w:ascii="StobiSerif Regular" w:hAnsi="StobiSerif Regular"/>
                <w:sz w:val="20"/>
                <w:szCs w:val="20"/>
                <w:lang w:val="mk-MK"/>
              </w:rPr>
              <w:t xml:space="preserve">, со посебна нагласка на учеството на граѓанското општество како важен чинител во градењето на политиките.  </w:t>
            </w:r>
          </w:p>
        </w:tc>
      </w:tr>
      <w:tr w:rsidR="008E3733" w:rsidRPr="00232275" w:rsidTr="008E3733">
        <w:trPr>
          <w:trHeight w:val="567"/>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Граѓанско учество во процесот на креирање политики</w:t>
            </w:r>
          </w:p>
        </w:tc>
      </w:tr>
      <w:tr w:rsidR="008E3733" w:rsidRPr="00232275" w:rsidTr="008E3733">
        <w:trPr>
          <w:trHeight w:val="794"/>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21"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numPr>
                <w:ilvl w:val="0"/>
                <w:numId w:val="3"/>
              </w:numPr>
              <w:spacing w:after="0" w:line="240" w:lineRule="auto"/>
              <w:ind w:hanging="185"/>
              <w:jc w:val="both"/>
              <w:rPr>
                <w:rFonts w:ascii="StobiSerif Regular" w:hAnsi="StobiSerif Regular"/>
                <w:sz w:val="20"/>
                <w:szCs w:val="20"/>
                <w:lang w:val="mk-MK"/>
              </w:rPr>
            </w:pPr>
            <w:r w:rsidRPr="00232275">
              <w:rPr>
                <w:rFonts w:ascii="StobiSerif Regular" w:hAnsi="StobiSerif Regular"/>
                <w:sz w:val="20"/>
                <w:szCs w:val="20"/>
                <w:lang w:val="mk-MK"/>
              </w:rPr>
              <w:t xml:space="preserve">да се обезбеди подобро окружување за развој на граѓанскиот сектор; </w:t>
            </w:r>
          </w:p>
          <w:p w:rsidR="008E3733" w:rsidRPr="00232275" w:rsidRDefault="008E3733" w:rsidP="008E3733">
            <w:pPr>
              <w:numPr>
                <w:ilvl w:val="0"/>
                <w:numId w:val="3"/>
              </w:numPr>
              <w:spacing w:after="0" w:line="240" w:lineRule="auto"/>
              <w:ind w:hanging="185"/>
              <w:jc w:val="both"/>
              <w:rPr>
                <w:rFonts w:ascii="StobiSerif Regular" w:hAnsi="StobiSerif Regular"/>
                <w:sz w:val="20"/>
                <w:szCs w:val="20"/>
                <w:lang w:val="mk-MK"/>
              </w:rPr>
            </w:pPr>
            <w:r w:rsidRPr="00232275">
              <w:rPr>
                <w:rFonts w:ascii="StobiSerif Regular" w:hAnsi="StobiSerif Regular"/>
                <w:sz w:val="20"/>
                <w:szCs w:val="20"/>
                <w:lang w:val="mk-MK"/>
              </w:rPr>
              <w:t>да се поттикне граѓански активизам во општествените процеси;</w:t>
            </w:r>
          </w:p>
          <w:p w:rsidR="008E3733" w:rsidRPr="00232275" w:rsidRDefault="008E3733" w:rsidP="008E3733">
            <w:pPr>
              <w:numPr>
                <w:ilvl w:val="0"/>
                <w:numId w:val="3"/>
              </w:numPr>
              <w:spacing w:after="0" w:line="240" w:lineRule="auto"/>
              <w:ind w:hanging="185"/>
              <w:jc w:val="both"/>
              <w:rPr>
                <w:rFonts w:ascii="StobiSerif Regular" w:hAnsi="StobiSerif Regular"/>
                <w:sz w:val="20"/>
                <w:szCs w:val="20"/>
                <w:lang w:val="mk-MK"/>
              </w:rPr>
            </w:pPr>
            <w:r w:rsidRPr="00232275">
              <w:rPr>
                <w:rFonts w:ascii="StobiSerif Regular" w:hAnsi="StobiSerif Regular"/>
                <w:sz w:val="20"/>
                <w:szCs w:val="20"/>
                <w:lang w:val="mk-MK"/>
              </w:rPr>
              <w:t>да се зајакнат постојните и создадат нови механизми на соработка;</w:t>
            </w:r>
          </w:p>
          <w:p w:rsidR="008E3733" w:rsidRPr="00232275" w:rsidRDefault="008E3733" w:rsidP="008E3733">
            <w:pPr>
              <w:numPr>
                <w:ilvl w:val="0"/>
                <w:numId w:val="3"/>
              </w:numPr>
              <w:spacing w:after="0" w:line="240" w:lineRule="auto"/>
              <w:ind w:hanging="185"/>
              <w:jc w:val="both"/>
              <w:rPr>
                <w:rFonts w:ascii="StobiSerif Regular" w:hAnsi="StobiSerif Regular"/>
                <w:sz w:val="20"/>
                <w:szCs w:val="20"/>
                <w:lang w:val="mk-MK"/>
              </w:rPr>
            </w:pPr>
            <w:r w:rsidRPr="00232275">
              <w:rPr>
                <w:rFonts w:ascii="StobiSerif Regular" w:hAnsi="StobiSerif Regular"/>
                <w:sz w:val="20"/>
                <w:szCs w:val="20"/>
                <w:lang w:val="mk-MK"/>
              </w:rPr>
              <w:t>да им се овозможи на граѓанските организации да придонесат кон процесите за економски развој, креирање на закони и политики, европска интеграција и кон развој на демократијата и задоволување на потребите на заедницата.</w:t>
            </w:r>
          </w:p>
        </w:tc>
      </w:tr>
    </w:tbl>
    <w:tbl>
      <w:tblPr>
        <w:tblStyle w:val="TableGrid"/>
        <w:tblW w:w="9924" w:type="dxa"/>
        <w:tblInd w:w="-318" w:type="dxa"/>
        <w:tblLayout w:type="fixed"/>
        <w:tblLook w:val="04A0" w:firstRow="1" w:lastRow="0" w:firstColumn="1" w:lastColumn="0" w:noHBand="0" w:noVBand="1"/>
      </w:tblPr>
      <w:tblGrid>
        <w:gridCol w:w="4708"/>
        <w:gridCol w:w="1530"/>
        <w:gridCol w:w="1276"/>
        <w:gridCol w:w="1268"/>
        <w:gridCol w:w="1142"/>
      </w:tblGrid>
      <w:tr w:rsidR="008E3733" w:rsidRPr="00232275" w:rsidTr="008E3733">
        <w:trPr>
          <w:trHeight w:val="251"/>
        </w:trPr>
        <w:tc>
          <w:tcPr>
            <w:tcW w:w="4708" w:type="dxa"/>
            <w:vMerge w:val="restart"/>
          </w:tcPr>
          <w:p w:rsidR="008E3733" w:rsidRPr="00232275" w:rsidRDefault="008E3733" w:rsidP="008E3733">
            <w:pPr>
              <w:jc w:val="center"/>
              <w:rPr>
                <w:rFonts w:ascii="StobiSerif Regular" w:hAnsi="StobiSerif Regular" w:cs="Tahoma"/>
                <w:sz w:val="20"/>
                <w:szCs w:val="20"/>
                <w:lang w:val="mk-MK"/>
              </w:rPr>
            </w:pPr>
          </w:p>
          <w:p w:rsidR="008E3733" w:rsidRPr="00232275" w:rsidRDefault="008E3733" w:rsidP="008E3733">
            <w:pPr>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530"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268"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142" w:type="dxa"/>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FE1794">
        <w:trPr>
          <w:trHeight w:val="373"/>
        </w:trPr>
        <w:tc>
          <w:tcPr>
            <w:tcW w:w="4708" w:type="dxa"/>
            <w:vMerge/>
          </w:tcPr>
          <w:p w:rsidR="008E3733" w:rsidRPr="00232275" w:rsidRDefault="008E3733" w:rsidP="008E3733">
            <w:pPr>
              <w:jc w:val="center"/>
              <w:rPr>
                <w:rFonts w:ascii="StobiSerif Regular" w:hAnsi="StobiSerif Regular" w:cs="Tahoma"/>
                <w:sz w:val="20"/>
                <w:szCs w:val="20"/>
                <w:lang w:val="mk-MK"/>
              </w:rPr>
            </w:pPr>
          </w:p>
        </w:tc>
        <w:tc>
          <w:tcPr>
            <w:tcW w:w="1530" w:type="dxa"/>
          </w:tcPr>
          <w:p w:rsidR="008E3733" w:rsidRPr="00232275" w:rsidRDefault="008E3733" w:rsidP="008E3733">
            <w:pPr>
              <w:jc w:val="both"/>
              <w:rPr>
                <w:rFonts w:ascii="StobiSerif Regular" w:hAnsi="StobiSerif Regular" w:cs="Tahoma"/>
                <w:sz w:val="16"/>
                <w:szCs w:val="16"/>
                <w:lang w:val="mk-MK"/>
              </w:rPr>
            </w:pPr>
          </w:p>
        </w:tc>
        <w:tc>
          <w:tcPr>
            <w:tcW w:w="1276" w:type="dxa"/>
            <w:shd w:val="clear" w:color="auto" w:fill="auto"/>
          </w:tcPr>
          <w:p w:rsidR="008E3733" w:rsidRPr="00232275" w:rsidRDefault="008E3733" w:rsidP="008E3733">
            <w:pPr>
              <w:jc w:val="both"/>
              <w:rPr>
                <w:rFonts w:ascii="StobiSerif Regular" w:hAnsi="StobiSerif Regular" w:cs="Tahoma"/>
                <w:sz w:val="16"/>
                <w:szCs w:val="16"/>
                <w:lang w:val="mk-MK"/>
              </w:rPr>
            </w:pPr>
          </w:p>
        </w:tc>
        <w:tc>
          <w:tcPr>
            <w:tcW w:w="1268" w:type="dxa"/>
            <w:shd w:val="clear" w:color="auto" w:fill="FFFFFF" w:themeFill="background1"/>
          </w:tcPr>
          <w:p w:rsidR="008E3733" w:rsidRPr="00232275" w:rsidRDefault="008E3733" w:rsidP="008E3733">
            <w:pPr>
              <w:jc w:val="both"/>
              <w:rPr>
                <w:rFonts w:ascii="StobiSerif Regular" w:hAnsi="StobiSerif Regular" w:cs="Tahoma"/>
                <w:sz w:val="16"/>
                <w:szCs w:val="16"/>
                <w:lang w:val="mk-MK"/>
              </w:rPr>
            </w:pPr>
            <w:r w:rsidRPr="00232275">
              <w:rPr>
                <w:rFonts w:ascii="StobiSerif Regular" w:hAnsi="StobiSerif Regular" w:cs="Tahoma"/>
                <w:sz w:val="16"/>
                <w:szCs w:val="16"/>
                <w:lang w:val="mk-MK"/>
              </w:rPr>
              <w:tab/>
            </w:r>
          </w:p>
        </w:tc>
        <w:tc>
          <w:tcPr>
            <w:tcW w:w="1142" w:type="dxa"/>
            <w:shd w:val="clear" w:color="auto" w:fill="548DD4" w:themeFill="text2" w:themeFillTint="99"/>
          </w:tcPr>
          <w:p w:rsidR="008E3733" w:rsidRPr="00232275" w:rsidRDefault="008E3733" w:rsidP="008E3733">
            <w:pPr>
              <w:jc w:val="both"/>
              <w:rPr>
                <w:rFonts w:ascii="StobiSerif Regular" w:hAnsi="StobiSerif Regular" w:cs="Tahoma"/>
                <w:sz w:val="16"/>
                <w:szCs w:val="16"/>
                <w:lang w:val="mk-MK"/>
              </w:rPr>
            </w:pPr>
          </w:p>
        </w:tc>
      </w:tr>
      <w:tr w:rsidR="008E3733" w:rsidRPr="00232275" w:rsidTr="008E3733">
        <w:trPr>
          <w:trHeight w:val="607"/>
        </w:trPr>
        <w:tc>
          <w:tcPr>
            <w:tcW w:w="4708" w:type="dxa"/>
            <w:shd w:val="clear" w:color="auto" w:fill="DBE5F1" w:themeFill="accent1" w:themeFillTint="33"/>
            <w:vAlign w:val="center"/>
          </w:tcPr>
          <w:p w:rsidR="008E3733" w:rsidRPr="00232275" w:rsidRDefault="008E3733" w:rsidP="008E3733">
            <w:pPr>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16" w:type="dxa"/>
            <w:gridSpan w:val="4"/>
            <w:shd w:val="clear" w:color="auto" w:fill="DBE5F1" w:themeFill="accent1" w:themeFillTint="33"/>
          </w:tcPr>
          <w:p w:rsidR="008E3733" w:rsidRPr="00232275" w:rsidRDefault="008E3733" w:rsidP="008E3733">
            <w:pPr>
              <w:jc w:val="both"/>
              <w:rPr>
                <w:rFonts w:ascii="StobiSerif Regular" w:hAnsi="StobiSerif Regular" w:cs="Tahoma"/>
                <w:sz w:val="20"/>
                <w:szCs w:val="20"/>
                <w:lang w:val="mk-MK"/>
              </w:rPr>
            </w:pPr>
            <w:r w:rsidRPr="00232275">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8E3733" w:rsidRPr="00232275" w:rsidTr="008E3733">
        <w:trPr>
          <w:trHeight w:val="710"/>
        </w:trPr>
        <w:tc>
          <w:tcPr>
            <w:tcW w:w="4708" w:type="dxa"/>
            <w:vAlign w:val="center"/>
          </w:tcPr>
          <w:p w:rsidR="008E3733" w:rsidRPr="00232275" w:rsidRDefault="008E3733" w:rsidP="008E3733">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1.2.1. Формирање на советодавно тело за унапредување на соработката, дијалогот и поттикнување на развојот на граѓанскиот сектор составенo од претставници на Владата, органите на државната управа и ГО</w:t>
            </w:r>
          </w:p>
        </w:tc>
        <w:tc>
          <w:tcPr>
            <w:tcW w:w="5216" w:type="dxa"/>
            <w:gridSpan w:val="4"/>
            <w:shd w:val="clear" w:color="auto" w:fill="auto"/>
            <w:vAlign w:val="center"/>
          </w:tcPr>
          <w:p w:rsidR="008E3733" w:rsidRPr="00BC0378" w:rsidRDefault="008E3733" w:rsidP="008E3733">
            <w:pPr>
              <w:jc w:val="both"/>
              <w:rPr>
                <w:rFonts w:ascii="StobiSerif Regular" w:hAnsi="StobiSerif Regular"/>
                <w:sz w:val="20"/>
                <w:szCs w:val="20"/>
              </w:rPr>
            </w:pPr>
            <w:r w:rsidRPr="00BC0378">
              <w:rPr>
                <w:rFonts w:ascii="StobiSerif Regular" w:hAnsi="StobiSerif Regular"/>
                <w:sz w:val="20"/>
                <w:szCs w:val="20"/>
              </w:rPr>
              <w:t>Воспоставен е функционален Совет за соработка со и развој на граѓанскиот сектор, како советодавно тело на Владата</w:t>
            </w:r>
            <w:r w:rsidRPr="00BC0378">
              <w:rPr>
                <w:rFonts w:ascii="StobiSerif Regular" w:hAnsi="StobiSerif Regular"/>
                <w:sz w:val="20"/>
                <w:szCs w:val="20"/>
                <w:lang w:val="ru-RU"/>
              </w:rPr>
              <w:t xml:space="preserve"> за унапредување на соработката, дијалогот и поттикнување на развојот на граѓанскиот сектор во Република Македонија, составено од 16 претставници на граѓански организации и 15 претставници на органите на државната управа.</w:t>
            </w:r>
            <w:r w:rsidRPr="00BC0378">
              <w:rPr>
                <w:rFonts w:ascii="StobiSerif Regular" w:hAnsi="StobiSerif Regular"/>
                <w:sz w:val="20"/>
                <w:szCs w:val="20"/>
              </w:rPr>
              <w:t xml:space="preserve"> </w:t>
            </w:r>
            <w:r>
              <w:rPr>
                <w:rFonts w:ascii="StobiSerif Regular" w:hAnsi="StobiSerif Regular"/>
                <w:sz w:val="20"/>
                <w:szCs w:val="20"/>
                <w:lang w:val="mk-MK"/>
              </w:rPr>
              <w:t xml:space="preserve">Врз основа на </w:t>
            </w:r>
            <w:r w:rsidRPr="00232275">
              <w:rPr>
                <w:rFonts w:ascii="StobiSerif Regular" w:hAnsi="StobiSerif Regular"/>
                <w:sz w:val="20"/>
                <w:szCs w:val="20"/>
              </w:rPr>
              <w:t xml:space="preserve">Одлуката за формирање на Совет за соработка </w:t>
            </w:r>
            <w:r>
              <w:rPr>
                <w:rFonts w:ascii="StobiSerif Regular" w:hAnsi="StobiSerif Regular"/>
                <w:sz w:val="20"/>
                <w:szCs w:val="20"/>
                <w:lang w:val="mk-MK"/>
              </w:rPr>
              <w:t>со и развој на</w:t>
            </w:r>
            <w:r w:rsidRPr="00232275">
              <w:rPr>
                <w:rFonts w:ascii="StobiSerif Regular" w:hAnsi="StobiSerif Regular"/>
                <w:sz w:val="20"/>
                <w:szCs w:val="20"/>
              </w:rPr>
              <w:t xml:space="preserve"> граѓанскиот сектор („Службен весник на РМ“ бр.98/16</w:t>
            </w:r>
            <w:r>
              <w:rPr>
                <w:rFonts w:ascii="StobiSerif Regular" w:hAnsi="StobiSerif Regular"/>
                <w:sz w:val="20"/>
                <w:szCs w:val="20"/>
                <w:lang w:val="mk-MK"/>
              </w:rPr>
              <w:t xml:space="preserve"> и </w:t>
            </w:r>
            <w:r w:rsidRPr="00232275">
              <w:rPr>
                <w:rFonts w:ascii="StobiSerif Regular" w:hAnsi="StobiSerif Regular" w:cs="Tahoma"/>
                <w:sz w:val="20"/>
                <w:szCs w:val="20"/>
                <w:lang w:val="mk-MK"/>
              </w:rPr>
              <w:t>164/17</w:t>
            </w:r>
            <w:r>
              <w:rPr>
                <w:rFonts w:ascii="StobiSerif Regular" w:hAnsi="StobiSerif Regular" w:cs="Tahoma"/>
                <w:sz w:val="20"/>
                <w:szCs w:val="20"/>
                <w:lang w:val="mk-MK"/>
              </w:rPr>
              <w:t xml:space="preserve">) и по спроведен јавен повик за избор на 16 членови на Советот од редот на здруженијата и фондациите, Владата на </w:t>
            </w:r>
            <w:r>
              <w:rPr>
                <w:rFonts w:ascii="StobiSerif Regular" w:hAnsi="StobiSerif Regular" w:cs="Tahoma"/>
                <w:sz w:val="20"/>
                <w:szCs w:val="20"/>
                <w:lang w:val="mk-MK"/>
              </w:rPr>
              <w:lastRenderedPageBreak/>
              <w:t xml:space="preserve">седницата одржана на 3.4.2018 година донесе Решение за назначување на членови на Советот за соработка со и развој на граѓанскиот сектор („Службен весник на РМ“ бр.66/18). </w:t>
            </w:r>
            <w:r w:rsidRPr="00BC0378">
              <w:rPr>
                <w:rFonts w:ascii="StobiSerif Regular" w:hAnsi="StobiSerif Regular"/>
                <w:sz w:val="20"/>
                <w:szCs w:val="20"/>
              </w:rPr>
              <w:t>Конститутивната седница на Советот се одржа на 16.4.2018 година, а на седницата одржана на 14.5.2018 година Советот избра претседател од членовите од редот на граѓанските организации и заменик претседател од редот на членовите од органите на државната управа и донесе Деловник за својата работа. Две седници на Советот (30.5.2018 година и 13.6.2018 година) беа тематски, на кои беше разгледана Предлог-Стратегијата на Владата на Република Македонија за соработка со и развој на граѓанскиот сектор, со Акциски план 2018-2020 и утврди мислење со забелешки и препораки</w:t>
            </w:r>
            <w:r>
              <w:rPr>
                <w:rFonts w:ascii="StobiSerif Regular" w:hAnsi="StobiSerif Regular"/>
                <w:sz w:val="20"/>
                <w:szCs w:val="20"/>
                <w:lang w:val="mk-MK"/>
              </w:rPr>
              <w:t>, а на седниците одржани на 13.9.2018 и 9.10.2018 година беа разгледани актуелни прашања од значење на граѓанскиот сектор</w:t>
            </w:r>
            <w:r w:rsidRPr="00BC0378">
              <w:rPr>
                <w:rFonts w:ascii="StobiSerif Regular" w:hAnsi="StobiSerif Regular"/>
                <w:sz w:val="20"/>
                <w:szCs w:val="20"/>
              </w:rPr>
              <w:t>.</w:t>
            </w:r>
          </w:p>
          <w:p w:rsidR="008E3733" w:rsidRPr="00BC0378" w:rsidRDefault="008E3733" w:rsidP="008E3733">
            <w:pPr>
              <w:jc w:val="both"/>
              <w:rPr>
                <w:rFonts w:ascii="StobiSerif Regular" w:hAnsi="StobiSerif Regular" w:cs="Tahoma"/>
                <w:sz w:val="20"/>
                <w:szCs w:val="20"/>
              </w:rPr>
            </w:pPr>
            <w:r w:rsidRPr="00BC0378">
              <w:rPr>
                <w:rFonts w:ascii="StobiSerif Regular" w:hAnsi="StobiSerif Regular"/>
                <w:sz w:val="20"/>
                <w:szCs w:val="20"/>
              </w:rPr>
              <w:t>Одделението за соработка со невладини организации на Генералниот секретаријат на Владата, кое врши административно-техничка поддршка на работата на Советот, во рамките на твининг проектот „Понатамошно институционализирање на структурирани механизми за соработка помеѓу Владата и граѓанскиот сектор“ финансиран од Европската Унија и спроведуван од Канцеларијата за соработка со НВО на Владата на Република Хрватска, во јуни 2018 година организираше две работилници за членовите на Советот, за оперативно планирање и за ефективна комуникација, а на 5.7.2018 година организираше тркалезна маса на тема</w:t>
            </w:r>
            <w:r w:rsidRPr="00BC0378">
              <w:rPr>
                <w:rFonts w:ascii="Arial" w:hAnsi="Arial" w:cs="Arial"/>
                <w:color w:val="535353"/>
                <w:sz w:val="20"/>
                <w:szCs w:val="20"/>
              </w:rPr>
              <w:t xml:space="preserve"> </w:t>
            </w:r>
            <w:r w:rsidRPr="00BC0378">
              <w:rPr>
                <w:rFonts w:ascii="StobiSerif Regular" w:hAnsi="StobiSerif Regular"/>
                <w:sz w:val="20"/>
                <w:szCs w:val="20"/>
              </w:rPr>
              <w:t xml:space="preserve">„Понатамошно институционализирање на структурирани механизми за соработка помеѓу Владата и граѓанскиот сектор“, </w:t>
            </w:r>
            <w:r w:rsidRPr="00BC0378">
              <w:rPr>
                <w:rFonts w:ascii="StobiSerif Regular" w:hAnsi="StobiSerif Regular" w:cs="Arial"/>
                <w:sz w:val="20"/>
                <w:szCs w:val="20"/>
              </w:rPr>
              <w:t>за презентација на клучните мерки од Стратегијата и улогата на Советот во спроведувањето и следењето на овој стратешки документ.</w:t>
            </w:r>
          </w:p>
        </w:tc>
      </w:tr>
      <w:tr w:rsidR="00040A3E" w:rsidRPr="00232275" w:rsidTr="008E3733">
        <w:trPr>
          <w:trHeight w:val="558"/>
        </w:trPr>
        <w:tc>
          <w:tcPr>
            <w:tcW w:w="4708" w:type="dxa"/>
            <w:vAlign w:val="center"/>
          </w:tcPr>
          <w:p w:rsidR="00040A3E" w:rsidRPr="00232275" w:rsidRDefault="00040A3E" w:rsidP="00040A3E">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lastRenderedPageBreak/>
              <w:t>1.2.2. Унапредена примена на Кодексот за добри практики за учество на граѓанскиот сектор во процесот на креирање на политики преку зголемување на бројот на иницијативи од граѓанскиот сектор за годишната Програма за работа на Владата на Република Македонија</w:t>
            </w:r>
          </w:p>
        </w:tc>
        <w:tc>
          <w:tcPr>
            <w:tcW w:w="5216" w:type="dxa"/>
            <w:gridSpan w:val="4"/>
            <w:shd w:val="clear" w:color="auto" w:fill="auto"/>
            <w:vAlign w:val="center"/>
          </w:tcPr>
          <w:p w:rsidR="00040A3E" w:rsidRPr="00E92A05" w:rsidRDefault="00040A3E" w:rsidP="00040A3E">
            <w:pPr>
              <w:autoSpaceDE w:val="0"/>
              <w:autoSpaceDN w:val="0"/>
              <w:adjustRightInd w:val="0"/>
              <w:jc w:val="both"/>
              <w:rPr>
                <w:rFonts w:ascii="StobiSerif Regular" w:hAnsi="StobiSerif Regular" w:cs="Arial"/>
                <w:sz w:val="20"/>
                <w:szCs w:val="20"/>
              </w:rPr>
            </w:pPr>
            <w:r w:rsidRPr="00E92A05">
              <w:rPr>
                <w:rStyle w:val="apple-style-span"/>
                <w:rFonts w:ascii="StobiSerif Regular" w:hAnsi="StobiSerif Regular" w:cs="Arial"/>
                <w:sz w:val="20"/>
                <w:szCs w:val="20"/>
              </w:rPr>
              <w:t xml:space="preserve">Владата на Република Македонија на </w:t>
            </w:r>
            <w:r w:rsidRPr="00E92A05">
              <w:rPr>
                <w:rStyle w:val="apple-style-span"/>
                <w:rFonts w:ascii="StobiSerif Regular" w:hAnsi="StobiSerif Regular" w:cs="Arial"/>
                <w:sz w:val="20"/>
                <w:szCs w:val="20"/>
                <w:lang w:val="mk-MK"/>
              </w:rPr>
              <w:t xml:space="preserve">47. </w:t>
            </w:r>
            <w:r w:rsidRPr="00E92A05">
              <w:rPr>
                <w:rStyle w:val="apple-style-span"/>
                <w:rFonts w:ascii="StobiSerif Regular" w:hAnsi="StobiSerif Regular" w:cs="Arial"/>
                <w:sz w:val="20"/>
                <w:szCs w:val="20"/>
              </w:rPr>
              <w:t>седница одржана на 4.1.2018 година ја разгледа и усвои Анализата на спроведувањето консултации и учество на граѓанските организации во процесот на креирање политики на Владата и органите на државната управа</w:t>
            </w:r>
            <w:r w:rsidRPr="00E92A05">
              <w:rPr>
                <w:rStyle w:val="apple-style-span"/>
                <w:rFonts w:ascii="StobiSerif Regular" w:hAnsi="StobiSerif Regular" w:cs="Arial"/>
                <w:sz w:val="20"/>
                <w:szCs w:val="20"/>
                <w:lang w:val="mk-MK"/>
              </w:rPr>
              <w:t xml:space="preserve">. </w:t>
            </w:r>
            <w:r w:rsidRPr="00E92A05">
              <w:rPr>
                <w:rFonts w:ascii="StobiSerif Regular" w:hAnsi="StobiSerif Regular"/>
                <w:noProof/>
                <w:sz w:val="20"/>
                <w:szCs w:val="20"/>
              </w:rPr>
              <w:t>Анализата</w:t>
            </w:r>
            <w:r w:rsidRPr="00E92A05">
              <w:rPr>
                <w:rFonts w:ascii="StobiSerif Regular" w:hAnsi="StobiSerif Regular" w:cs="Arial"/>
                <w:sz w:val="20"/>
                <w:szCs w:val="20"/>
                <w:lang w:val="ru-RU"/>
              </w:rPr>
              <w:t xml:space="preserve"> е една од мерките на Владата од Планот 3-6-9 што се однесуваат на граѓанското општество и е</w:t>
            </w:r>
            <w:r w:rsidRPr="00E92A05">
              <w:rPr>
                <w:rFonts w:ascii="StobiSerif Regular" w:hAnsi="StobiSerif Regular"/>
                <w:noProof/>
                <w:sz w:val="20"/>
                <w:szCs w:val="20"/>
              </w:rPr>
              <w:t xml:space="preserve"> подготвена врз основа на одговорите на Прашалникот за спроведување консултации и учество на граѓанските организации во процесот на креирање политики, за периодот 2016 – 2017 година, што Генералниот секретаријат на Владата – Одделение за соработка со невладини организации, го дистрибуираше до сите министерства. </w:t>
            </w:r>
            <w:r w:rsidRPr="00E92A05">
              <w:rPr>
                <w:rFonts w:ascii="StobiSerif Regular" w:hAnsi="StobiSerif Regular" w:cs="Arial"/>
                <w:sz w:val="20"/>
                <w:szCs w:val="20"/>
              </w:rPr>
              <w:t>Анализата содржи препораки</w:t>
            </w:r>
            <w:r w:rsidRPr="00E92A05">
              <w:rPr>
                <w:rFonts w:ascii="StobiSerif Regular" w:hAnsi="StobiSerif Regular" w:cs="Arial"/>
                <w:sz w:val="20"/>
                <w:szCs w:val="20"/>
                <w:lang w:val="mk-MK"/>
              </w:rPr>
              <w:t xml:space="preserve"> за о</w:t>
            </w:r>
            <w:r w:rsidRPr="00E92A05">
              <w:rPr>
                <w:rFonts w:ascii="StobiSerif Regular" w:hAnsi="StobiSerif Regular"/>
                <w:sz w:val="20"/>
                <w:szCs w:val="20"/>
                <w:lang w:val="mk-MK"/>
              </w:rPr>
              <w:t xml:space="preserve">рганите на државната управа да продолжат со редовна комуникација и консултации со граѓанските организации во сите фази на процесот на креирање политики, вклучително и </w:t>
            </w:r>
            <w:r w:rsidRPr="00E92A05">
              <w:rPr>
                <w:rFonts w:ascii="StobiSerif Regular" w:hAnsi="StobiSerif Regular" w:cs="Calibri"/>
                <w:sz w:val="20"/>
                <w:szCs w:val="20"/>
                <w:lang w:val="mk-MK" w:eastAsia="mk-MK"/>
              </w:rPr>
              <w:t xml:space="preserve">како членови во работни групи, </w:t>
            </w:r>
            <w:r w:rsidRPr="00E92A05">
              <w:rPr>
                <w:rFonts w:ascii="StobiSerif Regular" w:hAnsi="StobiSerif Regular"/>
                <w:sz w:val="20"/>
                <w:szCs w:val="20"/>
                <w:lang w:val="mk-MK"/>
              </w:rPr>
              <w:t>а консултациите да бидат веродостојни, инклузивни и недискриминирачки. Исто така, се препорачува о</w:t>
            </w:r>
            <w:r w:rsidRPr="00E92A05">
              <w:rPr>
                <w:rFonts w:ascii="StobiSerif Regular" w:hAnsi="StobiSerif Regular" w:cs="Arial"/>
                <w:sz w:val="20"/>
                <w:szCs w:val="20"/>
              </w:rPr>
              <w:t xml:space="preserve">рганите </w:t>
            </w:r>
            <w:r w:rsidRPr="00E92A05">
              <w:rPr>
                <w:rFonts w:ascii="StobiSerif Regular" w:hAnsi="StobiSerif Regular" w:cs="Arial"/>
                <w:sz w:val="20"/>
                <w:szCs w:val="20"/>
              </w:rPr>
              <w:lastRenderedPageBreak/>
              <w:t>на државната управа при анализа на состојбата во процесот на креирање политики да ги користат документите (анализи, извештаи и сл.) изготвени од граѓанските организаци.</w:t>
            </w:r>
          </w:p>
          <w:p w:rsidR="00040A3E" w:rsidRPr="00E92A05" w:rsidRDefault="00040A3E" w:rsidP="00040A3E">
            <w:pPr>
              <w:jc w:val="both"/>
              <w:rPr>
                <w:rFonts w:ascii="StobiSerif Regular" w:hAnsi="StobiSerif Regular"/>
                <w:sz w:val="20"/>
                <w:szCs w:val="20"/>
              </w:rPr>
            </w:pPr>
            <w:r w:rsidRPr="00E92A05">
              <w:rPr>
                <w:rFonts w:ascii="StobiSerif Regular" w:hAnsi="StobiSerif Regular"/>
                <w:sz w:val="20"/>
                <w:szCs w:val="20"/>
                <w:lang w:val="mk-MK"/>
              </w:rPr>
              <w:t xml:space="preserve">Генералниот секретаријат, во август секоја година, на веб страницата на Одделението за соработка со невладини организации </w:t>
            </w:r>
            <w:hyperlink r:id="rId11" w:history="1">
              <w:r w:rsidRPr="00E92A05">
                <w:rPr>
                  <w:rStyle w:val="Hyperlink"/>
                  <w:rFonts w:ascii="StobiSerif Regular" w:hAnsi="StobiSerif Regular"/>
                  <w:color w:val="auto"/>
                  <w:sz w:val="20"/>
                  <w:szCs w:val="20"/>
                </w:rPr>
                <w:t>www.nvosorabotka.gov.mk</w:t>
              </w:r>
            </w:hyperlink>
            <w:r w:rsidRPr="00E92A05">
              <w:rPr>
                <w:rFonts w:ascii="StobiSerif Regular" w:hAnsi="StobiSerif Regular"/>
                <w:sz w:val="20"/>
                <w:szCs w:val="20"/>
                <w:lang w:val="en-GB"/>
              </w:rPr>
              <w:t xml:space="preserve"> </w:t>
            </w:r>
            <w:r w:rsidRPr="00E92A05">
              <w:rPr>
                <w:rFonts w:ascii="StobiSerif Regular" w:hAnsi="StobiSerif Regular"/>
                <w:sz w:val="20"/>
                <w:szCs w:val="20"/>
                <w:lang w:val="mk-MK"/>
              </w:rPr>
              <w:t xml:space="preserve">и на ЕНЕР објавува Повик до граѓанскиот сектор за придонес во подготвувањето  на годишната Програма за работа на Владата. Со повикот објавен на 17.8.2018 година за придонес во подготвувањето на Програмата за работа на Владата за 2019 година воведен е образец на иницијативи, со цел унифицирање и олеснување на постапката. </w:t>
            </w:r>
            <w:r w:rsidRPr="00E92A05">
              <w:rPr>
                <w:rFonts w:ascii="StobiSerif Regular" w:hAnsi="StobiSerif Regular"/>
                <w:sz w:val="20"/>
                <w:szCs w:val="20"/>
              </w:rPr>
              <w:t xml:space="preserve">Иницијативите на граѓанските организации, како и одговорите од ресорните министерства се објавуваат на веб страницата </w:t>
            </w:r>
            <w:hyperlink r:id="rId12" w:history="1">
              <w:r w:rsidRPr="00E92A05">
                <w:rPr>
                  <w:rStyle w:val="Hyperlink"/>
                  <w:rFonts w:ascii="StobiSerif Regular" w:hAnsi="StobiSerif Regular" w:cs="ArialNarrow"/>
                  <w:color w:val="auto"/>
                  <w:sz w:val="20"/>
                  <w:szCs w:val="20"/>
                </w:rPr>
                <w:t>www.nvosorabotka.gov.mk</w:t>
              </w:r>
            </w:hyperlink>
            <w:r w:rsidRPr="00E92A05">
              <w:rPr>
                <w:rFonts w:ascii="StobiSerif Regular" w:hAnsi="StobiSerif Regular"/>
                <w:sz w:val="20"/>
                <w:szCs w:val="20"/>
              </w:rPr>
              <w:t xml:space="preserve">.  </w:t>
            </w:r>
          </w:p>
          <w:p w:rsidR="00040A3E" w:rsidRPr="00E92A05" w:rsidRDefault="00040A3E" w:rsidP="00040A3E">
            <w:pPr>
              <w:jc w:val="both"/>
              <w:rPr>
                <w:rFonts w:ascii="StobiSerif Regular" w:hAnsi="StobiSerif Regular" w:cs="Arial"/>
                <w:sz w:val="20"/>
                <w:szCs w:val="20"/>
              </w:rPr>
            </w:pPr>
            <w:r w:rsidRPr="00E92A05">
              <w:rPr>
                <w:rFonts w:ascii="StobiSerif Regular" w:hAnsi="StobiSerif Regular" w:cs="Arial"/>
                <w:sz w:val="20"/>
                <w:szCs w:val="20"/>
                <w:lang w:val="ru-RU"/>
              </w:rPr>
              <w:t>Во согласност со определбата на Владата на Република Македонија за партнерство со граѓанското општество во процесот на креирање и спроведување на политики, Владата воведе „Отворени денови за иницијативи на граѓанските организации. Првиот од серијата настани се одржа на 8.6.2018 година, на тема „</w:t>
            </w:r>
            <w:r w:rsidRPr="00E92A05">
              <w:rPr>
                <w:rFonts w:ascii="StobiSerif Regular" w:hAnsi="StobiSerif Regular"/>
                <w:sz w:val="20"/>
                <w:szCs w:val="20"/>
              </w:rPr>
              <w:t xml:space="preserve">Практики на соработка меѓу Владата и граѓанските организации – како да се подобриме?“, а вториот на 6.7.2018 година </w:t>
            </w:r>
            <w:r w:rsidRPr="00E92A05">
              <w:rPr>
                <w:rFonts w:ascii="StobiSerif Regular" w:hAnsi="StobiSerif Regular" w:cs="Arial"/>
                <w:sz w:val="20"/>
                <w:szCs w:val="20"/>
                <w:lang w:val="ru-RU"/>
              </w:rPr>
              <w:t>на тема „</w:t>
            </w:r>
            <w:r w:rsidRPr="00E92A05">
              <w:rPr>
                <w:rFonts w:ascii="StobiSerif Regular" w:hAnsi="StobiSerif Regular" w:cs="Arial"/>
                <w:sz w:val="20"/>
                <w:szCs w:val="20"/>
              </w:rPr>
              <w:t>Б</w:t>
            </w:r>
            <w:r w:rsidRPr="00E92A05">
              <w:rPr>
                <w:rFonts w:ascii="StobiSerif Regular" w:hAnsi="StobiSerif Regular" w:cs="Arial"/>
                <w:sz w:val="20"/>
                <w:szCs w:val="20"/>
                <w:lang w:val="ru-RU"/>
              </w:rPr>
              <w:t xml:space="preserve">орба против корупција“. Иницијативите на граѓанските организации преку Одделението за соработка со невладини организации на Генералниот секретаријат се доставуваат на одговор до ресорните министерства, а иницијативите и одговорите се објавуваат на веб-страницата </w:t>
            </w:r>
            <w:hyperlink r:id="rId13" w:history="1">
              <w:r w:rsidRPr="00E92A05">
                <w:rPr>
                  <w:rStyle w:val="Hyperlink"/>
                  <w:rFonts w:ascii="StobiSerif Regular" w:hAnsi="StobiSerif Regular" w:cs="Arial"/>
                  <w:color w:val="auto"/>
                  <w:sz w:val="20"/>
                  <w:szCs w:val="20"/>
                </w:rPr>
                <w:t>www.nvosorabotka.gov.mk</w:t>
              </w:r>
            </w:hyperlink>
            <w:r w:rsidRPr="00E92A05">
              <w:rPr>
                <w:rFonts w:ascii="StobiSerif Regular" w:hAnsi="StobiSerif Regular" w:cs="Arial"/>
                <w:sz w:val="20"/>
                <w:szCs w:val="20"/>
              </w:rPr>
              <w:t xml:space="preserve">. </w:t>
            </w:r>
          </w:p>
          <w:p w:rsidR="00040A3E" w:rsidRPr="00E92A05" w:rsidRDefault="00040A3E" w:rsidP="00040A3E">
            <w:pPr>
              <w:autoSpaceDE w:val="0"/>
              <w:autoSpaceDN w:val="0"/>
              <w:adjustRightInd w:val="0"/>
              <w:jc w:val="both"/>
              <w:rPr>
                <w:rFonts w:ascii="StobiSerif Regular" w:hAnsi="StobiSerif Regular" w:cs="Tahoma"/>
                <w:sz w:val="20"/>
                <w:szCs w:val="20"/>
                <w:lang w:val="mk-MK"/>
              </w:rPr>
            </w:pPr>
          </w:p>
        </w:tc>
      </w:tr>
      <w:tr w:rsidR="00040A3E" w:rsidRPr="00232275" w:rsidTr="008E3733">
        <w:trPr>
          <w:trHeight w:val="835"/>
        </w:trPr>
        <w:tc>
          <w:tcPr>
            <w:tcW w:w="4708" w:type="dxa"/>
            <w:vAlign w:val="center"/>
          </w:tcPr>
          <w:p w:rsidR="00040A3E" w:rsidRPr="00232275" w:rsidRDefault="00040A3E" w:rsidP="00040A3E">
            <w:pPr>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lastRenderedPageBreak/>
              <w:t>1.2.3. Партиципативна подготовка на новата Стратегија за соработка на Владата со граѓанскиот сектор 2018-2020</w:t>
            </w:r>
          </w:p>
        </w:tc>
        <w:tc>
          <w:tcPr>
            <w:tcW w:w="5216" w:type="dxa"/>
            <w:gridSpan w:val="4"/>
            <w:shd w:val="clear" w:color="auto" w:fill="auto"/>
            <w:vAlign w:val="center"/>
          </w:tcPr>
          <w:p w:rsidR="00040A3E" w:rsidRPr="00E92A05" w:rsidRDefault="00040A3E" w:rsidP="00040A3E">
            <w:pPr>
              <w:jc w:val="both"/>
              <w:rPr>
                <w:rFonts w:ascii="StobiSerif Regular" w:hAnsi="StobiSerif Regular"/>
                <w:sz w:val="20"/>
                <w:szCs w:val="20"/>
                <w:lang w:val="mk-MK"/>
              </w:rPr>
            </w:pPr>
            <w:r w:rsidRPr="00E92A05">
              <w:rPr>
                <w:rFonts w:ascii="StobiSerif Regular" w:hAnsi="StobiSerif Regular"/>
                <w:sz w:val="20"/>
                <w:szCs w:val="20"/>
                <w:lang w:val="mk-MK"/>
              </w:rPr>
              <w:t xml:space="preserve">На седницата одржана на 9.10.2018 година, усвоена е </w:t>
            </w:r>
            <w:r w:rsidRPr="00E92A05">
              <w:rPr>
                <w:rFonts w:ascii="StobiSerif Regular" w:hAnsi="StobiSerif Regular"/>
                <w:sz w:val="20"/>
                <w:szCs w:val="20"/>
              </w:rPr>
              <w:t>Стратегијата на Владата на Република Македонија за соработка со и развој на граѓанскиот сектор, со Акциски план 2018-2020</w:t>
            </w:r>
            <w:r w:rsidRPr="00E92A05">
              <w:rPr>
                <w:rFonts w:ascii="StobiSerif Regular" w:hAnsi="StobiSerif Regular"/>
                <w:sz w:val="20"/>
                <w:szCs w:val="20"/>
                <w:lang w:val="mk-MK"/>
              </w:rPr>
              <w:t xml:space="preserve">. </w:t>
            </w:r>
            <w:r w:rsidRPr="00E92A05">
              <w:rPr>
                <w:rFonts w:ascii="StobiSerif Regular" w:hAnsi="StobiSerif Regular"/>
                <w:sz w:val="20"/>
                <w:szCs w:val="20"/>
                <w:shd w:val="clear" w:color="auto" w:fill="FFFFFF"/>
              </w:rPr>
              <w:t>Стратегијата се темели на досега постигнатите резултати, но и разработува рамка за идни активности кои ќе овозможат понатамошно унапредување на соработката и поттикнување на развојот на граѓанскиот сектор, како коректив на политиките, сервис на граѓаните и канал за солидарност, партнер на државата и бизнисот и двигател на ЕУ интеграцијата.</w:t>
            </w:r>
            <w:r w:rsidRPr="00E92A05">
              <w:rPr>
                <w:rFonts w:ascii="StobiSerif Regular" w:hAnsi="StobiSerif Regular"/>
                <w:sz w:val="20"/>
                <w:szCs w:val="20"/>
                <w:shd w:val="clear" w:color="auto" w:fill="FFFFFF"/>
                <w:lang w:val="mk-MK"/>
              </w:rPr>
              <w:t xml:space="preserve"> </w:t>
            </w:r>
            <w:r w:rsidRPr="00E92A05">
              <w:rPr>
                <w:rFonts w:ascii="StobiSerif Regular" w:hAnsi="StobiSerif Regular"/>
                <w:sz w:val="20"/>
                <w:szCs w:val="20"/>
                <w:lang w:val="mk-MK"/>
              </w:rPr>
              <w:t xml:space="preserve">Мерките во овој стратешки документ се </w:t>
            </w:r>
            <w:r w:rsidRPr="00E92A05">
              <w:rPr>
                <w:rFonts w:ascii="StobiSerif Regular" w:hAnsi="StobiSerif Regular"/>
                <w:sz w:val="20"/>
                <w:szCs w:val="20"/>
              </w:rPr>
              <w:t xml:space="preserve">во насока на </w:t>
            </w:r>
            <w:r w:rsidRPr="00E92A05">
              <w:rPr>
                <w:rStyle w:val="A10"/>
                <w:rFonts w:ascii="StobiSerif Regular" w:hAnsi="StobiSerif Regular"/>
                <w:color w:val="auto"/>
              </w:rPr>
              <w:t>унапредување на соработката и поттикнување на развојот на граѓанскиот сектор</w:t>
            </w:r>
            <w:r w:rsidRPr="00E92A05">
              <w:rPr>
                <w:rFonts w:ascii="StobiSerif Regular" w:hAnsi="StobiSerif Regular"/>
                <w:sz w:val="20"/>
                <w:szCs w:val="20"/>
                <w:lang w:val="mk-MK"/>
              </w:rPr>
              <w:t xml:space="preserve">  и </w:t>
            </w:r>
            <w:r w:rsidRPr="00E92A05">
              <w:rPr>
                <w:rStyle w:val="A10"/>
                <w:rFonts w:ascii="StobiSerif Regular" w:hAnsi="StobiSerif Regular"/>
                <w:color w:val="auto"/>
              </w:rPr>
              <w:t xml:space="preserve">се систематизирани во три области: </w:t>
            </w:r>
            <w:r w:rsidRPr="00E92A05">
              <w:rPr>
                <w:rFonts w:ascii="StobiSerif Regular" w:hAnsi="StobiSerif Regular"/>
                <w:sz w:val="20"/>
                <w:szCs w:val="20"/>
              </w:rPr>
              <w:t>Нормативна, институционална и финансиска рамка за развој на граѓанскиот сектор; Демократизација, активно учество на граѓанскиот сектор во општествените процеси, во креирањето и следењето на политиките, со посебен фокус на процесот на интеграција во Европската Унија и Граѓанскиот сектор како чинител во социјално-економскиот развој.</w:t>
            </w:r>
            <w:r w:rsidRPr="00E92A05">
              <w:rPr>
                <w:rFonts w:ascii="StobiSerif Regular" w:hAnsi="StobiSerif Regular"/>
                <w:sz w:val="20"/>
                <w:szCs w:val="20"/>
                <w:lang w:val="mk-MK"/>
              </w:rPr>
              <w:t xml:space="preserve"> </w:t>
            </w:r>
            <w:r w:rsidRPr="00E92A05">
              <w:rPr>
                <w:rFonts w:ascii="StobiSerif Regular" w:hAnsi="StobiSerif Regular"/>
                <w:sz w:val="20"/>
                <w:szCs w:val="20"/>
                <w:shd w:val="clear" w:color="auto" w:fill="FFFFFF"/>
              </w:rPr>
              <w:t>Создавањето на стратегија</w:t>
            </w:r>
            <w:r w:rsidRPr="00E92A05">
              <w:rPr>
                <w:rFonts w:ascii="StobiSerif Regular" w:hAnsi="StobiSerif Regular"/>
                <w:sz w:val="20"/>
                <w:szCs w:val="20"/>
                <w:shd w:val="clear" w:color="auto" w:fill="FFFFFF"/>
                <w:lang w:val="mk-MK"/>
              </w:rPr>
              <w:t>та</w:t>
            </w:r>
            <w:r w:rsidRPr="00E92A05">
              <w:rPr>
                <w:rFonts w:ascii="StobiSerif Regular" w:hAnsi="StobiSerif Regular"/>
                <w:sz w:val="20"/>
                <w:szCs w:val="20"/>
                <w:shd w:val="clear" w:color="auto" w:fill="FFFFFF"/>
              </w:rPr>
              <w:t xml:space="preserve"> </w:t>
            </w:r>
            <w:r w:rsidRPr="00E92A05">
              <w:rPr>
                <w:rFonts w:ascii="StobiSerif Regular" w:hAnsi="StobiSerif Regular"/>
                <w:sz w:val="20"/>
                <w:szCs w:val="20"/>
                <w:shd w:val="clear" w:color="auto" w:fill="FFFFFF"/>
                <w:lang w:val="mk-MK"/>
              </w:rPr>
              <w:t xml:space="preserve">и акцискиот план </w:t>
            </w:r>
            <w:r w:rsidRPr="00E92A05">
              <w:rPr>
                <w:rFonts w:ascii="StobiSerif Regular" w:hAnsi="StobiSerif Regular"/>
                <w:sz w:val="20"/>
                <w:szCs w:val="20"/>
                <w:shd w:val="clear" w:color="auto" w:fill="FFFFFF"/>
              </w:rPr>
              <w:t xml:space="preserve">беше дел од долг инклузивен и </w:t>
            </w:r>
            <w:r w:rsidRPr="00E92A05">
              <w:rPr>
                <w:rFonts w:ascii="StobiSerif Regular" w:hAnsi="StobiSerif Regular"/>
                <w:sz w:val="20"/>
                <w:szCs w:val="20"/>
                <w:shd w:val="clear" w:color="auto" w:fill="FFFFFF"/>
              </w:rPr>
              <w:lastRenderedPageBreak/>
              <w:t>консултативен процес</w:t>
            </w:r>
            <w:r w:rsidRPr="00E92A05">
              <w:rPr>
                <w:rFonts w:ascii="StobiSerif Regular" w:hAnsi="StobiSerif Regular"/>
                <w:sz w:val="20"/>
                <w:szCs w:val="20"/>
                <w:shd w:val="clear" w:color="auto" w:fill="FFFFFF"/>
                <w:lang w:val="mk-MK"/>
              </w:rPr>
              <w:t xml:space="preserve"> (формирана беше</w:t>
            </w:r>
            <w:r w:rsidRPr="00E92A05">
              <w:rPr>
                <w:rFonts w:ascii="StobiSerif Regular" w:hAnsi="StobiSerif Regular"/>
                <w:sz w:val="20"/>
                <w:szCs w:val="20"/>
              </w:rPr>
              <w:t xml:space="preserve"> работна група од претставници на 68 граѓански организации пријавени на јавен повик и членовите на Мрежата државни службеници за соработка со граѓанскиот сектор, </w:t>
            </w:r>
            <w:r w:rsidRPr="00E92A05">
              <w:rPr>
                <w:rFonts w:ascii="StobiSerif Regular" w:hAnsi="StobiSerif Regular"/>
                <w:sz w:val="20"/>
                <w:szCs w:val="20"/>
                <w:lang w:val="mk-MK"/>
              </w:rPr>
              <w:t xml:space="preserve">организирани беа </w:t>
            </w:r>
            <w:r w:rsidRPr="00E92A05">
              <w:rPr>
                <w:rFonts w:ascii="StobiSerif Regular" w:hAnsi="StobiSerif Regular"/>
                <w:sz w:val="20"/>
                <w:szCs w:val="20"/>
              </w:rPr>
              <w:t>консултации преку веб страницата www.nvosorabotka.gov.mk од 16.11 до 31.12.2017 година и од 11 до 30.4.2018 година и јавни расправи</w:t>
            </w:r>
            <w:r w:rsidRPr="00E92A05">
              <w:rPr>
                <w:rFonts w:ascii="StobiSerif Regular" w:hAnsi="StobiSerif Regular"/>
                <w:sz w:val="20"/>
                <w:szCs w:val="20"/>
                <w:lang w:val="mk-MK"/>
              </w:rPr>
              <w:t xml:space="preserve"> на </w:t>
            </w:r>
            <w:r w:rsidRPr="00E92A05">
              <w:rPr>
                <w:rFonts w:ascii="StobiSerif Regular" w:hAnsi="StobiSerif Regular"/>
                <w:sz w:val="20"/>
                <w:szCs w:val="20"/>
              </w:rPr>
              <w:t xml:space="preserve">16 и 19.4.2018 во Скопје и Битола). </w:t>
            </w:r>
            <w:r w:rsidRPr="00E92A05">
              <w:rPr>
                <w:rFonts w:ascii="StobiSerif Regular" w:hAnsi="StobiSerif Regular"/>
                <w:sz w:val="20"/>
                <w:szCs w:val="20"/>
                <w:lang w:val="mk-MK"/>
              </w:rPr>
              <w:t>Значаен придонес во создавањето на стратегијата и акцискиот план има Советот за соработка со и развој на граѓанскиот сектор, кој на две тематски седници (</w:t>
            </w:r>
            <w:r w:rsidRPr="00E92A05">
              <w:rPr>
                <w:rFonts w:ascii="StobiSerif Regular" w:hAnsi="StobiSerif Regular"/>
                <w:sz w:val="20"/>
                <w:szCs w:val="20"/>
              </w:rPr>
              <w:t>30.5</w:t>
            </w:r>
            <w:r w:rsidRPr="00E92A05">
              <w:rPr>
                <w:rFonts w:ascii="StobiSerif Regular" w:hAnsi="StobiSerif Regular"/>
                <w:sz w:val="20"/>
                <w:szCs w:val="20"/>
                <w:lang w:val="mk-MK"/>
              </w:rPr>
              <w:t xml:space="preserve"> и 13.6</w:t>
            </w:r>
            <w:r w:rsidRPr="00E92A05">
              <w:rPr>
                <w:rFonts w:ascii="StobiSerif Regular" w:hAnsi="StobiSerif Regular"/>
                <w:sz w:val="20"/>
                <w:szCs w:val="20"/>
              </w:rPr>
              <w:t>.2018 година)</w:t>
            </w:r>
            <w:r w:rsidRPr="00E92A05">
              <w:rPr>
                <w:rFonts w:ascii="StobiSerif Regular" w:hAnsi="StobiSerif Regular"/>
                <w:sz w:val="20"/>
                <w:szCs w:val="20"/>
                <w:lang w:val="mk-MK"/>
              </w:rPr>
              <w:t xml:space="preserve"> расправаше по предлогот и утврди мислење со забелешки и препораки кои беа инкорпорирани во текстот.</w:t>
            </w:r>
          </w:p>
          <w:p w:rsidR="00040A3E" w:rsidRPr="00E92A05" w:rsidRDefault="00040A3E" w:rsidP="00040A3E">
            <w:pPr>
              <w:spacing w:after="120" w:line="276" w:lineRule="auto"/>
              <w:jc w:val="both"/>
              <w:rPr>
                <w:rFonts w:ascii="StobiSerif Regular" w:hAnsi="StobiSerif Regular" w:cs="Tahoma"/>
                <w:sz w:val="20"/>
                <w:szCs w:val="20"/>
                <w:lang w:val="mk-MK"/>
              </w:rPr>
            </w:pPr>
          </w:p>
        </w:tc>
      </w:tr>
    </w:tbl>
    <w:p w:rsidR="008E3733" w:rsidRPr="00232275" w:rsidRDefault="008E3733" w:rsidP="008E3733">
      <w:pPr>
        <w:spacing w:line="240" w:lineRule="auto"/>
        <w:rPr>
          <w:rFonts w:ascii="StobiSerif Regular"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807"/>
        <w:gridCol w:w="1422"/>
        <w:gridCol w:w="1209"/>
        <w:gridCol w:w="1314"/>
        <w:gridCol w:w="1326"/>
      </w:tblGrid>
      <w:tr w:rsidR="008E3733" w:rsidRPr="00232275" w:rsidTr="008E3733">
        <w:trPr>
          <w:trHeight w:val="831"/>
        </w:trPr>
        <w:tc>
          <w:tcPr>
            <w:tcW w:w="9974"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spacing w:after="0" w:line="240" w:lineRule="auto"/>
              <w:ind w:left="540"/>
              <w:jc w:val="center"/>
              <w:rPr>
                <w:rFonts w:ascii="StobiSerif Regular" w:eastAsia="Calibri" w:hAnsi="StobiSerif Regular" w:cs="Times New Roman"/>
                <w:sz w:val="20"/>
                <w:szCs w:val="20"/>
                <w:lang w:val="mk-MK"/>
              </w:rPr>
            </w:pPr>
            <w:bookmarkStart w:id="8" w:name="_Toc453059103"/>
            <w:bookmarkStart w:id="9" w:name="_Toc453059195"/>
            <w:bookmarkStart w:id="10" w:name="_Toc453059241"/>
            <w:r w:rsidRPr="00232275">
              <w:rPr>
                <w:rFonts w:ascii="StobiSerif Regular" w:eastAsia="Calibri" w:hAnsi="StobiSerif Regular" w:cs="Times New Roman"/>
                <w:b/>
                <w:sz w:val="20"/>
                <w:szCs w:val="20"/>
                <w:lang w:val="mk-MK"/>
              </w:rPr>
              <w:t>2.ОТВОРЕНИ ПОДАТОЦИ</w:t>
            </w:r>
            <w:bookmarkEnd w:id="8"/>
            <w:bookmarkEnd w:id="9"/>
            <w:bookmarkEnd w:id="10"/>
          </w:p>
        </w:tc>
      </w:tr>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Calibri" w:hAnsi="StobiSerif Regular" w:cs="Times New Roman"/>
                <w:b/>
                <w:sz w:val="20"/>
                <w:szCs w:val="20"/>
                <w:lang w:val="mk-MK"/>
              </w:rPr>
            </w:pPr>
            <w:bookmarkStart w:id="11" w:name="_Toc453059104"/>
            <w:bookmarkStart w:id="12" w:name="_Toc453059196"/>
            <w:bookmarkStart w:id="13" w:name="_Toc453059242"/>
            <w:r w:rsidRPr="00232275">
              <w:rPr>
                <w:rFonts w:ascii="StobiSerif Regular" w:eastAsia="Calibri" w:hAnsi="StobiSerif Regular" w:cs="Times New Roman"/>
                <w:b/>
                <w:sz w:val="20"/>
                <w:szCs w:val="20"/>
                <w:lang w:val="mk-MK"/>
              </w:rPr>
              <w:t>2.1 Креирање на стандарди за отворени податоци</w:t>
            </w:r>
            <w:bookmarkEnd w:id="11"/>
            <w:bookmarkEnd w:id="12"/>
            <w:bookmarkEnd w:id="13"/>
          </w:p>
          <w:p w:rsidR="008E3733" w:rsidRPr="00232275" w:rsidRDefault="008E3733" w:rsidP="008E3733">
            <w:pPr>
              <w:keepNext/>
              <w:spacing w:after="0" w:line="240" w:lineRule="auto"/>
              <w:ind w:left="180"/>
              <w:jc w:val="center"/>
              <w:outlineLvl w:val="0"/>
              <w:rPr>
                <w:rFonts w:ascii="StobiSerif Regular" w:eastAsia="Times New Roman" w:hAnsi="StobiSerif Regular" w:cs="Times New Roman"/>
                <w:b/>
                <w:sz w:val="20"/>
                <w:szCs w:val="20"/>
                <w:lang w:val="mk-MK"/>
              </w:rPr>
            </w:pPr>
          </w:p>
        </w:tc>
      </w:tr>
      <w:tr w:rsidR="008E3733" w:rsidRPr="00232275" w:rsidTr="008E3733">
        <w:trPr>
          <w:trHeight w:val="589"/>
        </w:trPr>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(7/ 2016 – 6/2018)</w:t>
            </w:r>
          </w:p>
        </w:tc>
        <w:tc>
          <w:tcPr>
            <w:tcW w:w="5271"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Нова обврска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r>
      <w:tr w:rsidR="008E3733" w:rsidRPr="00232275" w:rsidTr="008E3733">
        <w:trPr>
          <w:trHeight w:val="600"/>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Водечка институција за спроведување</w:t>
            </w:r>
          </w:p>
        </w:tc>
        <w:tc>
          <w:tcPr>
            <w:tcW w:w="5271"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9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Име на одговорно лице во институцијата за спроведување</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Филип Маневски –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Надица Јосифовски – заменик координатор</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Владимир Радосављевиќ – заменик координатор</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Функција, Одделение</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Помлад соработник</w:t>
            </w:r>
            <w:r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rPr>
              <w:t>Email</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u w:val="single"/>
                <w:lang w:val="mk-MK"/>
              </w:rPr>
              <w:t>Filip.manevski@mioa.gov.mk</w:t>
            </w:r>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14" w:history="1">
              <w:r w:rsidR="008E3733" w:rsidRPr="00232275">
                <w:rPr>
                  <w:rFonts w:ascii="StobiSerif Regular" w:eastAsia="Calibri" w:hAnsi="StobiSerif Regular" w:cs="Times New Roman"/>
                  <w:sz w:val="20"/>
                  <w:szCs w:val="20"/>
                  <w:u w:val="single"/>
                  <w:lang w:val="mk-MK"/>
                </w:rPr>
                <w:t>Nadica.Josifovski@mioa.gov.mk</w:t>
              </w:r>
            </w:hyperlink>
          </w:p>
          <w:p w:rsidR="008E3733" w:rsidRPr="00232275" w:rsidRDefault="00E6510B" w:rsidP="008E3733">
            <w:pPr>
              <w:spacing w:after="0" w:line="240" w:lineRule="auto"/>
              <w:rPr>
                <w:rFonts w:ascii="StobiSerif Regular" w:eastAsia="Calibri" w:hAnsi="StobiSerif Regular" w:cs="Times New Roman"/>
                <w:sz w:val="20"/>
                <w:szCs w:val="20"/>
              </w:rPr>
            </w:pPr>
            <w:hyperlink r:id="rId15" w:history="1">
              <w:r w:rsidR="008E3733" w:rsidRPr="00232275">
                <w:rPr>
                  <w:rFonts w:ascii="StobiSerif Regular" w:eastAsia="Calibri" w:hAnsi="StobiSerif Regular" w:cs="Times New Roman"/>
                  <w:sz w:val="20"/>
                  <w:szCs w:val="20"/>
                  <w:u w:val="single"/>
                  <w:lang w:val="mk-MK"/>
                </w:rPr>
                <w:t>vladimir.radosavljevik@mioa.gov.mk</w:t>
              </w:r>
            </w:hyperlink>
            <w:r w:rsidR="008E3733"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Телефон</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+389(0)2 320-0870</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+389(0)2 320-0878</w:t>
            </w:r>
            <w:r w:rsidRPr="00232275">
              <w:rPr>
                <w:rFonts w:ascii="StobiSerif Regular" w:eastAsia="Calibri" w:hAnsi="StobiSerif Regular" w:cs="Times New Roman"/>
                <w:sz w:val="20"/>
                <w:szCs w:val="20"/>
              </w:rPr>
              <w:t> </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Други вклучени субјекти</w:t>
            </w:r>
          </w:p>
        </w:tc>
        <w:tc>
          <w:tcPr>
            <w:tcW w:w="2807"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на државна управа, самостојни органи на државна управа</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AE5F56" w:rsidP="008E3733">
            <w:pPr>
              <w:spacing w:after="0" w:line="240" w:lineRule="auto"/>
              <w:rPr>
                <w:rFonts w:ascii="StobiSerif Regular" w:eastAsia="Calibri" w:hAnsi="StobiSerif Regular" w:cs="Times New Roman"/>
                <w:sz w:val="20"/>
                <w:szCs w:val="20"/>
                <w:lang w:val="mk-MK"/>
              </w:rPr>
            </w:pPr>
            <w:r>
              <w:rPr>
                <w:rFonts w:ascii="StobiSerif Regular" w:eastAsia="Calibri" w:hAnsi="StobiSerif Regular" w:cs="Times New Roman"/>
                <w:sz w:val="20"/>
                <w:szCs w:val="20"/>
                <w:lang w:val="mk-MK"/>
              </w:rPr>
              <w:t>Министерство</w:t>
            </w:r>
            <w:r w:rsidR="008E3733" w:rsidRPr="00232275">
              <w:rPr>
                <w:rFonts w:ascii="StobiSerif Regular" w:eastAsia="Calibri" w:hAnsi="StobiSerif Regular" w:cs="Times New Roman"/>
                <w:sz w:val="20"/>
                <w:szCs w:val="20"/>
                <w:lang w:val="mk-MK"/>
              </w:rPr>
              <w:t xml:space="preserve"> за информатичко општество и администрација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ЦУП, Фондација за интернет и општество-Метаморфозис, Реактор</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48"/>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Состојба или проблем што се опфаќа со обврската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 моментот во Македонија нема развиени стандарди за отворени податоци и секоја институција ги објавува податоците согласно своите технички можности. Притоа сродни податочни сетови од различни институции се случува да бидат објавени со различна структура и опис на податоците.</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Главна цел</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Воспоставување на стандарди за отворени податоци</w:t>
            </w:r>
            <w:r w:rsidRPr="00232275">
              <w:rPr>
                <w:rFonts w:ascii="StobiSerif Regular" w:eastAsia="Calibri" w:hAnsi="StobiSerif Regular" w:cs="Times New Roman"/>
                <w:sz w:val="20"/>
                <w:szCs w:val="20"/>
              </w:rPr>
              <w:t> </w:t>
            </w:r>
            <w:r w:rsidRPr="00232275">
              <w:rPr>
                <w:rFonts w:ascii="StobiSerif Regular" w:eastAsia="Calibri" w:hAnsi="StobiSerif Regular" w:cs="Times New Roman"/>
                <w:sz w:val="20"/>
                <w:szCs w:val="20"/>
                <w:lang w:val="mk-MK"/>
              </w:rPr>
              <w:t xml:space="preserve"> со што ќе се овозможи стандардизирано објавување на податочните сетови од институциите и полесна обработка и користење на истите.</w:t>
            </w:r>
          </w:p>
        </w:tc>
      </w:tr>
      <w:tr w:rsidR="008E3733" w:rsidRPr="00232275" w:rsidTr="008E3733">
        <w:trPr>
          <w:trHeight w:val="406"/>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Развој на стандарди за отворени податоци најмалку во дефинирањето на стандардите за метаподатоците за отворените податоци.</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ОВП предизвик опфатен со обврската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Создавање на поволна средина за полесна идентификација, обработка и консумирање на објавените податочни сетови.</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Поврзаност со Глобалните цели за одржлив развој</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Со мерките од оваа заложба се придонесува за унапредување на квалитетот и достапноста на  информациите и податоците од јавен карактер преку нивна стандардизација. </w:t>
            </w:r>
          </w:p>
        </w:tc>
      </w:tr>
      <w:tr w:rsidR="008E3733" w:rsidRPr="00232275" w:rsidTr="008E3733">
        <w:trPr>
          <w:trHeight w:val="45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Важност</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Согласно Законот за користење на податоци од јавниот сектор институциите во Република Македонија</w:t>
            </w:r>
            <w:r w:rsidRPr="00232275">
              <w:rPr>
                <w:rFonts w:ascii="StobiSerif Regular" w:eastAsia="Calibri" w:hAnsi="StobiSerif Regular" w:cs="Times New Roman"/>
                <w:sz w:val="20"/>
                <w:szCs w:val="20"/>
              </w:rPr>
              <w:t xml:space="preserve"> </w:t>
            </w:r>
            <w:r w:rsidRPr="00232275">
              <w:rPr>
                <w:rFonts w:ascii="StobiSerif Regular" w:eastAsia="Calibri" w:hAnsi="StobiSerif Regular" w:cs="Times New Roman"/>
                <w:sz w:val="20"/>
                <w:szCs w:val="20"/>
                <w:lang w:val="mk-MK"/>
              </w:rPr>
              <w:t xml:space="preserve">се обврзани да ги објават во компјутерски читлив формат податоците од отворен карактер согласно своите технички можности. Во овој момент на порталот </w:t>
            </w:r>
            <w:r w:rsidRPr="00232275">
              <w:rPr>
                <w:rFonts w:ascii="StobiSerif Regular" w:eastAsia="Calibri" w:hAnsi="StobiSerif Regular" w:cs="Times New Roman"/>
                <w:sz w:val="20"/>
                <w:szCs w:val="20"/>
              </w:rPr>
              <w:t xml:space="preserve">otvorenipodatoci.gov.mk </w:t>
            </w:r>
            <w:r w:rsidRPr="00232275">
              <w:rPr>
                <w:rFonts w:ascii="StobiSerif Regular" w:eastAsia="Calibri" w:hAnsi="StobiSerif Regular" w:cs="Times New Roman"/>
                <w:sz w:val="20"/>
                <w:szCs w:val="20"/>
                <w:lang w:val="mk-MK"/>
              </w:rPr>
              <w:t xml:space="preserve">имаме објавено 154 податочни сетови, бројка која со текот на времето очекуваме значително да се зголеми. Со тоа неопходен станува развојот на стандарди за отворените податоци со цел полесен пристап до информациите како и идентификација и употреба на објавените податочни сетови. Преку развојот на стандардите податочните сетови ќе се направат попристапни за граѓаните, полесни за развој на соодветни апликации на база на отворените податоци со што ќе се зголеми јавната одговорност на институциите.  </w:t>
            </w:r>
          </w:p>
        </w:tc>
      </w:tr>
      <w:tr w:rsidR="008E3733" w:rsidRPr="00232275" w:rsidTr="008E3733">
        <w:trPr>
          <w:trHeight w:val="1814"/>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Амбиција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 оваа заложба се предвидува развој на стандарди за отворени податоци со што ќе се придонесе за полесна идентификација и употреба на отворените податоци. Со тоа граѓаните полесно ќе можат да ги идентификуваат податоците од интерес како и да го следат нивното навремено ажурирање.</w:t>
            </w:r>
          </w:p>
        </w:tc>
      </w:tr>
      <w:tr w:rsidR="008E3733" w:rsidRPr="00232275" w:rsidTr="008E3733">
        <w:trPr>
          <w:trHeight w:val="415"/>
        </w:trPr>
        <w:tc>
          <w:tcPr>
            <w:tcW w:w="4703"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Статус на реализација на заложба</w:t>
            </w:r>
          </w:p>
        </w:tc>
        <w:tc>
          <w:tcPr>
            <w:tcW w:w="1422"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завршено</w:t>
            </w:r>
          </w:p>
        </w:tc>
      </w:tr>
      <w:tr w:rsidR="008E3733" w:rsidRPr="00232275" w:rsidTr="008E3733">
        <w:trPr>
          <w:trHeight w:val="373"/>
        </w:trPr>
        <w:tc>
          <w:tcPr>
            <w:tcW w:w="4703"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r>
      <w:tr w:rsidR="008E3733" w:rsidRPr="00232275" w:rsidTr="008E3733">
        <w:trPr>
          <w:trHeight w:val="582"/>
        </w:trPr>
        <w:tc>
          <w:tcPr>
            <w:tcW w:w="4703"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Назив на достигнување</w:t>
            </w:r>
          </w:p>
        </w:tc>
        <w:tc>
          <w:tcPr>
            <w:tcW w:w="5271"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703"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b/>
                <w:i/>
                <w:sz w:val="20"/>
                <w:szCs w:val="20"/>
                <w:lang w:val="mk-MK"/>
              </w:rPr>
              <w:t>2.1.1 Развој на стандарди за метаподатоци за отворени владини податоци</w:t>
            </w:r>
          </w:p>
        </w:tc>
        <w:tc>
          <w:tcPr>
            <w:tcW w:w="5271"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Изготвена драфт верзија на стандардите за метаподатоци за отворени податоци. Во тек е поширока консултација за стандардите со работната група за изготвување на национална стратегија за отворени податоци. По нивно усогласување ќе бидат објавени на новиот портал за отворени податоци.</w:t>
            </w:r>
          </w:p>
        </w:tc>
      </w:tr>
    </w:tbl>
    <w:p w:rsidR="008E3733" w:rsidRPr="00232275" w:rsidRDefault="008E3733" w:rsidP="008E3733">
      <w:pPr>
        <w:spacing w:after="0" w:line="240" w:lineRule="auto"/>
        <w:jc w:val="center"/>
        <w:rPr>
          <w:rFonts w:ascii="StobiSerif Regular" w:eastAsia="Calibri" w:hAnsi="StobiSerif Regular" w:cs="Times New Roman"/>
          <w:b/>
          <w:sz w:val="20"/>
          <w:szCs w:val="20"/>
          <w:lang w:val="mk-MK"/>
        </w:rPr>
      </w:pPr>
    </w:p>
    <w:tbl>
      <w:tblPr>
        <w:tblW w:w="9974" w:type="dxa"/>
        <w:tblInd w:w="-318" w:type="dxa"/>
        <w:tblLayout w:type="fixed"/>
        <w:tblLook w:val="04A0" w:firstRow="1" w:lastRow="0" w:firstColumn="1" w:lastColumn="0" w:noHBand="0" w:noVBand="1"/>
      </w:tblPr>
      <w:tblGrid>
        <w:gridCol w:w="1896"/>
        <w:gridCol w:w="2807"/>
        <w:gridCol w:w="1422"/>
        <w:gridCol w:w="1209"/>
        <w:gridCol w:w="1314"/>
        <w:gridCol w:w="1326"/>
      </w:tblGrid>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Calibri" w:hAnsi="StobiSerif Regular" w:cs="Times New Roman"/>
                <w:b/>
                <w:sz w:val="20"/>
                <w:szCs w:val="20"/>
                <w:lang w:val="mk-MK"/>
              </w:rPr>
            </w:pPr>
            <w:bookmarkStart w:id="14" w:name="_Toc453059105"/>
            <w:bookmarkStart w:id="15" w:name="_Toc453059197"/>
            <w:bookmarkStart w:id="16" w:name="_Toc453059243"/>
            <w:r w:rsidRPr="00232275">
              <w:rPr>
                <w:rFonts w:ascii="StobiSerif Regular" w:eastAsia="Calibri" w:hAnsi="StobiSerif Regular" w:cs="Times New Roman"/>
                <w:b/>
                <w:sz w:val="20"/>
                <w:szCs w:val="20"/>
                <w:lang w:val="mk-MK"/>
              </w:rPr>
              <w:t>2.2  Подобрување на платформата за отворени податоци и нејзино приближување кон граѓаните</w:t>
            </w:r>
            <w:bookmarkEnd w:id="14"/>
            <w:bookmarkEnd w:id="15"/>
            <w:bookmarkEnd w:id="16"/>
          </w:p>
        </w:tc>
      </w:tr>
      <w:tr w:rsidR="008E3733" w:rsidRPr="00232275" w:rsidTr="008E3733">
        <w:trPr>
          <w:trHeight w:val="570"/>
        </w:trPr>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(7/2016 – 6/2018)</w:t>
            </w:r>
          </w:p>
        </w:tc>
        <w:tc>
          <w:tcPr>
            <w:tcW w:w="5271"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Нова обврска</w:t>
            </w:r>
          </w:p>
        </w:tc>
      </w:tr>
      <w:tr w:rsidR="008E3733" w:rsidRPr="00232275" w:rsidTr="008E3733">
        <w:trPr>
          <w:trHeight w:val="600"/>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Водечка институција за спроведување</w:t>
            </w:r>
          </w:p>
        </w:tc>
        <w:tc>
          <w:tcPr>
            <w:tcW w:w="5271"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9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Име на одговорно лице во институцијата за спроведување</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Филип Маневски –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Надица Јосифовски – заменик координатор</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Владимир Радосављевиќ – заменик координатор</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Функција, Одделение</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Помлад соработник</w:t>
            </w:r>
            <w:r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rPr>
              <w:t>Email</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16" w:history="1">
              <w:r w:rsidR="008E3733" w:rsidRPr="00232275">
                <w:rPr>
                  <w:rFonts w:ascii="StobiSerif Regular" w:eastAsia="Calibri" w:hAnsi="StobiSerif Regular" w:cs="Times New Roman"/>
                  <w:sz w:val="20"/>
                  <w:szCs w:val="20"/>
                  <w:u w:val="single"/>
                  <w:lang w:val="mk-MK"/>
                </w:rPr>
                <w:t>filip.manevski@mioa.gov.mk</w:t>
              </w:r>
            </w:hyperlink>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17" w:history="1">
              <w:r w:rsidR="008E3733" w:rsidRPr="00232275">
                <w:rPr>
                  <w:rFonts w:ascii="StobiSerif Regular" w:eastAsia="Calibri" w:hAnsi="StobiSerif Regular" w:cs="Times New Roman"/>
                  <w:sz w:val="20"/>
                  <w:szCs w:val="20"/>
                  <w:u w:val="single"/>
                  <w:lang w:val="mk-MK"/>
                </w:rPr>
                <w:t>nadica.josifovski@mioa.gov.mk</w:t>
              </w:r>
            </w:hyperlink>
          </w:p>
          <w:p w:rsidR="008E3733" w:rsidRPr="00232275" w:rsidRDefault="00E6510B" w:rsidP="008E3733">
            <w:pPr>
              <w:spacing w:after="0" w:line="240" w:lineRule="auto"/>
              <w:rPr>
                <w:rFonts w:ascii="StobiSerif Regular" w:eastAsia="Calibri" w:hAnsi="StobiSerif Regular" w:cs="Times New Roman"/>
                <w:sz w:val="20"/>
                <w:szCs w:val="20"/>
              </w:rPr>
            </w:pPr>
            <w:hyperlink r:id="rId18" w:history="1">
              <w:r w:rsidR="008E3733" w:rsidRPr="00232275">
                <w:rPr>
                  <w:rFonts w:ascii="StobiSerif Regular" w:eastAsia="Calibri" w:hAnsi="StobiSerif Regular" w:cs="Times New Roman"/>
                  <w:sz w:val="20"/>
                  <w:szCs w:val="20"/>
                  <w:u w:val="single"/>
                  <w:lang w:val="mk-MK"/>
                </w:rPr>
                <w:t>vladimir.radosavljevik@mioa.gov.mk</w:t>
              </w:r>
            </w:hyperlink>
            <w:r w:rsidR="008E3733"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Телефон</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+389(0)2 320-0870</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+389(0)2 320-0878</w:t>
            </w:r>
            <w:r w:rsidRPr="00232275">
              <w:rPr>
                <w:rFonts w:ascii="StobiSerif Regular" w:eastAsia="Calibri" w:hAnsi="StobiSerif Regular" w:cs="Times New Roman"/>
                <w:sz w:val="20"/>
                <w:szCs w:val="20"/>
              </w:rPr>
              <w:t> </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Други вклучени субјекти</w:t>
            </w:r>
          </w:p>
        </w:tc>
        <w:tc>
          <w:tcPr>
            <w:tcW w:w="2807"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на државна управа, самостојни органи на државна управа</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Министерството за информатичко општество и администрација </w:t>
            </w:r>
          </w:p>
          <w:p w:rsidR="008E3733" w:rsidRPr="00232275" w:rsidRDefault="008E3733" w:rsidP="008E3733">
            <w:pPr>
              <w:spacing w:after="0" w:line="240" w:lineRule="auto"/>
              <w:rPr>
                <w:rFonts w:ascii="StobiSerif Regular" w:eastAsia="Calibri" w:hAnsi="StobiSerif Regular" w:cs="Times New Roman"/>
                <w:b/>
                <w:sz w:val="20"/>
                <w:szCs w:val="20"/>
                <w:lang w:val="en-GB"/>
              </w:rPr>
            </w:pPr>
            <w:r w:rsidRPr="00232275">
              <w:rPr>
                <w:rFonts w:ascii="StobiSerif Regular" w:eastAsia="Calibri" w:hAnsi="StobiSerif Regular" w:cs="Times New Roman"/>
                <w:sz w:val="20"/>
                <w:szCs w:val="20"/>
                <w:lang w:val="mk-MK"/>
              </w:rPr>
              <w:t>Државни институции кои објавуваат податоци на порталот www.otvorenipodatoci.gov.mk</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Невладин сектор, деловни субјекти, синдикати, </w:t>
            </w:r>
            <w:r w:rsidRPr="00232275">
              <w:rPr>
                <w:rFonts w:ascii="StobiSerif Regular" w:eastAsia="Calibri" w:hAnsi="StobiSerif Regular" w:cs="Times New Roman"/>
                <w:sz w:val="20"/>
                <w:szCs w:val="20"/>
                <w:lang w:val="mk-MK"/>
              </w:rPr>
              <w:lastRenderedPageBreak/>
              <w:t xml:space="preserve">стопански комори, здруженија и фондации </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Calibri" w:hAnsi="StobiSerif Regular" w:cs="Times New Roman"/>
                <w:sz w:val="20"/>
                <w:szCs w:val="20"/>
                <w:lang w:val="en-GB"/>
              </w:rPr>
            </w:pPr>
            <w:r w:rsidRPr="00232275">
              <w:rPr>
                <w:rFonts w:ascii="StobiSerif Regular" w:eastAsia="Calibri" w:hAnsi="StobiSerif Regular" w:cs="Times New Roman"/>
                <w:sz w:val="20"/>
                <w:szCs w:val="20"/>
                <w:lang w:val="mk-MK"/>
              </w:rPr>
              <w:lastRenderedPageBreak/>
              <w:t>Слободен Софтвер, ЦУП</w:t>
            </w:r>
          </w:p>
          <w:p w:rsidR="008E3733" w:rsidRPr="00232275" w:rsidRDefault="008E3733" w:rsidP="008E3733">
            <w:pPr>
              <w:spacing w:after="0" w:line="240" w:lineRule="auto"/>
              <w:rPr>
                <w:rFonts w:ascii="StobiSerif Regular" w:eastAsia="Calibri"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48"/>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Состојба или проблем што се опфаќа со обврската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en-GB"/>
              </w:rPr>
            </w:pPr>
            <w:r w:rsidRPr="00232275">
              <w:rPr>
                <w:rFonts w:ascii="StobiSerif Regular" w:eastAsia="Calibri" w:hAnsi="StobiSerif Regular" w:cs="Times New Roman"/>
                <w:sz w:val="20"/>
                <w:szCs w:val="20"/>
                <w:lang w:val="mk-MK"/>
              </w:rPr>
              <w:t xml:space="preserve">Во моментот во Македонија нема воспоставено лиценцен модел за отворени податоци, а на сајтот </w:t>
            </w:r>
            <w:hyperlink r:id="rId19" w:history="1">
              <w:r w:rsidRPr="00232275">
                <w:rPr>
                  <w:rFonts w:ascii="StobiSerif Regular" w:eastAsia="Calibri" w:hAnsi="StobiSerif Regular" w:cs="Times New Roman"/>
                  <w:sz w:val="20"/>
                  <w:szCs w:val="20"/>
                  <w:u w:val="single"/>
                  <w:lang w:val="en-GB"/>
                </w:rPr>
                <w:t>www.otvorenipodatoci.gov.mk</w:t>
              </w:r>
            </w:hyperlink>
            <w:r w:rsidRPr="00232275">
              <w:rPr>
                <w:rFonts w:ascii="StobiSerif Regular" w:eastAsia="Calibri" w:hAnsi="StobiSerif Regular" w:cs="Times New Roman"/>
                <w:sz w:val="20"/>
                <w:szCs w:val="20"/>
                <w:lang w:val="en-GB"/>
              </w:rPr>
              <w:t xml:space="preserve"> подато</w:t>
            </w:r>
            <w:r w:rsidRPr="00232275">
              <w:rPr>
                <w:rFonts w:ascii="StobiSerif Regular" w:eastAsia="Calibri" w:hAnsi="StobiSerif Regular" w:cs="Times New Roman"/>
                <w:sz w:val="20"/>
                <w:szCs w:val="20"/>
                <w:lang w:val="mk-MK"/>
              </w:rPr>
              <w:t>чните сетови</w:t>
            </w:r>
            <w:r w:rsidRPr="00232275">
              <w:rPr>
                <w:rFonts w:ascii="StobiSerif Regular" w:eastAsia="Calibri" w:hAnsi="StobiSerif Regular" w:cs="Times New Roman"/>
                <w:sz w:val="20"/>
                <w:szCs w:val="20"/>
                <w:lang w:val="en-GB"/>
              </w:rPr>
              <w:t xml:space="preserve"> се превземаат без лиценци.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На  сајтот </w:t>
            </w:r>
            <w:hyperlink r:id="rId20" w:history="1">
              <w:r w:rsidRPr="00232275">
                <w:rPr>
                  <w:rFonts w:ascii="StobiSerif Regular" w:eastAsia="Calibri" w:hAnsi="StobiSerif Regular" w:cs="Times New Roman"/>
                  <w:sz w:val="20"/>
                  <w:szCs w:val="20"/>
                  <w:u w:val="single"/>
                  <w:lang w:val="en-GB"/>
                </w:rPr>
                <w:t>www.otvorenipodatoci.gov.mk</w:t>
              </w:r>
            </w:hyperlink>
            <w:r w:rsidRPr="00232275">
              <w:rPr>
                <w:rFonts w:ascii="StobiSerif Regular" w:eastAsia="Calibri" w:hAnsi="StobiSerif Regular" w:cs="Times New Roman"/>
                <w:sz w:val="20"/>
                <w:szCs w:val="20"/>
                <w:lang w:val="mk-MK"/>
              </w:rPr>
              <w:t xml:space="preserve"> постои можност да се чува историјат од податочните сетови кои се објавени и тоа при објавувањето на податоците е опција која е дадена на избор на самата институција која објавува одреден податочен сет.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Главна цел</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Дефинирање/избор на лиценцен модел за отворени податоци и поставување на лиценците на порталот за отворени податоци.</w:t>
            </w:r>
          </w:p>
          <w:p w:rsidR="008E3733" w:rsidRPr="00232275" w:rsidRDefault="008E3733" w:rsidP="008E3733">
            <w:pPr>
              <w:spacing w:after="0" w:line="240" w:lineRule="auto"/>
              <w:jc w:val="both"/>
              <w:rPr>
                <w:rFonts w:ascii="StobiSerif Regular" w:eastAsia="Calibri" w:hAnsi="StobiSerif Regular" w:cs="Times New Roman"/>
                <w:sz w:val="20"/>
                <w:szCs w:val="20"/>
                <w:lang w:val="en-GB"/>
              </w:rPr>
            </w:pPr>
            <w:r w:rsidRPr="00232275">
              <w:rPr>
                <w:rFonts w:ascii="StobiSerif Regular" w:eastAsia="Calibri" w:hAnsi="StobiSerif Regular" w:cs="Times New Roman"/>
                <w:sz w:val="20"/>
                <w:szCs w:val="20"/>
                <w:lang w:val="mk-MK"/>
              </w:rPr>
              <w:t>Овозможување на поголема партиципативност и отчетност на порталот на отворени податоци преку воспоставување на архива на објавени податочни сетови.</w:t>
            </w:r>
          </w:p>
        </w:tc>
      </w:tr>
      <w:tr w:rsidR="008E3733" w:rsidRPr="00232275" w:rsidTr="008E3733">
        <w:trPr>
          <w:trHeight w:val="406"/>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Поставување на лиценците на порталот за отворени податоци за превземените податочни сетови.</w:t>
            </w:r>
          </w:p>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Воспоставување на архива од сите податочни сетови според можностите на институцијата која ги објавува податочните сетови.</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Избор на лиценцен модел кој би бил најсоодветен за Македонија и негова имплементација на сајтот. Создавање на поволна средина за полесна идентификација и компарација на податочни сетови во различни временски моменти и утврдување на трендови на одредени податочни сетови.</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Поврзаност со Глобалните цели за одржлив развој</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8E3733" w:rsidRPr="00232275" w:rsidTr="008E3733">
        <w:trPr>
          <w:trHeight w:val="1019"/>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Важност</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Согласно Законот за користење на податоци од јавниот сектор институциите во Република Македонија се обврзани да ги објават во компјутерски читлив формат податоците од отворен карактер согласно своите технички можности. Во овој момент на порталот </w:t>
            </w:r>
            <w:r w:rsidRPr="00232275">
              <w:rPr>
                <w:rFonts w:ascii="StobiSerif Regular" w:eastAsia="Calibri" w:hAnsi="StobiSerif Regular" w:cs="Times New Roman"/>
                <w:sz w:val="20"/>
                <w:szCs w:val="20"/>
              </w:rPr>
              <w:t xml:space="preserve">otvorenipodatoci.gov.mk </w:t>
            </w:r>
            <w:r w:rsidRPr="00232275">
              <w:rPr>
                <w:rFonts w:ascii="StobiSerif Regular" w:eastAsia="Calibri" w:hAnsi="StobiSerif Regular" w:cs="Times New Roman"/>
                <w:sz w:val="20"/>
                <w:szCs w:val="20"/>
                <w:lang w:val="mk-MK"/>
              </w:rPr>
              <w:t xml:space="preserve">имаме објавено 154 податочни сетови, бројка која со текот на времето очекуваме значително да се зголеми. Со зголемувањето на бројот на отворени податочни сетови, се зголемува и потребата од воспоставување на соодветен лиценцен модел, кој ќе овозможи непречен пристап до податоците од отворен карактер, но истовремено ќе ги </w:t>
            </w:r>
            <w:r w:rsidRPr="00232275">
              <w:rPr>
                <w:rFonts w:ascii="StobiSerif Regular" w:eastAsia="Calibri" w:hAnsi="StobiSerif Regular" w:cs="Times New Roman"/>
                <w:sz w:val="20"/>
                <w:szCs w:val="20"/>
                <w:lang w:val="mk-MK"/>
              </w:rPr>
              <w:lastRenderedPageBreak/>
              <w:t>заштити институциите кои ги креираат податоците пред се преку спречување на злоупотреба на отворените податоци.</w:t>
            </w:r>
          </w:p>
        </w:tc>
      </w:tr>
      <w:tr w:rsidR="008E3733" w:rsidRPr="00232275" w:rsidTr="008E3733">
        <w:trPr>
          <w:trHeight w:val="689"/>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Амбиција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Во оваа заложба се предвидува воспоставување на лиценци за отворени податоци и воспоставување на архива на отворени податоци на сајтот </w:t>
            </w:r>
            <w:hyperlink r:id="rId21" w:history="1">
              <w:r w:rsidRPr="00232275">
                <w:rPr>
                  <w:rFonts w:ascii="StobiSerif Regular" w:eastAsia="Calibri" w:hAnsi="StobiSerif Regular" w:cs="Times New Roman"/>
                  <w:sz w:val="20"/>
                  <w:szCs w:val="20"/>
                  <w:u w:val="single"/>
                  <w:lang w:val="en-GB"/>
                </w:rPr>
                <w:t>www.otvorenipodatoci.gov.mk</w:t>
              </w:r>
            </w:hyperlink>
            <w:r w:rsidRPr="00232275">
              <w:rPr>
                <w:rFonts w:ascii="StobiSerif Regular" w:eastAsia="Calibri" w:hAnsi="StobiSerif Regular" w:cs="Times New Roman"/>
                <w:sz w:val="20"/>
                <w:szCs w:val="20"/>
                <w:lang w:val="en-GB"/>
              </w:rPr>
              <w:t xml:space="preserve">. </w:t>
            </w:r>
            <w:r w:rsidRPr="00232275">
              <w:rPr>
                <w:rFonts w:ascii="StobiSerif Regular" w:eastAsia="Calibri" w:hAnsi="StobiSerif Regular" w:cs="Times New Roman"/>
                <w:sz w:val="20"/>
                <w:szCs w:val="20"/>
                <w:lang w:val="mk-MK"/>
              </w:rPr>
              <w:t>Со тоа ќе се придонесе за полесна идентификација и употреба на отворените податоци, за полесно следење на трендовите во одредени области. Од друга страна, ќе се придонесе и за спречување на злоупотребата на податочните сетови и заштита на институциите кои ги продуцираат овие податочни сетови.</w:t>
            </w:r>
          </w:p>
        </w:tc>
      </w:tr>
      <w:tr w:rsidR="008E3733" w:rsidRPr="00232275" w:rsidTr="008E3733">
        <w:trPr>
          <w:trHeight w:val="380"/>
        </w:trPr>
        <w:tc>
          <w:tcPr>
            <w:tcW w:w="4703"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Статус на реализација на заложба</w:t>
            </w:r>
          </w:p>
        </w:tc>
        <w:tc>
          <w:tcPr>
            <w:tcW w:w="1422"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jc w:val="both"/>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завршено</w:t>
            </w:r>
          </w:p>
        </w:tc>
      </w:tr>
      <w:tr w:rsidR="008E3733" w:rsidRPr="00232275" w:rsidTr="008E3733">
        <w:trPr>
          <w:trHeight w:val="312"/>
        </w:trPr>
        <w:tc>
          <w:tcPr>
            <w:tcW w:w="4703"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r>
      <w:tr w:rsidR="008E3733" w:rsidRPr="00232275" w:rsidTr="008E3733">
        <w:trPr>
          <w:trHeight w:val="531"/>
        </w:trPr>
        <w:tc>
          <w:tcPr>
            <w:tcW w:w="4703"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Назив на достигнување</w:t>
            </w:r>
          </w:p>
        </w:tc>
        <w:tc>
          <w:tcPr>
            <w:tcW w:w="5271"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2.2.1  Избор на лиценцен модел</w:t>
            </w:r>
          </w:p>
        </w:tc>
        <w:tc>
          <w:tcPr>
            <w:tcW w:w="5271"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sz w:val="20"/>
                <w:szCs w:val="20"/>
                <w:lang w:val="mk-MK"/>
              </w:rPr>
              <w:t xml:space="preserve">Во оваа фаза предложено е да се искористи Creative Commons лиценцниот модел, поточно CC-BY 4.0. Овој лиценцен модел е предвиден и во нацрт националната стратегија за отворени податоци. </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en-GB"/>
              </w:rPr>
            </w:pPr>
            <w:r w:rsidRPr="00232275">
              <w:rPr>
                <w:rFonts w:ascii="StobiSerif Regular" w:eastAsia="Calibri" w:hAnsi="StobiSerif Regular" w:cs="Times New Roman"/>
                <w:b/>
                <w:i/>
                <w:sz w:val="20"/>
                <w:szCs w:val="20"/>
                <w:lang w:val="mk-MK"/>
              </w:rPr>
              <w:t xml:space="preserve">2.2.2 Имплементација на лиценцниот модел на сајтот </w:t>
            </w:r>
            <w:hyperlink r:id="rId22" w:history="1">
              <w:r w:rsidRPr="00232275">
                <w:rPr>
                  <w:rFonts w:ascii="StobiSerif Regular" w:eastAsia="Calibri" w:hAnsi="StobiSerif Regular" w:cs="Times New Roman"/>
                  <w:b/>
                  <w:i/>
                  <w:sz w:val="20"/>
                  <w:szCs w:val="20"/>
                  <w:u w:val="single"/>
                  <w:lang w:val="en-GB"/>
                </w:rPr>
                <w:t>www.otvorenipodatoci.gov.mk</w:t>
              </w:r>
            </w:hyperlink>
          </w:p>
        </w:tc>
        <w:tc>
          <w:tcPr>
            <w:tcW w:w="5271"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sz w:val="20"/>
                <w:szCs w:val="20"/>
                <w:lang w:val="mk-MK"/>
              </w:rPr>
              <w:t>Избраниот лиценцен модел дефиниран во националната стратегија за отворени податоци ќе биде имплементиран и во новиот портал за отворени податоци.</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 xml:space="preserve">2.2.3 Анализа на можностите за чување на податочните сетови во архива на сајтот </w:t>
            </w:r>
            <w:hyperlink r:id="rId23" w:history="1">
              <w:r w:rsidRPr="00232275">
                <w:rPr>
                  <w:rFonts w:ascii="StobiSerif Regular" w:eastAsia="Calibri" w:hAnsi="StobiSerif Regular" w:cs="Times New Roman"/>
                  <w:b/>
                  <w:i/>
                  <w:sz w:val="20"/>
                  <w:szCs w:val="20"/>
                  <w:u w:val="single"/>
                  <w:lang w:val="en-GB"/>
                </w:rPr>
                <w:t>www.otvorenipodatoci.gov.mk</w:t>
              </w:r>
            </w:hyperlink>
            <w:r w:rsidRPr="00232275">
              <w:rPr>
                <w:rFonts w:ascii="StobiSerif Regular" w:eastAsia="Calibri" w:hAnsi="StobiSerif Regular" w:cs="Times New Roman"/>
                <w:b/>
                <w:i/>
                <w:sz w:val="20"/>
                <w:szCs w:val="20"/>
                <w:lang w:val="mk-MK"/>
              </w:rPr>
              <w:t xml:space="preserve"> (по институција)</w:t>
            </w:r>
          </w:p>
        </w:tc>
        <w:tc>
          <w:tcPr>
            <w:tcW w:w="5271"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Анализата на можностите за чување на податочните сетови во архива на сајтот ќе произлезе од дефинирањето на техничката спецификација за новиот портал за Отворени податоци.</w:t>
            </w:r>
          </w:p>
        </w:tc>
      </w:tr>
      <w:tr w:rsidR="008E3733" w:rsidRPr="00232275" w:rsidTr="008E3733">
        <w:trPr>
          <w:trHeight w:val="270"/>
        </w:trPr>
        <w:tc>
          <w:tcPr>
            <w:tcW w:w="470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 xml:space="preserve">2.2.4 Прилагодување на сајтот </w:t>
            </w:r>
            <w:hyperlink r:id="rId24" w:history="1">
              <w:r w:rsidRPr="00232275">
                <w:rPr>
                  <w:rFonts w:ascii="StobiSerif Regular" w:eastAsia="Calibri" w:hAnsi="StobiSerif Regular" w:cs="Times New Roman"/>
                  <w:b/>
                  <w:i/>
                  <w:sz w:val="20"/>
                  <w:szCs w:val="20"/>
                  <w:u w:val="single"/>
                  <w:lang w:val="en-GB"/>
                </w:rPr>
                <w:t>www.otvorenipodatoci.gov.mk</w:t>
              </w:r>
            </w:hyperlink>
            <w:r w:rsidRPr="00232275">
              <w:rPr>
                <w:rFonts w:ascii="StobiSerif Regular" w:eastAsia="Calibri" w:hAnsi="StobiSerif Regular" w:cs="Times New Roman"/>
                <w:b/>
                <w:i/>
                <w:sz w:val="20"/>
                <w:szCs w:val="20"/>
                <w:lang w:val="mk-MK"/>
              </w:rPr>
              <w:t xml:space="preserve"> за потребите на  моделот архива на податочни сетови (по институција)</w:t>
            </w:r>
          </w:p>
        </w:tc>
        <w:tc>
          <w:tcPr>
            <w:tcW w:w="5271"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Оваа можност ќе се дефинира по реализирањето на  точка 2.2.3 погоре по дефинирањето на техничката спецификација за новиот портал за Отворени податоци.</w:t>
            </w:r>
          </w:p>
        </w:tc>
      </w:tr>
      <w:tr w:rsidR="008E3733" w:rsidRPr="00232275" w:rsidTr="008E3733">
        <w:trPr>
          <w:trHeight w:val="270"/>
        </w:trPr>
        <w:tc>
          <w:tcPr>
            <w:tcW w:w="4703" w:type="dxa"/>
            <w:gridSpan w:val="2"/>
            <w:tcBorders>
              <w:top w:val="single" w:sz="4" w:space="0" w:color="auto"/>
              <w:bottom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p>
        </w:tc>
        <w:tc>
          <w:tcPr>
            <w:tcW w:w="5271" w:type="dxa"/>
            <w:gridSpan w:val="4"/>
            <w:tcBorders>
              <w:top w:val="single" w:sz="4" w:space="0" w:color="auto"/>
              <w:bottom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p>
          <w:p w:rsidR="008E3733" w:rsidRPr="00232275" w:rsidRDefault="008E3733" w:rsidP="008E3733">
            <w:pPr>
              <w:spacing w:after="0" w:line="240" w:lineRule="auto"/>
              <w:jc w:val="both"/>
              <w:rPr>
                <w:rFonts w:ascii="StobiSerif Regular" w:eastAsia="Calibri" w:hAnsi="StobiSerif Regular" w:cs="Tahoma"/>
                <w:sz w:val="20"/>
                <w:szCs w:val="20"/>
                <w:lang w:val="mk-MK"/>
              </w:rPr>
            </w:pPr>
          </w:p>
        </w:tc>
      </w:tr>
      <w:tr w:rsidR="008E3733" w:rsidRPr="00232275" w:rsidTr="008E3733">
        <w:trPr>
          <w:trHeight w:val="300"/>
        </w:trPr>
        <w:tc>
          <w:tcPr>
            <w:tcW w:w="9974" w:type="dxa"/>
            <w:gridSpan w:val="6"/>
            <w:tcBorders>
              <w:top w:val="single" w:sz="4"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bookmarkStart w:id="17" w:name="_Toc453059106"/>
            <w:bookmarkStart w:id="18" w:name="_Toc453059198"/>
            <w:bookmarkStart w:id="19" w:name="_Toc453059244"/>
            <w:r w:rsidRPr="00232275">
              <w:rPr>
                <w:rFonts w:ascii="StobiSerif Regular" w:eastAsia="Calibri" w:hAnsi="StobiSerif Regular" w:cs="Times New Roman"/>
                <w:b/>
                <w:sz w:val="20"/>
                <w:szCs w:val="20"/>
                <w:lang w:val="mk-MK"/>
              </w:rPr>
              <w:t>2.3  Зголемување на свеста за отворени податоци</w:t>
            </w:r>
            <w:bookmarkEnd w:id="17"/>
            <w:bookmarkEnd w:id="18"/>
            <w:bookmarkEnd w:id="19"/>
          </w:p>
        </w:tc>
      </w:tr>
      <w:tr w:rsidR="008E3733" w:rsidRPr="00232275" w:rsidTr="008E3733">
        <w:trPr>
          <w:trHeight w:val="616"/>
        </w:trPr>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(7/ 2016 – 6/2018)</w:t>
            </w:r>
          </w:p>
        </w:tc>
        <w:tc>
          <w:tcPr>
            <w:tcW w:w="5271"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Нова обврска</w:t>
            </w:r>
          </w:p>
        </w:tc>
      </w:tr>
      <w:tr w:rsidR="008E3733" w:rsidRPr="00232275" w:rsidTr="008E3733">
        <w:trPr>
          <w:trHeight w:val="600"/>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Водечка институција за спроведување</w:t>
            </w:r>
          </w:p>
        </w:tc>
        <w:tc>
          <w:tcPr>
            <w:tcW w:w="5271"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852"/>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Име на одговорно лице во институцијата за спроведување</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Филип Маневски –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Надица Јосифовски – заменик координатор</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Владимир Радосављевиќ – заменик координатор</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Функција, Одделение</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Помлад соработник</w:t>
            </w:r>
            <w:r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rPr>
              <w:t>Email</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25" w:history="1">
              <w:r w:rsidR="008E3733" w:rsidRPr="00232275">
                <w:rPr>
                  <w:rFonts w:ascii="StobiSerif Regular" w:eastAsia="Calibri" w:hAnsi="StobiSerif Regular" w:cs="Times New Roman"/>
                  <w:sz w:val="20"/>
                  <w:szCs w:val="20"/>
                  <w:u w:val="single"/>
                  <w:lang w:val="mk-MK"/>
                </w:rPr>
                <w:t>Filip.manevski@mioa.gov.mk</w:t>
              </w:r>
            </w:hyperlink>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26" w:history="1">
              <w:r w:rsidR="008E3733" w:rsidRPr="00232275">
                <w:rPr>
                  <w:rFonts w:ascii="StobiSerif Regular" w:eastAsia="Calibri" w:hAnsi="StobiSerif Regular" w:cs="Times New Roman"/>
                  <w:sz w:val="20"/>
                  <w:szCs w:val="20"/>
                  <w:u w:val="single"/>
                  <w:lang w:val="mk-MK"/>
                </w:rPr>
                <w:t>Nadica.Josifovski@mioa.gov.mk</w:t>
              </w:r>
            </w:hyperlink>
          </w:p>
          <w:p w:rsidR="008E3733" w:rsidRPr="00232275" w:rsidRDefault="00E6510B" w:rsidP="008E3733">
            <w:pPr>
              <w:spacing w:after="0" w:line="240" w:lineRule="auto"/>
              <w:rPr>
                <w:rFonts w:ascii="StobiSerif Regular" w:eastAsia="Calibri" w:hAnsi="StobiSerif Regular" w:cs="Times New Roman"/>
                <w:sz w:val="20"/>
                <w:szCs w:val="20"/>
              </w:rPr>
            </w:pPr>
            <w:hyperlink r:id="rId27" w:history="1">
              <w:r w:rsidR="008E3733" w:rsidRPr="00232275">
                <w:rPr>
                  <w:rFonts w:ascii="StobiSerif Regular" w:eastAsia="Calibri" w:hAnsi="StobiSerif Regular" w:cs="Times New Roman"/>
                  <w:sz w:val="20"/>
                  <w:szCs w:val="20"/>
                  <w:u w:val="single"/>
                  <w:lang w:val="mk-MK"/>
                </w:rPr>
                <w:t>vladimir.radosavljevik@mioa.gov.mk</w:t>
              </w:r>
            </w:hyperlink>
            <w:r w:rsidR="008E3733" w:rsidRPr="00232275">
              <w:rPr>
                <w:rFonts w:ascii="StobiSerif Regular" w:eastAsia="Calibri" w:hAnsi="StobiSerif Regular" w:cs="Times New Roman"/>
                <w:sz w:val="20"/>
                <w:szCs w:val="20"/>
              </w:rPr>
              <w:t> </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Телефон</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+389(0)2 320-0870</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+389(0)2 320-0878</w:t>
            </w:r>
            <w:r w:rsidRPr="00232275">
              <w:rPr>
                <w:rFonts w:ascii="StobiSerif Regular" w:eastAsia="Calibri" w:hAnsi="StobiSerif Regular" w:cs="Times New Roman"/>
                <w:sz w:val="20"/>
                <w:szCs w:val="20"/>
              </w:rPr>
              <w:t> </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Други вклучени субјекти</w:t>
            </w:r>
          </w:p>
        </w:tc>
        <w:tc>
          <w:tcPr>
            <w:tcW w:w="2807"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на државна управа, самостојни органи на државна управа</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Министерството за информатичко општество и администрација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2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Слободен софтвер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Реактор</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807"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271"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48"/>
        </w:trPr>
        <w:tc>
          <w:tcPr>
            <w:tcW w:w="4703"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Состојба или проблем што се опфаќа со обврската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Министерството за информатичко општество и администрација во текот на 2014 година постави модерна платформа за отворени податоци на која се објавуваат отворените податочни сетови од институциите. Од тогаш министерството одржа повеќе настани за промоција на порталот како и прв хакатон натпревар за развој на апликации на база на отворените податоци. И покрај тие активности, посетеноста на порталот е во просек од 700 поединечни посети месечно, далеку од посакуваните цели за посетеност. Ние сметаме дека ова се должи на недоволната популаризација на отворените податоци како концепт и малата свест кај граѓаните за значењето и потенцијалот на отворените податоци.</w:t>
            </w:r>
          </w:p>
        </w:tc>
      </w:tr>
      <w:tr w:rsidR="008E3733" w:rsidRPr="00232275" w:rsidTr="008E3733">
        <w:trPr>
          <w:trHeight w:val="32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Главна цел</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Главна цел на оваа заложба е популаризирање на концептот на отворени податоци и поттикнување на граѓанскиот сектор и приватните компании за поголемо користење на овие податоци преку презентација на потенцијалот и значењето на отворените податоци.</w:t>
            </w:r>
          </w:p>
        </w:tc>
      </w:tr>
      <w:tr w:rsidR="008E3733" w:rsidRPr="00232275" w:rsidTr="008E3733">
        <w:trPr>
          <w:trHeight w:val="406"/>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rPr>
              <w:t>Кампања за популаризирање на отворените податоци кај граѓаните</w:t>
            </w:r>
            <w:r w:rsidRPr="00232275">
              <w:rPr>
                <w:rFonts w:ascii="StobiSerif Regular" w:eastAsia="Calibri" w:hAnsi="StobiSerif Regular" w:cs="Times New Roman"/>
                <w:sz w:val="20"/>
                <w:szCs w:val="20"/>
                <w:lang w:val="mk-MK"/>
              </w:rPr>
              <w:t>.</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Подигање на свеста за бенефитот од отворените податоци кај давателите (институциите) и корисниците (граѓаните и приватниот сектор) на податоците.</w:t>
            </w:r>
          </w:p>
        </w:tc>
      </w:tr>
      <w:tr w:rsidR="008E3733" w:rsidRPr="00232275" w:rsidTr="008E3733">
        <w:trPr>
          <w:trHeight w:val="600"/>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Поврзаност со Глобалните цели за одржлив развој</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Со мерките од оваа заложба се придонесува кон  унапредување на пристапот до  информациите и податоците од јавен карактер преку подигнување на </w:t>
            </w:r>
            <w:r w:rsidRPr="00232275">
              <w:rPr>
                <w:rFonts w:ascii="StobiSerif Regular" w:eastAsia="Calibri" w:hAnsi="StobiSerif Regular" w:cs="Times New Roman"/>
                <w:sz w:val="20"/>
                <w:szCs w:val="20"/>
                <w:lang w:val="mk-MK"/>
              </w:rPr>
              <w:lastRenderedPageBreak/>
              <w:t>јавната свест за значењето и ползата од отворените податоци.</w:t>
            </w:r>
            <w:r w:rsidRPr="00232275">
              <w:rPr>
                <w:rFonts w:ascii="StobiSerif Regular" w:eastAsia="Calibri" w:hAnsi="StobiSerif Regular" w:cs="Calibri"/>
                <w:sz w:val="20"/>
                <w:szCs w:val="20"/>
                <w:lang w:val="mk-MK"/>
              </w:rPr>
              <w:t xml:space="preserve"> </w:t>
            </w:r>
          </w:p>
        </w:tc>
      </w:tr>
      <w:tr w:rsidR="008E3733" w:rsidRPr="00232275" w:rsidTr="008E3733">
        <w:trPr>
          <w:trHeight w:val="1019"/>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Важност</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Од спроведените анализи и контакти со невладиниот сектор и граѓаните наше согледување е дека сеуште не се прави разлика помеѓу концептот на отворени податоци и концептот на слободен пристап до информации. Со цел зголемување на граѓанското учество и користење на отворените податоци, што би довело и до полесен пристап до информациите, јавна одговорност и поголема отвореност и отчет, сметаме дека е неопходно да се изврши дополнителна едукација на клучните чинители во институциите како и поголема презентација и популаризација на концептот за отворени податоци меѓу граѓаните.</w:t>
            </w:r>
          </w:p>
        </w:tc>
      </w:tr>
      <w:tr w:rsidR="008E3733" w:rsidRPr="00232275" w:rsidTr="008E3733">
        <w:trPr>
          <w:trHeight w:val="794"/>
        </w:trPr>
        <w:tc>
          <w:tcPr>
            <w:tcW w:w="470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Амбиција</w:t>
            </w:r>
          </w:p>
        </w:tc>
        <w:tc>
          <w:tcPr>
            <w:tcW w:w="5271"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Со оваа заложба се предвидува покренување на кампања за популаризација на концептот за отворени податоци. </w:t>
            </w:r>
          </w:p>
        </w:tc>
      </w:tr>
      <w:tr w:rsidR="008E3733" w:rsidRPr="00232275" w:rsidTr="008E3733">
        <w:trPr>
          <w:trHeight w:val="380"/>
        </w:trPr>
        <w:tc>
          <w:tcPr>
            <w:tcW w:w="4703"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Статус на реализација на заложба</w:t>
            </w:r>
          </w:p>
        </w:tc>
        <w:tc>
          <w:tcPr>
            <w:tcW w:w="1422"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завршено</w:t>
            </w:r>
          </w:p>
        </w:tc>
      </w:tr>
      <w:tr w:rsidR="008E3733" w:rsidRPr="00232275" w:rsidTr="008E3733">
        <w:trPr>
          <w:trHeight w:val="349"/>
        </w:trPr>
        <w:tc>
          <w:tcPr>
            <w:tcW w:w="4703"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Назив на достигнување</w:t>
            </w:r>
          </w:p>
        </w:tc>
        <w:tc>
          <w:tcPr>
            <w:tcW w:w="5271"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2.3.1 Спроведување на анкета за запознаеност на граѓаните со концептот на отворени податоци</w:t>
            </w:r>
          </w:p>
        </w:tc>
        <w:tc>
          <w:tcPr>
            <w:tcW w:w="5271"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Отпочната е активност за подготовка на анкета за запознаеност на граѓаните со концептот на отворени податоци</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2.3.2 Одржување на обуки за идентификација и објавување на отворени податоци за најмалку 20 институции</w:t>
            </w:r>
          </w:p>
        </w:tc>
        <w:tc>
          <w:tcPr>
            <w:tcW w:w="5271"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Во четири институции и тоа МТСП, МФ, МЗ и МОН отпочнати се активности за идентификација и објавување на отворените податоци. Лицата од овие институции, заедно со членовите на тимот од МИОА, во следни фази би помогнале во </w:t>
            </w:r>
            <w:r w:rsidRPr="00232275">
              <w:rPr>
                <w:rFonts w:ascii="StobiSerif Regular" w:eastAsia="Calibri" w:hAnsi="StobiSerif Regular" w:cs="Times New Roman"/>
                <w:b/>
                <w:i/>
                <w:sz w:val="20"/>
                <w:szCs w:val="20"/>
                <w:lang w:val="mk-MK"/>
              </w:rPr>
              <w:t>идентификацијата и објавување на отворени податоци</w:t>
            </w:r>
            <w:r w:rsidRPr="00232275">
              <w:rPr>
                <w:rFonts w:ascii="StobiSerif Regular" w:eastAsia="Calibri" w:hAnsi="StobiSerif Regular" w:cs="Tahoma"/>
                <w:sz w:val="20"/>
                <w:szCs w:val="20"/>
                <w:lang w:val="mk-MK"/>
              </w:rPr>
              <w:t xml:space="preserve"> од други институции.</w:t>
            </w:r>
          </w:p>
          <w:p w:rsidR="008E3733" w:rsidRPr="00232275" w:rsidRDefault="008E3733" w:rsidP="008E3733">
            <w:pPr>
              <w:spacing w:after="0" w:line="240" w:lineRule="auto"/>
              <w:jc w:val="both"/>
              <w:rPr>
                <w:rFonts w:ascii="StobiSerif Regular" w:eastAsia="Calibri" w:hAnsi="StobiSerif Regular" w:cs="Tahoma"/>
                <w:sz w:val="20"/>
                <w:szCs w:val="20"/>
              </w:rPr>
            </w:pPr>
            <w:r w:rsidRPr="00232275">
              <w:rPr>
                <w:rFonts w:ascii="StobiSerif Regular" w:eastAsia="Calibri" w:hAnsi="StobiSerif Regular" w:cs="Tahoma"/>
                <w:sz w:val="20"/>
                <w:szCs w:val="20"/>
                <w:lang w:val="mk-MK"/>
              </w:rPr>
              <w:t xml:space="preserve">Во рамките на овој АП ова достигнување ќе биде ограничено на 4 институции наместо 20. </w:t>
            </w:r>
          </w:p>
        </w:tc>
      </w:tr>
      <w:tr w:rsidR="008E3733" w:rsidRPr="00232275" w:rsidTr="008E3733">
        <w:trPr>
          <w:trHeight w:val="270"/>
        </w:trPr>
        <w:tc>
          <w:tcPr>
            <w:tcW w:w="4703"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 xml:space="preserve">2.3.3 Спроведување на најмалку две рекламни кампањи за концептот за отворени податоци </w:t>
            </w:r>
          </w:p>
        </w:tc>
        <w:tc>
          <w:tcPr>
            <w:tcW w:w="5271"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Отпочнати се активности за рекламни кампањи за Отворени податоци, кои ќе го доближат концептот на отворени податоци до сите чинители во процесот.</w:t>
            </w:r>
          </w:p>
        </w:tc>
      </w:tr>
      <w:tr w:rsidR="008E3733" w:rsidRPr="00232275" w:rsidTr="008E3733">
        <w:trPr>
          <w:trHeight w:val="270"/>
        </w:trPr>
        <w:tc>
          <w:tcPr>
            <w:tcW w:w="4703"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2.3.4 Одржување на најмалку еден натпревар – хакатон за развој на апликации на база на отворените податоци</w:t>
            </w:r>
          </w:p>
        </w:tc>
        <w:tc>
          <w:tcPr>
            <w:tcW w:w="5271"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По анализите и дискусиите ослучено е дека во оваа фаза од процесот хакатоните нема да бидат ефективни, па поради тоа вакви активности засега нема да се планираат.</w:t>
            </w:r>
          </w:p>
        </w:tc>
      </w:tr>
    </w:tbl>
    <w:p w:rsidR="008E3733" w:rsidRPr="00232275" w:rsidRDefault="008E3733" w:rsidP="008E3733">
      <w:pPr>
        <w:tabs>
          <w:tab w:val="left" w:pos="1340"/>
        </w:tabs>
        <w:spacing w:line="240" w:lineRule="auto"/>
        <w:rPr>
          <w:rFonts w:ascii="StobiSerif Regular" w:eastAsia="MS Mincho" w:hAnsi="StobiSerif Regular" w:cs="Times New Roman"/>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bookmarkStart w:id="20" w:name="_Toc453059107"/>
            <w:bookmarkStart w:id="21" w:name="_Toc453059199"/>
            <w:bookmarkStart w:id="22" w:name="_Toc453059245"/>
            <w:r w:rsidRPr="00232275">
              <w:rPr>
                <w:rFonts w:ascii="StobiSerif Regular" w:eastAsia="Calibri" w:hAnsi="StobiSerif Regular" w:cs="Times New Roman"/>
                <w:b/>
                <w:sz w:val="20"/>
                <w:szCs w:val="20"/>
                <w:lang w:val="mk-MK"/>
              </w:rPr>
              <w:t>2.4  Каталогизација и категоризација на податочните сетови на државните институции</w:t>
            </w:r>
            <w:bookmarkEnd w:id="20"/>
            <w:bookmarkEnd w:id="21"/>
            <w:bookmarkEnd w:id="22"/>
          </w:p>
        </w:tc>
      </w:tr>
      <w:tr w:rsidR="008E3733" w:rsidRPr="00232275" w:rsidTr="008E3733">
        <w:trPr>
          <w:trHeight w:val="708"/>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(7/ 2016 – 6/2018)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Нова обврска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Име на одговорно лице во институцијата за спроведување</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Филип Маневски –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Надица Јосифовски – заменик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Владимир Радосављевиќ – заменик координатор</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Помлад соработник</w:t>
            </w:r>
            <w:r w:rsidRPr="00232275">
              <w:rPr>
                <w:rFonts w:ascii="StobiSerif Regular" w:eastAsia="Calibri" w:hAnsi="StobiSerif Regular" w:cs="Times New Roman"/>
                <w:sz w:val="20"/>
                <w:szCs w:val="20"/>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28" w:history="1">
              <w:r w:rsidR="008E3733" w:rsidRPr="00232275">
                <w:rPr>
                  <w:rFonts w:ascii="StobiSerif Regular" w:eastAsia="Calibri" w:hAnsi="StobiSerif Regular" w:cs="Times New Roman"/>
                  <w:sz w:val="20"/>
                  <w:szCs w:val="20"/>
                  <w:u w:val="single"/>
                  <w:lang w:val="mk-MK"/>
                </w:rPr>
                <w:t>filip.manevski@mioa.gov.mk</w:t>
              </w:r>
            </w:hyperlink>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29" w:history="1">
              <w:r w:rsidR="008E3733" w:rsidRPr="00232275">
                <w:rPr>
                  <w:rFonts w:ascii="StobiSerif Regular" w:eastAsia="Calibri" w:hAnsi="StobiSerif Regular" w:cs="Times New Roman"/>
                  <w:sz w:val="20"/>
                  <w:szCs w:val="20"/>
                  <w:u w:val="single"/>
                  <w:lang w:val="mk-MK"/>
                </w:rPr>
                <w:t>nadica.josifovski@mioa.gov.mk</w:t>
              </w:r>
            </w:hyperlink>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30" w:history="1">
              <w:r w:rsidR="008E3733" w:rsidRPr="00232275">
                <w:rPr>
                  <w:rFonts w:ascii="StobiSerif Regular" w:eastAsia="Calibri" w:hAnsi="StobiSerif Regular" w:cs="Times New Roman"/>
                  <w:sz w:val="20"/>
                  <w:szCs w:val="20"/>
                  <w:u w:val="single"/>
                  <w:lang w:val="mk-MK"/>
                </w:rPr>
                <w:t>vladimir.radosavljevik@mioa.gov.mk</w:t>
              </w:r>
            </w:hyperlink>
            <w:r w:rsidR="008E3733" w:rsidRPr="00232275">
              <w:rPr>
                <w:rFonts w:ascii="StobiSerif Regular" w:eastAsia="Calibri" w:hAnsi="StobiSerif Regular" w:cs="Times New Roman"/>
                <w:sz w:val="20"/>
                <w:szCs w:val="20"/>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+389(0)2 320-0870</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+389(0)2 320-0878</w:t>
            </w:r>
            <w:r w:rsidRPr="00232275">
              <w:rPr>
                <w:rFonts w:ascii="StobiSerif Regular" w:eastAsia="Calibri" w:hAnsi="StobiSerif Regular" w:cs="Times New Roman"/>
                <w:sz w:val="20"/>
                <w:szCs w:val="20"/>
              </w:rPr>
              <w:t> </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ЦУП</w:t>
            </w:r>
          </w:p>
          <w:p w:rsidR="008E3733" w:rsidRPr="00232275" w:rsidRDefault="008E3733" w:rsidP="008E3733">
            <w:pPr>
              <w:spacing w:after="0" w:line="240" w:lineRule="auto"/>
              <w:rPr>
                <w:rFonts w:ascii="StobiSerif Regular" w:eastAsia="Calibri" w:hAnsi="StobiSerif Regular" w:cs="Times New Roman"/>
                <w:sz w:val="20"/>
                <w:szCs w:val="20"/>
                <w:lang w:val="en-GB"/>
              </w:rPr>
            </w:pPr>
            <w:r w:rsidRPr="00232275">
              <w:rPr>
                <w:rFonts w:ascii="StobiSerif Regular" w:eastAsia="Calibri" w:hAnsi="StobiSerif Regular" w:cs="Times New Roman"/>
                <w:sz w:val="20"/>
                <w:szCs w:val="20"/>
                <w:lang w:val="mk-MK"/>
              </w:rPr>
              <w:t>Други НВО</w:t>
            </w:r>
          </w:p>
          <w:p w:rsidR="008E3733" w:rsidRPr="00232275" w:rsidRDefault="008E3733" w:rsidP="008E3733">
            <w:pPr>
              <w:spacing w:after="0" w:line="240" w:lineRule="auto"/>
              <w:rPr>
                <w:rFonts w:ascii="StobiSerif Regular" w:eastAsia="Calibri"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 согласност со Член 7 од Законот за користење на податоците од јавниот сектор, органите и институциите од јавниот сектор се должни до Министерството за информатичко општество и администрација да достават во електронска форма каталог на податоците кои ги создаваат во остварувањето на своите надлежности кои ги објавуваат за користење, вклучувајќи и датум за објавување на податоците (по податочни сетови) за нивно користење, динамика на нивно ажурирање (дневно, неделно, месечно и квартално) и поединечен линк, односно веб локација до местото каде што органот или институцијата од јавниот сектор ги објавува податоците. Нашето искуство од досегашната имплементација на оваа одредба покажува дека на органите и институциите од јавниот сектор им е потребна дополнителна помош при изготвување на овие каталози.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Спроведување интерна анализа од страна на сите државни институции кои по Законот за користење на податоци од јавниот сектор се задолжени да објавуваат отворени податоци и изработка на соодветен Каталог на податочни сетови за секоја институција опфатена со мерката.</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Оваа мерка подразбира спроведување интерна анализа од страна на сите државни институции кои по Законот за користење на податоци од јавниот сектор се задолжени да објавуваат отворени податоци. Како резултат на </w:t>
            </w:r>
            <w:r w:rsidRPr="00232275">
              <w:rPr>
                <w:rFonts w:ascii="StobiSerif Regular" w:eastAsia="Calibri" w:hAnsi="StobiSerif Regular" w:cs="Times New Roman"/>
                <w:sz w:val="20"/>
                <w:szCs w:val="20"/>
                <w:lang w:val="mk-MK"/>
              </w:rPr>
              <w:lastRenderedPageBreak/>
              <w:t>интерната анализа, секоја институција треба да изработи свој Каталог на податочни сетови, како насока за тоа кои податочни сетови треба да ги прибира и објавува во иднина. Каталогот треба да се направи врз база на анализа на законската рамка која ја уредува работата на институцијата за водење на различни евиденции од нејзина надлежност, како и врз база на соработка со граѓанскиот и бизнис секторот од аспект на тоа кои специфични податоци од јавен интерес им се ним потребни.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ОВП предизвик опфатен со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Со креирање на каталогот на податочни сетови за секоја институција ќе се добие јасна слика за сите достапни податочни сетови од институциите кои потоа ќе може да се рангираат и приоретизираат за објавување на порталот за отворени податоци.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8E3733" w:rsidRPr="00232275" w:rsidTr="008E3733">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Согласно Законот за користење на податоци од јавниот сектор институциите во РМ се обврзани да водат каталог на податочни сетови и за истото редовно да го известуваат Министерството за информатичко општество и администрација. Ова претставува централна заложба за воспоставување на одржлив раст и развој на платформата за отворени податоци.</w:t>
            </w:r>
          </w:p>
        </w:tc>
      </w:tr>
      <w:tr w:rsidR="008E3733" w:rsidRPr="00232275" w:rsidTr="008E3733">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Како резултат на интерната анализа, секоја институција треба да изработи свој Каталог на податочни сетови, како насока за тоа кои податочни сетови треба да ги прибира и објавува во иднина.</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r>
      <w:tr w:rsidR="008E3733" w:rsidRPr="00232275" w:rsidTr="008E3733">
        <w:trPr>
          <w:trHeight w:val="661"/>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2.4.1 Идентификација на институциите кои се опфатени со оваа мерка согласно одредбите од Законот</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sz w:val="20"/>
                <w:szCs w:val="20"/>
                <w:lang w:val="mk-MK"/>
              </w:rPr>
              <w:t>Во рамките на овој АП идентификувани се четири институции за кој ќе се креира каталог на податочни сетови  и тоа за следните министерства  М</w:t>
            </w:r>
            <w:r w:rsidRPr="00232275">
              <w:rPr>
                <w:rFonts w:ascii="StobiSerif Regular" w:eastAsia="Calibri" w:hAnsi="StobiSerif Regular" w:cs="Times New Roman"/>
                <w:sz w:val="20"/>
                <w:szCs w:val="20"/>
              </w:rPr>
              <w:t>З, МТСП, МОН и МФ</w:t>
            </w:r>
            <w:r w:rsidRPr="00232275">
              <w:rPr>
                <w:rFonts w:ascii="StobiSerif Regular" w:eastAsia="Calibri" w:hAnsi="StobiSerif Regular" w:cs="Times New Roman"/>
                <w:sz w:val="20"/>
                <w:szCs w:val="20"/>
                <w:lang w:val="mk-MK"/>
              </w:rPr>
              <w:t>.</w:t>
            </w:r>
          </w:p>
        </w:tc>
      </w:tr>
      <w:tr w:rsidR="008E3733" w:rsidRPr="00232275" w:rsidTr="008E3733">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en-GB"/>
              </w:rPr>
            </w:pPr>
            <w:r w:rsidRPr="00232275">
              <w:rPr>
                <w:rFonts w:ascii="StobiSerif Regular" w:eastAsia="Calibri" w:hAnsi="StobiSerif Regular" w:cs="Times New Roman"/>
                <w:b/>
                <w:i/>
                <w:sz w:val="20"/>
                <w:szCs w:val="20"/>
                <w:lang w:val="mk-MK"/>
              </w:rPr>
              <w:t>2.4.2 Анализа на податочните сетови во институциите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rPr>
              <w:t xml:space="preserve">Во рамки на проектот за изработка на национална стратегија за отворени податоци и нов портал за отворени податоци, започната е анализа на податочни сетови во 4 министерства: МЗ, МТСП, МОН и МФ. Оваа анализа треба да даде за резултат детален преглед на податочните сетови со кои располагаат (или треба да располагаат согласно своите законски обврски) овие институции како </w:t>
            </w:r>
            <w:r w:rsidRPr="00232275">
              <w:rPr>
                <w:rFonts w:ascii="StobiSerif Regular" w:eastAsia="Calibri" w:hAnsi="StobiSerif Regular" w:cs="Times New Roman"/>
                <w:sz w:val="20"/>
                <w:szCs w:val="20"/>
              </w:rPr>
              <w:lastRenderedPageBreak/>
              <w:t>и да дефинира методологија и насоки за самостојна анализа и спроведување на истата и во останатите институции во РМ.</w:t>
            </w:r>
          </w:p>
        </w:tc>
      </w:tr>
      <w:tr w:rsidR="008E3733" w:rsidRPr="00232275" w:rsidTr="008E3733">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lastRenderedPageBreak/>
              <w:t>2.4.3 Креирање на централниот каталог на податочни сетови од сите институции</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Датум на започнување 01/2018</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 рамките на овој АП ќе биде креиран каталог на податочни сетови само за 4 министерства  М</w:t>
            </w:r>
            <w:r w:rsidRPr="00232275">
              <w:rPr>
                <w:rFonts w:ascii="StobiSerif Regular" w:eastAsia="Calibri" w:hAnsi="StobiSerif Regular" w:cs="Times New Roman"/>
                <w:sz w:val="20"/>
                <w:szCs w:val="20"/>
              </w:rPr>
              <w:t>З, МТСП, МОН и МФ</w:t>
            </w:r>
            <w:r w:rsidRPr="00232275">
              <w:rPr>
                <w:rFonts w:ascii="StobiSerif Regular" w:eastAsia="Calibri" w:hAnsi="StobiSerif Regular" w:cs="Times New Roman"/>
                <w:sz w:val="20"/>
                <w:szCs w:val="20"/>
                <w:lang w:val="mk-MK"/>
              </w:rPr>
              <w:t>.</w:t>
            </w: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2.4.4 Приоритизација на податочни сетови за објавување и изготвување на план за објавување</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 рамките на овој АП ќе биде креиран каталог на податочни сетови само за 4 министерства  М</w:t>
            </w:r>
            <w:r w:rsidRPr="00232275">
              <w:rPr>
                <w:rFonts w:ascii="StobiSerif Regular" w:eastAsia="Calibri" w:hAnsi="StobiSerif Regular" w:cs="Times New Roman"/>
                <w:sz w:val="20"/>
                <w:szCs w:val="20"/>
              </w:rPr>
              <w:t>З, МТСП, МОН и МФ</w:t>
            </w:r>
            <w:r w:rsidRPr="00232275">
              <w:rPr>
                <w:rFonts w:ascii="StobiSerif Regular" w:eastAsia="Calibri" w:hAnsi="StobiSerif Regular" w:cs="Times New Roman"/>
                <w:sz w:val="20"/>
                <w:szCs w:val="20"/>
                <w:lang w:val="mk-MK"/>
              </w:rPr>
              <w:t>.</w:t>
            </w:r>
          </w:p>
        </w:tc>
      </w:tr>
    </w:tbl>
    <w:p w:rsidR="008E3733" w:rsidRPr="00232275" w:rsidRDefault="008E3733" w:rsidP="008E3733">
      <w:pPr>
        <w:tabs>
          <w:tab w:val="left" w:pos="1340"/>
        </w:tabs>
        <w:spacing w:line="240" w:lineRule="auto"/>
        <w:rPr>
          <w:rFonts w:ascii="StobiSerif Regular" w:eastAsia="MS Mincho" w:hAnsi="StobiSerif Regular" w:cs="Times New Roman"/>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ind w:left="180"/>
              <w:jc w:val="center"/>
              <w:outlineLvl w:val="0"/>
              <w:rPr>
                <w:rFonts w:ascii="StobiSerif Regular" w:eastAsia="Times New Roman" w:hAnsi="StobiSerif Regular" w:cs="Times New Roman"/>
                <w:b/>
                <w:sz w:val="20"/>
                <w:szCs w:val="20"/>
                <w:lang w:val="mk-MK"/>
              </w:rPr>
            </w:pPr>
            <w:bookmarkStart w:id="23" w:name="_Toc453059108"/>
            <w:bookmarkStart w:id="24" w:name="_Toc453059200"/>
            <w:bookmarkStart w:id="25" w:name="_Toc453059246"/>
            <w:r w:rsidRPr="00232275">
              <w:rPr>
                <w:rFonts w:ascii="StobiSerif Regular" w:eastAsia="Times New Roman" w:hAnsi="StobiSerif Regular" w:cs="Times New Roman"/>
                <w:b/>
                <w:sz w:val="20"/>
                <w:szCs w:val="20"/>
                <w:lang w:val="mk-MK"/>
              </w:rPr>
              <w:t>2.5  Линкување на отворените податоци на порталите на државните институции</w:t>
            </w:r>
            <w:bookmarkEnd w:id="23"/>
            <w:bookmarkEnd w:id="24"/>
            <w:bookmarkEnd w:id="25"/>
          </w:p>
        </w:tc>
      </w:tr>
      <w:tr w:rsidR="008E3733" w:rsidRPr="00232275" w:rsidTr="008E3733">
        <w:trPr>
          <w:trHeight w:val="62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(31 јули 2016 – 30 јуни 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Нова обврска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Министерство за информатичко општество и администрација</w:t>
            </w:r>
          </w:p>
        </w:tc>
      </w:tr>
      <w:tr w:rsidR="008E3733" w:rsidRPr="00232275" w:rsidTr="008E3733">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Име на одговорно лице во институцијата за спроведување</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Филип Маневски – координатор</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Надица Јосифовски – заменик координатор</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Владимир Радосављевиќ – заменик координатор</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ИКТ Советник</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Помлад соработник</w:t>
            </w:r>
            <w:r w:rsidRPr="00232275">
              <w:rPr>
                <w:rFonts w:ascii="StobiSerif Regular" w:eastAsia="Calibri" w:hAnsi="StobiSerif Regular" w:cs="Times New Roman"/>
                <w:sz w:val="20"/>
                <w:szCs w:val="20"/>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31" w:history="1">
              <w:r w:rsidR="008E3733" w:rsidRPr="00232275">
                <w:rPr>
                  <w:rFonts w:ascii="StobiSerif Regular" w:eastAsia="Calibri" w:hAnsi="StobiSerif Regular" w:cs="Times New Roman"/>
                  <w:sz w:val="20"/>
                  <w:szCs w:val="20"/>
                  <w:u w:val="single"/>
                  <w:lang w:val="mk-MK"/>
                </w:rPr>
                <w:t>filip.manevski@mioa.gov.mk</w:t>
              </w:r>
            </w:hyperlink>
          </w:p>
          <w:p w:rsidR="008E3733" w:rsidRPr="00232275" w:rsidRDefault="00E6510B" w:rsidP="008E3733">
            <w:pPr>
              <w:spacing w:after="0" w:line="240" w:lineRule="auto"/>
              <w:rPr>
                <w:rFonts w:ascii="StobiSerif Regular" w:eastAsia="Calibri" w:hAnsi="StobiSerif Regular" w:cs="Times New Roman"/>
                <w:sz w:val="20"/>
                <w:szCs w:val="20"/>
                <w:lang w:val="mk-MK"/>
              </w:rPr>
            </w:pPr>
            <w:hyperlink r:id="rId32" w:history="1">
              <w:r w:rsidR="008E3733" w:rsidRPr="00232275">
                <w:rPr>
                  <w:rFonts w:ascii="StobiSerif Regular" w:eastAsia="Calibri" w:hAnsi="StobiSerif Regular" w:cs="Times New Roman"/>
                  <w:sz w:val="20"/>
                  <w:szCs w:val="20"/>
                  <w:u w:val="single"/>
                  <w:lang w:val="mk-MK"/>
                </w:rPr>
                <w:t>nadica.josifovski@mioa.gov.mk</w:t>
              </w:r>
            </w:hyperlink>
          </w:p>
          <w:p w:rsidR="008E3733" w:rsidRPr="00232275" w:rsidRDefault="00E6510B" w:rsidP="008E3733">
            <w:pPr>
              <w:spacing w:after="0" w:line="240" w:lineRule="auto"/>
              <w:rPr>
                <w:rFonts w:ascii="StobiSerif Regular" w:eastAsia="Calibri" w:hAnsi="StobiSerif Regular" w:cs="Times New Roman"/>
                <w:sz w:val="20"/>
                <w:szCs w:val="20"/>
              </w:rPr>
            </w:pPr>
            <w:hyperlink r:id="rId33" w:history="1">
              <w:r w:rsidR="008E3733" w:rsidRPr="00232275">
                <w:rPr>
                  <w:rFonts w:ascii="StobiSerif Regular" w:eastAsia="Calibri" w:hAnsi="StobiSerif Regular" w:cs="Times New Roman"/>
                  <w:sz w:val="20"/>
                  <w:szCs w:val="20"/>
                  <w:u w:val="single"/>
                  <w:lang w:val="mk-MK"/>
                </w:rPr>
                <w:t>vladimir.radosavljevik@mioa.gov.mk</w:t>
              </w:r>
            </w:hyperlink>
            <w:r w:rsidR="008E3733" w:rsidRPr="00232275">
              <w:rPr>
                <w:rFonts w:ascii="StobiSerif Regular" w:eastAsia="Calibri" w:hAnsi="StobiSerif Regular" w:cs="Times New Roman"/>
                <w:sz w:val="20"/>
                <w:szCs w:val="20"/>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+389(0)2 320-0870</w:t>
            </w:r>
          </w:p>
          <w:p w:rsidR="008E3733" w:rsidRPr="00232275" w:rsidRDefault="008E3733" w:rsidP="008E3733">
            <w:pPr>
              <w:spacing w:after="0" w:line="240" w:lineRule="auto"/>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+389(0)2 320-0878</w:t>
            </w:r>
            <w:r w:rsidRPr="00232275">
              <w:rPr>
                <w:rFonts w:ascii="StobiSerif Regular" w:eastAsia="Calibri" w:hAnsi="StobiSerif Regular" w:cs="Times New Roman"/>
                <w:sz w:val="20"/>
                <w:szCs w:val="20"/>
              </w:rPr>
              <w:t> </w:t>
            </w:r>
          </w:p>
        </w:tc>
      </w:tr>
      <w:tr w:rsidR="008E3733" w:rsidRPr="00232275" w:rsidTr="008E3733">
        <w:trPr>
          <w:trHeight w:val="429"/>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 xml:space="preserve">Министерство за информатичко општество и администрација </w:t>
            </w:r>
          </w:p>
          <w:p w:rsidR="008E3733" w:rsidRPr="00232275" w:rsidRDefault="008E3733" w:rsidP="008E3733">
            <w:pPr>
              <w:spacing w:after="0" w:line="240" w:lineRule="auto"/>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Органи и институции од јавниот сектор кои имаат објавено податочни сетови на порталот за отворени податоци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Calibri" w:hAnsi="StobiSerif Regular" w:cs="Times New Roman"/>
                <w:sz w:val="20"/>
                <w:szCs w:val="20"/>
                <w:lang w:val="en-GB"/>
              </w:rPr>
            </w:pPr>
            <w:r w:rsidRPr="00232275">
              <w:rPr>
                <w:rFonts w:ascii="StobiSerif Regular" w:eastAsia="Calibri" w:hAnsi="StobiSerif Regular" w:cs="Times New Roman"/>
                <w:sz w:val="20"/>
                <w:szCs w:val="20"/>
                <w:lang w:val="mk-MK"/>
              </w:rPr>
              <w:t>/</w:t>
            </w:r>
          </w:p>
          <w:p w:rsidR="008E3733" w:rsidRPr="00232275" w:rsidRDefault="008E3733" w:rsidP="008E3733">
            <w:pPr>
              <w:spacing w:after="0" w:line="240" w:lineRule="auto"/>
              <w:rPr>
                <w:rFonts w:ascii="StobiSerif Regular" w:eastAsia="Calibri"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AE5F56">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Calibri" w:hAnsi="StobiSerif Regular" w:cs="Times New Roman"/>
                <w:sz w:val="20"/>
                <w:szCs w:val="20"/>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Полесна идентификација и пронаоѓање на објавените податочни сетови директно од веб страните на институциите сопственици на податоците.</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lastRenderedPageBreak/>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MS Mincho" w:hAnsi="StobiSerif Regular" w:cs="Times New Roman"/>
                <w:sz w:val="20"/>
                <w:szCs w:val="20"/>
                <w:lang w:val="mk-MK"/>
              </w:rPr>
              <w:t>Секоја институција која објавува отворени податоци на порталот, да има посебна секција на својата веб страница за отворени податоци, каде ќе бидат излистани податочните сетови кои ги има објавено, со соодветен линк до централниот портал за отворени податоци.</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MS Mincho" w:hAnsi="StobiSerif Regular" w:cs="Times New Roman"/>
                <w:sz w:val="20"/>
                <w:szCs w:val="20"/>
                <w:lang w:val="mk-MK"/>
              </w:rPr>
              <w:t>Симулирајќи обичен граѓанин кој бара одредени податоци на порталите на државните институции (претпоставувајќи дека таму истите ќе смета дека може да ги најде), ќе се соочиме со ситуација граѓанинот да не успее да најде потребни податоци, иако истите се објавени на порталот за отворени податоци. Според тоа, потребно е секоја институција која објавува отворени податоци на порталот, да има посебна секција на својата веб страница за отворени податоци, каде ќе бидат излистани податочните сетови кои ги има објавено, со соодветен линк до централниот портал за отворени податоци.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Calibri" w:hAnsi="StobiSerif Regular" w:cs="Times New Roman"/>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Полесна идентификација и пронаоѓање на објавените податочни сетови директно од веб страните на институциите сопственици на податоците.</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 xml:space="preserve">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Со мерките од оваа заложба се придонесува кон  унапредување на пристапот</w:t>
            </w:r>
            <w:r w:rsidRPr="00232275">
              <w:rPr>
                <w:rFonts w:ascii="StobiSerif Regular" w:eastAsia="Calibri" w:hAnsi="StobiSerif Regular" w:cs="Times New Roman"/>
                <w:sz w:val="20"/>
                <w:szCs w:val="20"/>
              </w:rPr>
              <w:t xml:space="preserve"> </w:t>
            </w:r>
            <w:r w:rsidRPr="00232275">
              <w:rPr>
                <w:rFonts w:ascii="StobiSerif Regular" w:eastAsia="Calibri" w:hAnsi="StobiSerif Regular" w:cs="Times New Roman"/>
                <w:sz w:val="20"/>
                <w:szCs w:val="20"/>
                <w:lang w:val="mk-MK"/>
              </w:rPr>
              <w:t>и употребата податочни сетови на институциите сопственици на податоците.</w:t>
            </w:r>
          </w:p>
        </w:tc>
      </w:tr>
      <w:tr w:rsidR="008E3733" w:rsidRPr="00232275" w:rsidTr="00AE5F56">
        <w:trPr>
          <w:trHeight w:val="5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rPr>
            </w:pPr>
            <w:r w:rsidRPr="00232275">
              <w:rPr>
                <w:rFonts w:ascii="StobiSerif Regular" w:eastAsia="Calibri" w:hAnsi="StobiSerif Regular" w:cs="Times New Roman"/>
                <w:sz w:val="20"/>
                <w:szCs w:val="20"/>
                <w:lang w:val="mk-MK"/>
              </w:rPr>
              <w:t>Со имплементацијата на оваа мерка ќе се обезбеди сеопфатен пристап кон објавувањето и консумирањето на објавените податочни сетови. Со тоа ќе се елиминираат случаите на двојно објавени податочни сетови.</w:t>
            </w:r>
          </w:p>
        </w:tc>
      </w:tr>
      <w:tr w:rsidR="008E3733" w:rsidRPr="00232275" w:rsidTr="008E3733">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imes New Roman"/>
                <w:sz w:val="20"/>
                <w:szCs w:val="20"/>
                <w:lang w:val="mk-MK"/>
              </w:rPr>
            </w:pPr>
            <w:r w:rsidRPr="00232275">
              <w:rPr>
                <w:rFonts w:ascii="StobiSerif Regular" w:eastAsia="Calibri" w:hAnsi="StobiSerif Regular" w:cs="Times New Roman"/>
                <w:sz w:val="20"/>
                <w:szCs w:val="20"/>
                <w:lang w:val="mk-MK"/>
              </w:rPr>
              <w:t>Објавување на сите податочни сетови централно на порталот за отворени податоци, и поставување на директни линкови до тие податочни сетови на веб порталите на институциите сопственици на податоците.</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eastAsia="Calibri" w:hAnsi="StobiSerif Regular" w:cs="Tahoma"/>
                <w:sz w:val="16"/>
                <w:szCs w:val="16"/>
                <w:lang w:val="mk-MK"/>
              </w:rPr>
            </w:pPr>
            <w:r w:rsidRPr="00232275">
              <w:rPr>
                <w:rFonts w:ascii="StobiSerif Regular" w:eastAsia="Calibri" w:hAnsi="StobiSerif Regular" w:cs="Tahoma"/>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16"/>
                <w:szCs w:val="16"/>
                <w:lang w:val="mk-MK"/>
              </w:rPr>
            </w:pPr>
          </w:p>
        </w:tc>
      </w:tr>
      <w:tr w:rsidR="008E3733" w:rsidRPr="00232275" w:rsidTr="008E3733">
        <w:trPr>
          <w:trHeight w:val="547"/>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b/>
                <w:i/>
                <w:sz w:val="20"/>
                <w:szCs w:val="20"/>
                <w:lang w:val="mk-MK"/>
              </w:rPr>
              <w:t>2.5.1 Поставување на директни линкови на веб порталите на институциите сопственици на податоците до нивните податочни сетови објавени на порталот за отворени податоци</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eastAsia="Calibri" w:hAnsi="StobiSerif Regular" w:cs="Tahoma"/>
                <w:sz w:val="20"/>
                <w:szCs w:val="20"/>
                <w:lang w:val="mk-MK"/>
              </w:rPr>
            </w:pPr>
            <w:r w:rsidRPr="00232275">
              <w:rPr>
                <w:rFonts w:ascii="StobiSerif Regular" w:eastAsia="Calibri" w:hAnsi="StobiSerif Regular" w:cs="Times New Roman"/>
                <w:sz w:val="20"/>
                <w:szCs w:val="20"/>
              </w:rPr>
              <w:t xml:space="preserve">Започната е изработка на техничка спецификација за надградба на националниот портал за отворени податоци. На новиот портал ќе биде предвидена и можност за линкување на податочните сетови од институциите како и нивно директно прикачување на самата платформа со цел полесно пребарување и визуелизација од крајните корисници. </w:t>
            </w:r>
          </w:p>
        </w:tc>
      </w:tr>
    </w:tbl>
    <w:p w:rsidR="008E3733" w:rsidRDefault="008E3733" w:rsidP="008E3733">
      <w:pPr>
        <w:spacing w:line="240" w:lineRule="auto"/>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783"/>
        <w:gridCol w:w="5245"/>
      </w:tblGrid>
      <w:tr w:rsidR="008E3733" w:rsidRPr="00B4255C" w:rsidTr="008E3733">
        <w:trPr>
          <w:trHeight w:val="794"/>
        </w:trPr>
        <w:tc>
          <w:tcPr>
            <w:tcW w:w="9924" w:type="dxa"/>
            <w:gridSpan w:val="3"/>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B4255C" w:rsidRDefault="008E3733" w:rsidP="008E3733">
            <w:pPr>
              <w:keepNext/>
              <w:ind w:left="900"/>
              <w:outlineLvl w:val="0"/>
              <w:rPr>
                <w:rFonts w:ascii="StobiSerif Regular" w:eastAsia="Times New Roman" w:hAnsi="StobiSerif Regular" w:cs="Arial"/>
                <w:b/>
                <w:sz w:val="20"/>
                <w:szCs w:val="20"/>
              </w:rPr>
            </w:pPr>
            <w:r w:rsidRPr="00B4255C">
              <w:rPr>
                <w:rFonts w:ascii="StobiSerif Regular" w:eastAsia="Times New Roman" w:hAnsi="StobiSerif Regular" w:cs="Arial"/>
                <w:b/>
                <w:sz w:val="20"/>
                <w:szCs w:val="20"/>
              </w:rPr>
              <w:lastRenderedPageBreak/>
              <w:t xml:space="preserve">                                           </w:t>
            </w:r>
            <w:bookmarkStart w:id="26" w:name="_Toc453059109"/>
            <w:bookmarkStart w:id="27" w:name="_Toc453059201"/>
            <w:bookmarkStart w:id="28" w:name="_Toc453059247"/>
            <w:r w:rsidRPr="00B4255C">
              <w:rPr>
                <w:rFonts w:ascii="StobiSerif Regular" w:eastAsia="Calibri" w:hAnsi="StobiSerif Regular" w:cs="Arial"/>
                <w:b/>
                <w:sz w:val="20"/>
                <w:szCs w:val="20"/>
              </w:rPr>
              <w:t>3. СЛОБОДА НА ИНФОРМАЦИИ</w:t>
            </w:r>
            <w:bookmarkEnd w:id="26"/>
            <w:bookmarkEnd w:id="27"/>
            <w:bookmarkEnd w:id="28"/>
          </w:p>
        </w:tc>
      </w:tr>
      <w:tr w:rsidR="008E3733" w:rsidRPr="00B4255C"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B4255C" w:rsidRDefault="008E3733" w:rsidP="008E3733">
            <w:pPr>
              <w:keepNext/>
              <w:ind w:left="180"/>
              <w:jc w:val="center"/>
              <w:outlineLvl w:val="0"/>
              <w:rPr>
                <w:rFonts w:ascii="StobiSerif Regular" w:eastAsia="Times New Roman" w:hAnsi="StobiSerif Regular" w:cs="Arial"/>
                <w:b/>
                <w:sz w:val="20"/>
                <w:szCs w:val="20"/>
              </w:rPr>
            </w:pPr>
            <w:bookmarkStart w:id="29" w:name="_Toc453059110"/>
            <w:bookmarkStart w:id="30" w:name="_Toc453059202"/>
            <w:bookmarkStart w:id="31" w:name="_Toc453059248"/>
            <w:r w:rsidRPr="00B4255C">
              <w:rPr>
                <w:rFonts w:ascii="StobiSerif Regular" w:eastAsia="Calibri" w:hAnsi="StobiSerif Regular" w:cs="Arial"/>
                <w:b/>
                <w:sz w:val="20"/>
                <w:szCs w:val="20"/>
              </w:rPr>
              <w:t>3.1 Унапредување и олеснување на пристапот до информации</w:t>
            </w:r>
            <w:bookmarkEnd w:id="29"/>
            <w:bookmarkEnd w:id="30"/>
            <w:bookmarkEnd w:id="31"/>
            <w:r w:rsidRPr="00B4255C">
              <w:rPr>
                <w:rFonts w:ascii="StobiSerif Regular" w:eastAsia="Times New Roman" w:hAnsi="StobiSerif Regular" w:cs="Arial"/>
                <w:b/>
                <w:sz w:val="20"/>
                <w:szCs w:val="20"/>
              </w:rPr>
              <w:t xml:space="preserve"> </w:t>
            </w:r>
          </w:p>
        </w:tc>
      </w:tr>
      <w:tr w:rsidR="008E3733" w:rsidRPr="00B4255C" w:rsidTr="008E3733">
        <w:trPr>
          <w:trHeight w:val="546"/>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B4255C" w:rsidRDefault="008E3733" w:rsidP="00AE5F56">
            <w:pPr>
              <w:spacing w:after="0" w:line="240" w:lineRule="auto"/>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Почетен и краен датум на обврската </w:t>
            </w:r>
          </w:p>
          <w:p w:rsidR="008E3733" w:rsidRPr="00B4255C" w:rsidRDefault="008E3733" w:rsidP="00AE5F56">
            <w:pPr>
              <w:spacing w:after="0" w:line="240" w:lineRule="auto"/>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(07/2016–06/2018)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E3733" w:rsidRPr="00B4255C" w:rsidRDefault="008E3733" w:rsidP="00AE5F56">
            <w:pPr>
              <w:spacing w:after="0"/>
              <w:rPr>
                <w:rFonts w:ascii="StobiSerif Regular" w:eastAsia="Times New Roman" w:hAnsi="StobiSerif Regular" w:cs="Arial"/>
                <w:sz w:val="20"/>
                <w:szCs w:val="20"/>
              </w:rPr>
            </w:pPr>
          </w:p>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тековна обврска</w:t>
            </w:r>
          </w:p>
        </w:tc>
      </w:tr>
      <w:tr w:rsidR="008E3733" w:rsidRPr="00B4255C" w:rsidTr="008E3733">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Водечка институција за спроведување</w:t>
            </w:r>
          </w:p>
        </w:tc>
        <w:tc>
          <w:tcPr>
            <w:tcW w:w="5245" w:type="dxa"/>
            <w:tcBorders>
              <w:top w:val="nil"/>
              <w:left w:val="nil"/>
              <w:bottom w:val="single" w:sz="8" w:space="0" w:color="auto"/>
              <w:right w:val="single" w:sz="8" w:space="0" w:color="000000"/>
            </w:tcBorders>
            <w:shd w:val="clear" w:color="auto" w:fill="auto"/>
            <w:vAlign w:val="center"/>
          </w:tcPr>
          <w:p w:rsidR="008E3733" w:rsidRPr="00B4255C" w:rsidRDefault="008E3733" w:rsidP="00AE5F56">
            <w:pPr>
              <w:spacing w:after="0"/>
              <w:rPr>
                <w:rFonts w:ascii="StobiSerif Regular" w:eastAsia="Times New Roman" w:hAnsi="StobiSerif Regular" w:cs="Arial"/>
                <w:sz w:val="20"/>
                <w:szCs w:val="20"/>
              </w:rPr>
            </w:pPr>
            <w:r w:rsidRPr="00B4255C">
              <w:rPr>
                <w:rFonts w:ascii="StobiSerif Regular" w:eastAsia="Calibri" w:hAnsi="StobiSerif Regular" w:cs="Arial"/>
                <w:sz w:val="20"/>
                <w:szCs w:val="20"/>
              </w:rPr>
              <w:t>Комисија за заштита на правото за слободен пристап до информациите од јавен карактер</w:t>
            </w:r>
          </w:p>
        </w:tc>
      </w:tr>
      <w:tr w:rsidR="008E3733" w:rsidRPr="00B4255C" w:rsidTr="008E3733">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8E3733">
            <w:pPr>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Име на одговорно лице во институцијата за спроведување</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AE5F56">
            <w:pPr>
              <w:spacing w:after="0" w:line="240" w:lineRule="auto"/>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                  Оливер Серафимовски, координатор</w:t>
            </w:r>
          </w:p>
          <w:p w:rsidR="008E3733" w:rsidRPr="00B4255C" w:rsidRDefault="008E3733" w:rsidP="00AE5F56">
            <w:pPr>
              <w:spacing w:after="0" w:line="240" w:lineRule="auto"/>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               Цвета Трајковска, заменик координатор</w:t>
            </w:r>
          </w:p>
          <w:p w:rsidR="008E3733" w:rsidRPr="00B4255C" w:rsidRDefault="008E3733" w:rsidP="00AE5F56">
            <w:pPr>
              <w:spacing w:after="0" w:line="240" w:lineRule="auto"/>
              <w:ind w:left="720"/>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    Инџи Хоџа, заменик координатор </w:t>
            </w:r>
          </w:p>
        </w:tc>
      </w:tr>
      <w:tr w:rsidR="008E3733" w:rsidRPr="00B4255C"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Функција, Одделение</w:t>
            </w:r>
          </w:p>
          <w:p w:rsidR="008E3733" w:rsidRPr="00B4255C" w:rsidRDefault="008E3733" w:rsidP="00AE5F56">
            <w:pPr>
              <w:spacing w:after="0"/>
              <w:jc w:val="center"/>
              <w:rPr>
                <w:rFonts w:ascii="StobiSerif Regular" w:eastAsia="Times New Roman" w:hAnsi="StobiSerif Regular" w:cs="Arial"/>
                <w:sz w:val="20"/>
                <w:szCs w:val="20"/>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AE5F56">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Помлад соработник, Одделение за соработка  со имателите на информации и информирање на јавноста</w:t>
            </w:r>
          </w:p>
          <w:p w:rsidR="008E3733" w:rsidRPr="00B4255C" w:rsidRDefault="008E3733" w:rsidP="00AE5F56">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Раководител на Одделение за аналитика и едукација на барателите и имателите од јавен карактер</w:t>
            </w:r>
          </w:p>
          <w:p w:rsidR="008E3733" w:rsidRPr="00B4255C" w:rsidRDefault="008E3733" w:rsidP="00AE5F56">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Помлад соработник, Одделение за постапки по жалби, правни и општи работи</w:t>
            </w:r>
          </w:p>
        </w:tc>
      </w:tr>
      <w:tr w:rsidR="008E3733" w:rsidRPr="00B4255C"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Email</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E6510B" w:rsidP="00AE5F56">
            <w:pPr>
              <w:spacing w:after="0"/>
              <w:rPr>
                <w:rFonts w:ascii="StobiSerif Regular" w:eastAsia="Calibri" w:hAnsi="StobiSerif Regular" w:cs="Arial"/>
                <w:sz w:val="20"/>
                <w:szCs w:val="20"/>
              </w:rPr>
            </w:pPr>
            <w:hyperlink r:id="rId34" w:history="1">
              <w:r w:rsidR="008E3733" w:rsidRPr="00B4255C">
                <w:rPr>
                  <w:rFonts w:ascii="StobiSerif Regular" w:eastAsia="Calibri" w:hAnsi="StobiSerif Regular" w:cs="Arial"/>
                  <w:sz w:val="20"/>
                  <w:szCs w:val="20"/>
                  <w:u w:val="single"/>
                </w:rPr>
                <w:t>oliverserafimovski@komspi.mk</w:t>
              </w:r>
            </w:hyperlink>
          </w:p>
          <w:p w:rsidR="008E3733" w:rsidRPr="00B4255C" w:rsidRDefault="00E6510B" w:rsidP="00AE5F56">
            <w:pPr>
              <w:spacing w:after="0"/>
              <w:rPr>
                <w:rFonts w:ascii="StobiSerif Regular" w:eastAsia="Calibri" w:hAnsi="StobiSerif Regular" w:cs="Arial"/>
                <w:sz w:val="20"/>
                <w:szCs w:val="20"/>
              </w:rPr>
            </w:pPr>
            <w:hyperlink r:id="rId35" w:history="1">
              <w:r w:rsidR="008E3733" w:rsidRPr="00B4255C">
                <w:rPr>
                  <w:rFonts w:ascii="StobiSerif Regular" w:eastAsia="Calibri" w:hAnsi="StobiSerif Regular" w:cs="Arial"/>
                  <w:sz w:val="20"/>
                  <w:szCs w:val="20"/>
                  <w:u w:val="single"/>
                </w:rPr>
                <w:t>cveta@komspi.mk</w:t>
              </w:r>
            </w:hyperlink>
          </w:p>
          <w:p w:rsidR="008E3733" w:rsidRPr="00B4255C" w:rsidRDefault="00E6510B" w:rsidP="00AE5F56">
            <w:pPr>
              <w:spacing w:after="0"/>
              <w:rPr>
                <w:rFonts w:ascii="StobiSerif Regular" w:eastAsia="Calibri" w:hAnsi="StobiSerif Regular" w:cs="Arial"/>
                <w:sz w:val="20"/>
                <w:szCs w:val="20"/>
              </w:rPr>
            </w:pPr>
            <w:hyperlink r:id="rId36" w:history="1">
              <w:r w:rsidR="008E3733" w:rsidRPr="00B4255C">
                <w:rPr>
                  <w:rFonts w:ascii="StobiSerif Regular" w:eastAsia="Calibri" w:hAnsi="StobiSerif Regular" w:cs="Arial"/>
                  <w:sz w:val="20"/>
                  <w:szCs w:val="20"/>
                  <w:u w:val="single"/>
                </w:rPr>
                <w:t>inxhihoxha@komspi.mk</w:t>
              </w:r>
            </w:hyperlink>
          </w:p>
        </w:tc>
      </w:tr>
      <w:tr w:rsidR="008E3733" w:rsidRPr="00B4255C"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B4255C" w:rsidRDefault="008E3733" w:rsidP="008E3733">
            <w:pPr>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Телефон</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8E3733">
            <w:pP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02/3118-038</w:t>
            </w:r>
          </w:p>
        </w:tc>
      </w:tr>
      <w:tr w:rsidR="008E3733" w:rsidRPr="00B4255C" w:rsidTr="008E3733">
        <w:trPr>
          <w:trHeight w:val="443"/>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Други вклучени субјекти</w:t>
            </w:r>
          </w:p>
          <w:p w:rsidR="008E3733" w:rsidRPr="00B4255C" w:rsidRDefault="008E3733" w:rsidP="00AE5F56">
            <w:pPr>
              <w:spacing w:after="0"/>
              <w:jc w:val="center"/>
              <w:rPr>
                <w:rFonts w:ascii="StobiSerif Regular" w:eastAsia="Times New Roman" w:hAnsi="StobiSerif Regular" w:cs="Arial"/>
                <w:sz w:val="20"/>
                <w:szCs w:val="20"/>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AE5F56">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Органи на државна управа, самостојни органи на државна управа</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B4255C" w:rsidRDefault="008E3733" w:rsidP="00B06E2A">
            <w:pPr>
              <w:spacing w:after="0" w:line="240" w:lineRule="auto"/>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Комисија за заштита на правото за слободен пристап до информациите од јавен карактер</w:t>
            </w:r>
          </w:p>
        </w:tc>
      </w:tr>
      <w:tr w:rsidR="008E3733" w:rsidRPr="00B4255C" w:rsidTr="008E3733">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B06E2A">
            <w:pPr>
              <w:spacing w:line="240" w:lineRule="auto"/>
              <w:rPr>
                <w:rFonts w:ascii="StobiSerif Regular" w:eastAsia="Times New Roman" w:hAnsi="StobiSerif Regular" w:cs="Arial"/>
                <w:sz w:val="20"/>
                <w:szCs w:val="20"/>
              </w:rPr>
            </w:pPr>
          </w:p>
        </w:tc>
      </w:tr>
      <w:tr w:rsidR="008E3733" w:rsidRPr="00B4255C" w:rsidTr="008E3733">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B06E2A">
            <w:pPr>
              <w:spacing w:line="240" w:lineRule="auto"/>
              <w:rPr>
                <w:rFonts w:ascii="StobiSerif Regular" w:eastAsia="Times New Roman" w:hAnsi="StobiSerif Regular" w:cs="Arial"/>
                <w:sz w:val="20"/>
                <w:szCs w:val="20"/>
              </w:rPr>
            </w:pPr>
          </w:p>
        </w:tc>
      </w:tr>
      <w:tr w:rsidR="008E3733" w:rsidRPr="00B4255C" w:rsidTr="008E3733">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B06E2A">
            <w:pPr>
              <w:spacing w:line="240" w:lineRule="auto"/>
              <w:rPr>
                <w:rFonts w:ascii="StobiSerif Regular" w:eastAsia="Times New Roman" w:hAnsi="StobiSerif Regular" w:cs="Arial"/>
                <w:sz w:val="20"/>
                <w:szCs w:val="20"/>
              </w:rPr>
            </w:pPr>
          </w:p>
        </w:tc>
      </w:tr>
      <w:tr w:rsidR="008E3733" w:rsidRPr="00B4255C" w:rsidTr="00B06E2A">
        <w:trPr>
          <w:trHeight w:val="44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B06E2A">
            <w:pPr>
              <w:spacing w:line="240" w:lineRule="auto"/>
              <w:rPr>
                <w:rFonts w:ascii="StobiSerif Regular" w:eastAsia="Times New Roman" w:hAnsi="StobiSerif Regular" w:cs="Arial"/>
                <w:sz w:val="20"/>
                <w:szCs w:val="20"/>
              </w:rPr>
            </w:pPr>
          </w:p>
        </w:tc>
      </w:tr>
      <w:tr w:rsidR="008E3733" w:rsidRPr="00B4255C" w:rsidTr="008E3733">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Невладин сектор, деловни субјекти, синдикати, стопански комори, здруженија и фондации </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B4255C" w:rsidRDefault="008E3733" w:rsidP="00B06E2A">
            <w:pPr>
              <w:spacing w:line="240" w:lineRule="auto"/>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Центар за граѓански комуникации, Здружение за еманципација, солидарност и еднаквост на жените (ЕСЕ) и Фондација отворено општество-Македонија</w:t>
            </w:r>
          </w:p>
        </w:tc>
      </w:tr>
      <w:tr w:rsidR="008E3733" w:rsidRPr="00B4255C"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8E3733">
            <w:pPr>
              <w:rPr>
                <w:rFonts w:ascii="StobiSerif Regular" w:eastAsia="Times New Roman" w:hAnsi="StobiSerif Regular" w:cs="Arial"/>
                <w:sz w:val="20"/>
                <w:szCs w:val="20"/>
              </w:rPr>
            </w:pPr>
          </w:p>
        </w:tc>
      </w:tr>
      <w:tr w:rsidR="008E3733" w:rsidRPr="00B4255C"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8E3733">
            <w:pPr>
              <w:rPr>
                <w:rFonts w:ascii="StobiSerif Regular" w:eastAsia="Times New Roman" w:hAnsi="StobiSerif Regular" w:cs="Arial"/>
                <w:sz w:val="20"/>
                <w:szCs w:val="20"/>
              </w:rPr>
            </w:pPr>
          </w:p>
        </w:tc>
      </w:tr>
      <w:tr w:rsidR="008E3733" w:rsidRPr="00B4255C"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8E3733">
            <w:pPr>
              <w:rPr>
                <w:rFonts w:ascii="StobiSerif Regular" w:eastAsia="Times New Roman" w:hAnsi="StobiSerif Regular" w:cs="Arial"/>
                <w:sz w:val="20"/>
                <w:szCs w:val="20"/>
              </w:rPr>
            </w:pPr>
          </w:p>
        </w:tc>
      </w:tr>
      <w:tr w:rsidR="008E3733" w:rsidRPr="00B4255C" w:rsidTr="00B06E2A">
        <w:trPr>
          <w:trHeight w:val="44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B4255C" w:rsidRDefault="008E3733" w:rsidP="008E3733">
            <w:pPr>
              <w:rPr>
                <w:rFonts w:ascii="StobiSerif Regular" w:eastAsia="Times New Roman" w:hAnsi="StobiSerif Regular" w:cs="Arial"/>
                <w:sz w:val="20"/>
                <w:szCs w:val="20"/>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B4255C" w:rsidRDefault="008E3733" w:rsidP="008E3733">
            <w:pPr>
              <w:rPr>
                <w:rFonts w:ascii="StobiSerif Regular" w:eastAsia="Times New Roman" w:hAnsi="StobiSerif Regular" w:cs="Arial"/>
                <w:sz w:val="20"/>
                <w:szCs w:val="20"/>
              </w:rPr>
            </w:pPr>
          </w:p>
        </w:tc>
      </w:tr>
      <w:tr w:rsidR="008E3733" w:rsidRPr="00B4255C" w:rsidTr="008E3733">
        <w:trPr>
          <w:trHeight w:val="283"/>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Состојба или проблем што се опфаќа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Ограничениот пристап до информациите од јавен карактер, односно молкот на имателите на информации, поради  непостапувањето  на  имателите  на  информации по  барањата  за слободен  пристап  до  информации  од  јавен  карактер  во  законски предвидениот рок од 30, односно 40 дена, е главната причина за неимплементирање на Законот за СПИЈК, граѓаните се </w:t>
            </w:r>
            <w:r w:rsidRPr="00B4255C">
              <w:rPr>
                <w:rFonts w:ascii="StobiSerif Regular" w:eastAsia="Times New Roman" w:hAnsi="StobiSerif Regular" w:cs="Arial"/>
                <w:sz w:val="20"/>
                <w:szCs w:val="20"/>
              </w:rPr>
              <w:lastRenderedPageBreak/>
              <w:t>недоволно информирани за нивното загарантирано право на пристап до информации од јавен карактер. Имателите на информации од јавен карактер, како главни чинители за спроведување на заложбите, сеуште не се доволно транспарентни во своето работење, со тоа што информациите со кои располагаат не ги објавуваат на своите веб локации, со што документите кои ги поседуваат не се во целост достапни до граѓаните, односно барателите на информации од јавен карактер. Граѓанскиот сектор своите активности ги насочува кон подобрување  на имплементацијата на Законот за СПИЈК, анализирајќи го проактивното објавување на информациите од јавен карактер на веб локациите на имателите, развивајќи и спроведувајќи кампањи и обуки за граѓаните, промовирајќи го правото на слободен пристап до информациите од јавен карактер.</w:t>
            </w:r>
          </w:p>
        </w:tc>
      </w:tr>
      <w:tr w:rsidR="008E3733" w:rsidRPr="00B4255C"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lastRenderedPageBreak/>
              <w:t>Главна цел</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Афирмирање и унапредување на пристапот до информации од јавен карактер преку соработка и заедничка промоција на правото за пристап до информации, поддржано од владиниот и граѓанскиот сектор.   </w:t>
            </w:r>
          </w:p>
        </w:tc>
      </w:tr>
      <w:tr w:rsidR="008E3733" w:rsidRPr="00B4255C" w:rsidTr="008E3733">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Кус опис на обврската</w:t>
            </w:r>
          </w:p>
          <w:p w:rsidR="008E3733" w:rsidRPr="00B4255C" w:rsidRDefault="008E3733" w:rsidP="00B06E2A">
            <w:pPr>
              <w:spacing w:after="0"/>
              <w:jc w:val="center"/>
              <w:rPr>
                <w:rFonts w:ascii="StobiSerif Regular" w:eastAsia="Times New Roman" w:hAnsi="StobiSerif Regular" w:cs="Arial"/>
                <w:sz w:val="20"/>
                <w:szCs w:val="20"/>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Подобрување на пристапот до информациите преку проактивно објавување на информациите од јавен карактер, преземање на мерки за зголемување на пристап до информациите од јавен карактер, информираноста на граѓаните, како и подобрување на Законот за СПИЈК се клучни фактори за имплементација на законот и уставното загарантирано право (член 16 од Уставот на Република Македонија)</w:t>
            </w:r>
          </w:p>
        </w:tc>
      </w:tr>
      <w:tr w:rsidR="008E3733" w:rsidRPr="00B4255C"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ОВП предизвик опфатен со обврската</w:t>
            </w:r>
          </w:p>
          <w:p w:rsidR="008E3733" w:rsidRPr="00B4255C" w:rsidRDefault="008E3733" w:rsidP="00B06E2A">
            <w:pPr>
              <w:spacing w:after="0"/>
              <w:jc w:val="center"/>
              <w:rPr>
                <w:rFonts w:ascii="StobiSerif Regular" w:eastAsia="Times New Roman" w:hAnsi="StobiSerif Regular" w:cs="Arial"/>
                <w:sz w:val="20"/>
                <w:szCs w:val="20"/>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Подобра имплементација на Законот за слободен пристап до информации од јавен карактер со активно вклучување на имателите на информации и граѓаните.</w:t>
            </w:r>
          </w:p>
        </w:tc>
      </w:tr>
      <w:tr w:rsidR="008E3733" w:rsidRPr="00B4255C"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Поврзаност со Глобалните цели за одржлив развој</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 xml:space="preserve">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8E3733" w:rsidRPr="00B4255C" w:rsidTr="008E3733">
        <w:trPr>
          <w:trHeight w:val="284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Важност</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Добрата практика на соработката помеѓу имателите на информации од јавен карактер и граѓанскиот сектор е клучна за добро владеење и претставува важен фактор за транспарентно работење и имплементирање на правото за слободен пристап до информации од јавен карактер. Афирмирањето и унапредувањето на воспоставените практики и процедури за креирање на политики во врска со пристапот до информации од јавен карактер поддржани од имателите на информации и граѓанскиот сектор претставуваат основа за унапредување на транспарентноста и одговорноста на Комисијата за ЗПСПИЈК и имателите на информации пред јавноста.</w:t>
            </w:r>
          </w:p>
        </w:tc>
      </w:tr>
      <w:tr w:rsidR="008E3733" w:rsidRPr="00B4255C" w:rsidTr="008E3733">
        <w:trPr>
          <w:trHeight w:val="6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B4255C" w:rsidRDefault="008E3733" w:rsidP="00B06E2A">
            <w:pPr>
              <w:spacing w:after="0"/>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lastRenderedPageBreak/>
              <w:t>Амбиција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B4255C" w:rsidRDefault="008E3733" w:rsidP="00B06E2A">
            <w:pPr>
              <w:spacing w:after="0" w:line="240" w:lineRule="auto"/>
              <w:jc w:val="both"/>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Соработката со имателите на информации и граѓанскиот сектор придонесуваат кон подобра имплементација на Законот, транспарентност, отвореност и отчетност на институциите за нивното функционирање, градење на меѓусебната доверба, развивање на квалитетот на демократијата. Со овие мерки се очекува во период од две години да се подобри имплементацијата на Законот, да се зголеми бројот на граѓани кои го оствариле правото на слободен пристап до информации од јавен карактер и бројот на институции кои го спровеле Законот.</w:t>
            </w:r>
          </w:p>
        </w:tc>
      </w:tr>
    </w:tbl>
    <w:tbl>
      <w:tblPr>
        <w:tblStyle w:val="TableGrid"/>
        <w:tblW w:w="9903" w:type="dxa"/>
        <w:tblInd w:w="-318" w:type="dxa"/>
        <w:shd w:val="clear" w:color="auto" w:fill="FFFFFF"/>
        <w:tblLayout w:type="fixed"/>
        <w:tblLook w:val="04A0" w:firstRow="1" w:lastRow="0" w:firstColumn="1" w:lastColumn="0" w:noHBand="0" w:noVBand="1"/>
      </w:tblPr>
      <w:tblGrid>
        <w:gridCol w:w="4566"/>
        <w:gridCol w:w="1417"/>
        <w:gridCol w:w="1276"/>
        <w:gridCol w:w="1400"/>
        <w:gridCol w:w="1235"/>
        <w:gridCol w:w="9"/>
      </w:tblGrid>
      <w:tr w:rsidR="008E3733" w:rsidRPr="00B4255C" w:rsidTr="00AE5F56">
        <w:trPr>
          <w:gridAfter w:val="1"/>
          <w:wAfter w:w="9" w:type="dxa"/>
          <w:trHeight w:val="435"/>
        </w:trPr>
        <w:tc>
          <w:tcPr>
            <w:tcW w:w="4566" w:type="dxa"/>
            <w:vMerge w:val="restart"/>
            <w:shd w:val="clear" w:color="auto" w:fill="FFFFFF"/>
          </w:tcPr>
          <w:p w:rsidR="008E3733" w:rsidRPr="00B4255C" w:rsidRDefault="008E3733" w:rsidP="008E3733">
            <w:pPr>
              <w:rPr>
                <w:rFonts w:ascii="StobiSerif Regular" w:eastAsia="Calibri" w:hAnsi="StobiSerif Regular" w:cs="Arial"/>
                <w:sz w:val="20"/>
                <w:szCs w:val="20"/>
              </w:rPr>
            </w:pPr>
            <w:bookmarkStart w:id="32" w:name="_Hlk503341738"/>
          </w:p>
          <w:p w:rsidR="008E3733" w:rsidRPr="00B4255C" w:rsidRDefault="008E3733" w:rsidP="008E3733">
            <w:pPr>
              <w:rPr>
                <w:rFonts w:ascii="StobiSerif Regular" w:eastAsia="Calibri" w:hAnsi="StobiSerif Regular" w:cs="Arial"/>
                <w:sz w:val="20"/>
                <w:szCs w:val="20"/>
              </w:rPr>
            </w:pPr>
            <w:r w:rsidRPr="00B4255C">
              <w:rPr>
                <w:rFonts w:ascii="StobiSerif Regular" w:eastAsia="Calibri" w:hAnsi="StobiSerif Regular" w:cs="Arial"/>
                <w:sz w:val="20"/>
                <w:szCs w:val="20"/>
              </w:rPr>
              <w:t>Статус на реализација на заложба</w:t>
            </w:r>
          </w:p>
          <w:p w:rsidR="008E3733" w:rsidRPr="00B4255C" w:rsidRDefault="008E3733" w:rsidP="008E3733">
            <w:pPr>
              <w:rPr>
                <w:rFonts w:ascii="StobiSerif Regular" w:eastAsia="Calibri" w:hAnsi="StobiSerif Regular" w:cs="Arial"/>
                <w:sz w:val="20"/>
                <w:szCs w:val="20"/>
              </w:rPr>
            </w:pPr>
          </w:p>
        </w:tc>
        <w:tc>
          <w:tcPr>
            <w:tcW w:w="1417" w:type="dxa"/>
            <w:shd w:val="clear" w:color="auto" w:fill="FFFFFF"/>
          </w:tcPr>
          <w:p w:rsidR="008E3733" w:rsidRPr="00B4255C" w:rsidRDefault="008E3733" w:rsidP="008E3733">
            <w:pPr>
              <w:rPr>
                <w:rFonts w:ascii="StobiSerif Regular" w:eastAsia="Calibri" w:hAnsi="StobiSerif Regular" w:cs="Arial"/>
                <w:sz w:val="16"/>
                <w:szCs w:val="16"/>
              </w:rPr>
            </w:pPr>
            <w:r w:rsidRPr="00B4255C">
              <w:rPr>
                <w:rFonts w:ascii="StobiSerif Regular" w:eastAsia="Calibri" w:hAnsi="StobiSerif Regular" w:cs="Arial"/>
                <w:sz w:val="16"/>
                <w:szCs w:val="16"/>
              </w:rPr>
              <w:t>незапочнато</w:t>
            </w:r>
          </w:p>
        </w:tc>
        <w:tc>
          <w:tcPr>
            <w:tcW w:w="1276" w:type="dxa"/>
            <w:shd w:val="clear" w:color="auto" w:fill="FFFFFF"/>
          </w:tcPr>
          <w:p w:rsidR="008E3733" w:rsidRPr="00B4255C" w:rsidRDefault="008E3733" w:rsidP="008E3733">
            <w:pPr>
              <w:rPr>
                <w:rFonts w:ascii="StobiSerif Regular" w:eastAsia="Calibri" w:hAnsi="StobiSerif Regular" w:cs="Arial"/>
                <w:sz w:val="16"/>
                <w:szCs w:val="16"/>
              </w:rPr>
            </w:pPr>
            <w:r w:rsidRPr="00B4255C">
              <w:rPr>
                <w:rFonts w:ascii="StobiSerif Regular" w:eastAsia="Calibri" w:hAnsi="StobiSerif Regular" w:cs="Arial"/>
                <w:sz w:val="16"/>
                <w:szCs w:val="16"/>
              </w:rPr>
              <w:t>ограничено</w:t>
            </w:r>
          </w:p>
        </w:tc>
        <w:tc>
          <w:tcPr>
            <w:tcW w:w="1400" w:type="dxa"/>
            <w:tcBorders>
              <w:bottom w:val="single" w:sz="4" w:space="0" w:color="auto"/>
            </w:tcBorders>
            <w:shd w:val="clear" w:color="auto" w:fill="FFFFFF"/>
          </w:tcPr>
          <w:p w:rsidR="008E3733" w:rsidRPr="00B4255C" w:rsidRDefault="008E3733" w:rsidP="008E3733">
            <w:pPr>
              <w:rPr>
                <w:rFonts w:ascii="StobiSerif Regular" w:eastAsia="Calibri" w:hAnsi="StobiSerif Regular" w:cs="Arial"/>
                <w:sz w:val="16"/>
                <w:szCs w:val="16"/>
              </w:rPr>
            </w:pPr>
            <w:r w:rsidRPr="00B4255C">
              <w:rPr>
                <w:rFonts w:ascii="StobiSerif Regular" w:eastAsia="Calibri" w:hAnsi="StobiSerif Regular" w:cs="Arial"/>
                <w:sz w:val="16"/>
                <w:szCs w:val="16"/>
              </w:rPr>
              <w:t>значително</w:t>
            </w:r>
          </w:p>
        </w:tc>
        <w:tc>
          <w:tcPr>
            <w:tcW w:w="1235" w:type="dxa"/>
            <w:shd w:val="clear" w:color="auto" w:fill="FFFFFF"/>
          </w:tcPr>
          <w:p w:rsidR="008E3733" w:rsidRPr="00B4255C" w:rsidRDefault="00AE5F56" w:rsidP="008E3733">
            <w:pPr>
              <w:rPr>
                <w:rFonts w:ascii="StobiSerif Regular" w:eastAsia="Calibri" w:hAnsi="StobiSerif Regular" w:cs="Arial"/>
                <w:sz w:val="16"/>
                <w:szCs w:val="16"/>
              </w:rPr>
            </w:pPr>
            <w:r>
              <w:rPr>
                <w:rFonts w:ascii="StobiSerif Regular" w:eastAsia="Calibri" w:hAnsi="StobiSerif Regular" w:cs="Arial"/>
                <w:sz w:val="16"/>
                <w:szCs w:val="16"/>
                <w:lang w:val="mk-MK"/>
              </w:rPr>
              <w:t>з</w:t>
            </w:r>
            <w:r w:rsidR="008E3733" w:rsidRPr="00B4255C">
              <w:rPr>
                <w:rFonts w:ascii="StobiSerif Regular" w:eastAsia="Calibri" w:hAnsi="StobiSerif Regular" w:cs="Arial"/>
                <w:sz w:val="16"/>
                <w:szCs w:val="16"/>
              </w:rPr>
              <w:t>авршено</w:t>
            </w:r>
          </w:p>
        </w:tc>
      </w:tr>
      <w:tr w:rsidR="008E3733" w:rsidRPr="00B4255C" w:rsidTr="00AE5F56">
        <w:trPr>
          <w:trHeight w:val="252"/>
        </w:trPr>
        <w:tc>
          <w:tcPr>
            <w:tcW w:w="4566" w:type="dxa"/>
            <w:vMerge/>
            <w:shd w:val="clear" w:color="auto" w:fill="FFFFFF"/>
          </w:tcPr>
          <w:p w:rsidR="008E3733" w:rsidRPr="00B4255C" w:rsidRDefault="008E3733" w:rsidP="008E3733">
            <w:pPr>
              <w:rPr>
                <w:rFonts w:ascii="StobiSerif Regular" w:eastAsia="Calibri" w:hAnsi="StobiSerif Regular" w:cs="Arial"/>
                <w:sz w:val="20"/>
                <w:szCs w:val="20"/>
              </w:rPr>
            </w:pPr>
          </w:p>
        </w:tc>
        <w:tc>
          <w:tcPr>
            <w:tcW w:w="1417" w:type="dxa"/>
            <w:shd w:val="clear" w:color="auto" w:fill="FFFFFF"/>
          </w:tcPr>
          <w:p w:rsidR="008E3733" w:rsidRPr="00B4255C" w:rsidRDefault="008E3733" w:rsidP="008E3733">
            <w:pPr>
              <w:rPr>
                <w:rFonts w:ascii="StobiSerif Regular" w:eastAsia="Calibri" w:hAnsi="StobiSerif Regular" w:cs="Arial"/>
                <w:sz w:val="20"/>
                <w:szCs w:val="20"/>
              </w:rPr>
            </w:pPr>
          </w:p>
        </w:tc>
        <w:tc>
          <w:tcPr>
            <w:tcW w:w="1276" w:type="dxa"/>
            <w:shd w:val="clear" w:color="auto" w:fill="FFFFFF"/>
          </w:tcPr>
          <w:p w:rsidR="008E3733" w:rsidRPr="00B4255C" w:rsidRDefault="008E3733" w:rsidP="008E3733">
            <w:pPr>
              <w:rPr>
                <w:rFonts w:ascii="StobiSerif Regular" w:eastAsia="Calibri" w:hAnsi="StobiSerif Regular" w:cs="Arial"/>
                <w:sz w:val="20"/>
                <w:szCs w:val="20"/>
              </w:rPr>
            </w:pPr>
          </w:p>
        </w:tc>
        <w:tc>
          <w:tcPr>
            <w:tcW w:w="1400" w:type="dxa"/>
            <w:tcBorders>
              <w:bottom w:val="nil"/>
            </w:tcBorders>
            <w:shd w:val="clear" w:color="auto" w:fill="FFFFFF"/>
          </w:tcPr>
          <w:p w:rsidR="008E3733" w:rsidRPr="00B4255C" w:rsidRDefault="008E3733" w:rsidP="008E3733">
            <w:pPr>
              <w:rPr>
                <w:rFonts w:ascii="StobiSerif Regular" w:eastAsia="Calibri" w:hAnsi="StobiSerif Regular" w:cs="Arial"/>
                <w:sz w:val="20"/>
                <w:szCs w:val="20"/>
              </w:rPr>
            </w:pPr>
          </w:p>
        </w:tc>
        <w:tc>
          <w:tcPr>
            <w:tcW w:w="1244" w:type="dxa"/>
            <w:gridSpan w:val="2"/>
            <w:tcBorders>
              <w:top w:val="nil"/>
              <w:bottom w:val="nil"/>
            </w:tcBorders>
            <w:shd w:val="clear" w:color="auto" w:fill="4F81BD"/>
          </w:tcPr>
          <w:p w:rsidR="008E3733" w:rsidRPr="00B4255C" w:rsidRDefault="008E3733" w:rsidP="008E3733">
            <w:pPr>
              <w:rPr>
                <w:rFonts w:ascii="StobiSerif Regular" w:eastAsia="Calibri" w:hAnsi="StobiSerif Regular" w:cs="Arial"/>
                <w:sz w:val="20"/>
                <w:szCs w:val="20"/>
              </w:rPr>
            </w:pPr>
          </w:p>
        </w:tc>
      </w:tr>
      <w:tr w:rsidR="008E3733" w:rsidRPr="00B4255C" w:rsidTr="00AE5F56">
        <w:trPr>
          <w:gridAfter w:val="1"/>
          <w:wAfter w:w="9" w:type="dxa"/>
          <w:trHeight w:val="597"/>
        </w:trPr>
        <w:tc>
          <w:tcPr>
            <w:tcW w:w="4566" w:type="dxa"/>
            <w:shd w:val="clear" w:color="auto" w:fill="DBE5F1"/>
          </w:tcPr>
          <w:p w:rsidR="008E3733" w:rsidRPr="00B4255C" w:rsidRDefault="008E3733" w:rsidP="008E3733">
            <w:pPr>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Назив на достигнување</w:t>
            </w:r>
          </w:p>
          <w:p w:rsidR="008E3733" w:rsidRPr="00B4255C" w:rsidRDefault="008E3733" w:rsidP="008E3733">
            <w:pPr>
              <w:jc w:val="center"/>
              <w:rPr>
                <w:rFonts w:ascii="StobiSerif Regular" w:eastAsia="Times New Roman" w:hAnsi="StobiSerif Regular" w:cs="Arial"/>
                <w:sz w:val="20"/>
                <w:szCs w:val="20"/>
              </w:rPr>
            </w:pPr>
          </w:p>
        </w:tc>
        <w:tc>
          <w:tcPr>
            <w:tcW w:w="5328" w:type="dxa"/>
            <w:gridSpan w:val="4"/>
            <w:tcBorders>
              <w:top w:val="single" w:sz="4" w:space="0" w:color="auto"/>
            </w:tcBorders>
            <w:shd w:val="clear" w:color="auto" w:fill="DBE5F1"/>
          </w:tcPr>
          <w:p w:rsidR="008E3733" w:rsidRPr="00B4255C" w:rsidRDefault="008E3733" w:rsidP="008E3733">
            <w:pPr>
              <w:jc w:val="center"/>
              <w:rPr>
                <w:rFonts w:ascii="StobiSerif Regular" w:eastAsia="Times New Roman" w:hAnsi="StobiSerif Regular" w:cs="Arial"/>
                <w:sz w:val="20"/>
                <w:szCs w:val="20"/>
              </w:rPr>
            </w:pPr>
            <w:r w:rsidRPr="00B4255C">
              <w:rPr>
                <w:rFonts w:ascii="StobiSerif Regular" w:eastAsia="Times New Roman" w:hAnsi="StobiSerif Regular" w:cs="Arial"/>
                <w:sz w:val="20"/>
                <w:szCs w:val="20"/>
              </w:rPr>
              <w:t>Кус опис на превземени активности и постигнати резултати по достигнување</w:t>
            </w:r>
          </w:p>
        </w:tc>
      </w:tr>
      <w:bookmarkEnd w:id="32"/>
      <w:tr w:rsidR="008E3733" w:rsidRPr="00B4255C" w:rsidTr="00AE5F56">
        <w:trPr>
          <w:gridAfter w:val="1"/>
          <w:wAfter w:w="9" w:type="dxa"/>
          <w:trHeight w:val="983"/>
        </w:trPr>
        <w:tc>
          <w:tcPr>
            <w:tcW w:w="4566" w:type="dxa"/>
            <w:shd w:val="clear" w:color="auto" w:fill="FFFFFF"/>
            <w:vAlign w:val="center"/>
          </w:tcPr>
          <w:p w:rsidR="008E3733" w:rsidRPr="00B4255C" w:rsidRDefault="008E3733" w:rsidP="008E3733">
            <w:pPr>
              <w:jc w:val="both"/>
              <w:rPr>
                <w:rFonts w:ascii="StobiSerif Regular" w:eastAsia="Calibri" w:hAnsi="StobiSerif Regular" w:cs="Arial"/>
                <w:b/>
                <w:sz w:val="20"/>
                <w:szCs w:val="20"/>
              </w:rPr>
            </w:pPr>
            <w:r w:rsidRPr="00B4255C">
              <w:rPr>
                <w:rFonts w:ascii="StobiSerif Regular" w:eastAsia="Calibri" w:hAnsi="StobiSerif Regular" w:cs="Arial"/>
                <w:b/>
                <w:sz w:val="20"/>
                <w:szCs w:val="20"/>
              </w:rPr>
              <w:t>3.1.1.Проактивно објавување на информации од јавен карактер</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-Подготовка на Упатство за проактивност на објавување на информации од јавен карактер</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-Препорака за проактивност подготвена од Комисијата за заштита на правото за слободен пристап до информации од јавен карактер</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-Објавување на веќе побарани/дадени информации од јавен карактер на нивните веб локации</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-Промовирање на електронското поднесување на барањата за пристап до информациите од јавен карактер</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-Индекс на следење на проактивност за објавување на информации од јавен карактер на веб локациите на имателите</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b/>
                <w:sz w:val="20"/>
                <w:szCs w:val="20"/>
              </w:rPr>
            </w:pPr>
            <w:r w:rsidRPr="00B4255C">
              <w:rPr>
                <w:rFonts w:ascii="StobiSerif Regular" w:eastAsia="Calibri" w:hAnsi="StobiSerif Regular" w:cs="Arial"/>
                <w:b/>
                <w:sz w:val="20"/>
                <w:szCs w:val="20"/>
              </w:rPr>
              <w:t>3.1.3. Развивање и спроведување на медиумска кампања за промоција на правото за слободен пристап до информации од јавен карактер</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-Формирање на работна група за подготовка и дефинирање на план за спроведување на кампањата</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-Спроведување на развиениот план за кампањата</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Arial"/>
                <w:sz w:val="20"/>
                <w:szCs w:val="20"/>
              </w:rPr>
              <w:t>-Кампањата ќе има цел да ги  запознае граѓаните за правата кои произлегуваат од Законот за слободен пристап до информации од јавен карактер и јавните институции за обврската за проактивност и реактивност во нивното работење</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color w:val="FF0000"/>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jc w:val="both"/>
              <w:rPr>
                <w:rFonts w:ascii="StobiSerif Regular" w:eastAsia="Calibri" w:hAnsi="StobiSerif Regular" w:cs="Arial"/>
                <w:sz w:val="20"/>
                <w:szCs w:val="20"/>
              </w:rPr>
            </w:pPr>
          </w:p>
        </w:tc>
        <w:tc>
          <w:tcPr>
            <w:tcW w:w="5328" w:type="dxa"/>
            <w:gridSpan w:val="4"/>
            <w:shd w:val="clear" w:color="auto" w:fill="FFFFFF"/>
          </w:tcPr>
          <w:p w:rsidR="008E3733" w:rsidRPr="00B4255C" w:rsidRDefault="008E3733" w:rsidP="008E3733">
            <w:pPr>
              <w:numPr>
                <w:ilvl w:val="0"/>
                <w:numId w:val="6"/>
              </w:numPr>
              <w:ind w:left="179" w:hanging="218"/>
              <w:jc w:val="both"/>
              <w:rPr>
                <w:rFonts w:ascii="StobiSerif Regular" w:eastAsia="Calibri" w:hAnsi="StobiSerif Regular" w:cs="Arial"/>
                <w:sz w:val="20"/>
                <w:szCs w:val="20"/>
              </w:rPr>
            </w:pPr>
            <w:r w:rsidRPr="00B4255C">
              <w:rPr>
                <w:rFonts w:ascii="StobiSerif Regular" w:eastAsia="Calibri" w:hAnsi="StobiSerif Regular" w:cs="Arial"/>
                <w:sz w:val="20"/>
                <w:szCs w:val="20"/>
              </w:rPr>
              <w:lastRenderedPageBreak/>
              <w:t xml:space="preserve">Изготвени Упатство за проактивност на објавување на информации од јавен карактер, Препорака за проактивност подготвена од Комисијата за заштита на правото за слободен пристап до информации од јавен карактер и Препорака за објавување на веќе побарани/дадени информации од јавен карактер на нивните веб локации. Истите се поставени на веб локацијата на Комисијата и се доставени до имателите на информации. Комисијата во континуитет го промовира електронското поднесување на барањата за пристап до информациите од јавен карактер. </w:t>
            </w:r>
            <w:r w:rsidRPr="00B4255C">
              <w:rPr>
                <w:rFonts w:ascii="StobiSerif Regular" w:eastAsia="Calibri" w:hAnsi="StobiSerif Regular" w:cs="Arial"/>
                <w:b/>
                <w:sz w:val="20"/>
                <w:szCs w:val="20"/>
              </w:rPr>
              <w:t>(Комисија за заштита на правото за слободен пристап до информациите од јавен карактер)</w:t>
            </w:r>
          </w:p>
          <w:p w:rsidR="008E3733" w:rsidRPr="00B4255C" w:rsidRDefault="008E3733" w:rsidP="008E3733">
            <w:pPr>
              <w:jc w:val="both"/>
              <w:rPr>
                <w:rFonts w:ascii="StobiSerif Regular" w:eastAsia="Calibri" w:hAnsi="StobiSerif Regular" w:cs="Arial"/>
                <w:sz w:val="20"/>
                <w:szCs w:val="20"/>
              </w:rPr>
            </w:pPr>
          </w:p>
          <w:p w:rsidR="008E3733" w:rsidRPr="00B4255C" w:rsidRDefault="008E3733" w:rsidP="008E3733">
            <w:pPr>
              <w:numPr>
                <w:ilvl w:val="0"/>
                <w:numId w:val="6"/>
              </w:numPr>
              <w:ind w:left="179" w:hanging="218"/>
              <w:jc w:val="both"/>
              <w:rPr>
                <w:rFonts w:ascii="StobiSerif Regular" w:eastAsia="Calibri" w:hAnsi="StobiSerif Regular" w:cs="Arial"/>
                <w:sz w:val="20"/>
                <w:szCs w:val="20"/>
              </w:rPr>
            </w:pPr>
            <w:r w:rsidRPr="00B4255C">
              <w:rPr>
                <w:rFonts w:ascii="StobiSerif Regular" w:eastAsia="Calibri" w:hAnsi="StobiSerif Regular" w:cs="Arial"/>
                <w:sz w:val="20"/>
                <w:szCs w:val="20"/>
              </w:rPr>
              <w:t xml:space="preserve">Индекс на активна транспарентност 2018 </w:t>
            </w:r>
            <w:r w:rsidRPr="00B4255C">
              <w:rPr>
                <w:rFonts w:ascii="StobiSerif Regular" w:eastAsia="Calibri" w:hAnsi="StobiSerif Regular" w:cs="Arial"/>
                <w:b/>
                <w:sz w:val="20"/>
                <w:szCs w:val="20"/>
              </w:rPr>
              <w:t>(Центар за граѓански комуникации)</w:t>
            </w:r>
          </w:p>
          <w:p w:rsidR="008E3733" w:rsidRPr="00B4255C" w:rsidRDefault="008E3733" w:rsidP="008E3733">
            <w:pPr>
              <w:jc w:val="both"/>
              <w:rPr>
                <w:rFonts w:ascii="StobiSerif Regular" w:eastAsia="Calibri" w:hAnsi="StobiSerif Regular" w:cs="Times New Roman"/>
                <w:sz w:val="20"/>
                <w:szCs w:val="20"/>
              </w:rPr>
            </w:pP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Формирана група за подотовка на план за спроведување на кампања за подигнување на свесноста на граѓаните за правото за слободен пристап до информации од јавен карактер.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Одржан состанок на групата на 27.11.2017 година на кој присуствуваа шест лица (тројца претставници од КЗПСПИЈК и тројца претставници од ЕСЕ).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На одржаниот состанок договорено е да се подготви и достави заедничка информација до национални и локални медиуми каде ќе се промовира кампањата и ќе се промовира правото на пристап до информации од јавен карактер.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На одржаниот состанок договорена е изработка на краток информативен видео спот, а во соработка со експерт ангажиран од страна на Здружението ЕСЕ.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На одржаниот состанок договорено е да се поднесат заеднички барања од ЕСЕ и КЗПСПИЈК до национални и локални медиуми за отстапување на медиумски простор за прикажување на изработениот видео спот.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lastRenderedPageBreak/>
              <w:t xml:space="preserve">ЕСЕ изработи и промовираше неколку видеа од оваа област: </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https://www.youtube.com/watch?v=AyTe-ieJrRE</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https://www.youtube.com/watch?v=ovsdkH-i2PQ</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https://www.youtube.com/watch?v=g18xuqykiYc</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https://www.youtube.com/watch?v=WHm9TkuCeTA</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https://www.youtube.com/watch?v=lTOXSzF7GYs</w:t>
            </w:r>
          </w:p>
          <w:p w:rsidR="008E3733" w:rsidRPr="00B4255C" w:rsidRDefault="008E3733" w:rsidP="008E3733">
            <w:pPr>
              <w:numPr>
                <w:ilvl w:val="0"/>
                <w:numId w:val="6"/>
              </w:numPr>
              <w:ind w:left="212" w:hanging="212"/>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u w:val="single"/>
              </w:rPr>
              <w:t>https://www.youtube.com/watch?v=EAQk6_CvpS8</w:t>
            </w:r>
          </w:p>
          <w:p w:rsidR="008E3733" w:rsidRPr="00B4255C" w:rsidRDefault="008E3733" w:rsidP="008E3733">
            <w:pPr>
              <w:jc w:val="both"/>
              <w:rPr>
                <w:rFonts w:ascii="StobiSerif Regular" w:eastAsia="Calibri" w:hAnsi="StobiSerif Regular" w:cs="Times New Roman"/>
                <w:sz w:val="20"/>
                <w:szCs w:val="20"/>
              </w:rPr>
            </w:pPr>
            <w:r w:rsidRPr="00B4255C">
              <w:rPr>
                <w:rFonts w:ascii="StobiSerif Regular" w:eastAsia="Calibri" w:hAnsi="StobiSerif Regular" w:cs="Times New Roman"/>
                <w:sz w:val="20"/>
                <w:szCs w:val="20"/>
              </w:rPr>
              <w:t xml:space="preserve">На 15 јануари 2018 година се одржа состанок на групата на кој се подготовија насоки за сценарио (цел на видеото, таргети, содржина и сл.). Во месец мај се снимаше спотот и истиот беше промовиран на Втората конференција „Отворено владино партнерство-дијалог со граѓанските организации за Националниот акциски план 2018-2020“. Видео спотот е изготвен и поставен на youtube.com каналот на Здружението ЕСЕ </w:t>
            </w:r>
            <w:hyperlink r:id="rId37" w:history="1">
              <w:r w:rsidRPr="00B4255C">
                <w:rPr>
                  <w:rFonts w:ascii="StobiSerif Regular" w:eastAsia="Calibri" w:hAnsi="StobiSerif Regular" w:cs="Times New Roman"/>
                  <w:color w:val="0000FF"/>
                  <w:sz w:val="20"/>
                  <w:szCs w:val="20"/>
                  <w:u w:val="single"/>
                </w:rPr>
                <w:t>https://www.youtube.com/watch?v=ebI6t-4wGtA</w:t>
              </w:r>
            </w:hyperlink>
            <w:r w:rsidRPr="00B4255C">
              <w:rPr>
                <w:rFonts w:ascii="StobiSerif Regular" w:eastAsia="Calibri" w:hAnsi="StobiSerif Regular" w:cs="Times New Roman"/>
                <w:sz w:val="20"/>
                <w:szCs w:val="20"/>
              </w:rPr>
              <w:t xml:space="preserve"> </w:t>
            </w:r>
            <w:r w:rsidRPr="00B4255C">
              <w:rPr>
                <w:rFonts w:eastAsia="Calibri" w:cs="Times New Roman"/>
              </w:rPr>
              <w:t xml:space="preserve"> </w:t>
            </w:r>
            <w:hyperlink r:id="rId38" w:history="1">
              <w:r w:rsidRPr="00B4255C">
                <w:rPr>
                  <w:rFonts w:ascii="StobiSerif Regular" w:eastAsia="Calibri" w:hAnsi="StobiSerif Regular" w:cs="Times New Roman"/>
                  <w:color w:val="0000FF"/>
                  <w:sz w:val="20"/>
                  <w:szCs w:val="20"/>
                  <w:u w:val="single"/>
                </w:rPr>
                <w:t>https://www.youtube.com/watch?v=hXUQyCcfyj8</w:t>
              </w:r>
            </w:hyperlink>
            <w:r w:rsidRPr="00B4255C">
              <w:rPr>
                <w:rFonts w:ascii="StobiSerif Regular" w:eastAsia="Calibri" w:hAnsi="StobiSerif Regular" w:cs="Times New Roman"/>
                <w:sz w:val="20"/>
                <w:szCs w:val="20"/>
              </w:rPr>
              <w:t xml:space="preserve"> и</w:t>
            </w:r>
            <w:r w:rsidRPr="00B4255C">
              <w:rPr>
                <w:rFonts w:eastAsia="Calibri" w:cs="Times New Roman"/>
              </w:rPr>
              <w:t xml:space="preserve"> </w:t>
            </w:r>
            <w:hyperlink r:id="rId39" w:history="1">
              <w:r w:rsidRPr="00B4255C">
                <w:rPr>
                  <w:rFonts w:ascii="StobiSerif Regular" w:eastAsia="Calibri" w:hAnsi="StobiSerif Regular" w:cs="Times New Roman"/>
                  <w:color w:val="0000FF"/>
                  <w:sz w:val="20"/>
                  <w:szCs w:val="20"/>
                  <w:u w:val="single"/>
                </w:rPr>
                <w:t>https://www.youtube.com/watch?v=IGJjAMInBqQ</w:t>
              </w:r>
            </w:hyperlink>
            <w:r w:rsidRPr="00B4255C">
              <w:rPr>
                <w:rFonts w:ascii="StobiSerif Regular" w:eastAsia="Calibri" w:hAnsi="StobiSerif Regular" w:cs="Times New Roman"/>
                <w:sz w:val="20"/>
                <w:szCs w:val="20"/>
              </w:rPr>
              <w:t xml:space="preserve"> </w:t>
            </w:r>
          </w:p>
          <w:p w:rsidR="008E3733" w:rsidRPr="00B4255C" w:rsidRDefault="008E3733" w:rsidP="008E3733">
            <w:pPr>
              <w:jc w:val="both"/>
              <w:rPr>
                <w:rFonts w:ascii="StobiSerif Regular" w:eastAsia="Calibri" w:hAnsi="StobiSerif Regular" w:cs="Arial"/>
                <w:sz w:val="20"/>
                <w:szCs w:val="20"/>
              </w:rPr>
            </w:pPr>
            <w:r w:rsidRPr="00B4255C">
              <w:rPr>
                <w:rFonts w:ascii="StobiSerif Regular" w:eastAsia="Calibri" w:hAnsi="StobiSerif Regular" w:cs="Times New Roman"/>
                <w:sz w:val="20"/>
                <w:szCs w:val="20"/>
              </w:rPr>
              <w:t xml:space="preserve">Истиот е реализиран на македонски и албански јазик, а прилагоден е и за лицата со оштетен слух, во соработка со НВО „Инклузива“ од Куманово, што на активноста и дава додадена вредност. Во наредниот период спотот ќе се емитува и на националниот сервис. </w:t>
            </w:r>
            <w:r w:rsidRPr="00B4255C">
              <w:rPr>
                <w:rFonts w:ascii="StobiSerif Regular" w:eastAsia="Calibri" w:hAnsi="StobiSerif Regular" w:cs="Times New Roman"/>
                <w:b/>
                <w:sz w:val="20"/>
                <w:szCs w:val="20"/>
              </w:rPr>
              <w:t>(</w:t>
            </w:r>
            <w:r w:rsidR="00B06E2A">
              <w:rPr>
                <w:rFonts w:ascii="StobiSerif Regular" w:eastAsia="Calibri" w:hAnsi="StobiSerif Regular" w:cs="Arial"/>
                <w:b/>
                <w:sz w:val="20"/>
                <w:szCs w:val="20"/>
              </w:rPr>
              <w:t xml:space="preserve">Здружение </w:t>
            </w:r>
            <w:r w:rsidRPr="00B4255C">
              <w:rPr>
                <w:rFonts w:ascii="StobiSerif Regular" w:eastAsia="Calibri" w:hAnsi="StobiSerif Regular" w:cs="Arial"/>
                <w:b/>
                <w:sz w:val="20"/>
                <w:szCs w:val="20"/>
              </w:rPr>
              <w:t>ЕСЕ), Комисија за ЗПСПИЈК)</w:t>
            </w:r>
          </w:p>
        </w:tc>
      </w:tr>
    </w:tbl>
    <w:tbl>
      <w:tblPr>
        <w:tblStyle w:val="TableGrid1"/>
        <w:tblW w:w="9903" w:type="dxa"/>
        <w:tblInd w:w="-318" w:type="dxa"/>
        <w:shd w:val="clear" w:color="auto" w:fill="FFFFFF" w:themeFill="background1"/>
        <w:tblLayout w:type="fixed"/>
        <w:tblLook w:val="04A0" w:firstRow="1" w:lastRow="0" w:firstColumn="1" w:lastColumn="0" w:noHBand="0" w:noVBand="1"/>
      </w:tblPr>
      <w:tblGrid>
        <w:gridCol w:w="4708"/>
        <w:gridCol w:w="1275"/>
        <w:gridCol w:w="1134"/>
        <w:gridCol w:w="142"/>
        <w:gridCol w:w="1334"/>
        <w:gridCol w:w="66"/>
        <w:gridCol w:w="1235"/>
        <w:gridCol w:w="9"/>
      </w:tblGrid>
      <w:tr w:rsidR="008E3733" w:rsidRPr="00232275" w:rsidTr="008E3733">
        <w:trPr>
          <w:gridAfter w:val="1"/>
          <w:wAfter w:w="9" w:type="dxa"/>
          <w:trHeight w:val="435"/>
        </w:trPr>
        <w:tc>
          <w:tcPr>
            <w:tcW w:w="4708" w:type="dxa"/>
            <w:vMerge w:val="restart"/>
            <w:shd w:val="clear" w:color="auto" w:fill="FFFFFF" w:themeFill="background1"/>
          </w:tcPr>
          <w:p w:rsidR="008E3733" w:rsidRPr="00232275" w:rsidRDefault="008E3733" w:rsidP="008E3733">
            <w:pPr>
              <w:jc w:val="center"/>
              <w:rPr>
                <w:rFonts w:ascii="StobiSerif Regular" w:hAnsi="StobiSerif Regular" w:cs="Arial"/>
                <w:sz w:val="20"/>
                <w:szCs w:val="20"/>
                <w:lang w:val="mk-MK"/>
              </w:rPr>
            </w:pPr>
          </w:p>
          <w:p w:rsidR="008E3733" w:rsidRPr="00232275" w:rsidRDefault="008E3733" w:rsidP="003946AC">
            <w:pPr>
              <w:jc w:val="center"/>
              <w:rPr>
                <w:rFonts w:ascii="StobiSerif Regular" w:hAnsi="StobiSerif Regular" w:cs="Arial"/>
                <w:sz w:val="20"/>
                <w:szCs w:val="20"/>
              </w:rPr>
            </w:pPr>
            <w:r w:rsidRPr="00232275">
              <w:rPr>
                <w:rFonts w:ascii="StobiSerif Regular" w:hAnsi="StobiSerif Regular" w:cs="Arial"/>
                <w:sz w:val="20"/>
                <w:szCs w:val="20"/>
                <w:lang w:val="mk-MK"/>
              </w:rPr>
              <w:t>Статус на реализација на заложба</w:t>
            </w:r>
          </w:p>
          <w:p w:rsidR="008E3733" w:rsidRPr="00232275" w:rsidRDefault="008E3733" w:rsidP="008E3733">
            <w:pPr>
              <w:jc w:val="center"/>
              <w:rPr>
                <w:rFonts w:ascii="StobiSerif Regular" w:hAnsi="StobiSerif Regular" w:cs="Arial"/>
                <w:sz w:val="20"/>
                <w:szCs w:val="20"/>
              </w:rPr>
            </w:pPr>
          </w:p>
        </w:tc>
        <w:tc>
          <w:tcPr>
            <w:tcW w:w="1275" w:type="dxa"/>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незапочнато</w:t>
            </w:r>
          </w:p>
        </w:tc>
        <w:tc>
          <w:tcPr>
            <w:tcW w:w="1276" w:type="dxa"/>
            <w:gridSpan w:val="2"/>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Ограничено</w:t>
            </w:r>
          </w:p>
        </w:tc>
        <w:tc>
          <w:tcPr>
            <w:tcW w:w="1400" w:type="dxa"/>
            <w:gridSpan w:val="2"/>
            <w:tcBorders>
              <w:bottom w:val="single" w:sz="4" w:space="0" w:color="auto"/>
            </w:tcBorders>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значително</w:t>
            </w:r>
          </w:p>
        </w:tc>
        <w:tc>
          <w:tcPr>
            <w:tcW w:w="1235" w:type="dxa"/>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Завршено</w:t>
            </w:r>
          </w:p>
        </w:tc>
      </w:tr>
      <w:tr w:rsidR="008E3733" w:rsidRPr="00232275" w:rsidTr="008E3733">
        <w:trPr>
          <w:trHeight w:val="147"/>
        </w:trPr>
        <w:tc>
          <w:tcPr>
            <w:tcW w:w="4708" w:type="dxa"/>
            <w:vMerge/>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tc>
        <w:tc>
          <w:tcPr>
            <w:tcW w:w="1275" w:type="dxa"/>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tc>
        <w:tc>
          <w:tcPr>
            <w:tcW w:w="1276" w:type="dxa"/>
            <w:gridSpan w:val="2"/>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tc>
        <w:tc>
          <w:tcPr>
            <w:tcW w:w="1400" w:type="dxa"/>
            <w:gridSpan w:val="2"/>
            <w:tcBorders>
              <w:bottom w:val="nil"/>
            </w:tcBorders>
            <w:shd w:val="clear" w:color="auto" w:fill="4F81BD" w:themeFill="accent1"/>
          </w:tcPr>
          <w:p w:rsidR="008E3733" w:rsidRPr="00232275" w:rsidRDefault="008E3733" w:rsidP="008E3733">
            <w:pPr>
              <w:rPr>
                <w:rFonts w:ascii="StobiSerif Regular" w:hAnsi="StobiSerif Regular" w:cs="Arial"/>
                <w:sz w:val="20"/>
                <w:szCs w:val="20"/>
              </w:rPr>
            </w:pPr>
          </w:p>
        </w:tc>
        <w:tc>
          <w:tcPr>
            <w:tcW w:w="1244" w:type="dxa"/>
            <w:gridSpan w:val="2"/>
            <w:tcBorders>
              <w:top w:val="nil"/>
              <w:bottom w:val="nil"/>
            </w:tcBorders>
            <w:shd w:val="clear" w:color="auto" w:fill="FFFFFF" w:themeFill="background1"/>
          </w:tcPr>
          <w:p w:rsidR="008E3733" w:rsidRPr="00232275" w:rsidRDefault="008E3733" w:rsidP="008E3733">
            <w:pPr>
              <w:rPr>
                <w:rFonts w:ascii="StobiSerif Regular" w:hAnsi="StobiSerif Regular" w:cs="Arial"/>
                <w:sz w:val="20"/>
                <w:szCs w:val="20"/>
              </w:rPr>
            </w:pPr>
          </w:p>
        </w:tc>
      </w:tr>
      <w:tr w:rsidR="008E3733" w:rsidRPr="00232275" w:rsidTr="008E3733">
        <w:trPr>
          <w:gridAfter w:val="1"/>
          <w:wAfter w:w="9" w:type="dxa"/>
          <w:trHeight w:val="597"/>
        </w:trPr>
        <w:tc>
          <w:tcPr>
            <w:tcW w:w="4708" w:type="dxa"/>
            <w:shd w:val="clear" w:color="auto" w:fill="DBE5F1" w:themeFill="accent1" w:themeFillTint="33"/>
          </w:tcPr>
          <w:p w:rsidR="008E3733" w:rsidRPr="00232275" w:rsidRDefault="008E3733" w:rsidP="008E3733">
            <w:pPr>
              <w:jc w:val="center"/>
              <w:rPr>
                <w:rFonts w:ascii="StobiSerif Regular" w:hAnsi="StobiSerif Regular" w:cs="Arial"/>
                <w:sz w:val="20"/>
                <w:szCs w:val="20"/>
                <w:lang w:val="mk-MK"/>
              </w:rPr>
            </w:pPr>
            <w:r w:rsidRPr="00232275">
              <w:rPr>
                <w:rFonts w:ascii="StobiSerif Regular" w:hAnsi="StobiSerif Regular" w:cs="Arial"/>
                <w:sz w:val="20"/>
                <w:szCs w:val="20"/>
                <w:lang w:val="mk-MK"/>
              </w:rPr>
              <w:t>Назив на достигнување</w:t>
            </w:r>
          </w:p>
          <w:p w:rsidR="008E3733" w:rsidRPr="00232275" w:rsidRDefault="008E3733" w:rsidP="008E3733">
            <w:pPr>
              <w:jc w:val="center"/>
              <w:rPr>
                <w:rFonts w:ascii="StobiSerif Regular" w:hAnsi="StobiSerif Regular" w:cs="Arial"/>
                <w:sz w:val="20"/>
                <w:szCs w:val="20"/>
                <w:lang w:val="mk-MK"/>
              </w:rPr>
            </w:pPr>
          </w:p>
        </w:tc>
        <w:tc>
          <w:tcPr>
            <w:tcW w:w="5186" w:type="dxa"/>
            <w:gridSpan w:val="6"/>
            <w:tcBorders>
              <w:top w:val="single" w:sz="4" w:space="0" w:color="auto"/>
            </w:tcBorders>
            <w:shd w:val="clear" w:color="auto" w:fill="DBE5F1" w:themeFill="accent1" w:themeFillTint="33"/>
          </w:tcPr>
          <w:p w:rsidR="008E3733" w:rsidRPr="00232275" w:rsidRDefault="008E3733" w:rsidP="008E3733">
            <w:pPr>
              <w:jc w:val="center"/>
              <w:rPr>
                <w:rFonts w:ascii="StobiSerif Regular" w:hAnsi="StobiSerif Regular" w:cs="Arial"/>
                <w:b/>
                <w:sz w:val="20"/>
                <w:szCs w:val="20"/>
                <w:lang w:val="mk-MK"/>
              </w:rPr>
            </w:pPr>
            <w:r w:rsidRPr="00232275">
              <w:rPr>
                <w:rFonts w:ascii="StobiSerif Regular" w:hAnsi="StobiSerif Regular" w:cs="Arial"/>
                <w:sz w:val="20"/>
                <w:szCs w:val="20"/>
                <w:lang w:val="mk-MK"/>
              </w:rPr>
              <w:t>Кус опис</w:t>
            </w:r>
            <w:r w:rsidRPr="00232275">
              <w:rPr>
                <w:rFonts w:ascii="StobiSerif Regular" w:hAnsi="StobiSerif Regular" w:cs="Arial"/>
                <w:b/>
                <w:sz w:val="20"/>
                <w:szCs w:val="20"/>
                <w:lang w:val="mk-MK"/>
              </w:rPr>
              <w:t xml:space="preserve"> </w:t>
            </w:r>
            <w:r w:rsidRPr="00232275">
              <w:rPr>
                <w:rFonts w:ascii="StobiSerif Regular" w:hAnsi="StobiSerif Regular" w:cs="Arial"/>
                <w:sz w:val="20"/>
                <w:szCs w:val="20"/>
                <w:lang w:val="mk-MK"/>
              </w:rPr>
              <w:t>на превземени активности и постигнати резултати по достигнување</w:t>
            </w:r>
          </w:p>
        </w:tc>
      </w:tr>
      <w:tr w:rsidR="008E3733" w:rsidRPr="00232275" w:rsidTr="008E3733">
        <w:trPr>
          <w:trHeight w:val="1691"/>
        </w:trPr>
        <w:tc>
          <w:tcPr>
            <w:tcW w:w="4708" w:type="dxa"/>
            <w:shd w:val="clear" w:color="auto" w:fill="FFFFFF" w:themeFill="background1"/>
          </w:tcPr>
          <w:p w:rsidR="008E3733" w:rsidRDefault="008E3733" w:rsidP="008E3733">
            <w:pPr>
              <w:jc w:val="both"/>
              <w:rPr>
                <w:rFonts w:ascii="StobiSerif Regular" w:hAnsi="StobiSerif Regular" w:cs="Tahoma"/>
                <w:sz w:val="20"/>
                <w:szCs w:val="20"/>
                <w:lang w:val="mk-MK"/>
              </w:rPr>
            </w:pPr>
          </w:p>
          <w:p w:rsidR="008E3733" w:rsidRPr="00721C81" w:rsidRDefault="008E3733" w:rsidP="008E3733">
            <w:pPr>
              <w:jc w:val="both"/>
              <w:rPr>
                <w:rFonts w:ascii="StobiSerif Regular" w:hAnsi="StobiSerif Regular" w:cs="Tahoma"/>
                <w:b/>
                <w:sz w:val="20"/>
                <w:szCs w:val="20"/>
                <w:lang w:val="mk-MK"/>
              </w:rPr>
            </w:pPr>
            <w:r w:rsidRPr="00721C81">
              <w:rPr>
                <w:rFonts w:ascii="StobiSerif Regular" w:hAnsi="StobiSerif Regular" w:cs="Tahoma"/>
                <w:b/>
                <w:sz w:val="20"/>
                <w:szCs w:val="20"/>
                <w:lang w:val="mk-MK"/>
              </w:rPr>
              <w:t>3.1.2. Мерки за зголемување на пристапот до информации од јавен карактер</w:t>
            </w:r>
          </w:p>
          <w:p w:rsidR="008E3733" w:rsidRPr="0098319F" w:rsidRDefault="008E3733" w:rsidP="008E3733">
            <w:pPr>
              <w:jc w:val="both"/>
              <w:rPr>
                <w:rFonts w:ascii="StobiSerif Regular" w:hAnsi="StobiSerif Regular" w:cs="Tahoma"/>
                <w:sz w:val="20"/>
                <w:szCs w:val="20"/>
                <w:lang w:val="mk-MK"/>
              </w:rPr>
            </w:pPr>
          </w:p>
          <w:p w:rsidR="008E3733" w:rsidRPr="00232275" w:rsidRDefault="008E3733" w:rsidP="008E3733">
            <w:pPr>
              <w:jc w:val="both"/>
              <w:rPr>
                <w:rFonts w:ascii="StobiSerif Regular" w:hAnsi="StobiSerif Regular" w:cs="Tahoma"/>
                <w:sz w:val="20"/>
                <w:szCs w:val="20"/>
                <w:lang w:val="mk-MK"/>
              </w:rPr>
            </w:pPr>
            <w:r w:rsidRPr="0098319F">
              <w:rPr>
                <w:rFonts w:ascii="StobiSerif Regular" w:hAnsi="StobiSerif Regular" w:cs="Tahoma"/>
                <w:sz w:val="20"/>
                <w:szCs w:val="20"/>
                <w:lang w:val="mk-MK"/>
              </w:rPr>
              <w:t>-Следење на спроведувањето на „тестот на штетност„ како законска обврска од страна на имателите</w:t>
            </w:r>
          </w:p>
        </w:tc>
        <w:tc>
          <w:tcPr>
            <w:tcW w:w="5195" w:type="dxa"/>
            <w:gridSpan w:val="7"/>
            <w:shd w:val="clear" w:color="auto" w:fill="FFFFFF" w:themeFill="background1"/>
          </w:tcPr>
          <w:p w:rsidR="008E3733" w:rsidRPr="00131036" w:rsidRDefault="008E3733" w:rsidP="008E3733">
            <w:pPr>
              <w:jc w:val="both"/>
              <w:rPr>
                <w:rFonts w:ascii="StobiSerif Regular" w:eastAsia="Calibri" w:hAnsi="StobiSerif Regular" w:cs="Times New Roman"/>
                <w:sz w:val="20"/>
                <w:szCs w:val="20"/>
              </w:rPr>
            </w:pPr>
            <w:r>
              <w:rPr>
                <w:rFonts w:ascii="StobiSerif Regular" w:eastAsia="Calibri" w:hAnsi="StobiSerif Regular" w:cs="Times New Roman"/>
                <w:sz w:val="20"/>
                <w:szCs w:val="20"/>
                <w:lang w:val="mk-MK"/>
              </w:rPr>
              <w:t xml:space="preserve">- </w:t>
            </w:r>
            <w:r w:rsidRPr="00232275">
              <w:rPr>
                <w:rFonts w:ascii="StobiSerif Regular" w:eastAsia="Calibri" w:hAnsi="StobiSerif Regular" w:cs="Times New Roman"/>
                <w:sz w:val="20"/>
                <w:szCs w:val="20"/>
                <w:lang w:val="mk-MK"/>
              </w:rPr>
              <w:t xml:space="preserve">Од податоците со кои располага Комисијата за заштита на правото за слободен пристап до информациите од јавен карактер </w:t>
            </w:r>
            <w:r>
              <w:rPr>
                <w:rFonts w:ascii="StobiSerif Regular" w:eastAsia="Calibri" w:hAnsi="StobiSerif Regular" w:cs="Times New Roman"/>
                <w:sz w:val="20"/>
                <w:szCs w:val="20"/>
                <w:lang w:val="mk-MK"/>
              </w:rPr>
              <w:t xml:space="preserve">констатирано е </w:t>
            </w:r>
            <w:r w:rsidRPr="00232275">
              <w:rPr>
                <w:rFonts w:ascii="StobiSerif Regular" w:eastAsia="Calibri" w:hAnsi="StobiSerif Regular" w:cs="Times New Roman"/>
                <w:sz w:val="20"/>
                <w:szCs w:val="20"/>
                <w:lang w:val="mk-MK"/>
              </w:rPr>
              <w:t xml:space="preserve">дека во </w:t>
            </w:r>
            <w:r>
              <w:rPr>
                <w:rFonts w:ascii="StobiSerif Regular" w:eastAsia="Calibri" w:hAnsi="StobiSerif Regular" w:cs="Times New Roman"/>
                <w:sz w:val="20"/>
                <w:szCs w:val="20"/>
                <w:lang w:val="mk-MK"/>
              </w:rPr>
              <w:t xml:space="preserve">периодот јануари-април 2018 година се поднесени 148 жалби, од кои 29 жалби се поднесени </w:t>
            </w:r>
            <w:r w:rsidRPr="00232275">
              <w:rPr>
                <w:rFonts w:ascii="StobiSerif Regular" w:eastAsia="Calibri" w:hAnsi="StobiSerif Regular" w:cs="Times New Roman"/>
                <w:sz w:val="20"/>
                <w:szCs w:val="20"/>
                <w:lang w:val="mk-MK"/>
              </w:rPr>
              <w:t xml:space="preserve">против Решенија со кои имателите го одбиле пристапот до бараните информации согласно со членот 6 од Законот. Во </w:t>
            </w:r>
            <w:r>
              <w:rPr>
                <w:rFonts w:ascii="StobiSerif Regular" w:eastAsia="Calibri" w:hAnsi="StobiSerif Regular" w:cs="Times New Roman"/>
                <w:sz w:val="20"/>
                <w:szCs w:val="20"/>
                <w:lang w:val="mk-MK"/>
              </w:rPr>
              <w:t xml:space="preserve">дваесет и осум случаи имателите на информации од јавен карактер не го спровеле „тестот на штетност“ како законска обврска која произлегува </w:t>
            </w:r>
            <w:r w:rsidRPr="00232275">
              <w:rPr>
                <w:rFonts w:ascii="StobiSerif Regular" w:eastAsia="Calibri" w:hAnsi="StobiSerif Regular" w:cs="Times New Roman"/>
                <w:sz w:val="20"/>
                <w:szCs w:val="20"/>
                <w:lang w:val="mk-MK"/>
              </w:rPr>
              <w:t>од членот 6 став 3 од Законот. Во 1 случа</w:t>
            </w:r>
            <w:r>
              <w:rPr>
                <w:rFonts w:ascii="StobiSerif Regular" w:eastAsia="Calibri" w:hAnsi="StobiSerif Regular" w:cs="Times New Roman"/>
                <w:sz w:val="20"/>
                <w:szCs w:val="20"/>
                <w:lang w:val="mk-MK"/>
              </w:rPr>
              <w:t>ј</w:t>
            </w:r>
            <w:r w:rsidRPr="00232275">
              <w:rPr>
                <w:rFonts w:ascii="StobiSerif Regular" w:eastAsia="Calibri" w:hAnsi="StobiSerif Regular" w:cs="Times New Roman"/>
                <w:sz w:val="20"/>
                <w:szCs w:val="20"/>
                <w:lang w:val="mk-MK"/>
              </w:rPr>
              <w:t xml:space="preserve"> имател</w:t>
            </w:r>
            <w:r>
              <w:rPr>
                <w:rFonts w:ascii="StobiSerif Regular" w:eastAsia="Calibri" w:hAnsi="StobiSerif Regular" w:cs="Times New Roman"/>
                <w:sz w:val="20"/>
                <w:szCs w:val="20"/>
                <w:lang w:val="mk-MK"/>
              </w:rPr>
              <w:t>о</w:t>
            </w:r>
            <w:r w:rsidRPr="00232275">
              <w:rPr>
                <w:rFonts w:ascii="StobiSerif Regular" w:eastAsia="Calibri" w:hAnsi="StobiSerif Regular" w:cs="Times New Roman"/>
                <w:sz w:val="20"/>
                <w:szCs w:val="20"/>
                <w:lang w:val="mk-MK"/>
              </w:rPr>
              <w:t>т неправилно го спровел „тестот за штетност„.</w:t>
            </w:r>
            <w:r>
              <w:rPr>
                <w:rFonts w:ascii="StobiSerif Regular" w:eastAsia="Calibri" w:hAnsi="StobiSerif Regular" w:cs="Times New Roman"/>
                <w:sz w:val="20"/>
                <w:szCs w:val="20"/>
                <w:lang w:val="mk-MK"/>
              </w:rPr>
              <w:t xml:space="preserve"> </w:t>
            </w:r>
            <w:r w:rsidRPr="007C2F4B">
              <w:rPr>
                <w:rFonts w:ascii="StobiSerif Regular" w:eastAsia="Calibri" w:hAnsi="StobiSerif Regular" w:cs="Times New Roman"/>
                <w:b/>
                <w:sz w:val="20"/>
                <w:szCs w:val="20"/>
                <w:lang w:val="mk-MK"/>
              </w:rPr>
              <w:t>На 2 мај 2018 година, Собранието на Република Македонија ја прифати оставката на претседателот на Комисијата и сега Комисијата има само заменик и еден член, што значи нема мнозинство од вкупниот број членови и според тоа неможе да ги извршува законските обврски, односно да работи и одлучува, се додека не се именуваат претседател и членови. Од наведените причини оваа активност е оценета со значително</w:t>
            </w:r>
            <w:r>
              <w:rPr>
                <w:rFonts w:ascii="StobiSerif Regular" w:eastAsia="Calibri" w:hAnsi="StobiSerif Regular" w:cs="Times New Roman"/>
                <w:sz w:val="20"/>
                <w:szCs w:val="20"/>
                <w:lang w:val="mk-MK"/>
              </w:rPr>
              <w:t>.</w:t>
            </w:r>
            <w:r w:rsidRPr="007C2F4B">
              <w:rPr>
                <w:rFonts w:ascii="StobiSerif Regular" w:eastAsia="Calibri" w:hAnsi="StobiSerif Regular" w:cs="Times New Roman"/>
                <w:sz w:val="20"/>
                <w:szCs w:val="20"/>
                <w:lang w:val="mk-MK"/>
              </w:rPr>
              <w:t xml:space="preserve"> </w:t>
            </w:r>
            <w:r w:rsidRPr="007C2F4B">
              <w:rPr>
                <w:rFonts w:ascii="StobiSerif Regular" w:hAnsi="StobiSerif Regular" w:cs="Arial"/>
                <w:b/>
                <w:sz w:val="20"/>
                <w:szCs w:val="20"/>
                <w:lang w:val="mk-MK"/>
              </w:rPr>
              <w:t>(Комисија за заштита на правото за слободен пристап до информациите од јавен карактер)</w:t>
            </w:r>
            <w:r>
              <w:rPr>
                <w:rFonts w:ascii="StobiSerif Regular" w:hAnsi="StobiSerif Regular" w:cs="Arial"/>
                <w:b/>
                <w:sz w:val="20"/>
                <w:szCs w:val="20"/>
              </w:rPr>
              <w:t>.</w:t>
            </w:r>
          </w:p>
        </w:tc>
      </w:tr>
      <w:tr w:rsidR="008E3733" w:rsidRPr="00232275" w:rsidTr="008E3733">
        <w:trPr>
          <w:gridAfter w:val="1"/>
          <w:wAfter w:w="9" w:type="dxa"/>
          <w:trHeight w:val="435"/>
        </w:trPr>
        <w:tc>
          <w:tcPr>
            <w:tcW w:w="4708" w:type="dxa"/>
            <w:vMerge w:val="restart"/>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p w:rsidR="008E3733" w:rsidRPr="00232275" w:rsidRDefault="008E3733" w:rsidP="008E3733">
            <w:pPr>
              <w:jc w:val="both"/>
              <w:rPr>
                <w:rFonts w:ascii="StobiSerif Regular" w:hAnsi="StobiSerif Regular" w:cs="Arial"/>
                <w:sz w:val="20"/>
                <w:szCs w:val="20"/>
              </w:rPr>
            </w:pPr>
            <w:r w:rsidRPr="00232275">
              <w:rPr>
                <w:rFonts w:ascii="StobiSerif Regular" w:hAnsi="StobiSerif Regular" w:cs="Arial"/>
                <w:sz w:val="20"/>
                <w:szCs w:val="20"/>
                <w:lang w:val="mk-MK"/>
              </w:rPr>
              <w:t>Статус на реализација на заложба</w:t>
            </w:r>
          </w:p>
        </w:tc>
        <w:tc>
          <w:tcPr>
            <w:tcW w:w="1275" w:type="dxa"/>
            <w:tcBorders>
              <w:bottom w:val="single" w:sz="4" w:space="0" w:color="auto"/>
            </w:tcBorders>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незапочнато</w:t>
            </w:r>
          </w:p>
        </w:tc>
        <w:tc>
          <w:tcPr>
            <w:tcW w:w="1276" w:type="dxa"/>
            <w:gridSpan w:val="2"/>
            <w:shd w:val="clear" w:color="auto" w:fill="FFFFFF" w:themeFill="background1"/>
          </w:tcPr>
          <w:p w:rsidR="008E3733" w:rsidRPr="00232275" w:rsidRDefault="00AE5F56" w:rsidP="008E3733">
            <w:pPr>
              <w:jc w:val="both"/>
              <w:rPr>
                <w:rFonts w:ascii="StobiSerif Regular" w:hAnsi="StobiSerif Regular" w:cs="Arial"/>
                <w:sz w:val="16"/>
                <w:szCs w:val="16"/>
                <w:lang w:val="mk-MK"/>
              </w:rPr>
            </w:pPr>
            <w:r>
              <w:rPr>
                <w:rFonts w:ascii="StobiSerif Regular" w:hAnsi="StobiSerif Regular" w:cs="Arial"/>
                <w:sz w:val="16"/>
                <w:szCs w:val="16"/>
                <w:lang w:val="mk-MK"/>
              </w:rPr>
              <w:t>о</w:t>
            </w:r>
            <w:r w:rsidR="008E3733" w:rsidRPr="00232275">
              <w:rPr>
                <w:rFonts w:ascii="StobiSerif Regular" w:hAnsi="StobiSerif Regular" w:cs="Arial"/>
                <w:sz w:val="16"/>
                <w:szCs w:val="16"/>
                <w:lang w:val="mk-MK"/>
              </w:rPr>
              <w:t>граничено</w:t>
            </w:r>
          </w:p>
        </w:tc>
        <w:tc>
          <w:tcPr>
            <w:tcW w:w="1400" w:type="dxa"/>
            <w:gridSpan w:val="2"/>
            <w:shd w:val="clear" w:color="auto" w:fill="FFFFFF" w:themeFill="background1"/>
          </w:tcPr>
          <w:p w:rsidR="008E3733" w:rsidRPr="00232275" w:rsidRDefault="008E3733" w:rsidP="008E3733">
            <w:pPr>
              <w:jc w:val="both"/>
              <w:rPr>
                <w:rFonts w:ascii="StobiSerif Regular" w:hAnsi="StobiSerif Regular" w:cs="Arial"/>
                <w:sz w:val="16"/>
                <w:szCs w:val="16"/>
                <w:lang w:val="mk-MK"/>
              </w:rPr>
            </w:pPr>
            <w:r w:rsidRPr="00232275">
              <w:rPr>
                <w:rFonts w:ascii="StobiSerif Regular" w:hAnsi="StobiSerif Regular" w:cs="Arial"/>
                <w:sz w:val="16"/>
                <w:szCs w:val="16"/>
                <w:lang w:val="mk-MK"/>
              </w:rPr>
              <w:t>значително</w:t>
            </w:r>
          </w:p>
        </w:tc>
        <w:tc>
          <w:tcPr>
            <w:tcW w:w="1235" w:type="dxa"/>
            <w:shd w:val="clear" w:color="auto" w:fill="FFFFFF" w:themeFill="background1"/>
          </w:tcPr>
          <w:p w:rsidR="008E3733" w:rsidRPr="00232275" w:rsidRDefault="00AE5F56" w:rsidP="008E3733">
            <w:pPr>
              <w:jc w:val="both"/>
              <w:rPr>
                <w:rFonts w:ascii="StobiSerif Regular" w:hAnsi="StobiSerif Regular" w:cs="Arial"/>
                <w:sz w:val="16"/>
                <w:szCs w:val="16"/>
                <w:lang w:val="mk-MK"/>
              </w:rPr>
            </w:pPr>
            <w:r>
              <w:rPr>
                <w:rFonts w:ascii="StobiSerif Regular" w:hAnsi="StobiSerif Regular" w:cs="Arial"/>
                <w:sz w:val="16"/>
                <w:szCs w:val="16"/>
                <w:lang w:val="mk-MK"/>
              </w:rPr>
              <w:t>з</w:t>
            </w:r>
            <w:r w:rsidR="008E3733" w:rsidRPr="00232275">
              <w:rPr>
                <w:rFonts w:ascii="StobiSerif Regular" w:hAnsi="StobiSerif Regular" w:cs="Arial"/>
                <w:sz w:val="16"/>
                <w:szCs w:val="16"/>
                <w:lang w:val="mk-MK"/>
              </w:rPr>
              <w:t>авршено</w:t>
            </w:r>
          </w:p>
        </w:tc>
      </w:tr>
      <w:tr w:rsidR="008E3733" w:rsidRPr="00232275" w:rsidTr="008E3733">
        <w:trPr>
          <w:trHeight w:val="252"/>
        </w:trPr>
        <w:tc>
          <w:tcPr>
            <w:tcW w:w="4708" w:type="dxa"/>
            <w:vMerge/>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tc>
        <w:tc>
          <w:tcPr>
            <w:tcW w:w="1275" w:type="dxa"/>
            <w:tcBorders>
              <w:bottom w:val="single" w:sz="4" w:space="0" w:color="auto"/>
            </w:tcBorders>
            <w:shd w:val="clear" w:color="auto" w:fill="FFFFFF" w:themeFill="background1"/>
          </w:tcPr>
          <w:p w:rsidR="008E3733" w:rsidRPr="00232275" w:rsidRDefault="008E3733" w:rsidP="008E3733">
            <w:pPr>
              <w:jc w:val="both"/>
              <w:rPr>
                <w:rFonts w:ascii="StobiSerif Regular" w:hAnsi="StobiSerif Regular" w:cs="Arial"/>
                <w:sz w:val="20"/>
                <w:szCs w:val="20"/>
                <w:lang w:val="mk-MK"/>
              </w:rPr>
            </w:pPr>
          </w:p>
        </w:tc>
        <w:tc>
          <w:tcPr>
            <w:tcW w:w="1276" w:type="dxa"/>
            <w:gridSpan w:val="2"/>
            <w:tcBorders>
              <w:bottom w:val="single" w:sz="4" w:space="0" w:color="auto"/>
            </w:tcBorders>
            <w:shd w:val="clear" w:color="auto" w:fill="548DD4" w:themeFill="text2" w:themeFillTint="99"/>
          </w:tcPr>
          <w:p w:rsidR="008E3733" w:rsidRPr="00232275" w:rsidRDefault="008E3733" w:rsidP="008E3733">
            <w:pPr>
              <w:jc w:val="both"/>
              <w:rPr>
                <w:rFonts w:ascii="StobiSerif Regular" w:hAnsi="StobiSerif Regular" w:cs="Arial"/>
                <w:sz w:val="20"/>
                <w:szCs w:val="20"/>
                <w:lang w:val="mk-MK"/>
              </w:rPr>
            </w:pPr>
          </w:p>
        </w:tc>
        <w:tc>
          <w:tcPr>
            <w:tcW w:w="1400" w:type="dxa"/>
            <w:gridSpan w:val="2"/>
            <w:tcBorders>
              <w:bottom w:val="single" w:sz="4" w:space="0" w:color="auto"/>
            </w:tcBorders>
            <w:shd w:val="clear" w:color="auto" w:fill="FFFFFF" w:themeFill="background1"/>
          </w:tcPr>
          <w:p w:rsidR="008E3733" w:rsidRPr="00232275" w:rsidRDefault="008E3733" w:rsidP="008E3733">
            <w:pPr>
              <w:rPr>
                <w:rFonts w:ascii="StobiSerif Regular" w:hAnsi="StobiSerif Regular" w:cs="Arial"/>
                <w:sz w:val="20"/>
                <w:szCs w:val="20"/>
              </w:rPr>
            </w:pPr>
          </w:p>
        </w:tc>
        <w:tc>
          <w:tcPr>
            <w:tcW w:w="1244" w:type="dxa"/>
            <w:gridSpan w:val="2"/>
            <w:tcBorders>
              <w:top w:val="nil"/>
              <w:bottom w:val="single" w:sz="4" w:space="0" w:color="auto"/>
            </w:tcBorders>
            <w:shd w:val="clear" w:color="auto" w:fill="FFFFFF" w:themeFill="background1"/>
          </w:tcPr>
          <w:p w:rsidR="008E3733" w:rsidRPr="00232275" w:rsidRDefault="008E3733" w:rsidP="008E3733">
            <w:pPr>
              <w:rPr>
                <w:rFonts w:ascii="StobiSerif Regular" w:hAnsi="StobiSerif Regular" w:cs="Arial"/>
                <w:sz w:val="20"/>
                <w:szCs w:val="20"/>
              </w:rPr>
            </w:pPr>
          </w:p>
        </w:tc>
      </w:tr>
      <w:tr w:rsidR="008E3733" w:rsidRPr="007C2F4B" w:rsidTr="008E3733">
        <w:tblPrEx>
          <w:tblLook w:val="0000" w:firstRow="0" w:lastRow="0" w:firstColumn="0" w:lastColumn="0" w:noHBand="0" w:noVBand="0"/>
        </w:tblPrEx>
        <w:trPr>
          <w:trHeight w:val="2762"/>
        </w:trPr>
        <w:tc>
          <w:tcPr>
            <w:tcW w:w="4708" w:type="dxa"/>
            <w:shd w:val="clear" w:color="auto" w:fill="FFFFFF" w:themeFill="background1"/>
          </w:tcPr>
          <w:p w:rsidR="008E3733" w:rsidRPr="00232275" w:rsidRDefault="008E3733" w:rsidP="008E3733">
            <w:pPr>
              <w:jc w:val="both"/>
              <w:rPr>
                <w:rFonts w:ascii="StobiSerif Regular" w:hAnsi="StobiSerif Regular" w:cs="Arial"/>
                <w:b/>
                <w:sz w:val="20"/>
                <w:szCs w:val="20"/>
                <w:lang w:val="mk-MK"/>
              </w:rPr>
            </w:pPr>
            <w:r w:rsidRPr="00232275">
              <w:rPr>
                <w:rFonts w:ascii="StobiSerif Regular" w:hAnsi="StobiSerif Regular" w:cs="Arial"/>
                <w:b/>
                <w:sz w:val="20"/>
                <w:szCs w:val="20"/>
                <w:lang w:val="mk-MK"/>
              </w:rPr>
              <w:t>3.1.2. Мерки за зголемување на пристапот до информации од јавен карактер</w:t>
            </w:r>
          </w:p>
          <w:p w:rsidR="008E3733" w:rsidRPr="00232275" w:rsidRDefault="008E3733" w:rsidP="008E3733">
            <w:pPr>
              <w:jc w:val="both"/>
              <w:rPr>
                <w:rFonts w:ascii="StobiSerif Regular" w:hAnsi="StobiSerif Regular" w:cs="Arial"/>
                <w:b/>
                <w:sz w:val="20"/>
                <w:szCs w:val="20"/>
                <w:lang w:val="mk-MK"/>
              </w:rPr>
            </w:pPr>
          </w:p>
          <w:p w:rsidR="008E3733" w:rsidRPr="00232275" w:rsidRDefault="008E3733" w:rsidP="008E3733">
            <w:pPr>
              <w:jc w:val="both"/>
              <w:rPr>
                <w:rFonts w:ascii="StobiSerif Regular" w:hAnsi="StobiSerif Regular" w:cs="Arial"/>
                <w:b/>
                <w:sz w:val="20"/>
                <w:szCs w:val="20"/>
                <w:lang w:val="mk-MK"/>
              </w:rPr>
            </w:pPr>
            <w:r w:rsidRPr="00232275">
              <w:rPr>
                <w:rFonts w:ascii="StobiSerif Regular" w:hAnsi="StobiSerif Regular" w:cs="Arial"/>
                <w:b/>
                <w:sz w:val="20"/>
                <w:szCs w:val="20"/>
                <w:lang w:val="mk-MK"/>
              </w:rPr>
              <w:t>-</w:t>
            </w:r>
            <w:r w:rsidRPr="00232275">
              <w:rPr>
                <w:rFonts w:ascii="StobiSerif Regular" w:hAnsi="StobiSerif Regular" w:cs="Arial"/>
                <w:sz w:val="20"/>
                <w:szCs w:val="20"/>
                <w:lang w:val="mk-MK"/>
              </w:rPr>
              <w:t>Обуки за функционерите или раководните лица  врз основа на утврдени слабости во примената на Законот за слободен пристап до информации од јавен карактер</w:t>
            </w:r>
          </w:p>
          <w:p w:rsidR="008E3733" w:rsidRPr="00232275" w:rsidRDefault="008E3733" w:rsidP="008E3733">
            <w:pPr>
              <w:jc w:val="both"/>
              <w:rPr>
                <w:rFonts w:ascii="StobiSerif Regular" w:hAnsi="StobiSerif Regular" w:cs="Arial"/>
                <w:b/>
                <w:sz w:val="20"/>
                <w:szCs w:val="20"/>
                <w:lang w:val="mk-MK"/>
              </w:rPr>
            </w:pPr>
          </w:p>
          <w:p w:rsidR="008E3733" w:rsidRPr="00232275" w:rsidRDefault="008E3733" w:rsidP="008E3733">
            <w:pPr>
              <w:jc w:val="both"/>
              <w:rPr>
                <w:rFonts w:ascii="StobiSerif Regular" w:hAnsi="StobiSerif Regular" w:cs="Arial"/>
                <w:b/>
                <w:sz w:val="20"/>
                <w:szCs w:val="20"/>
                <w:lang w:val="mk-MK"/>
              </w:rPr>
            </w:pPr>
          </w:p>
          <w:p w:rsidR="008E3733" w:rsidRDefault="008E3733" w:rsidP="008E3733">
            <w:pPr>
              <w:jc w:val="both"/>
              <w:rPr>
                <w:rFonts w:ascii="StobiSerif Regular" w:hAnsi="StobiSerif Regular" w:cs="Arial"/>
                <w:sz w:val="20"/>
                <w:szCs w:val="20"/>
                <w:lang w:val="mk-MK"/>
              </w:rPr>
            </w:pPr>
          </w:p>
          <w:p w:rsidR="008E3733" w:rsidRPr="00232275" w:rsidRDefault="008E3733" w:rsidP="008E3733">
            <w:pPr>
              <w:jc w:val="both"/>
              <w:rPr>
                <w:rFonts w:ascii="StobiSerif Regular" w:hAnsi="StobiSerif Regular" w:cs="Arial"/>
                <w:sz w:val="20"/>
                <w:szCs w:val="20"/>
              </w:rPr>
            </w:pPr>
          </w:p>
        </w:tc>
        <w:tc>
          <w:tcPr>
            <w:tcW w:w="5195" w:type="dxa"/>
            <w:gridSpan w:val="7"/>
            <w:shd w:val="clear" w:color="auto" w:fill="FFFFFF" w:themeFill="background1"/>
          </w:tcPr>
          <w:p w:rsidR="008E3733" w:rsidRPr="007C2F4B" w:rsidRDefault="008E3733" w:rsidP="008E3733">
            <w:pPr>
              <w:jc w:val="both"/>
              <w:rPr>
                <w:rFonts w:ascii="StobiSerif Regular" w:hAnsi="StobiSerif Regular" w:cs="Arial"/>
                <w:b/>
                <w:sz w:val="20"/>
                <w:szCs w:val="20"/>
                <w:lang w:val="mk-MK"/>
              </w:rPr>
            </w:pPr>
            <w:r>
              <w:rPr>
                <w:rFonts w:ascii="StobiSerif Regular" w:hAnsi="StobiSerif Regular" w:cs="Arial"/>
                <w:sz w:val="20"/>
                <w:szCs w:val="20"/>
                <w:lang w:val="mk-MK"/>
              </w:rPr>
              <w:t xml:space="preserve">-Одржана е една обука за функционерите или раководните лица </w:t>
            </w:r>
            <w:r w:rsidRPr="00E15BB7">
              <w:rPr>
                <w:rFonts w:ascii="StobiSerif Regular" w:hAnsi="StobiSerif Regular" w:cs="Arial"/>
                <w:sz w:val="20"/>
                <w:szCs w:val="20"/>
                <w:lang w:val="mk-MK"/>
              </w:rPr>
              <w:t>врз основа на утврдени слабости во примената на Законот за слободен пристап до информации од јавен карактер</w:t>
            </w:r>
            <w:r>
              <w:rPr>
                <w:rFonts w:ascii="StobiSerif Regular" w:hAnsi="StobiSerif Regular" w:cs="Arial"/>
                <w:sz w:val="20"/>
                <w:szCs w:val="20"/>
                <w:lang w:val="mk-MK"/>
              </w:rPr>
              <w:t xml:space="preserve"> во 2018 година од јавните претпријатија од Град Скопје. Раководните лица покажаа незаинтересираност за ваков вид на советувања, а со тоа и игнорантски однос кон имплементирањето на Законот за слободен пристап до информации од јавен карактер. </w:t>
            </w:r>
            <w:r w:rsidRPr="005B3300">
              <w:rPr>
                <w:rFonts w:ascii="StobiSerif Regular" w:hAnsi="StobiSerif Regular" w:cs="Arial"/>
                <w:sz w:val="20"/>
                <w:szCs w:val="20"/>
                <w:lang w:val="mk-MK"/>
              </w:rPr>
              <w:t xml:space="preserve">Од </w:t>
            </w:r>
            <w:r w:rsidR="003946AC" w:rsidRPr="005B3300">
              <w:rPr>
                <w:rFonts w:ascii="StobiSerif Regular" w:hAnsi="StobiSerif Regular" w:cs="Arial"/>
                <w:sz w:val="20"/>
                <w:szCs w:val="20"/>
                <w:lang w:val="mk-MK"/>
              </w:rPr>
              <w:t xml:space="preserve">погоре </w:t>
            </w:r>
            <w:r w:rsidRPr="005B3300">
              <w:rPr>
                <w:rFonts w:ascii="StobiSerif Regular" w:hAnsi="StobiSerif Regular" w:cs="Arial"/>
                <w:sz w:val="20"/>
                <w:szCs w:val="20"/>
                <w:lang w:val="mk-MK"/>
              </w:rPr>
              <w:t>наведените причини</w:t>
            </w:r>
            <w:r w:rsidR="003946AC">
              <w:rPr>
                <w:rFonts w:ascii="StobiSerif Regular" w:hAnsi="StobiSerif Regular" w:cs="Arial"/>
                <w:sz w:val="20"/>
                <w:szCs w:val="20"/>
                <w:lang w:val="mk-MK"/>
              </w:rPr>
              <w:t xml:space="preserve"> </w:t>
            </w:r>
            <w:r w:rsidRPr="00131036">
              <w:rPr>
                <w:rFonts w:ascii="StobiSerif Regular" w:hAnsi="StobiSerif Regular" w:cs="Arial"/>
                <w:sz w:val="20"/>
                <w:szCs w:val="20"/>
                <w:lang w:val="mk-MK"/>
              </w:rPr>
              <w:t>оваа активност е оценета ограничено. (Комисија за заштита на правото за слободен пристап до информациите од јавен карактер)</w:t>
            </w:r>
          </w:p>
        </w:tc>
      </w:tr>
      <w:tr w:rsidR="008E3733" w:rsidTr="008E3733">
        <w:tblPrEx>
          <w:tblLook w:val="0000" w:firstRow="0" w:lastRow="0" w:firstColumn="0" w:lastColumn="0" w:noHBand="0" w:noVBand="0"/>
        </w:tblPrEx>
        <w:trPr>
          <w:trHeight w:val="480"/>
        </w:trPr>
        <w:tc>
          <w:tcPr>
            <w:tcW w:w="4708" w:type="dxa"/>
            <w:vMerge w:val="restart"/>
            <w:shd w:val="clear" w:color="auto" w:fill="FFFFFF" w:themeFill="background1"/>
          </w:tcPr>
          <w:p w:rsidR="008E3733" w:rsidRDefault="008E3733" w:rsidP="008E3733">
            <w:pPr>
              <w:jc w:val="both"/>
              <w:rPr>
                <w:rFonts w:ascii="StobiSerif Regular" w:hAnsi="StobiSerif Regular" w:cs="Arial"/>
                <w:sz w:val="20"/>
                <w:szCs w:val="20"/>
                <w:lang w:val="mk-MK"/>
              </w:rPr>
            </w:pPr>
          </w:p>
          <w:p w:rsidR="008E3733" w:rsidRDefault="008E3733" w:rsidP="008E3733">
            <w:pPr>
              <w:jc w:val="both"/>
              <w:rPr>
                <w:rFonts w:ascii="StobiSerif Regular" w:hAnsi="StobiSerif Regular" w:cs="Arial"/>
                <w:sz w:val="20"/>
                <w:szCs w:val="20"/>
                <w:lang w:val="mk-MK"/>
              </w:rPr>
            </w:pPr>
            <w:r>
              <w:rPr>
                <w:rFonts w:ascii="StobiSerif Regular" w:hAnsi="StobiSerif Regular" w:cs="Arial"/>
                <w:sz w:val="20"/>
                <w:szCs w:val="20"/>
                <w:lang w:val="mk-MK"/>
              </w:rPr>
              <w:t>Статус на реализација на заложба</w:t>
            </w:r>
          </w:p>
          <w:p w:rsidR="008E3733" w:rsidRPr="00232275" w:rsidRDefault="008E3733" w:rsidP="008E3733">
            <w:pPr>
              <w:jc w:val="both"/>
              <w:rPr>
                <w:rFonts w:ascii="StobiSerif Regular" w:hAnsi="StobiSerif Regular" w:cs="Arial"/>
                <w:b/>
                <w:sz w:val="20"/>
                <w:szCs w:val="20"/>
                <w:lang w:val="mk-MK"/>
              </w:rPr>
            </w:pPr>
          </w:p>
        </w:tc>
        <w:tc>
          <w:tcPr>
            <w:tcW w:w="1275" w:type="dxa"/>
            <w:shd w:val="clear" w:color="auto" w:fill="FFFFFF" w:themeFill="background1"/>
          </w:tcPr>
          <w:p w:rsidR="008E3733" w:rsidRPr="0020191F" w:rsidRDefault="008E3733" w:rsidP="008E3733">
            <w:pPr>
              <w:jc w:val="both"/>
              <w:rPr>
                <w:rFonts w:ascii="StobiSerif Regular" w:hAnsi="StobiSerif Regular" w:cs="Arial"/>
                <w:sz w:val="16"/>
                <w:szCs w:val="16"/>
                <w:lang w:val="mk-MK"/>
              </w:rPr>
            </w:pPr>
            <w:r w:rsidRPr="0020191F">
              <w:rPr>
                <w:rFonts w:ascii="StobiSerif Regular" w:hAnsi="StobiSerif Regular" w:cs="Arial"/>
                <w:sz w:val="16"/>
                <w:szCs w:val="16"/>
                <w:lang w:val="mk-MK"/>
              </w:rPr>
              <w:t>незапочнато</w:t>
            </w:r>
          </w:p>
          <w:p w:rsidR="008E3733" w:rsidRPr="0020191F" w:rsidRDefault="008E3733" w:rsidP="008E3733">
            <w:pPr>
              <w:ind w:left="179"/>
              <w:rPr>
                <w:rFonts w:ascii="StobiSerif Regular" w:hAnsi="StobiSerif Regular" w:cs="Arial"/>
                <w:sz w:val="16"/>
                <w:szCs w:val="16"/>
                <w:lang w:val="mk-MK"/>
              </w:rPr>
            </w:pPr>
          </w:p>
        </w:tc>
        <w:tc>
          <w:tcPr>
            <w:tcW w:w="1134" w:type="dxa"/>
            <w:shd w:val="clear" w:color="auto" w:fill="FFFFFF" w:themeFill="background1"/>
          </w:tcPr>
          <w:p w:rsidR="008E3733" w:rsidRPr="0020191F" w:rsidRDefault="008E3733" w:rsidP="008E3733">
            <w:pPr>
              <w:rPr>
                <w:rFonts w:ascii="StobiSerif Regular" w:hAnsi="StobiSerif Regular" w:cs="Arial"/>
                <w:sz w:val="16"/>
                <w:szCs w:val="16"/>
                <w:lang w:val="mk-MK"/>
              </w:rPr>
            </w:pPr>
            <w:r w:rsidRPr="0020191F">
              <w:rPr>
                <w:rFonts w:ascii="StobiSerif Regular" w:hAnsi="StobiSerif Regular" w:cs="Arial"/>
                <w:sz w:val="16"/>
                <w:szCs w:val="16"/>
                <w:lang w:val="mk-MK"/>
              </w:rPr>
              <w:t>ограничено</w:t>
            </w:r>
          </w:p>
          <w:p w:rsidR="008E3733" w:rsidRPr="0020191F" w:rsidRDefault="008E3733" w:rsidP="008E3733">
            <w:pPr>
              <w:ind w:left="179"/>
              <w:rPr>
                <w:rFonts w:ascii="StobiSerif Regular" w:hAnsi="StobiSerif Regular" w:cs="Arial"/>
                <w:sz w:val="16"/>
                <w:szCs w:val="16"/>
                <w:lang w:val="mk-MK"/>
              </w:rPr>
            </w:pPr>
          </w:p>
        </w:tc>
        <w:tc>
          <w:tcPr>
            <w:tcW w:w="1476" w:type="dxa"/>
            <w:gridSpan w:val="2"/>
            <w:shd w:val="clear" w:color="auto" w:fill="FFFFFF" w:themeFill="background1"/>
          </w:tcPr>
          <w:p w:rsidR="008E3733" w:rsidRPr="0020191F" w:rsidRDefault="008E3733" w:rsidP="008E3733">
            <w:pPr>
              <w:rPr>
                <w:rFonts w:ascii="StobiSerif Regular" w:hAnsi="StobiSerif Regular" w:cs="Arial"/>
                <w:sz w:val="16"/>
                <w:szCs w:val="16"/>
                <w:lang w:val="mk-MK"/>
              </w:rPr>
            </w:pPr>
            <w:r w:rsidRPr="0020191F">
              <w:rPr>
                <w:rFonts w:ascii="StobiSerif Regular" w:hAnsi="StobiSerif Regular" w:cs="Arial"/>
                <w:sz w:val="16"/>
                <w:szCs w:val="16"/>
                <w:lang w:val="mk-MK"/>
              </w:rPr>
              <w:t>значително</w:t>
            </w:r>
          </w:p>
          <w:p w:rsidR="008E3733" w:rsidRDefault="008E3733" w:rsidP="008E3733">
            <w:pPr>
              <w:ind w:left="179"/>
              <w:rPr>
                <w:rFonts w:ascii="StobiSerif Regular" w:hAnsi="StobiSerif Regular" w:cs="Arial"/>
                <w:sz w:val="20"/>
                <w:szCs w:val="20"/>
                <w:lang w:val="mk-MK"/>
              </w:rPr>
            </w:pPr>
          </w:p>
        </w:tc>
        <w:tc>
          <w:tcPr>
            <w:tcW w:w="1310" w:type="dxa"/>
            <w:gridSpan w:val="3"/>
            <w:shd w:val="clear" w:color="auto" w:fill="FFFFFF" w:themeFill="background1"/>
          </w:tcPr>
          <w:p w:rsidR="008E3733" w:rsidRPr="0020191F" w:rsidRDefault="008E3733" w:rsidP="008E3733">
            <w:pPr>
              <w:rPr>
                <w:rFonts w:ascii="StobiSerif Regular" w:hAnsi="StobiSerif Regular" w:cs="Arial"/>
                <w:sz w:val="16"/>
                <w:szCs w:val="16"/>
                <w:lang w:val="mk-MK"/>
              </w:rPr>
            </w:pPr>
            <w:r w:rsidRPr="0020191F">
              <w:rPr>
                <w:rFonts w:ascii="StobiSerif Regular" w:hAnsi="StobiSerif Regular" w:cs="Arial"/>
                <w:sz w:val="16"/>
                <w:szCs w:val="16"/>
                <w:lang w:val="mk-MK"/>
              </w:rPr>
              <w:t>завршено</w:t>
            </w:r>
          </w:p>
          <w:p w:rsidR="008E3733" w:rsidRDefault="008E3733" w:rsidP="008E3733">
            <w:pPr>
              <w:ind w:left="179"/>
              <w:rPr>
                <w:rFonts w:ascii="StobiSerif Regular" w:hAnsi="StobiSerif Regular" w:cs="Arial"/>
                <w:sz w:val="20"/>
                <w:szCs w:val="20"/>
                <w:lang w:val="mk-MK"/>
              </w:rPr>
            </w:pPr>
          </w:p>
        </w:tc>
      </w:tr>
      <w:tr w:rsidR="008E3733" w:rsidRPr="00E15BB7" w:rsidTr="008E3733">
        <w:tblPrEx>
          <w:tblLook w:val="0000" w:firstRow="0" w:lastRow="0" w:firstColumn="0" w:lastColumn="0" w:noHBand="0" w:noVBand="0"/>
        </w:tblPrEx>
        <w:trPr>
          <w:trHeight w:val="237"/>
        </w:trPr>
        <w:tc>
          <w:tcPr>
            <w:tcW w:w="4708" w:type="dxa"/>
            <w:vMerge/>
            <w:shd w:val="clear" w:color="auto" w:fill="FFFFFF" w:themeFill="background1"/>
          </w:tcPr>
          <w:p w:rsidR="008E3733" w:rsidRDefault="008E3733" w:rsidP="008E3733">
            <w:pPr>
              <w:jc w:val="both"/>
              <w:rPr>
                <w:rFonts w:ascii="StobiSerif Regular" w:hAnsi="StobiSerif Regular" w:cs="Arial"/>
                <w:sz w:val="20"/>
                <w:szCs w:val="20"/>
                <w:lang w:val="mk-MK"/>
              </w:rPr>
            </w:pPr>
          </w:p>
        </w:tc>
        <w:tc>
          <w:tcPr>
            <w:tcW w:w="1275" w:type="dxa"/>
            <w:shd w:val="clear" w:color="auto" w:fill="548DD4" w:themeFill="text2" w:themeFillTint="99"/>
          </w:tcPr>
          <w:p w:rsidR="008E3733" w:rsidRPr="00E15BB7" w:rsidRDefault="008E3733" w:rsidP="008E3733">
            <w:pPr>
              <w:ind w:left="179"/>
              <w:rPr>
                <w:rFonts w:ascii="StobiSerif Regular" w:hAnsi="StobiSerif Regular" w:cs="Arial"/>
                <w:b/>
                <w:sz w:val="20"/>
                <w:szCs w:val="20"/>
                <w:lang w:val="mk-MK"/>
              </w:rPr>
            </w:pPr>
          </w:p>
        </w:tc>
        <w:tc>
          <w:tcPr>
            <w:tcW w:w="1134" w:type="dxa"/>
            <w:shd w:val="clear" w:color="auto" w:fill="FFFFFF" w:themeFill="background1"/>
          </w:tcPr>
          <w:p w:rsidR="008E3733" w:rsidRPr="00E15BB7" w:rsidRDefault="008E3733" w:rsidP="008E3733">
            <w:pPr>
              <w:ind w:left="179"/>
              <w:rPr>
                <w:rFonts w:ascii="StobiSerif Regular" w:hAnsi="StobiSerif Regular" w:cs="Arial"/>
                <w:b/>
                <w:sz w:val="20"/>
                <w:szCs w:val="20"/>
                <w:lang w:val="mk-MK"/>
              </w:rPr>
            </w:pPr>
          </w:p>
        </w:tc>
        <w:tc>
          <w:tcPr>
            <w:tcW w:w="1476" w:type="dxa"/>
            <w:gridSpan w:val="2"/>
            <w:shd w:val="clear" w:color="auto" w:fill="FFFFFF" w:themeFill="background1"/>
          </w:tcPr>
          <w:p w:rsidR="008E3733" w:rsidRPr="00E15BB7" w:rsidRDefault="008E3733" w:rsidP="008E3733">
            <w:pPr>
              <w:ind w:left="179"/>
              <w:rPr>
                <w:rFonts w:ascii="StobiSerif Regular" w:hAnsi="StobiSerif Regular" w:cs="Arial"/>
                <w:b/>
                <w:sz w:val="20"/>
                <w:szCs w:val="20"/>
                <w:lang w:val="mk-MK"/>
              </w:rPr>
            </w:pPr>
          </w:p>
        </w:tc>
        <w:tc>
          <w:tcPr>
            <w:tcW w:w="1310" w:type="dxa"/>
            <w:gridSpan w:val="3"/>
            <w:shd w:val="clear" w:color="auto" w:fill="FFFFFF" w:themeFill="background1"/>
          </w:tcPr>
          <w:p w:rsidR="008E3733" w:rsidRPr="00E15BB7" w:rsidRDefault="008E3733" w:rsidP="008E3733">
            <w:pPr>
              <w:ind w:left="179"/>
              <w:rPr>
                <w:rFonts w:ascii="StobiSerif Regular" w:hAnsi="StobiSerif Regular" w:cs="Arial"/>
                <w:b/>
                <w:sz w:val="20"/>
                <w:szCs w:val="20"/>
                <w:lang w:val="mk-MK"/>
              </w:rPr>
            </w:pPr>
          </w:p>
        </w:tc>
      </w:tr>
      <w:tr w:rsidR="008E3733" w:rsidRPr="00A33E03" w:rsidTr="008E3733">
        <w:tblPrEx>
          <w:tblLook w:val="0000" w:firstRow="0" w:lastRow="0" w:firstColumn="0" w:lastColumn="0" w:noHBand="0" w:noVBand="0"/>
        </w:tblPrEx>
        <w:trPr>
          <w:trHeight w:val="750"/>
        </w:trPr>
        <w:tc>
          <w:tcPr>
            <w:tcW w:w="4708" w:type="dxa"/>
            <w:shd w:val="clear" w:color="auto" w:fill="FFFFFF" w:themeFill="background1"/>
          </w:tcPr>
          <w:p w:rsidR="008E3733" w:rsidRPr="0020191F" w:rsidRDefault="008E3733" w:rsidP="008E3733">
            <w:pPr>
              <w:jc w:val="both"/>
              <w:rPr>
                <w:rFonts w:ascii="StobiSerif Regular" w:hAnsi="StobiSerif Regular" w:cs="Arial"/>
                <w:b/>
                <w:sz w:val="20"/>
                <w:szCs w:val="20"/>
                <w:lang w:val="mk-MK"/>
              </w:rPr>
            </w:pPr>
            <w:r w:rsidRPr="0020191F">
              <w:rPr>
                <w:rFonts w:ascii="StobiSerif Regular" w:hAnsi="StobiSerif Regular" w:cs="Arial"/>
                <w:b/>
                <w:sz w:val="20"/>
                <w:szCs w:val="20"/>
                <w:lang w:val="mk-MK"/>
              </w:rPr>
              <w:t>3.1.2. Мерки за зголемување на пристапот до информации од јавен карактер</w:t>
            </w:r>
          </w:p>
          <w:p w:rsidR="008E3733" w:rsidRDefault="008E3733" w:rsidP="008E3733">
            <w:pPr>
              <w:jc w:val="both"/>
              <w:rPr>
                <w:rFonts w:ascii="StobiSerif Regular" w:hAnsi="StobiSerif Regular" w:cs="Arial"/>
                <w:sz w:val="20"/>
                <w:szCs w:val="20"/>
                <w:lang w:val="mk-MK"/>
              </w:rPr>
            </w:pPr>
          </w:p>
          <w:p w:rsidR="008E3733" w:rsidRPr="00232275" w:rsidRDefault="008E3733" w:rsidP="008E3733">
            <w:pPr>
              <w:jc w:val="both"/>
              <w:rPr>
                <w:rFonts w:ascii="StobiSerif Regular" w:hAnsi="StobiSerif Regular" w:cs="Arial"/>
                <w:sz w:val="20"/>
                <w:szCs w:val="20"/>
                <w:lang w:val="mk-MK"/>
              </w:rPr>
            </w:pPr>
            <w:r w:rsidRPr="00232275">
              <w:rPr>
                <w:rFonts w:ascii="StobiSerif Regular" w:hAnsi="StobiSerif Regular" w:cs="Arial"/>
                <w:sz w:val="20"/>
                <w:szCs w:val="20"/>
                <w:lang w:val="mk-MK"/>
              </w:rPr>
              <w:t>-Прирачник за спроведување на тестот на штетност</w:t>
            </w:r>
          </w:p>
          <w:p w:rsidR="008E3733" w:rsidRDefault="008E3733" w:rsidP="008E3733">
            <w:pPr>
              <w:jc w:val="both"/>
              <w:rPr>
                <w:rFonts w:ascii="StobiSerif Regular" w:hAnsi="StobiSerif Regular" w:cs="Arial"/>
                <w:sz w:val="20"/>
                <w:szCs w:val="20"/>
                <w:lang w:val="mk-MK"/>
              </w:rPr>
            </w:pPr>
          </w:p>
        </w:tc>
        <w:tc>
          <w:tcPr>
            <w:tcW w:w="5195" w:type="dxa"/>
            <w:gridSpan w:val="7"/>
            <w:tcBorders>
              <w:bottom w:val="single" w:sz="4" w:space="0" w:color="auto"/>
            </w:tcBorders>
            <w:shd w:val="clear" w:color="auto" w:fill="FFFFFF" w:themeFill="background1"/>
          </w:tcPr>
          <w:p w:rsidR="008E3733" w:rsidRPr="00131036" w:rsidRDefault="008E3733" w:rsidP="008E3733">
            <w:pPr>
              <w:jc w:val="both"/>
              <w:rPr>
                <w:rFonts w:ascii="StobiSerif Regular" w:hAnsi="StobiSerif Regular" w:cs="Arial"/>
                <w:sz w:val="20"/>
                <w:szCs w:val="20"/>
              </w:rPr>
            </w:pPr>
            <w:r w:rsidRPr="00131036">
              <w:rPr>
                <w:rFonts w:ascii="StobiSerif Regular" w:hAnsi="StobiSerif Regular" w:cs="Arial"/>
                <w:sz w:val="20"/>
                <w:szCs w:val="20"/>
              </w:rPr>
              <w:t>-</w:t>
            </w:r>
            <w:r w:rsidRPr="00131036">
              <w:rPr>
                <w:rFonts w:ascii="StobiSerif Regular" w:hAnsi="StobiSerif Regular" w:cs="Arial"/>
                <w:sz w:val="20"/>
                <w:szCs w:val="20"/>
                <w:lang w:val="mk-MK"/>
              </w:rPr>
              <w:t xml:space="preserve">Беше одржан состанок на чинителите на оваа активност, </w:t>
            </w:r>
            <w:r w:rsidRPr="005B3300">
              <w:rPr>
                <w:rFonts w:ascii="StobiSerif Regular" w:hAnsi="StobiSerif Regular" w:cs="Arial"/>
                <w:sz w:val="20"/>
                <w:szCs w:val="20"/>
                <w:lang w:val="mk-MK"/>
              </w:rPr>
              <w:t xml:space="preserve">но </w:t>
            </w:r>
            <w:r w:rsidR="003946AC" w:rsidRPr="005B3300">
              <w:rPr>
                <w:rFonts w:ascii="StobiSerif Regular" w:hAnsi="StobiSerif Regular" w:cs="Arial"/>
                <w:sz w:val="20"/>
                <w:szCs w:val="20"/>
                <w:lang w:val="mk-MK"/>
              </w:rPr>
              <w:t xml:space="preserve">од погоре </w:t>
            </w:r>
            <w:r w:rsidRPr="005B3300">
              <w:rPr>
                <w:rFonts w:ascii="StobiSerif Regular" w:hAnsi="StobiSerif Regular" w:cs="Arial"/>
                <w:sz w:val="20"/>
                <w:szCs w:val="20"/>
              </w:rPr>
              <w:t>наведените причини</w:t>
            </w:r>
            <w:r w:rsidRPr="00131036">
              <w:rPr>
                <w:rFonts w:ascii="StobiSerif Regular" w:hAnsi="StobiSerif Regular" w:cs="Arial"/>
                <w:sz w:val="20"/>
                <w:szCs w:val="20"/>
              </w:rPr>
              <w:t xml:space="preserve"> </w:t>
            </w:r>
            <w:r w:rsidRPr="00131036">
              <w:rPr>
                <w:rFonts w:ascii="StobiSerif Regular" w:hAnsi="StobiSerif Regular" w:cs="Arial"/>
                <w:sz w:val="20"/>
                <w:szCs w:val="20"/>
                <w:lang w:val="mk-MK"/>
              </w:rPr>
              <w:t>активноста не е започната</w:t>
            </w:r>
            <w:r w:rsidRPr="00131036">
              <w:rPr>
                <w:rFonts w:ascii="StobiSerif Regular" w:hAnsi="StobiSerif Regular" w:cs="Arial"/>
                <w:sz w:val="20"/>
                <w:szCs w:val="20"/>
              </w:rPr>
              <w:t xml:space="preserve"> </w:t>
            </w:r>
            <w:r w:rsidRPr="00131036">
              <w:rPr>
                <w:rFonts w:ascii="StobiSerif Regular" w:hAnsi="StobiSerif Regular" w:cs="Arial"/>
                <w:sz w:val="20"/>
                <w:szCs w:val="20"/>
                <w:lang w:val="mk-MK"/>
              </w:rPr>
              <w:t xml:space="preserve">и по укажување на ФООМ (носител на мерката) </w:t>
            </w:r>
            <w:r w:rsidRPr="00131036">
              <w:rPr>
                <w:rFonts w:ascii="StobiSerif Regular" w:hAnsi="StobiSerif Regular" w:cs="Arial"/>
                <w:sz w:val="20"/>
                <w:szCs w:val="20"/>
              </w:rPr>
              <w:t>Прирачникот</w:t>
            </w:r>
            <w:r w:rsidRPr="00131036">
              <w:rPr>
                <w:rFonts w:ascii="StobiSerif Regular" w:hAnsi="StobiSerif Regular" w:cs="Arial"/>
                <w:sz w:val="20"/>
                <w:szCs w:val="20"/>
                <w:lang w:val="mk-MK"/>
              </w:rPr>
              <w:t xml:space="preserve"> ќ</w:t>
            </w:r>
            <w:r w:rsidRPr="00131036">
              <w:rPr>
                <w:rFonts w:ascii="StobiSerif Regular" w:hAnsi="StobiSerif Regular" w:cs="Arial"/>
                <w:sz w:val="20"/>
                <w:szCs w:val="20"/>
              </w:rPr>
              <w:t xml:space="preserve">е продолжи да </w:t>
            </w:r>
            <w:r w:rsidRPr="00131036">
              <w:rPr>
                <w:rFonts w:ascii="StobiSerif Regular" w:hAnsi="StobiSerif Regular" w:cs="Arial"/>
                <w:sz w:val="20"/>
                <w:szCs w:val="20"/>
                <w:lang w:val="mk-MK"/>
              </w:rPr>
              <w:t>се</w:t>
            </w:r>
            <w:r w:rsidRPr="00131036">
              <w:rPr>
                <w:rFonts w:ascii="StobiSerif Regular" w:hAnsi="StobiSerif Regular" w:cs="Arial"/>
                <w:sz w:val="20"/>
                <w:szCs w:val="20"/>
              </w:rPr>
              <w:t xml:space="preserve"> работи </w:t>
            </w:r>
            <w:r w:rsidRPr="00131036">
              <w:rPr>
                <w:rFonts w:ascii="StobiSerif Regular" w:hAnsi="StobiSerif Regular" w:cs="Arial"/>
                <w:sz w:val="20"/>
                <w:szCs w:val="20"/>
                <w:lang w:val="mk-MK"/>
              </w:rPr>
              <w:t xml:space="preserve">и </w:t>
            </w:r>
            <w:r w:rsidRPr="00131036">
              <w:rPr>
                <w:rFonts w:ascii="StobiSerif Regular" w:hAnsi="StobiSerif Regular" w:cs="Arial"/>
                <w:sz w:val="20"/>
                <w:szCs w:val="20"/>
              </w:rPr>
              <w:t>да се реализира надвор од НАП 3 за ОВП. (Фондацијата Отворено општество Македонија)</w:t>
            </w:r>
          </w:p>
        </w:tc>
      </w:tr>
    </w:tbl>
    <w:p w:rsidR="008E3733" w:rsidRDefault="008E3733" w:rsidP="008E3733"/>
    <w:p w:rsidR="008E3733" w:rsidRPr="00232275" w:rsidRDefault="008E3733" w:rsidP="008E3733">
      <w:pPr>
        <w:tabs>
          <w:tab w:val="left" w:pos="1340"/>
        </w:tabs>
        <w:spacing w:after="0" w:line="240" w:lineRule="auto"/>
        <w:rPr>
          <w:rFonts w:ascii="StobiSerif Regular" w:eastAsia="Times New Roman" w:hAnsi="StobiSerif Regular" w:cs="Times New Roman"/>
          <w:sz w:val="20"/>
          <w:szCs w:val="20"/>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831"/>
        </w:trPr>
        <w:tc>
          <w:tcPr>
            <w:tcW w:w="9974"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33" w:name="_Toc453059111"/>
            <w:bookmarkStart w:id="34" w:name="_Toc453059203"/>
            <w:bookmarkStart w:id="35" w:name="_Toc453059249"/>
            <w:r w:rsidRPr="00232275">
              <w:rPr>
                <w:rFonts w:ascii="StobiSerif Regular" w:eastAsia="Times New Roman" w:hAnsi="StobiSerif Regular" w:cs="Times New Roman"/>
                <w:b/>
                <w:sz w:val="20"/>
                <w:szCs w:val="20"/>
                <w:lang w:val="mk-MK"/>
              </w:rPr>
              <w:t>4.СПРЕЧУВАЊЕ НА КОРУПЦИЈАТА И ПРОМОВИРАЊЕ НА ДОБРОТО ВЛАДЕЕЊЕ</w:t>
            </w:r>
            <w:bookmarkEnd w:id="33"/>
            <w:bookmarkEnd w:id="34"/>
            <w:bookmarkEnd w:id="35"/>
          </w:p>
        </w:tc>
      </w:tr>
      <w:tr w:rsidR="008E3733" w:rsidRPr="00232275" w:rsidTr="008E3733">
        <w:trPr>
          <w:trHeight w:val="544"/>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36" w:name="_Toc453059112"/>
            <w:bookmarkStart w:id="37" w:name="_Toc453059204"/>
            <w:bookmarkStart w:id="38" w:name="_Toc453059250"/>
            <w:r w:rsidRPr="00232275">
              <w:rPr>
                <w:rFonts w:ascii="StobiSerif Regular" w:eastAsia="Times New Roman" w:hAnsi="StobiSerif Regular" w:cs="Times New Roman"/>
                <w:b/>
                <w:sz w:val="20"/>
                <w:szCs w:val="20"/>
                <w:lang w:val="mk-MK"/>
              </w:rPr>
              <w:t>4.1 Имплементација на Законот за заштита на укажувачи и јакнење на свеста за укажувањето</w:t>
            </w:r>
            <w:bookmarkEnd w:id="36"/>
            <w:bookmarkEnd w:id="37"/>
            <w:bookmarkEnd w:id="38"/>
          </w:p>
        </w:tc>
      </w:tr>
      <w:tr w:rsidR="008E3733" w:rsidRPr="00232275" w:rsidTr="008E3733">
        <w:trPr>
          <w:trHeight w:val="56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w:t>
            </w:r>
            <w:r w:rsidRPr="00232275">
              <w:rPr>
                <w:rFonts w:ascii="StobiSerif Regular" w:eastAsia="Times New Roman" w:hAnsi="StobiSerif Regular" w:cs="Times New Roman"/>
                <w:sz w:val="20"/>
                <w:szCs w:val="20"/>
              </w:rPr>
              <w:t>7/</w:t>
            </w:r>
            <w:r w:rsidRPr="00232275">
              <w:rPr>
                <w:rFonts w:ascii="StobiSerif Regular" w:eastAsia="Times New Roman" w:hAnsi="StobiSerif Regular" w:cs="Times New Roman"/>
                <w:sz w:val="20"/>
                <w:szCs w:val="20"/>
                <w:lang w:val="mk-MK"/>
              </w:rPr>
              <w:t>2016 – континуирано)</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но наследува претходна мерка од Акцискиот план 2014-2016</w:t>
            </w:r>
          </w:p>
        </w:tc>
      </w:tr>
      <w:tr w:rsidR="008E3733" w:rsidRPr="00232275" w:rsidTr="008E3733">
        <w:trPr>
          <w:trHeight w:val="41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Државна комисија за спречување на корупцијата</w:t>
            </w:r>
          </w:p>
        </w:tc>
      </w:tr>
      <w:tr w:rsidR="008E3733" w:rsidRPr="00232275" w:rsidTr="008E3733">
        <w:trPr>
          <w:trHeight w:val="53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Весна Донева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Владимир Георгиев</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Советник за аналитика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Државен советник</w:t>
            </w:r>
          </w:p>
          <w:p w:rsidR="008E3733" w:rsidRPr="00232275" w:rsidRDefault="008E3733" w:rsidP="008E3733">
            <w:pPr>
              <w:spacing w:after="0" w:line="240" w:lineRule="auto"/>
              <w:rPr>
                <w:rFonts w:ascii="StobiSerif Regular" w:eastAsia="Times New Roman" w:hAnsi="StobiSerif Regular" w:cs="Times New Roman"/>
                <w:sz w:val="16"/>
                <w:szCs w:val="16"/>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Сектор за програми, аналитика, меѓународна соработка и административни работи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Секретаријат на ДКСК</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0" w:history="1">
              <w:r w:rsidR="008E3733" w:rsidRPr="00232275">
                <w:rPr>
                  <w:rFonts w:ascii="StobiSerif Regular" w:eastAsia="Times New Roman" w:hAnsi="StobiSerif Regular" w:cs="Times New Roman"/>
                  <w:sz w:val="20"/>
                  <w:szCs w:val="20"/>
                  <w:lang w:val="mk-MK"/>
                </w:rPr>
                <w:t>vdoneva@dksk.org.mk</w:t>
              </w:r>
            </w:hyperlink>
          </w:p>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1" w:history="1">
              <w:r w:rsidR="008E3733" w:rsidRPr="00232275">
                <w:rPr>
                  <w:rFonts w:ascii="StobiSerif Regular" w:eastAsia="Times New Roman" w:hAnsi="StobiSerif Regular" w:cs="Times New Roman"/>
                  <w:sz w:val="20"/>
                  <w:szCs w:val="20"/>
                  <w:lang w:val="mk-MK"/>
                </w:rPr>
                <w:t>vgeorgiev@dksk.org.mk</w:t>
              </w:r>
            </w:hyperlink>
            <w:r w:rsidR="008E3733" w:rsidRPr="00232275">
              <w:rPr>
                <w:rFonts w:ascii="StobiSerif Regular" w:eastAsia="Times New Roman" w:hAnsi="StobiSerif Regular" w:cs="Times New Roman"/>
                <w:sz w:val="20"/>
                <w:szCs w:val="20"/>
                <w:lang w:val="mk-MK"/>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3215-377</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075 273-023</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070/342 782 </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правда и институции од јавниот и приватниот сектор </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Транспарентност Интернешнл Македонија и други ГО</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5225"/>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Примената на Законот за заштита на укажувачи и на подзаконските акти коишто произлегуваат од него, започна на 18.03.2016 година.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Законот за заштита на укажувачите на лицата кои се јавуваат во својство на укажувач им се гарантира заштита дека поради пријавувањето нема да бидат повредени нивните права, нема да им биде нанесена штета ним или на блиско лице и ќе уживаат заштита на нивните лични податоци и идентитетот.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 имплементација на законот потребно е воспоставување и градење на систем за заштита на пријавувањето преку кој лицата ќе се осмелуваат да пријават незаконито, недозволиво или казниво постапување и ќе се им се обезбеди амбиент за пријавување без страв од последици по нивната безбедност, работното место или благосостојбата на нивните блиски.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Ефикасна имплементација на Законот за заштита на укажувачи </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Имплеметацијата на Законот за заштита на укажувачи и подзаконските акти кои произлегуваат од него,  преку воспоставување и градење на систем и механизми за заштитено пријавување и заштита на укажувачите,  е од особено значење за јакнење на институционалната борба против корупцијата и воопшто за спречување на корупцијата како општествено штетна појава. Преку јакнењето на јавната свест за заштитеното пријавување, заштитата на укажувачите и нивното значење за превенција и борба против корупцијата и заштитата на јавниот интерес, ќе се поттикне и охрабри  пријавувањето </w:t>
            </w:r>
            <w:r w:rsidRPr="00232275">
              <w:rPr>
                <w:rFonts w:ascii="StobiSerif Regular" w:eastAsia="Times New Roman" w:hAnsi="StobiSerif Regular" w:cs="Times New Roman"/>
                <w:sz w:val="20"/>
                <w:szCs w:val="20"/>
                <w:lang w:val="mk-MK"/>
              </w:rPr>
              <w:lastRenderedPageBreak/>
              <w:t xml:space="preserve">на казниво или друго незаконито или недозволиво постапување со кое се повредува  јавниот интерес.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B06E2A">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Зголемување на јавната одговорност,  интегритетот и довербата во јавниот и приватниот сектор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Таргет 16.5: Значително намалување на сите форми на корупција и поткуп.</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мерките од оваа заложба се придонесува кон превенција и борба против корупцијата и заштитата на јавниот интерес преку ефикасна примена на системот на заштитеното пријавување и  заштитата на укажувачите. </w:t>
            </w:r>
          </w:p>
        </w:tc>
      </w:tr>
      <w:tr w:rsidR="008E3733" w:rsidRPr="00232275" w:rsidTr="008E3733">
        <w:trPr>
          <w:trHeight w:val="83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Законот за заштита на укажувачи („Службен весник на Република Македонија“ број 196/2015), е донесен на 09.11.2015 година, а со истиот се уредуваат заштитеното пријавување во јавниот и приватниот сектор, правата на укажувачите,  како и постапувањето и должностите на институциите, односно правните лица во врска со заштитено пријавување и обезбедувањето заштита на укажувачите. Во март 2016 година Министерот за правда ги донесе подзаконските акти кои произлегуваат од Законот за заштита на укажувачи: Правилник за заштитено внатрешно пријавување во институциите во јавниот сектор („Службен весник на Република Македонија“ број 46/16), Правилник за надворешно пријавување („Службен весник на Република Македонија“ број 46/16) и Правилник за насоки за донесување на внатрешни акти за заштитено внатрешно пријавување во правното лице во приватниот сектор („Службен весник на Република Македонија“ број 46/16). Примената на Законот за заштита на укажувачи и на подзаконските акти коишто произлегуваат од него започна на 18.03.2016 година.</w:t>
            </w:r>
          </w:p>
          <w:p w:rsidR="008E3733" w:rsidRPr="00232275" w:rsidRDefault="008E3733" w:rsidP="008E3733">
            <w:pPr>
              <w:tabs>
                <w:tab w:val="left" w:pos="709"/>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На меѓународен план постојат повеќе акти како основа за донесување на законско решение со кое ќе се регулира пријавувањето и заштитата на пријавувачите како што се Конвенцијата на Обединетите Нации за борба против корупцијата, Цивилната конвенција за спречување корупција и Казнената конвенција за корупција на Советот на Европа, Нацрт- резолуција од 2009 година за заштита на лица кои пријавуваат нерегуларности на Парламентарното собрание на Советот на Европа.</w:t>
            </w:r>
          </w:p>
          <w:p w:rsidR="008E3733" w:rsidRPr="00232275" w:rsidRDefault="008E3733" w:rsidP="008E3733">
            <w:pPr>
              <w:tabs>
                <w:tab w:val="left" w:pos="709"/>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Конвенцијата на Обединетите нации упатува на институтот „Заштита на укажувачи“ (whistleblower protection) во антикорупциската правна рамка. Со донесувањето на Законот за заштита на укажувачите и со донесувањето на подзаконските акти кои произлегуваат од истиот, надградена е македонската антикорупциска правна рамка.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Борбата против корупцијата ќе биде зајакната со воспоставување на системот на заштитено пријавување и системска институционална заштита на лицата кои пријавуваат сомневање или сознание дека е извршено, се </w:t>
            </w:r>
            <w:r w:rsidRPr="00232275">
              <w:rPr>
                <w:rFonts w:ascii="StobiSerif Regular" w:eastAsia="Times New Roman" w:hAnsi="StobiSerif Regular" w:cs="Times New Roman"/>
                <w:sz w:val="20"/>
                <w:szCs w:val="20"/>
                <w:lang w:val="mk-MK"/>
              </w:rPr>
              <w:lastRenderedPageBreak/>
              <w:t>извршува или е веројатно дека ќе се изврши казниво или друго незаконито или недозволиво постапување со кое се повредува  јавниот интерес.</w:t>
            </w:r>
          </w:p>
        </w:tc>
      </w:tr>
      <w:tr w:rsidR="008E3733" w:rsidRPr="00232275" w:rsidTr="008E3733">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Преку воспоставување на систем за  заштитено пријавување и системска заштита на укажувачите,  </w:t>
            </w:r>
            <w:r w:rsidRPr="00232275">
              <w:rPr>
                <w:rFonts w:ascii="StobiSerif Regular" w:eastAsia="Times New Roman" w:hAnsi="StobiSerif Regular" w:cs="Times New Roman"/>
                <w:sz w:val="20"/>
                <w:szCs w:val="20"/>
              </w:rPr>
              <w:t xml:space="preserve">се очекува успешна примена на законот. Спроведувањето и резултатите од спроведувањето на Законот ќе се утврди </w:t>
            </w:r>
            <w:r w:rsidRPr="00232275">
              <w:rPr>
                <w:rFonts w:ascii="StobiSerif Regular" w:eastAsia="Times New Roman" w:hAnsi="StobiSerif Regular" w:cs="Times New Roman"/>
                <w:sz w:val="20"/>
                <w:szCs w:val="20"/>
                <w:lang w:val="mk-MK"/>
              </w:rPr>
              <w:t xml:space="preserve"> согласно Методологијата за оценка на спроведувањето на регулативата и ќе се преземат мерки за унапредување на примената на Законот за заштита на укажувачи.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оваа заложба се очекува зголемена доверба во институциите од аспект на пријавувањето во истите за случаи на казниво или друго незаконито или недозволиво постапување со кое се повредува  јавниот интерес, а со тоа и  зголемен број на пријави од укажувачи. Ќе се зајакне јавната свест за укажувањето и ќе се зголеми информираноста на граѓаните за значењето на укажувачите во превенцијата и борбата против корупција и заштитата на јавниот интерес.  </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8E3733">
        <w:trPr>
          <w:trHeight w:val="331"/>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8E3733">
        <w:trPr>
          <w:trHeight w:val="852"/>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Назив на достигнување </w:t>
            </w:r>
          </w:p>
          <w:p w:rsidR="008E3733" w:rsidRPr="00232275" w:rsidRDefault="008E3733" w:rsidP="008E3733">
            <w:pPr>
              <w:spacing w:after="0" w:line="240" w:lineRule="auto"/>
              <w:rPr>
                <w:rFonts w:ascii="StobiSerif Regular" w:eastAsia="Times New Roman" w:hAnsi="StobiSerif Regular" w:cs="Times New Roman"/>
                <w:sz w:val="20"/>
                <w:szCs w:val="20"/>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27"/>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4.1.1. Примена на законот и подзаконските акти за заштитено пријавување (определување овластени лица за прием на пријави од укажувачи од институциите)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 18 март 2016 година започна примената на Законот за заштита на укажувачи, како и примената на подзаконските акти кои произлегуваат од него.</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Постапувајќи во согласност со надлежностите утврдени во Законот за заштита на укажувачите, ДКСК презеде активности во насока на градење на системот на заштита на укажувачите за заштитено внатрешно и надворешно пријавување. Во април 2016 година ДКСК назначи овластено лице за прием на пријави од укажувачи во ДКСК. По започнувањето на примената на Законот и подзаконските акти што произлегуваат од него, институциите започнаа да доставуваат до ДКСК известувања за назначени овластени лица за прием на пријави од укажувачи. Постапувајќи во согласност со член 2 став (1) од Правилникот за заштитено внатрешно пријавување во институциите во јавниот сектор, до крајот на 2016 година, вкупно 29 институции од јавниот сектор доставија известување за овластено лице за прием на пријави од укажувачи. Известување за овластено лице доставија  и 20 институции од приватниот сектор, иако според Законот не се обврзани да достават такво известување до ДКСК.</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-Заклучно со 31 декември 2017 година, до Државната комисија за спречување на корупцијата вкупно 8  институции од јавниот сектор доставиле известување за овластување на лице за</w:t>
            </w:r>
            <w:r w:rsidR="00B06E2A">
              <w:rPr>
                <w:rFonts w:ascii="StobiSerif Regular" w:eastAsia="Times New Roman" w:hAnsi="StobiSerif Regular" w:cs="Times New Roman"/>
                <w:sz w:val="20"/>
                <w:szCs w:val="20"/>
                <w:lang w:val="mk-MK"/>
              </w:rPr>
              <w:t xml:space="preserve"> прием на пријави од укажувачи.</w:t>
            </w:r>
          </w:p>
          <w:p w:rsidR="008E3733" w:rsidRDefault="00B06E2A"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lastRenderedPageBreak/>
              <w:t xml:space="preserve">- </w:t>
            </w:r>
            <w:r w:rsidR="008E3733" w:rsidRPr="00471A7A">
              <w:rPr>
                <w:rFonts w:ascii="StobiSerif Regular" w:eastAsia="Times New Roman" w:hAnsi="StobiSerif Regular" w:cs="Times New Roman"/>
                <w:sz w:val="20"/>
                <w:szCs w:val="20"/>
                <w:lang w:val="mk-MK"/>
              </w:rPr>
              <w:t>Владата на Република Македонија, на својата 34-та Седница, одржана на 31.10.2017 година, кон точка 1, усвои заклучок со кој ги задолжи сите министерства и други органи на државната управа да објават, помеѓу другите материјали и акти за објавување согласно закон, и контакт информации за овластените лица за</w:t>
            </w:r>
            <w:r>
              <w:rPr>
                <w:rFonts w:ascii="StobiSerif Regular" w:eastAsia="Times New Roman" w:hAnsi="StobiSerif Regular" w:cs="Times New Roman"/>
                <w:sz w:val="20"/>
                <w:szCs w:val="20"/>
                <w:lang w:val="mk-MK"/>
              </w:rPr>
              <w:t xml:space="preserve"> прием на пријави од укажувачи.</w:t>
            </w:r>
          </w:p>
          <w:p w:rsidR="00761CDD" w:rsidRPr="00761CDD" w:rsidRDefault="00761CDD" w:rsidP="008E3733">
            <w:pPr>
              <w:spacing w:after="0" w:line="240" w:lineRule="auto"/>
              <w:jc w:val="both"/>
              <w:rPr>
                <w:rFonts w:ascii="StobiSerif Regular" w:eastAsia="Times New Roman" w:hAnsi="StobiSerif Regular" w:cs="Times New Roman"/>
                <w:sz w:val="20"/>
                <w:szCs w:val="20"/>
              </w:rPr>
            </w:pPr>
            <w:r>
              <w:rPr>
                <w:rFonts w:ascii="StobiSerif Regular" w:eastAsia="Times New Roman" w:hAnsi="StobiSerif Regular" w:cs="Times New Roman"/>
                <w:sz w:val="20"/>
                <w:szCs w:val="20"/>
              </w:rPr>
              <w:t xml:space="preserve">- </w:t>
            </w:r>
            <w:r w:rsidRPr="00761CDD">
              <w:rPr>
                <w:rFonts w:ascii="StobiSerif Regular" w:eastAsia="Times New Roman" w:hAnsi="StobiSerif Regular" w:cs="Times New Roman"/>
                <w:sz w:val="20"/>
                <w:szCs w:val="20"/>
              </w:rPr>
              <w:t>На 07.12.2017 година, Министерството за правда до Владата достави Предлог на закон за изменување и дополнување на Законот за заштита на укажувачи, со цел усогласување на Законот со препораките дадени од Венецијанската комисија со мислењето бр. 829/2015 од 15.03.2016 година.</w:t>
            </w:r>
          </w:p>
          <w:p w:rsidR="008E3733" w:rsidRPr="00B06E2A" w:rsidRDefault="00B06E2A"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 xml:space="preserve">- </w:t>
            </w:r>
            <w:r w:rsidR="008E3733" w:rsidRPr="00471A7A">
              <w:rPr>
                <w:rFonts w:ascii="StobiSerif Regular" w:eastAsia="Times New Roman" w:hAnsi="StobiSerif Regular" w:cs="Times New Roman"/>
                <w:sz w:val="20"/>
                <w:szCs w:val="20"/>
                <w:lang w:val="mk-MK"/>
              </w:rPr>
              <w:t>Законот за изменување и дополнување на Законот за укажувачи е донесен во февруари 2018 година и е објавен во „Службен весник на Република Македонија“, бр. 35/18. Со донесените измени и дополнувања Законот е усогласен со мислењето Венецијанската комисија особено во делот на заштитеното јавно пријавување, а  воведен е и надзор на</w:t>
            </w:r>
            <w:r>
              <w:rPr>
                <w:rFonts w:ascii="StobiSerif Regular" w:eastAsia="Times New Roman" w:hAnsi="StobiSerif Regular" w:cs="Times New Roman"/>
                <w:sz w:val="20"/>
                <w:szCs w:val="20"/>
                <w:lang w:val="mk-MK"/>
              </w:rPr>
              <w:t xml:space="preserve"> спроведувањето на одредбите.  </w:t>
            </w:r>
          </w:p>
        </w:tc>
      </w:tr>
      <w:tr w:rsidR="008E3733" w:rsidRPr="00232275" w:rsidTr="008E3733">
        <w:trPr>
          <w:trHeight w:val="2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lastRenderedPageBreak/>
              <w:t>4.1.2. Јакнење на капацитетите на овластените лица за прием на пријави од укажувачи за ефикасно спроведување на законот преку обуки и работилници</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-Активности во насока на имплементација на оваа мерка се предвидени со Државната програма за превенција и репресија на корупцијата и превенција и намалување на појавата на судир на интереси, со Акционен план 2016-2019.</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рамките на проектот финансиран од ЕУ „Зајакнување на националните капацитети за борба против организиран криминал и корупција“, во кој ДКСК е една од институциите корисници, во текот на мај-јуни 2017 година беа реализирани активности на техничко и содржинско финализирање на  платформата за е-учење, започната во рамките на Твининг проект ИПА 2010 „Поддршка за ефикасна превенција и борба против корупција”. Во содржината на е-учењето, една од темите е и заштита на укажувачите.</w:t>
            </w:r>
          </w:p>
          <w:p w:rsidR="008E3733" w:rsidRDefault="008E3733" w:rsidP="008E3733">
            <w:pPr>
              <w:spacing w:after="0" w:line="240" w:lineRule="auto"/>
              <w:jc w:val="both"/>
              <w:rPr>
                <w:rFonts w:ascii="StobiSerif Regular" w:eastAsia="Times New Roman" w:hAnsi="StobiSerif Regular" w:cs="Times New Roman"/>
                <w:sz w:val="20"/>
                <w:szCs w:val="20"/>
              </w:rPr>
            </w:pPr>
            <w:r w:rsidRPr="00471A7A">
              <w:rPr>
                <w:rFonts w:ascii="StobiSerif Regular" w:eastAsia="Times New Roman" w:hAnsi="StobiSerif Regular" w:cs="Times New Roman"/>
                <w:sz w:val="20"/>
                <w:szCs w:val="20"/>
                <w:lang w:val="mk-MK"/>
              </w:rPr>
              <w:t>-Во насока на јакнење на капацитетите на институциите за ефикасно спроведување на Законот за заштита на укажувачите се и обуките на  тема „Антикорупциски мерки и етика во државната служба“ кои ДКСК ги спроведува во рамки на годишната програма за генерички обуки на административни службеници, во организација на МИОА</w:t>
            </w:r>
            <w:r w:rsidR="00761CDD">
              <w:rPr>
                <w:rFonts w:ascii="StobiSerif Regular" w:eastAsia="Times New Roman" w:hAnsi="StobiSerif Regular" w:cs="Times New Roman"/>
                <w:sz w:val="20"/>
                <w:szCs w:val="20"/>
              </w:rPr>
              <w:t>.</w:t>
            </w:r>
            <w:r w:rsidRPr="00471A7A">
              <w:rPr>
                <w:rFonts w:ascii="StobiSerif Regular" w:eastAsia="Times New Roman" w:hAnsi="StobiSerif Regular" w:cs="Times New Roman"/>
                <w:sz w:val="20"/>
                <w:szCs w:val="20"/>
                <w:lang w:val="mk-MK"/>
              </w:rPr>
              <w:t xml:space="preserve"> </w:t>
            </w:r>
            <w:r w:rsidR="00761CDD" w:rsidRPr="00761CDD">
              <w:rPr>
                <w:rFonts w:ascii="StobiSerif Regular" w:eastAsia="Times New Roman" w:hAnsi="StobiSerif Regular" w:cs="Times New Roman"/>
                <w:sz w:val="20"/>
                <w:szCs w:val="20"/>
                <w:lang w:val="mk-MK"/>
              </w:rPr>
              <w:t>Во содржината на овие обуки, една од темите е и заштита на укажувачите</w:t>
            </w:r>
            <w:r w:rsidR="00761CDD">
              <w:rPr>
                <w:rFonts w:ascii="StobiSerif Regular" w:eastAsia="Times New Roman" w:hAnsi="StobiSerif Regular" w:cs="Times New Roman"/>
                <w:sz w:val="20"/>
                <w:szCs w:val="20"/>
              </w:rPr>
              <w:t>.</w:t>
            </w:r>
          </w:p>
          <w:p w:rsidR="008E3733" w:rsidRPr="00471A7A" w:rsidRDefault="00761CDD"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rPr>
              <w:t xml:space="preserve">- </w:t>
            </w:r>
            <w:r w:rsidR="008E3733" w:rsidRPr="00471A7A">
              <w:rPr>
                <w:rFonts w:ascii="StobiSerif Regular" w:eastAsia="Times New Roman" w:hAnsi="StobiSerif Regular" w:cs="Times New Roman"/>
                <w:sz w:val="20"/>
                <w:szCs w:val="20"/>
                <w:lang w:val="mk-MK"/>
              </w:rPr>
              <w:t>Во мај 2017 година Потпишан е Меморандум за соработка меѓу ДКСК и  Управата за извршување на санкции  и  во рамките на тој настан одржана е 1 обука за директорите на  казнено поправните установи. Во организација на Управата за извршување на санкции, во текот на месец јуни 2017 година одржани  се уште 3 обуки за вработените во казнено поправните установи. Во содржината на овие обуки, кои ги спроведува ДКСК, една од те</w:t>
            </w:r>
            <w:r w:rsidR="00B06E2A">
              <w:rPr>
                <w:rFonts w:ascii="StobiSerif Regular" w:eastAsia="Times New Roman" w:hAnsi="StobiSerif Regular" w:cs="Times New Roman"/>
                <w:sz w:val="20"/>
                <w:szCs w:val="20"/>
                <w:lang w:val="mk-MK"/>
              </w:rPr>
              <w:t>мите е и заштита на укажувачите</w:t>
            </w:r>
          </w:p>
          <w:p w:rsidR="008E3733" w:rsidRPr="00471A7A" w:rsidRDefault="00B06E2A"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lastRenderedPageBreak/>
              <w:t xml:space="preserve">- </w:t>
            </w:r>
            <w:r w:rsidR="008E3733" w:rsidRPr="00471A7A">
              <w:rPr>
                <w:rFonts w:ascii="StobiSerif Regular" w:eastAsia="Times New Roman" w:hAnsi="StobiSerif Regular" w:cs="Times New Roman"/>
                <w:sz w:val="20"/>
                <w:szCs w:val="20"/>
                <w:lang w:val="mk-MK"/>
              </w:rPr>
              <w:t>Во рамки на ЕУ-финансираниот проект „Зајакнување на националните капацитети за борба против организиран криминал и корупција“ во март 2018 година се спроведе експертска мисија за изготвување на стратегија за промоција на системот за заштита на укажувачите. Изготвени се концепт документи за:</w:t>
            </w:r>
          </w:p>
          <w:p w:rsidR="008E3733" w:rsidRPr="00471A7A" w:rsidRDefault="008E3733" w:rsidP="00B06E2A">
            <w:pPr>
              <w:spacing w:after="0" w:line="240" w:lineRule="auto"/>
              <w:ind w:left="337" w:hanging="284"/>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стратегија за кампања за подигнување на јавната свест и промовирање на позитивните аспекти на заштитеното пријавување и укажувачите и</w:t>
            </w:r>
          </w:p>
          <w:p w:rsidR="008E3733" w:rsidRPr="00471A7A" w:rsidRDefault="008E3733" w:rsidP="00B06E2A">
            <w:pPr>
              <w:spacing w:after="0" w:line="240" w:lineRule="auto"/>
              <w:ind w:left="337" w:hanging="284"/>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 програма за обуки на овластени лица за </w:t>
            </w:r>
            <w:r w:rsidR="00B06E2A">
              <w:rPr>
                <w:rFonts w:ascii="StobiSerif Regular" w:eastAsia="Times New Roman" w:hAnsi="StobiSerif Regular" w:cs="Times New Roman"/>
                <w:sz w:val="20"/>
                <w:szCs w:val="20"/>
                <w:lang w:val="mk-MK"/>
              </w:rPr>
              <w:t xml:space="preserve">прием на пријави од укажувачи. </w:t>
            </w:r>
          </w:p>
          <w:p w:rsidR="008E3733" w:rsidRPr="00232275" w:rsidRDefault="00B06E2A" w:rsidP="00761CDD">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w:t>
            </w:r>
            <w:r w:rsidR="00761CDD">
              <w:t xml:space="preserve"> </w:t>
            </w:r>
            <w:r w:rsidR="00761CDD" w:rsidRPr="00761CDD">
              <w:rPr>
                <w:rFonts w:ascii="StobiSerif Regular" w:eastAsia="Times New Roman" w:hAnsi="StobiSerif Regular" w:cs="Times New Roman"/>
                <w:sz w:val="20"/>
                <w:szCs w:val="20"/>
                <w:lang w:val="mk-MK"/>
              </w:rPr>
              <w:t>Во периодот од 16-18 мај 2018 година со поддршка и во организација на Советот на Европа одржана е првата серија на обука на обучувачи за заштита на системот на укажувачите. На обуката учествуваа претставници од ДКСК, МП, МВР, УЈП,Царинска управа на РМ. Втората серија на оваа обука се одржа во периодо</w:t>
            </w:r>
            <w:r w:rsidR="00761CDD">
              <w:rPr>
                <w:rFonts w:ascii="StobiSerif Regular" w:eastAsia="Times New Roman" w:hAnsi="StobiSerif Regular" w:cs="Times New Roman"/>
                <w:sz w:val="20"/>
                <w:szCs w:val="20"/>
                <w:lang w:val="mk-MK"/>
              </w:rPr>
              <w:t>т од 03-05 октомври 2018 година</w:t>
            </w:r>
            <w:r w:rsidR="008E3733" w:rsidRPr="00471A7A">
              <w:rPr>
                <w:rFonts w:ascii="StobiSerif Regular" w:eastAsia="Times New Roman" w:hAnsi="StobiSerif Regular" w:cs="Times New Roman"/>
                <w:sz w:val="20"/>
                <w:szCs w:val="20"/>
                <w:lang w:val="mk-MK"/>
              </w:rPr>
              <w:t xml:space="preserve">. </w:t>
            </w:r>
            <w:r>
              <w:rPr>
                <w:rFonts w:ascii="StobiSerif Regular" w:eastAsia="Times New Roman" w:hAnsi="StobiSerif Regular" w:cs="Times New Roman"/>
                <w:sz w:val="20"/>
                <w:szCs w:val="20"/>
                <w:lang w:val="mk-MK"/>
              </w:rPr>
              <w:t xml:space="preserve"> </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lastRenderedPageBreak/>
              <w:t>4.1.3. Годишни извештаи за примени пријави од укажувачи  (податоци за институции и број на примени пријави од укажувачи)</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 xml:space="preserve">- Постапувајќи во согласност со одредбите од Законот за заштита на укажувачите, 42 институции од јавниот сектор до ДКСК доставија полугодишен извештај за периодот 13. 03.-30. 06. 2016 година, додека за периодот 01. 07.-31. 12. 2016 година полугодишни извештаи за примени пријави од укажувачи доставија вкупно 18 институции од јавниот сектор. </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Годишни извештаи не се доставени заради периодот на примена на законот.</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Од сите доставени извештаи е видно дека во наведениот период не поднесена ниту една пријава од укажувач во институциите.</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 Во текот на првата половина на 2017 година, од сите доставени извештаи до Државната комисија за спречување на корупцијата видно е дека во наведениот период, не е поднесена ниту една пријав</w:t>
            </w:r>
            <w:r w:rsidR="00B06E2A">
              <w:rPr>
                <w:rFonts w:ascii="StobiSerif Regular" w:hAnsi="StobiSerif Regular"/>
                <w:sz w:val="20"/>
                <w:szCs w:val="20"/>
                <w:lang w:val="mk-MK"/>
              </w:rPr>
              <w:t>а од укажувач во  институциите.</w:t>
            </w:r>
          </w:p>
          <w:p w:rsidR="008E3733" w:rsidRPr="00471A7A" w:rsidRDefault="00B06E2A" w:rsidP="008E3733">
            <w:pPr>
              <w:spacing w:after="0" w:line="240" w:lineRule="auto"/>
              <w:jc w:val="both"/>
              <w:rPr>
                <w:rFonts w:ascii="StobiSerif Regular" w:hAnsi="StobiSerif Regular"/>
                <w:sz w:val="20"/>
                <w:szCs w:val="20"/>
                <w:lang w:val="mk-MK"/>
              </w:rPr>
            </w:pPr>
            <w:r>
              <w:rPr>
                <w:rFonts w:ascii="StobiSerif Regular" w:hAnsi="StobiSerif Regular"/>
                <w:sz w:val="20"/>
                <w:szCs w:val="20"/>
                <w:lang w:val="mk-MK"/>
              </w:rPr>
              <w:t xml:space="preserve"> -</w:t>
            </w:r>
            <w:r w:rsidR="008E3733" w:rsidRPr="00471A7A">
              <w:rPr>
                <w:rFonts w:ascii="StobiSerif Regular" w:hAnsi="StobiSerif Regular"/>
                <w:sz w:val="20"/>
                <w:szCs w:val="20"/>
                <w:lang w:val="mk-MK"/>
              </w:rPr>
              <w:t xml:space="preserve"> Имајќи ја во предвид законската обврска за доставување полугодишни извештаи за примени пријави од укажувачи кој треба да содржи општи статистички податоци и податоци за оформени предмети по примени пријави, за периодот 01.01.-30.06.2017 година обврската за доставување на полугодишен извештај до Државната комисија за спречување на корупцијата  ја исполниле 42 институции од јавниот сектор и 15 институции од приватниот сектор, иако тие според Законот немаат обврска да доставуваа извештаи до ДКСК.    Заклучно со 04.01.2018 година, за периодот 01.07.-31.12.2017 година обврската за доставување на полугодишен извештај до Државната комисија за спречување на корупцијата  ја исполниле 4 институции од јавен сектор и од 1 институција од приватниот сектор, иако тие според Законот немаат обврска да доставуваат извештаи до ДКСК. Со оглед на фактот дека законската обврска за </w:t>
            </w:r>
            <w:r w:rsidR="008E3733" w:rsidRPr="00471A7A">
              <w:rPr>
                <w:rFonts w:ascii="StobiSerif Regular" w:hAnsi="StobiSerif Regular"/>
                <w:sz w:val="20"/>
                <w:szCs w:val="20"/>
                <w:lang w:val="mk-MK"/>
              </w:rPr>
              <w:lastRenderedPageBreak/>
              <w:t>доставување на полугодишните извештаи е истите да се достават по истекот на извештајниот период, а имајќи во предвид дека овие податоци се доставуваат додека трае периодот на доставување на овие извештаи, постапката на прибирање на полугодишни извештаи од институциите од јавен и приватен сектор е во тек. Од досега доставените полугодишни извештаи е видно дека, во наведениот период, не поднесена ниедна пријава од укажувач во ниедна од институциите.</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Согласно член 15 став (2) од Законот, Државната комисија за спречување на корупцијата и Министерството за правда доставија до Собранието на Република Македонија посебни годишни извештаи за примени пријави од укажувачи.</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 xml:space="preserve">     Во првата  половина од 2018 година до Државната комисија за спречување на корупцијата полугодишни извештаи за примени пријави од укажувачи беа доставени 42 институции од јавен сектор и 9  правни субјекти од приватен сектор.</w:t>
            </w:r>
          </w:p>
          <w:p w:rsidR="008E3733" w:rsidRPr="00471A7A"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 xml:space="preserve">      Од анализата на сите доставени полугодишни извештаи во првата половина од 2018 година констатирано е дека нема доставено пријава од укажувач во институција од јавен и приватен сектор, кога станува збор за заштитеното внатрешно пријавување. </w:t>
            </w:r>
          </w:p>
          <w:p w:rsidR="008E3733" w:rsidRDefault="008E3733" w:rsidP="008E3733">
            <w:pPr>
              <w:spacing w:after="0" w:line="240" w:lineRule="auto"/>
              <w:jc w:val="both"/>
              <w:rPr>
                <w:rFonts w:ascii="StobiSerif Regular" w:hAnsi="StobiSerif Regular"/>
                <w:sz w:val="20"/>
                <w:szCs w:val="20"/>
                <w:lang w:val="mk-MK"/>
              </w:rPr>
            </w:pPr>
            <w:r w:rsidRPr="00471A7A">
              <w:rPr>
                <w:rFonts w:ascii="StobiSerif Regular" w:hAnsi="StobiSerif Regular"/>
                <w:sz w:val="20"/>
                <w:szCs w:val="20"/>
                <w:lang w:val="mk-MK"/>
              </w:rPr>
              <w:t xml:space="preserve">  </w:t>
            </w:r>
            <w:r w:rsidR="00761CDD">
              <w:rPr>
                <w:rFonts w:ascii="StobiSerif Regular" w:hAnsi="StobiSerif Regular"/>
                <w:sz w:val="20"/>
                <w:szCs w:val="20"/>
              </w:rPr>
              <w:t xml:space="preserve">  </w:t>
            </w:r>
            <w:r w:rsidRPr="00471A7A">
              <w:rPr>
                <w:rFonts w:ascii="StobiSerif Regular" w:hAnsi="StobiSerif Regular"/>
                <w:sz w:val="20"/>
                <w:szCs w:val="20"/>
                <w:lang w:val="mk-MK"/>
              </w:rPr>
              <w:t>Со оглед на фактот дека Државната комисија за спречување на корупцијата е една од неколкуте наброени институции во Законот каде може да се врши заштитено надворешно пријавување, во првата половина од 2018 година до Државната комисија за спречување на корупцијата не е доставена ниту една пријава од укажувач заради зашти</w:t>
            </w:r>
            <w:r w:rsidR="00B06E2A">
              <w:rPr>
                <w:rFonts w:ascii="StobiSerif Regular" w:hAnsi="StobiSerif Regular"/>
                <w:sz w:val="20"/>
                <w:szCs w:val="20"/>
                <w:lang w:val="mk-MK"/>
              </w:rPr>
              <w:t xml:space="preserve">тено надворешно пријавување.   </w:t>
            </w:r>
          </w:p>
          <w:p w:rsidR="00761CDD" w:rsidRPr="00471A7A" w:rsidRDefault="00761CDD" w:rsidP="008E3733">
            <w:pPr>
              <w:spacing w:after="0" w:line="240" w:lineRule="auto"/>
              <w:jc w:val="both"/>
              <w:rPr>
                <w:rFonts w:ascii="StobiSerif Regular" w:hAnsi="StobiSerif Regular"/>
                <w:sz w:val="20"/>
                <w:szCs w:val="20"/>
                <w:lang w:val="mk-MK"/>
              </w:rPr>
            </w:pPr>
            <w:r>
              <w:rPr>
                <w:rFonts w:ascii="StobiSerif Regular" w:hAnsi="StobiSerif Regular"/>
                <w:sz w:val="20"/>
                <w:szCs w:val="20"/>
              </w:rPr>
              <w:t xml:space="preserve">    </w:t>
            </w:r>
            <w:r w:rsidRPr="00761CDD">
              <w:rPr>
                <w:rFonts w:ascii="StobiSerif Regular" w:hAnsi="StobiSerif Regular"/>
                <w:sz w:val="20"/>
                <w:szCs w:val="20"/>
                <w:lang w:val="mk-MK"/>
              </w:rPr>
              <w:t>Со измените на Законот донесени во февруари 2018 година, законската обврска за доставување на годишен извештај за примени пријави од укажувачи останува утврдена само за Државната комисија за спречување на корупцијата.</w:t>
            </w:r>
          </w:p>
          <w:p w:rsidR="008E3733" w:rsidRPr="00232275" w:rsidRDefault="00B06E2A" w:rsidP="008E3733">
            <w:pPr>
              <w:spacing w:after="0" w:line="240" w:lineRule="auto"/>
              <w:jc w:val="both"/>
              <w:rPr>
                <w:rFonts w:ascii="StobiSerif Regular" w:hAnsi="StobiSerif Regular"/>
                <w:sz w:val="20"/>
                <w:szCs w:val="20"/>
                <w:lang w:val="mk-MK"/>
              </w:rPr>
            </w:pPr>
            <w:r>
              <w:rPr>
                <w:rFonts w:ascii="StobiSerif Regular" w:hAnsi="StobiSerif Regular"/>
                <w:sz w:val="20"/>
                <w:szCs w:val="20"/>
                <w:lang w:val="mk-MK"/>
              </w:rPr>
              <w:t xml:space="preserve">   </w:t>
            </w:r>
            <w:r w:rsidR="008E3733" w:rsidRPr="00471A7A">
              <w:rPr>
                <w:rFonts w:ascii="StobiSerif Regular" w:hAnsi="StobiSerif Regular"/>
                <w:sz w:val="20"/>
                <w:szCs w:val="20"/>
                <w:lang w:val="mk-MK"/>
              </w:rPr>
              <w:t>Во согласност со законските измени, Државната комисија за спречување на корупцијата е должнa до Собранието на Република Македонија да достави годишен извештај за примени пријави од укажувачи во рамките на својот годишен извештај за работа. Надзор над спроведувањето на одредбите на овој закон</w:t>
            </w:r>
            <w:r>
              <w:rPr>
                <w:rFonts w:ascii="StobiSerif Regular" w:hAnsi="StobiSerif Regular"/>
                <w:sz w:val="20"/>
                <w:szCs w:val="20"/>
                <w:lang w:val="mk-MK"/>
              </w:rPr>
              <w:t xml:space="preserve"> врши Министерството за правда.</w:t>
            </w:r>
          </w:p>
        </w:tc>
      </w:tr>
      <w:tr w:rsidR="008E3733" w:rsidRPr="00232275" w:rsidTr="008E3733">
        <w:trPr>
          <w:trHeight w:val="227"/>
        </w:trPr>
        <w:tc>
          <w:tcPr>
            <w:tcW w:w="4821"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lastRenderedPageBreak/>
              <w:t>4.1.4 Јакнење на свеста за укажувањето (кампањи и   јавни дебати, прирачник)</w:t>
            </w:r>
          </w:p>
        </w:tc>
        <w:tc>
          <w:tcPr>
            <w:tcW w:w="5153"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-Активности во рамки на ИПА 2010 Твининг проектот „Поддршка за ефикасна превенција и борба против корупцијата“: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изготвен е Прирачник за заштита на укажувачи, кој е објавен на веб-локацијата на Државната комисија за спречување на корупцијата.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спроведени се 2 петдневни работилници на тема „Нови методи за заштита на укажувачи, соработници на правдата и лица со прикриен идентитет за следење и </w:t>
            </w:r>
            <w:r w:rsidRPr="00471A7A">
              <w:rPr>
                <w:rFonts w:ascii="StobiSerif Regular" w:eastAsia="Times New Roman" w:hAnsi="StobiSerif Regular" w:cs="Times New Roman"/>
                <w:sz w:val="20"/>
                <w:szCs w:val="20"/>
                <w:lang w:val="mk-MK"/>
              </w:rPr>
              <w:lastRenderedPageBreak/>
              <w:t xml:space="preserve">собирање на информации или податоци”, на кои учествуваа судии, јавни обвинители, полициски службеници и службеници на финансиската полиција,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на 10.03.2016 година во Скопје се одржа Конференција на тема „Усогласено управување и превенција на корупција во приватниот сектор“, на која беа презентирани Законот за заштита на укажувачи и подзаконските акти кои произлегуваат од него.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Активности организирани и реализирани или поддржани од Регионалната анти-корупциска иницијатива (РАИ):</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 Македонија е земја-членка на РАИ од 2007 година и придонесува во функционирањето и реализацијата на активностите организирани и реализирани или поддржани од РАИ со редовно плаќање на членарина, со активно учество на претставниците во Управната група на РАИ и редовно учество и присуство на претставници на македонски институции на сите настани организирани и реализирани или поддржани од РАИ.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Формирање и Прв состанок на Коалицијата на Југо-источна Европа за заштита на укажувачи (Southeast Europe Coalition on Whistleblower Protection), 9-10 ноември 2015 година, Белград</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Работилница на тема Пријавување корупција и заштита на укажувачи, 10-11 мај 2016 година, Ракитје</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Втор годишен состанок на Коалицијата на Југо-источна Европа за заштита на укажувачи, 14 ноември 2015 година, Загреб</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Презентација на документарен филм продуциран во рамки на програма на РАИ “Медалот на гласните”, 6 декември 2016 година, Белград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Активности организирани од Институт за стратешки истражувања и едукација: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4 тркалезни маси – дискусии спроведени во декември 2016 година, во рамки на проект финансиран од ЕУ „Ќе има ли свиркачи на Универзитетите: Можностите од Законот за заштита на укажувачи за спречување на корупцијата во високо образование на Република Македонија.“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Активности оргaнизирани од Транспаренси Интернешнл - Македонија: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 11 април 2016 година работилница на тема „Нормативната и институционална рамка за заштита на укажувачите во Македонија“. На работилницата 24  претставници од засегнатите страни имаа можност да дискутираат на оваа тема и дадат свој личен придонес.</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-На 27 септември 2016 година работилница на тема  „Усогласување на Законот за заштита на укажувачи со препораките на Венецијанската комисија“. На работилницата се дискутираше за потребата од усогласување со препораките на Венецијанската </w:t>
            </w:r>
            <w:r w:rsidRPr="00471A7A">
              <w:rPr>
                <w:rFonts w:ascii="StobiSerif Regular" w:eastAsia="Times New Roman" w:hAnsi="StobiSerif Regular" w:cs="Times New Roman"/>
                <w:sz w:val="20"/>
                <w:szCs w:val="20"/>
                <w:lang w:val="mk-MK"/>
              </w:rPr>
              <w:lastRenderedPageBreak/>
              <w:t>комисија, за кои ќе се предложат модалитети или алтернативи со кои овие препораки би можеле да бидат вградени. На работилницата присуствуваа 41 претставник од институциите, бизнис секторот, граѓански сектор и медимите.</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-Тркалезна маса на тема „Спроведувањето на Законот за заштита на укажувачи – искуства и предизвици“ која се одржа на 14 ноември 2016 година. На настанот присуствуваа 65 претставници од институции, невладини организации и медиуми каде присутните можеа да дискутираат за имплементацијата на законот и предизвиците со кои се соочуваат институциите.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-Спроведена е кампања за подигање на јавната свест на граѓаните на Р. Македонија каде преку: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Поставување на билборди на три локации во Скопје</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Поставување на банер на интернет портал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Печатење на лого со порака „Пријавување без последици“ на постери, лифлети, свирчиња,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Објави во печатени медиуми и инсертирање на флаери во дневен весник каде граѓаните беа информирани за законските и институционални  механизми за заштитено укажување;</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-ТИ-М спроведе серија на активности за јавно застапување со цел остварување на соработка со надлежните институции (ДКСК, Министерство за внатрешни работи, Јавно обвинителство на РМ и Народен правобранител) за надворешно пријавување согласно Законот за заштита на укажувачи.</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-ТИ-М во 2016 година во соработка со истражувачки новинари објави десет истражувачки стории засновани на пријави од страна на укажувачи кои беа ре-објавени 78 пати во медиуми на македонски и албански јазик.</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финалната публикација е опишана состојбата во Република Македонија од аспект на проблемот и потребата  за носење на закон за заштита на укажувачите, правната рамка за заштита на укажувачите, имплементацијата на Законот за заштита на укажувачите и објавените истражувачки новинарски стории. Оваа публикација беше писмено доставена во 200 примерока до сите засегнати страни.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МЦМС во рамките на Програмата на УСАИД за антикорупција го преведе на македонски Водичот за добри практики за лица кои пријавуваат од Обединетите Нации.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-Водичот е достапен во електронски формат на веб страната на МЦМС, http://www.mcms.org.mk/mk/za-nasata-rabota/istrazuvana-i-publikacii/1875-vodich-za-dobri-praktiki-za-zashtita-na-licata-koi-prijavuvaat.html и во 300 печатени примероци. Дел од примероците се споделуваат на настани организирани од страна на </w:t>
            </w:r>
            <w:r w:rsidRPr="00471A7A">
              <w:rPr>
                <w:rFonts w:ascii="StobiSerif Regular" w:eastAsia="Times New Roman" w:hAnsi="StobiSerif Regular" w:cs="Times New Roman"/>
                <w:sz w:val="20"/>
                <w:szCs w:val="20"/>
                <w:lang w:val="mk-MK"/>
              </w:rPr>
              <w:lastRenderedPageBreak/>
              <w:t>МЦМС, а остатокот во наредниот период ќе бидат испратени до засегнати страни.</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 24.03.2017 година, во Скопје, одбележан е Меѓународниот ден на укажувачите и ден на слободниот говор, во организација на Коалицијата на Југо-источна Европа за заштита на укажувачи и Центарот за истражувачко новинарство –СКУП Македонија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рамките на проектот финансиран од ЕУ „Зајакнување на националните капацитети за борба против организиран криминал и корупција“ во кој ДКСК е една од институциите корисници, обезбедена е експертска поддршка за изготвување на Стратегија за јакнење на мислењето на јавноста за позитивниот контекст на Законот за заштита на укажувачите. Истата се очекува да биде донесена до крајот на 2017 година.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Во рамки на  Истражувачкиот филмски фестивал – Скопје, на 3-ти ноември 2017 година, се одржа јавна дебата на тема Укажувачи – „тајни“ играчи кои мо</w:t>
            </w:r>
            <w:r w:rsidR="00B06E2A">
              <w:rPr>
                <w:rFonts w:ascii="StobiSerif Regular" w:eastAsia="Times New Roman" w:hAnsi="StobiSerif Regular" w:cs="Times New Roman"/>
                <w:sz w:val="20"/>
                <w:szCs w:val="20"/>
                <w:lang w:val="mk-MK"/>
              </w:rPr>
              <w:t xml:space="preserve">жат да ја променат историјата.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Со поддршка на ОБСЕ Мисијата во Скопје, ДКСК преку проектот Промовирање на принципите на демократско управување, продолжи со активностите  за промоција на интегритетот, транспарентноста и  отчетноста на локално ниво, преку реализација на серија обуки. Обуките, вкупно 6 се реализираа во ноември и декември 2017 година и беа опфатени единиците на локалната самоуправа во РМ, по региони.  Во рамките на овие обуки беа опфатени содржини од Зак</w:t>
            </w:r>
            <w:r w:rsidR="00B06E2A">
              <w:rPr>
                <w:rFonts w:ascii="StobiSerif Regular" w:eastAsia="Times New Roman" w:hAnsi="StobiSerif Regular" w:cs="Times New Roman"/>
                <w:sz w:val="20"/>
                <w:szCs w:val="20"/>
                <w:lang w:val="mk-MK"/>
              </w:rPr>
              <w:t xml:space="preserve">онот за заштита на укажувачите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рамките на проектот финансиран од ЕУ Зајакнување на националните капацитети за борба против организиран криминал и корупција обезбедена е експертска поддршка за изготвување на Стратегија за јакнење на мислењето на јавноста за позитивниот контекст на Законот за заштита на укажувачите. Стратегијата се очекува да биде донесена до март 2018 година.</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меѓувреме е обезбедена и поддршка од страна на Советот на Европа - Одделението за економски криминал и отсек за соработка за имплементација на Законот за заштита на укажувачите. Согласно утврдениот план, активностите ќе започнат по усвојување на Стратегијата за јакнење на мислењето на јавноста за позитивниот контекст на Законот за заштита на укажувачите.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ноември 2017 година е потпишан Меморандум за соработка помеѓу ДКСК и Транспаренси Интернешнал  Македонија заради ефикасна примена на Законот за заштита на укажувачите. </w:t>
            </w:r>
          </w:p>
          <w:p w:rsidR="008E3733" w:rsidRPr="00471A7A" w:rsidRDefault="008E3733" w:rsidP="008E3733">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рамки на ЕУ-финансираниот проект „Зајакнување на националните капацитети за борба против организиран криминал и корупција“ во март 2018 година се спроведе експертска мисија за изготвување на стратегија за </w:t>
            </w:r>
            <w:r w:rsidRPr="00471A7A">
              <w:rPr>
                <w:rFonts w:ascii="StobiSerif Regular" w:eastAsia="Times New Roman" w:hAnsi="StobiSerif Regular" w:cs="Times New Roman"/>
                <w:sz w:val="20"/>
                <w:szCs w:val="20"/>
                <w:lang w:val="mk-MK"/>
              </w:rPr>
              <w:lastRenderedPageBreak/>
              <w:t>промоција на системот за заштита на укажувачите. Изготвени е концепт документ за стратегија за кампања за подигнување на јавната свест и промовирање на позитивните аспекти на заштите</w:t>
            </w:r>
            <w:r w:rsidR="00B06E2A">
              <w:rPr>
                <w:rFonts w:ascii="StobiSerif Regular" w:eastAsia="Times New Roman" w:hAnsi="StobiSerif Regular" w:cs="Times New Roman"/>
                <w:sz w:val="20"/>
                <w:szCs w:val="20"/>
                <w:lang w:val="mk-MK"/>
              </w:rPr>
              <w:t>ното пријавување и укажувачите.</w:t>
            </w:r>
          </w:p>
          <w:p w:rsidR="008E3733" w:rsidRPr="00B06E2A" w:rsidRDefault="008E3733" w:rsidP="00B06E2A">
            <w:pPr>
              <w:spacing w:before="60" w:after="6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Изготвен е Водич за вработените во јавниот сектор „Со укажување до заштита на јавниот интерес“ , кој е објавен на веб страницата на ДКСК. Подготовката на оваа публикација беше овозможена со поддршка на проектот финансиран од Европската Унија преку ИПА 2012 „Јакнење на националните капацитети  за борба против организир</w:t>
            </w:r>
            <w:r w:rsidR="00B06E2A">
              <w:rPr>
                <w:rFonts w:ascii="StobiSerif Regular" w:eastAsia="Times New Roman" w:hAnsi="StobiSerif Regular" w:cs="Times New Roman"/>
                <w:sz w:val="20"/>
                <w:szCs w:val="20"/>
                <w:lang w:val="mk-MK"/>
              </w:rPr>
              <w:t xml:space="preserve">аниот криминал и корупцијата.“ </w:t>
            </w:r>
          </w:p>
        </w:tc>
      </w:tr>
    </w:tbl>
    <w:p w:rsidR="008E3733" w:rsidRPr="00232275" w:rsidRDefault="008E3733" w:rsidP="008E3733">
      <w:pPr>
        <w:tabs>
          <w:tab w:val="left" w:pos="1340"/>
        </w:tabs>
        <w:spacing w:after="0" w:line="240" w:lineRule="auto"/>
        <w:rPr>
          <w:rFonts w:ascii="StobiSerif Regular" w:eastAsia="Times New Roman" w:hAnsi="StobiSerif Regular" w:cs="Times New Roman"/>
          <w:sz w:val="20"/>
          <w:szCs w:val="20"/>
        </w:rPr>
      </w:pPr>
    </w:p>
    <w:p w:rsidR="008E3733" w:rsidRPr="00232275" w:rsidRDefault="008E3733" w:rsidP="008E3733">
      <w:pPr>
        <w:tabs>
          <w:tab w:val="left" w:pos="1340"/>
        </w:tabs>
        <w:spacing w:after="0" w:line="240" w:lineRule="auto"/>
        <w:rPr>
          <w:rFonts w:ascii="StobiSerif Regular" w:eastAsia="Times New Roman" w:hAnsi="StobiSerif Regular" w:cs="Times New Roman"/>
          <w:sz w:val="20"/>
          <w:szCs w:val="20"/>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39" w:name="_Toc453059113"/>
            <w:bookmarkStart w:id="40" w:name="_Toc453059205"/>
            <w:bookmarkStart w:id="41" w:name="_Toc453059251"/>
            <w:r w:rsidRPr="00232275">
              <w:rPr>
                <w:rFonts w:ascii="StobiSerif Regular" w:eastAsia="Times New Roman" w:hAnsi="StobiSerif Regular" w:cs="Times New Roman"/>
                <w:b/>
                <w:sz w:val="20"/>
                <w:szCs w:val="20"/>
                <w:lang w:val="mk-MK"/>
              </w:rPr>
              <w:t>4.2  Отворени податоци за  имотната состојба на избрани и именувани лица</w:t>
            </w:r>
            <w:bookmarkEnd w:id="39"/>
            <w:bookmarkEnd w:id="40"/>
            <w:bookmarkEnd w:id="41"/>
            <w:r w:rsidRPr="00232275">
              <w:rPr>
                <w:rFonts w:ascii="StobiSerif Regular" w:eastAsia="Times New Roman" w:hAnsi="StobiSerif Regular" w:cs="Times New Roman"/>
                <w:b/>
                <w:sz w:val="20"/>
                <w:szCs w:val="20"/>
                <w:lang w:val="mk-MK"/>
              </w:rPr>
              <w:t xml:space="preserve">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8E3733">
        <w:trPr>
          <w:trHeight w:val="550"/>
        </w:trPr>
        <w:tc>
          <w:tcPr>
            <w:tcW w:w="4821"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w:t>
            </w:r>
            <w:r w:rsidRPr="00232275">
              <w:rPr>
                <w:rFonts w:ascii="StobiSerif Regular" w:eastAsia="Times New Roman" w:hAnsi="StobiSerif Regular" w:cs="Times New Roman"/>
                <w:sz w:val="20"/>
                <w:szCs w:val="20"/>
              </w:rPr>
              <w:t>2017</w:t>
            </w:r>
            <w:r w:rsidRPr="00232275">
              <w:rPr>
                <w:rFonts w:ascii="StobiSerif Regular" w:eastAsia="Times New Roman" w:hAnsi="StobiSerif Regular" w:cs="Times New Roman"/>
                <w:sz w:val="20"/>
                <w:szCs w:val="20"/>
                <w:lang w:val="mk-MK"/>
              </w:rPr>
              <w:t xml:space="preserve"> –2018)</w:t>
            </w:r>
          </w:p>
        </w:tc>
        <w:tc>
          <w:tcPr>
            <w:tcW w:w="5153" w:type="dxa"/>
            <w:gridSpan w:val="4"/>
            <w:tcBorders>
              <w:top w:val="single" w:sz="4" w:space="0" w:color="auto"/>
              <w:left w:val="nil"/>
              <w:bottom w:val="single" w:sz="8" w:space="0" w:color="000000"/>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w:t>
            </w:r>
          </w:p>
        </w:tc>
      </w:tr>
      <w:tr w:rsidR="008E3733" w:rsidRPr="00232275" w:rsidTr="008E3733">
        <w:trPr>
          <w:trHeight w:val="600"/>
        </w:trPr>
        <w:tc>
          <w:tcPr>
            <w:tcW w:w="4821"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000000"/>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Државна комисија за спречување на корупцијата</w:t>
            </w:r>
          </w:p>
        </w:tc>
      </w:tr>
      <w:tr w:rsidR="008E3733" w:rsidRPr="00232275" w:rsidTr="008E3733">
        <w:trPr>
          <w:trHeight w:val="5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Весна Донева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Владимир Георгиев</w:t>
            </w:r>
          </w:p>
        </w:tc>
      </w:tr>
      <w:tr w:rsidR="008E3733" w:rsidRPr="00232275" w:rsidTr="008E3733">
        <w:trPr>
          <w:trHeight w:val="171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Советник за аналитика</w:t>
            </w:r>
          </w:p>
          <w:p w:rsidR="008E3733" w:rsidRPr="00232275" w:rsidRDefault="008E3733" w:rsidP="008E3733">
            <w:pPr>
              <w:spacing w:after="0" w:line="240" w:lineRule="auto"/>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2. Државен советник</w:t>
            </w:r>
          </w:p>
          <w:p w:rsidR="008E3733" w:rsidRPr="00232275" w:rsidRDefault="008E3733" w:rsidP="008E3733">
            <w:pPr>
              <w:spacing w:after="0" w:line="240" w:lineRule="auto"/>
              <w:rPr>
                <w:rFonts w:ascii="StobiSerif Regular" w:eastAsia="Times New Roman" w:hAnsi="StobiSerif Regular" w:cs="Times New Roman"/>
                <w:sz w:val="20"/>
                <w:szCs w:val="20"/>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Сектор за програми, аналитика, меѓународна соработка и административни работи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Секретаријат на ДКСК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2" w:history="1">
              <w:r w:rsidR="008E3733" w:rsidRPr="00232275">
                <w:rPr>
                  <w:rFonts w:ascii="StobiSerif Regular" w:eastAsia="Times New Roman" w:hAnsi="StobiSerif Regular" w:cs="Times New Roman"/>
                  <w:sz w:val="20"/>
                  <w:szCs w:val="20"/>
                  <w:lang w:val="mk-MK"/>
                </w:rPr>
                <w:t>vdoneva@dksk.org.mk</w:t>
              </w:r>
            </w:hyperlink>
          </w:p>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3" w:history="1">
              <w:r w:rsidR="008E3733" w:rsidRPr="00232275">
                <w:rPr>
                  <w:rFonts w:ascii="StobiSerif Regular" w:eastAsia="Times New Roman" w:hAnsi="StobiSerif Regular" w:cs="Times New Roman"/>
                  <w:sz w:val="20"/>
                  <w:szCs w:val="20"/>
                  <w:lang w:val="mk-MK"/>
                </w:rPr>
                <w:t>vgeorgiev@dksk.org.mk</w:t>
              </w:r>
            </w:hyperlink>
            <w:r w:rsidR="008E3733" w:rsidRPr="00232275">
              <w:rPr>
                <w:rFonts w:ascii="StobiSerif Regular" w:eastAsia="Times New Roman" w:hAnsi="StobiSerif Regular" w:cs="Times New Roman"/>
                <w:sz w:val="20"/>
                <w:szCs w:val="20"/>
                <w:lang w:val="mk-MK"/>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3215-377</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075 273-023</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070/342 782 </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249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ДКСК ги објавува податоците за имотната состојба и промените на имотната состојба на избраните и именувани лица, но поради непостоење на софтверско решение, не постои  можност за увид и историски преглед на сите пријавени промени во имотната состојба од моментот на стапување на функција до престанокот на вршење на функцијата на избраните и именуваните лица.</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Зголемена отчетност на избраните и именувани лица и зголемена информираност на јавноста за нивната имотна состојба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Отвореноста на податоците за анкетните листови на избраните и именувани лица  преку нивно хронолошко објавување и  историски преглед во континуитет, е клучна за целосен увид и приказ на имотната состојба и промените во имотната состојба на избраните и именувани лица од моментот на стапување на функција до престанокот на вршење на функцијата. Предуслов за остварување на обврската е дизајнирање и воспоставување на софтверско решение преку кое ќе се овозможи увид на податоците во форма на отворени податоци.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Зголемена отвореност на податоците за имотната состојба на избрани и именувани лица</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Таргет 16.5: Значително намалување на сите форми на корупција и поткуп.</w:t>
            </w:r>
          </w:p>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Со мерките од оваа заложба се придонесува кон  превенција и борба против корупцијата и заштитата на јавниот интерес преку зголемување на отчетноста и одговорноста на избраните и именуваните лица</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кон граѓаните</w:t>
            </w:r>
            <w:r w:rsidRPr="00232275">
              <w:rPr>
                <w:rFonts w:ascii="StobiSerif Regular" w:eastAsia="Times New Roman" w:hAnsi="StobiSerif Regular" w:cs="Times New Roman"/>
                <w:sz w:val="20"/>
                <w:szCs w:val="20"/>
              </w:rPr>
              <w:t>.</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 согласност со  член 35 од Законот за спречување на корупцијата, податоците од анкетниот лист и од пријавата за промена во имотната состојба  претставуваат информации од јавен карактер, освен податоците заштитени со закон. Податоците од анкетните листови  и од пријавите за промена во имотната состојба, освен податоците заштитени со закон на лицата од членот 33 став (1) на овој закон, се објавуваат на веб страницата на ДКСК.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измените и дополнувањата на Законот за спречување на корупцијата од јуни 2015 година, ДКСК води регистар на избрани и именувани лица, кој претставува единствена база на податоци за овие лица.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имплементацијата на овие норми, доставувањето на податоците до ДКСК за верификација на мандатот, </w:t>
            </w:r>
            <w:r w:rsidRPr="00232275">
              <w:rPr>
                <w:rFonts w:ascii="StobiSerif Regular" w:eastAsia="Times New Roman" w:hAnsi="StobiSerif Regular" w:cs="Times New Roman"/>
                <w:sz w:val="20"/>
                <w:szCs w:val="20"/>
                <w:lang w:val="mk-MK"/>
              </w:rPr>
              <w:lastRenderedPageBreak/>
              <w:t>изборот односно именувањето како и за престанокот на функцијата, односно должноста, станува обврска на институциите и органите кои вршат избори и именувања, со што во целост ќе се надмине проблемот за целосно и веродостојно евидентирање на носителите на јавните функции. ДКСК интензивно ги презеде сите активности за воспоставување на електронска база на податоци за избрани и именувани лица. Сите овие активности се спроведуваат синхронизирано со активностите во рамки на компонентата 6 од ИПА  ТВИНИНГ Проектот “Поддршка за ефикасна превенција и борба против корупцијата“од каде треба да произлезе ИТ решението за регистарот на избраните и именувани лица. Следењето на имотната состојба и промените во имотната состојба на избраните и именувани лица е основна алатка за развивање на интегритетот на избраните и именуваните лица.  Информациите кои за ова им се обезбедуваат на граѓаните потребно е да бидат релевантни. Оттука, важно е ДКСК да и  овозможи на јавноста не само увид во моменталната состојба туку да се следи и промената на состојбата.</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uppressAutoHyphens/>
              <w:autoSpaceDN w:val="0"/>
              <w:spacing w:after="0" w:line="240" w:lineRule="auto"/>
              <w:jc w:val="both"/>
              <w:textAlignment w:val="baseline"/>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Целосниот  увид  и следењето на имотната состојба и промените во имотната состојба ќе ја  зголеми отчетноста и одговорноста на избраните и именуваните лица. Отвореноста на податоците за анкетните листови е можност и за олеснување на анализите на граѓанските организации кои се во улога на набљудувачи и кои алармираат за можни ризици и злоупотреби.</w:t>
            </w:r>
          </w:p>
        </w:tc>
      </w:tr>
      <w:tr w:rsidR="008E3733" w:rsidRPr="00232275" w:rsidTr="00B06E2A">
        <w:trPr>
          <w:trHeight w:val="61"/>
        </w:trPr>
        <w:tc>
          <w:tcPr>
            <w:tcW w:w="4821" w:type="dxa"/>
            <w:gridSpan w:val="2"/>
            <w:vMerge w:val="restart"/>
            <w:tcBorders>
              <w:top w:val="single" w:sz="8" w:space="0" w:color="auto"/>
              <w:left w:val="single" w:sz="8"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p w:rsidR="008E3733" w:rsidRPr="00232275" w:rsidRDefault="008E3733" w:rsidP="00B06E2A">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 </w:t>
            </w:r>
          </w:p>
        </w:tc>
        <w:tc>
          <w:tcPr>
            <w:tcW w:w="130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E3733" w:rsidRPr="00232275" w:rsidRDefault="008E3733" w:rsidP="00B06E2A">
            <w:pPr>
              <w:spacing w:after="0" w:line="240" w:lineRule="auto"/>
              <w:rPr>
                <w:rFonts w:ascii="StobiSerif Regular" w:eastAsia="Times New Roman" w:hAnsi="StobiSerif Regular" w:cs="Times New Roman"/>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Назив на достигнување </w:t>
            </w:r>
          </w:p>
          <w:p w:rsidR="008E3733" w:rsidRPr="00232275" w:rsidRDefault="008E3733" w:rsidP="008E3733">
            <w:pPr>
              <w:spacing w:after="0" w:line="240" w:lineRule="auto"/>
              <w:rPr>
                <w:rFonts w:ascii="StobiSerif Regular" w:eastAsia="Times New Roman" w:hAnsi="StobiSerif Regular" w:cs="Times New Roman"/>
                <w:sz w:val="20"/>
                <w:szCs w:val="20"/>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4.2.1. Создавање технички услови за објавување на анкетните листови во форма на отворени податоци (креирано и воспоставено софтверско решение)</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Податоците од анкетните листови се јавно достапни на веб страницата на ДКСК, освен податоците кои се заштитени со закон. Во 2016 како дел од софтверското решение за регистарот на избрани и именувани лица</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во рамките на ИПА Твининг проектот „Поддршка за ефикасна превенција и борба против корупцијата“, изработено е софтверско решение за електронско пополнување и доставување на обрасците за имотна состојба кое ќе биде ставено во употреба по донесување на неопходните законски измени. Со новото софтверско решение на веб страницата на ДКСК ќе биде овозможен увид во сите промени на имотната состојба кои избраните и именуваните лица ги имаат пријавено во периодот додека ја извршуваат функцијата.</w:t>
            </w:r>
          </w:p>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 xml:space="preserve"> </w:t>
            </w:r>
            <w:r w:rsidR="00761CDD" w:rsidRPr="00761CDD">
              <w:rPr>
                <w:rFonts w:ascii="StobiSerif Regular" w:eastAsia="Times New Roman" w:hAnsi="StobiSerif Regular" w:cs="Times New Roman"/>
                <w:sz w:val="20"/>
                <w:szCs w:val="20"/>
                <w:lang w:val="mk-MK"/>
              </w:rPr>
              <w:t>Во однос на ова достигнување нема промени во текот на 2017 и 2018 година.</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4.2.2. Воспоставување историски преглед за промените во имотната состојба на избрани и именувани лица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 xml:space="preserve">Во моментов не постои можност за увид во историски преглед на промените во имотната состојба на избраните и именуваните лица на веб страницата на ДКСК туку само </w:t>
            </w:r>
            <w:r w:rsidRPr="00232275">
              <w:rPr>
                <w:rFonts w:ascii="StobiSerif Regular" w:eastAsia="Times New Roman" w:hAnsi="StobiSerif Regular" w:cs="Times New Roman"/>
                <w:sz w:val="20"/>
                <w:szCs w:val="20"/>
                <w:lang w:val="mk-MK"/>
              </w:rPr>
              <w:lastRenderedPageBreak/>
              <w:t>во внатрешната електронска база, односно на веб  страницата се објавуваат само податоците за моменталната имотна состојба на избраните и именуваните лица. Со ставањето во употреба на новото софтверско решение, на веб страницата на ДКСК ќе биде овозможен увид во сите промени на имотната состојба кои избраните и именуваните лица ги имаат пријавено во периодот додека ја извршуваат функцијата.</w:t>
            </w:r>
          </w:p>
          <w:p w:rsidR="008E3733" w:rsidRPr="00232275" w:rsidRDefault="00025697" w:rsidP="008E3733">
            <w:pPr>
              <w:spacing w:after="0" w:line="240" w:lineRule="auto"/>
              <w:jc w:val="both"/>
              <w:rPr>
                <w:rFonts w:ascii="StobiSerif Regular" w:eastAsia="Times New Roman" w:hAnsi="StobiSerif Regular" w:cs="Times New Roman"/>
                <w:sz w:val="20"/>
                <w:szCs w:val="20"/>
              </w:rPr>
            </w:pPr>
            <w:r w:rsidRPr="00025697">
              <w:rPr>
                <w:rFonts w:ascii="StobiSerif Regular" w:eastAsia="Times New Roman" w:hAnsi="StobiSerif Regular" w:cs="Times New Roman"/>
                <w:sz w:val="20"/>
                <w:szCs w:val="20"/>
                <w:lang w:val="mk-MK"/>
              </w:rPr>
              <w:t>Во однос на ова достигнување нема промени во текот на 2017 и 2018 година.</w:t>
            </w:r>
          </w:p>
        </w:tc>
      </w:tr>
    </w:tbl>
    <w:p w:rsidR="008E3733" w:rsidRPr="00232275" w:rsidRDefault="008E3733" w:rsidP="008E3733">
      <w:pPr>
        <w:spacing w:after="0" w:line="240" w:lineRule="auto"/>
        <w:rPr>
          <w:rFonts w:ascii="StobiSerif Regular" w:eastAsia="Times New Roman" w:hAnsi="StobiSerif Regular" w:cs="Times New Roman"/>
          <w:sz w:val="20"/>
          <w:szCs w:val="20"/>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42" w:name="_Toc453059114"/>
            <w:bookmarkStart w:id="43" w:name="_Toc453059206"/>
            <w:bookmarkStart w:id="44" w:name="_Toc453059252"/>
            <w:r w:rsidRPr="00232275">
              <w:rPr>
                <w:rFonts w:ascii="StobiSerif Regular" w:eastAsia="Times New Roman" w:hAnsi="StobiSerif Regular" w:cs="Times New Roman"/>
                <w:b/>
                <w:sz w:val="20"/>
                <w:szCs w:val="20"/>
                <w:lang w:val="mk-MK"/>
              </w:rPr>
              <w:t>4.3  Промовирање на интегритет, транспарентност и отчетност на локално ниво и следење на напредокот</w:t>
            </w:r>
            <w:bookmarkEnd w:id="42"/>
            <w:bookmarkEnd w:id="43"/>
            <w:bookmarkEnd w:id="44"/>
            <w:r w:rsidRPr="00232275">
              <w:rPr>
                <w:rFonts w:ascii="StobiSerif Regular" w:eastAsia="Times New Roman" w:hAnsi="StobiSerif Regular" w:cs="Times New Roman"/>
                <w:b/>
                <w:sz w:val="20"/>
                <w:szCs w:val="20"/>
                <w:lang w:val="mk-MK"/>
              </w:rPr>
              <w:t xml:space="preserve"> </w:t>
            </w:r>
          </w:p>
        </w:tc>
      </w:tr>
      <w:tr w:rsidR="008E3733" w:rsidRPr="00232275" w:rsidTr="008E3733">
        <w:trPr>
          <w:trHeight w:val="56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(6/ 2016 – 6/ 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но наследува претходна мерка од Акцискиот план 2014-2016</w:t>
            </w: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Државна комисија за спречување на корупцијата</w:t>
            </w:r>
          </w:p>
        </w:tc>
      </w:tr>
      <w:tr w:rsidR="008E3733" w:rsidRPr="00232275" w:rsidTr="008E3733">
        <w:trPr>
          <w:trHeight w:val="638"/>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Весна Донева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Владимир Георгиев</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Советник за аналитика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Државен советник</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Сектор за програми, аналитика, меѓународна соработка и административни работи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Секретаријат на ДКСК</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jc w:val="both"/>
              <w:rPr>
                <w:rFonts w:ascii="StobiSerif Regular" w:eastAsia="Times New Roman" w:hAnsi="StobiSerif Regular" w:cs="Times New Roman"/>
                <w:sz w:val="20"/>
                <w:szCs w:val="20"/>
                <w:lang w:val="mk-MK"/>
              </w:rPr>
            </w:pPr>
            <w:hyperlink r:id="rId44" w:history="1">
              <w:r w:rsidR="008E3733" w:rsidRPr="00232275">
                <w:rPr>
                  <w:rFonts w:ascii="StobiSerif Regular" w:eastAsia="Times New Roman" w:hAnsi="StobiSerif Regular" w:cs="Times New Roman"/>
                  <w:sz w:val="20"/>
                  <w:szCs w:val="20"/>
                  <w:lang w:val="mk-MK"/>
                </w:rPr>
                <w:t>vdoneva@dksk.org.mk</w:t>
              </w:r>
            </w:hyperlink>
          </w:p>
          <w:p w:rsidR="008E3733" w:rsidRPr="00232275" w:rsidRDefault="00E6510B" w:rsidP="008E3733">
            <w:pPr>
              <w:spacing w:after="0" w:line="240" w:lineRule="auto"/>
              <w:jc w:val="both"/>
              <w:rPr>
                <w:rFonts w:ascii="StobiSerif Regular" w:eastAsia="Times New Roman" w:hAnsi="StobiSerif Regular" w:cs="Times New Roman"/>
                <w:sz w:val="20"/>
                <w:szCs w:val="20"/>
                <w:lang w:val="mk-MK"/>
              </w:rPr>
            </w:pPr>
            <w:hyperlink r:id="rId45" w:history="1">
              <w:r w:rsidR="008E3733" w:rsidRPr="00232275">
                <w:rPr>
                  <w:rFonts w:ascii="StobiSerif Regular" w:eastAsia="Times New Roman" w:hAnsi="StobiSerif Regular" w:cs="Times New Roman"/>
                  <w:sz w:val="20"/>
                  <w:szCs w:val="20"/>
                  <w:lang w:val="mk-MK"/>
                </w:rPr>
                <w:t>vgeorgiev@dksk.org.mk</w:t>
              </w:r>
            </w:hyperlink>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3215-377</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075 273-023</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070/342 782 </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Владини министерства, одделение/агенција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Единици на локална самоуправа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ЦИКП и други ГО</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highlight w:val="red"/>
                <w:lang w:val="mk-MK"/>
              </w:rPr>
            </w:pPr>
            <w:r w:rsidRPr="00232275">
              <w:rPr>
                <w:rFonts w:ascii="StobiSerif Regular" w:eastAsia="Times New Roman" w:hAnsi="StobiSerif Regular" w:cs="Times New Roman"/>
                <w:sz w:val="20"/>
                <w:szCs w:val="20"/>
                <w:lang w:val="mk-MK"/>
              </w:rPr>
              <w:t xml:space="preserve">Имајќи ги предвид политиките за подинамичен и одржлив економски и општествен развој на ЕЛС, целосно </w:t>
            </w:r>
            <w:r w:rsidRPr="00232275">
              <w:rPr>
                <w:rFonts w:ascii="StobiSerif Regular" w:eastAsia="Times New Roman" w:hAnsi="StobiSerif Regular" w:cs="Times New Roman"/>
                <w:sz w:val="20"/>
                <w:szCs w:val="20"/>
                <w:lang w:val="mk-MK"/>
              </w:rPr>
              <w:lastRenderedPageBreak/>
              <w:t>насочени кон граѓаните и остварување на нивните права, а со цврста решеност за справување со корупцијата и неетичкото однесување, 47 општини во соработка со ДКСК, потпишаа антикорупциски политики/политики на интегритет. Неопходно е овој процес да продолжи и  целосно да се заокружи со потпишување на антикорупциски политики од страна на сите ЕЛС, со што ќе се воспостави целосен систем од механизми и процедури, кои го стеснуваат просторот и можностите за корупција и ги афирмираат принципите на владеење на правото. Ова истовремено ќе придонесе кон поголема отвореност на ЕЛС и вклученост на граѓаните во нивното работење.</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Подобрување на транспарентноста,  отчетноста и интегритетот на институциите на локално ниво и следење на напредокот</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Промовирањето на интегритетот во институциите на локално ниво е во насока да се спречи и да не се толерира однесување забрането со закон и спротивно на етичкиот кодекс како и било каква форма на  коруптивно однесување во работењето на општините. Истовремено ќе се градат и јакнат  капацитетите за следење на антикоруптивни практики на локално ниво. Транспарентноста и отчетноста на институциите  на локално ниво овозможуваат унапредување на нивната  отвореност преку вклучување на јавноста во креирање на политиките на добро владеење, интегритет и превенција на ризиците за корупција.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Иновативните алатки за отвореност и одговорност (преку ИТ алатки, индексот за одговорност, транспарентност и отчетност и индексот на интегритет на општините) се во функција на создавање култура на респонзивност на единиците на локалната самоуправа.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Зајакнат интегритет на единиците на локалната самоуправа</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Таргет 16.5: Значително намалување на сите форми на корупција и поткуп.</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мерките од оваа заложба се придонесува кон  превенција и борба против корупцијата и заштитата на јавниот интерес преку систематско воведување на механизми, алатки и мерки за унапредување на интегритетот на јавните институции. </w:t>
            </w:r>
          </w:p>
        </w:tc>
      </w:tr>
      <w:tr w:rsidR="008E3733" w:rsidRPr="00232275" w:rsidTr="008E3733">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Како дел од концептот на интегритет, ДКСК во соработка со УНДП во текот на 2014 и 2015 година го промовираше потпишувањето на антикорупциска политика/ политика на интегритет на локално ниво и  досега 47 општини имаат потпишано антикорупциската политика. Целта е сите единици на локалната самоуправа да потпишат ваков документ како прв чекор во воспоставување на концептот на интегритет.</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 xml:space="preserve"> Исто така изработени се индекс за одговорност, транспарентност и отчетност и индекс на интегритет на општините.</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Вклученоста на граѓанските организации во доработката на овие индекси и нивното натамошно пилотирање во единиците на локалната самоуправа во голема мера ќе придонесе за оценка на интегритетот на општините. </w:t>
            </w:r>
          </w:p>
        </w:tc>
      </w:tr>
      <w:tr w:rsidR="008E3733" w:rsidRPr="00232275" w:rsidTr="006A7116">
        <w:trPr>
          <w:trHeight w:val="548"/>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Мерките утврдени во оваа заложба ќе овозможуваат унапредување на отвореноста на институциите од локално ниво преку вклучување на граѓанските организации во креирање на индексите, мониторинг и оценка на доброто владеење и интегритетот на единиците на локалната самоуправа.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Мерките од оваа заложба имаат за цел унапредување на отвореното владино партнерство преку воспоставување на одржлив и континуиран пристап на одговорност и отвореност на институциите кон невладиниот сектор и граѓаните.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Афирмирањето на механизмите и алатките што овозможуваат подобра интеракција помеѓу општините и јавноста исто така ќе придонесат кон унапредување на транспарентноста и отчетноста на општините.</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0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Назив на достигнување </w:t>
            </w:r>
          </w:p>
          <w:p w:rsidR="008E3733" w:rsidRPr="00232275" w:rsidRDefault="008E3733" w:rsidP="008E3733">
            <w:pPr>
              <w:spacing w:after="0" w:line="240" w:lineRule="auto"/>
              <w:rPr>
                <w:rFonts w:ascii="StobiSerif Regular" w:eastAsia="Times New Roman" w:hAnsi="StobiSerif Regular" w:cs="Times New Roman"/>
                <w:sz w:val="20"/>
                <w:szCs w:val="20"/>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rPr>
              <w:t>4</w:t>
            </w:r>
            <w:r w:rsidRPr="00232275">
              <w:rPr>
                <w:rFonts w:ascii="StobiSerif Regular" w:eastAsia="Times New Roman" w:hAnsi="StobiSerif Regular" w:cs="Times New Roman"/>
                <w:b/>
                <w:i/>
                <w:sz w:val="20"/>
                <w:szCs w:val="20"/>
                <w:lang w:val="mk-MK"/>
              </w:rPr>
              <w:t>.3.1. Потпишување на антикорупциски политики- политики на интегритет  со сите единици на локалната самоуправа</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рамките на концептот на интегритет, антикорупциска политика / политика на интегритет имаат потпишано 47 општини. Во јуни 2016 година, политика на интегритет потпиша и министерот за локална самоуправа, со што Министерството за локална самоуправа е прва институција на централно ниво што ја прифати оваа иницијатива. При тоа, МЛС во соработка со ДКСК изготви нов, ажуриран текст на политиката на интегритет во делот на проценката на ризици од корупција, како и во согласност со најновите законски измени во делот на заштитата на укажувачите.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2017  година продолжи соработката со ОБСЕ во насока на превенција од корупција и промоција на интегритетот во рамки на кој ќе се реализираат 3 активности:</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-обезбедување на експерт за спроведување на анализа на дискреционите овластувања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-2 работилници за работа на работната група за спроведување на анализа за дискреционите овластувања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-6 работилници со претставници на локалната самоуправа со цел размена на искуства и потпишување на политики на интегритет на оние општини што сеуште не го сториле тоа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lastRenderedPageBreak/>
              <w:t>Се очекува во наредниот период, по завршување на локалните избори, политиката на интегритет да ја потпишат и останатите опш</w:t>
            </w:r>
            <w:r w:rsidR="00B06E2A">
              <w:rPr>
                <w:rFonts w:ascii="StobiSerif Regular" w:eastAsia="Times New Roman" w:hAnsi="StobiSerif Regular" w:cs="Times New Roman"/>
                <w:sz w:val="20"/>
                <w:szCs w:val="20"/>
                <w:lang w:val="mk-MK"/>
              </w:rPr>
              <w:t>тини, а потоа и другите органи.</w:t>
            </w:r>
          </w:p>
          <w:p w:rsidR="008E3733" w:rsidRPr="00B06E2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Со поддршка на ОБСЕ Мисијата во Скопје, преку проектот Промовирање на принципите на демократско управување, ДКСК продолжи со активностите за  промоција на интегритетот, транспарентноста, отчетноста на локално ниво, преку реализација на серија обуки. Обуките, вкупно 6 се реализираа во ноември и декември 2017 и ги опфатија единиците на локалната самоуправа од РМ, по региони. На обуките беа опфатени теми поврзани со граѓанското општество како партнер во промовирање на доброто владеење и јакнење на локалниот институционален интегритет и се презентираа искуства на локално ниво.Во завршниот дел на сесиите се договараа идни чекори за унапредување на системот на интегритет, потпишување на политиката на интегритет во општините во</w:t>
            </w:r>
            <w:r w:rsidR="00B06E2A">
              <w:rPr>
                <w:rFonts w:ascii="StobiSerif Regular" w:eastAsia="Times New Roman" w:hAnsi="StobiSerif Regular" w:cs="Times New Roman"/>
                <w:sz w:val="20"/>
                <w:szCs w:val="20"/>
                <w:lang w:val="mk-MK"/>
              </w:rPr>
              <w:t xml:space="preserve"> кои тоа сеуште не е направено.</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rPr>
              <w:lastRenderedPageBreak/>
              <w:t>4</w:t>
            </w:r>
            <w:r w:rsidRPr="00232275">
              <w:rPr>
                <w:rFonts w:ascii="StobiSerif Regular" w:eastAsia="Times New Roman" w:hAnsi="StobiSerif Regular" w:cs="Times New Roman"/>
                <w:b/>
                <w:i/>
                <w:sz w:val="20"/>
                <w:szCs w:val="20"/>
                <w:lang w:val="mk-MK"/>
              </w:rPr>
              <w:t>.3.2. Следење на одговорност, транспарентност и отчетност на локално ниво преку индексот за интегритет и индексот за одговорност, транспарентност и отчетност на општините</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-ДКСК во соработка со ЦИКП во насока на реализација на оваа заложба, ќе преземе активности за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ажурирање на индексот за интегритет и индексот за одговорност, транспарентност и отчетност на општините.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-ИДСЦС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однос на заложбата 4.3 се чекаат резултати од апликација на проект во кој ИДСЦС ќе соработува со ДКСК. Проектот се однесува на интегритет и проценка на ризици од корупција во институции на централно и локално ниво.</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ИДСЦС беше одбиен за апликацијата за проектот. Но започнува мини пилот проект кој е извесен и се однесува на мерење на антикорупцискиот перформанс на институционално н</w:t>
            </w:r>
            <w:r w:rsidR="00B06E2A">
              <w:rPr>
                <w:rFonts w:ascii="StobiSerif Regular" w:eastAsia="Times New Roman" w:hAnsi="StobiSerif Regular" w:cs="Times New Roman"/>
                <w:sz w:val="20"/>
                <w:szCs w:val="20"/>
                <w:lang w:val="mk-MK"/>
              </w:rPr>
              <w:t xml:space="preserve">иво кај една тест институција. </w:t>
            </w:r>
          </w:p>
        </w:tc>
      </w:tr>
    </w:tbl>
    <w:p w:rsidR="008E3733" w:rsidRPr="00232275" w:rsidRDefault="008E3733" w:rsidP="008E3733">
      <w:pPr>
        <w:tabs>
          <w:tab w:val="left" w:pos="1340"/>
        </w:tabs>
        <w:spacing w:after="0" w:line="240" w:lineRule="auto"/>
        <w:rPr>
          <w:rFonts w:ascii="StobiSerif Regular" w:eastAsia="Times New Roman" w:hAnsi="StobiSerif Regular" w:cs="Times New Roman"/>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8E3733" w:rsidRPr="00232275" w:rsidTr="008E3733">
        <w:trPr>
          <w:trHeight w:val="544"/>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45" w:name="_Toc453059115"/>
            <w:bookmarkStart w:id="46" w:name="_Toc453059207"/>
            <w:bookmarkStart w:id="47" w:name="_Toc453059253"/>
            <w:r w:rsidRPr="00232275">
              <w:rPr>
                <w:rFonts w:ascii="StobiSerif Regular" w:eastAsia="Times New Roman" w:hAnsi="StobiSerif Regular" w:cs="Times New Roman"/>
                <w:b/>
                <w:sz w:val="20"/>
                <w:szCs w:val="20"/>
                <w:lang w:val="mk-MK"/>
              </w:rPr>
              <w:t>4.4 Унапредување на соработката и зголемена проактивност во спречување на корупцијата и судирот на интереси</w:t>
            </w:r>
            <w:bookmarkEnd w:id="45"/>
            <w:bookmarkEnd w:id="46"/>
            <w:bookmarkEnd w:id="47"/>
            <w:r w:rsidRPr="00232275">
              <w:rPr>
                <w:rFonts w:ascii="StobiSerif Regular" w:eastAsia="Times New Roman" w:hAnsi="StobiSerif Regular" w:cs="Times New Roman"/>
                <w:b/>
                <w:bCs/>
                <w:sz w:val="20"/>
                <w:szCs w:val="20"/>
                <w:lang w:val="mk-MK"/>
              </w:rPr>
              <w:t xml:space="preserve">  </w:t>
            </w:r>
          </w:p>
        </w:tc>
      </w:tr>
      <w:tr w:rsidR="008E3733" w:rsidRPr="00232275" w:rsidTr="008E3733">
        <w:trPr>
          <w:trHeight w:val="239"/>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(7/2016 – континуирано)</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Нова </w:t>
            </w:r>
          </w:p>
        </w:tc>
      </w:tr>
      <w:tr w:rsidR="008E3733" w:rsidRPr="00232275" w:rsidTr="008E3733">
        <w:trPr>
          <w:trHeight w:val="379"/>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Државна комисија за спречување на корупцијата</w:t>
            </w:r>
          </w:p>
        </w:tc>
      </w:tr>
      <w:tr w:rsidR="008E3733" w:rsidRPr="00232275" w:rsidTr="008E3733">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Весна Донева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Владимир Георгиев</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 Советник за аналитика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 Државен советник</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Сектор за програми, аналитика, меѓународна соработка и административни работи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Секретаријат на ДКСК</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6" w:history="1">
              <w:r w:rsidR="008E3733" w:rsidRPr="00232275">
                <w:rPr>
                  <w:rFonts w:ascii="StobiSerif Regular" w:eastAsia="Times New Roman" w:hAnsi="StobiSerif Regular" w:cs="Times New Roman"/>
                  <w:sz w:val="20"/>
                  <w:szCs w:val="20"/>
                  <w:lang w:val="mk-MK"/>
                </w:rPr>
                <w:t>vdoneva@dksk.org.mk</w:t>
              </w:r>
            </w:hyperlink>
          </w:p>
          <w:p w:rsidR="008E3733" w:rsidRPr="00232275" w:rsidRDefault="00E6510B" w:rsidP="008E3733">
            <w:pPr>
              <w:spacing w:after="0" w:line="240" w:lineRule="auto"/>
              <w:rPr>
                <w:rFonts w:ascii="StobiSerif Regular" w:eastAsia="Times New Roman" w:hAnsi="StobiSerif Regular" w:cs="Times New Roman"/>
                <w:sz w:val="20"/>
                <w:szCs w:val="20"/>
                <w:lang w:val="mk-MK"/>
              </w:rPr>
            </w:pPr>
            <w:hyperlink r:id="rId47" w:history="1">
              <w:r w:rsidR="008E3733" w:rsidRPr="00232275">
                <w:rPr>
                  <w:rFonts w:ascii="StobiSerif Regular" w:eastAsia="Times New Roman" w:hAnsi="StobiSerif Regular" w:cs="Times New Roman"/>
                  <w:sz w:val="20"/>
                  <w:szCs w:val="20"/>
                  <w:lang w:val="mk-MK"/>
                </w:rPr>
                <w:t>vgeorgiev@dksk.org.mk</w:t>
              </w:r>
            </w:hyperlink>
            <w:r w:rsidR="008E3733" w:rsidRPr="00232275">
              <w:rPr>
                <w:rFonts w:ascii="StobiSerif Regular" w:eastAsia="Times New Roman" w:hAnsi="StobiSerif Regular" w:cs="Times New Roman"/>
                <w:sz w:val="20"/>
                <w:szCs w:val="20"/>
                <w:lang w:val="mk-MK"/>
              </w:rPr>
              <w:t>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3215-377</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075 273-023</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070/342 782 </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МП, МВР,  МТСП, МЛС,</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МЦМС, </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ИДСЦ</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ЦИКП</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 xml:space="preserve">Транспарентност Интернешнл Македонија </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АДИ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8E3733">
        <w:trPr>
          <w:trHeight w:val="139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Кога се зборува за превенцијата на корупцијата и судирот на интереси, неопходно е создавање на политичка култура и вредносен систем, во кој корупцијата ќе биде јасно идентификувана како општествено зло кое треба постојано да се превенира и санкционира. На ова поле покрај ДКСК како надлежна за спречување на  корупцијата и судирот на интереси и останатите релевантни чинители, посебно значајна улога има граѓанскиот сектор, кој со своите механизми на дејствување е  значаен субјект во борбата против овие општествено негативни појави. Оттаму, потребна е подготвеност и поголема иницијативност за унапредување и продлабочување на соработката и партнер</w:t>
            </w:r>
            <w:r w:rsidRPr="00232275">
              <w:rPr>
                <w:rFonts w:ascii="StobiSerif Regular" w:eastAsia="Times New Roman" w:hAnsi="StobiSerif Regular" w:cs="Times New Roman"/>
                <w:sz w:val="20"/>
                <w:szCs w:val="20"/>
                <w:lang w:val="mk-MK"/>
              </w:rPr>
              <w:softHyphen/>
              <w:t>ството меѓу граѓанскиот сектор и институциите во борбата против корупцијата, преку реализација на зеднички активности и проекти, размена на информации и координација за  развивање одржливи решенија со цел подобрување на системот на добро владеење за ефикасна превенција на корупцијата и судирот на интереси.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Зголемување на ефикасноста и ефективноста во спречување на корупцијата и судирот на интереси </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widowControl w:val="0"/>
              <w:tabs>
                <w:tab w:val="left" w:pos="270"/>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Постапувањето на надлежните тела, како и издвоените превентивни антикорупциски проекти и активности на граѓанскиот сектор, нема да ги дадат очекуваните резултати доколку не се воспостави одржлив систем на соработка меѓу сите релевантни актери, имајќи ги предвид  спецификите на секој од нив, како и утврдените законски надлежности. </w:t>
            </w:r>
          </w:p>
          <w:p w:rsidR="008E3733" w:rsidRPr="00232275" w:rsidRDefault="008E3733" w:rsidP="008E3733">
            <w:pPr>
              <w:widowControl w:val="0"/>
              <w:tabs>
                <w:tab w:val="left" w:pos="270"/>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Од особено значење е одржувањето на периодични координативни работни средби на кои ќе се дискутира за конкретни теми или проекти од областа на корупцијата и судирот на интереси со предлози и препораки за преземање на идни активности и мерки за подобрување </w:t>
            </w:r>
            <w:r w:rsidRPr="00232275">
              <w:rPr>
                <w:rFonts w:ascii="StobiSerif Regular" w:eastAsia="Times New Roman" w:hAnsi="StobiSerif Regular" w:cs="Times New Roman"/>
                <w:sz w:val="20"/>
                <w:szCs w:val="20"/>
                <w:lang w:val="mk-MK"/>
              </w:rPr>
              <w:lastRenderedPageBreak/>
              <w:t>на состојбите. Ова ќе  придонесе за интензивирање на спроведувањето на воспоставената општа рамка за соработка за спречување на корупцијата, со видливи резултати и воспоставување системски пристап за размена на информации и податоци, предлози и препораки за кои ќе се дискутира и ќе се земат во предвид од релевантните чинители кои ги третираат прашањата од оваа област.</w:t>
            </w:r>
          </w:p>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Со цел нивна поголема вклученост, граѓанските организации треба да развијат методологии за следење на корупцијата како механизам и пристап за мерење на перцепциите на граѓаните и нивните искуствата во однос на изложеност на корупција. Граѓанските организации треба да ги пренесат искуствата од овие методологии и резултатите од нив за да можат истите да се  вклучат во развивањето на еден сеопфатен и долгорочен систем за превенција на корупцијата и судирот на интереси и воспоставување на добро владеење. </w:t>
            </w:r>
          </w:p>
          <w:p w:rsidR="008E3733" w:rsidRPr="00232275" w:rsidRDefault="008E3733" w:rsidP="008E3733">
            <w:pPr>
              <w:widowControl w:val="0"/>
              <w:tabs>
                <w:tab w:val="left" w:pos="270"/>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ab/>
              <w:t xml:space="preserve">Во насока на информирање и запознавање на јавноста со ефектите од соработката ќе се  организираат јавни настани-дебати, работилници и тематски конференции како и кампањи за јакнење на свеста на јавноста за корупцијата и судирот на интереси.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Зајакнување на интегритетот воопшто преку  одржливост и долгорочност на ефектите како резултат од соработката и учеството на граѓанските организации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16.5: Значително намалување на сите форми на корупција и поткуп.</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превенција и борба против корупцијата и заштитата на јавниот интерес преку воведување на систематски консултации со граѓанскиот сектор со цел заедничко дијагностицирање и адресирање на проблемите .</w:t>
            </w:r>
          </w:p>
        </w:tc>
      </w:tr>
      <w:tr w:rsidR="008E3733" w:rsidRPr="00232275" w:rsidTr="008E3733">
        <w:trPr>
          <w:trHeight w:val="168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widowControl w:val="0"/>
              <w:tabs>
                <w:tab w:val="left" w:pos="270"/>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ДКСК, со цел да го уреди начинот на соработка, координација и заеднички договорените активности со граѓанскиот сектор, во декември 2010 година иницира потпишување на Меморандум за взаемна поддршка за спречување на корупцијата и судирот на интереси со 17 ГО, а нивниот број заклучно со 2014 година е 22 ГО. Активностите опфатени со Меморандумот се однесуваат на размена на информации и иницијативи од областа на корупцијата и судирот на интереси, анализи и истражувања, одржување средби и други настани за подигање на јавната свест, меѓусебна стручна соработка на планот на антикорупциска едукација и обука како и при изработка на законска регулатива, и  реализација на проекти од интерес за борба против корупцијата и судирот на интереси.  Во стратешкиот антикорупциски документ Државната програма за превенција и репресија на корупцијата и превенција и намалување на појавата на судир на интереси со Акционен план 2016-2019, </w:t>
            </w:r>
            <w:r w:rsidRPr="00232275">
              <w:rPr>
                <w:rFonts w:ascii="StobiSerif Regular" w:eastAsia="Times New Roman" w:hAnsi="StobiSerif Regular" w:cs="Times New Roman"/>
                <w:sz w:val="20"/>
                <w:szCs w:val="20"/>
                <w:lang w:val="mk-MK"/>
              </w:rPr>
              <w:lastRenderedPageBreak/>
              <w:t xml:space="preserve">предвидени се активности кои се однесуваат на  унапредување и проширување на соработката меѓу ДКСК и граѓанските организации како и активности за спроведување анкети и  истражувања за состојбите со корупцијата преку изготвување извештаи со наоди и препораки, како  и јавни дебати и кампања за јакнење на свеста на јавноста за корупцијата и судирот на интереси. </w:t>
            </w:r>
          </w:p>
          <w:p w:rsidR="008E3733" w:rsidRPr="00232275" w:rsidRDefault="008E3733" w:rsidP="008E3733">
            <w:pPr>
              <w:widowControl w:val="0"/>
              <w:tabs>
                <w:tab w:val="left" w:pos="270"/>
              </w:tabs>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 насока на остварување на заеднички договорените активности кои произлегуваат од потпишаните документи за соработка како и на мерките утврдени во стратешкиот антикорупциски документ од посебна важност е да се унапреди веќе воспоставената соработка и да се зголеми иницијативноста и проактивноста во спречување на корупцијата и судирот на интереси. </w:t>
            </w:r>
          </w:p>
        </w:tc>
      </w:tr>
      <w:tr w:rsidR="008E3733" w:rsidRPr="00232275" w:rsidTr="008E3733">
        <w:trPr>
          <w:trHeight w:val="135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Граѓанските организации во соработка со институциите активно следат и учествуваат во инцијативи за следење и борба против корупцијата и се активен партнер во процесот на воспоставување на добро владеење.</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 </w:t>
            </w:r>
          </w:p>
        </w:tc>
        <w:tc>
          <w:tcPr>
            <w:tcW w:w="130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Назив на достигнување </w:t>
            </w:r>
          </w:p>
          <w:p w:rsidR="008E3733" w:rsidRPr="00232275" w:rsidRDefault="008E3733" w:rsidP="008E3733">
            <w:pPr>
              <w:spacing w:after="0" w:line="240" w:lineRule="auto"/>
              <w:rPr>
                <w:rFonts w:ascii="StobiSerif Regular" w:eastAsia="Times New Roman" w:hAnsi="StobiSerif Regular" w:cs="Times New Roman"/>
                <w:sz w:val="20"/>
                <w:szCs w:val="20"/>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4.4.1 Oдржување  периодични координативни работни средби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По одржани консултации, МЦМС и ДКСК воспоставија соработка за редовно, квартално, доставување на информации од Листата на информации од јавен карактер кои ги поседува ДКСК. Соработката е воспоставена врз основа на Меморандумот за соработка со ГО. Податоците ќе бидат користени за подготовка на извештаи за следење на работата на ДКСК, подготвени од страна на МЦМС, во рамките на проектот „Следење на работењето на ДКСК”, кој е поддржан од Британска</w:t>
            </w:r>
            <w:r w:rsidR="00025697">
              <w:rPr>
                <w:rFonts w:ascii="StobiSerif Regular" w:eastAsia="Times New Roman" w:hAnsi="StobiSerif Regular" w:cs="Times New Roman"/>
                <w:sz w:val="20"/>
                <w:szCs w:val="20"/>
                <w:lang w:val="mk-MK"/>
              </w:rPr>
              <w:t xml:space="preserve"> амбасада, а го спроведува МЦМС.</w:t>
            </w:r>
            <w:r w:rsidRPr="00471A7A">
              <w:rPr>
                <w:rFonts w:ascii="StobiSerif Regular" w:eastAsia="Times New Roman" w:hAnsi="StobiSerif Regular" w:cs="Times New Roman"/>
                <w:sz w:val="20"/>
                <w:szCs w:val="20"/>
                <w:lang w:val="mk-MK"/>
              </w:rPr>
              <w:t xml:space="preserve"> ДКСК на квартално ниво доставува</w:t>
            </w:r>
            <w:r w:rsidR="00025697">
              <w:rPr>
                <w:rFonts w:ascii="StobiSerif Regular" w:eastAsia="Times New Roman" w:hAnsi="StobiSerif Regular" w:cs="Times New Roman"/>
                <w:sz w:val="20"/>
                <w:szCs w:val="20"/>
                <w:lang w:val="mk-MK"/>
              </w:rPr>
              <w:t>ше</w:t>
            </w:r>
            <w:r w:rsidRPr="00471A7A">
              <w:rPr>
                <w:rFonts w:ascii="StobiSerif Regular" w:eastAsia="Times New Roman" w:hAnsi="StobiSerif Regular" w:cs="Times New Roman"/>
                <w:sz w:val="20"/>
                <w:szCs w:val="20"/>
                <w:lang w:val="mk-MK"/>
              </w:rPr>
              <w:t xml:space="preserve"> податоци до МЦМС кои се</w:t>
            </w:r>
            <w:r w:rsidR="00025697">
              <w:rPr>
                <w:rFonts w:ascii="StobiSerif Regular" w:eastAsia="Times New Roman" w:hAnsi="StobiSerif Regular" w:cs="Times New Roman"/>
                <w:sz w:val="20"/>
                <w:szCs w:val="20"/>
                <w:lang w:val="mk-MK"/>
              </w:rPr>
              <w:t xml:space="preserve"> користеа</w:t>
            </w:r>
            <w:r w:rsidRPr="00471A7A">
              <w:rPr>
                <w:rFonts w:ascii="StobiSerif Regular" w:eastAsia="Times New Roman" w:hAnsi="StobiSerif Regular" w:cs="Times New Roman"/>
                <w:sz w:val="20"/>
                <w:szCs w:val="20"/>
                <w:lang w:val="mk-MK"/>
              </w:rPr>
              <w:t xml:space="preserve"> за подготовка на квартални извештаи за следење на работата на ДКСК. МЦМС има објавено два извештаи и тоа: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„Следење на работата на Државната комисија за спречување на корупцијатa: Извештај за состојбата“ кој дава сумарен осврт на статусот, капацитетите и законските надлежности на ДКСК, за претходните десет години од функционирањето, достапен на  http://www.mcms.org.mk/mk/za-nasata-rabota/istrazuvana-i-publikacii/1885-sledenje-na-rabotata-na-drzhavnata-komisija-za-sprechuvanje-na-korupcijata-izveshtaj-za-sostojbata.html и Квартален извештај бр.1 во кој се содржани резултатите од следењето на работата на ДКСК за периодот октомври - декември 2016 г., достапен на: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lastRenderedPageBreak/>
              <w:t xml:space="preserve"> http://www.mcms.org.mk/mk/za-nasata-rabota/istrazuvana-i-publikacii/1902-sledenje-na-rabotata-na-dksk-kvartalen-izveshtaj-br-1.html.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Подготвен е и кварталниот извештај бр.2 кој се однесува на следење на работата на ДКСК за периодот јануари- март 2017 и истиот ќе би</w:t>
            </w:r>
            <w:r w:rsidR="00B06E2A">
              <w:rPr>
                <w:rFonts w:ascii="StobiSerif Regular" w:eastAsia="Times New Roman" w:hAnsi="StobiSerif Regular" w:cs="Times New Roman"/>
                <w:sz w:val="20"/>
                <w:szCs w:val="20"/>
                <w:lang w:val="mk-MK"/>
              </w:rPr>
              <w:t>де објавен во наредниот период.</w:t>
            </w:r>
          </w:p>
          <w:p w:rsidR="008E3733" w:rsidRPr="00471A7A" w:rsidRDefault="00025697"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В</w:t>
            </w:r>
            <w:r w:rsidR="008E3733" w:rsidRPr="00471A7A">
              <w:rPr>
                <w:rFonts w:ascii="StobiSerif Regular" w:eastAsia="Times New Roman" w:hAnsi="StobiSerif Regular" w:cs="Times New Roman"/>
                <w:sz w:val="20"/>
                <w:szCs w:val="20"/>
                <w:lang w:val="mk-MK"/>
              </w:rPr>
              <w:t>о периодот јули-декември  има подготвено два квартални извештаи. Квартален извештај кој се однесува на период</w:t>
            </w:r>
            <w:r>
              <w:rPr>
                <w:rFonts w:ascii="StobiSerif Regular" w:eastAsia="Times New Roman" w:hAnsi="StobiSerif Regular" w:cs="Times New Roman"/>
                <w:sz w:val="20"/>
                <w:szCs w:val="20"/>
                <w:lang w:val="mk-MK"/>
              </w:rPr>
              <w:t xml:space="preserve">от април-јуни и јули-септември. </w:t>
            </w:r>
            <w:r w:rsidR="008E3733" w:rsidRPr="00471A7A">
              <w:rPr>
                <w:rFonts w:ascii="StobiSerif Regular" w:eastAsia="Times New Roman" w:hAnsi="StobiSerif Regular" w:cs="Times New Roman"/>
                <w:sz w:val="20"/>
                <w:szCs w:val="20"/>
                <w:lang w:val="mk-MK"/>
              </w:rPr>
              <w:t>Извештаите и резимеата од извештаите, МЦМС редовно ги споделува со пошироката јавност преку својата веб страна, фб и твитер профил.</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ноември 2017 година Државната комисија за спречување корупцијата и Транспаренси Интернешнл Македонија склучија Меморандум за соработка со цел остварување на активности од заеднички интерес кои што ќе бидат резултат на програмата за заемна соработкa преку проектот „Зајакнување на националниот систем на интегритет во земјите од Западен Балкан  и Турција и следење на развојот на антикорупциските реформи”, поддржан од Европската унија и Амбасадата на Кралството Холандија во Република Македонија.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Меморандумот опфаќа соработка во активностите за зајакнување на ефикасната примената на Законот за заштита на укажувачи, соработка и комуникација помеѓу ДКСК и ТИ-М, размена на информации, заедничка соработка и присутност на јавните дебати, работилници, конференции за подигање на јавната свест и презентација на заеднички реализираните активности на официјалните веб страници н</w:t>
            </w:r>
            <w:r w:rsidR="00B06E2A">
              <w:rPr>
                <w:rFonts w:ascii="StobiSerif Regular" w:eastAsia="Times New Roman" w:hAnsi="StobiSerif Regular" w:cs="Times New Roman"/>
                <w:sz w:val="20"/>
                <w:szCs w:val="20"/>
                <w:lang w:val="mk-MK"/>
              </w:rPr>
              <w:t>а потписниците на Меморандумот.</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Во декември 2017 година Државната комисија за спречување корупција  и Институтот за демократија – Социетас Цивилис – Скопје потпишаа Меморандум за соработка со цел спроведување на активности заради реализација на проектот „Антикорупциска едукација на у</w:t>
            </w:r>
            <w:r w:rsidR="00B06E2A">
              <w:rPr>
                <w:rFonts w:ascii="StobiSerif Regular" w:eastAsia="Times New Roman" w:hAnsi="StobiSerif Regular" w:cs="Times New Roman"/>
                <w:sz w:val="20"/>
                <w:szCs w:val="20"/>
                <w:lang w:val="mk-MK"/>
              </w:rPr>
              <w:t>чениците од средните училишта”.</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lastRenderedPageBreak/>
              <w:t xml:space="preserve">4.4.2 Развивање методологии за следење на состојбите со корупцијата и судирот на интереси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МЦМС, во рамките на проектот „Следење на работата на ДКСК”, поддржан од Британска амбасада, ја развива методологија за надворешно следење на ефикасноста на работењето на ДКСК. Целта на оваа методологија е да се придонесе кон зголемување на транспарентноста, отчетноста и подигање на јавната свест за ефектите од работата на ДКСК, како една од институциите надлежни за превенција на корупцијата во Република Македонија.</w:t>
            </w:r>
          </w:p>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Транспаренси Интернешнл – Македонија во рамките на проектот "Зајакнување на Националниот систем на интегритет (НСИ) во земјите од Западен Балкан и Турција, и следење на развојот на анти-корупциските напори” подготви евалуација на силните и слабите страни на институциите во форма на сеопфатен извештај. Извештајот „Националниот систем за </w:t>
            </w:r>
            <w:r w:rsidRPr="00471A7A">
              <w:rPr>
                <w:rFonts w:ascii="StobiSerif Regular" w:eastAsia="Times New Roman" w:hAnsi="StobiSerif Regular" w:cs="Times New Roman"/>
                <w:sz w:val="20"/>
                <w:szCs w:val="20"/>
                <w:lang w:val="mk-MK"/>
              </w:rPr>
              <w:lastRenderedPageBreak/>
              <w:t xml:space="preserve">интегритет - оценка за Македонија“ беше објавен на 31 мај 2016 година.  </w:t>
            </w:r>
          </w:p>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Националниот систем за интегритет (НСИ) на Транспаренси Интернешнал е алатка за проценка на сите клучни актери во борбата против корупцијата и се однесува на нивниот интегритет, транспарентност и отчетност. Во основа, НСИ го означува начелото на чинители и институции во една земја кои влијаат на тоа како земјата е управувана. Компонента за проценката на истражувањето се фокусира на евалуација на клучните јавни институции и сите релевантни чинители во борбата против корупцијата во однос на: (1) нивниот целокупен капацитет, (2)  системите на внатрешно управување и процедури и (3) нивната улога во целокупниот систем на интегритет. Предмет на ова истражување беа 15 столбови: законодавна власт, извршна власт, судство, јавниот сектор, органи за спроведување на законот, Државна изборна комисија, Народен правобранител, Државен завод за ревизија, Државна комисија за спречување на корупција, Јавно обвинителство, политички партии, медиуми, граѓанското општество, приватниот сектор и јавни претпријатија.</w:t>
            </w:r>
          </w:p>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Резултатите од извештајот ќе се користат како алатка за следење и мерење на напредокот во текот на времето, за потоа да се споредат перформансите низ институциите и да се идентификуваат добрите и лошите практики. Сите препораки кои се произлезени од ова истражување ќе бидат доставени до надлежните институции со цел  превземање на понатамошни чекори и пронаоѓање на системски решенија со што ќе се допринесе кон градење на здрав и цврст систем на национален интегритет кој ќе биде ефикасен во борбата против корупцијата. </w:t>
            </w:r>
          </w:p>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Извештајот е дистрибуиран по пошта во 330 примероци до сите засегнати страни, и објавен на следниов линк: </w:t>
            </w:r>
          </w:p>
          <w:p w:rsidR="008E3733" w:rsidRPr="00471A7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http://www.transparency.mk/index.php?option=com_content&amp;task=view&amp;id=1168&amp;Itemid=77</w:t>
            </w:r>
          </w:p>
          <w:p w:rsidR="008E3733" w:rsidRPr="00B06E2A" w:rsidRDefault="008E3733" w:rsidP="00B06E2A">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-МЦМС во рамките на проектот „Следење на работата на ДКСК“, ја разви методологијата за надворешно следење на ефикасноста на работењето на ДКСК. Во изработката на Матрицата на индикатори активно беше вклучена и ДКСК преку давање свои коментари за подобрување. Матрицата со индикатори која МЦМС ја користи за подготвување на извештаите е достапна на http://www.mcms.org.mk/images/docs/2017/matrica-na-indikatori-dksk.pdf</w:t>
            </w:r>
          </w:p>
          <w:p w:rsidR="008E3733" w:rsidRPr="00B06E2A" w:rsidRDefault="008E3733" w:rsidP="008E3733">
            <w:pPr>
              <w:numPr>
                <w:ilvl w:val="0"/>
                <w:numId w:val="8"/>
              </w:numPr>
              <w:spacing w:after="0" w:line="240" w:lineRule="auto"/>
              <w:ind w:left="195" w:hanging="218"/>
              <w:contextualSpacing/>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Во соработка со Центарот за изучување на демократијата од Бугарија, МЦМС подготви Матрицата за следење на работата на ДКСК. Индикаторите се поделени во три групи: 1. Индикатори за транспарентност (де јуре и де факто транспарентност), </w:t>
            </w:r>
            <w:r w:rsidRPr="00471A7A">
              <w:rPr>
                <w:rFonts w:ascii="StobiSerif Regular" w:eastAsia="Times New Roman" w:hAnsi="StobiSerif Regular" w:cs="Times New Roman"/>
                <w:sz w:val="20"/>
                <w:szCs w:val="20"/>
                <w:lang w:val="mk-MK"/>
              </w:rPr>
              <w:lastRenderedPageBreak/>
              <w:t>2. Индикатори за одговорност, 3. Индикатори за ефикасност. Матрицата е составена од име на индикаторот, дефиниција (објаснување) на индикаторот, законска база на индикаторот, извори на прибирање на податоците и фрекфенција на прибирање. Во подготовката земени се предвид и коментарите на претставниците од граѓанските организации. Во соработка со ЦИД и локални експерти беше подготвен и прашалник за испитувањето на јавното мислење. Прашалникот има 19 прашања од нив седум се однесуваат на ДКСК, нејзините активности и надлежности, а останатите се поврзани со нивото на корупција во земјата.</w:t>
            </w:r>
          </w:p>
        </w:tc>
      </w:tr>
      <w:tr w:rsidR="008E3733" w:rsidRPr="00232275" w:rsidTr="008E3733">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lastRenderedPageBreak/>
              <w:t xml:space="preserve">4.4.3 Промоција на резултатите од следењето на состојбите со корупцијата и судирот на интереси (јавни настани-дебати, работилници и тематски конференции)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 На 30 март 2017 година, МЦМС одржа конференција на која што беа презентирани резултатите од следењето на работата на ДКСК. На конференцијата присуствуваа над 40 учесници од ГО, државни организации и медиуми како и претставници од ДКСК и Секретаријатот на ДКСК.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-На 30 мај 2017 година, МЦМС организираше форум „Превенција на корупцијата – водство и координација во Македонија“. На Форумот се отвори дискусија за улогата, досегашните постигнувања и можностите за подобрување на работата на Државната комисија за спречување на корупцијата во спроведувањето на антикорупциските политики и борбата против корупцијата.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 Форумот беа претставени главните наоди и препораки од следењето на работата на ДКСК во периодот од октомври до декември 2016 година. Дополнително, претставници од ДКСК, Основното јавно обвинителство за гонење на организиран криминал и корупција и Државниот завод за ревизија  ги споделија заедничките искуства и соработката на институциите, како едни од релевантните институции во борбата против корупцијата во Македонија.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На Форумот беа презентирани и различните постоечки модели на антикорупциски тела и искуствата од Агенцијата за борба против корупција од Србија.</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 xml:space="preserve">На форумот присуствуваа повеќе од 50 претставници од ГО, државни институции и медиуми.  </w:t>
            </w:r>
          </w:p>
          <w:p w:rsidR="008E3733" w:rsidRPr="00471A7A" w:rsidRDefault="008E3733" w:rsidP="008E3733">
            <w:pPr>
              <w:spacing w:after="0" w:line="240" w:lineRule="auto"/>
              <w:jc w:val="both"/>
              <w:rPr>
                <w:rFonts w:ascii="StobiSerif Regular" w:eastAsia="Times New Roman" w:hAnsi="StobiSerif Regular" w:cs="Times New Roman"/>
                <w:sz w:val="20"/>
                <w:szCs w:val="20"/>
                <w:lang w:val="mk-MK"/>
              </w:rPr>
            </w:pPr>
            <w:r w:rsidRPr="00471A7A">
              <w:rPr>
                <w:rFonts w:ascii="StobiSerif Regular" w:eastAsia="Times New Roman" w:hAnsi="StobiSerif Regular" w:cs="Times New Roman"/>
                <w:sz w:val="20"/>
                <w:szCs w:val="20"/>
                <w:lang w:val="mk-MK"/>
              </w:rPr>
              <w:t>Извештаите и резимеата од извештаите, МЦМС редовно ги споделува со пошироката јавност преку својата веб страна, фб и твитер профил.</w:t>
            </w:r>
          </w:p>
          <w:p w:rsidR="008E3733" w:rsidRPr="00B06E2A" w:rsidRDefault="008E3733" w:rsidP="008E3733">
            <w:pPr>
              <w:spacing w:after="0" w:line="240" w:lineRule="auto"/>
              <w:jc w:val="both"/>
              <w:rPr>
                <w:rFonts w:ascii="StobiSerif Regular" w:eastAsia="Times New Roman" w:hAnsi="StobiSerif Regular" w:cs="Times New Roman"/>
                <w:sz w:val="20"/>
                <w:szCs w:val="20"/>
              </w:rPr>
            </w:pPr>
            <w:r w:rsidRPr="00471A7A">
              <w:rPr>
                <w:rFonts w:ascii="StobiSerif Regular" w:eastAsia="Times New Roman" w:hAnsi="StobiSerif Regular" w:cs="Times New Roman"/>
                <w:sz w:val="20"/>
                <w:szCs w:val="20"/>
                <w:lang w:val="mk-MK"/>
              </w:rPr>
              <w:t xml:space="preserve">На 09 октомври 2017 година во соработка со Транспарентност Македонија беше одржана конференцијата „Моделот на превентивно тело за антикорупција: како функционира сегашниот модел и дали има потреба од измени? “. Целта на конференцијата беше да се отвори дискусија за досегашното функционирање на ДКСК во спроведувањето на антикорупциските политики и борбата против корупцијата и потребата од измени на моделот на ДКСК </w:t>
            </w:r>
            <w:r w:rsidRPr="00471A7A">
              <w:rPr>
                <w:rFonts w:ascii="StobiSerif Regular" w:eastAsia="Times New Roman" w:hAnsi="StobiSerif Regular" w:cs="Times New Roman"/>
                <w:sz w:val="20"/>
                <w:szCs w:val="20"/>
                <w:lang w:val="mk-MK"/>
              </w:rPr>
              <w:lastRenderedPageBreak/>
              <w:t>како превентивно антикорупциско тело. Клучен говорник на конференцијата беше Драго Кос, претседател на работната група на ОЕЦД за поткуп во меѓународни деловни односи и поранешен претседател на Антикорупциска комисија во Словенија. На конференцијата беа претставени и резултатите од следењето на работата на ДКСК во периодот од јануари до јуни 2017 г. и анализата на Законот за спречување на корупцијата и Законот за спречување на судирот на интереси и препораки за подобрување на институционалната и правна рамка, подготвена од Вања Михајлова, поранешен член на ДКСК. На конференцијата свое видување за подобрување на постоечкиот антикорупциски модел дадоа и претставници од ДКСК, Министерството за правда, претавникот од Комисијата за политички систем и односи во заедницата и поранешни анктикорупционери. На конференцијата присуствуваа повеќе од 50 претставници од државни институции, ГО и медиуми. За да ги приближи резултатите до граѓаните, освен извештаите и резиме од извештаите, се креираат  лесно читливи инфографици и видеа и се објавуваат на веб страната на МЦМС и социјалните медиуми.</w:t>
            </w:r>
            <w:r w:rsidR="00B06E2A">
              <w:rPr>
                <w:rFonts w:ascii="StobiSerif Regular" w:eastAsia="Times New Roman" w:hAnsi="StobiSerif Regular" w:cs="Times New Roman"/>
                <w:sz w:val="20"/>
                <w:szCs w:val="20"/>
              </w:rPr>
              <w:t xml:space="preserve"> </w:t>
            </w:r>
          </w:p>
        </w:tc>
      </w:tr>
    </w:tbl>
    <w:p w:rsidR="008E3733" w:rsidRPr="00232275" w:rsidRDefault="008E3733" w:rsidP="008E3733">
      <w:pPr>
        <w:spacing w:line="240" w:lineRule="auto"/>
        <w:rPr>
          <w:rFonts w:ascii="StobiSerif Regular" w:eastAsia="MS Mincho"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5244"/>
      </w:tblGrid>
      <w:tr w:rsidR="008E3733" w:rsidRPr="00232275" w:rsidTr="008E3733">
        <w:trPr>
          <w:trHeight w:val="831"/>
        </w:trPr>
        <w:tc>
          <w:tcPr>
            <w:tcW w:w="10065" w:type="dxa"/>
            <w:gridSpan w:val="3"/>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pStyle w:val="Heading1"/>
              <w:numPr>
                <w:ilvl w:val="0"/>
                <w:numId w:val="13"/>
              </w:numPr>
              <w:rPr>
                <w:rFonts w:ascii="StobiSerif Regular" w:hAnsi="StobiSerif Regular"/>
                <w:lang w:val="mk-MK"/>
              </w:rPr>
            </w:pPr>
            <w:bookmarkStart w:id="48" w:name="_Toc453059116"/>
            <w:bookmarkStart w:id="49" w:name="_Toc453059208"/>
            <w:bookmarkStart w:id="50" w:name="_Toc453059254"/>
            <w:r w:rsidRPr="00232275">
              <w:rPr>
                <w:rFonts w:ascii="StobiSerif Regular" w:hAnsi="StobiSerif Regular"/>
                <w:lang w:val="mk-MK"/>
              </w:rPr>
              <w:t xml:space="preserve">ЕФИКАСНО УПРАВУВАЊЕ СО ЈАВНИТЕ РЕСУРСИ </w:t>
            </w:r>
          </w:p>
          <w:p w:rsidR="008E3733" w:rsidRPr="00232275" w:rsidRDefault="008E3733" w:rsidP="008E3733">
            <w:pPr>
              <w:pStyle w:val="Heading1"/>
              <w:ind w:left="720"/>
              <w:jc w:val="left"/>
              <w:rPr>
                <w:rFonts w:ascii="StobiSerif Regular" w:hAnsi="StobiSerif Regular"/>
                <w:lang w:val="mk-MK"/>
              </w:rPr>
            </w:pPr>
            <w:r w:rsidRPr="00232275">
              <w:rPr>
                <w:rFonts w:ascii="StobiSerif Regular" w:hAnsi="StobiSerif Regular"/>
                <w:lang w:val="mk-MK"/>
              </w:rPr>
              <w:t xml:space="preserve">                                    </w:t>
            </w:r>
            <w:r w:rsidRPr="00232275">
              <w:rPr>
                <w:rFonts w:ascii="StobiSerif Regular" w:hAnsi="StobiSerif Regular"/>
              </w:rPr>
              <w:t xml:space="preserve">             </w:t>
            </w:r>
            <w:r w:rsidRPr="00232275">
              <w:rPr>
                <w:rFonts w:ascii="StobiSerif Regular" w:hAnsi="StobiSerif Regular"/>
                <w:lang w:val="mk-MK"/>
              </w:rPr>
              <w:t xml:space="preserve"> (ФИСКАЛНА ТРАНСПАРЕНТНОСТ)</w:t>
            </w:r>
            <w:bookmarkEnd w:id="48"/>
            <w:bookmarkEnd w:id="49"/>
            <w:bookmarkEnd w:id="50"/>
          </w:p>
        </w:tc>
      </w:tr>
      <w:tr w:rsidR="008E3733" w:rsidRPr="00232275" w:rsidTr="008E3733">
        <w:trPr>
          <w:trHeight w:val="300"/>
        </w:trPr>
        <w:tc>
          <w:tcPr>
            <w:tcW w:w="10065"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spacing w:before="120"/>
              <w:rPr>
                <w:rFonts w:ascii="StobiSerif Regular" w:hAnsi="StobiSerif Regular"/>
                <w:lang w:val="mk-MK"/>
              </w:rPr>
            </w:pPr>
            <w:bookmarkStart w:id="51" w:name="_Toc453059117"/>
            <w:bookmarkStart w:id="52" w:name="_Toc453059209"/>
            <w:bookmarkStart w:id="53" w:name="_Toc453059255"/>
            <w:r w:rsidRPr="00232275">
              <w:rPr>
                <w:rFonts w:ascii="StobiSerif Regular" w:hAnsi="StobiSerif Regular"/>
                <w:lang w:val="mk-MK"/>
              </w:rPr>
              <w:t>5.1 Иницијатива за отворен буџет</w:t>
            </w:r>
            <w:bookmarkEnd w:id="51"/>
            <w:bookmarkEnd w:id="52"/>
            <w:bookmarkEnd w:id="53"/>
          </w:p>
        </w:tc>
      </w:tr>
      <w:tr w:rsidR="008E3733" w:rsidRPr="00232275" w:rsidTr="008E3733">
        <w:trPr>
          <w:trHeight w:val="628"/>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(7/2016-6/2018)</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1 тековна  и  2 нови обврски</w:t>
            </w: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44" w:type="dxa"/>
            <w:tcBorders>
              <w:top w:val="nil"/>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финансии </w:t>
            </w:r>
          </w:p>
        </w:tc>
      </w:tr>
      <w:tr w:rsidR="008E3733" w:rsidRPr="00232275" w:rsidTr="008E3733">
        <w:trPr>
          <w:trHeight w:val="58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Љубица Јовчевска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Бари Исени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Раководител на Одделение за буџети на фондови, Сектор за буџети и фондови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Помошник раководител на Сектор Трезор</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ljubica.jovceska@finance.gov.mk</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bari.iseni@finance.gov.mk</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+389 3255 531</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+389 3255 581</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Буџетски корисници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Здружение за еманципација, солидарност и еднаквост на жените во Република Македонија</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Центар за економски анализи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Асоцијација Зенит</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06"/>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Недоволна транспарентност во управувањето со јавните финансии: Непостоење поедноставен облик на Буџетот на РМ разбирлив за граѓаните и лесно достапен, оневозможено следење на начинот на кој се извршува Буџетот од аспект дали е во рамките на планираниот Буџет по квартали, необјавување на полугодишен извештај за реализација на Буџетот.</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Поголема транспарентност во управувањето со јавните финансии преку:</w:t>
            </w:r>
          </w:p>
          <w:p w:rsidR="008E3733" w:rsidRPr="00232275" w:rsidRDefault="008E3733" w:rsidP="008E3733">
            <w:pPr>
              <w:numPr>
                <w:ilvl w:val="0"/>
                <w:numId w:val="11"/>
              </w:numPr>
              <w:spacing w:after="0" w:line="240" w:lineRule="auto"/>
              <w:ind w:left="175" w:hanging="175"/>
              <w:jc w:val="both"/>
              <w:rPr>
                <w:rFonts w:ascii="StobiSerif Regular" w:hAnsi="StobiSerif Regular"/>
                <w:sz w:val="20"/>
                <w:szCs w:val="20"/>
                <w:lang w:val="mk-MK"/>
              </w:rPr>
            </w:pPr>
            <w:r w:rsidRPr="00232275">
              <w:rPr>
                <w:rFonts w:ascii="StobiSerif Regular" w:hAnsi="StobiSerif Regular"/>
                <w:sz w:val="20"/>
                <w:szCs w:val="20"/>
                <w:lang w:val="mk-MK"/>
              </w:rPr>
              <w:t>Претставување на државниот буџет во поедноставен облик разбирлив за граѓаните и лесно достапен.</w:t>
            </w:r>
          </w:p>
          <w:p w:rsidR="008E3733" w:rsidRPr="00232275" w:rsidRDefault="008E3733" w:rsidP="008E3733">
            <w:pPr>
              <w:numPr>
                <w:ilvl w:val="0"/>
                <w:numId w:val="11"/>
              </w:numPr>
              <w:spacing w:after="0" w:line="240" w:lineRule="auto"/>
              <w:ind w:left="175" w:hanging="175"/>
              <w:jc w:val="both"/>
              <w:rPr>
                <w:rFonts w:ascii="StobiSerif Regular" w:hAnsi="StobiSerif Regular"/>
                <w:sz w:val="20"/>
                <w:szCs w:val="20"/>
                <w:lang w:val="mk-MK"/>
              </w:rPr>
            </w:pPr>
            <w:r w:rsidRPr="00232275">
              <w:rPr>
                <w:rFonts w:ascii="StobiSerif Regular" w:hAnsi="StobiSerif Regular"/>
                <w:sz w:val="20"/>
                <w:szCs w:val="20"/>
                <w:lang w:val="mk-MK"/>
              </w:rPr>
              <w:t>Информирање на јавноста за планираните приходи и расходи на почетокот на годината на квартална основа со што се отвора можност за анализа и споредба на извршувањето на Буџетот во однос на планираното.</w:t>
            </w:r>
          </w:p>
          <w:p w:rsidR="008E3733" w:rsidRPr="00232275" w:rsidRDefault="008E3733" w:rsidP="008E3733">
            <w:pPr>
              <w:numPr>
                <w:ilvl w:val="0"/>
                <w:numId w:val="11"/>
              </w:numPr>
              <w:spacing w:after="0" w:line="240" w:lineRule="auto"/>
              <w:ind w:left="175" w:hanging="175"/>
              <w:jc w:val="both"/>
              <w:rPr>
                <w:rFonts w:ascii="StobiSerif Regular" w:hAnsi="StobiSerif Regular"/>
                <w:sz w:val="20"/>
                <w:szCs w:val="20"/>
                <w:lang w:val="mk-MK"/>
              </w:rPr>
            </w:pPr>
            <w:r w:rsidRPr="00232275">
              <w:rPr>
                <w:rFonts w:ascii="StobiSerif Regular" w:hAnsi="StobiSerif Regular"/>
                <w:sz w:val="20"/>
                <w:szCs w:val="20"/>
                <w:lang w:val="mk-MK"/>
              </w:rPr>
              <w:t>Информирање на јавноста за полугодишното извршување на Буџетот на Република Македонија</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 донесувањето на Буџетот на РМ од страна на Парламентот Министерството за финансии ќе подготви и објави граѓански буџет.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На почетокот на годината ќе се објави проекција на планираните приходи и расходи за тековната буџетска година по квартали на веб страната на Министерството за финансии. Проекцијата ќе се прави во соработка со релевантни институции и буџетски корисници како врз база на историски податоци така и врз основа на очекувањата, најавите и финансиските планови обезбедени од страна на буџетските корисници. По изработка и усвојување на полугодишниот извештај за реализација на Буџетот од страна на Владата на РМ истиот  ќе се објави на веб страната на Министерството за финансии.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Приближувањето на најважниот буџетски документ до граѓаните и обезбедувањето на дополнителни информации за граѓаните и граѓанските организации во делот на проектирање и извршување на државниот буџет ќе придонесе кон поголема инволвираност на граѓанскиот сектор во следење и анализа на извршувањето на Буџетот.</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16 ,,Мир, правда и силни институции“</w:t>
            </w:r>
            <w:r w:rsidRPr="00232275">
              <w:rPr>
                <w:rFonts w:ascii="StobiSerif Regular" w:hAnsi="StobiSerif Regular"/>
                <w:sz w:val="20"/>
                <w:szCs w:val="20"/>
              </w:rPr>
              <w:t xml:space="preserve">, </w:t>
            </w:r>
            <w:r w:rsidRPr="00232275">
              <w:rPr>
                <w:rFonts w:ascii="StobiSerif Regular" w:hAnsi="StobiSerif Regular"/>
                <w:sz w:val="20"/>
                <w:szCs w:val="20"/>
                <w:lang w:val="mk-MK"/>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lastRenderedPageBreak/>
              <w:t>Со мерките од оваа заложба се придонесува кон  унапредување на транспарентноста и отчетноста на институциите во управувањето со јавните финансии.</w:t>
            </w:r>
          </w:p>
        </w:tc>
      </w:tr>
      <w:tr w:rsidR="008E3733" w:rsidRPr="00232275" w:rsidTr="008E3733">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lastRenderedPageBreak/>
              <w:t>Важност</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Зголемување на транспарентноста и отчетноста во фискалната сфера. </w:t>
            </w:r>
          </w:p>
        </w:tc>
      </w:tr>
      <w:tr w:rsidR="008E3733" w:rsidRPr="00232275" w:rsidTr="008E3733">
        <w:trPr>
          <w:trHeight w:val="136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Се очекува во иднина континуирано објавување на граѓански буџет, на проекција за приходи и расходи и на полугодишен извештај за реализација на Буџетот да овозможат зголемен пристап до информации за јавните финансии. </w:t>
            </w:r>
          </w:p>
        </w:tc>
      </w:tr>
    </w:tbl>
    <w:p w:rsidR="008E3733" w:rsidRPr="00232275" w:rsidRDefault="008E3733" w:rsidP="008E3733">
      <w:pPr>
        <w:spacing w:after="0" w:line="240" w:lineRule="auto"/>
        <w:rPr>
          <w:rFonts w:ascii="StobiSerif Regular" w:hAnsi="StobiSerif Regular"/>
          <w:vanish/>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275"/>
        <w:gridCol w:w="1251"/>
        <w:gridCol w:w="1435"/>
        <w:gridCol w:w="1283"/>
      </w:tblGrid>
      <w:tr w:rsidR="008E3733" w:rsidRPr="00232275" w:rsidTr="008E3733">
        <w:trPr>
          <w:trHeight w:val="443"/>
        </w:trPr>
        <w:tc>
          <w:tcPr>
            <w:tcW w:w="4821" w:type="dxa"/>
            <w:vMerge w:val="restart"/>
            <w:shd w:val="clear" w:color="auto" w:fill="auto"/>
          </w:tcPr>
          <w:p w:rsidR="008E3733" w:rsidRPr="00232275" w:rsidRDefault="008E3733" w:rsidP="008E3733">
            <w:pPr>
              <w:spacing w:after="0" w:line="240" w:lineRule="auto"/>
              <w:jc w:val="center"/>
              <w:rPr>
                <w:rFonts w:ascii="StobiSerif Regular" w:hAnsi="StobiSerif Regular" w:cs="Tahoma"/>
                <w:sz w:val="20"/>
                <w:szCs w:val="20"/>
                <w:lang w:val="mk-MK"/>
              </w:rPr>
            </w:pPr>
          </w:p>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незапочнато</w:t>
            </w: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ограничено</w:t>
            </w:r>
          </w:p>
        </w:tc>
        <w:tc>
          <w:tcPr>
            <w:tcW w:w="143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значително</w:t>
            </w:r>
          </w:p>
        </w:tc>
        <w:tc>
          <w:tcPr>
            <w:tcW w:w="1283"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завршено</w:t>
            </w:r>
          </w:p>
        </w:tc>
      </w:tr>
      <w:tr w:rsidR="00856C98" w:rsidRPr="00232275" w:rsidTr="00856C98">
        <w:trPr>
          <w:trHeight w:val="373"/>
        </w:trPr>
        <w:tc>
          <w:tcPr>
            <w:tcW w:w="4821" w:type="dxa"/>
            <w:vMerge/>
            <w:shd w:val="clear" w:color="auto" w:fill="auto"/>
          </w:tcPr>
          <w:p w:rsidR="00856C98" w:rsidRPr="00232275" w:rsidRDefault="00856C98" w:rsidP="00856C98">
            <w:pPr>
              <w:spacing w:after="0" w:line="240" w:lineRule="auto"/>
              <w:jc w:val="center"/>
              <w:rPr>
                <w:rFonts w:ascii="StobiSerif Regular" w:hAnsi="StobiSerif Regular" w:cs="Tahoma"/>
                <w:sz w:val="20"/>
                <w:szCs w:val="20"/>
                <w:lang w:val="mk-MK"/>
              </w:rPr>
            </w:pPr>
          </w:p>
        </w:tc>
        <w:tc>
          <w:tcPr>
            <w:tcW w:w="1275" w:type="dxa"/>
            <w:shd w:val="clear" w:color="auto" w:fill="auto"/>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1251" w:type="dxa"/>
            <w:shd w:val="clear" w:color="auto" w:fill="auto"/>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1435" w:type="dxa"/>
            <w:shd w:val="clear" w:color="auto" w:fill="auto"/>
          </w:tcPr>
          <w:p w:rsidR="00856C98" w:rsidRPr="00232275" w:rsidRDefault="00856C98" w:rsidP="00856C98">
            <w:pPr>
              <w:spacing w:after="0" w:line="240" w:lineRule="auto"/>
              <w:jc w:val="both"/>
              <w:rPr>
                <w:rFonts w:ascii="StobiSerif Regular" w:hAnsi="StobiSerif Regular" w:cs="Tahoma"/>
                <w:sz w:val="20"/>
                <w:szCs w:val="20"/>
                <w:lang w:val="mk-MK"/>
              </w:rPr>
            </w:pPr>
          </w:p>
        </w:tc>
        <w:tc>
          <w:tcPr>
            <w:tcW w:w="1283" w:type="dxa"/>
            <w:shd w:val="clear" w:color="auto" w:fill="2E74B5"/>
          </w:tcPr>
          <w:p w:rsidR="00856C98" w:rsidRPr="00232275" w:rsidRDefault="00856C98" w:rsidP="00856C98">
            <w:pPr>
              <w:spacing w:after="0" w:line="240" w:lineRule="auto"/>
              <w:jc w:val="both"/>
              <w:rPr>
                <w:rFonts w:ascii="StobiSerif Regular" w:hAnsi="StobiSerif Regular" w:cs="Tahoma"/>
                <w:sz w:val="20"/>
                <w:szCs w:val="20"/>
                <w:lang w:val="mk-MK"/>
              </w:rPr>
            </w:pPr>
          </w:p>
        </w:tc>
      </w:tr>
      <w:tr w:rsidR="008E3733" w:rsidRPr="00232275" w:rsidTr="008E3733">
        <w:trPr>
          <w:trHeight w:val="607"/>
        </w:trPr>
        <w:tc>
          <w:tcPr>
            <w:tcW w:w="4821" w:type="dxa"/>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4" w:type="dxa"/>
            <w:gridSpan w:val="4"/>
            <w:shd w:val="clear" w:color="auto" w:fill="DBE5F1"/>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8E3733">
        <w:trPr>
          <w:trHeight w:val="607"/>
        </w:trPr>
        <w:tc>
          <w:tcPr>
            <w:tcW w:w="4821" w:type="dxa"/>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 xml:space="preserve">5.1.1 Подготвување и објавување на граѓански буџет </w:t>
            </w:r>
          </w:p>
        </w:tc>
        <w:tc>
          <w:tcPr>
            <w:tcW w:w="5244" w:type="dxa"/>
            <w:gridSpan w:val="4"/>
            <w:shd w:val="clear" w:color="auto" w:fill="auto"/>
          </w:tcPr>
          <w:p w:rsidR="008E3733" w:rsidRDefault="008E3733" w:rsidP="008E3733">
            <w:pPr>
              <w:shd w:val="clear" w:color="auto" w:fill="FFFFFF"/>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Министерството за финансии продолжи да изготвува и објавува Граѓански буџет, како континуирана обврска во првиот квартал од донесувањето на Буџетот за тековната година, така што на веб страната на Министерството е веќе објавен Граѓанскиот буџет за 2018 година.  (</w:t>
            </w:r>
            <w:hyperlink r:id="rId48" w:history="1">
              <w:r w:rsidR="00E549E1" w:rsidRPr="008D6026">
                <w:rPr>
                  <w:rStyle w:val="Hyperlink"/>
                  <w:rFonts w:ascii="StobiSerif Regular" w:hAnsi="StobiSerif Regular"/>
                  <w:sz w:val="20"/>
                  <w:szCs w:val="20"/>
                  <w:lang w:val="mk-MK"/>
                </w:rPr>
                <w:t>http://www.finance.gov.mk/mk/node/6810</w:t>
              </w:r>
            </w:hyperlink>
            <w:r w:rsidRPr="00232275">
              <w:rPr>
                <w:rFonts w:ascii="StobiSerif Regular" w:hAnsi="StobiSerif Regular"/>
                <w:sz w:val="20"/>
                <w:szCs w:val="20"/>
                <w:lang w:val="mk-MK"/>
              </w:rPr>
              <w:t xml:space="preserve">). </w:t>
            </w:r>
          </w:p>
          <w:p w:rsidR="00E549E1" w:rsidRPr="00232275" w:rsidRDefault="00E549E1" w:rsidP="008E3733">
            <w:pPr>
              <w:shd w:val="clear" w:color="auto" w:fill="FFFFFF"/>
              <w:spacing w:after="0" w:line="240" w:lineRule="auto"/>
              <w:jc w:val="both"/>
              <w:rPr>
                <w:rFonts w:ascii="StobiSerif Regular" w:hAnsi="StobiSerif Regular"/>
                <w:sz w:val="20"/>
                <w:szCs w:val="20"/>
                <w:lang w:val="mk-MK"/>
              </w:rPr>
            </w:pPr>
            <w:r w:rsidRPr="00E549E1">
              <w:rPr>
                <w:rFonts w:ascii="StobiSerif Regular" w:hAnsi="StobiSerif Regular"/>
                <w:sz w:val="20"/>
                <w:szCs w:val="20"/>
                <w:lang w:val="mk-MK"/>
              </w:rPr>
              <w:t>Министерството за финансиии спроведе хакатон во Јули 2018 година каде што се избра најдоброто идејно решение за развој на Веб страна која на Визуелен начин ќе го прикажува Граѓанскиот буџет за секоја година. На оваа Веб страна граѓаните ќе можат да се запознаат со сите детали на граѓанскиот буџет на Македонија и да остварат одредена интеракција со самата Веб страна. Веб страната е во фаза на изработка и тестирање.</w:t>
            </w:r>
          </w:p>
        </w:tc>
      </w:tr>
      <w:tr w:rsidR="008E3733" w:rsidRPr="00232275" w:rsidTr="008E3733">
        <w:trPr>
          <w:trHeight w:val="607"/>
        </w:trPr>
        <w:tc>
          <w:tcPr>
            <w:tcW w:w="4821" w:type="dxa"/>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5.1.2 Објавување на проекција на приходите и расходите на Буџетот на Р М за тековната година по квартали на почетокот на годината</w:t>
            </w:r>
          </w:p>
        </w:tc>
        <w:tc>
          <w:tcPr>
            <w:tcW w:w="5244" w:type="dxa"/>
            <w:gridSpan w:val="4"/>
            <w:shd w:val="clear" w:color="auto" w:fill="FFFFFF"/>
          </w:tcPr>
          <w:p w:rsidR="00E549E1" w:rsidRPr="00E549E1" w:rsidRDefault="008E3733" w:rsidP="008E3733">
            <w:pPr>
              <w:shd w:val="clear" w:color="auto" w:fill="FFFFFF"/>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Во Министерството за финансии во тек е изготвување на проекцијата на приходите и расходите на Буџетот на РМ за 2018 година по квартали и истата ќе биде објавена како што е дефинирано со овој план.</w:t>
            </w:r>
          </w:p>
        </w:tc>
      </w:tr>
      <w:tr w:rsidR="008E3733" w:rsidRPr="00232275" w:rsidTr="008E3733">
        <w:trPr>
          <w:trHeight w:val="607"/>
        </w:trPr>
        <w:tc>
          <w:tcPr>
            <w:tcW w:w="4821" w:type="dxa"/>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5.1.3 Објавување на полугодишен извештај за извршување на Буџетот на Р М на веб страната на Министерството за финансии по усвојување од страна на Владата на РМ</w:t>
            </w:r>
          </w:p>
        </w:tc>
        <w:tc>
          <w:tcPr>
            <w:tcW w:w="5244" w:type="dxa"/>
            <w:gridSpan w:val="4"/>
            <w:shd w:val="clear" w:color="auto" w:fill="FFFFFF"/>
          </w:tcPr>
          <w:p w:rsidR="008E3733" w:rsidRPr="00232275" w:rsidRDefault="008E3733" w:rsidP="008E3733">
            <w:pPr>
              <w:pStyle w:val="PlainText"/>
              <w:jc w:val="both"/>
              <w:rPr>
                <w:rStyle w:val="Hyperlink"/>
                <w:rFonts w:ascii="StobiSerif Regular" w:hAnsi="StobiSerif Regular"/>
                <w:color w:val="auto"/>
                <w:sz w:val="20"/>
                <w:szCs w:val="20"/>
              </w:rPr>
            </w:pPr>
            <w:r w:rsidRPr="00232275">
              <w:rPr>
                <w:rFonts w:ascii="StobiSerif Regular" w:hAnsi="StobiSerif Regular" w:cs="Tahoma"/>
                <w:sz w:val="20"/>
                <w:szCs w:val="20"/>
                <w:lang w:val="mk-MK"/>
              </w:rPr>
              <w:t xml:space="preserve">Министерството за финансии го објави Полугодишниот извештај за извршување на Буџетот на РМ за период јануари-јуни 2017 на следниот линк </w:t>
            </w:r>
            <w:hyperlink r:id="rId49" w:history="1">
              <w:r w:rsidRPr="00232275">
                <w:rPr>
                  <w:rStyle w:val="Hyperlink"/>
                  <w:rFonts w:ascii="StobiSerif Regular" w:hAnsi="StobiSerif Regular"/>
                  <w:color w:val="auto"/>
                  <w:sz w:val="20"/>
                  <w:szCs w:val="20"/>
                </w:rPr>
                <w:t>http://www.finance.gov.mk/files/u9/Polugodisen%20izvestaj%20za%20izvrsuvanjeto%20na%20Budzetot%20na%20RM_0.pdf</w:t>
              </w:r>
            </w:hyperlink>
          </w:p>
          <w:p w:rsidR="008E3733" w:rsidRPr="00232275" w:rsidRDefault="008E3733" w:rsidP="008E3733">
            <w:pPr>
              <w:pStyle w:val="PlainText"/>
              <w:jc w:val="both"/>
              <w:rPr>
                <w:rFonts w:ascii="StobiSerif Regular" w:hAnsi="StobiSerif Regular" w:cs="Tahoma"/>
                <w:sz w:val="20"/>
                <w:szCs w:val="20"/>
                <w:lang w:val="mk-MK"/>
              </w:rPr>
            </w:pPr>
            <w:r w:rsidRPr="00232275">
              <w:rPr>
                <w:rFonts w:ascii="StobiSerif Regular" w:hAnsi="StobiSerif Regular" w:cs="Tahoma"/>
                <w:sz w:val="20"/>
                <w:szCs w:val="20"/>
              </w:rPr>
              <w:t>Како придружен материјал е објавен и подетален Преглед на остварени приходи и реализирани расходи по буџетски корисници на следниот линк</w:t>
            </w:r>
          </w:p>
          <w:p w:rsidR="008E3733" w:rsidRPr="00232275" w:rsidRDefault="008E3733" w:rsidP="008E3733">
            <w:pPr>
              <w:pStyle w:val="PlainText"/>
              <w:jc w:val="both"/>
              <w:rPr>
                <w:rStyle w:val="Hyperlink"/>
                <w:rFonts w:ascii="StobiSerif Regular" w:hAnsi="StobiSerif Regular"/>
                <w:color w:val="auto"/>
                <w:sz w:val="20"/>
                <w:szCs w:val="20"/>
              </w:rPr>
            </w:pPr>
            <w:r w:rsidRPr="00232275">
              <w:rPr>
                <w:rStyle w:val="Hyperlink"/>
                <w:rFonts w:ascii="StobiSerif Regular" w:hAnsi="StobiSerif Regular"/>
                <w:color w:val="auto"/>
                <w:sz w:val="20"/>
                <w:szCs w:val="20"/>
              </w:rPr>
              <w:t xml:space="preserve"> http://www.finance.gov.mk/mk/node/898</w:t>
            </w:r>
          </w:p>
          <w:p w:rsidR="008E3733" w:rsidRPr="00232275" w:rsidRDefault="008E3733" w:rsidP="008E3733">
            <w:pPr>
              <w:pStyle w:val="PlainText"/>
              <w:jc w:val="both"/>
              <w:rPr>
                <w:rFonts w:ascii="StobiSerif Regular" w:hAnsi="StobiSerif Regular"/>
                <w:sz w:val="20"/>
                <w:szCs w:val="20"/>
                <w:lang w:val="mk-MK"/>
              </w:rPr>
            </w:pPr>
            <w:r w:rsidRPr="00232275">
              <w:rPr>
                <w:rFonts w:ascii="StobiSerif Regular" w:hAnsi="StobiSerif Regular"/>
                <w:sz w:val="20"/>
                <w:szCs w:val="20"/>
              </w:rPr>
              <w:t xml:space="preserve">Министерството за финансии </w:t>
            </w:r>
            <w:r w:rsidRPr="00232275">
              <w:rPr>
                <w:rFonts w:ascii="StobiSerif Regular" w:hAnsi="StobiSerif Regular"/>
                <w:sz w:val="20"/>
                <w:szCs w:val="20"/>
                <w:lang w:val="mk-MK"/>
              </w:rPr>
              <w:t xml:space="preserve">веќе </w:t>
            </w:r>
            <w:r w:rsidRPr="00232275">
              <w:rPr>
                <w:rFonts w:ascii="StobiSerif Regular" w:hAnsi="StobiSerif Regular"/>
                <w:sz w:val="20"/>
                <w:szCs w:val="20"/>
              </w:rPr>
              <w:t xml:space="preserve">направи </w:t>
            </w:r>
            <w:r w:rsidRPr="00232275">
              <w:rPr>
                <w:rFonts w:ascii="StobiSerif Regular" w:hAnsi="StobiSerif Regular"/>
                <w:sz w:val="20"/>
                <w:szCs w:val="20"/>
                <w:lang w:val="mk-MK"/>
              </w:rPr>
              <w:t>напори</w:t>
            </w:r>
            <w:r w:rsidRPr="00232275">
              <w:rPr>
                <w:rFonts w:ascii="StobiSerif Regular" w:hAnsi="StobiSerif Regular"/>
                <w:sz w:val="20"/>
                <w:szCs w:val="20"/>
              </w:rPr>
              <w:t xml:space="preserve"> и на својата веб страна објавува месечни извештаи</w:t>
            </w:r>
            <w:r w:rsidRPr="00232275">
              <w:rPr>
                <w:rFonts w:ascii="StobiSerif Regular" w:hAnsi="StobiSerif Regular"/>
                <w:sz w:val="20"/>
                <w:szCs w:val="20"/>
                <w:lang w:val="mk-MK"/>
              </w:rPr>
              <w:t xml:space="preserve"> за извршување на Буџетот (Министерство за финансии/Јавни финансии/Трезор/Извештаи), како и временски серии со претходно необјавувани податоци кои може да ги видите на линкот</w:t>
            </w:r>
          </w:p>
          <w:p w:rsidR="008E3733" w:rsidRPr="00232275" w:rsidRDefault="008E3733" w:rsidP="008E3733">
            <w:pPr>
              <w:pStyle w:val="PlainText"/>
              <w:jc w:val="both"/>
              <w:rPr>
                <w:rFonts w:ascii="StobiSerif Regular" w:hAnsi="StobiSerif Regular"/>
                <w:sz w:val="20"/>
                <w:szCs w:val="20"/>
              </w:rPr>
            </w:pPr>
            <w:r w:rsidRPr="00232275">
              <w:rPr>
                <w:rStyle w:val="Hyperlink"/>
                <w:rFonts w:ascii="StobiSerif Regular" w:hAnsi="StobiSerif Regular"/>
                <w:color w:val="auto"/>
                <w:sz w:val="20"/>
                <w:szCs w:val="20"/>
              </w:rPr>
              <w:t>http://www.finance.gov.mk/mk/node/6448</w:t>
            </w:r>
          </w:p>
        </w:tc>
      </w:tr>
    </w:tbl>
    <w:p w:rsidR="008E3733" w:rsidRPr="00232275" w:rsidRDefault="008E3733" w:rsidP="008E3733">
      <w:pPr>
        <w:spacing w:line="240" w:lineRule="auto"/>
        <w:rPr>
          <w:rFonts w:ascii="StobiSerif Regular" w:eastAsia="MS Mincho"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948"/>
        <w:gridCol w:w="5080"/>
      </w:tblGrid>
      <w:tr w:rsidR="008E3733" w:rsidRPr="00232275"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Times New Roman" w:hAnsi="StobiSerif Regular"/>
                <w:b/>
                <w:sz w:val="20"/>
                <w:szCs w:val="20"/>
                <w:lang w:val="mk-MK"/>
              </w:rPr>
            </w:pPr>
            <w:bookmarkStart w:id="54" w:name="_Toc453059118"/>
            <w:bookmarkStart w:id="55" w:name="_Toc453059210"/>
            <w:bookmarkStart w:id="56" w:name="_Toc453059256"/>
            <w:r w:rsidRPr="00232275">
              <w:rPr>
                <w:rFonts w:ascii="StobiSerif Regular" w:hAnsi="StobiSerif Regular"/>
                <w:sz w:val="20"/>
                <w:szCs w:val="20"/>
                <w:lang w:val="mk-MK"/>
              </w:rPr>
              <w:t>5.2 Отворени податоци за здравствени програми</w:t>
            </w:r>
            <w:bookmarkEnd w:id="54"/>
            <w:bookmarkEnd w:id="55"/>
            <w:bookmarkEnd w:id="56"/>
          </w:p>
        </w:tc>
      </w:tr>
      <w:tr w:rsidR="008E3733" w:rsidRPr="00232275" w:rsidTr="008E3733">
        <w:trPr>
          <w:trHeight w:val="418"/>
        </w:trPr>
        <w:tc>
          <w:tcPr>
            <w:tcW w:w="4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(0</w:t>
            </w:r>
            <w:r w:rsidRPr="00232275">
              <w:rPr>
                <w:rFonts w:ascii="StobiSerif Regular" w:eastAsia="Times New Roman" w:hAnsi="StobiSerif Regular"/>
                <w:sz w:val="20"/>
                <w:szCs w:val="20"/>
              </w:rPr>
              <w:t>7</w:t>
            </w:r>
            <w:r w:rsidRPr="00232275">
              <w:rPr>
                <w:rFonts w:ascii="StobiSerif Regular" w:eastAsia="Times New Roman" w:hAnsi="StobiSerif Regular"/>
                <w:sz w:val="20"/>
                <w:szCs w:val="20"/>
                <w:lang w:val="mk-MK"/>
              </w:rPr>
              <w:t>/2016–</w:t>
            </w:r>
            <w:r w:rsidRPr="00232275">
              <w:rPr>
                <w:rFonts w:ascii="StobiSerif Regular" w:eastAsia="Times New Roman" w:hAnsi="StobiSerif Regular"/>
                <w:sz w:val="20"/>
                <w:szCs w:val="20"/>
              </w:rPr>
              <w:t>0</w:t>
            </w:r>
            <w:r w:rsidRPr="00232275">
              <w:rPr>
                <w:rFonts w:ascii="StobiSerif Regular" w:eastAsia="Times New Roman" w:hAnsi="StobiSerif Regular"/>
                <w:sz w:val="20"/>
                <w:szCs w:val="20"/>
                <w:lang w:val="mk-MK"/>
              </w:rPr>
              <w:t>6/2018)</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Тековна обврска</w:t>
            </w:r>
          </w:p>
          <w:p w:rsidR="008E3733" w:rsidRPr="00232275" w:rsidRDefault="008E3733" w:rsidP="008E3733">
            <w:pPr>
              <w:spacing w:line="240" w:lineRule="auto"/>
              <w:rPr>
                <w:rFonts w:ascii="StobiSerif Regular" w:hAnsi="StobiSerif Regular"/>
                <w:sz w:val="20"/>
                <w:szCs w:val="20"/>
                <w:lang w:val="mk-MK"/>
              </w:rPr>
            </w:pPr>
          </w:p>
        </w:tc>
      </w:tr>
      <w:tr w:rsidR="008E3733" w:rsidRPr="00232275" w:rsidTr="008E3733">
        <w:trPr>
          <w:trHeight w:val="600"/>
        </w:trPr>
        <w:tc>
          <w:tcPr>
            <w:tcW w:w="4844"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080" w:type="dxa"/>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здравство </w:t>
            </w:r>
          </w:p>
        </w:tc>
      </w:tr>
      <w:tr w:rsidR="008E3733" w:rsidRPr="00232275" w:rsidTr="008E3733">
        <w:trPr>
          <w:trHeight w:val="51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Име на одговорно лице во институцијата за спроведување</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rPr>
              <w:t>М-</w:t>
            </w:r>
            <w:r w:rsidRPr="00232275">
              <w:rPr>
                <w:rFonts w:ascii="StobiSerif Regular" w:hAnsi="StobiSerif Regular"/>
                <w:sz w:val="20"/>
                <w:szCs w:val="20"/>
                <w:lang w:val="mk-MK"/>
              </w:rPr>
              <w:t>р Билјана Бабушковска</w:t>
            </w:r>
          </w:p>
        </w:tc>
      </w:tr>
      <w:tr w:rsidR="008E3733" w:rsidRPr="00232275" w:rsidTr="008E3733">
        <w:trPr>
          <w:trHeight w:val="32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Раководител на одделение</w:t>
            </w:r>
          </w:p>
        </w:tc>
      </w:tr>
      <w:tr w:rsidR="008E3733" w:rsidRPr="00232275" w:rsidTr="008E3733">
        <w:trPr>
          <w:trHeight w:val="32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Email</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rPr>
              <w:t>b</w:t>
            </w:r>
            <w:r w:rsidRPr="00232275">
              <w:rPr>
                <w:rFonts w:ascii="StobiSerif Regular" w:hAnsi="StobiSerif Regular"/>
                <w:sz w:val="20"/>
                <w:szCs w:val="20"/>
                <w:lang w:val="mk-MK"/>
              </w:rPr>
              <w:t>iljana.</w:t>
            </w:r>
            <w:r w:rsidRPr="00232275">
              <w:rPr>
                <w:rFonts w:ascii="StobiSerif Regular" w:hAnsi="StobiSerif Regular"/>
                <w:sz w:val="20"/>
                <w:szCs w:val="20"/>
              </w:rPr>
              <w:t>babushkovska</w:t>
            </w:r>
            <w:r w:rsidRPr="00232275">
              <w:rPr>
                <w:rFonts w:ascii="StobiSerif Regular" w:hAnsi="StobiSerif Regular"/>
                <w:sz w:val="20"/>
                <w:szCs w:val="20"/>
                <w:lang w:val="mk-MK"/>
              </w:rPr>
              <w:t>@zdravstvo.gov.mk</w:t>
            </w:r>
          </w:p>
        </w:tc>
      </w:tr>
      <w:tr w:rsidR="008E3733" w:rsidRPr="00232275" w:rsidTr="008E3733">
        <w:trPr>
          <w:trHeight w:val="32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Телефон</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rPr>
            </w:pPr>
            <w:r w:rsidRPr="00232275">
              <w:rPr>
                <w:rFonts w:ascii="StobiSerif Regular" w:hAnsi="StobiSerif Regular"/>
                <w:sz w:val="20"/>
                <w:szCs w:val="20"/>
                <w:lang w:val="mk-MK"/>
              </w:rPr>
              <w:t>076 485 049</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Други вклучени субјекти</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2948"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eastAsia="Times New Roman" w:hAnsi="StobiSerif Regular"/>
                <w:sz w:val="20"/>
                <w:szCs w:val="20"/>
                <w:lang w:val="mk-MK"/>
              </w:rPr>
              <w:t>Органи на државна управа, самостојни органи на државна управа</w:t>
            </w:r>
          </w:p>
        </w:tc>
        <w:tc>
          <w:tcPr>
            <w:tcW w:w="50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r w:rsidRPr="00232275">
              <w:rPr>
                <w:rFonts w:ascii="StobiSerif Regular" w:hAnsi="StobiSerif Regular"/>
                <w:sz w:val="20"/>
                <w:szCs w:val="20"/>
                <w:lang w:val="mk-MK"/>
              </w:rPr>
              <w:t>Министерство за здравство</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rPr>
            </w:pPr>
            <w:r w:rsidRPr="00232275">
              <w:rPr>
                <w:rFonts w:ascii="StobiSerif Regular" w:eastAsia="Times New Roman" w:hAnsi="StobiSerif Regular"/>
                <w:sz w:val="20"/>
                <w:szCs w:val="20"/>
                <w:lang w:val="mk-MK"/>
              </w:rPr>
              <w:t xml:space="preserve">Невладин сектор, деловни субјекти, синдикати, стопански комори, здруженија и фондации </w:t>
            </w:r>
          </w:p>
        </w:tc>
        <w:tc>
          <w:tcPr>
            <w:tcW w:w="50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 xml:space="preserve">Здружение за еманципација, солидарност и рамноправност на жените во РМ </w:t>
            </w:r>
            <w:r w:rsidRPr="00232275">
              <w:rPr>
                <w:rFonts w:ascii="StobiSerif Regular" w:hAnsi="StobiSerif Regular"/>
                <w:sz w:val="20"/>
                <w:szCs w:val="20"/>
              </w:rPr>
              <w:t>- ЕСЕ</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948"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080"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283"/>
        </w:trPr>
        <w:tc>
          <w:tcPr>
            <w:tcW w:w="4844"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Состојба или проблем што се опфаќа со обврската</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Оневозможен пристап до информации за трошењето на средствата од Буџетот на Министерството за здравство наменети за здравствени програми</w:t>
            </w:r>
          </w:p>
        </w:tc>
      </w:tr>
      <w:tr w:rsidR="008E3733" w:rsidRPr="00232275" w:rsidTr="008E3733">
        <w:trPr>
          <w:trHeight w:val="32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Главна цел</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Континуирано објавување и наративно објаснување на реализацијата на здравствените програми</w:t>
            </w:r>
          </w:p>
        </w:tc>
      </w:tr>
      <w:tr w:rsidR="008E3733" w:rsidRPr="00232275" w:rsidTr="008E3733">
        <w:trPr>
          <w:trHeight w:val="406"/>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Министерството за здравство во соработка со Здружението за еманципација, солидарност и рамноправност на жените во РМ ќе подготви стандардизирана форма на извештаи кои ќе се користат за објавување на податоците од реализацијата на средствата од буџетот на Министерството за здравство наменети за превентивни и куративни здравствени програми.</w:t>
            </w:r>
          </w:p>
        </w:tc>
      </w:tr>
      <w:tr w:rsidR="008E3733" w:rsidRPr="00232275" w:rsidTr="008E3733">
        <w:trPr>
          <w:trHeight w:val="439"/>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080" w:type="dxa"/>
            <w:tcBorders>
              <w:top w:val="single" w:sz="8" w:space="0" w:color="auto"/>
              <w:left w:val="nil"/>
              <w:bottom w:val="single" w:sz="8" w:space="0" w:color="auto"/>
              <w:right w:val="single" w:sz="8" w:space="0" w:color="000000"/>
            </w:tcBorders>
            <w:shd w:val="clear" w:color="auto" w:fill="auto"/>
            <w:vAlign w:val="center"/>
            <w:hideMark/>
          </w:tcPr>
          <w:p w:rsidR="008E3733" w:rsidRPr="00B06E2A" w:rsidRDefault="00B06E2A" w:rsidP="00B06E2A">
            <w:pPr>
              <w:spacing w:line="240" w:lineRule="auto"/>
              <w:jc w:val="both"/>
              <w:rPr>
                <w:rFonts w:ascii="StobiSerif Regular" w:hAnsi="StobiSerif Regular"/>
                <w:sz w:val="20"/>
                <w:szCs w:val="20"/>
                <w:lang w:val="mk-MK"/>
              </w:rPr>
            </w:pPr>
            <w:r>
              <w:rPr>
                <w:rFonts w:ascii="StobiSerif Regular" w:hAnsi="StobiSerif Regular"/>
                <w:sz w:val="20"/>
                <w:szCs w:val="20"/>
                <w:lang w:val="mk-MK"/>
              </w:rPr>
              <w:t>Граѓанско учество</w:t>
            </w:r>
          </w:p>
        </w:tc>
      </w:tr>
      <w:tr w:rsidR="008E3733" w:rsidRPr="00232275" w:rsidTr="008E3733">
        <w:trPr>
          <w:trHeight w:val="600"/>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Поврзаност со Глобалните цели за одржлив развој</w:t>
            </w:r>
          </w:p>
        </w:tc>
        <w:tc>
          <w:tcPr>
            <w:tcW w:w="508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eastAsia="Times New Roman" w:hAnsi="StobiSerif Regular"/>
                <w:sz w:val="20"/>
                <w:szCs w:val="20"/>
                <w:lang w:val="mk-MK"/>
              </w:rPr>
              <w:t xml:space="preserve"> </w:t>
            </w:r>
            <w:r w:rsidRPr="00232275">
              <w:rPr>
                <w:rFonts w:ascii="StobiSerif Regular" w:hAnsi="StobiSerif Regular"/>
                <w:sz w:val="20"/>
                <w:szCs w:val="20"/>
                <w:lang w:val="mk-MK"/>
              </w:rPr>
              <w:t xml:space="preserve">Врска со Цел 16 ,,Мир, правда и силни институции“ Таргет 16.6: Да се развијат ефективни, отчетни и транспарентни институции на сите нивоа и Цел 3 „Добро </w:t>
            </w:r>
            <w:r w:rsidRPr="00232275">
              <w:rPr>
                <w:rFonts w:ascii="StobiSerif Regular" w:hAnsi="StobiSerif Regular"/>
                <w:sz w:val="20"/>
                <w:szCs w:val="20"/>
                <w:lang w:val="mk-MK"/>
              </w:rPr>
              <w:lastRenderedPageBreak/>
              <w:t>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куративни здравствени програми.</w:t>
            </w:r>
          </w:p>
        </w:tc>
      </w:tr>
      <w:tr w:rsidR="008E3733" w:rsidRPr="00232275" w:rsidTr="008E3733">
        <w:trPr>
          <w:trHeight w:val="973"/>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lastRenderedPageBreak/>
              <w:t>Важност</w:t>
            </w:r>
          </w:p>
        </w:tc>
        <w:tc>
          <w:tcPr>
            <w:tcW w:w="508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 xml:space="preserve"> </w:t>
            </w:r>
            <w:r w:rsidRPr="00232275">
              <w:rPr>
                <w:rFonts w:ascii="StobiSerif Regular" w:hAnsi="StobiSerif Regular"/>
                <w:sz w:val="20"/>
                <w:szCs w:val="20"/>
                <w:lang w:val="mk-MK"/>
              </w:rPr>
              <w:t>Унапредување на фискалната транспарентност во делот на реализацијата на здравствените програми</w:t>
            </w:r>
          </w:p>
        </w:tc>
      </w:tr>
      <w:tr w:rsidR="008E3733" w:rsidRPr="00232275" w:rsidTr="008E3733">
        <w:trPr>
          <w:trHeight w:val="713"/>
        </w:trPr>
        <w:tc>
          <w:tcPr>
            <w:tcW w:w="484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Амбиција</w:t>
            </w:r>
          </w:p>
        </w:tc>
        <w:tc>
          <w:tcPr>
            <w:tcW w:w="5080" w:type="dxa"/>
            <w:tcBorders>
              <w:top w:val="single" w:sz="8" w:space="0" w:color="auto"/>
              <w:left w:val="nil"/>
              <w:bottom w:val="single" w:sz="8" w:space="0" w:color="auto"/>
              <w:right w:val="single" w:sz="8" w:space="0" w:color="000000"/>
            </w:tcBorders>
            <w:shd w:val="clear" w:color="auto" w:fill="auto"/>
            <w:vAlign w:val="center"/>
            <w:hideMark/>
          </w:tcPr>
          <w:p w:rsidR="008E3733" w:rsidRPr="00B06E2A" w:rsidRDefault="008E3733" w:rsidP="00B06E2A">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Зголемен пристап до информации за трошењето на сред</w:t>
            </w:r>
            <w:r w:rsidR="00B06E2A">
              <w:rPr>
                <w:rFonts w:ascii="StobiSerif Regular" w:hAnsi="StobiSerif Regular"/>
                <w:sz w:val="20"/>
                <w:szCs w:val="20"/>
                <w:lang w:val="mk-MK"/>
              </w:rPr>
              <w:t>ствата за здравствени програми.</w:t>
            </w:r>
          </w:p>
        </w:tc>
      </w:tr>
    </w:tbl>
    <w:p w:rsidR="008E3733" w:rsidRPr="00232275" w:rsidRDefault="008E3733" w:rsidP="008E3733">
      <w:pPr>
        <w:spacing w:after="0" w:line="240" w:lineRule="auto"/>
        <w:rPr>
          <w:rFonts w:ascii="StobiSerif Regular" w:hAnsi="StobiSerif Regular"/>
          <w:vanish/>
          <w:sz w:val="20"/>
          <w:szCs w:val="20"/>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276"/>
        <w:gridCol w:w="1276"/>
        <w:gridCol w:w="1204"/>
        <w:gridCol w:w="1347"/>
      </w:tblGrid>
      <w:tr w:rsidR="008E3733" w:rsidRPr="00232275" w:rsidTr="00B06E2A">
        <w:trPr>
          <w:trHeight w:val="277"/>
        </w:trPr>
        <w:tc>
          <w:tcPr>
            <w:tcW w:w="4849" w:type="dxa"/>
            <w:vMerge w:val="restart"/>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p w:rsidR="008E3733" w:rsidRPr="00232275" w:rsidRDefault="008E3733" w:rsidP="008E3733">
            <w:pPr>
              <w:spacing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204"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347"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B06E2A">
        <w:trPr>
          <w:trHeight w:val="353"/>
        </w:trPr>
        <w:tc>
          <w:tcPr>
            <w:tcW w:w="4849" w:type="dxa"/>
            <w:vMerge/>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276" w:type="dxa"/>
            <w:shd w:val="clear" w:color="auto" w:fill="FFFFFF"/>
          </w:tcPr>
          <w:p w:rsidR="008E3733" w:rsidRPr="00232275" w:rsidRDefault="008E3733" w:rsidP="008E3733">
            <w:pPr>
              <w:spacing w:line="240" w:lineRule="auto"/>
              <w:jc w:val="both"/>
              <w:rPr>
                <w:rFonts w:ascii="StobiSerif Regular" w:hAnsi="StobiSerif Regular" w:cs="Tahoma"/>
                <w:sz w:val="20"/>
                <w:szCs w:val="20"/>
                <w:lang w:val="mk-MK"/>
              </w:rPr>
            </w:pPr>
          </w:p>
        </w:tc>
        <w:tc>
          <w:tcPr>
            <w:tcW w:w="1204" w:type="dxa"/>
            <w:shd w:val="clear" w:color="auto" w:fill="548DD4" w:themeFill="text2" w:themeFillTint="99"/>
          </w:tcPr>
          <w:p w:rsidR="008E3733" w:rsidRPr="00232275" w:rsidRDefault="008E3733" w:rsidP="008E3733">
            <w:pPr>
              <w:spacing w:line="240" w:lineRule="auto"/>
              <w:jc w:val="both"/>
              <w:rPr>
                <w:rFonts w:ascii="StobiSerif Regular" w:hAnsi="StobiSerif Regular" w:cs="Tahoma"/>
                <w:sz w:val="20"/>
                <w:szCs w:val="20"/>
                <w:lang w:val="mk-MK"/>
              </w:rPr>
            </w:pPr>
          </w:p>
        </w:tc>
        <w:tc>
          <w:tcPr>
            <w:tcW w:w="1347" w:type="dxa"/>
            <w:shd w:val="clear" w:color="auto" w:fill="FFFFFF"/>
          </w:tcPr>
          <w:p w:rsidR="008E3733" w:rsidRPr="00232275" w:rsidRDefault="008E3733" w:rsidP="008E3733">
            <w:pPr>
              <w:spacing w:line="240" w:lineRule="auto"/>
              <w:jc w:val="both"/>
              <w:rPr>
                <w:rFonts w:ascii="StobiSerif Regular" w:hAnsi="StobiSerif Regular" w:cs="Tahoma"/>
                <w:sz w:val="20"/>
                <w:szCs w:val="20"/>
                <w:lang w:val="mk-MK"/>
              </w:rPr>
            </w:pPr>
          </w:p>
        </w:tc>
      </w:tr>
      <w:tr w:rsidR="008E3733" w:rsidRPr="00232275" w:rsidTr="008E3733">
        <w:trPr>
          <w:trHeight w:val="597"/>
        </w:trPr>
        <w:tc>
          <w:tcPr>
            <w:tcW w:w="4849" w:type="dxa"/>
            <w:shd w:val="clear" w:color="auto" w:fill="C6D9F1" w:themeFill="text2" w:themeFillTint="33"/>
          </w:tcPr>
          <w:p w:rsidR="008E3733" w:rsidRPr="00232275" w:rsidRDefault="008E3733" w:rsidP="008E3733">
            <w:pPr>
              <w:spacing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103" w:type="dxa"/>
            <w:gridSpan w:val="4"/>
            <w:shd w:val="clear" w:color="auto" w:fill="C6D9F1" w:themeFill="text2" w:themeFillTint="33"/>
          </w:tcPr>
          <w:p w:rsidR="008E3733" w:rsidRPr="00232275" w:rsidRDefault="008E3733" w:rsidP="008E3733">
            <w:pPr>
              <w:spacing w:line="240" w:lineRule="auto"/>
              <w:jc w:val="center"/>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8E3733">
        <w:trPr>
          <w:trHeight w:val="1647"/>
        </w:trPr>
        <w:tc>
          <w:tcPr>
            <w:tcW w:w="4849"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5.2.1 Подготовка и објавување на полугодишни и годишни извештаи за буџетско и програмско спроведување на 20 програми за превентивна и куративна здравствена заштита финансирани од Буџетот на Министерството за здравство со техничка помош и поддршка од ЕСЕ</w:t>
            </w:r>
          </w:p>
        </w:tc>
        <w:tc>
          <w:tcPr>
            <w:tcW w:w="5103" w:type="dxa"/>
            <w:gridSpan w:val="4"/>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Договорен е форматот на извештаите за буџетско и програмско спроведување за програмите за здравствена заштита финансирани од Буџетот на министерството за здравство во соработка со </w:t>
            </w:r>
            <w:r w:rsidRPr="00232275">
              <w:rPr>
                <w:rFonts w:ascii="StobiSerif Regular" w:hAnsi="StobiSerif Regular"/>
                <w:sz w:val="20"/>
                <w:szCs w:val="20"/>
                <w:lang w:val="mk-MK"/>
              </w:rPr>
              <w:t>Здружението за еманципација, солидарност и рамноправност на жените во РМ – ЕСЕ</w:t>
            </w:r>
            <w:r w:rsidRPr="00232275">
              <w:rPr>
                <w:rFonts w:ascii="StobiSerif Regular" w:hAnsi="StobiSerif Regular" w:cs="Tahoma"/>
                <w:sz w:val="20"/>
                <w:szCs w:val="20"/>
                <w:lang w:val="mk-MK"/>
              </w:rPr>
              <w:t xml:space="preserve">. Извештаите се во фаза на подготовка и откако ќе бидат подготвени истите ќе бидат објавени на електронскиот сајт на Министерството за здравство. </w:t>
            </w:r>
          </w:p>
        </w:tc>
      </w:tr>
      <w:tr w:rsidR="008E3733" w:rsidRPr="00232275" w:rsidTr="008E3733">
        <w:trPr>
          <w:trHeight w:val="990"/>
        </w:trPr>
        <w:tc>
          <w:tcPr>
            <w:tcW w:w="4849" w:type="dxa"/>
            <w:shd w:val="clear" w:color="auto" w:fill="auto"/>
          </w:tcPr>
          <w:p w:rsidR="008E3733" w:rsidRPr="00232275" w:rsidRDefault="008E3733" w:rsidP="008E3733">
            <w:pPr>
              <w:spacing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5.2.2 Кампања за информирање на   граѓаните за достапноста на овие податоци и како истите можат да им користат</w:t>
            </w:r>
          </w:p>
        </w:tc>
        <w:tc>
          <w:tcPr>
            <w:tcW w:w="5103" w:type="dxa"/>
            <w:gridSpan w:val="4"/>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5.2.1.</w:t>
            </w:r>
          </w:p>
        </w:tc>
      </w:tr>
    </w:tbl>
    <w:p w:rsidR="008E3733" w:rsidRPr="00232275" w:rsidRDefault="008E3733" w:rsidP="008E3733">
      <w:pPr>
        <w:spacing w:line="240" w:lineRule="auto"/>
        <w:rPr>
          <w:rFonts w:ascii="StobiSerif Regular" w:eastAsia="MS Mincho" w:hAnsi="StobiSerif Regular"/>
          <w:sz w:val="20"/>
          <w:szCs w:val="20"/>
        </w:rPr>
      </w:pPr>
    </w:p>
    <w:tbl>
      <w:tblPr>
        <w:tblW w:w="9924" w:type="dxa"/>
        <w:tblInd w:w="-318" w:type="dxa"/>
        <w:tblLayout w:type="fixed"/>
        <w:tblLook w:val="04A0" w:firstRow="1" w:lastRow="0" w:firstColumn="1" w:lastColumn="0" w:noHBand="0" w:noVBand="1"/>
      </w:tblPr>
      <w:tblGrid>
        <w:gridCol w:w="1896"/>
        <w:gridCol w:w="2783"/>
        <w:gridCol w:w="5245"/>
      </w:tblGrid>
      <w:tr w:rsidR="008E3733" w:rsidRPr="00232275"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ind w:left="180"/>
              <w:jc w:val="center"/>
              <w:outlineLvl w:val="0"/>
              <w:rPr>
                <w:rFonts w:ascii="StobiSerif Regular" w:eastAsia="Times New Roman" w:hAnsi="StobiSerif Regular"/>
                <w:b/>
                <w:sz w:val="20"/>
                <w:szCs w:val="20"/>
                <w:lang w:val="mk-MK"/>
              </w:rPr>
            </w:pPr>
            <w:r w:rsidRPr="00232275">
              <w:rPr>
                <w:rFonts w:ascii="StobiSerif Regular" w:hAnsi="StobiSerif Regular"/>
                <w:sz w:val="20"/>
                <w:szCs w:val="20"/>
                <w:lang w:val="mk-MK"/>
              </w:rPr>
              <w:t xml:space="preserve">5.3 Создавање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 </w:t>
            </w:r>
          </w:p>
        </w:tc>
      </w:tr>
      <w:tr w:rsidR="008E3733" w:rsidRPr="00232275" w:rsidTr="008E3733">
        <w:trPr>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(0</w:t>
            </w:r>
            <w:r w:rsidRPr="00232275">
              <w:rPr>
                <w:rFonts w:ascii="StobiSerif Regular" w:eastAsia="Times New Roman" w:hAnsi="StobiSerif Regular"/>
                <w:sz w:val="20"/>
                <w:szCs w:val="20"/>
              </w:rPr>
              <w:t>7</w:t>
            </w:r>
            <w:r w:rsidRPr="00232275">
              <w:rPr>
                <w:rFonts w:ascii="StobiSerif Regular" w:eastAsia="Times New Roman" w:hAnsi="StobiSerif Regular"/>
                <w:sz w:val="20"/>
                <w:szCs w:val="20"/>
                <w:lang w:val="mk-MK"/>
              </w:rPr>
              <w:t>/2016–10/2018)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tc>
      </w:tr>
      <w:tr w:rsidR="008E3733" w:rsidRPr="00232275" w:rsidTr="008E3733">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hAnsi="StobiSerif Regular"/>
                <w:sz w:val="20"/>
                <w:szCs w:val="20"/>
                <w:lang w:val="mk-MK"/>
              </w:rPr>
              <w:t>Министерство за финансии/Биро за јавни набавки </w:t>
            </w:r>
          </w:p>
        </w:tc>
      </w:tr>
      <w:tr w:rsidR="008E3733" w:rsidRPr="00232275" w:rsidTr="008E3733">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Име на одговорно лице во институцијата за спроведување</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ind w:left="720"/>
              <w:jc w:val="center"/>
              <w:rPr>
                <w:rFonts w:ascii="StobiSerif Regular" w:eastAsia="Times New Roman" w:hAnsi="StobiSerif Regular"/>
                <w:sz w:val="20"/>
                <w:szCs w:val="20"/>
                <w:lang w:val="mk-MK"/>
              </w:rPr>
            </w:pPr>
            <w:r w:rsidRPr="00232275">
              <w:rPr>
                <w:rFonts w:ascii="StobiSerif Regular" w:hAnsi="StobiSerif Regular"/>
                <w:sz w:val="20"/>
                <w:szCs w:val="20"/>
                <w:lang w:val="mk-MK"/>
              </w:rPr>
              <w:t>Александар Данаилов</w:t>
            </w:r>
          </w:p>
        </w:tc>
      </w:tr>
      <w:tr w:rsidR="008E3733" w:rsidRPr="00232275" w:rsidTr="008E3733">
        <w:trPr>
          <w:trHeight w:val="838"/>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Помлад соработник во Сектор за нормативна дејност, обуки и меѓународни</w:t>
            </w:r>
            <w:r w:rsidR="00B06E2A">
              <w:rPr>
                <w:rFonts w:ascii="StobiSerif Regular" w:hAnsi="StobiSerif Regular"/>
                <w:sz w:val="20"/>
                <w:szCs w:val="20"/>
                <w:lang w:val="mk-MK"/>
              </w:rPr>
              <w:t xml:space="preserve"> односи на БЈН</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Email</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sz w:val="20"/>
                <w:szCs w:val="20"/>
              </w:rPr>
            </w:pPr>
            <w:r w:rsidRPr="00232275">
              <w:rPr>
                <w:rFonts w:ascii="StobiSerif Regular" w:hAnsi="StobiSerif Regular"/>
                <w:sz w:val="20"/>
                <w:szCs w:val="20"/>
                <w:lang w:val="mk-MK"/>
              </w:rPr>
              <w:t>aleksandar.danailov@bjn.gov.mk</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lastRenderedPageBreak/>
              <w:t>Телефон</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hAnsi="StobiSerif Regular"/>
                <w:sz w:val="20"/>
                <w:szCs w:val="20"/>
                <w:lang w:val="mk-MK"/>
              </w:rPr>
              <w:t>+389 3255 706</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Други вклучени субјекти</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Органи на државна управа, самостојни органи на државна управа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r w:rsidRPr="00232275">
              <w:rPr>
                <w:rFonts w:ascii="StobiSerif Regular" w:hAnsi="StobiSerif Regular"/>
                <w:sz w:val="20"/>
                <w:szCs w:val="20"/>
                <w:lang w:val="mk-MK"/>
              </w:rPr>
              <w:t>Сите договорни органи, Биро за јавни набавки/ Министерство за финансии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rPr>
            </w:pPr>
            <w:r w:rsidRPr="00232275">
              <w:rPr>
                <w:rFonts w:ascii="StobiSerif Regular" w:eastAsia="Times New Roman" w:hAnsi="StobiSerif Regular"/>
                <w:sz w:val="20"/>
                <w:szCs w:val="20"/>
                <w:lang w:val="mk-MK"/>
              </w:rPr>
              <w:t xml:space="preserve">Невладин сектор, деловни субјекти, синдикати, стопански комори, здруженија и фондации </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Центар за граѓански комуникации</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B06E2A">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283"/>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Состојба или проблем што се опфаќа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Обврската што произлегуваше од вториот акциски план на ОВП (2014-2016) да се одредат минимум информации од јавните набавки што договорните органи, по препорака од БЈН, треба да го објавуваат на своите интернет страници е доброволна и не се почитува од многу договорни органи. Станува збор за информации со кои се обезбедува барем минимално ниво на транспарентност за трошењето на јавните пари договорени во консултативен процес (да се објавуваат информации на интернет страниците на договорните органи со линк до ЕСЈН за склучените договори за јавни набавки, за огласите за јавни набавки, годишниот план за јавни набавки и да се пополни делот за реализирани договори на ЕСЈН).</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Главна цел</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Да се обезбедат основни информации за трошењето на јавните пари на начин и место кои лесно се наоѓаат и разбираат од граѓаните. </w:t>
            </w:r>
          </w:p>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објавување на овие информации како задолжителна обврска за договорните органи, транспарентноста и отчетноста на институцијата нема да зависи од волјата на поединци.</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Објавување на информации за трошењето на јавните пари преку јавните набавки, исто така, е дел од заложбите на иницијативата Отворени набавки, која ја администрира Светската банка, а е слична на иницијативата за ОВП.</w:t>
            </w:r>
          </w:p>
        </w:tc>
      </w:tr>
      <w:tr w:rsidR="008E3733" w:rsidRPr="00232275" w:rsidTr="008E3733">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Секој договорен орган, на својата интернет страница да го објави годишниот план за јавни набавки, информации со линк со ЕСЈН за огласите за јавни набавки и за склучените договори за јавни набавки и да се пополнува задолжително делот за реализирани договори на ЕСЈН.</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lastRenderedPageBreak/>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sz w:val="20"/>
                <w:szCs w:val="20"/>
              </w:rPr>
            </w:pPr>
            <w:r w:rsidRPr="00232275">
              <w:rPr>
                <w:rFonts w:ascii="StobiSerif Regular" w:hAnsi="StobiSerif Regular"/>
                <w:sz w:val="20"/>
                <w:szCs w:val="20"/>
                <w:lang w:val="mk-MK"/>
              </w:rPr>
              <w:t>Ефективно управување со јавни средства</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Поврзаност со Глобалните цели за одржлив развој</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pStyle w:val="CommentText"/>
              <w:jc w:val="both"/>
              <w:rPr>
                <w:rFonts w:ascii="StobiSerif Regular" w:hAnsi="StobiSerif Regular"/>
                <w:lang w:val="mk-MK"/>
              </w:rPr>
            </w:pPr>
            <w:r w:rsidRPr="00232275">
              <w:rPr>
                <w:rFonts w:ascii="StobiSerif Regular" w:hAnsi="StobiSerif Regular"/>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8E3733" w:rsidRPr="00232275" w:rsidTr="008E3733">
        <w:trPr>
          <w:trHeight w:val="2765"/>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Важност</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Задолжителното објавувањето на овие информации кои сега се на доброволна основа ќе ги зголеми: </w:t>
            </w:r>
          </w:p>
          <w:p w:rsidR="008E3733" w:rsidRPr="00232275" w:rsidRDefault="008E3733" w:rsidP="008E3733">
            <w:pPr>
              <w:numPr>
                <w:ilvl w:val="0"/>
                <w:numId w:val="9"/>
              </w:numPr>
              <w:spacing w:after="0" w:line="240" w:lineRule="auto"/>
              <w:ind w:left="175" w:hanging="185"/>
              <w:jc w:val="both"/>
              <w:rPr>
                <w:rFonts w:ascii="StobiSerif Regular" w:hAnsi="StobiSerif Regular"/>
                <w:sz w:val="20"/>
                <w:szCs w:val="20"/>
                <w:lang w:val="mk-MK"/>
              </w:rPr>
            </w:pPr>
            <w:r w:rsidRPr="00232275">
              <w:rPr>
                <w:rFonts w:ascii="StobiSerif Regular" w:hAnsi="StobiSerif Regular"/>
                <w:sz w:val="20"/>
                <w:szCs w:val="20"/>
                <w:lang w:val="mk-MK"/>
              </w:rPr>
              <w:t xml:space="preserve">транспарентноста и отчетноста на државните институции за трошењето на јавните пари; </w:t>
            </w:r>
          </w:p>
          <w:p w:rsidR="008E3733" w:rsidRPr="00232275" w:rsidRDefault="008E3733" w:rsidP="008E3733">
            <w:pPr>
              <w:numPr>
                <w:ilvl w:val="0"/>
                <w:numId w:val="9"/>
              </w:numPr>
              <w:spacing w:after="0" w:line="240" w:lineRule="auto"/>
              <w:ind w:left="175" w:hanging="185"/>
              <w:jc w:val="both"/>
              <w:rPr>
                <w:rFonts w:ascii="StobiSerif Regular" w:hAnsi="StobiSerif Regular"/>
                <w:sz w:val="20"/>
                <w:szCs w:val="20"/>
                <w:lang w:val="mk-MK"/>
              </w:rPr>
            </w:pPr>
            <w:r w:rsidRPr="00232275">
              <w:rPr>
                <w:rFonts w:ascii="StobiSerif Regular" w:hAnsi="StobiSerif Regular"/>
                <w:sz w:val="20"/>
                <w:szCs w:val="20"/>
                <w:lang w:val="mk-MK"/>
              </w:rPr>
              <w:t xml:space="preserve">степенот на информираност на граѓаните за начинот на трошење на нивните пари; </w:t>
            </w:r>
          </w:p>
          <w:p w:rsidR="008E3733" w:rsidRPr="00232275" w:rsidRDefault="008E3733" w:rsidP="008E3733">
            <w:pPr>
              <w:numPr>
                <w:ilvl w:val="0"/>
                <w:numId w:val="9"/>
              </w:numPr>
              <w:spacing w:after="0" w:line="240" w:lineRule="auto"/>
              <w:ind w:left="175" w:hanging="185"/>
              <w:jc w:val="both"/>
              <w:rPr>
                <w:rFonts w:ascii="StobiSerif Regular" w:hAnsi="StobiSerif Regular"/>
                <w:sz w:val="20"/>
                <w:szCs w:val="20"/>
                <w:lang w:val="mk-MK"/>
              </w:rPr>
            </w:pPr>
            <w:r w:rsidRPr="00232275">
              <w:rPr>
                <w:rFonts w:ascii="StobiSerif Regular" w:hAnsi="StobiSerif Regular"/>
                <w:sz w:val="20"/>
                <w:szCs w:val="20"/>
                <w:lang w:val="mk-MK"/>
              </w:rPr>
              <w:t xml:space="preserve">интегритетот и довербата на институциите </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ефикасноста во управување со јавните средства.</w:t>
            </w:r>
          </w:p>
        </w:tc>
      </w:tr>
      <w:tr w:rsidR="008E3733" w:rsidRPr="00232275" w:rsidTr="008E3733">
        <w:trPr>
          <w:trHeight w:val="168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Амбиција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ind w:left="175"/>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Сите договорни органи регистрирани на ЕСЈН да ги објавуваат овие информации на своите интернет страници, а оние кои немаат своја интернет страница тоа да го сторат на интернет страницата на институцијата под чија надлежност работат.</w:t>
            </w:r>
          </w:p>
        </w:tc>
      </w:tr>
    </w:tbl>
    <w:p w:rsidR="008E3733" w:rsidRPr="00232275" w:rsidRDefault="008E3733" w:rsidP="008E3733">
      <w:pPr>
        <w:spacing w:after="0" w:line="240" w:lineRule="auto"/>
        <w:rPr>
          <w:rFonts w:ascii="StobiSerif Regular" w:hAnsi="StobiSerif Regular"/>
          <w:vanish/>
          <w:sz w:val="20"/>
          <w:szCs w:val="20"/>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1275"/>
        <w:gridCol w:w="1276"/>
        <w:gridCol w:w="1418"/>
        <w:gridCol w:w="1275"/>
      </w:tblGrid>
      <w:tr w:rsidR="008E3733" w:rsidRPr="00232275" w:rsidTr="008E3733">
        <w:trPr>
          <w:trHeight w:val="294"/>
        </w:trPr>
        <w:tc>
          <w:tcPr>
            <w:tcW w:w="4708" w:type="dxa"/>
            <w:vMerge w:val="restart"/>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p w:rsidR="008E3733" w:rsidRPr="00232275" w:rsidRDefault="008E3733" w:rsidP="008E3733">
            <w:pPr>
              <w:spacing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418"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8E3733">
        <w:trPr>
          <w:trHeight w:val="371"/>
        </w:trPr>
        <w:tc>
          <w:tcPr>
            <w:tcW w:w="4708" w:type="dxa"/>
            <w:vMerge/>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418" w:type="dxa"/>
            <w:shd w:val="clear" w:color="auto" w:fill="548DD4" w:themeFill="text2" w:themeFillTint="99"/>
          </w:tcPr>
          <w:p w:rsidR="008E3733" w:rsidRPr="00232275" w:rsidRDefault="008E3733" w:rsidP="008E3733">
            <w:pPr>
              <w:spacing w:line="240" w:lineRule="auto"/>
              <w:jc w:val="both"/>
              <w:rPr>
                <w:rFonts w:ascii="StobiSerif Regular" w:hAnsi="StobiSerif Regular" w:cs="Tahoma"/>
                <w:sz w:val="20"/>
                <w:szCs w:val="20"/>
                <w:lang w:val="mk-MK"/>
              </w:rPr>
            </w:pP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r>
      <w:tr w:rsidR="008E3733" w:rsidRPr="00232275" w:rsidTr="008E3733">
        <w:trPr>
          <w:trHeight w:val="367"/>
        </w:trPr>
        <w:tc>
          <w:tcPr>
            <w:tcW w:w="4708" w:type="dxa"/>
            <w:shd w:val="clear" w:color="auto" w:fill="C6D9F1" w:themeFill="text2" w:themeFillTint="33"/>
          </w:tcPr>
          <w:p w:rsidR="008E3733" w:rsidRPr="00232275" w:rsidRDefault="008E3733" w:rsidP="008E3733">
            <w:pPr>
              <w:spacing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4" w:type="dxa"/>
            <w:gridSpan w:val="4"/>
            <w:shd w:val="clear" w:color="auto" w:fill="C6D9F1" w:themeFill="text2" w:themeFillTint="33"/>
          </w:tcPr>
          <w:p w:rsidR="008E3733" w:rsidRPr="00232275" w:rsidRDefault="008E3733" w:rsidP="008E3733">
            <w:pPr>
              <w:spacing w:line="240" w:lineRule="auto"/>
              <w:jc w:val="center"/>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8E3733">
        <w:trPr>
          <w:trHeight w:val="2400"/>
        </w:trPr>
        <w:tc>
          <w:tcPr>
            <w:tcW w:w="4708" w:type="dxa"/>
            <w:shd w:val="clear" w:color="auto" w:fill="auto"/>
            <w:vAlign w:val="center"/>
          </w:tcPr>
          <w:p w:rsidR="008E3733" w:rsidRPr="00232275" w:rsidRDefault="008E3733" w:rsidP="008E3733">
            <w:pPr>
              <w:spacing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 xml:space="preserve">5.3.1.Задолжително објавување на Годишен план за јавни набавки </w:t>
            </w:r>
            <w:r w:rsidRPr="00232275" w:rsidDel="00C953C0">
              <w:rPr>
                <w:rFonts w:ascii="StobiSerif Regular" w:eastAsia="Calibri" w:hAnsi="StobiSerif Regular" w:cs="Times New Roman"/>
                <w:b/>
                <w:i/>
                <w:sz w:val="20"/>
                <w:szCs w:val="20"/>
                <w:lang w:val="mk-MK"/>
              </w:rPr>
              <w:t xml:space="preserve">најдоцна </w:t>
            </w:r>
            <w:r w:rsidRPr="00232275">
              <w:rPr>
                <w:rFonts w:ascii="StobiSerif Regular" w:eastAsia="Calibri" w:hAnsi="StobiSerif Regular" w:cs="Times New Roman"/>
                <w:b/>
                <w:i/>
                <w:sz w:val="20"/>
                <w:szCs w:val="20"/>
                <w:lang w:val="mk-MK"/>
              </w:rPr>
              <w:t>до крајот на јануари во тековната година, како и на ажурираните верзии на планот со измените и дополнувањата во текот на годината</w:t>
            </w:r>
          </w:p>
          <w:p w:rsidR="008E3733" w:rsidRPr="00232275" w:rsidRDefault="008E3733" w:rsidP="008E3733">
            <w:pPr>
              <w:spacing w:line="240" w:lineRule="auto"/>
              <w:jc w:val="both"/>
              <w:rPr>
                <w:rFonts w:ascii="StobiSerif Regular" w:hAnsi="StobiSerif Regular"/>
                <w:b/>
                <w:i/>
                <w:sz w:val="20"/>
                <w:szCs w:val="20"/>
                <w:lang w:val="mk-MK"/>
              </w:rPr>
            </w:pPr>
          </w:p>
        </w:tc>
        <w:tc>
          <w:tcPr>
            <w:tcW w:w="5244" w:type="dxa"/>
            <w:gridSpan w:val="4"/>
            <w:shd w:val="clear" w:color="auto" w:fill="auto"/>
            <w:vAlign w:val="center"/>
          </w:tcPr>
          <w:p w:rsidR="008E3733" w:rsidRPr="00232275" w:rsidRDefault="008E3733" w:rsidP="008E3733">
            <w:pPr>
              <w:jc w:val="both"/>
              <w:rPr>
                <w:rFonts w:ascii="StobiSerif Regular" w:hAnsi="StobiSerif Regular"/>
                <w:sz w:val="20"/>
                <w:szCs w:val="20"/>
                <w:lang w:val="mk-MK"/>
              </w:rPr>
            </w:pPr>
            <w:r w:rsidRPr="00232275">
              <w:rPr>
                <w:rFonts w:ascii="StobiSerif Regular" w:hAnsi="StobiSerif Regular"/>
                <w:sz w:val="20"/>
                <w:szCs w:val="20"/>
                <w:lang w:val="mk-MK"/>
              </w:rPr>
              <w:t>Нацрт Предлог Законот за јавните набавки, каде што ќе бидат имплементирани целите на мерката е подготвен и достапен на јавноста преку ЕНЕР. Во меѓувреме, Владата на Р. Македонија ги задолжи договорните органи да ги прикачуваат договорите за јавни набавки на Електронскиот систем за јавни набавки. На ЕСЈН се овозможи достапност до отворени податоци, преку нова алатка изработена од Бирото за јавни набавки, а преку која се зголемува транспарентноста во јавни набавки.</w:t>
            </w:r>
          </w:p>
          <w:p w:rsidR="008E3733" w:rsidRPr="00B06E2A" w:rsidRDefault="008E3733" w:rsidP="00B06E2A">
            <w:pPr>
              <w:jc w:val="both"/>
              <w:rPr>
                <w:rFonts w:ascii="StobiSerif Regular" w:hAnsi="StobiSerif Regular"/>
                <w:sz w:val="20"/>
                <w:szCs w:val="20"/>
                <w:lang w:val="mk-MK"/>
              </w:rPr>
            </w:pPr>
            <w:r w:rsidRPr="00232275">
              <w:rPr>
                <w:rFonts w:ascii="StobiSerif Regular" w:hAnsi="StobiSerif Regular"/>
                <w:sz w:val="20"/>
                <w:szCs w:val="20"/>
                <w:lang w:val="mk-MK"/>
              </w:rPr>
              <w:lastRenderedPageBreak/>
              <w:t>Обврската од оваа мерка е предвидена во член 74 став 3 од Нацрт Законот за јавните набавки, кој е во процедура на донесува</w:t>
            </w:r>
            <w:r w:rsidR="00B06E2A">
              <w:rPr>
                <w:rFonts w:ascii="StobiSerif Regular" w:hAnsi="StobiSerif Regular"/>
                <w:sz w:val="20"/>
                <w:szCs w:val="20"/>
                <w:lang w:val="mk-MK"/>
              </w:rPr>
              <w:t>ње, моментално објавен на ЕНЕР.</w:t>
            </w:r>
          </w:p>
        </w:tc>
      </w:tr>
      <w:tr w:rsidR="008E3733" w:rsidRPr="00232275" w:rsidTr="008E3733">
        <w:trPr>
          <w:trHeight w:val="1966"/>
        </w:trPr>
        <w:tc>
          <w:tcPr>
            <w:tcW w:w="4708" w:type="dxa"/>
            <w:shd w:val="clear" w:color="auto" w:fill="auto"/>
            <w:vAlign w:val="center"/>
          </w:tcPr>
          <w:p w:rsidR="008E3733" w:rsidRPr="00232275" w:rsidRDefault="008E3733" w:rsidP="008E3733">
            <w:pPr>
              <w:spacing w:line="240" w:lineRule="auto"/>
              <w:rPr>
                <w:rFonts w:ascii="StobiSerif Regular" w:hAnsi="StobiSerif Regular"/>
                <w:b/>
                <w:i/>
                <w:sz w:val="20"/>
                <w:szCs w:val="20"/>
                <w:lang w:val="mk-MK"/>
              </w:rPr>
            </w:pPr>
            <w:r w:rsidRPr="00232275">
              <w:rPr>
                <w:rFonts w:ascii="StobiSerif Regular" w:hAnsi="StobiSerif Regular"/>
                <w:b/>
                <w:i/>
                <w:sz w:val="20"/>
                <w:szCs w:val="20"/>
                <w:lang w:val="mk-MK"/>
              </w:rPr>
              <w:lastRenderedPageBreak/>
              <w:t>5.3.2.Задолжително објавување на огласите за јавни набавки со поставување на линк до огласот кој е објавен на ЕСЈН</w:t>
            </w:r>
          </w:p>
        </w:tc>
        <w:tc>
          <w:tcPr>
            <w:tcW w:w="5244" w:type="dxa"/>
            <w:gridSpan w:val="4"/>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Бирото за јавни набавки испрати препорака до сите договорни органи, на своите веб-страници да поставуваат линкови од објавените огласи на ЕСЈН. Имајќи во предвид дека дел од договорните органи немаат веб-страници/потребни се дополнителни средства за реализација на ваква мерка, истото е нецелисходно да биде предвидено како обврска, со оглед на тоа што огласите се достапни преку ЕСЈН.</w:t>
            </w:r>
          </w:p>
        </w:tc>
      </w:tr>
      <w:tr w:rsidR="008E3733" w:rsidRPr="00232275" w:rsidTr="008E3733">
        <w:trPr>
          <w:trHeight w:val="1266"/>
        </w:trPr>
        <w:tc>
          <w:tcPr>
            <w:tcW w:w="4708" w:type="dxa"/>
            <w:shd w:val="clear" w:color="auto" w:fill="auto"/>
            <w:vAlign w:val="center"/>
          </w:tcPr>
          <w:p w:rsidR="008E3733" w:rsidRPr="00232275" w:rsidRDefault="008E3733" w:rsidP="008E3733">
            <w:pPr>
              <w:spacing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5.3.3.Задолжително објавување на известувањата за склучените договори со поставување на линк до соодветните известувања на ЕСЈН</w:t>
            </w:r>
          </w:p>
        </w:tc>
        <w:tc>
          <w:tcPr>
            <w:tcW w:w="5244" w:type="dxa"/>
            <w:gridSpan w:val="4"/>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Бирото за јавни набавки испрати препорака до сите договорни органи, на своите веб-страници да поставуваат линкови од објавените известувања за склучени договори на ЕСЈН. Имајќи во предвид дека дел од договорните органи немаат веб-страници/потребни се дополнителни средства за реализација на ваква мерка, истото е нецелисходно да биде предвидено како обврска, со оглед на тоа што известувањата, како и договорите се достапни преку ЕСЈН.</w:t>
            </w:r>
          </w:p>
        </w:tc>
      </w:tr>
      <w:tr w:rsidR="008E3733" w:rsidRPr="00232275" w:rsidTr="008E3733">
        <w:trPr>
          <w:trHeight w:val="1258"/>
        </w:trPr>
        <w:tc>
          <w:tcPr>
            <w:tcW w:w="4708" w:type="dxa"/>
            <w:shd w:val="clear" w:color="auto" w:fill="auto"/>
            <w:vAlign w:val="center"/>
          </w:tcPr>
          <w:p w:rsidR="008E3733" w:rsidRPr="00232275" w:rsidRDefault="008E3733" w:rsidP="008E3733">
            <w:pPr>
              <w:spacing w:line="240" w:lineRule="auto"/>
              <w:jc w:val="both"/>
              <w:rPr>
                <w:rFonts w:ascii="StobiSerif Regular" w:eastAsia="Calibri" w:hAnsi="StobiSerif Regular" w:cs="Times New Roman"/>
                <w:b/>
                <w:i/>
                <w:sz w:val="20"/>
                <w:szCs w:val="20"/>
                <w:lang w:val="mk-MK"/>
              </w:rPr>
            </w:pPr>
            <w:r w:rsidRPr="00232275">
              <w:rPr>
                <w:rFonts w:ascii="StobiSerif Regular" w:eastAsia="Calibri" w:hAnsi="StobiSerif Regular" w:cs="Times New Roman"/>
                <w:b/>
                <w:i/>
                <w:sz w:val="20"/>
                <w:szCs w:val="20"/>
                <w:lang w:val="mk-MK"/>
              </w:rPr>
              <w:t>5.3.4.Задолжително објавување на склучен договор на ЕСЈН</w:t>
            </w:r>
          </w:p>
          <w:p w:rsidR="008E3733" w:rsidRPr="00232275" w:rsidRDefault="008E3733" w:rsidP="008E3733">
            <w:pPr>
              <w:spacing w:line="240" w:lineRule="auto"/>
              <w:jc w:val="both"/>
              <w:rPr>
                <w:rFonts w:ascii="StobiSerif Regular" w:hAnsi="StobiSerif Regular"/>
                <w:b/>
                <w:i/>
                <w:sz w:val="20"/>
                <w:szCs w:val="20"/>
                <w:lang w:val="mk-MK"/>
              </w:rPr>
            </w:pPr>
          </w:p>
        </w:tc>
        <w:tc>
          <w:tcPr>
            <w:tcW w:w="5244" w:type="dxa"/>
            <w:gridSpan w:val="4"/>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eastAsia="Calibri" w:hAnsi="StobiSerif Regular" w:cs="Times New Roman"/>
                <w:sz w:val="20"/>
                <w:szCs w:val="20"/>
                <w:lang w:val="mk-MK"/>
              </w:rPr>
              <w:t>Обврската од оваа мерка е реализирана со Заклучок на Владата на Република Македонија до сите договорни органи и веќе е реализирана. Истото ќе биде предвидено со измена на постоечкиот Закон за јавните набавки, како и во новиот Закон за јавните набавки чија примена ќе започне од 01.01.2019 година.</w:t>
            </w:r>
          </w:p>
        </w:tc>
      </w:tr>
    </w:tbl>
    <w:p w:rsidR="008E3733" w:rsidRPr="00232275" w:rsidRDefault="008E3733" w:rsidP="008E3733">
      <w:pPr>
        <w:spacing w:line="240" w:lineRule="auto"/>
        <w:rPr>
          <w:rFonts w:ascii="StobiSerif Regular" w:hAnsi="StobiSerif Regular"/>
          <w:sz w:val="20"/>
          <w:szCs w:val="20"/>
        </w:rPr>
      </w:pPr>
    </w:p>
    <w:tbl>
      <w:tblPr>
        <w:tblW w:w="10065" w:type="dxa"/>
        <w:tblInd w:w="-318" w:type="dxa"/>
        <w:tblLayout w:type="fixed"/>
        <w:tblLook w:val="04A0" w:firstRow="1" w:lastRow="0" w:firstColumn="1" w:lastColumn="0" w:noHBand="0" w:noVBand="1"/>
      </w:tblPr>
      <w:tblGrid>
        <w:gridCol w:w="1896"/>
        <w:gridCol w:w="2925"/>
        <w:gridCol w:w="1275"/>
        <w:gridCol w:w="1251"/>
        <w:gridCol w:w="1435"/>
        <w:gridCol w:w="1283"/>
      </w:tblGrid>
      <w:tr w:rsidR="008E3733" w:rsidRPr="00232275" w:rsidTr="008E3733">
        <w:trPr>
          <w:trHeight w:val="300"/>
        </w:trPr>
        <w:tc>
          <w:tcPr>
            <w:tcW w:w="10065"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ind w:left="180"/>
              <w:jc w:val="center"/>
              <w:outlineLvl w:val="0"/>
              <w:rPr>
                <w:rFonts w:ascii="StobiSerif Regular" w:eastAsia="MS Mincho" w:hAnsi="StobiSerif Regular"/>
                <w:b/>
                <w:sz w:val="20"/>
                <w:szCs w:val="20"/>
                <w:highlight w:val="yellow"/>
              </w:rPr>
            </w:pPr>
            <w:r w:rsidRPr="00232275">
              <w:rPr>
                <w:rFonts w:ascii="StobiSerif Regular" w:eastAsia="Times New Roman" w:hAnsi="StobiSerif Regular"/>
                <w:b/>
                <w:sz w:val="20"/>
                <w:szCs w:val="20"/>
              </w:rPr>
              <w:t xml:space="preserve">5.4. Вклучување на транспарентен и објективен начин на претставници на здруженијата и фондациите, како и на останатите ГО, во секторските работни групи за планирање и програмирање на ИПА 2 </w:t>
            </w:r>
          </w:p>
        </w:tc>
      </w:tr>
      <w:tr w:rsidR="008E3733" w:rsidRPr="00232275" w:rsidTr="008E3733">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(7/2016-6/2018)</w:t>
            </w: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нова обврска</w:t>
            </w:r>
          </w:p>
          <w:p w:rsidR="008E3733" w:rsidRPr="00232275" w:rsidRDefault="008E3733" w:rsidP="008E3733">
            <w:pPr>
              <w:spacing w:after="0" w:line="240" w:lineRule="auto"/>
              <w:jc w:val="center"/>
              <w:rPr>
                <w:rFonts w:ascii="StobiSerif Regular" w:hAnsi="StobiSerif Regular"/>
                <w:sz w:val="20"/>
                <w:szCs w:val="20"/>
              </w:rPr>
            </w:pPr>
          </w:p>
        </w:tc>
      </w:tr>
      <w:tr w:rsidR="008E3733" w:rsidRPr="00232275" w:rsidTr="008E3733">
        <w:trPr>
          <w:trHeight w:val="600"/>
        </w:trPr>
        <w:tc>
          <w:tcPr>
            <w:tcW w:w="4821" w:type="dxa"/>
            <w:gridSpan w:val="2"/>
            <w:tcBorders>
              <w:top w:val="single" w:sz="4"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Водечка институција за спроведување</w:t>
            </w:r>
          </w:p>
        </w:tc>
        <w:tc>
          <w:tcPr>
            <w:tcW w:w="5244" w:type="dxa"/>
            <w:gridSpan w:val="4"/>
            <w:tcBorders>
              <w:top w:val="single" w:sz="4"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Секретаријат за европски прашања</w:t>
            </w:r>
          </w:p>
        </w:tc>
      </w:tr>
      <w:tr w:rsidR="008E3733" w:rsidRPr="00232275" w:rsidTr="008E3733">
        <w:trPr>
          <w:trHeight w:val="64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Име на одговорно лице во институцијата за спроведување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Орхидеја Каљошевска</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Функција, Одделение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Државен советник за координација на европски фондови и друга странска помош</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Email</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E6510B" w:rsidP="008E3733">
            <w:pPr>
              <w:spacing w:after="0" w:line="240" w:lineRule="auto"/>
              <w:jc w:val="center"/>
              <w:rPr>
                <w:rFonts w:ascii="StobiSerif Regular" w:hAnsi="StobiSerif Regular"/>
                <w:sz w:val="20"/>
                <w:szCs w:val="20"/>
              </w:rPr>
            </w:pPr>
            <w:hyperlink r:id="rId50" w:history="1">
              <w:r w:rsidR="008E3733" w:rsidRPr="00232275">
                <w:rPr>
                  <w:rFonts w:ascii="StobiSerif Regular" w:hAnsi="StobiSerif Regular"/>
                  <w:sz w:val="20"/>
                  <w:szCs w:val="20"/>
                </w:rPr>
                <w:t>Orhideja.Kaljosevska@sep.gov.mk</w:t>
              </w:r>
            </w:hyperlink>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Телефон</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070 409 519</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lastRenderedPageBreak/>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Органи на државна управа, самостојни органи на државна управа</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rPr>
            </w:pPr>
            <w:r w:rsidRPr="00232275">
              <w:rPr>
                <w:rFonts w:ascii="StobiSerif Regular" w:hAnsi="StobiSerif Regular"/>
                <w:sz w:val="20"/>
                <w:szCs w:val="20"/>
              </w:rPr>
              <w:t>Координаторите на секторските работни групи од ресорните министерства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Невладин сектор, деловни субјекти, синдикати, стопански комори, здруженија и фондации</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rPr>
            </w:pPr>
            <w:r w:rsidRPr="00232275">
              <w:rPr>
                <w:rFonts w:ascii="StobiSerif Regular" w:hAnsi="StobiSerif Regular"/>
                <w:sz w:val="20"/>
                <w:szCs w:val="20"/>
              </w:rPr>
              <w:t>Заинтересирани здруженија, фондации и нивни мрежи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Состојба или проблем што се опфаќа со обврската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Секторските работни групи што се формирани за планирање и програмирање на ИПА 2 е потребно да се прошират со вклучување на транспарентно избрани претставници на здруженијата и фондациите, за да можат граѓанските организации да учествуваат.  Иако за одделните нацрт-секторски плански документи се организираат консултации со граѓанскиот сектор по нивната изработка, тоа не овозможува учество на граѓанскиот сектор во сите фази на планирањето и програмирањето на претпристапната помош на ЕУ.</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Главна цел</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Унапредување на вклученоста на граѓанскиот сектор во програмирањето на помошта од Инструментот за претпристапна помош на Европската унија (ИПА II) </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Кус опис на обврската</w:t>
            </w:r>
          </w:p>
          <w:p w:rsidR="008E3733" w:rsidRPr="00232275" w:rsidRDefault="008E3733" w:rsidP="008E3733">
            <w:pPr>
              <w:spacing w:after="0" w:line="240" w:lineRule="auto"/>
              <w:jc w:val="center"/>
              <w:rPr>
                <w:rFonts w:ascii="StobiSerif Regular" w:hAnsi="StobiSerif Regular"/>
                <w:sz w:val="20"/>
                <w:szCs w:val="20"/>
              </w:rPr>
            </w:pP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 Вклучувањето на граѓанското општество во процесот на програмирање е еден од предусловите за спроведување на Секторскиот пристап за ИПА 2 и во таа насока Владата на Република Македонија, на седниците одржани на 31.03.2015 и 14.07.2015 година, ја усвои и дополни рамката за составот на Секторските работни групи за програмирање, согласно која граѓанските организации се вклучени во составот на секторските работни групи (по потреба и одлука на институцијата која ја води Секторската работна група). </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Со цел транспарентно и легитимно вклучување на граѓанските организации во работата на Секторските работни групи, Секретаријатот за европски прашања објави повик „Отворено со граѓанскиот сектор“, за регистрација на сите заинтересирани граѓански организации за консултации и учество во работните групи за ИПА 2. Листата на пријавените граѓански организации е објавена на нашата веб страна на следниот линк: </w:t>
            </w:r>
            <w:hyperlink r:id="rId51" w:history="1">
              <w:r w:rsidRPr="00232275">
                <w:rPr>
                  <w:rFonts w:ascii="StobiSerif Regular" w:hAnsi="StobiSerif Regular"/>
                  <w:sz w:val="20"/>
                  <w:szCs w:val="20"/>
                </w:rPr>
                <w:t>http://www.sep.gov.mk/nvo-list/</w:t>
              </w:r>
            </w:hyperlink>
            <w:r w:rsidR="00B06E2A">
              <w:rPr>
                <w:rFonts w:ascii="StobiSerif Regular" w:hAnsi="StobiSerif Regular"/>
                <w:sz w:val="20"/>
                <w:szCs w:val="20"/>
              </w:rPr>
              <w:t xml:space="preserve">. </w:t>
            </w:r>
            <w:r w:rsidRPr="00232275">
              <w:rPr>
                <w:rFonts w:ascii="StobiSerif Regular" w:hAnsi="StobiSerif Regular"/>
                <w:sz w:val="20"/>
                <w:szCs w:val="20"/>
              </w:rPr>
              <w:t>Исто така</w:t>
            </w:r>
            <w:r w:rsidR="00B06E2A">
              <w:rPr>
                <w:rFonts w:ascii="StobiSerif Regular" w:hAnsi="StobiSerif Regular"/>
                <w:sz w:val="20"/>
                <w:szCs w:val="20"/>
                <w:lang w:val="mk-MK"/>
              </w:rPr>
              <w:t>,</w:t>
            </w:r>
            <w:r w:rsidRPr="00232275">
              <w:rPr>
                <w:rFonts w:ascii="StobiSerif Regular" w:hAnsi="StobiSerif Regular"/>
                <w:sz w:val="20"/>
                <w:szCs w:val="20"/>
              </w:rPr>
              <w:t xml:space="preserve"> врз основа на листата на пријавените граѓански организации, направен е индикативен преглед на делокругот на работа на пријавените граѓански организации и нивно поврзување со областите дефинирани со Секторските работни групи за ИПА 2. </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Со цел да се зголеми одговорноста и сопственоста во процесот на програмирање, објавената листа на граѓански организации, заедно со индикативниот преглед се доставени до Секторските работни групи, со напомена дека можноста за соработка и со други релевантни  граѓански организации или мрежи е отворена. </w:t>
            </w:r>
          </w:p>
          <w:p w:rsidR="008E3733" w:rsidRPr="00232275" w:rsidRDefault="008E3733" w:rsidP="008E3733">
            <w:pPr>
              <w:shd w:val="clear" w:color="auto" w:fill="FFFFFF"/>
              <w:spacing w:after="0" w:line="240" w:lineRule="auto"/>
              <w:jc w:val="both"/>
              <w:rPr>
                <w:rFonts w:ascii="StobiSerif Regular" w:hAnsi="StobiSerif Regular"/>
                <w:sz w:val="20"/>
                <w:szCs w:val="20"/>
              </w:rPr>
            </w:pPr>
            <w:r w:rsidRPr="00232275">
              <w:rPr>
                <w:rFonts w:ascii="StobiSerif Regular" w:hAnsi="StobiSerif Regular"/>
                <w:sz w:val="20"/>
                <w:szCs w:val="20"/>
              </w:rPr>
              <w:t>Секторските работни групи имаат обврска да обезбедат вклучување на претставници на граѓанските здруженија и фондации во процесот на програмирање како дел од работните групи и за истото транспарентно да информираат пред започнување на процесот на програмирање.</w:t>
            </w:r>
          </w:p>
          <w:p w:rsidR="008E3733" w:rsidRPr="00232275" w:rsidRDefault="008E3733" w:rsidP="008E3733">
            <w:pPr>
              <w:shd w:val="clear" w:color="auto" w:fill="FFFFFF"/>
              <w:spacing w:after="0" w:line="240" w:lineRule="auto"/>
              <w:jc w:val="both"/>
              <w:rPr>
                <w:rFonts w:ascii="StobiSerif Regular" w:hAnsi="StobiSerif Regular"/>
                <w:sz w:val="20"/>
                <w:szCs w:val="20"/>
              </w:rPr>
            </w:pPr>
            <w:r w:rsidRPr="00232275">
              <w:rPr>
                <w:rFonts w:ascii="StobiSerif Regular" w:hAnsi="StobiSerif Regular"/>
                <w:sz w:val="20"/>
                <w:szCs w:val="20"/>
              </w:rPr>
              <w:t>Ресорното министерство, координатор на работната група има обврска на почетокот на програмирањето да достави индикативна временска динамика на планираните состаноци на работните групи.</w:t>
            </w:r>
          </w:p>
          <w:p w:rsidR="008E3733" w:rsidRPr="00232275" w:rsidRDefault="008E3733" w:rsidP="008E3733">
            <w:pPr>
              <w:shd w:val="clear" w:color="auto" w:fill="FFFFFF"/>
              <w:spacing w:after="0" w:line="240" w:lineRule="auto"/>
              <w:jc w:val="both"/>
              <w:rPr>
                <w:rFonts w:ascii="StobiSerif Regular" w:hAnsi="StobiSerif Regular"/>
                <w:sz w:val="20"/>
                <w:szCs w:val="20"/>
              </w:rPr>
            </w:pPr>
            <w:r w:rsidRPr="00232275">
              <w:rPr>
                <w:rFonts w:ascii="StobiSerif Regular" w:hAnsi="StobiSerif Regular"/>
                <w:sz w:val="20"/>
                <w:szCs w:val="20"/>
              </w:rPr>
              <w:t>Ресорното министерство координатор на работната група има обврска да подготви и објави критериуми врз основа на кои ги селектираат претставниците на граѓанските здруженија и фондации во Работните групи и ги објави избраните избраните граѓански организации или мрежи на својата веб страна.</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ОВП предизвик опфатен со обврската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Ефикасно управување со јавните ресурси</w:t>
            </w:r>
          </w:p>
          <w:p w:rsidR="008E3733" w:rsidRPr="00232275" w:rsidRDefault="008E3733" w:rsidP="008E3733">
            <w:pPr>
              <w:spacing w:after="0" w:line="240" w:lineRule="auto"/>
              <w:jc w:val="both"/>
              <w:rPr>
                <w:rFonts w:ascii="StobiSerif Regular" w:hAnsi="StobiSerif Regular"/>
                <w:sz w:val="20"/>
                <w:szCs w:val="20"/>
              </w:rPr>
            </w:pP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Поврзаност со Глобалните цели за одржлив развој</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Цел 16 ,,Мир, правда и силни институции“ </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Со мерките од оваа заложба се придонесува кон унапредување на транспарентноста на институциите преку воведување на инклузивен процес на програмирањето на странските фондови.</w:t>
            </w:r>
          </w:p>
        </w:tc>
      </w:tr>
      <w:tr w:rsidR="008E3733" w:rsidRPr="00232275" w:rsidTr="008E3733">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Важност</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Мерката придонесува за граѓанското учество во програмирање и планирање на странска помош. Таа ќе обезбеди поголема легитимност и инклузивност на процесот на планирање и програмирање на претпристапната помош, преку непосредно вклучување на претставници на граѓанското општество во подготовката на секторските плански документи.</w:t>
            </w:r>
          </w:p>
        </w:tc>
      </w:tr>
      <w:tr w:rsidR="008E3733" w:rsidRPr="00232275" w:rsidTr="008E3733">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rPr>
              <w:t>Амбиција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ind w:left="175" w:hanging="175"/>
              <w:jc w:val="both"/>
              <w:rPr>
                <w:rFonts w:ascii="StobiSerif Regular" w:hAnsi="StobiSerif Regular"/>
                <w:sz w:val="20"/>
                <w:szCs w:val="20"/>
              </w:rPr>
            </w:pPr>
            <w:r w:rsidRPr="00232275">
              <w:rPr>
                <w:rFonts w:ascii="StobiSerif Regular" w:hAnsi="StobiSerif Regular"/>
                <w:sz w:val="20"/>
                <w:szCs w:val="20"/>
              </w:rPr>
              <w:t>- Создадени нови механизми за учество на   граѓаните во управувањето со јавните ресурси</w:t>
            </w:r>
          </w:p>
          <w:p w:rsidR="008E3733" w:rsidRPr="00232275" w:rsidRDefault="008E3733" w:rsidP="008E3733">
            <w:pPr>
              <w:spacing w:after="0" w:line="240" w:lineRule="auto"/>
              <w:ind w:left="175" w:hanging="175"/>
              <w:jc w:val="both"/>
              <w:rPr>
                <w:rFonts w:ascii="StobiSerif Regular" w:hAnsi="StobiSerif Regular"/>
                <w:sz w:val="20"/>
                <w:szCs w:val="20"/>
              </w:rPr>
            </w:pPr>
            <w:r w:rsidRPr="00232275">
              <w:rPr>
                <w:rFonts w:ascii="StobiSerif Regular" w:hAnsi="StobiSerif Regular"/>
                <w:sz w:val="20"/>
                <w:szCs w:val="20"/>
              </w:rPr>
              <w:t>- Примена на знаењата и податоците со кои располага граѓанскиот сектор за подобро идентификување на клучните општествени предизвици и начините за справување со нив</w:t>
            </w:r>
          </w:p>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rPr>
              <w:t xml:space="preserve">- Зајакната меѓусебна доверба меѓу државата и граѓанскиот сектор како резултат на зголемената транспарентност и инклузивност на процесот на програмирање, и унапредување на квалитетот на демократијата </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4821" w:type="dxa"/>
            <w:gridSpan w:val="2"/>
            <w:vMerge w:val="restart"/>
            <w:shd w:val="clear" w:color="auto" w:fill="auto"/>
          </w:tcPr>
          <w:p w:rsidR="008E3733" w:rsidRPr="00232275" w:rsidRDefault="008E3733" w:rsidP="008E3733">
            <w:pPr>
              <w:spacing w:after="0" w:line="240" w:lineRule="auto"/>
              <w:jc w:val="center"/>
              <w:rPr>
                <w:rFonts w:ascii="StobiSerif Regular" w:hAnsi="StobiSerif Regular" w:cs="Tahoma"/>
                <w:sz w:val="20"/>
                <w:szCs w:val="20"/>
              </w:rPr>
            </w:pPr>
          </w:p>
          <w:p w:rsidR="008E3733" w:rsidRPr="00232275" w:rsidRDefault="008E3733" w:rsidP="008E3733">
            <w:pPr>
              <w:spacing w:after="0" w:line="240" w:lineRule="auto"/>
              <w:jc w:val="center"/>
              <w:rPr>
                <w:rFonts w:ascii="StobiSerif Regular" w:hAnsi="StobiSerif Regular" w:cs="Tahoma"/>
                <w:sz w:val="20"/>
                <w:szCs w:val="20"/>
              </w:rPr>
            </w:pPr>
            <w:r w:rsidRPr="00232275">
              <w:rPr>
                <w:rFonts w:ascii="StobiSerif Regular" w:hAnsi="StobiSerif Regular" w:cs="Tahoma"/>
                <w:sz w:val="20"/>
                <w:szCs w:val="20"/>
              </w:rPr>
              <w:t>Статус на реализација на заложба</w:t>
            </w: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rPr>
            </w:pPr>
            <w:r w:rsidRPr="00232275">
              <w:rPr>
                <w:rFonts w:ascii="StobiSerif Regular" w:hAnsi="StobiSerif Regular" w:cs="Tahoma"/>
                <w:b/>
                <w:sz w:val="16"/>
                <w:szCs w:val="16"/>
              </w:rPr>
              <w:t>незапочнато</w:t>
            </w: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rPr>
            </w:pPr>
            <w:r w:rsidRPr="00232275">
              <w:rPr>
                <w:rFonts w:ascii="StobiSerif Regular" w:hAnsi="StobiSerif Regular" w:cs="Tahoma"/>
                <w:b/>
                <w:sz w:val="16"/>
                <w:szCs w:val="16"/>
              </w:rPr>
              <w:t>ограничено</w:t>
            </w:r>
          </w:p>
        </w:tc>
        <w:tc>
          <w:tcPr>
            <w:tcW w:w="143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rPr>
            </w:pPr>
            <w:r w:rsidRPr="00232275">
              <w:rPr>
                <w:rFonts w:ascii="StobiSerif Regular" w:hAnsi="StobiSerif Regular" w:cs="Tahoma"/>
                <w:b/>
                <w:sz w:val="16"/>
                <w:szCs w:val="16"/>
              </w:rPr>
              <w:t>значително</w:t>
            </w:r>
          </w:p>
        </w:tc>
        <w:tc>
          <w:tcPr>
            <w:tcW w:w="1283"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rPr>
            </w:pPr>
            <w:r w:rsidRPr="00232275">
              <w:rPr>
                <w:rFonts w:ascii="StobiSerif Regular" w:hAnsi="StobiSerif Regular" w:cs="Tahoma"/>
                <w:b/>
                <w:sz w:val="16"/>
                <w:szCs w:val="16"/>
              </w:rPr>
              <w:t>завршено</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4821" w:type="dxa"/>
            <w:gridSpan w:val="2"/>
            <w:vMerge/>
            <w:shd w:val="clear" w:color="auto" w:fill="auto"/>
          </w:tcPr>
          <w:p w:rsidR="008E3733" w:rsidRPr="00232275" w:rsidRDefault="008E3733" w:rsidP="008E3733">
            <w:pPr>
              <w:spacing w:after="0" w:line="240" w:lineRule="auto"/>
              <w:jc w:val="center"/>
              <w:rPr>
                <w:rFonts w:ascii="StobiSerif Regular" w:hAnsi="StobiSerif Regular" w:cs="Tahoma"/>
                <w:sz w:val="20"/>
                <w:szCs w:val="20"/>
              </w:rPr>
            </w:pP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rPr>
            </w:pP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rPr>
            </w:pPr>
          </w:p>
        </w:tc>
        <w:tc>
          <w:tcPr>
            <w:tcW w:w="1435" w:type="dxa"/>
            <w:shd w:val="clear" w:color="auto" w:fill="548DD4" w:themeFill="text2" w:themeFillTint="99"/>
          </w:tcPr>
          <w:p w:rsidR="008E3733" w:rsidRPr="00232275" w:rsidRDefault="008E3733" w:rsidP="008E3733">
            <w:pPr>
              <w:spacing w:after="0" w:line="240" w:lineRule="auto"/>
              <w:jc w:val="both"/>
              <w:rPr>
                <w:rFonts w:ascii="StobiSerif Regular" w:hAnsi="StobiSerif Regular" w:cs="Tahoma"/>
                <w:sz w:val="20"/>
                <w:szCs w:val="20"/>
              </w:rPr>
            </w:pPr>
          </w:p>
        </w:tc>
        <w:tc>
          <w:tcPr>
            <w:tcW w:w="1283"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rPr>
            </w:pP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4821" w:type="dxa"/>
            <w:gridSpan w:val="2"/>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rPr>
            </w:pPr>
            <w:r w:rsidRPr="00232275">
              <w:rPr>
                <w:rFonts w:ascii="StobiSerif Regular" w:hAnsi="StobiSerif Regular" w:cs="Tahoma"/>
                <w:sz w:val="20"/>
                <w:szCs w:val="20"/>
              </w:rPr>
              <w:t>Назив на достигнување</w:t>
            </w:r>
          </w:p>
        </w:tc>
        <w:tc>
          <w:tcPr>
            <w:tcW w:w="5244" w:type="dxa"/>
            <w:gridSpan w:val="4"/>
            <w:shd w:val="clear" w:color="auto" w:fill="DBE5F1"/>
          </w:tcPr>
          <w:p w:rsidR="008E3733" w:rsidRPr="00232275" w:rsidRDefault="008E3733" w:rsidP="008E3733">
            <w:pPr>
              <w:spacing w:after="0" w:line="240" w:lineRule="auto"/>
              <w:jc w:val="both"/>
              <w:rPr>
                <w:rFonts w:ascii="StobiSerif Regular" w:hAnsi="StobiSerif Regular" w:cs="Tahoma"/>
                <w:b/>
                <w:sz w:val="20"/>
                <w:szCs w:val="20"/>
              </w:rPr>
            </w:pPr>
            <w:r w:rsidRPr="00232275">
              <w:rPr>
                <w:rFonts w:ascii="StobiSerif Regular" w:hAnsi="StobiSerif Regular" w:cs="Tahoma"/>
                <w:sz w:val="20"/>
                <w:szCs w:val="20"/>
              </w:rPr>
              <w:t>Кус опис</w:t>
            </w:r>
            <w:r w:rsidRPr="00232275">
              <w:rPr>
                <w:rFonts w:ascii="StobiSerif Regular" w:hAnsi="StobiSerif Regular" w:cs="Tahoma"/>
                <w:b/>
                <w:sz w:val="20"/>
                <w:szCs w:val="20"/>
              </w:rPr>
              <w:t xml:space="preserve"> </w:t>
            </w:r>
            <w:r w:rsidRPr="00232275">
              <w:rPr>
                <w:rFonts w:ascii="StobiSerif Regular" w:hAnsi="StobiSerif Regular" w:cs="Tahoma"/>
                <w:sz w:val="20"/>
                <w:szCs w:val="20"/>
              </w:rPr>
              <w:t>на превземени активности и постигнати резултати по достигнување</w:t>
            </w:r>
          </w:p>
        </w:tc>
      </w:tr>
      <w:tr w:rsidR="008E3733" w:rsidRPr="00232275" w:rsidTr="00D60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5"/>
        </w:trPr>
        <w:tc>
          <w:tcPr>
            <w:tcW w:w="4821" w:type="dxa"/>
            <w:gridSpan w:val="2"/>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rPr>
            </w:pPr>
            <w:r w:rsidRPr="00232275">
              <w:rPr>
                <w:rFonts w:ascii="StobiSerif Regular" w:hAnsi="StobiSerif Regular"/>
                <w:b/>
                <w:i/>
                <w:sz w:val="20"/>
                <w:szCs w:val="20"/>
              </w:rPr>
              <w:t>5.4.1.Утврдување на транспарентен процес и објективни критериуми за вклучување на претставници на здруженијата и фондациите во секторските работни групи</w:t>
            </w:r>
          </w:p>
          <w:p w:rsidR="008E3733" w:rsidRPr="00232275" w:rsidRDefault="008E3733" w:rsidP="008E3733">
            <w:pPr>
              <w:spacing w:after="0" w:line="240" w:lineRule="auto"/>
              <w:jc w:val="both"/>
              <w:rPr>
                <w:rFonts w:ascii="StobiSerif Regular" w:hAnsi="StobiSerif Regular"/>
                <w:b/>
                <w:i/>
                <w:sz w:val="20"/>
                <w:szCs w:val="20"/>
              </w:rPr>
            </w:pPr>
          </w:p>
        </w:tc>
        <w:tc>
          <w:tcPr>
            <w:tcW w:w="5244" w:type="dxa"/>
            <w:gridSpan w:val="4"/>
            <w:shd w:val="clear" w:color="auto" w:fill="FFFFFF"/>
          </w:tcPr>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 xml:space="preserve">По барање на НИПАК/СЕП преку Инструментот за подршка на процесот на ЕУ интеграција обезбедена е Проектната поддршка за управување со фондовите на ЕУ. Проектот започна во јуни 2017 година и ќе биде завршен до крајот на мај 2020 година истиот е со вкупен износ од 2,45 милиони евра. </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Проектната поддршка за управување со фондовите на ЕУ има за цел да им помогне на канцеларијата на НИПАК и СРГ за планирање и програмирање на фондовите на ЕУ во согласност со правилата на ИПА II програмата. Посебна улога во овој процес ја играат НИПАК  и канцеларијата на НИПАК во коордимацијата на СРГи, кои се тела во кои се дискутираат документите за планирање и програмирање. Секторите кои се релевантни за проектот се следните:</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Сектор 1: Демократија и управување</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Сектор 2: Владеење на правото и фундаментални права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Сектор 3: Акција за животна средина и климатските промени</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Сектор 4: Транспорт</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Сектор 5: Конкурентност и иновации и земјоделство и р</w:t>
            </w:r>
            <w:r w:rsidR="00D60369">
              <w:rPr>
                <w:rFonts w:ascii="StobiSerif Regular" w:hAnsi="StobiSerif Regular" w:cs="Tahoma"/>
                <w:sz w:val="20"/>
                <w:szCs w:val="20"/>
              </w:rPr>
              <w:t>урален развој</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Проектот е артикулиран во две компоненти:</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Компонента 1 - Зајакнување на секторскиот пристап;</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Компонента 2 - Подобрување на програмирањето, следењет</w:t>
            </w:r>
            <w:r w:rsidR="00D60369">
              <w:rPr>
                <w:rFonts w:ascii="StobiSerif Regular" w:hAnsi="StobiSerif Regular" w:cs="Tahoma"/>
                <w:sz w:val="20"/>
                <w:szCs w:val="20"/>
              </w:rPr>
              <w:t>о и евалуацијата на програмата.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Под Компонента 1 се спроведуваат следниве активности:</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1. Зајакнување на рамката за Секторски пристап и координација;</w:t>
            </w:r>
          </w:p>
          <w:p w:rsidR="008E3733" w:rsidRPr="00232275" w:rsidRDefault="00D60369" w:rsidP="008E3733">
            <w:pPr>
              <w:spacing w:after="0" w:line="240" w:lineRule="auto"/>
              <w:jc w:val="both"/>
              <w:rPr>
                <w:rFonts w:ascii="StobiSerif Regular" w:hAnsi="StobiSerif Regular" w:cs="Tahoma"/>
                <w:sz w:val="20"/>
                <w:szCs w:val="20"/>
              </w:rPr>
            </w:pPr>
            <w:r>
              <w:rPr>
                <w:rFonts w:ascii="StobiSerif Regular" w:hAnsi="StobiSerif Regular" w:cs="Tahoma"/>
                <w:sz w:val="20"/>
                <w:szCs w:val="20"/>
              </w:rPr>
              <w:t xml:space="preserve">2. </w:t>
            </w:r>
            <w:r w:rsidR="008E3733" w:rsidRPr="00232275">
              <w:rPr>
                <w:rFonts w:ascii="StobiSerif Regular" w:hAnsi="StobiSerif Regular" w:cs="Tahoma"/>
                <w:sz w:val="20"/>
                <w:szCs w:val="20"/>
              </w:rPr>
              <w:t>Хоризонтална поддршка за релевантните национални власти за стратешко планирање на ИПА помошта за сите сектори за целиот период до крајот на 2020 година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3. Поддршка за воспоставување рамка за оценување на перформансите;</w:t>
            </w:r>
          </w:p>
          <w:p w:rsidR="008E3733" w:rsidRPr="00232275" w:rsidRDefault="00D60369" w:rsidP="008E3733">
            <w:pPr>
              <w:spacing w:after="0" w:line="240" w:lineRule="auto"/>
              <w:jc w:val="both"/>
              <w:rPr>
                <w:rFonts w:ascii="StobiSerif Regular" w:hAnsi="StobiSerif Regular" w:cs="Tahoma"/>
                <w:sz w:val="20"/>
                <w:szCs w:val="20"/>
              </w:rPr>
            </w:pPr>
            <w:r>
              <w:rPr>
                <w:rFonts w:ascii="StobiSerif Regular" w:hAnsi="StobiSerif Regular" w:cs="Tahoma"/>
                <w:sz w:val="20"/>
                <w:szCs w:val="20"/>
              </w:rPr>
              <w:t>4. Поддршка за воспоставување и/</w:t>
            </w:r>
            <w:r w:rsidR="008E3733" w:rsidRPr="00232275">
              <w:rPr>
                <w:rFonts w:ascii="StobiSerif Regular" w:hAnsi="StobiSerif Regular" w:cs="Tahoma"/>
                <w:sz w:val="20"/>
                <w:szCs w:val="20"/>
              </w:rPr>
              <w:t>или зајакнување на функционална секторска координација;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5. Поддршка за подобрува</w:t>
            </w:r>
            <w:r w:rsidR="00D60369">
              <w:rPr>
                <w:rFonts w:ascii="StobiSerif Regular" w:hAnsi="StobiSerif Regular" w:cs="Tahoma"/>
                <w:sz w:val="20"/>
                <w:szCs w:val="20"/>
              </w:rPr>
              <w:t>ње на капацитетите за планирање/управување/известување</w:t>
            </w:r>
            <w:r w:rsidRPr="00232275">
              <w:rPr>
                <w:rFonts w:ascii="StobiSerif Regular" w:hAnsi="StobiSerif Regular" w:cs="Tahoma"/>
                <w:sz w:val="20"/>
                <w:szCs w:val="20"/>
              </w:rPr>
              <w:t>/оценување</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6. Секторско буџетирање</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Спроведувањето на овие активности има за цел це</w:t>
            </w:r>
            <w:r w:rsidR="00D60369">
              <w:rPr>
                <w:rFonts w:ascii="StobiSerif Regular" w:hAnsi="StobiSerif Regular" w:cs="Tahoma"/>
                <w:sz w:val="20"/>
                <w:szCs w:val="20"/>
              </w:rPr>
              <w:t>лосно да се применува секторот.</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Под Компонента 2 се спроведуваат следниве активности:</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1. Поддршка за програмирање на ИПА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2. Поддршка на канцеларијата на НИПАК во следењето, оценувањето и известувањето за имплементацијата на ИПА на ниво на програмата.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3. Консултативна поддршка за подобрување на ИТ алатките и системите</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4. Поддршка за одржлива</w:t>
            </w:r>
            <w:r w:rsidR="00D60369">
              <w:rPr>
                <w:rFonts w:ascii="StobiSerif Regular" w:hAnsi="StobiSerif Regular" w:cs="Tahoma"/>
                <w:sz w:val="20"/>
                <w:szCs w:val="20"/>
              </w:rPr>
              <w:t xml:space="preserve"> ИПА-поврзана функција за обука</w:t>
            </w:r>
          </w:p>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Спроведувањето на овие активности имаат за цел подобрување на програмирањето, користењето и оценувањето на фондовите на ЕУ и се одлична основа која ќе придонесе за надоградување на оваа заложба.</w:t>
            </w:r>
          </w:p>
          <w:p w:rsidR="008E3733" w:rsidRPr="00232275" w:rsidRDefault="008E3733" w:rsidP="008E3733">
            <w:pPr>
              <w:spacing w:line="240" w:lineRule="auto"/>
              <w:jc w:val="both"/>
              <w:rPr>
                <w:rFonts w:ascii="StobiSerif Regular" w:hAnsi="StobiSerif Regular"/>
                <w:sz w:val="20"/>
                <w:szCs w:val="20"/>
              </w:rPr>
            </w:pPr>
            <w:r w:rsidRPr="00232275">
              <w:rPr>
                <w:rFonts w:ascii="StobiSerif Regular" w:hAnsi="StobiSerif Regular" w:cs="Tahoma"/>
                <w:sz w:val="20"/>
                <w:szCs w:val="20"/>
                <w:lang w:val="mk-MK"/>
              </w:rPr>
              <w:t>Владата на 50та седница одржана на 23.01.2018 ја усвои</w:t>
            </w:r>
            <w:r w:rsidRPr="00232275">
              <w:rPr>
                <w:rFonts w:ascii="StobiSerif Regular" w:hAnsi="StobiSerif Regular" w:cs="Tahoma"/>
                <w:sz w:val="20"/>
                <w:szCs w:val="20"/>
              </w:rPr>
              <w:t xml:space="preserve"> Информација</w:t>
            </w:r>
            <w:r w:rsidRPr="00232275">
              <w:rPr>
                <w:rFonts w:ascii="StobiSerif Regular" w:hAnsi="StobiSerif Regular" w:cs="Tahoma"/>
                <w:sz w:val="20"/>
                <w:szCs w:val="20"/>
                <w:lang w:val="mk-MK"/>
              </w:rPr>
              <w:t>та</w:t>
            </w:r>
            <w:r w:rsidRPr="00232275">
              <w:rPr>
                <w:rFonts w:ascii="StobiSerif Regular" w:hAnsi="StobiSerif Regular" w:cs="Tahoma"/>
                <w:sz w:val="20"/>
                <w:szCs w:val="20"/>
              </w:rPr>
              <w:t xml:space="preserve"> за </w:t>
            </w:r>
            <w:r w:rsidRPr="00232275">
              <w:rPr>
                <w:rFonts w:ascii="StobiSerif Regular" w:hAnsi="StobiSerif Regular" w:cs="Tahoma"/>
                <w:sz w:val="20"/>
                <w:szCs w:val="20"/>
                <w:lang w:val="mk-MK"/>
              </w:rPr>
              <w:t xml:space="preserve">процесот на </w:t>
            </w:r>
            <w:r w:rsidRPr="00232275">
              <w:rPr>
                <w:rFonts w:ascii="StobiSerif Regular" w:hAnsi="StobiSerif Regular" w:cs="Tahoma"/>
                <w:sz w:val="20"/>
                <w:szCs w:val="20"/>
              </w:rPr>
              <w:t xml:space="preserve">програмирање </w:t>
            </w:r>
            <w:r w:rsidRPr="00232275">
              <w:rPr>
                <w:rFonts w:ascii="StobiSerif Regular" w:hAnsi="StobiSerif Regular" w:cs="Tahoma"/>
                <w:sz w:val="20"/>
                <w:szCs w:val="20"/>
                <w:lang w:val="mk-MK"/>
              </w:rPr>
              <w:t>на средствата од ИПА 2 (</w:t>
            </w:r>
            <w:r w:rsidRPr="00232275">
              <w:rPr>
                <w:rFonts w:ascii="StobiSerif Regular" w:hAnsi="StobiSerif Regular" w:cs="Tahoma"/>
                <w:sz w:val="20"/>
                <w:szCs w:val="20"/>
              </w:rPr>
              <w:t>2018</w:t>
            </w:r>
            <w:r w:rsidRPr="00232275">
              <w:rPr>
                <w:rFonts w:ascii="StobiSerif Regular" w:hAnsi="StobiSerif Regular" w:cs="Tahoma"/>
                <w:sz w:val="20"/>
                <w:szCs w:val="20"/>
                <w:lang w:val="mk-MK"/>
              </w:rPr>
              <w:t xml:space="preserve"> и </w:t>
            </w:r>
            <w:r w:rsidRPr="00232275">
              <w:rPr>
                <w:rFonts w:ascii="StobiSerif Regular" w:hAnsi="StobiSerif Regular" w:cs="Tahoma"/>
                <w:sz w:val="20"/>
                <w:szCs w:val="20"/>
              </w:rPr>
              <w:t>2019</w:t>
            </w:r>
            <w:r w:rsidRPr="00232275">
              <w:rPr>
                <w:rFonts w:ascii="StobiSerif Regular" w:hAnsi="StobiSerif Regular" w:cs="Tahoma"/>
                <w:sz w:val="20"/>
                <w:szCs w:val="20"/>
                <w:lang w:val="mk-MK"/>
              </w:rPr>
              <w:t>)</w:t>
            </w:r>
            <w:r w:rsidRPr="00232275">
              <w:rPr>
                <w:rFonts w:ascii="StobiSerif Regular" w:hAnsi="StobiSerif Regular" w:cs="Tahoma"/>
                <w:sz w:val="20"/>
                <w:szCs w:val="20"/>
              </w:rPr>
              <w:t>, , каде се задолжуваат институциите да ги вклучат ГО во процесот во СРГ и за тоа да го информираат СЕП. Некаде во Март 2018 би можеле да очекуваме појасна слика на терен.</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4821" w:type="dxa"/>
            <w:gridSpan w:val="2"/>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rPr>
            </w:pPr>
            <w:r w:rsidRPr="00232275">
              <w:rPr>
                <w:rFonts w:ascii="StobiSerif Regular" w:hAnsi="StobiSerif Regular"/>
                <w:b/>
                <w:i/>
                <w:sz w:val="20"/>
                <w:szCs w:val="20"/>
              </w:rPr>
              <w:t>5.4.2.Објавување Рамката за координација на ИПА2 на веб страната на Секретаријатот за европски прашања</w:t>
            </w:r>
          </w:p>
        </w:tc>
        <w:tc>
          <w:tcPr>
            <w:tcW w:w="5244" w:type="dxa"/>
            <w:gridSpan w:val="4"/>
            <w:shd w:val="clear" w:color="auto" w:fill="FFFFFF"/>
          </w:tcPr>
          <w:p w:rsidR="008E3733" w:rsidRPr="00232275" w:rsidRDefault="008E3733" w:rsidP="008E3733">
            <w:pPr>
              <w:numPr>
                <w:ilvl w:val="0"/>
                <w:numId w:val="24"/>
              </w:numPr>
              <w:spacing w:after="0" w:line="240" w:lineRule="auto"/>
              <w:ind w:left="179" w:hanging="142"/>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Објавена рамката за секторската координација на ИПА на веб страната на СЕП.</w:t>
            </w:r>
          </w:p>
          <w:p w:rsidR="008E3733" w:rsidRPr="00232275" w:rsidRDefault="008E3733" w:rsidP="008E3733">
            <w:pPr>
              <w:numPr>
                <w:ilvl w:val="0"/>
                <w:numId w:val="24"/>
              </w:numPr>
              <w:spacing w:after="0" w:line="240" w:lineRule="auto"/>
              <w:ind w:left="179" w:hanging="142"/>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Објавен отворен повик на страната на СЕП за сите заинтересирани ГО кои би сакале да придонесат во програмирањето на ИПА</w:t>
            </w:r>
          </w:p>
          <w:p w:rsidR="008E3733" w:rsidRPr="00232275" w:rsidRDefault="008E3733" w:rsidP="008E3733">
            <w:pPr>
              <w:numPr>
                <w:ilvl w:val="0"/>
                <w:numId w:val="24"/>
              </w:numPr>
              <w:spacing w:after="0" w:line="240" w:lineRule="auto"/>
              <w:ind w:left="179" w:hanging="142"/>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Објавени се на веб страната на СЕП сите ИПА Програмски документи кои се усвоени од страна на ЕК, заклучно со ИПА 2017.</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4821" w:type="dxa"/>
            <w:gridSpan w:val="2"/>
            <w:shd w:val="clear" w:color="auto" w:fill="FFFFFF"/>
            <w:vAlign w:val="center"/>
          </w:tcPr>
          <w:p w:rsidR="008E3733" w:rsidRPr="00232275" w:rsidRDefault="008E3733" w:rsidP="008E3733">
            <w:pPr>
              <w:spacing w:after="0" w:line="240" w:lineRule="auto"/>
              <w:jc w:val="both"/>
              <w:rPr>
                <w:rFonts w:ascii="StobiSerif Regular" w:hAnsi="StobiSerif Regular"/>
                <w:b/>
                <w:i/>
                <w:sz w:val="20"/>
                <w:szCs w:val="20"/>
              </w:rPr>
            </w:pPr>
            <w:r w:rsidRPr="00232275">
              <w:rPr>
                <w:rFonts w:ascii="StobiSerif Regular" w:hAnsi="StobiSerif Regular"/>
                <w:b/>
                <w:i/>
                <w:sz w:val="20"/>
                <w:szCs w:val="20"/>
              </w:rPr>
              <w:t>5.4.3.Вклучување на претставници на граѓанскиот сектор во работата на сите секторските групи од страна на релевантните институции врз основа на транспарентен процес и објективни критериуми</w:t>
            </w:r>
          </w:p>
        </w:tc>
        <w:tc>
          <w:tcPr>
            <w:tcW w:w="5244" w:type="dxa"/>
            <w:gridSpan w:val="4"/>
            <w:shd w:val="clear" w:color="auto" w:fill="FFFFFF"/>
          </w:tcPr>
          <w:p w:rsidR="008E3733" w:rsidRPr="00232275" w:rsidRDefault="008E3733" w:rsidP="008E3733">
            <w:pPr>
              <w:numPr>
                <w:ilvl w:val="0"/>
                <w:numId w:val="24"/>
              </w:numPr>
              <w:spacing w:after="0" w:line="240" w:lineRule="auto"/>
              <w:ind w:left="179" w:hanging="181"/>
              <w:jc w:val="both"/>
              <w:rPr>
                <w:rFonts w:ascii="StobiSerif Regular" w:hAnsi="StobiSerif Regular" w:cs="Arial"/>
                <w:sz w:val="20"/>
                <w:szCs w:val="20"/>
                <w:lang w:eastAsia="en-GB"/>
              </w:rPr>
            </w:pPr>
            <w:r w:rsidRPr="00232275">
              <w:rPr>
                <w:rFonts w:ascii="StobiSerif Regular" w:hAnsi="StobiSerif Regular"/>
                <w:sz w:val="20"/>
                <w:szCs w:val="20"/>
                <w:lang w:val="ru-RU" w:eastAsia="en-GB"/>
              </w:rPr>
              <w:t>Комуникација  со ИПА Механизмот и размена на информации за Секторски работни групи за ИПА.</w:t>
            </w:r>
            <w:r w:rsidRPr="00232275">
              <w:rPr>
                <w:rFonts w:ascii="StobiSerif Regular" w:hAnsi="StobiSerif Regular" w:cs="Arial"/>
                <w:sz w:val="20"/>
                <w:szCs w:val="20"/>
                <w:lang w:val="en-GB" w:eastAsia="en-GB"/>
              </w:rPr>
              <w:t xml:space="preserve">Во однос на </w:t>
            </w:r>
            <w:r w:rsidRPr="00232275">
              <w:rPr>
                <w:rFonts w:ascii="StobiSerif Regular" w:hAnsi="StobiSerif Regular" w:cs="Arial"/>
                <w:sz w:val="20"/>
                <w:szCs w:val="20"/>
                <w:lang w:eastAsia="en-GB"/>
              </w:rPr>
              <w:t>вклучувањето во Секторските работни групи</w:t>
            </w:r>
            <w:r w:rsidRPr="00232275">
              <w:rPr>
                <w:rFonts w:ascii="StobiSerif Regular" w:hAnsi="StobiSerif Regular" w:cs="Arial"/>
                <w:sz w:val="20"/>
                <w:szCs w:val="20"/>
                <w:lang w:val="en-GB" w:eastAsia="en-GB"/>
              </w:rPr>
              <w:t>, ќе се применува секторскиот приод на соработка во секој од секторите на ИПА 2: (1) Демократија и владеење, (2) Владеење на правото и темелни права, (3) Животна средина (4) Транспорт/Енергија, (5) Конкурентност и иновации, (6) Социјален развој, (7) Земјоделство и рурален развој, и (8) Регионална и територијална соработка.</w:t>
            </w:r>
          </w:p>
          <w:p w:rsidR="008E3733" w:rsidRPr="00232275" w:rsidRDefault="008E3733" w:rsidP="008E3733">
            <w:pPr>
              <w:numPr>
                <w:ilvl w:val="0"/>
                <w:numId w:val="24"/>
              </w:numPr>
              <w:spacing w:after="0" w:line="240" w:lineRule="auto"/>
              <w:ind w:left="179" w:hanging="181"/>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 xml:space="preserve">Учество на Претставници од СЕП на </w:t>
            </w:r>
            <w:r w:rsidRPr="00232275">
              <w:rPr>
                <w:rFonts w:ascii="StobiSerif Regular" w:hAnsi="StobiSerif Regular" w:cs="Arial"/>
                <w:b/>
                <w:bCs/>
                <w:sz w:val="20"/>
                <w:szCs w:val="20"/>
                <w:lang w:eastAsia="en-GB"/>
              </w:rPr>
              <w:t>речиси сите настани на ИПА Механизот</w:t>
            </w:r>
          </w:p>
          <w:p w:rsidR="008E3733" w:rsidRPr="00232275" w:rsidRDefault="008E3733" w:rsidP="008E3733">
            <w:pPr>
              <w:numPr>
                <w:ilvl w:val="0"/>
                <w:numId w:val="24"/>
              </w:numPr>
              <w:spacing w:after="0" w:line="240" w:lineRule="auto"/>
              <w:ind w:left="179" w:hanging="181"/>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Учсество на претставници од СЕП и ресорните министерства на настаните на ИПА механизмот.</w:t>
            </w:r>
          </w:p>
          <w:p w:rsidR="008E3733" w:rsidRPr="00232275" w:rsidRDefault="008E3733" w:rsidP="008E3733">
            <w:pPr>
              <w:numPr>
                <w:ilvl w:val="0"/>
                <w:numId w:val="24"/>
              </w:numPr>
              <w:spacing w:after="0" w:line="240" w:lineRule="auto"/>
              <w:ind w:left="179" w:hanging="181"/>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 xml:space="preserve">Во текот на 2017 Подготвени се две информации за програмирање каде се охрабруваат релевантните институции да ги консуллтираат ГО во Секторските работни групи и консултираат во процесот на програмирање. </w:t>
            </w:r>
          </w:p>
          <w:p w:rsidR="008E3733" w:rsidRPr="00232275" w:rsidRDefault="008E3733" w:rsidP="008E3733">
            <w:pPr>
              <w:numPr>
                <w:ilvl w:val="0"/>
                <w:numId w:val="24"/>
              </w:numPr>
              <w:spacing w:after="0" w:line="240" w:lineRule="auto"/>
              <w:ind w:left="179" w:hanging="181"/>
              <w:jc w:val="both"/>
              <w:rPr>
                <w:rFonts w:ascii="StobiSerif Regular" w:hAnsi="StobiSerif Regular"/>
                <w:sz w:val="20"/>
                <w:szCs w:val="20"/>
                <w:lang w:val="ru-RU" w:eastAsia="en-GB"/>
              </w:rPr>
            </w:pPr>
            <w:r w:rsidRPr="00232275">
              <w:rPr>
                <w:rFonts w:ascii="StobiSerif Regular" w:hAnsi="StobiSerif Regular"/>
                <w:sz w:val="20"/>
                <w:szCs w:val="20"/>
                <w:lang w:val="ru-RU" w:eastAsia="en-GB"/>
              </w:rPr>
              <w:t xml:space="preserve">Како пример за СРГ за социјална политика образование и вработување информирани сме дека </w:t>
            </w:r>
            <w:r w:rsidRPr="00232275">
              <w:rPr>
                <w:rFonts w:ascii="StobiSerif Regular" w:hAnsi="StobiSerif Regular"/>
                <w:sz w:val="20"/>
                <w:szCs w:val="20"/>
              </w:rPr>
              <w:t>претставници на ГО кои изразиле спремност да учествуваат во состаноците за програмирање се: Билјана Дуковска (</w:t>
            </w:r>
            <w:hyperlink r:id="rId52" w:history="1">
              <w:r w:rsidRPr="00232275">
                <w:rPr>
                  <w:rStyle w:val="Hyperlink"/>
                  <w:rFonts w:ascii="StobiSerif Regular" w:hAnsi="StobiSerif Regular"/>
                  <w:color w:val="auto"/>
                  <w:sz w:val="20"/>
                  <w:szCs w:val="20"/>
                </w:rPr>
                <w:t>biljana_dukovska@yahoo.com</w:t>
              </w:r>
            </w:hyperlink>
            <w:r w:rsidRPr="00232275">
              <w:rPr>
                <w:rFonts w:ascii="StobiSerif Regular" w:hAnsi="StobiSerif Regular"/>
                <w:sz w:val="20"/>
                <w:szCs w:val="20"/>
              </w:rPr>
              <w:t>) од Македонска платформа против сиромаштија, Александар Колекески (</w:t>
            </w:r>
            <w:hyperlink r:id="rId53" w:history="1">
              <w:r w:rsidRPr="00232275">
                <w:rPr>
                  <w:rStyle w:val="Hyperlink"/>
                  <w:rFonts w:ascii="StobiSerif Regular" w:hAnsi="StobiSerif Regular"/>
                  <w:color w:val="auto"/>
                  <w:sz w:val="20"/>
                  <w:szCs w:val="20"/>
                </w:rPr>
                <w:t>aleksandar.kolekeski@eurothink.mk</w:t>
              </w:r>
            </w:hyperlink>
            <w:r w:rsidRPr="00232275">
              <w:rPr>
                <w:rFonts w:ascii="StobiSerif Regular" w:hAnsi="StobiSerif Regular"/>
                <w:sz w:val="20"/>
                <w:szCs w:val="20"/>
              </w:rPr>
              <w:t>) од Евротинк, Сузана Пецаковска (</w:t>
            </w:r>
            <w:hyperlink r:id="rId54" w:history="1">
              <w:r w:rsidRPr="00232275">
                <w:rPr>
                  <w:rStyle w:val="Hyperlink"/>
                  <w:rFonts w:ascii="StobiSerif Regular" w:hAnsi="StobiSerif Regular"/>
                  <w:color w:val="auto"/>
                  <w:sz w:val="20"/>
                  <w:szCs w:val="20"/>
                </w:rPr>
                <w:t>suzana.pecakovska@fosm.mk</w:t>
              </w:r>
            </w:hyperlink>
            <w:r w:rsidRPr="00232275">
              <w:rPr>
                <w:rFonts w:ascii="StobiSerif Regular" w:hAnsi="StobiSerif Regular"/>
                <w:sz w:val="20"/>
                <w:szCs w:val="20"/>
              </w:rPr>
              <w:t>) од ФООМ, Блажен Малески (</w:t>
            </w:r>
            <w:hyperlink r:id="rId55" w:history="1">
              <w:r w:rsidRPr="00232275">
                <w:rPr>
                  <w:rStyle w:val="Hyperlink"/>
                  <w:rFonts w:ascii="StobiSerif Regular" w:hAnsi="StobiSerif Regular"/>
                  <w:color w:val="auto"/>
                  <w:sz w:val="20"/>
                  <w:szCs w:val="20"/>
                </w:rPr>
                <w:t>blazen@reactor.org.mk</w:t>
              </w:r>
            </w:hyperlink>
            <w:r w:rsidRPr="00232275">
              <w:rPr>
                <w:rFonts w:ascii="StobiSerif Regular" w:hAnsi="StobiSerif Regular"/>
                <w:sz w:val="20"/>
                <w:szCs w:val="20"/>
              </w:rPr>
              <w:t>) од Реактор, Сашко Јованов (</w:t>
            </w:r>
            <w:hyperlink r:id="rId56" w:history="1">
              <w:r w:rsidRPr="00232275">
                <w:rPr>
                  <w:rStyle w:val="Hyperlink"/>
                  <w:rFonts w:ascii="StobiSerif Regular" w:hAnsi="StobiSerif Regular"/>
                  <w:color w:val="auto"/>
                  <w:sz w:val="20"/>
                  <w:szCs w:val="20"/>
                </w:rPr>
                <w:t>sashejovanov@humanost.org.mk</w:t>
              </w:r>
            </w:hyperlink>
            <w:r w:rsidRPr="00232275">
              <w:rPr>
                <w:rFonts w:ascii="StobiSerif Regular" w:hAnsi="StobiSerif Regular"/>
                <w:sz w:val="20"/>
                <w:szCs w:val="20"/>
              </w:rPr>
              <w:t>) од Хуманост, Драгана Каровска Чемерска (</w:t>
            </w:r>
            <w:hyperlink r:id="rId57" w:history="1">
              <w:r w:rsidRPr="00232275">
                <w:rPr>
                  <w:rStyle w:val="Hyperlink"/>
                  <w:rFonts w:ascii="StobiSerif Regular" w:hAnsi="StobiSerif Regular"/>
                  <w:color w:val="auto"/>
                  <w:sz w:val="20"/>
                  <w:szCs w:val="20"/>
                </w:rPr>
                <w:t>dragana.karovska@hera.org.mk</w:t>
              </w:r>
            </w:hyperlink>
            <w:r w:rsidRPr="00232275">
              <w:rPr>
                <w:rFonts w:ascii="StobiSerif Regular" w:hAnsi="StobiSerif Regular"/>
                <w:sz w:val="20"/>
                <w:szCs w:val="20"/>
              </w:rPr>
              <w:t>) од Хера.  Климентина Илијевски (</w:t>
            </w:r>
            <w:hyperlink r:id="rId58" w:history="1">
              <w:r w:rsidRPr="00232275">
                <w:rPr>
                  <w:rStyle w:val="Hyperlink"/>
                  <w:rFonts w:ascii="StobiSerif Regular" w:hAnsi="StobiSerif Regular"/>
                  <w:color w:val="auto"/>
                  <w:sz w:val="20"/>
                  <w:szCs w:val="20"/>
                </w:rPr>
                <w:t>klimentina@public.org.mk</w:t>
              </w:r>
            </w:hyperlink>
            <w:r w:rsidRPr="00232275">
              <w:rPr>
                <w:rFonts w:ascii="StobiSerif Regular" w:hAnsi="StobiSerif Regular"/>
                <w:sz w:val="20"/>
                <w:szCs w:val="20"/>
              </w:rPr>
              <w:t>) од Паблик.</w:t>
            </w:r>
          </w:p>
          <w:p w:rsidR="008E3733" w:rsidRPr="00232275" w:rsidRDefault="008E3733" w:rsidP="008E3733">
            <w:pPr>
              <w:spacing w:line="240" w:lineRule="auto"/>
              <w:jc w:val="both"/>
              <w:rPr>
                <w:rFonts w:ascii="StobiSerif Regular" w:hAnsi="StobiSerif Regular"/>
                <w:sz w:val="20"/>
                <w:szCs w:val="20"/>
              </w:rPr>
            </w:pPr>
            <w:r w:rsidRPr="00232275">
              <w:rPr>
                <w:rFonts w:ascii="StobiSerif Regular" w:hAnsi="StobiSerif Regular"/>
                <w:sz w:val="20"/>
                <w:szCs w:val="20"/>
              </w:rPr>
              <w:t>Oвие организации учествувале и во консултативните процеси за ИПА 2 (дадоа коментари на АП која беше објавена на веб сајтот на МТСП и беа дел од консултативните настани). Уште поважно со нив МТСП соработува при планирањето и спроведувањето на политиките и тоа не се случува на ниво на секторска работна група, туку и во др. работни групи за разни прашања. Повеќето се и дел од ИПА2 механизмот и од листата на ГО што ни ја пративте пред две години, вклучувајќи ја тука и Македонската платформа против сиромаштијата која самата застапува поголем број организации и поединци.</w:t>
            </w:r>
          </w:p>
        </w:tc>
      </w:tr>
    </w:tbl>
    <w:p w:rsidR="008E3733" w:rsidRPr="00232275" w:rsidRDefault="008E3733" w:rsidP="008E3733">
      <w:pPr>
        <w:spacing w:line="240" w:lineRule="auto"/>
        <w:rPr>
          <w:rFonts w:ascii="StobiSerif Regular" w:eastAsia="MS Mincho" w:hAnsi="StobiSerif Regular"/>
          <w:sz w:val="20"/>
          <w:szCs w:val="20"/>
          <w:lang w:val="mk-MK"/>
        </w:rPr>
      </w:pPr>
    </w:p>
    <w:tbl>
      <w:tblPr>
        <w:tblW w:w="9988" w:type="dxa"/>
        <w:tblInd w:w="-318" w:type="dxa"/>
        <w:tblLayout w:type="fixed"/>
        <w:tblLook w:val="04A0" w:firstRow="1" w:lastRow="0" w:firstColumn="1" w:lastColumn="0" w:noHBand="0" w:noVBand="1"/>
      </w:tblPr>
      <w:tblGrid>
        <w:gridCol w:w="1899"/>
        <w:gridCol w:w="2929"/>
        <w:gridCol w:w="5160"/>
      </w:tblGrid>
      <w:tr w:rsidR="008E3733" w:rsidRPr="00232275" w:rsidTr="008E3733">
        <w:trPr>
          <w:trHeight w:val="313"/>
        </w:trPr>
        <w:tc>
          <w:tcPr>
            <w:tcW w:w="9988"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rPr>
                <w:rFonts w:ascii="StobiSerif Regular" w:eastAsia="MS Mincho" w:hAnsi="StobiSerif Regular"/>
                <w:highlight w:val="yellow"/>
                <w:lang w:val="mk-MK"/>
              </w:rPr>
            </w:pPr>
            <w:r w:rsidRPr="00232275">
              <w:rPr>
                <w:rFonts w:ascii="StobiSerif Regular" w:hAnsi="StobiSerif Regular"/>
                <w:lang w:val="mk-MK"/>
              </w:rPr>
              <w:t>5.5. Објавување на податоци за склучени договори и добиена помош преку Програмата за инфраструктурен развој (ОРИО) на Кралството Холандија</w:t>
            </w:r>
          </w:p>
        </w:tc>
      </w:tr>
      <w:tr w:rsidR="008E3733" w:rsidRPr="00232275" w:rsidTr="008E3733">
        <w:trPr>
          <w:trHeight w:val="679"/>
        </w:trPr>
        <w:tc>
          <w:tcPr>
            <w:tcW w:w="4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(7/2016-6/2018)</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тековна обврска</w:t>
            </w:r>
          </w:p>
          <w:p w:rsidR="008E3733" w:rsidRPr="00232275" w:rsidRDefault="008E3733" w:rsidP="008E3733">
            <w:pPr>
              <w:spacing w:after="0" w:line="240" w:lineRule="auto"/>
              <w:jc w:val="center"/>
              <w:rPr>
                <w:rFonts w:ascii="StobiSerif Regular" w:hAnsi="StobiSerif Regular"/>
                <w:sz w:val="20"/>
                <w:szCs w:val="20"/>
                <w:lang w:val="mk-MK"/>
              </w:rPr>
            </w:pPr>
          </w:p>
        </w:tc>
      </w:tr>
      <w:tr w:rsidR="008E3733" w:rsidRPr="00232275" w:rsidTr="008E3733">
        <w:trPr>
          <w:trHeight w:val="626"/>
        </w:trPr>
        <w:tc>
          <w:tcPr>
            <w:tcW w:w="4828"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160" w:type="dxa"/>
            <w:tcBorders>
              <w:top w:val="nil"/>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Секретаријат за европски прашања</w:t>
            </w:r>
          </w:p>
        </w:tc>
      </w:tr>
      <w:tr w:rsidR="008E3733" w:rsidRPr="00232275" w:rsidTr="008E3733">
        <w:trPr>
          <w:trHeight w:val="6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Орхидеја Каљошевска</w:t>
            </w:r>
          </w:p>
        </w:tc>
      </w:tr>
      <w:tr w:rsidR="008E3733" w:rsidRPr="00232275" w:rsidTr="008E3733">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Државен советник за координација на европски фондови и друга странска помош</w:t>
            </w:r>
          </w:p>
        </w:tc>
      </w:tr>
      <w:tr w:rsidR="008E3733" w:rsidRPr="00232275" w:rsidTr="008E3733">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E6510B" w:rsidP="008E3733">
            <w:pPr>
              <w:spacing w:after="0" w:line="240" w:lineRule="auto"/>
              <w:jc w:val="center"/>
              <w:rPr>
                <w:rFonts w:ascii="StobiSerif Regular" w:hAnsi="StobiSerif Regular"/>
                <w:sz w:val="20"/>
                <w:szCs w:val="20"/>
                <w:lang w:val="mk-MK"/>
              </w:rPr>
            </w:pPr>
            <w:hyperlink r:id="rId59" w:history="1">
              <w:r w:rsidR="008E3733" w:rsidRPr="00232275">
                <w:rPr>
                  <w:rFonts w:ascii="StobiSerif Regular" w:hAnsi="StobiSerif Regular"/>
                  <w:sz w:val="20"/>
                  <w:szCs w:val="20"/>
                  <w:lang w:val="mk-MK"/>
                </w:rPr>
                <w:t>Orhideja.Kaljosevska@sep.gov.mk</w:t>
              </w:r>
            </w:hyperlink>
          </w:p>
        </w:tc>
      </w:tr>
      <w:tr w:rsidR="008E3733" w:rsidRPr="00232275" w:rsidTr="008E3733">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070 409 519</w:t>
            </w:r>
          </w:p>
        </w:tc>
      </w:tr>
      <w:tr w:rsidR="008E3733" w:rsidRPr="00232275" w:rsidTr="008E3733">
        <w:trPr>
          <w:trHeight w:val="429"/>
        </w:trPr>
        <w:tc>
          <w:tcPr>
            <w:tcW w:w="1899"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9"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1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здравство</w:t>
            </w: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Здружение ЕСЕ</w:t>
            </w: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72"/>
        </w:trPr>
        <w:tc>
          <w:tcPr>
            <w:tcW w:w="4828"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Нема јавно достапни информации и податоци за склучени договори и добиена помош преку Програмата ОРИО финансирана од Кралството Холандија во која е вклучена и Р. Македонија.</w:t>
            </w:r>
          </w:p>
        </w:tc>
      </w:tr>
      <w:tr w:rsidR="008E3733" w:rsidRPr="00232275" w:rsidTr="008E3733">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Унапредување на транспарентноста на јавните институции во примањето и користењето на странска помош и заеми. </w:t>
            </w:r>
          </w:p>
        </w:tc>
      </w:tr>
      <w:tr w:rsidR="008E3733" w:rsidRPr="00232275" w:rsidTr="008E3733">
        <w:trPr>
          <w:trHeight w:val="42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Секретаријатот за европски прашања како надлежна институција за промовирање на ОРИО програмата во Р. Македонија на својата интернет страница во делот наменет за ОРИО Програмата ќе објави листа на јавни институции од Р. Македонија кои аплицирале и добиле средства од ОРИО Програмата; ќе ги објави договорите потпишани помеѓу институциите апликанти од Р. Македонија и Кралството Холандија; ќе ја објави целокупната апликација во која детално се наведени целите и текот на проектите финансирани преку оваа Програма ОРИО; ќе објави информации за статусот во кој се наоѓа проектот (развојна фаза, фаза на имплементација и фаза на одржување) и ќе објавува податоци на полугодишно ниво за вкупно добиени и искористени средства во текот на проектниот период. </w:t>
            </w:r>
          </w:p>
        </w:tc>
      </w:tr>
      <w:tr w:rsidR="008E3733" w:rsidRPr="00232275" w:rsidTr="008E3733">
        <w:trPr>
          <w:trHeight w:val="626"/>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Ефикасно управување со јавните ресурси</w:t>
            </w:r>
          </w:p>
          <w:p w:rsidR="008E3733" w:rsidRPr="00232275" w:rsidRDefault="008E3733" w:rsidP="008E3733">
            <w:pPr>
              <w:spacing w:after="0" w:line="240" w:lineRule="auto"/>
              <w:jc w:val="both"/>
              <w:rPr>
                <w:rFonts w:ascii="StobiSerif Regular" w:hAnsi="StobiSerif Regular"/>
                <w:sz w:val="20"/>
                <w:szCs w:val="20"/>
                <w:lang w:val="mk-MK"/>
              </w:rPr>
            </w:pPr>
          </w:p>
        </w:tc>
      </w:tr>
      <w:tr w:rsidR="008E3733" w:rsidRPr="00232275" w:rsidTr="008E3733">
        <w:trPr>
          <w:trHeight w:val="626"/>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160"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pStyle w:val="CommentText"/>
              <w:jc w:val="both"/>
              <w:rPr>
                <w:rFonts w:ascii="StobiSerif Regular" w:hAnsi="StobiSerif Regular"/>
                <w:lang w:val="mk-MK"/>
              </w:rPr>
            </w:pPr>
            <w:r w:rsidRPr="00232275">
              <w:rPr>
                <w:rFonts w:ascii="StobiSerif Regular" w:hAnsi="StobiSerif Regular"/>
                <w:lang w:val="mk-MK"/>
              </w:rPr>
              <w:t>Цел 16 ,,Мир, правда и силни институции“ ,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унапредување на транспарентноста на институциите во однос на управувањето со странската помош.</w:t>
            </w:r>
          </w:p>
        </w:tc>
      </w:tr>
      <w:tr w:rsidR="008E3733" w:rsidRPr="00232275" w:rsidTr="008E3733">
        <w:trPr>
          <w:trHeight w:val="112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Мерката придонесува за унапредување на транспарентноста и отчетноста на јавните институции во управувањето со странската помош. </w:t>
            </w:r>
          </w:p>
        </w:tc>
      </w:tr>
      <w:tr w:rsidR="008E3733" w:rsidRPr="00232275" w:rsidTr="008E3733">
        <w:trPr>
          <w:trHeight w:val="532"/>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 xml:space="preserve">- Создадени нови механизми за објавување на податоци управување со странска помош.  </w:t>
            </w:r>
          </w:p>
        </w:tc>
      </w:tr>
    </w:tbl>
    <w:p w:rsidR="008E3733" w:rsidRPr="00232275" w:rsidRDefault="008E3733" w:rsidP="008E3733">
      <w:pPr>
        <w:spacing w:after="0" w:line="240" w:lineRule="auto"/>
        <w:rPr>
          <w:rFonts w:ascii="StobiSerif Regular" w:hAnsi="StobiSerif Regular"/>
          <w:vanish/>
          <w:sz w:val="20"/>
          <w:szCs w:val="20"/>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275"/>
        <w:gridCol w:w="1251"/>
        <w:gridCol w:w="1435"/>
        <w:gridCol w:w="1170"/>
      </w:tblGrid>
      <w:tr w:rsidR="008E3733" w:rsidRPr="00232275" w:rsidTr="008E3733">
        <w:trPr>
          <w:trHeight w:val="443"/>
        </w:trPr>
        <w:tc>
          <w:tcPr>
            <w:tcW w:w="4821" w:type="dxa"/>
            <w:vMerge w:val="restart"/>
            <w:shd w:val="clear" w:color="auto" w:fill="auto"/>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незапочнато</w:t>
            </w: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ограничено</w:t>
            </w:r>
          </w:p>
        </w:tc>
        <w:tc>
          <w:tcPr>
            <w:tcW w:w="1435"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значително</w:t>
            </w:r>
          </w:p>
        </w:tc>
        <w:tc>
          <w:tcPr>
            <w:tcW w:w="1170"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завршено</w:t>
            </w:r>
          </w:p>
        </w:tc>
      </w:tr>
      <w:tr w:rsidR="008E3733" w:rsidRPr="00232275" w:rsidTr="008E3733">
        <w:trPr>
          <w:trHeight w:val="373"/>
        </w:trPr>
        <w:tc>
          <w:tcPr>
            <w:tcW w:w="4821" w:type="dxa"/>
            <w:vMerge/>
            <w:shd w:val="clear" w:color="auto" w:fill="auto"/>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435" w:type="dxa"/>
            <w:shd w:val="clear" w:color="auto" w:fill="548DD4" w:themeFill="text2" w:themeFillTint="99"/>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170"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lang w:val="mk-MK"/>
              </w:rPr>
            </w:pPr>
          </w:p>
        </w:tc>
      </w:tr>
      <w:tr w:rsidR="008E3733" w:rsidRPr="00232275" w:rsidTr="008E3733">
        <w:trPr>
          <w:trHeight w:val="607"/>
        </w:trPr>
        <w:tc>
          <w:tcPr>
            <w:tcW w:w="4821" w:type="dxa"/>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131" w:type="dxa"/>
            <w:gridSpan w:val="4"/>
            <w:shd w:val="clear" w:color="auto" w:fill="DBE5F1"/>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8E3733">
        <w:trPr>
          <w:trHeight w:val="607"/>
        </w:trPr>
        <w:tc>
          <w:tcPr>
            <w:tcW w:w="4821" w:type="dxa"/>
            <w:shd w:val="clear" w:color="auto" w:fill="FFFFFF"/>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5.5.1.Објавување на: листа на јавни институции од Република  Македонија кои аплицирале и добиле средства од ОРИО Програмата; договорите потпишани помеѓу институциите апликанти од РМи Кралството Холандија; целокупната апликација во која детално се наведени целите и текот на проектите финансирани преку оваа Програма ОРИО; информации за статусот во кој се наоѓа проектот (развојна фаза, фаза на имплементација и фаза на одржување) и податоци на полугодишно ниво за вкупно добиени и искористени средства во текот на проектниот период.</w:t>
            </w:r>
          </w:p>
        </w:tc>
        <w:tc>
          <w:tcPr>
            <w:tcW w:w="5131" w:type="dxa"/>
            <w:gridSpan w:val="4"/>
            <w:shd w:val="clear" w:color="auto" w:fill="FFFFFF"/>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Во врска со оваа активност обврската на СЕП беше да посредува во процесот на информирање за ОРИО можностите и поднесување на аликациите до Холандската Влада.</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Сите обврски околу реализацијата  и спроведување на проектот поврзани со договорните активности и трошења се обврска на Министерството за здравство. Во таа насока замолуваме да го исклучите СЕП од оваа активност и да се насочите ком МЗ.</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Од Министерството за здравство информираат  дека Барателот Здружение за еманципација, солидарност и еднаквост на жените – ЕСЕ, со адреса „Максим Горки“ 20/1-4, 1000 Скопје, преку застапникот/полномошникот на барателот на информацијата Дарко Антиќ, поднесе Барања бр. 0801-885/16-1, 2, 3, 4, 5, 6, 7, 8, 9, 10, 11, 12, 13, 14, 15, 16, 17, 18, 19, 20, 21, 22, 23, 24, 25, 26, 27, 28, 29, 30, 31, 32, 33, 34, 35, 36, 37, 38, 39, 40, 41, 42, 43, 44, 45, 46, 47, 48, a примени и заведени во Министерството за здравство под број: 11 - 3703/1, 3601/1, 3600/1, 3599/1, 3598/1, 3597/1, 3596/1, 3595/1, 3594/1, 3593/1, 3592/1, 3591/1, 3590/1, 3589/1, 3588/1, 3587/1, 3586/1, 3585/1, 3584/1, 3583/1, 3582/1, 3581/1, 3580/1, 3579/1, 3578/1, 3577/1, 3576/1, 3575/1, 3574/1, 3573/1, 3572/1, 3571/1, 3570/1, 3569/1, 3568/1, 3567/1, 3566/1, 3565/1, 3564/1, 3563/1, 3562/1, 3561/1, 3560/1, 3559/1, 3558/1, 3557/1, 3556/1, 3555/1.</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b/>
                <w:sz w:val="20"/>
                <w:szCs w:val="20"/>
                <w:lang w:val="mk-MK"/>
              </w:rPr>
              <w:t>По сите овие барања, беше постапено согласно постапката од Законот за слободен пристап до информации од јавен карактер</w:t>
            </w:r>
            <w:r w:rsidRPr="00232275">
              <w:rPr>
                <w:rFonts w:ascii="StobiSerif Regular" w:hAnsi="StobiSerif Regular" w:cs="Tahoma"/>
                <w:sz w:val="20"/>
                <w:szCs w:val="20"/>
                <w:lang w:val="mk-MK"/>
              </w:rPr>
              <w:t xml:space="preserve"> („Службен весник на Република Македонија“ бр. 13/06, 86/08, 6/10, 42/14, 148/15 и 55/16), со што Министерството за здравство одговараше поединечно на секое барање во рамки на својата надлежност. </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Откако се испочитуваа сите законски чекори на постапката од двете страни, Комисијата за заштита на правото за слободен пристап на информации од јавен карактер во законскиот рок достави заклучоци со кои се запира и затвара постапката по основ на сите барања поради тоа што барателот ги добил бараните информации.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Министерството за здравство во наредниот период ќе пристапи кон објавување на податоците со кои располага по однос на ОРИО програмата на веб страницата на Министерството за здравство.</w:t>
            </w:r>
          </w:p>
        </w:tc>
      </w:tr>
    </w:tbl>
    <w:p w:rsidR="008E3733" w:rsidRPr="00232275" w:rsidRDefault="008E3733" w:rsidP="008E3733">
      <w:pPr>
        <w:spacing w:line="240" w:lineRule="auto"/>
        <w:rPr>
          <w:rFonts w:ascii="StobiSerif Regular" w:eastAsia="MS Mincho"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5244"/>
      </w:tblGrid>
      <w:tr w:rsidR="008E3733" w:rsidRPr="00232275" w:rsidTr="008E3733">
        <w:trPr>
          <w:trHeight w:val="300"/>
        </w:trPr>
        <w:tc>
          <w:tcPr>
            <w:tcW w:w="10065"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spacing w:after="120"/>
              <w:rPr>
                <w:rFonts w:ascii="StobiSerif Regular" w:hAnsi="StobiSerif Regular"/>
                <w:lang w:val="mk-MK"/>
              </w:rPr>
            </w:pPr>
            <w:bookmarkStart w:id="57" w:name="_Toc453059122"/>
            <w:bookmarkStart w:id="58" w:name="_Toc453059214"/>
            <w:bookmarkStart w:id="59" w:name="_Toc453059260"/>
            <w:r w:rsidRPr="00232275">
              <w:rPr>
                <w:rFonts w:ascii="StobiSerif Regular" w:hAnsi="StobiSerif Regular"/>
                <w:lang w:val="mk-MK"/>
              </w:rPr>
              <w:t>5.6.Воведување на јавно достапен регистар на договори за концесии</w:t>
            </w:r>
            <w:bookmarkEnd w:id="57"/>
            <w:bookmarkEnd w:id="58"/>
            <w:bookmarkEnd w:id="59"/>
            <w:r w:rsidRPr="00232275">
              <w:rPr>
                <w:rFonts w:ascii="StobiSerif Regular" w:hAnsi="StobiSerif Regular"/>
                <w:lang w:val="mk-MK"/>
              </w:rPr>
              <w:t xml:space="preserve"> </w:t>
            </w:r>
          </w:p>
        </w:tc>
      </w:tr>
      <w:tr w:rsidR="008E3733" w:rsidRPr="00232275" w:rsidTr="008E3733">
        <w:trPr>
          <w:trHeight w:val="488"/>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(7/2016-6/2018)</w:t>
            </w:r>
          </w:p>
        </w:tc>
        <w:tc>
          <w:tcPr>
            <w:tcW w:w="5244" w:type="dxa"/>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w:t>
            </w:r>
          </w:p>
          <w:p w:rsidR="008E3733" w:rsidRPr="00232275" w:rsidRDefault="008E3733" w:rsidP="008E3733">
            <w:pPr>
              <w:spacing w:after="0" w:line="240" w:lineRule="auto"/>
              <w:jc w:val="center"/>
              <w:rPr>
                <w:rFonts w:ascii="StobiSerif Regular" w:hAnsi="StobiSerif Regular"/>
                <w:sz w:val="20"/>
                <w:szCs w:val="20"/>
                <w:lang w:val="mk-MK"/>
              </w:rPr>
            </w:pPr>
          </w:p>
        </w:tc>
      </w:tr>
      <w:tr w:rsidR="008E3733" w:rsidRPr="00232275" w:rsidTr="008E3733">
        <w:trPr>
          <w:trHeight w:val="56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44" w:type="dxa"/>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Министерство за економија </w:t>
            </w:r>
          </w:p>
        </w:tc>
      </w:tr>
      <w:tr w:rsidR="008E3733" w:rsidRPr="00232275" w:rsidTr="008E3733">
        <w:trPr>
          <w:trHeight w:val="583"/>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Фатмир Шаќири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Советник за експлоатација и анализа на минерални суровини</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Одделение за експлоатација и анализа на минерални суровини и заштита на животната средина</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fatmir.shaqiri@economy.gov.mk</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numPr>
                <w:ilvl w:val="0"/>
                <w:numId w:val="10"/>
              </w:num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2 30 93 438</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072 575 570</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 xml:space="preserve">Центар за граѓански комуникации </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Немање јавно достапни информации за склучените договори за концесии, како договори склучени меѓу државни институции и приватни субјекти, наспроти ваквата транспарентност која постои за склучените договори за јавни набавки, кои, во својата основа се многу слични.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Да се овозможи одреден степен на транспарентност во насока на поефикасно управување со јавните средства </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Министерството за економија да изработи, да го направи јавно достапен и редовно да го ажурира регистарот на склучени договори за концесии, на својата интернет страница</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Ефикасно управување со јавни средства </w:t>
            </w:r>
          </w:p>
        </w:tc>
      </w:tr>
      <w:tr w:rsidR="008E3733" w:rsidRPr="00232275" w:rsidTr="008E3733">
        <w:trPr>
          <w:trHeight w:val="122"/>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унапредување на транспарентноса и отчетноста на институциите во управувањето со јавните финансии по прашањето на давање концесии.</w:t>
            </w:r>
          </w:p>
        </w:tc>
      </w:tr>
      <w:tr w:rsidR="008E3733" w:rsidRPr="00232275" w:rsidTr="008E3733">
        <w:trPr>
          <w:trHeight w:val="218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Постоење и јавна достапност на регистар на концесии е една од основните информации на отворените влади во светот. Ефективно и транспарентно управување со дозволите и договорите за концесии не значи само зголемена транспарентност и отчетност, туку и атрактивност за привлекување на странски инвестиции.  </w:t>
            </w:r>
          </w:p>
        </w:tc>
      </w:tr>
      <w:tr w:rsidR="008E3733" w:rsidRPr="00232275" w:rsidTr="008E3733">
        <w:trPr>
          <w:trHeight w:val="119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Целосна транспарентност на договорите за концесии по примерот на јавно достапните информации за склучените договори за јавни набавки. </w:t>
            </w:r>
          </w:p>
        </w:tc>
      </w:tr>
    </w:tbl>
    <w:p w:rsidR="008E3733" w:rsidRPr="00232275" w:rsidRDefault="008E3733" w:rsidP="008E3733">
      <w:pPr>
        <w:spacing w:after="0" w:line="240" w:lineRule="auto"/>
        <w:rPr>
          <w:rFonts w:ascii="StobiSerif Regular" w:hAnsi="StobiSerif Regular"/>
          <w:vanish/>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275"/>
        <w:gridCol w:w="1251"/>
        <w:gridCol w:w="1435"/>
        <w:gridCol w:w="1283"/>
      </w:tblGrid>
      <w:tr w:rsidR="008E3733" w:rsidRPr="00232275" w:rsidTr="008E3733">
        <w:trPr>
          <w:trHeight w:val="443"/>
        </w:trPr>
        <w:tc>
          <w:tcPr>
            <w:tcW w:w="4821" w:type="dxa"/>
            <w:vMerge w:val="restart"/>
            <w:shd w:val="clear" w:color="auto" w:fill="auto"/>
          </w:tcPr>
          <w:p w:rsidR="008E3733" w:rsidRPr="00232275" w:rsidRDefault="008E3733" w:rsidP="008E3733">
            <w:pPr>
              <w:spacing w:after="0" w:line="240" w:lineRule="auto"/>
              <w:jc w:val="center"/>
              <w:rPr>
                <w:rFonts w:ascii="StobiSerif Regular" w:hAnsi="StobiSerif Regular" w:cs="Tahoma"/>
                <w:sz w:val="20"/>
                <w:szCs w:val="20"/>
                <w:lang w:val="mk-MK"/>
              </w:rPr>
            </w:pPr>
          </w:p>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51"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435"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283"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8E3733">
        <w:trPr>
          <w:trHeight w:val="373"/>
        </w:trPr>
        <w:tc>
          <w:tcPr>
            <w:tcW w:w="4821" w:type="dxa"/>
            <w:vMerge/>
            <w:shd w:val="clear" w:color="auto" w:fill="auto"/>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275"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251" w:type="dxa"/>
            <w:shd w:val="clear" w:color="auto" w:fill="FFFFFF"/>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435"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lang w:val="mk-MK"/>
              </w:rPr>
            </w:pPr>
          </w:p>
        </w:tc>
        <w:tc>
          <w:tcPr>
            <w:tcW w:w="1283" w:type="dxa"/>
            <w:shd w:val="clear" w:color="auto" w:fill="548DD4"/>
          </w:tcPr>
          <w:p w:rsidR="008E3733" w:rsidRPr="00232275" w:rsidRDefault="008E3733" w:rsidP="008E3733">
            <w:pPr>
              <w:spacing w:after="0" w:line="240" w:lineRule="auto"/>
              <w:jc w:val="both"/>
              <w:rPr>
                <w:rFonts w:ascii="StobiSerif Regular" w:hAnsi="StobiSerif Regular" w:cs="Tahoma"/>
                <w:sz w:val="20"/>
                <w:szCs w:val="20"/>
                <w:lang w:val="mk-MK"/>
              </w:rPr>
            </w:pPr>
          </w:p>
        </w:tc>
      </w:tr>
      <w:tr w:rsidR="008E3733" w:rsidRPr="00232275" w:rsidTr="008E3733">
        <w:trPr>
          <w:trHeight w:val="607"/>
        </w:trPr>
        <w:tc>
          <w:tcPr>
            <w:tcW w:w="4821" w:type="dxa"/>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4" w:type="dxa"/>
            <w:gridSpan w:val="4"/>
            <w:shd w:val="clear" w:color="auto" w:fill="DBE5F1"/>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8E3733">
        <w:trPr>
          <w:trHeight w:val="2727"/>
        </w:trPr>
        <w:tc>
          <w:tcPr>
            <w:tcW w:w="4821" w:type="dxa"/>
            <w:shd w:val="clear" w:color="auto" w:fill="FFFFFF"/>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5.6.1 Објавување на регистар во вид на табела во кој ќе бидат наведени следните податоци: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Назив на концесионерот, број и датум на договор, вид на минерална суровина, општина во кое се врши концесиската дејност и површина на концесискиот простор.</w:t>
            </w:r>
          </w:p>
        </w:tc>
        <w:tc>
          <w:tcPr>
            <w:tcW w:w="5244" w:type="dxa"/>
            <w:gridSpan w:val="4"/>
            <w:shd w:val="clear" w:color="auto" w:fill="FFFFFF"/>
          </w:tcPr>
          <w:p w:rsidR="008E3733" w:rsidRPr="00232275" w:rsidRDefault="008E3733" w:rsidP="008E3733">
            <w:pPr>
              <w:spacing w:after="20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Објавен е регистар во вид на табела во кој се наведени следните податоци:</w:t>
            </w:r>
            <w:r w:rsidRPr="00232275">
              <w:rPr>
                <w:rFonts w:ascii="StobiSerif Regular" w:hAnsi="StobiSerif Regular"/>
                <w:sz w:val="20"/>
                <w:szCs w:val="20"/>
              </w:rPr>
              <w:t xml:space="preserve"> </w:t>
            </w:r>
            <w:r w:rsidRPr="00232275">
              <w:rPr>
                <w:rFonts w:ascii="StobiSerif Regular" w:hAnsi="StobiSerif Regular"/>
                <w:sz w:val="20"/>
                <w:szCs w:val="20"/>
                <w:lang w:val="mk-MK"/>
              </w:rPr>
              <w:t>Назив на концесионерот, број и датум на договор, вид на минерална суровина, општина во кое се врши концесиската дејност и површина на концесискиот простор.</w:t>
            </w:r>
            <w:r w:rsidRPr="00232275">
              <w:rPr>
                <w:rFonts w:ascii="StobiSerif Regular" w:hAnsi="StobiSerif Regular"/>
                <w:sz w:val="20"/>
                <w:szCs w:val="20"/>
              </w:rPr>
              <w:t xml:space="preserve"> </w:t>
            </w:r>
            <w:r w:rsidRPr="00232275">
              <w:rPr>
                <w:rFonts w:ascii="StobiSerif Regular" w:hAnsi="StobiSerif Regular"/>
                <w:sz w:val="20"/>
                <w:szCs w:val="20"/>
                <w:lang w:val="mk-MK"/>
              </w:rPr>
              <w:t xml:space="preserve">Табелата е достапна на веб страницата на Министерството за економија и истата се наоѓа на следниот линк: </w:t>
            </w:r>
            <w:hyperlink r:id="rId60" w:history="1">
              <w:r w:rsidRPr="00232275">
                <w:rPr>
                  <w:rFonts w:ascii="StobiSerif Regular" w:hAnsi="StobiSerif Regular"/>
                  <w:sz w:val="20"/>
                  <w:szCs w:val="20"/>
                  <w:lang w:val="mk-MK"/>
                </w:rPr>
                <w:t>http://www.economy.gov.mk/docs/sektor-mineralni-surovini</w:t>
              </w:r>
            </w:hyperlink>
          </w:p>
        </w:tc>
      </w:tr>
    </w:tbl>
    <w:p w:rsidR="008E3733" w:rsidRPr="00232275" w:rsidRDefault="008E3733" w:rsidP="008E3733">
      <w:pPr>
        <w:spacing w:line="240" w:lineRule="auto"/>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783"/>
        <w:gridCol w:w="5245"/>
      </w:tblGrid>
      <w:tr w:rsidR="008E3733" w:rsidRPr="00232275" w:rsidTr="008E3733">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spacing w:after="0" w:line="240" w:lineRule="auto"/>
              <w:jc w:val="center"/>
              <w:rPr>
                <w:rFonts w:ascii="StobiSerif Regular" w:eastAsia="Times New Roman" w:hAnsi="StobiSerif Regular"/>
                <w:b/>
                <w:sz w:val="20"/>
                <w:szCs w:val="20"/>
                <w:lang w:val="mk-MK"/>
              </w:rPr>
            </w:pPr>
            <w:bookmarkStart w:id="60" w:name="_Toc453059123"/>
            <w:bookmarkStart w:id="61" w:name="_Toc453059215"/>
            <w:bookmarkStart w:id="62" w:name="_Toc453059261"/>
            <w:r w:rsidRPr="00232275">
              <w:rPr>
                <w:rFonts w:ascii="StobiSerif Regular" w:hAnsi="StobiSerif Regular"/>
                <w:sz w:val="20"/>
                <w:szCs w:val="20"/>
                <w:lang w:val="mk-MK"/>
              </w:rPr>
              <w:t>5.7 Зголемување на придобивките од трошење на буџетските средства за превентивна и куративна здравствена заштита за граѓаните</w:t>
            </w:r>
            <w:bookmarkEnd w:id="60"/>
            <w:bookmarkEnd w:id="61"/>
            <w:bookmarkEnd w:id="62"/>
          </w:p>
        </w:tc>
      </w:tr>
      <w:tr w:rsidR="008E3733" w:rsidRPr="00232275" w:rsidTr="008E3733">
        <w:trPr>
          <w:trHeight w:val="574"/>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(0</w:t>
            </w:r>
            <w:r w:rsidRPr="00232275">
              <w:rPr>
                <w:rFonts w:ascii="StobiSerif Regular" w:eastAsia="Times New Roman" w:hAnsi="StobiSerif Regular"/>
                <w:sz w:val="20"/>
                <w:szCs w:val="20"/>
              </w:rPr>
              <w:t>7</w:t>
            </w:r>
            <w:r w:rsidRPr="00232275">
              <w:rPr>
                <w:rFonts w:ascii="StobiSerif Regular" w:eastAsia="Times New Roman" w:hAnsi="StobiSerif Regular"/>
                <w:sz w:val="20"/>
                <w:szCs w:val="20"/>
                <w:lang w:val="mk-MK"/>
              </w:rPr>
              <w:t>/2016–</w:t>
            </w:r>
            <w:r w:rsidRPr="00232275">
              <w:rPr>
                <w:rFonts w:ascii="StobiSerif Regular" w:eastAsia="Times New Roman" w:hAnsi="StobiSerif Regular"/>
                <w:sz w:val="20"/>
                <w:szCs w:val="20"/>
              </w:rPr>
              <w:t>0</w:t>
            </w:r>
            <w:r w:rsidRPr="00232275">
              <w:rPr>
                <w:rFonts w:ascii="StobiSerif Regular" w:eastAsia="Times New Roman" w:hAnsi="StobiSerif Regular"/>
                <w:sz w:val="20"/>
                <w:szCs w:val="20"/>
                <w:lang w:val="mk-MK"/>
              </w:rPr>
              <w:t>6/2018)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Тековна обврска</w:t>
            </w:r>
          </w:p>
          <w:p w:rsidR="008E3733" w:rsidRPr="00232275" w:rsidRDefault="008E3733" w:rsidP="008E3733">
            <w:pPr>
              <w:spacing w:line="240" w:lineRule="auto"/>
              <w:rPr>
                <w:rFonts w:ascii="StobiSerif Regular" w:hAnsi="StobiSerif Regular"/>
                <w:sz w:val="20"/>
                <w:szCs w:val="20"/>
                <w:lang w:val="mk-MK"/>
              </w:rPr>
            </w:pPr>
          </w:p>
        </w:tc>
      </w:tr>
      <w:tr w:rsidR="008E3733" w:rsidRPr="00232275" w:rsidTr="008E3733">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здравство </w:t>
            </w:r>
          </w:p>
        </w:tc>
      </w:tr>
      <w:tr w:rsidR="008E3733" w:rsidRPr="00232275" w:rsidTr="008E3733">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Име на одговорно лице во институцијата за спроведување</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rPr>
              <w:t>М-</w:t>
            </w:r>
            <w:r w:rsidRPr="00232275">
              <w:rPr>
                <w:rFonts w:ascii="StobiSerif Regular" w:hAnsi="StobiSerif Regular"/>
                <w:sz w:val="20"/>
                <w:szCs w:val="20"/>
                <w:lang w:val="mk-MK"/>
              </w:rPr>
              <w:t>р Билјана Бабушковска</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Раководител на одделение</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Email</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rPr>
              <w:t>b</w:t>
            </w:r>
            <w:r w:rsidRPr="00232275">
              <w:rPr>
                <w:rFonts w:ascii="StobiSerif Regular" w:hAnsi="StobiSerif Regular"/>
                <w:sz w:val="20"/>
                <w:szCs w:val="20"/>
                <w:lang w:val="mk-MK"/>
              </w:rPr>
              <w:t>iljana.</w:t>
            </w:r>
            <w:r w:rsidRPr="00232275">
              <w:rPr>
                <w:rFonts w:ascii="StobiSerif Regular" w:hAnsi="StobiSerif Regular"/>
                <w:sz w:val="20"/>
                <w:szCs w:val="20"/>
              </w:rPr>
              <w:t>babushkovska</w:t>
            </w:r>
            <w:r w:rsidRPr="00232275">
              <w:rPr>
                <w:rFonts w:ascii="StobiSerif Regular" w:hAnsi="StobiSerif Regular"/>
                <w:sz w:val="20"/>
                <w:szCs w:val="20"/>
                <w:lang w:val="mk-MK"/>
              </w:rPr>
              <w:t>@zdravstvo.gov.mk</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Телефон</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rPr>
                <w:rFonts w:ascii="StobiSerif Regular" w:hAnsi="StobiSerif Regular"/>
                <w:sz w:val="20"/>
                <w:szCs w:val="20"/>
                <w:lang w:val="mk-MK"/>
              </w:rPr>
            </w:pPr>
            <w:r w:rsidRPr="00232275">
              <w:rPr>
                <w:rFonts w:ascii="StobiSerif Regular" w:hAnsi="StobiSerif Regular"/>
                <w:sz w:val="20"/>
                <w:szCs w:val="20"/>
                <w:lang w:val="mk-MK"/>
              </w:rPr>
              <w:t>076 485 049</w:t>
            </w: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Други вклучени субјекти</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eastAsia="Times New Roman" w:hAnsi="StobiSerif Regular"/>
                <w:sz w:val="20"/>
                <w:szCs w:val="20"/>
                <w:lang w:val="mk-MK"/>
              </w:rPr>
              <w:t>Органи на државна управа, самостојни органи на државна управа</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r w:rsidRPr="00232275">
              <w:rPr>
                <w:rFonts w:ascii="StobiSerif Regular" w:hAnsi="StobiSerif Regular"/>
                <w:sz w:val="20"/>
                <w:szCs w:val="20"/>
                <w:lang w:val="mk-MK"/>
              </w:rPr>
              <w:t>Министерство за здравство</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rPr>
            </w:pPr>
            <w:r w:rsidRPr="00232275">
              <w:rPr>
                <w:rFonts w:ascii="StobiSerif Regular" w:eastAsia="Times New Roman" w:hAnsi="StobiSerif Regular"/>
                <w:sz w:val="20"/>
                <w:szCs w:val="20"/>
                <w:lang w:val="mk-MK"/>
              </w:rPr>
              <w:t xml:space="preserve">Невладин сектор, деловни субјекти, синдикати, стопански комори, здруженија и фондации </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Здружение за еманципација, солидарност и рамноправност на жените во РМ - ЕСЕ</w:t>
            </w: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eastAsia="Times New Roman"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sz w:val="20"/>
                <w:szCs w:val="20"/>
                <w:lang w:val="mk-MK"/>
              </w:rPr>
            </w:pPr>
          </w:p>
        </w:tc>
      </w:tr>
      <w:tr w:rsidR="008E3733" w:rsidRPr="00232275" w:rsidTr="008E3733">
        <w:trPr>
          <w:trHeight w:val="283"/>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Состојба или проблем што се опфаќа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Трошење на средства од буџетот на Министерството за здравство за услуги кои граѓаните не ги добиваат. Воедно, се нотираат разлики помеѓу податоците од извештаите за реализација на програмите на Министерство за здравство од една страна на различни извршители. Воедно, се нотираат и разликите помеѓу извештаите и реалната имплементација</w:t>
            </w:r>
          </w:p>
        </w:tc>
      </w:tr>
      <w:tr w:rsidR="008E3733" w:rsidRPr="00232275" w:rsidTr="008E3733">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Главна цел</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Создавање на капацитети во Министерството за здравство за примена на методологијата за социјална отчетност со техничка помош и поддршка од организација од невладиниот сектор која е овластена и обучена за примена на истата методологија како методологија призната и прифатена во развиените држави.</w:t>
            </w:r>
          </w:p>
        </w:tc>
      </w:tr>
      <w:tr w:rsidR="008E3733" w:rsidRPr="00232275" w:rsidTr="008E3733">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Методологиите за социјална отчетност овозможуваат мерење, следење, известување и унапредување на перформанските во работењето на јавните институции. Односно, овозможуваат да се следи реалната имплементација и придобивките за граѓаните од спроведувањето на програмите на Министерството за здравство. </w:t>
            </w:r>
          </w:p>
          <w:p w:rsidR="008E3733" w:rsidRPr="00232275" w:rsidRDefault="008E3733" w:rsidP="008E3733">
            <w:pPr>
              <w:spacing w:line="240" w:lineRule="auto"/>
              <w:jc w:val="both"/>
              <w:rPr>
                <w:rFonts w:ascii="StobiSerif Regular" w:hAnsi="StobiSerif Regular"/>
                <w:sz w:val="20"/>
                <w:szCs w:val="20"/>
              </w:rPr>
            </w:pPr>
            <w:r w:rsidRPr="00232275">
              <w:rPr>
                <w:rFonts w:ascii="StobiSerif Regular" w:hAnsi="StobiSerif Regular"/>
                <w:sz w:val="20"/>
                <w:szCs w:val="20"/>
                <w:lang w:val="mk-MK"/>
              </w:rPr>
              <w:t>Со цел создавање на капацитети за примена на методологиите на социјална отчетност, Министерството за здравство со техничка помош од организација од невладиниот сектор која е овластена и обучена за примена на истата методологија</w:t>
            </w:r>
            <w:r w:rsidRPr="00232275" w:rsidDel="00B14193">
              <w:rPr>
                <w:rFonts w:ascii="StobiSerif Regular" w:hAnsi="StobiSerif Regular"/>
                <w:sz w:val="20"/>
                <w:szCs w:val="20"/>
                <w:lang w:val="mk-MK"/>
              </w:rPr>
              <w:t xml:space="preserve"> </w:t>
            </w:r>
            <w:r w:rsidRPr="00232275">
              <w:rPr>
                <w:rFonts w:ascii="StobiSerif Regular" w:hAnsi="StobiSerif Regular"/>
                <w:sz w:val="20"/>
                <w:szCs w:val="20"/>
                <w:lang w:val="mk-MK"/>
              </w:rPr>
              <w:t xml:space="preserve">ќе селектира 10 лица од Министерството за здравство и од јавните здравствени установи кои ќе учествуваат на обуката за социјална отчетност. </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Со цел пилотирање на една од методологиите за социјална отчетност која ќе биде селектирана од Министерството за здравство, Министерството за здравство ќе селектира една превентивна или куративна програма и ќе ги задолжи 10-те лица кои учествувале на обуката за социјална отчетност да подготоват план за пилотирање на селектираната методологија и да ја применат селектирната методологија на селектираната програма.</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eastAsia="Times New Roman"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Увид и евалуација во трошење на буџетските средства. </w:t>
            </w:r>
          </w:p>
        </w:tc>
      </w:tr>
      <w:tr w:rsidR="008E3733" w:rsidRPr="00232275" w:rsidTr="008E3733">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Поврзаност со Глобалните цели за одржлив развој</w:t>
            </w:r>
          </w:p>
        </w:tc>
        <w:tc>
          <w:tcPr>
            <w:tcW w:w="5245" w:type="dxa"/>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3,, Добро 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 и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Со мерите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куративни здравствени програми.</w:t>
            </w:r>
          </w:p>
        </w:tc>
      </w:tr>
      <w:tr w:rsidR="008E3733" w:rsidRPr="00232275" w:rsidTr="008E3733">
        <w:trPr>
          <w:trHeight w:val="547"/>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Важност</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Осигурување на ефикасност од користење на буџетските средства на Министерството за здравство, односно трошење на средства од буџетот на министерството за услуги кои реално ќе ги добиваат граѓаните.</w:t>
            </w:r>
          </w:p>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 xml:space="preserve">Вклучувањето на граѓаните кои оваа методологија го овозможува, ќе ја унапреди транспарентноста и отчетноста на министерството и на јавните здравствени установи, а воедно ќе придонесе кон подобро управување со ресурсите во здравството.  </w:t>
            </w:r>
          </w:p>
        </w:tc>
      </w:tr>
      <w:tr w:rsidR="008E3733" w:rsidRPr="00232275" w:rsidTr="008E3733">
        <w:trPr>
          <w:trHeight w:val="168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sz w:val="20"/>
                <w:szCs w:val="20"/>
                <w:lang w:val="mk-MK"/>
              </w:rPr>
            </w:pPr>
            <w:r w:rsidRPr="00232275">
              <w:rPr>
                <w:rFonts w:ascii="StobiSerif Regular" w:eastAsia="Times New Roman" w:hAnsi="StobiSerif Regular"/>
                <w:sz w:val="20"/>
                <w:szCs w:val="20"/>
                <w:lang w:val="mk-MK"/>
              </w:rPr>
              <w:t>Амбиција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sz w:val="20"/>
                <w:szCs w:val="20"/>
                <w:lang w:val="mk-MK"/>
              </w:rPr>
            </w:pPr>
            <w:r w:rsidRPr="00232275">
              <w:rPr>
                <w:rFonts w:ascii="StobiSerif Regular" w:hAnsi="StobiSerif Regular"/>
                <w:sz w:val="20"/>
                <w:szCs w:val="20"/>
                <w:lang w:val="mk-MK"/>
              </w:rPr>
              <w:t>Граѓаните ги чувствуваат придобивките од трошењето на средствата од буџетите на превентивните и куративните програми на Министерството за здравство, а пак Министерството за здравство ги намалува трошењата за услуги кои граѓаните не ги добиле.</w:t>
            </w:r>
          </w:p>
        </w:tc>
      </w:tr>
    </w:tbl>
    <w:p w:rsidR="008E3733" w:rsidRPr="00232275" w:rsidRDefault="008E3733" w:rsidP="008E3733">
      <w:pPr>
        <w:spacing w:after="0" w:line="240" w:lineRule="auto"/>
        <w:rPr>
          <w:rFonts w:ascii="StobiSerif Regular" w:hAnsi="StobiSerif Regular"/>
          <w:vanish/>
          <w:sz w:val="20"/>
          <w:szCs w:val="20"/>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1275"/>
        <w:gridCol w:w="1276"/>
        <w:gridCol w:w="1276"/>
        <w:gridCol w:w="1417"/>
      </w:tblGrid>
      <w:tr w:rsidR="008E3733" w:rsidRPr="00232275" w:rsidTr="008E3733">
        <w:trPr>
          <w:trHeight w:val="321"/>
        </w:trPr>
        <w:tc>
          <w:tcPr>
            <w:tcW w:w="4708" w:type="dxa"/>
            <w:vMerge w:val="restart"/>
            <w:shd w:val="clear" w:color="auto" w:fill="auto"/>
          </w:tcPr>
          <w:p w:rsidR="008E3733" w:rsidRPr="00232275" w:rsidRDefault="008E3733" w:rsidP="008E3733">
            <w:pPr>
              <w:spacing w:line="240" w:lineRule="auto"/>
              <w:jc w:val="center"/>
              <w:rPr>
                <w:rFonts w:ascii="StobiSerif Regular" w:hAnsi="StobiSerif Regular" w:cs="Tahoma"/>
                <w:sz w:val="20"/>
                <w:szCs w:val="20"/>
                <w:lang w:val="mk-MK"/>
              </w:rPr>
            </w:pPr>
          </w:p>
          <w:p w:rsidR="008E3733" w:rsidRPr="00232275" w:rsidRDefault="008E3733" w:rsidP="008E3733">
            <w:pPr>
              <w:spacing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276"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417" w:type="dxa"/>
            <w:shd w:val="clear" w:color="auto" w:fill="auto"/>
          </w:tcPr>
          <w:p w:rsidR="008E3733" w:rsidRPr="00232275" w:rsidRDefault="008E3733" w:rsidP="008E3733">
            <w:pPr>
              <w:spacing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8E3733">
        <w:trPr>
          <w:trHeight w:val="367"/>
        </w:trPr>
        <w:tc>
          <w:tcPr>
            <w:tcW w:w="4708" w:type="dxa"/>
            <w:vMerge/>
            <w:shd w:val="clear" w:color="auto" w:fill="auto"/>
          </w:tcPr>
          <w:p w:rsidR="008E3733" w:rsidRPr="00232275" w:rsidRDefault="008E3733" w:rsidP="008E3733">
            <w:pPr>
              <w:spacing w:line="240" w:lineRule="auto"/>
              <w:jc w:val="center"/>
              <w:rPr>
                <w:rFonts w:ascii="StobiSerif Regular" w:hAnsi="StobiSerif Regular" w:cs="Tahoma"/>
                <w:sz w:val="20"/>
                <w:szCs w:val="20"/>
                <w:lang w:val="mk-MK"/>
              </w:rPr>
            </w:pPr>
          </w:p>
        </w:tc>
        <w:tc>
          <w:tcPr>
            <w:tcW w:w="1275" w:type="dxa"/>
            <w:shd w:val="clear" w:color="auto" w:fill="auto"/>
          </w:tcPr>
          <w:p w:rsidR="008E3733" w:rsidRPr="00232275" w:rsidRDefault="008E3733" w:rsidP="008E3733">
            <w:pPr>
              <w:spacing w:line="240" w:lineRule="auto"/>
              <w:jc w:val="both"/>
              <w:rPr>
                <w:rFonts w:ascii="StobiSerif Regular" w:hAnsi="StobiSerif Regular" w:cs="Tahoma"/>
                <w:sz w:val="20"/>
                <w:szCs w:val="20"/>
                <w:lang w:val="mk-MK"/>
              </w:rPr>
            </w:pPr>
          </w:p>
        </w:tc>
        <w:tc>
          <w:tcPr>
            <w:tcW w:w="1276" w:type="dxa"/>
            <w:shd w:val="clear" w:color="auto" w:fill="548DD4" w:themeFill="text2" w:themeFillTint="99"/>
          </w:tcPr>
          <w:p w:rsidR="008E3733" w:rsidRPr="00232275" w:rsidRDefault="008E3733" w:rsidP="008E3733">
            <w:pPr>
              <w:spacing w:line="240" w:lineRule="auto"/>
              <w:jc w:val="both"/>
              <w:rPr>
                <w:rFonts w:ascii="StobiSerif Regular" w:hAnsi="StobiSerif Regular" w:cs="Tahoma"/>
                <w:sz w:val="20"/>
                <w:szCs w:val="20"/>
                <w:lang w:val="mk-MK"/>
              </w:rPr>
            </w:pPr>
          </w:p>
        </w:tc>
        <w:tc>
          <w:tcPr>
            <w:tcW w:w="1276" w:type="dxa"/>
            <w:shd w:val="clear" w:color="auto" w:fill="FFFFFF"/>
          </w:tcPr>
          <w:p w:rsidR="008E3733" w:rsidRPr="00232275" w:rsidRDefault="008E3733" w:rsidP="008E3733">
            <w:pPr>
              <w:spacing w:line="240" w:lineRule="auto"/>
              <w:jc w:val="both"/>
              <w:rPr>
                <w:rFonts w:ascii="StobiSerif Regular" w:hAnsi="StobiSerif Regular" w:cs="Tahoma"/>
                <w:sz w:val="20"/>
                <w:szCs w:val="20"/>
                <w:lang w:val="mk-MK"/>
              </w:rPr>
            </w:pPr>
          </w:p>
        </w:tc>
        <w:tc>
          <w:tcPr>
            <w:tcW w:w="1417" w:type="dxa"/>
            <w:shd w:val="clear" w:color="auto" w:fill="FFFFFF"/>
          </w:tcPr>
          <w:p w:rsidR="008E3733" w:rsidRPr="00232275" w:rsidRDefault="008E3733" w:rsidP="008E3733">
            <w:pPr>
              <w:spacing w:line="240" w:lineRule="auto"/>
              <w:jc w:val="both"/>
              <w:rPr>
                <w:rFonts w:ascii="StobiSerif Regular" w:hAnsi="StobiSerif Regular" w:cs="Tahoma"/>
                <w:sz w:val="20"/>
                <w:szCs w:val="20"/>
                <w:lang w:val="mk-MK"/>
              </w:rPr>
            </w:pPr>
          </w:p>
        </w:tc>
      </w:tr>
      <w:tr w:rsidR="008E3733" w:rsidRPr="00232275" w:rsidTr="008E3733">
        <w:trPr>
          <w:trHeight w:val="597"/>
        </w:trPr>
        <w:tc>
          <w:tcPr>
            <w:tcW w:w="4708" w:type="dxa"/>
            <w:shd w:val="clear" w:color="auto" w:fill="C6D9F1" w:themeFill="text2" w:themeFillTint="33"/>
          </w:tcPr>
          <w:p w:rsidR="008E3733" w:rsidRPr="00232275" w:rsidRDefault="008E3733" w:rsidP="008E3733">
            <w:pPr>
              <w:spacing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4" w:type="dxa"/>
            <w:gridSpan w:val="4"/>
            <w:shd w:val="clear" w:color="auto" w:fill="C6D9F1" w:themeFill="text2" w:themeFillTint="33"/>
          </w:tcPr>
          <w:p w:rsidR="008E3733" w:rsidRPr="00232275" w:rsidRDefault="008E3733" w:rsidP="008E3733">
            <w:pPr>
              <w:spacing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C61F6" w:rsidRPr="00232275" w:rsidTr="008E3733">
        <w:trPr>
          <w:trHeight w:val="1226"/>
        </w:trPr>
        <w:tc>
          <w:tcPr>
            <w:tcW w:w="4708" w:type="dxa"/>
            <w:shd w:val="clear" w:color="auto" w:fill="auto"/>
          </w:tcPr>
          <w:p w:rsidR="008C61F6" w:rsidRPr="00232275" w:rsidRDefault="008C61F6" w:rsidP="008C61F6">
            <w:pPr>
              <w:spacing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5.7.1 Спроведување на обука на 10 лица од Министерството за здравство и од селектираните јавни здравствени установи за имплементирање на методологиите за социјална отчетност</w:t>
            </w:r>
          </w:p>
        </w:tc>
        <w:tc>
          <w:tcPr>
            <w:tcW w:w="5244" w:type="dxa"/>
            <w:gridSpan w:val="4"/>
            <w:shd w:val="clear" w:color="auto" w:fill="auto"/>
          </w:tcPr>
          <w:p w:rsidR="008C61F6" w:rsidRPr="00856C98" w:rsidRDefault="008C61F6" w:rsidP="008C61F6">
            <w:pPr>
              <w:spacing w:line="240" w:lineRule="auto"/>
              <w:jc w:val="both"/>
              <w:rPr>
                <w:rFonts w:ascii="StobiSerif Regular" w:hAnsi="StobiSerif Regular" w:cs="Tahoma"/>
                <w:sz w:val="20"/>
                <w:szCs w:val="20"/>
                <w:lang w:val="mk-MK"/>
              </w:rPr>
            </w:pPr>
            <w:r w:rsidRPr="00856C98">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5.7.2.</w:t>
            </w:r>
          </w:p>
          <w:p w:rsidR="008C61F6" w:rsidRPr="00856C98" w:rsidRDefault="008C61F6" w:rsidP="008C61F6">
            <w:pPr>
              <w:spacing w:line="240" w:lineRule="auto"/>
              <w:jc w:val="both"/>
              <w:rPr>
                <w:rFonts w:ascii="StobiSerif Regular" w:hAnsi="StobiSerif Regular" w:cs="Tahoma"/>
                <w:sz w:val="20"/>
                <w:szCs w:val="20"/>
                <w:lang w:val="mk-MK"/>
              </w:rPr>
            </w:pPr>
          </w:p>
        </w:tc>
      </w:tr>
      <w:tr w:rsidR="008C61F6" w:rsidRPr="00232275" w:rsidTr="008E3733">
        <w:trPr>
          <w:trHeight w:val="699"/>
        </w:trPr>
        <w:tc>
          <w:tcPr>
            <w:tcW w:w="4708" w:type="dxa"/>
            <w:shd w:val="clear" w:color="auto" w:fill="auto"/>
          </w:tcPr>
          <w:p w:rsidR="008C61F6" w:rsidRPr="00232275" w:rsidRDefault="008C61F6" w:rsidP="008C61F6">
            <w:pPr>
              <w:spacing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5.7.2. Селектирање на една превентивна или куративна програма на која ќе се примени селектирната методологија за социјална отчетност</w:t>
            </w:r>
          </w:p>
        </w:tc>
        <w:tc>
          <w:tcPr>
            <w:tcW w:w="5244" w:type="dxa"/>
            <w:gridSpan w:val="4"/>
            <w:shd w:val="clear" w:color="auto" w:fill="auto"/>
          </w:tcPr>
          <w:p w:rsidR="008C61F6" w:rsidRPr="00856C98" w:rsidRDefault="008C61F6" w:rsidP="008C61F6">
            <w:pPr>
              <w:spacing w:line="240" w:lineRule="auto"/>
              <w:jc w:val="both"/>
              <w:rPr>
                <w:rFonts w:ascii="StobiSerif Regular" w:hAnsi="StobiSerif Regular"/>
                <w:sz w:val="20"/>
                <w:szCs w:val="20"/>
                <w:lang w:val="mk-MK"/>
              </w:rPr>
            </w:pPr>
            <w:r w:rsidRPr="00856C98">
              <w:rPr>
                <w:rFonts w:ascii="StobiSerif Regular" w:hAnsi="StobiSerif Regular"/>
                <w:sz w:val="20"/>
                <w:szCs w:val="20"/>
                <w:lang w:val="mk-MK"/>
              </w:rPr>
              <w:t>Од страна на Министерството за здравство е селектирана превентивната програма за здравствена заштита: „Програма за заштита на населението од ХИВ/СИДА  во Република Македонија” на која ќе се примени селектирната методологија за социјална отчетност.</w:t>
            </w:r>
          </w:p>
        </w:tc>
      </w:tr>
      <w:tr w:rsidR="008C61F6" w:rsidRPr="00232275" w:rsidTr="008E3733">
        <w:trPr>
          <w:trHeight w:val="990"/>
        </w:trPr>
        <w:tc>
          <w:tcPr>
            <w:tcW w:w="4708" w:type="dxa"/>
            <w:shd w:val="clear" w:color="auto" w:fill="auto"/>
          </w:tcPr>
          <w:p w:rsidR="008C61F6" w:rsidRPr="00232275" w:rsidRDefault="008C61F6" w:rsidP="008C61F6">
            <w:pPr>
              <w:spacing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5.7.3. Подготовка на план за пилотирање и пилотирање на методологијата за социјална отчетност на селектираната програма</w:t>
            </w:r>
          </w:p>
        </w:tc>
        <w:tc>
          <w:tcPr>
            <w:tcW w:w="5244" w:type="dxa"/>
            <w:gridSpan w:val="4"/>
            <w:shd w:val="clear" w:color="auto" w:fill="auto"/>
          </w:tcPr>
          <w:p w:rsidR="008C61F6" w:rsidRPr="00856C98" w:rsidRDefault="008C61F6" w:rsidP="008C61F6">
            <w:pPr>
              <w:spacing w:line="240" w:lineRule="auto"/>
              <w:jc w:val="both"/>
              <w:rPr>
                <w:rFonts w:ascii="StobiSerif Regular" w:hAnsi="StobiSerif Regular" w:cs="Tahoma"/>
                <w:sz w:val="20"/>
                <w:szCs w:val="20"/>
                <w:lang w:val="mk-MK"/>
              </w:rPr>
            </w:pPr>
            <w:r w:rsidRPr="00856C98">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5.7.2.</w:t>
            </w:r>
          </w:p>
        </w:tc>
      </w:tr>
    </w:tbl>
    <w:p w:rsidR="008E3733" w:rsidRPr="00232275" w:rsidRDefault="008E3733" w:rsidP="008E3733">
      <w:pPr>
        <w:spacing w:line="240" w:lineRule="auto"/>
        <w:rPr>
          <w:rFonts w:ascii="StobiSerif Regular" w:hAnsi="StobiSerif Regular"/>
          <w:sz w:val="20"/>
          <w:szCs w:val="20"/>
        </w:rPr>
      </w:pPr>
    </w:p>
    <w:tbl>
      <w:tblPr>
        <w:tblW w:w="9975" w:type="dxa"/>
        <w:tblInd w:w="-318" w:type="dxa"/>
        <w:tblLayout w:type="fixed"/>
        <w:tblLook w:val="04A0" w:firstRow="1" w:lastRow="0" w:firstColumn="1" w:lastColumn="0" w:noHBand="0" w:noVBand="1"/>
      </w:tblPr>
      <w:tblGrid>
        <w:gridCol w:w="1897"/>
        <w:gridCol w:w="2925"/>
        <w:gridCol w:w="1304"/>
        <w:gridCol w:w="1209"/>
        <w:gridCol w:w="1314"/>
        <w:gridCol w:w="1326"/>
      </w:tblGrid>
      <w:tr w:rsidR="008E3733" w:rsidRPr="00232275" w:rsidTr="008E3733">
        <w:trPr>
          <w:trHeight w:val="300"/>
        </w:trPr>
        <w:tc>
          <w:tcPr>
            <w:tcW w:w="9975"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spacing w:after="100" w:afterAutospacing="1"/>
              <w:rPr>
                <w:rFonts w:ascii="StobiSerif Regular" w:eastAsia="MS Mincho" w:hAnsi="StobiSerif Regular"/>
                <w:lang w:val="mk-MK"/>
              </w:rPr>
            </w:pPr>
            <w:bookmarkStart w:id="63" w:name="_Toc453059124"/>
            <w:bookmarkStart w:id="64" w:name="_Toc453059216"/>
            <w:bookmarkStart w:id="65" w:name="_Toc453059262"/>
            <w:r w:rsidRPr="00232275">
              <w:rPr>
                <w:rFonts w:ascii="StobiSerif Regular" w:hAnsi="StobiSerif Regular"/>
                <w:lang w:val="mk-MK"/>
              </w:rPr>
              <w:t>5.8.Објавување податоци на квартално ниво за планирана и реализирана домашна и странска помош за рурален развој и земјоделство</w:t>
            </w:r>
            <w:bookmarkEnd w:id="63"/>
            <w:bookmarkEnd w:id="64"/>
            <w:bookmarkEnd w:id="65"/>
          </w:p>
        </w:tc>
      </w:tr>
      <w:tr w:rsidR="008E3733" w:rsidRPr="00232275" w:rsidTr="008E3733">
        <w:trPr>
          <w:trHeight w:val="626"/>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100" w:afterAutospacing="1" w:line="240" w:lineRule="auto"/>
              <w:jc w:val="center"/>
              <w:rPr>
                <w:rFonts w:ascii="StobiSerif Regular" w:hAnsi="StobiSerif Regular"/>
                <w:sz w:val="20"/>
                <w:szCs w:val="20"/>
              </w:rPr>
            </w:pPr>
            <w:r w:rsidRPr="00232275">
              <w:rPr>
                <w:rFonts w:ascii="StobiSerif Regular" w:hAnsi="StobiSerif Regular"/>
                <w:sz w:val="20"/>
                <w:szCs w:val="20"/>
                <w:lang w:val="mk-MK"/>
              </w:rPr>
              <w:t xml:space="preserve">Почетен и краен датум на обврската </w:t>
            </w:r>
            <w:r w:rsidRPr="00232275">
              <w:rPr>
                <w:rFonts w:ascii="StobiSerif Regular" w:hAnsi="StobiSerif Regular"/>
                <w:sz w:val="20"/>
                <w:szCs w:val="20"/>
              </w:rPr>
              <w:t xml:space="preserve">                 </w:t>
            </w:r>
            <w:r w:rsidRPr="00232275">
              <w:rPr>
                <w:rFonts w:ascii="StobiSerif Regular" w:hAnsi="StobiSerif Regular"/>
                <w:sz w:val="20"/>
                <w:szCs w:val="20"/>
                <w:lang w:val="mk-MK"/>
              </w:rPr>
              <w:t>(8/ 2016 – континуирано)</w:t>
            </w:r>
          </w:p>
        </w:tc>
        <w:tc>
          <w:tcPr>
            <w:tcW w:w="5153" w:type="dxa"/>
            <w:gridSpan w:val="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tc>
      </w:tr>
      <w:tr w:rsidR="008E3733" w:rsidRPr="00232275" w:rsidTr="008E3733">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Агенција за финансиска поддршка во земјоделството и руралниот развој</w:t>
            </w:r>
          </w:p>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земјоделство</w:t>
            </w:r>
          </w:p>
        </w:tc>
      </w:tr>
      <w:tr w:rsidR="008E3733" w:rsidRPr="00232275" w:rsidTr="008E3733">
        <w:trPr>
          <w:trHeight w:val="54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Стефан Василевски</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Помлад соработник во Одделение за сметководствоСектор за финансиски прашања</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stefan.vasilevski@ipardpa.gov.mk</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+389 3097986</w:t>
            </w:r>
          </w:p>
        </w:tc>
      </w:tr>
      <w:tr w:rsidR="008E3733" w:rsidRPr="00232275" w:rsidTr="008E3733">
        <w:trPr>
          <w:trHeight w:val="429"/>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r w:rsidRPr="00232275">
              <w:rPr>
                <w:rFonts w:ascii="StobiSerif Regular" w:hAnsi="StobiSerif Regular"/>
                <w:sz w:val="20"/>
                <w:szCs w:val="20"/>
                <w:lang w:val="mk-MK"/>
              </w:rPr>
              <w:t>Буџетски корисници</w:t>
            </w: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r w:rsidRPr="00232275">
              <w:rPr>
                <w:rFonts w:ascii="StobiSerif Regular" w:hAnsi="StobiSerif Regular"/>
                <w:sz w:val="20"/>
                <w:szCs w:val="20"/>
                <w:lang w:val="mk-MK"/>
              </w:rPr>
              <w:t>Центар за економски анализи</w:t>
            </w: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100" w:afterAutospacing="1" w:line="240" w:lineRule="auto"/>
              <w:rPr>
                <w:rFonts w:ascii="StobiSerif Regular" w:hAnsi="StobiSerif Regular"/>
                <w:sz w:val="20"/>
                <w:szCs w:val="20"/>
                <w:lang w:val="mk-MK"/>
              </w:rPr>
            </w:pPr>
          </w:p>
        </w:tc>
      </w:tr>
      <w:tr w:rsidR="008E3733" w:rsidRPr="00232275" w:rsidTr="008E3733">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Недоволна транспарентност во управувањето со јавните финансии. Непостоење на конкретни информации за тоа колку средства и по која мерка од Програмата за финансиска поддршка во земјоделството од одредена година, се исплатени по основ на таа Програма, или се исплаќаат врз основа на Програми од претходните години.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Често изменување и дополнување на Програмата, (понекогаш и еден ден по нејзиното донесување), прави конфузија во однос на достапноста на податоците, и намалена транспарентност и видливост на текот на јавните средства.</w:t>
            </w:r>
          </w:p>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Непостоење на механизам кој ќе прикаже по локација/регион како е сконцентрирано финансирањето во земјоделството.</w:t>
            </w:r>
          </w:p>
        </w:tc>
      </w:tr>
      <w:tr w:rsidR="008E3733" w:rsidRPr="00232275" w:rsidTr="008E3733">
        <w:trPr>
          <w:trHeight w:val="239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Поголема транспарентност во управувањето со јавните финансии, преку: </w:t>
            </w:r>
          </w:p>
          <w:p w:rsidR="008E3733" w:rsidRPr="00232275" w:rsidRDefault="008E3733" w:rsidP="008E3733">
            <w:pPr>
              <w:pStyle w:val="ListParagraph"/>
              <w:numPr>
                <w:ilvl w:val="0"/>
                <w:numId w:val="27"/>
              </w:numPr>
              <w:spacing w:after="0" w:line="240" w:lineRule="auto"/>
              <w:ind w:hanging="181"/>
              <w:jc w:val="both"/>
              <w:rPr>
                <w:rFonts w:ascii="StobiSerif Regular" w:hAnsi="StobiSerif Regular"/>
                <w:sz w:val="20"/>
                <w:szCs w:val="20"/>
                <w:lang w:val="mk-MK"/>
              </w:rPr>
            </w:pPr>
            <w:r w:rsidRPr="00232275">
              <w:rPr>
                <w:rFonts w:ascii="StobiSerif Regular" w:hAnsi="StobiSerif Regular"/>
                <w:sz w:val="20"/>
                <w:szCs w:val="20"/>
                <w:lang w:val="mk-MK"/>
              </w:rPr>
              <w:t xml:space="preserve">Јавно објавување на доделената и исплатената државна и странска помош по основ/мерка, по локација, по висина на државна или странска помош и по основ на која Програма за финансиска поддршка. </w:t>
            </w:r>
          </w:p>
          <w:p w:rsidR="008E3733" w:rsidRPr="00232275" w:rsidRDefault="008E3733" w:rsidP="008E3733">
            <w:pPr>
              <w:numPr>
                <w:ilvl w:val="0"/>
                <w:numId w:val="27"/>
              </w:numPr>
              <w:spacing w:after="0" w:line="240" w:lineRule="auto"/>
              <w:ind w:hanging="181"/>
              <w:jc w:val="both"/>
              <w:rPr>
                <w:rFonts w:ascii="StobiSerif Regular" w:hAnsi="StobiSerif Regular"/>
                <w:sz w:val="20"/>
                <w:szCs w:val="20"/>
                <w:lang w:val="mk-MK"/>
              </w:rPr>
            </w:pPr>
            <w:r w:rsidRPr="00232275">
              <w:rPr>
                <w:rFonts w:ascii="StobiSerif Regular" w:hAnsi="StobiSerif Regular"/>
                <w:sz w:val="20"/>
                <w:szCs w:val="20"/>
                <w:lang w:val="mk-MK"/>
              </w:rPr>
              <w:t>Информирање на граѓаните за достапноста на податоците.</w:t>
            </w:r>
          </w:p>
        </w:tc>
      </w:tr>
      <w:tr w:rsidR="008E3733" w:rsidRPr="00232275" w:rsidTr="008E3733">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Пред и по донесување на Програмата за финансиска поддршка за одредена година, Агенцијата за финансиска поддршка во земјоделството и руралниот развој ја објавува на својата веб страница, и еднаш квартално објавува податоци, колку од средствата предвидени од претходната Програма се реализирани и колку од средствата од новодонесената Програма се реализираат, по мерка, по локација, висина на доделена помош.  Секој квартал податоците за реализација на Програмата се ажурираат.</w:t>
            </w:r>
          </w:p>
        </w:tc>
      </w:tr>
      <w:tr w:rsidR="008E3733" w:rsidRPr="00232275" w:rsidTr="008E3733">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Ефикасно управување со јавните ресурси</w:t>
            </w:r>
          </w:p>
        </w:tc>
      </w:tr>
      <w:tr w:rsidR="008E3733" w:rsidRPr="00232275" w:rsidTr="008E3733">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 во областа на руралниот развој и земјоделството.</w:t>
            </w:r>
          </w:p>
        </w:tc>
      </w:tr>
      <w:tr w:rsidR="008E3733" w:rsidRPr="00232275" w:rsidTr="008E3733">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Зголемување на транспарентноста и отчетноста во фискалната сфера.</w:t>
            </w:r>
          </w:p>
        </w:tc>
      </w:tr>
      <w:tr w:rsidR="008E3733" w:rsidRPr="00232275" w:rsidTr="008E3733">
        <w:trPr>
          <w:trHeight w:val="1134"/>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100" w:afterAutospacing="1"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100" w:afterAutospacing="1"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Се очекува во иднина дисциплина во објавување на искористеноста и реализацијата на јавните финансии, како и поголема свест за нивната ефикасност и оправданост.</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100" w:afterAutospacing="1" w:line="240" w:lineRule="auto"/>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100" w:afterAutospacing="1" w:line="240" w:lineRule="auto"/>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100" w:afterAutospacing="1" w:line="240" w:lineRule="auto"/>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100" w:afterAutospacing="1" w:line="240" w:lineRule="auto"/>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8E3733">
        <w:trPr>
          <w:trHeight w:val="312"/>
        </w:trPr>
        <w:tc>
          <w:tcPr>
            <w:tcW w:w="4821"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100" w:afterAutospacing="1"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548DD4"/>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p>
        </w:tc>
      </w:tr>
      <w:tr w:rsidR="008E3733" w:rsidRPr="00232275" w:rsidTr="008E3733">
        <w:trPr>
          <w:trHeight w:val="609"/>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100" w:afterAutospacing="1"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both"/>
              <w:rPr>
                <w:rFonts w:ascii="StobiSerif Regular" w:hAnsi="StobiSerif Regular" w:cs="Tahoma"/>
                <w:b/>
                <w:i/>
                <w:sz w:val="20"/>
                <w:szCs w:val="20"/>
                <w:lang w:val="mk-MK"/>
              </w:rPr>
            </w:pPr>
            <w:r w:rsidRPr="00232275">
              <w:rPr>
                <w:rFonts w:ascii="StobiSerif Regular" w:hAnsi="StobiSerif Regular" w:cs="Tahoma"/>
                <w:b/>
                <w:i/>
                <w:sz w:val="20"/>
                <w:szCs w:val="20"/>
                <w:lang w:val="mk-MK"/>
              </w:rPr>
              <w:t>5.8.1. Објавување на податоци  на квартално ниво за  висина на доделена државна и странска помош во земјоделството по Програма,  основ/мерка, локација.</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100" w:afterAutospacing="1"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w:t>
            </w:r>
          </w:p>
        </w:tc>
      </w:tr>
    </w:tbl>
    <w:p w:rsidR="008E3733" w:rsidRPr="00232275" w:rsidRDefault="008E3733" w:rsidP="008E3733">
      <w:pPr>
        <w:spacing w:line="240" w:lineRule="auto"/>
        <w:rPr>
          <w:rFonts w:ascii="StobiSerif Regular" w:eastAsia="MS Mincho" w:hAnsi="StobiSerif Regular"/>
          <w:sz w:val="20"/>
          <w:szCs w:val="20"/>
          <w:lang w:val="mk-MK"/>
        </w:rPr>
      </w:pPr>
    </w:p>
    <w:tbl>
      <w:tblPr>
        <w:tblW w:w="9975" w:type="dxa"/>
        <w:tblInd w:w="-318" w:type="dxa"/>
        <w:tblLayout w:type="fixed"/>
        <w:tblLook w:val="04A0" w:firstRow="1" w:lastRow="0" w:firstColumn="1" w:lastColumn="0" w:noHBand="0" w:noVBand="1"/>
      </w:tblPr>
      <w:tblGrid>
        <w:gridCol w:w="1897"/>
        <w:gridCol w:w="2925"/>
        <w:gridCol w:w="1304"/>
        <w:gridCol w:w="1209"/>
        <w:gridCol w:w="1314"/>
        <w:gridCol w:w="1326"/>
      </w:tblGrid>
      <w:tr w:rsidR="008E3733" w:rsidRPr="00232275" w:rsidTr="008E3733">
        <w:trPr>
          <w:trHeight w:val="300"/>
        </w:trPr>
        <w:tc>
          <w:tcPr>
            <w:tcW w:w="9975"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rPr>
                <w:rFonts w:ascii="StobiSerif Regular" w:eastAsia="MS Mincho" w:hAnsi="StobiSerif Regular"/>
                <w:lang w:val="mk-MK"/>
              </w:rPr>
            </w:pPr>
            <w:bookmarkStart w:id="66" w:name="_Toc453059125"/>
            <w:bookmarkStart w:id="67" w:name="_Toc453059217"/>
            <w:bookmarkStart w:id="68" w:name="_Toc453059263"/>
            <w:r w:rsidRPr="00232275">
              <w:rPr>
                <w:rFonts w:ascii="StobiSerif Regular" w:hAnsi="StobiSerif Regular"/>
                <w:lang w:val="mk-MK"/>
              </w:rPr>
              <w:t>5.9.Утврдување податоци за државна помош кои периодично треба да се објавуваат и нивно објавување</w:t>
            </w:r>
            <w:bookmarkEnd w:id="66"/>
            <w:bookmarkEnd w:id="67"/>
            <w:bookmarkEnd w:id="68"/>
          </w:p>
        </w:tc>
      </w:tr>
      <w:tr w:rsidR="008E3733" w:rsidRPr="00232275" w:rsidTr="008E3733">
        <w:trPr>
          <w:trHeight w:val="516"/>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(8/ 2016 – континуирано)</w:t>
            </w:r>
          </w:p>
        </w:tc>
        <w:tc>
          <w:tcPr>
            <w:tcW w:w="5153" w:type="dxa"/>
            <w:gridSpan w:val="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tc>
      </w:tr>
      <w:tr w:rsidR="008E3733" w:rsidRPr="00232275" w:rsidTr="008E3733">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Комисија за заштита на конкуренцијата</w:t>
            </w:r>
          </w:p>
        </w:tc>
      </w:tr>
      <w:tr w:rsidR="008E3733" w:rsidRPr="00232275" w:rsidTr="008E3733">
        <w:trPr>
          <w:trHeight w:val="45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Малинка Николиќ</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lang w:val="mk-MK"/>
              </w:rPr>
            </w:pP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malinka.nikolic@kzk.gov.mk</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070 396 727</w:t>
            </w:r>
          </w:p>
        </w:tc>
      </w:tr>
      <w:tr w:rsidR="008E3733" w:rsidRPr="00232275" w:rsidTr="008E3733">
        <w:trPr>
          <w:trHeight w:val="429"/>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Агенција за странски инвестиции и промоција на извозот, ДТИРЗ, министри за поттикнување на странски инвестиции и останати буџетски корисници</w:t>
            </w: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Центар за економски анализи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Центар за граѓански комуникации</w:t>
            </w:r>
          </w:p>
          <w:p w:rsidR="008E3733" w:rsidRPr="00232275" w:rsidRDefault="008E3733" w:rsidP="008E3733">
            <w:pPr>
              <w:spacing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7"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Недоволна транспарентност во управувањето со јавните финансии. Непостоење на конкретни информации за тоа колку од јавните средства се исплатени или ослободени од плаќање за привлекување странски инвестиции. </w:t>
            </w:r>
          </w:p>
        </w:tc>
      </w:tr>
      <w:tr w:rsidR="008E3733" w:rsidRPr="00232275" w:rsidTr="008E3733">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Поголема транспарентност во управувањето со јавните финансии, преку: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Објавување на висина на државна помош за странски инвестиции  (расчленета на доделена и исплатена) и по кој основ (називот на компанијата ќе остане необјавен, како не би се нарушила преговарачката позиција на земјата со потенцијалните компании кои би инвестирале во земјата).</w:t>
            </w:r>
          </w:p>
        </w:tc>
      </w:tr>
      <w:tr w:rsidR="008E3733" w:rsidRPr="00232275" w:rsidTr="008E3733">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Објавување податоци расчленето по сите основи како државна помош за странски инвестиции (расчленето на доделено и на исплатено по секој основ). Податоците се објавуваат барем еднаш годишно без објавување на називот на компанијата. Како минимум податоците се објавуваат збирно категоризирано по различните основи, со расчленување на доделена и на исплатена помош на странски инвеститори.</w:t>
            </w:r>
          </w:p>
        </w:tc>
      </w:tr>
      <w:tr w:rsidR="008E3733" w:rsidRPr="00232275" w:rsidTr="008E3733">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Ефикасно управување со јавните ресурси</w:t>
            </w:r>
          </w:p>
        </w:tc>
      </w:tr>
      <w:tr w:rsidR="008E3733" w:rsidRPr="00232275" w:rsidTr="008E3733">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 во областа на државната помош за странски инвестиции.</w:t>
            </w:r>
          </w:p>
        </w:tc>
      </w:tr>
      <w:tr w:rsidR="008E3733" w:rsidRPr="00232275" w:rsidTr="008E3733">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Зголемување на транспарентноста и отчетноста во фискалната сфера.</w:t>
            </w:r>
          </w:p>
        </w:tc>
      </w:tr>
      <w:tr w:rsidR="008E3733" w:rsidRPr="00232275" w:rsidTr="008E3733">
        <w:trPr>
          <w:trHeight w:val="107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Се очекува во иднина дисциплина во објавување на искористеноста и реализацијата на јавните финансии, како и поголема свест за нивната ефикасност и оправданост.</w:t>
            </w:r>
          </w:p>
        </w:tc>
      </w:tr>
      <w:tr w:rsidR="008E3733" w:rsidRPr="00232275" w:rsidTr="008E3733">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hAnsi="StobiSerif Regular" w:cs="Tahoma"/>
                <w:b/>
                <w:sz w:val="16"/>
                <w:szCs w:val="16"/>
                <w:lang w:val="mk-MK"/>
              </w:rPr>
            </w:pPr>
            <w:r w:rsidRPr="00232275">
              <w:rPr>
                <w:rFonts w:ascii="StobiSerif Regular" w:hAnsi="StobiSerif Regular" w:cs="Tahoma"/>
                <w:b/>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hAnsi="StobiSerif Regular" w:cs="Tahoma"/>
                <w:b/>
                <w:sz w:val="16"/>
                <w:szCs w:val="16"/>
                <w:lang w:val="mk-MK"/>
              </w:rPr>
            </w:pPr>
            <w:r w:rsidRPr="00232275">
              <w:rPr>
                <w:rFonts w:ascii="StobiSerif Regular" w:hAnsi="StobiSerif Regular" w:cs="Tahoma"/>
                <w:b/>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hAnsi="StobiSerif Regular" w:cs="Tahoma"/>
                <w:b/>
                <w:sz w:val="16"/>
                <w:szCs w:val="16"/>
                <w:lang w:val="mk-MK"/>
              </w:rPr>
            </w:pPr>
            <w:r w:rsidRPr="00232275">
              <w:rPr>
                <w:rFonts w:ascii="StobiSerif Regular" w:hAnsi="StobiSerif Regular" w:cs="Tahoma"/>
                <w:b/>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cPr>
          <w:p w:rsidR="008E3733" w:rsidRPr="00232275" w:rsidRDefault="008E3733" w:rsidP="008E3733">
            <w:pPr>
              <w:spacing w:after="0" w:line="240" w:lineRule="auto"/>
              <w:rPr>
                <w:rFonts w:ascii="StobiSerif Regular" w:hAnsi="StobiSerif Regular" w:cs="Tahoma"/>
                <w:b/>
                <w:sz w:val="16"/>
                <w:szCs w:val="16"/>
                <w:lang w:val="mk-MK"/>
              </w:rPr>
            </w:pPr>
            <w:r w:rsidRPr="00232275">
              <w:rPr>
                <w:rFonts w:ascii="StobiSerif Regular" w:hAnsi="StobiSerif Regular" w:cs="Tahoma"/>
                <w:b/>
                <w:sz w:val="16"/>
                <w:szCs w:val="16"/>
                <w:lang w:val="mk-MK"/>
              </w:rPr>
              <w:t>завршено</w:t>
            </w:r>
          </w:p>
        </w:tc>
      </w:tr>
      <w:tr w:rsidR="008E3733" w:rsidRPr="00232275" w:rsidTr="008E3733">
        <w:trPr>
          <w:trHeight w:val="365"/>
        </w:trPr>
        <w:tc>
          <w:tcPr>
            <w:tcW w:w="4821" w:type="dxa"/>
            <w:gridSpan w:val="2"/>
            <w:vMerge/>
            <w:tcBorders>
              <w:left w:val="single" w:sz="8" w:space="0" w:color="auto"/>
              <w:bottom w:val="single" w:sz="4" w:space="0" w:color="auto"/>
              <w:right w:val="single" w:sz="4" w:space="0" w:color="auto"/>
            </w:tcBorders>
            <w:shd w:val="clear" w:color="auto" w:fill="E5B8B7"/>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548DD4"/>
            <w:vAlign w:val="center"/>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hAnsi="StobiSerif Regular" w:cs="Tahoma"/>
                <w:b/>
                <w:sz w:val="16"/>
                <w:szCs w:val="16"/>
                <w:lang w:val="mk-MK"/>
              </w:rPr>
            </w:pPr>
          </w:p>
        </w:tc>
      </w:tr>
      <w:tr w:rsidR="008E3733" w:rsidRPr="00232275" w:rsidTr="008E3733">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vAlign w:val="center"/>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8E3733" w:rsidRPr="00232275" w:rsidTr="008E3733">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5.9.1. Објавување на податоци  на висина на државна помош за странски инвестиции по сите основи по кои истата е предвидена</w:t>
            </w:r>
          </w:p>
        </w:tc>
        <w:tc>
          <w:tcPr>
            <w:tcW w:w="5153"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Во просториите на Комисијата за заштита на конкуренцијата на 13.06.2017 година се одржа состанок за реализација на Мерката 5.9„Утврдување податоци за државна помош кои периодично треба да се објавуваат и нивно објавување“ која е дел од Националниот акциски план за Отворено владино партнерство 2016-2018.  </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По завршување на сосатанокот Комисијата за заштита на конкуренцијата на ден 14.06.2017 год.  испрати записник до сите членови на работната група каде се потенцираше дека за мерката да се реализира треба сите членови на невладините организации да имаат заеднички став околу спроведување на истата, затоа што сепак невладините организации се предлагачи на мерката 5.9</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Комисијата за заштита на конкуренцијата  доби писмен предлог за реализирање на мерката од  Центарот за економски анализи. Во месец октомври 2017 година, комисијата одржа состанок со членовите на работната група и невладиниот сектор со цел да се дефинираат чекорите кои треба да се преземат за реализација на мерката 5.9 од Националниот акциски план за Отворено владино партнерство 2016-2018.</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 25-та седница Владата на Република Македонија донесе одлука да се покрене постапка за декласификација на класифицираните информации и договори за доделување на државна помош</w:t>
            </w:r>
            <w:r w:rsidRPr="00232275">
              <w:rPr>
                <w:rFonts w:ascii="StobiSerif Regular" w:hAnsi="StobiSerif Regular" w:cs="Tahoma"/>
                <w:sz w:val="20"/>
                <w:szCs w:val="20"/>
              </w:rPr>
              <w:t>,</w:t>
            </w:r>
            <w:r w:rsidRPr="00232275">
              <w:rPr>
                <w:rFonts w:ascii="StobiSerif Regular" w:hAnsi="StobiSerif Regular" w:cs="Tahoma"/>
                <w:sz w:val="20"/>
                <w:szCs w:val="20"/>
                <w:lang w:val="mk-MK"/>
              </w:rPr>
              <w:t xml:space="preserve"> склучени помеѓу Владата на Република Македонија и компаниите/странски инвеститори.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Со оваа одлука се задолжуваат Агенцијата за странски инвестиции и Дирекцијата за технолошки индустриски развојни зони, како и сите останати министерства и државни органи да покренат постапки за достапност на овие информации и договори. Согласно Законот за класифицирани информации и препораката на Дирекцијата за безбедност на класифицирани информации, сите информации ќе станат јавни, како и договорите за доделување на државна помош со странските инвеститори.</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cs="Tahoma"/>
                <w:sz w:val="20"/>
                <w:szCs w:val="20"/>
                <w:lang w:val="mk-MK"/>
              </w:rPr>
              <w:t>За ефикасно спроведување на оваа одлука, Владата го задолжи Генералниот секретаријат  да достави листа на класифицирани информации и договори за државни субвенции на странските компании.</w:t>
            </w:r>
          </w:p>
        </w:tc>
      </w:tr>
    </w:tbl>
    <w:p w:rsidR="008E3733" w:rsidRPr="00232275" w:rsidRDefault="008E3733" w:rsidP="008E3733">
      <w:pPr>
        <w:spacing w:line="240" w:lineRule="auto"/>
        <w:rPr>
          <w:rFonts w:ascii="StobiSerif Regular" w:hAnsi="StobiSerif Regular"/>
          <w:sz w:val="20"/>
          <w:szCs w:val="20"/>
        </w:rPr>
      </w:pPr>
    </w:p>
    <w:tbl>
      <w:tblPr>
        <w:tblW w:w="9947" w:type="dxa"/>
        <w:tblInd w:w="-318" w:type="dxa"/>
        <w:tblLayout w:type="fixed"/>
        <w:tblLook w:val="04A0" w:firstRow="1" w:lastRow="0" w:firstColumn="1" w:lastColumn="0" w:noHBand="0" w:noVBand="1"/>
      </w:tblPr>
      <w:tblGrid>
        <w:gridCol w:w="24"/>
        <w:gridCol w:w="1845"/>
        <w:gridCol w:w="6"/>
        <w:gridCol w:w="318"/>
        <w:gridCol w:w="2509"/>
        <w:gridCol w:w="87"/>
        <w:gridCol w:w="138"/>
        <w:gridCol w:w="180"/>
        <w:gridCol w:w="820"/>
        <w:gridCol w:w="147"/>
        <w:gridCol w:w="101"/>
        <w:gridCol w:w="217"/>
        <w:gridCol w:w="769"/>
        <w:gridCol w:w="235"/>
        <w:gridCol w:w="995"/>
        <w:gridCol w:w="257"/>
        <w:gridCol w:w="19"/>
        <w:gridCol w:w="146"/>
        <w:gridCol w:w="1111"/>
        <w:gridCol w:w="6"/>
        <w:gridCol w:w="17"/>
      </w:tblGrid>
      <w:tr w:rsidR="008E3733" w:rsidRPr="00232275" w:rsidTr="00E549E1">
        <w:trPr>
          <w:gridAfter w:val="2"/>
          <w:wAfter w:w="23" w:type="dxa"/>
          <w:trHeight w:val="794"/>
        </w:trPr>
        <w:tc>
          <w:tcPr>
            <w:tcW w:w="9924" w:type="dxa"/>
            <w:gridSpan w:val="19"/>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keepNext/>
              <w:spacing w:after="0" w:line="240" w:lineRule="auto"/>
              <w:outlineLvl w:val="0"/>
              <w:rPr>
                <w:rFonts w:ascii="StobiSerif Regular" w:eastAsia="Times New Roman" w:hAnsi="StobiSerif Regular" w:cs="Times New Roman"/>
                <w:b/>
                <w:sz w:val="20"/>
                <w:szCs w:val="20"/>
              </w:rPr>
            </w:pPr>
            <w:r w:rsidRPr="00232275">
              <w:rPr>
                <w:rFonts w:ascii="StobiSerif Regular" w:eastAsia="Times New Roman" w:hAnsi="StobiSerif Regular" w:cs="Times New Roman"/>
                <w:b/>
                <w:sz w:val="20"/>
                <w:szCs w:val="20"/>
                <w:lang w:val="mk-MK"/>
              </w:rPr>
              <w:t xml:space="preserve">                     </w:t>
            </w:r>
            <w:r w:rsidRPr="00232275">
              <w:rPr>
                <w:rFonts w:ascii="StobiSerif Regular" w:eastAsia="Times New Roman" w:hAnsi="StobiSerif Regular" w:cs="Times New Roman"/>
                <w:b/>
                <w:sz w:val="20"/>
                <w:szCs w:val="20"/>
              </w:rPr>
              <w:t xml:space="preserve">                               </w:t>
            </w:r>
            <w:r w:rsidRPr="00232275">
              <w:rPr>
                <w:rFonts w:ascii="StobiSerif Regular" w:eastAsia="Times New Roman" w:hAnsi="StobiSerif Regular" w:cs="Times New Roman"/>
                <w:b/>
                <w:sz w:val="20"/>
                <w:szCs w:val="20"/>
                <w:lang w:val="mk-MK"/>
              </w:rPr>
              <w:t xml:space="preserve"> 6.ОТВОРЕНОСТ НА ЛОКАЛНО НИВО</w:t>
            </w:r>
          </w:p>
        </w:tc>
      </w:tr>
      <w:tr w:rsidR="008E3733" w:rsidRPr="00232275" w:rsidTr="00E549E1">
        <w:tblPrEx>
          <w:jc w:val="center"/>
          <w:tblInd w:w="0" w:type="dxa"/>
        </w:tblPrEx>
        <w:trPr>
          <w:gridBefore w:val="1"/>
          <w:wBefore w:w="24" w:type="dxa"/>
          <w:trHeight w:val="300"/>
          <w:jc w:val="center"/>
        </w:trPr>
        <w:tc>
          <w:tcPr>
            <w:tcW w:w="9923" w:type="dxa"/>
            <w:gridSpan w:val="20"/>
            <w:tcBorders>
              <w:top w:val="single" w:sz="8" w:space="0" w:color="auto"/>
              <w:left w:val="single" w:sz="8" w:space="0" w:color="auto"/>
              <w:bottom w:val="nil"/>
              <w:right w:val="single" w:sz="8" w:space="0" w:color="000000"/>
            </w:tcBorders>
            <w:shd w:val="clear" w:color="auto" w:fill="548DD4"/>
            <w:vAlign w:val="center"/>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69" w:name="_Toc453059127"/>
            <w:bookmarkStart w:id="70" w:name="_Toc453059219"/>
            <w:bookmarkStart w:id="71" w:name="_Toc453059265"/>
            <w:r w:rsidRPr="00232275">
              <w:rPr>
                <w:rFonts w:ascii="StobiSerif Regular" w:eastAsia="Times New Roman" w:hAnsi="StobiSerif Regular" w:cs="Times New Roman"/>
                <w:b/>
                <w:sz w:val="20"/>
                <w:szCs w:val="20"/>
                <w:lang w:val="mk-MK"/>
              </w:rPr>
              <w:t>6.1. Развивање на стандарди за транспарентност и отворени податоци на локално ниво</w:t>
            </w:r>
            <w:bookmarkEnd w:id="69"/>
            <w:bookmarkEnd w:id="70"/>
            <w:bookmarkEnd w:id="71"/>
          </w:p>
        </w:tc>
      </w:tr>
      <w:tr w:rsidR="008E3733" w:rsidRPr="00232275" w:rsidTr="00E549E1">
        <w:tblPrEx>
          <w:jc w:val="center"/>
          <w:tblInd w:w="0" w:type="dxa"/>
        </w:tblPrEx>
        <w:trPr>
          <w:gridBefore w:val="1"/>
          <w:wBefore w:w="24" w:type="dxa"/>
          <w:trHeight w:val="512"/>
          <w:jc w:val="center"/>
        </w:trPr>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Почетен и краен датум на обврската 07.2016/06.2017</w:t>
            </w:r>
          </w:p>
        </w:tc>
        <w:tc>
          <w:tcPr>
            <w:tcW w:w="5245" w:type="dxa"/>
            <w:gridSpan w:val="16"/>
            <w:tcBorders>
              <w:top w:val="single" w:sz="4" w:space="0" w:color="auto"/>
              <w:left w:val="nil"/>
              <w:bottom w:val="single" w:sz="4" w:space="0" w:color="auto"/>
              <w:right w:val="single" w:sz="4" w:space="0" w:color="auto"/>
            </w:tcBorders>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обврска</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600"/>
          <w:jc w:val="center"/>
        </w:trPr>
        <w:tc>
          <w:tcPr>
            <w:tcW w:w="4678" w:type="dxa"/>
            <w:gridSpan w:val="4"/>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245" w:type="dxa"/>
            <w:gridSpan w:val="16"/>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Министерство за локална самоуправа</w:t>
            </w:r>
          </w:p>
        </w:tc>
      </w:tr>
      <w:tr w:rsidR="008E3733" w:rsidRPr="00232275" w:rsidTr="00E549E1">
        <w:tblPrEx>
          <w:jc w:val="center"/>
          <w:tblInd w:w="0" w:type="dxa"/>
        </w:tblPrEx>
        <w:trPr>
          <w:gridBefore w:val="1"/>
          <w:wBefore w:w="24" w:type="dxa"/>
          <w:trHeight w:val="547"/>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blPrEx>
          <w:jc w:val="center"/>
          <w:tblInd w:w="0" w:type="dxa"/>
        </w:tblPrEx>
        <w:trPr>
          <w:gridBefore w:val="1"/>
          <w:wBefore w:w="24" w:type="dxa"/>
          <w:trHeight w:val="32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                           Државен советник </w:t>
            </w:r>
          </w:p>
        </w:tc>
      </w:tr>
      <w:tr w:rsidR="008E3733" w:rsidRPr="00232275" w:rsidTr="00E549E1">
        <w:tblPrEx>
          <w:jc w:val="center"/>
          <w:tblInd w:w="0" w:type="dxa"/>
        </w:tblPrEx>
        <w:trPr>
          <w:gridBefore w:val="1"/>
          <w:wBefore w:w="24" w:type="dxa"/>
          <w:trHeight w:val="32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blPrEx>
          <w:jc w:val="center"/>
          <w:tblInd w:w="0" w:type="dxa"/>
        </w:tblPrEx>
        <w:trPr>
          <w:gridBefore w:val="1"/>
          <w:wBefore w:w="24" w:type="dxa"/>
          <w:trHeight w:val="32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blPrEx>
          <w:jc w:val="center"/>
          <w:tblInd w:w="0" w:type="dxa"/>
        </w:tblPrEx>
        <w:trPr>
          <w:gridBefore w:val="1"/>
          <w:wBefore w:w="24" w:type="dxa"/>
          <w:trHeight w:val="429"/>
          <w:jc w:val="center"/>
        </w:trPr>
        <w:tc>
          <w:tcPr>
            <w:tcW w:w="184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833"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245" w:type="dxa"/>
            <w:gridSpan w:val="16"/>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МИОА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Единици на локалната самоуправа (град Скопје, Куманово, Велес, Штип, Струмица, Тетово, Битола, Струга)</w:t>
            </w: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ГО, приватен сектор, мултилатерални и работни групи</w:t>
            </w:r>
          </w:p>
        </w:tc>
        <w:tc>
          <w:tcPr>
            <w:tcW w:w="5245" w:type="dxa"/>
            <w:gridSpan w:val="16"/>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Центар за управување со промени</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 ГО на локално и на регионално ниво  </w:t>
            </w: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1845" w:type="dxa"/>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833"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245" w:type="dxa"/>
            <w:gridSpan w:val="16"/>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548"/>
          <w:jc w:val="center"/>
        </w:trPr>
        <w:tc>
          <w:tcPr>
            <w:tcW w:w="4678" w:type="dxa"/>
            <w:gridSpan w:val="4"/>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Поради непостоење на стандарди за транспарентност на локално ниво ВЕБ страниците на општините се различни во однос на структурата на податоците што ги објавуваат. Исто така, на локално ниво воопшто не се применува Законот за отворени податоци иако се однесува и на единиците на локалната самоуправа. Ваквите околности не обезбедуваат соодветен пристап на граѓаните до потребните податоци за кои што тие се заинтересирани. Исто така, не постои предвидливост во пребарувањето на податоците ниту пак можност тие да се споредуваат и обработуваат. </w:t>
            </w:r>
          </w:p>
        </w:tc>
      </w:tr>
      <w:tr w:rsidR="008E3733" w:rsidRPr="00232275" w:rsidTr="00E549E1">
        <w:tblPrEx>
          <w:jc w:val="center"/>
          <w:tblInd w:w="0" w:type="dxa"/>
        </w:tblPrEx>
        <w:trPr>
          <w:gridBefore w:val="1"/>
          <w:wBefore w:w="24" w:type="dxa"/>
          <w:trHeight w:val="32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Воспоставување на стандарди за транспарентност и отворени податоци кои што ќе бидат корисни за граѓаните, како и прифатени и применети од страна на сите единици на локалната самоуправа. </w:t>
            </w:r>
          </w:p>
        </w:tc>
      </w:tr>
      <w:tr w:rsidR="008E3733" w:rsidRPr="00232275" w:rsidTr="00E549E1">
        <w:tblPrEx>
          <w:jc w:val="center"/>
          <w:tblInd w:w="0" w:type="dxa"/>
        </w:tblPrEx>
        <w:trPr>
          <w:gridBefore w:val="1"/>
          <w:wBefore w:w="24" w:type="dxa"/>
          <w:trHeight w:val="406"/>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Преку анализа на законската рамка и консултација со граѓанските организации и со општините, ќе се идентификуваат податоците и податочните сетови кои што произлегуваат од надлежностите на општините и кои што треба да бидат објавувани на ВЕБ страниците на сите општини, како и во формат на  отворени податоци. Ќе се обучат граѓанските организации за концептот на отворени податоци и како истите да се објавуваат. Ќе биде формирана мрежа на институции и ГО на централно и на локално ниво, која ќе го помогне процесот на воспоставување и примена на стандарди за транспарентност и отворени податоци на локално ниво.</w:t>
            </w:r>
          </w:p>
        </w:tc>
      </w:tr>
      <w:tr w:rsidR="008E3733" w:rsidRPr="00232275" w:rsidTr="00E549E1">
        <w:tblPrEx>
          <w:jc w:val="center"/>
          <w:tblInd w:w="0" w:type="dxa"/>
        </w:tblPrEx>
        <w:trPr>
          <w:gridBefore w:val="1"/>
          <w:wBefore w:w="24" w:type="dxa"/>
          <w:trHeight w:val="60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Спроведување на мерката преку широк консултативен процес, ставање во функција на нови технологии (исклучиво електронско објавување на податоците, како и нивна обработка во отворен формат)  и зголемување на придобивките за граѓаните, бизнисот, локалните власти и воопшто за целата локална заедница.  </w:t>
            </w:r>
          </w:p>
        </w:tc>
      </w:tr>
      <w:tr w:rsidR="008E3733" w:rsidRPr="00232275" w:rsidTr="00E549E1">
        <w:tblPrEx>
          <w:jc w:val="center"/>
          <w:tblInd w:w="0" w:type="dxa"/>
        </w:tblPrEx>
        <w:trPr>
          <w:gridBefore w:val="1"/>
          <w:wBefore w:w="24" w:type="dxa"/>
          <w:trHeight w:val="60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245" w:type="dxa"/>
            <w:gridSpan w:val="16"/>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поголема ефективност и транспарентност на институциите преку воспоставување и примена на стандарди за транспарентност и отворени податоци на локално ниво.</w:t>
            </w:r>
          </w:p>
        </w:tc>
      </w:tr>
      <w:tr w:rsidR="008E3733" w:rsidRPr="00232275" w:rsidTr="00E549E1">
        <w:tblPrEx>
          <w:jc w:val="center"/>
          <w:tblInd w:w="0" w:type="dxa"/>
        </w:tblPrEx>
        <w:trPr>
          <w:gridBefore w:val="1"/>
          <w:wBefore w:w="24" w:type="dxa"/>
          <w:trHeight w:val="340"/>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245" w:type="dxa"/>
            <w:gridSpan w:val="16"/>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Локалната самоуправа во Република Македонија согласно Законот за локална самоуправа и другите секторски закони испорачува услуги за граѓаните во десет витални области и притоа врши околу сто и десет функции од кои што произлегуваат директни законски обврски за информирање, како и за транспарентно и отчетно работење. Информирањето, транспарентноста и отчетноста на локалната самоуправа се едни од основните принципи за добро управување на локално ниво, на што се има обврзано Република Македонија и со ратификувањето на Дополнителниот протокол за учество на граѓаните во работата на локалните власти, кој влезе на сила на 01.01.2016 година. Република Македонија генерално има позитивна законска рамка за информирање и консултација на граѓаните. За да се овозможи  применливост во полн капацитет, потребни се институционални механизми и алатки кои што ќе го подигнат нивото на информираност на граѓаните, како и транспарентноста и отчетноста на локалните власти.</w:t>
            </w:r>
          </w:p>
        </w:tc>
      </w:tr>
      <w:tr w:rsidR="008E3733" w:rsidRPr="00232275" w:rsidTr="00E549E1">
        <w:tblPrEx>
          <w:jc w:val="center"/>
          <w:tblInd w:w="0" w:type="dxa"/>
        </w:tblPrEx>
        <w:trPr>
          <w:gridBefore w:val="1"/>
          <w:wBefore w:w="24" w:type="dxa"/>
          <w:trHeight w:val="624"/>
          <w:jc w:val="center"/>
        </w:trPr>
        <w:tc>
          <w:tcPr>
            <w:tcW w:w="4678"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245" w:type="dxa"/>
            <w:gridSpan w:val="16"/>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Да се воспостават стандарди кои ќе обезбедат  предвидливи, навремени, корисни, и обработливи податоци за работењето на локалните власти на ниво на сите единици на локалната самоуправа</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(ЕЛС), со што ќе се зголеми транспарентноста и отчетноста на ЕЛС, ќе се поттикне граѓанското учество, ќе се зголеми довербата, ќе се поттикне развојот и воопшто, ќе се зголеми корисноста за  целата локална заедница, вклучително и како финансиски бенефит од користењето на отворените податоци.</w:t>
            </w:r>
          </w:p>
        </w:tc>
      </w:tr>
      <w:tr w:rsidR="008E3733" w:rsidRPr="00232275" w:rsidTr="00E549E1">
        <w:tblPrEx>
          <w:jc w:val="center"/>
          <w:tblInd w:w="0" w:type="dxa"/>
        </w:tblPrEx>
        <w:trPr>
          <w:gridBefore w:val="1"/>
          <w:wBefore w:w="24" w:type="dxa"/>
          <w:trHeight w:val="360"/>
          <w:jc w:val="center"/>
        </w:trPr>
        <w:tc>
          <w:tcPr>
            <w:tcW w:w="4678" w:type="dxa"/>
            <w:gridSpan w:val="4"/>
            <w:vMerge w:val="restart"/>
            <w:tcBorders>
              <w:top w:val="single" w:sz="8" w:space="0" w:color="auto"/>
              <w:left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tc>
        <w:tc>
          <w:tcPr>
            <w:tcW w:w="122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34"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230" w:type="dxa"/>
            <w:gridSpan w:val="2"/>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556" w:type="dxa"/>
            <w:gridSpan w:val="6"/>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blPrEx>
          <w:jc w:val="center"/>
          <w:tblInd w:w="0" w:type="dxa"/>
        </w:tblPrEx>
        <w:trPr>
          <w:gridBefore w:val="1"/>
          <w:wBefore w:w="24" w:type="dxa"/>
          <w:trHeight w:val="468"/>
          <w:jc w:val="center"/>
        </w:trPr>
        <w:tc>
          <w:tcPr>
            <w:tcW w:w="4678" w:type="dxa"/>
            <w:gridSpan w:val="4"/>
            <w:vMerge/>
            <w:tcBorders>
              <w:left w:val="single" w:sz="8" w:space="0" w:color="auto"/>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tc>
        <w:tc>
          <w:tcPr>
            <w:tcW w:w="122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34"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30" w:type="dxa"/>
            <w:gridSpan w:val="2"/>
            <w:tcBorders>
              <w:top w:val="single" w:sz="8" w:space="0" w:color="auto"/>
              <w:left w:val="nil"/>
              <w:bottom w:val="single" w:sz="8" w:space="0" w:color="auto"/>
              <w:right w:val="single" w:sz="8" w:space="0" w:color="000000"/>
            </w:tcBorders>
            <w:shd w:val="clear" w:color="auto" w:fill="FFFFFF" w:themeFill="background1"/>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 xml:space="preserve">          </w:t>
            </w:r>
          </w:p>
        </w:tc>
        <w:tc>
          <w:tcPr>
            <w:tcW w:w="1556" w:type="dxa"/>
            <w:gridSpan w:val="6"/>
            <w:tcBorders>
              <w:top w:val="single" w:sz="8" w:space="0" w:color="auto"/>
              <w:left w:val="nil"/>
              <w:bottom w:val="single" w:sz="8" w:space="0" w:color="auto"/>
              <w:right w:val="single" w:sz="8" w:space="0" w:color="000000"/>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270"/>
          <w:jc w:val="center"/>
        </w:trPr>
        <w:tc>
          <w:tcPr>
            <w:tcW w:w="4678" w:type="dxa"/>
            <w:gridSpan w:val="4"/>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245" w:type="dxa"/>
            <w:gridSpan w:val="16"/>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превземени активности и постигнати резултати по достигнување</w:t>
            </w:r>
          </w:p>
        </w:tc>
      </w:tr>
      <w:tr w:rsidR="008E3733" w:rsidRPr="00232275" w:rsidTr="00E549E1">
        <w:tblPrEx>
          <w:jc w:val="center"/>
          <w:tblInd w:w="0" w:type="dxa"/>
        </w:tblPrEx>
        <w:trPr>
          <w:gridBefore w:val="1"/>
          <w:wBefore w:w="24" w:type="dxa"/>
          <w:trHeight w:val="300"/>
          <w:jc w:val="center"/>
        </w:trPr>
        <w:tc>
          <w:tcPr>
            <w:tcW w:w="4678"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6.1.1.Анализа на законската рамка, во однос на надлежностите на единиците на локалната самоуправа, јавноста во работењето и објавувањето на информации на нивните веб страници.</w:t>
            </w:r>
          </w:p>
        </w:tc>
        <w:tc>
          <w:tcPr>
            <w:tcW w:w="5245" w:type="dxa"/>
            <w:gridSpan w:val="16"/>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Подготвена анализа на законската рамка на ЕЛС во однос на јавноста во работењето и објавување на информации на веб страниците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Подготвена компаративна анализа на најдобрите практики на отворените податоци во општините во Европската унија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Спроведено истражување на репрезентативен примерок испитаници на територија на РМ и спроведени фокус групи за она што граѓаните би сакале како податок и информација да им биде ставено на располагање на едноставен и лесен начин од ЕЛС.</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Подготвен барометар на е-транспарентност на ЕЛС како појдовен индикатор за подобрување на пристапот кон податоци и информации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 xml:space="preserve">Nota bene: електронската верзија на истражувањата може да се најде на </w:t>
            </w:r>
            <w:hyperlink r:id="rId61" w:history="1">
              <w:r w:rsidRPr="00232275">
                <w:rPr>
                  <w:rFonts w:ascii="StobiSerif Regular" w:eastAsia="Times New Roman" w:hAnsi="StobiSerif Regular" w:cs="Times New Roman"/>
                  <w:sz w:val="20"/>
                  <w:szCs w:val="20"/>
                  <w:lang w:val="mk-MK"/>
                </w:rPr>
                <w:t>www.cup.org.mk</w:t>
              </w:r>
            </w:hyperlink>
            <w:r w:rsidRPr="00232275">
              <w:rPr>
                <w:rFonts w:ascii="StobiSerif Regular" w:eastAsia="Times New Roman" w:hAnsi="StobiSerif Regular" w:cs="Times New Roman"/>
                <w:sz w:val="20"/>
                <w:szCs w:val="20"/>
                <w:lang w:val="mk-MK"/>
              </w:rPr>
              <w:t xml:space="preserve"> ili na </w:t>
            </w:r>
            <w:hyperlink r:id="rId62" w:history="1">
              <w:r w:rsidRPr="00232275">
                <w:rPr>
                  <w:rFonts w:ascii="StobiSerif Regular" w:eastAsia="Times New Roman" w:hAnsi="StobiSerif Regular" w:cs="Times New Roman"/>
                  <w:sz w:val="20"/>
                  <w:szCs w:val="20"/>
                  <w:lang w:val="mk-MK"/>
                </w:rPr>
                <w:t>http://www.cup.org.mk/projectspage.php?id=7</w:t>
              </w:r>
            </w:hyperlink>
            <w:r w:rsidRPr="00232275">
              <w:rPr>
                <w:rFonts w:ascii="StobiSerif Regular" w:eastAsia="Times New Roman" w:hAnsi="StobiSerif Regular" w:cs="Times New Roman"/>
                <w:sz w:val="20"/>
                <w:szCs w:val="20"/>
              </w:rPr>
              <w:t xml:space="preserve"> </w:t>
            </w:r>
          </w:p>
        </w:tc>
      </w:tr>
      <w:tr w:rsidR="008E3733" w:rsidRPr="00232275" w:rsidTr="00E549E1">
        <w:tblPrEx>
          <w:jc w:val="center"/>
          <w:tblInd w:w="0" w:type="dxa"/>
        </w:tblPrEx>
        <w:trPr>
          <w:gridBefore w:val="1"/>
          <w:wBefore w:w="24" w:type="dxa"/>
          <w:trHeight w:val="300"/>
          <w:jc w:val="center"/>
        </w:trPr>
        <w:tc>
          <w:tcPr>
            <w:tcW w:w="4678"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6.1.2. Воспоставување на мрежа меѓу граѓанските организации, локалната и централната власт во функција на аплицирање на стандардите и оддржливост на нивната примена.</w:t>
            </w:r>
          </w:p>
        </w:tc>
        <w:tc>
          <w:tcPr>
            <w:tcW w:w="5245" w:type="dxa"/>
            <w:gridSpan w:val="16"/>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Објавен повик за учество во платформа на организации за Отворено локално владино партнерство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Воспоставена платформа за дијалог за отворени податоци на локално ниво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Одржана е национална конференција и работилница на тема “Стандарди за е-транспарентност и е-отчетност на локално ниво“ во соработка со МЛС и МИОА на која се презентираа наодите од истражувањата.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Отворена е дебата за потребата од засилување на врската помеѓу ЕЛС и националните институции во собирање и објавување на отворени податоци</w:t>
            </w:r>
          </w:p>
        </w:tc>
      </w:tr>
      <w:tr w:rsidR="008E3733" w:rsidRPr="00232275" w:rsidTr="00A0174A">
        <w:tblPrEx>
          <w:jc w:val="center"/>
          <w:tblInd w:w="0" w:type="dxa"/>
        </w:tblPrEx>
        <w:trPr>
          <w:gridBefore w:val="1"/>
          <w:wBefore w:w="24" w:type="dxa"/>
          <w:trHeight w:val="300"/>
          <w:jc w:val="center"/>
        </w:trPr>
        <w:tc>
          <w:tcPr>
            <w:tcW w:w="4678"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6.1.3. Подготовка на стандарди и протоколи  за транспарентност и отворени податоци на локално ниво.</w:t>
            </w:r>
          </w:p>
        </w:tc>
        <w:tc>
          <w:tcPr>
            <w:tcW w:w="5245" w:type="dxa"/>
            <w:gridSpan w:val="16"/>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Како резултат на широк консултациски процес во кој беа вклучени невладиниот сектор, општините и одговорните министерства, се изработени насоки/протоколи за отворени податоци на локално ниво: </w:t>
            </w:r>
          </w:p>
          <w:p w:rsidR="008E3733" w:rsidRPr="00232275" w:rsidRDefault="008E3733" w:rsidP="008E3733">
            <w:pPr>
              <w:numPr>
                <w:ilvl w:val="0"/>
                <w:numId w:val="33"/>
              </w:numPr>
              <w:spacing w:after="0" w:line="240" w:lineRule="auto"/>
              <w:ind w:left="204" w:hanging="180"/>
              <w:contextualSpacing/>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Стандарди за е-транспарентност во единиците на локалната самоуправа – со кои се утврдуваат информациите кои треба да се објавуваат на веб-страниците на локалните самоуправи, како и податочните сетови кои треба да се објавуваат како отворени податоци;</w:t>
            </w:r>
          </w:p>
          <w:p w:rsidR="008E3733" w:rsidRPr="00232275" w:rsidRDefault="008E3733" w:rsidP="008E3733">
            <w:pPr>
              <w:numPr>
                <w:ilvl w:val="0"/>
                <w:numId w:val="33"/>
              </w:numPr>
              <w:spacing w:after="0" w:line="240" w:lineRule="auto"/>
              <w:ind w:left="204" w:hanging="180"/>
              <w:contextualSpacing/>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Насоки за отворени податоци во единиците на локалната самоуправи – со кои се даваат упатства како да се објавуваат отворени податоци од страна на локалните самоуправи.</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Препорачливо е стандардите за е-транспарентност да бидат усвоени од страна на Владата, во соодветен легислативен акт, со цел тие да бидат обврска и насоки за општините. </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eastAsia="Times New Roman" w:hAnsi="StobiSerif Regular" w:cs="Times New Roman"/>
                <w:sz w:val="20"/>
                <w:szCs w:val="20"/>
                <w:lang w:val="mk-MK"/>
              </w:rPr>
              <w:t>Формата на овие стандарди може да се пресликаат и за централните институции.</w:t>
            </w:r>
          </w:p>
        </w:tc>
      </w:tr>
      <w:tr w:rsidR="008E3733" w:rsidRPr="00232275" w:rsidTr="00A0174A">
        <w:tblPrEx>
          <w:jc w:val="center"/>
          <w:tblInd w:w="0" w:type="dxa"/>
        </w:tblPrEx>
        <w:trPr>
          <w:gridBefore w:val="1"/>
          <w:wBefore w:w="24" w:type="dxa"/>
          <w:trHeight w:val="300"/>
          <w:jc w:val="center"/>
        </w:trPr>
        <w:tc>
          <w:tcPr>
            <w:tcW w:w="4678"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6.1.4. Зајакнување на капацитетите на граѓанските организации за користење на отворени податоци на локално ниво.</w:t>
            </w:r>
          </w:p>
        </w:tc>
        <w:tc>
          <w:tcPr>
            <w:tcW w:w="5245" w:type="dxa"/>
            <w:gridSpan w:val="16"/>
            <w:tcBorders>
              <w:top w:val="single" w:sz="8" w:space="0" w:color="auto"/>
              <w:left w:val="single" w:sz="4" w:space="0" w:color="auto"/>
              <w:bottom w:val="single" w:sz="4"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Одржани се регионални обуки (3) за граѓанските организации и локалните самоуправи на теми транспарентност и отворени податоци; важноста на ЕЛС во подготовка и презентирање на отворените податоци и улогата на ГО барање и пристап до отворени податоци и информации.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Одржани се 8 менторски работилници за широк број на граѓански организации во земјата, за понатамошна дисеминација на концептот на отворени податоци и поддршка на ГО и ЕЛС</w:t>
            </w:r>
          </w:p>
        </w:tc>
      </w:tr>
      <w:tr w:rsidR="00A0174A" w:rsidRPr="00232275" w:rsidTr="00A0174A">
        <w:tblPrEx>
          <w:jc w:val="center"/>
          <w:tblInd w:w="0" w:type="dxa"/>
        </w:tblPrEx>
        <w:trPr>
          <w:gridBefore w:val="1"/>
          <w:wBefore w:w="24" w:type="dxa"/>
          <w:trHeight w:val="300"/>
          <w:jc w:val="center"/>
        </w:trPr>
        <w:tc>
          <w:tcPr>
            <w:tcW w:w="4678" w:type="dxa"/>
            <w:gridSpan w:val="4"/>
            <w:tcBorders>
              <w:top w:val="single" w:sz="4" w:space="0" w:color="auto"/>
            </w:tcBorders>
            <w:shd w:val="clear" w:color="auto" w:fill="auto"/>
            <w:noWrap/>
            <w:vAlign w:val="center"/>
          </w:tcPr>
          <w:p w:rsidR="00A0174A" w:rsidRPr="00232275" w:rsidRDefault="00A0174A" w:rsidP="008E3733">
            <w:pPr>
              <w:spacing w:after="0" w:line="240" w:lineRule="auto"/>
              <w:jc w:val="both"/>
              <w:rPr>
                <w:rFonts w:ascii="StobiSerif Regular" w:eastAsia="Times New Roman" w:hAnsi="StobiSerif Regular" w:cs="Times New Roman"/>
                <w:b/>
                <w:i/>
                <w:sz w:val="20"/>
                <w:szCs w:val="20"/>
                <w:lang w:val="mk-MK"/>
              </w:rPr>
            </w:pPr>
          </w:p>
        </w:tc>
        <w:tc>
          <w:tcPr>
            <w:tcW w:w="5245" w:type="dxa"/>
            <w:gridSpan w:val="16"/>
            <w:tcBorders>
              <w:top w:val="single" w:sz="4" w:space="0" w:color="auto"/>
            </w:tcBorders>
            <w:vAlign w:val="center"/>
          </w:tcPr>
          <w:p w:rsidR="00A0174A" w:rsidRPr="00232275" w:rsidRDefault="00A0174A"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A0174A">
        <w:trPr>
          <w:gridAfter w:val="1"/>
          <w:wAfter w:w="17" w:type="dxa"/>
          <w:trHeight w:val="300"/>
        </w:trPr>
        <w:tc>
          <w:tcPr>
            <w:tcW w:w="9930" w:type="dxa"/>
            <w:gridSpan w:val="20"/>
            <w:tcBorders>
              <w:top w:val="single" w:sz="4"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72" w:name="_Toc453059128"/>
            <w:bookmarkStart w:id="73" w:name="_Toc453059220"/>
            <w:bookmarkStart w:id="74" w:name="_Toc453059266"/>
            <w:r w:rsidRPr="00232275">
              <w:rPr>
                <w:rFonts w:ascii="StobiSerif Regular" w:eastAsia="Times New Roman" w:hAnsi="StobiSerif Regular" w:cs="Times New Roman"/>
                <w:b/>
                <w:sz w:val="20"/>
                <w:szCs w:val="20"/>
                <w:lang w:val="mk-MK"/>
              </w:rPr>
              <w:t>6.2.Воспоставување на нови алатки за подобрување на финансиската транспарентност и отчетност на ЕЛС</w:t>
            </w:r>
            <w:bookmarkEnd w:id="72"/>
            <w:bookmarkEnd w:id="73"/>
            <w:bookmarkEnd w:id="74"/>
          </w:p>
        </w:tc>
      </w:tr>
      <w:tr w:rsidR="008E3733" w:rsidRPr="00232275" w:rsidTr="00E549E1">
        <w:trPr>
          <w:gridAfter w:val="1"/>
          <w:wAfter w:w="17" w:type="dxa"/>
          <w:trHeight w:val="576"/>
        </w:trPr>
        <w:tc>
          <w:tcPr>
            <w:tcW w:w="4789" w:type="dxa"/>
            <w:gridSpan w:val="6"/>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07/2016-12/2017</w:t>
            </w:r>
          </w:p>
        </w:tc>
        <w:tc>
          <w:tcPr>
            <w:tcW w:w="5141" w:type="dxa"/>
            <w:gridSpan w:val="1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Продолжување на активноста</w:t>
            </w:r>
          </w:p>
        </w:tc>
      </w:tr>
      <w:tr w:rsidR="008E3733" w:rsidRPr="00232275" w:rsidTr="00E549E1">
        <w:trPr>
          <w:gridAfter w:val="1"/>
          <w:wAfter w:w="17" w:type="dxa"/>
          <w:trHeight w:val="600"/>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141" w:type="dxa"/>
            <w:gridSpan w:val="14"/>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Министерство за локална самоуправа</w:t>
            </w:r>
          </w:p>
        </w:tc>
      </w:tr>
      <w:tr w:rsidR="008E3733" w:rsidRPr="00232275" w:rsidTr="00E549E1">
        <w:trPr>
          <w:gridAfter w:val="1"/>
          <w:wAfter w:w="17" w:type="dxa"/>
          <w:trHeight w:val="658"/>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Министерство за финансии</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Единици на локалната самоуправа</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УНДП</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Илмиасан Даути</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ilmiasan.dauti@undp.org</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ЗЕЛС</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27"/>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Постои потреба од обезбедување на институционален и полесен пристап до информации за работењето на локалната власт, особено во делот што се однесува на реализацијата на јавните финансии.</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Обезбедување на услови за поголема финансиска транспарентност на локалната власт.</w:t>
            </w:r>
          </w:p>
        </w:tc>
      </w:tr>
      <w:tr w:rsidR="008E3733" w:rsidRPr="00232275" w:rsidTr="00E549E1">
        <w:trPr>
          <w:gridAfter w:val="1"/>
          <w:wAfter w:w="17" w:type="dxa"/>
          <w:trHeight w:val="406"/>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Воспоставување на контролни табли во општините како многу достапен начин за информирање на членовите на советите и воопшто на граѓаните за  клучните финансиски податоци од работењето на општината и јавните служби, преку автоматско преземање на кварталните извештаи за реализацијата на буџетот подготвени од страна на општинската администрација и нивна достапност за членовите на советите и за јавноста со помош на контролните табли.</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Иновативен пристап и алатки за полесен пристап до информации, како и обработка на информациите на начин кој што  ќе биде разбирлив за граѓаните. Проактивни членови на советите и граѓани, поотворена локална власт.</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Врска со Цел 16 ,,Мир, правда и силни институции“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p>
        </w:tc>
      </w:tr>
      <w:tr w:rsidR="008E3733" w:rsidRPr="00232275" w:rsidTr="00E549E1">
        <w:trPr>
          <w:gridAfter w:val="1"/>
          <w:wAfter w:w="17" w:type="dxa"/>
          <w:trHeight w:val="547"/>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Полесниот пристап до информации ја поттикнува партиципативноста кај граѓаните и ја зголемува довербата. Намената на информациите и за членовите на Советите, како избрани претставници на граѓаните овозможува да зајакне контролата над извршувањето на локалните јавни финансии од страна на Советите на општините, а со тоа и транспарентноста, отчетноста и одговорноста во трошењето на јавните пари.</w:t>
            </w:r>
          </w:p>
        </w:tc>
      </w:tr>
      <w:tr w:rsidR="008E3733" w:rsidRPr="00232275" w:rsidTr="00E549E1">
        <w:trPr>
          <w:gridAfter w:val="1"/>
          <w:wAfter w:w="17" w:type="dxa"/>
          <w:trHeight w:val="1361"/>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Повисоко ниво на транспарентност и отчетност во работењето на локалните власти, услови за поголема контрола во трошењето на јавните финансии, како и подобрување на квалитетот на јавните услуги.</w:t>
            </w:r>
          </w:p>
        </w:tc>
      </w:tr>
      <w:tr w:rsidR="008E3733" w:rsidRPr="00232275" w:rsidTr="00E549E1">
        <w:trPr>
          <w:gridAfter w:val="1"/>
          <w:wAfter w:w="17" w:type="dxa"/>
          <w:trHeight w:val="397"/>
        </w:trPr>
        <w:tc>
          <w:tcPr>
            <w:tcW w:w="4789" w:type="dxa"/>
            <w:gridSpan w:val="6"/>
            <w:vMerge w:val="restart"/>
            <w:tcBorders>
              <w:top w:val="single" w:sz="8" w:space="0" w:color="auto"/>
              <w:left w:val="single" w:sz="8" w:space="0" w:color="auto"/>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tc>
        <w:tc>
          <w:tcPr>
            <w:tcW w:w="1285"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32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252"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28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rPr>
          <w:gridAfter w:val="1"/>
          <w:wAfter w:w="17" w:type="dxa"/>
          <w:trHeight w:val="412"/>
        </w:trPr>
        <w:tc>
          <w:tcPr>
            <w:tcW w:w="4789" w:type="dxa"/>
            <w:gridSpan w:val="6"/>
            <w:vMerge/>
            <w:tcBorders>
              <w:top w:val="single" w:sz="8" w:space="0" w:color="auto"/>
              <w:left w:val="single" w:sz="8" w:space="0" w:color="auto"/>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322"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52" w:type="dxa"/>
            <w:gridSpan w:val="2"/>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1282" w:type="dxa"/>
            <w:gridSpan w:val="4"/>
            <w:tcBorders>
              <w:top w:val="single" w:sz="8" w:space="0" w:color="auto"/>
              <w:left w:val="nil"/>
              <w:bottom w:val="single" w:sz="8" w:space="0" w:color="auto"/>
              <w:right w:val="single" w:sz="8" w:space="0" w:color="000000"/>
            </w:tcBorders>
            <w:shd w:val="clear" w:color="auto" w:fill="0070C0"/>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70"/>
        </w:trPr>
        <w:tc>
          <w:tcPr>
            <w:tcW w:w="4789" w:type="dxa"/>
            <w:gridSpan w:val="6"/>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141" w:type="dxa"/>
            <w:gridSpan w:val="14"/>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6.2.1. Анализа на податоците и идентификација на најважните финансиски индикатори од кварталните извештаи, во консултација со членови на Совети, администрација и ГО</w:t>
            </w:r>
          </w:p>
        </w:tc>
        <w:tc>
          <w:tcPr>
            <w:tcW w:w="5141" w:type="dxa"/>
            <w:gridSpan w:val="14"/>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Анализата е подготвена со учество на 700 учесници на 30-ина консултативни средби   (советници, општинска администрација, градоначалници, експерти, НВО и бизнис сектор) на кои низ партиципативен и транспарентен начин беа утврдени вкупно 20-ина најважни финансиски индикатори за работењето на единиците на локалната самоуправа. Целта на идентификацијата на најважните финансиски индикатори беше да се обезбедат транспарентни финансиски информации за работењето на општините, како и да се овозможи подобрување на граѓанскиот мониторинг врз процесите на носење и утврдување на општинскиот буџет. </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6.2.2. Воспотавување на софтверско решение за контролните табли и изработка на мобилна апликација</w:t>
            </w:r>
          </w:p>
        </w:tc>
        <w:tc>
          <w:tcPr>
            <w:tcW w:w="5141" w:type="dxa"/>
            <w:gridSpan w:val="14"/>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 xml:space="preserve">Изработени се и се целосно функционални мобилни апликации во две верзии - iOS и Android. Мобилните апликации се направени врз основа на претходно дефинираните најважни финансиски индикатори за работењето на единиците на локалната самоуправа и изработена Контролна е-табла, која претставува софтверско решение кое ќе ги превзема најважните финансиски податоци за работењето на општините и истите ќе ги презентира на соодветна веб локација: </w:t>
            </w:r>
            <w:hyperlink r:id="rId63" w:history="1">
              <w:r w:rsidRPr="00232275">
                <w:rPr>
                  <w:rFonts w:ascii="StobiSerif Regular" w:eastAsia="Times New Roman" w:hAnsi="StobiSerif Regular" w:cs="Times New Roman"/>
                  <w:sz w:val="20"/>
                  <w:szCs w:val="20"/>
                  <w:u w:val="single"/>
                </w:rPr>
                <w:t>http://indikatori.opstinskisoveti.mk</w:t>
              </w:r>
            </w:hyperlink>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На Е-таблата ќе се собираат податоци за следните финансиски аспекти: приходите, расходите, обврските и сл, а на неа ќе бидат објавувани и извештаите за општинскиот буџет, општинските завршни сметки, како и годишните и кварталните извештаи.</w:t>
            </w:r>
          </w:p>
        </w:tc>
      </w:tr>
      <w:tr w:rsidR="00E549E1" w:rsidRPr="00232275" w:rsidTr="00E549E1">
        <w:trPr>
          <w:gridAfter w:val="1"/>
          <w:wAfter w:w="17" w:type="dxa"/>
          <w:trHeight w:val="300"/>
        </w:trPr>
        <w:tc>
          <w:tcPr>
            <w:tcW w:w="4789"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549E1" w:rsidRPr="00232275" w:rsidRDefault="00E549E1" w:rsidP="00E549E1">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6.2.3. Поставување на контролната табла на веб страните на општините и пуштање во употреба на мобилната апликација</w:t>
            </w:r>
          </w:p>
        </w:tc>
        <w:tc>
          <w:tcPr>
            <w:tcW w:w="5141" w:type="dxa"/>
            <w:gridSpan w:val="14"/>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E549E1" w:rsidRPr="00E549E1" w:rsidRDefault="00E549E1" w:rsidP="00E549E1">
            <w:pPr>
              <w:spacing w:after="0" w:line="240" w:lineRule="auto"/>
              <w:jc w:val="both"/>
              <w:rPr>
                <w:rFonts w:ascii="StobiSerif Regular" w:eastAsia="Times New Roman" w:hAnsi="StobiSerif Regular" w:cs="Times New Roman"/>
                <w:sz w:val="20"/>
                <w:szCs w:val="20"/>
                <w:lang w:val="mk-MK"/>
              </w:rPr>
            </w:pPr>
            <w:r w:rsidRPr="00E549E1">
              <w:rPr>
                <w:rFonts w:ascii="StobiSerif Regular" w:eastAsia="Times New Roman" w:hAnsi="StobiSerif Regular" w:cs="Times New Roman"/>
                <w:sz w:val="20"/>
                <w:szCs w:val="20"/>
                <w:lang w:val="mk-MK"/>
              </w:rPr>
              <w:t xml:space="preserve">Подготвен е ВЕБ-банер и се поставени Контролни табли на ВЕБ страниците на првите 6 општини. (Велес, Струмица, Охрид, Чаир, Валандово и Свети Николе). </w:t>
            </w:r>
          </w:p>
        </w:tc>
      </w:tr>
      <w:tr w:rsidR="00E549E1" w:rsidRPr="00232275" w:rsidTr="00E549E1">
        <w:trPr>
          <w:gridAfter w:val="1"/>
          <w:wAfter w:w="17" w:type="dxa"/>
          <w:trHeight w:val="1097"/>
        </w:trPr>
        <w:tc>
          <w:tcPr>
            <w:tcW w:w="4789" w:type="dxa"/>
            <w:gridSpan w:val="6"/>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549E1" w:rsidRPr="00232275" w:rsidRDefault="00E549E1" w:rsidP="00E549E1">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6.2.4. Имплементација на дополнителна алатка (по една во 6 општини) заради внесување на иновации во управувањето.</w:t>
            </w:r>
          </w:p>
        </w:tc>
        <w:tc>
          <w:tcPr>
            <w:tcW w:w="5141" w:type="dxa"/>
            <w:gridSpan w:val="14"/>
            <w:tcBorders>
              <w:top w:val="single" w:sz="8" w:space="0" w:color="auto"/>
              <w:left w:val="single" w:sz="4" w:space="0" w:color="auto"/>
              <w:bottom w:val="single" w:sz="8" w:space="0" w:color="000000"/>
              <w:right w:val="single" w:sz="8" w:space="0" w:color="auto"/>
            </w:tcBorders>
            <w:vAlign w:val="center"/>
          </w:tcPr>
          <w:p w:rsidR="00E549E1" w:rsidRPr="00E549E1" w:rsidRDefault="00E549E1" w:rsidP="00E549E1">
            <w:pPr>
              <w:spacing w:after="0" w:line="240" w:lineRule="auto"/>
              <w:jc w:val="both"/>
              <w:rPr>
                <w:rFonts w:ascii="StobiSerif Regular" w:eastAsia="Times New Roman" w:hAnsi="StobiSerif Regular" w:cs="Times New Roman"/>
                <w:sz w:val="20"/>
                <w:szCs w:val="20"/>
                <w:lang w:val="mk-MK"/>
              </w:rPr>
            </w:pPr>
            <w:r w:rsidRPr="00E549E1">
              <w:rPr>
                <w:rFonts w:ascii="StobiSerif Regular" w:eastAsia="Times New Roman" w:hAnsi="StobiSerif Regular" w:cs="Times New Roman"/>
                <w:sz w:val="20"/>
                <w:szCs w:val="20"/>
                <w:lang w:val="mk-MK"/>
              </w:rPr>
              <w:t>Објавен е јавниот повик и се заокружува процесот на избор на проекти во 6-те општини кои што ќе имаат влијание на доброто управување на локално ниво, особено на транспарентноста, отчетноста и поттикнување на граѓанското учество.</w:t>
            </w:r>
          </w:p>
        </w:tc>
      </w:tr>
      <w:tr w:rsidR="008E3733" w:rsidRPr="00232275" w:rsidTr="00E549E1">
        <w:trPr>
          <w:gridAfter w:val="1"/>
          <w:wAfter w:w="17" w:type="dxa"/>
          <w:trHeight w:val="300"/>
        </w:trPr>
        <w:tc>
          <w:tcPr>
            <w:tcW w:w="9930" w:type="dxa"/>
            <w:gridSpan w:val="20"/>
            <w:tcBorders>
              <w:top w:val="single" w:sz="8" w:space="0" w:color="000000"/>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rPr>
            </w:pPr>
            <w:r w:rsidRPr="00232275">
              <w:rPr>
                <w:rFonts w:ascii="StobiSerif Regular" w:eastAsia="Times New Roman" w:hAnsi="StobiSerif Regular" w:cs="Times New Roman"/>
                <w:b/>
                <w:sz w:val="20"/>
                <w:szCs w:val="20"/>
                <w:lang w:val="mk-MK"/>
              </w:rPr>
              <w:br w:type="page"/>
            </w:r>
            <w:bookmarkStart w:id="75" w:name="_Toc453059129"/>
            <w:bookmarkStart w:id="76" w:name="_Toc453059221"/>
            <w:bookmarkStart w:id="77" w:name="_Toc453059267"/>
          </w:p>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r w:rsidRPr="00232275">
              <w:rPr>
                <w:rFonts w:ascii="StobiSerif Regular" w:eastAsia="Times New Roman" w:hAnsi="StobiSerif Regular" w:cs="Times New Roman"/>
                <w:b/>
                <w:sz w:val="20"/>
                <w:szCs w:val="20"/>
                <w:lang w:val="mk-MK"/>
              </w:rPr>
              <w:t>6.3.Подобрување на функционалноста на институционалните механизми за консултација на локално ниво</w:t>
            </w:r>
            <w:bookmarkEnd w:id="75"/>
            <w:bookmarkEnd w:id="76"/>
            <w:bookmarkEnd w:id="77"/>
          </w:p>
        </w:tc>
      </w:tr>
      <w:tr w:rsidR="008E3733" w:rsidRPr="00232275" w:rsidTr="00E549E1">
        <w:trPr>
          <w:gridAfter w:val="1"/>
          <w:wAfter w:w="17" w:type="dxa"/>
          <w:trHeight w:val="672"/>
        </w:trPr>
        <w:tc>
          <w:tcPr>
            <w:tcW w:w="4789" w:type="dxa"/>
            <w:gridSpan w:val="6"/>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06/2016-12/2018</w:t>
            </w:r>
          </w:p>
        </w:tc>
        <w:tc>
          <w:tcPr>
            <w:tcW w:w="5141" w:type="dxa"/>
            <w:gridSpan w:val="1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rPr>
          <w:gridAfter w:val="1"/>
          <w:wAfter w:w="17" w:type="dxa"/>
          <w:trHeight w:val="600"/>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141" w:type="dxa"/>
            <w:gridSpan w:val="14"/>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rPr>
          <w:gridAfter w:val="1"/>
          <w:wAfter w:w="17" w:type="dxa"/>
          <w:trHeight w:val="487"/>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Министерство за труд и социјална политика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Единици на локалната самоуправа</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ЦИКП, OН жени</w:t>
            </w:r>
            <w:r w:rsidRPr="00232275">
              <w:rPr>
                <w:rFonts w:ascii="StobiSerif Regular" w:eastAsia="Times New Roman" w:hAnsi="StobiSerif Regular" w:cs="Times New Roman"/>
                <w:sz w:val="20"/>
                <w:szCs w:val="20"/>
              </w:rPr>
              <w:t>, UNDP</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Марија Ристеска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Женска Акција –Скопје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070 590 014</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48"/>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закон се предвидени тела и механизми, (Комисии за еднакви можности, Комисии за односи меѓу заедниците, Совети на потрошувачи, месни заедници)кои треба да овозможат институционална консултација на релевантни субјекти за прашања од областите што ги покриваат, пред прашањата да се најдат на дневен ред на седница на Советот на општината како и при креирање на одредени локални политики. Телата главно се формирани на локално ниво но функционираат со ограничен капацитет и резултати, со што нивната улога е маргинализирана. </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Подобрување на функционалноста на механизмите за институционална консултација на локално ниво.</w:t>
            </w:r>
          </w:p>
        </w:tc>
      </w:tr>
      <w:tr w:rsidR="008E3733" w:rsidRPr="00232275" w:rsidTr="00E549E1">
        <w:trPr>
          <w:gridAfter w:val="1"/>
          <w:wAfter w:w="17" w:type="dxa"/>
          <w:trHeight w:val="406"/>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Преку анализа да се детектираат причините за постоечките слабости и да се креираат конкретни инструменти алатки за зајакнување на функционалноста на овие тела за институционална консултација</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Поголемо влијание на граѓаните при креирање на политики на локално ниво и заштита на правата на одредени категории или групи на граѓани, преку нивно директно учество.</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16.7: Да се обезбеди репрезентативно одлучување на сите нивоа, со кое ќе се реагира на проблемите, а ќе биде засновано на вклученост и партиципација на засегнатите страни и Цел 5 ,, Родова еднаквост“ Таргет 5.5: Да се обезбеди целосно и ефективно учество на жените и еднакви можности за лидерство на сите нивоа на донесување одлуки во политичкиот, економскиот и јавниот живот</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унапредување на репрезентативното одлучување на локално ниво преку директно учество и заштита на правата на жените, одредени категории или групи граѓани .</w:t>
            </w:r>
          </w:p>
        </w:tc>
      </w:tr>
      <w:tr w:rsidR="008E3733" w:rsidRPr="00232275" w:rsidTr="00E549E1">
        <w:trPr>
          <w:gridAfter w:val="1"/>
          <w:wAfter w:w="17" w:type="dxa"/>
          <w:trHeight w:val="1019"/>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Подобрената функционалност ќе обезбеди поголема отвореност на овие тела кон граѓаните и нивните интереси, како и институционално артикулирање на нивните интереси кон локалните власти кои што се надлежни за нивно решавање, на начин кој што најмногу ќе им одговара на граѓаните. </w:t>
            </w:r>
          </w:p>
        </w:tc>
      </w:tr>
      <w:tr w:rsidR="008E3733" w:rsidRPr="00232275" w:rsidTr="00E549E1">
        <w:trPr>
          <w:gridAfter w:val="1"/>
          <w:wAfter w:w="17" w:type="dxa"/>
          <w:trHeight w:val="1928"/>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Функционални тела и механизми за институционална консултација на локално ниво (Комисии за еднакви можности, Комисии за односи меѓу заедниците, Совети на потрошувачи, месни заедници), преку кои со директно учество на граѓаните, локалните власти ќе можат да превенираат наместо да решаваат проблеми.</w:t>
            </w:r>
          </w:p>
        </w:tc>
      </w:tr>
      <w:tr w:rsidR="008E3733" w:rsidRPr="00232275" w:rsidTr="00E549E1">
        <w:trPr>
          <w:gridAfter w:val="1"/>
          <w:wAfter w:w="17" w:type="dxa"/>
          <w:trHeight w:val="404"/>
        </w:trPr>
        <w:tc>
          <w:tcPr>
            <w:tcW w:w="4789" w:type="dxa"/>
            <w:gridSpan w:val="6"/>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p w:rsidR="008E3733" w:rsidRPr="00232275" w:rsidRDefault="008E3733" w:rsidP="008E3733">
            <w:pPr>
              <w:spacing w:after="0" w:line="240" w:lineRule="auto"/>
              <w:jc w:val="center"/>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32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252"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28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rPr>
          <w:gridAfter w:val="1"/>
          <w:wAfter w:w="17" w:type="dxa"/>
          <w:trHeight w:val="412"/>
        </w:trPr>
        <w:tc>
          <w:tcPr>
            <w:tcW w:w="4789" w:type="dxa"/>
            <w:gridSpan w:val="6"/>
            <w:vMerge/>
            <w:tcBorders>
              <w:top w:val="single" w:sz="8" w:space="0" w:color="auto"/>
              <w:left w:val="single" w:sz="8" w:space="0" w:color="auto"/>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322"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52" w:type="dxa"/>
            <w:gridSpan w:val="2"/>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 xml:space="preserve">      </w:t>
            </w:r>
          </w:p>
        </w:tc>
        <w:tc>
          <w:tcPr>
            <w:tcW w:w="1282" w:type="dxa"/>
            <w:gridSpan w:val="4"/>
            <w:tcBorders>
              <w:top w:val="single" w:sz="8" w:space="0" w:color="auto"/>
              <w:left w:val="nil"/>
              <w:bottom w:val="single" w:sz="8" w:space="0" w:color="auto"/>
              <w:right w:val="single" w:sz="8" w:space="0" w:color="000000"/>
            </w:tcBorders>
            <w:shd w:val="clear" w:color="auto" w:fill="0070C0"/>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8346E6">
              <w:rPr>
                <w:rFonts w:ascii="StobiSerif Regular" w:eastAsia="Times New Roman" w:hAnsi="StobiSerif Regular" w:cs="Times New Roman"/>
                <w:sz w:val="20"/>
                <w:szCs w:val="20"/>
              </w:rPr>
              <w:t xml:space="preserve">      </w:t>
            </w:r>
          </w:p>
        </w:tc>
      </w:tr>
      <w:tr w:rsidR="008E3733" w:rsidRPr="00232275" w:rsidTr="00E549E1">
        <w:trPr>
          <w:gridAfter w:val="1"/>
          <w:wAfter w:w="17" w:type="dxa"/>
          <w:trHeight w:val="270"/>
        </w:trPr>
        <w:tc>
          <w:tcPr>
            <w:tcW w:w="4789" w:type="dxa"/>
            <w:gridSpan w:val="6"/>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141" w:type="dxa"/>
            <w:gridSpan w:val="14"/>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6.3.1 Подготовка на Програми за еднакви можности во 7 општини,  креирани и спроведени со граѓанско учество.</w:t>
            </w:r>
          </w:p>
        </w:tc>
        <w:tc>
          <w:tcPr>
            <w:tcW w:w="5141" w:type="dxa"/>
            <w:gridSpan w:val="14"/>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Arial"/>
                <w:sz w:val="20"/>
                <w:szCs w:val="20"/>
                <w:lang w:val="mk-MK"/>
              </w:rPr>
            </w:pPr>
            <w:r w:rsidRPr="00232275">
              <w:rPr>
                <w:rFonts w:ascii="StobiSerif Regular" w:eastAsia="Times New Roman" w:hAnsi="StobiSerif Regular" w:cs="Arial"/>
                <w:sz w:val="20"/>
                <w:szCs w:val="20"/>
                <w:lang w:val="mk-MK"/>
              </w:rPr>
              <w:t xml:space="preserve"> Во консултација со засегнатите страни </w:t>
            </w:r>
          </w:p>
          <w:p w:rsidR="008E3733" w:rsidRPr="00232275" w:rsidRDefault="008E3733" w:rsidP="008E3733">
            <w:pPr>
              <w:spacing w:after="0" w:line="240" w:lineRule="auto"/>
              <w:jc w:val="both"/>
              <w:rPr>
                <w:rFonts w:ascii="StobiSerif Regular" w:eastAsia="Times New Roman" w:hAnsi="StobiSerif Regular" w:cs="Arial"/>
                <w:sz w:val="20"/>
                <w:szCs w:val="20"/>
                <w:lang w:val="mk-MK"/>
              </w:rPr>
            </w:pPr>
            <w:r w:rsidRPr="00232275">
              <w:rPr>
                <w:rFonts w:ascii="StobiSerif Regular" w:eastAsia="Times New Roman" w:hAnsi="StobiSerif Regular" w:cs="Arial"/>
                <w:sz w:val="20"/>
                <w:szCs w:val="20"/>
                <w:lang w:val="mk-MK"/>
              </w:rPr>
              <w:t>1.Спроведена е анкета со цел идентификување на потребите на ризичните групи и идентификуваните жртви на семејно насилство од нови специјализирани услуги за превенција и заштита од семејно насилство. Анкетирани се 50 лица во консултација со Меѓуопштинскиот центар</w:t>
            </w:r>
            <w:r w:rsidR="00D60369">
              <w:rPr>
                <w:rFonts w:ascii="StobiSerif Regular" w:eastAsia="Times New Roman" w:hAnsi="StobiSerif Regular" w:cs="Arial"/>
                <w:sz w:val="20"/>
                <w:szCs w:val="20"/>
                <w:lang w:val="mk-MK"/>
              </w:rPr>
              <w:t xml:space="preserve"> за социјална работа во Скопје.</w:t>
            </w:r>
          </w:p>
          <w:p w:rsidR="008E3733" w:rsidRPr="00232275" w:rsidRDefault="008E3733" w:rsidP="008E3733">
            <w:pPr>
              <w:spacing w:after="0" w:line="240" w:lineRule="auto"/>
              <w:jc w:val="both"/>
              <w:rPr>
                <w:rFonts w:ascii="StobiSerif Regular" w:eastAsia="Times New Roman" w:hAnsi="StobiSerif Regular" w:cs="Arial"/>
                <w:sz w:val="20"/>
                <w:szCs w:val="20"/>
                <w:lang w:val="mk-MK"/>
              </w:rPr>
            </w:pPr>
            <w:r w:rsidRPr="00232275">
              <w:rPr>
                <w:rFonts w:ascii="StobiSerif Regular" w:eastAsia="Times New Roman" w:hAnsi="StobiSerif Regular" w:cs="Arial"/>
                <w:sz w:val="20"/>
                <w:szCs w:val="20"/>
                <w:lang w:val="mk-MK"/>
              </w:rPr>
              <w:t>2.</w:t>
            </w:r>
            <w:r w:rsidR="00D60369">
              <w:rPr>
                <w:rFonts w:ascii="StobiSerif Regular" w:eastAsia="Times New Roman" w:hAnsi="StobiSerif Regular" w:cs="Arial"/>
                <w:sz w:val="20"/>
                <w:szCs w:val="20"/>
                <w:lang w:val="mk-MK"/>
              </w:rPr>
              <w:t xml:space="preserve"> </w:t>
            </w:r>
            <w:r w:rsidRPr="00232275">
              <w:rPr>
                <w:rFonts w:ascii="StobiSerif Regular" w:eastAsia="Times New Roman" w:hAnsi="StobiSerif Regular" w:cs="Arial"/>
                <w:sz w:val="20"/>
                <w:szCs w:val="20"/>
                <w:lang w:val="mk-MK"/>
              </w:rPr>
              <w:t>Подготвен е Прирачник Унапредување на родовата еднаквост на локално ниво</w:t>
            </w:r>
            <w:r w:rsidRPr="00232275">
              <w:rPr>
                <w:rFonts w:ascii="StobiSerif Regular" w:eastAsia="Times New Roman" w:hAnsi="StobiSerif Regular" w:cs="Arial"/>
                <w:sz w:val="20"/>
                <w:szCs w:val="20"/>
              </w:rPr>
              <w:t>.</w:t>
            </w:r>
          </w:p>
          <w:p w:rsidR="008E3733" w:rsidRPr="00232275" w:rsidRDefault="00D60369" w:rsidP="008E3733">
            <w:pPr>
              <w:spacing w:after="0" w:line="240" w:lineRule="auto"/>
              <w:jc w:val="both"/>
              <w:rPr>
                <w:rFonts w:ascii="StobiSerif Regular" w:eastAsia="Times New Roman" w:hAnsi="StobiSerif Regular" w:cs="Arial"/>
                <w:sz w:val="20"/>
                <w:szCs w:val="20"/>
                <w:lang w:val="mk-MK"/>
              </w:rPr>
            </w:pPr>
            <w:r>
              <w:rPr>
                <w:rFonts w:ascii="StobiSerif Regular" w:eastAsia="Times New Roman" w:hAnsi="StobiSerif Regular" w:cs="Arial"/>
                <w:sz w:val="20"/>
                <w:szCs w:val="20"/>
                <w:lang w:val="mk-MK"/>
              </w:rPr>
              <w:t xml:space="preserve">3.  </w:t>
            </w:r>
            <w:r w:rsidR="008E3733" w:rsidRPr="00232275">
              <w:rPr>
                <w:rFonts w:ascii="StobiSerif Regular" w:eastAsia="Times New Roman" w:hAnsi="StobiSerif Regular" w:cs="Arial"/>
                <w:sz w:val="20"/>
                <w:szCs w:val="20"/>
                <w:lang w:val="mk-MK"/>
              </w:rPr>
              <w:t>Подготвени се  Програми за еднакви можности на жените и мажите  во 2017 година за општините Чучер Сандево, Сарај,</w:t>
            </w:r>
            <w:r w:rsidR="008E3733" w:rsidRPr="00232275">
              <w:rPr>
                <w:rFonts w:ascii="StobiSerif Regular" w:eastAsia="Calibri" w:hAnsi="StobiSerif Regular" w:cs="Arial"/>
                <w:sz w:val="20"/>
                <w:szCs w:val="20"/>
                <w:lang w:val="mk-MK"/>
              </w:rPr>
              <w:t xml:space="preserve"> </w:t>
            </w:r>
            <w:r w:rsidR="008E3733" w:rsidRPr="00232275">
              <w:rPr>
                <w:rFonts w:ascii="StobiSerif Regular" w:eastAsia="Times New Roman" w:hAnsi="StobiSerif Regular" w:cs="Arial"/>
                <w:sz w:val="20"/>
                <w:szCs w:val="20"/>
                <w:lang w:val="mk-MK"/>
              </w:rPr>
              <w:t>Карпош,</w:t>
            </w:r>
            <w:r w:rsidR="008E3733" w:rsidRPr="00232275">
              <w:rPr>
                <w:rFonts w:ascii="StobiSerif Regular" w:eastAsia="Calibri" w:hAnsi="StobiSerif Regular" w:cs="Arial"/>
                <w:sz w:val="20"/>
                <w:szCs w:val="20"/>
                <w:lang w:val="mk-MK"/>
              </w:rPr>
              <w:t xml:space="preserve"> </w:t>
            </w:r>
            <w:r w:rsidR="008E3733" w:rsidRPr="00232275">
              <w:rPr>
                <w:rFonts w:ascii="StobiSerif Regular" w:eastAsia="Times New Roman" w:hAnsi="StobiSerif Regular" w:cs="Arial"/>
                <w:sz w:val="20"/>
                <w:szCs w:val="20"/>
                <w:lang w:val="mk-MK"/>
              </w:rPr>
              <w:t xml:space="preserve">Ѓорче Петров. Програмите се усогласена со потребите на општините преку Комисиите за еднакви можности на жените и мажите. </w:t>
            </w:r>
          </w:p>
          <w:p w:rsidR="008E3733" w:rsidRPr="00232275" w:rsidRDefault="00D60369" w:rsidP="008E3733">
            <w:pPr>
              <w:spacing w:after="0" w:line="240" w:lineRule="auto"/>
              <w:jc w:val="both"/>
              <w:rPr>
                <w:rFonts w:ascii="StobiSerif Regular" w:eastAsia="Times New Roman" w:hAnsi="StobiSerif Regular" w:cs="Arial"/>
                <w:sz w:val="20"/>
                <w:szCs w:val="20"/>
              </w:rPr>
            </w:pPr>
            <w:r>
              <w:rPr>
                <w:rFonts w:ascii="StobiSerif Regular" w:eastAsia="Times New Roman" w:hAnsi="StobiSerif Regular" w:cs="Arial"/>
                <w:sz w:val="20"/>
                <w:szCs w:val="20"/>
                <w:lang w:val="mk-MK"/>
              </w:rPr>
              <w:t xml:space="preserve">4. </w:t>
            </w:r>
            <w:r w:rsidR="008E3733" w:rsidRPr="00232275">
              <w:rPr>
                <w:rFonts w:ascii="StobiSerif Regular" w:eastAsia="Times New Roman" w:hAnsi="StobiSerif Regular" w:cs="Arial"/>
                <w:sz w:val="20"/>
                <w:szCs w:val="20"/>
                <w:lang w:val="mk-MK"/>
              </w:rPr>
              <w:t xml:space="preserve">Согласно Стратегијата за унапредување на родовата еднаквост во Општина Ѓорче Петров, „Женска акција“ изготви РОБ Анализа - Унапредување на водоводната и канализациона мрежа во општината Ѓорче Петров од родов аспект. </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6.3.2. Развој на модел за вклучување на родов пристап при учество на јавноста во креирање локални политики преку протоколи и листи за проверка и посебни родово одговорни формулари за идентификација на различните потреби и приоритети на мажите и жените.</w:t>
            </w:r>
          </w:p>
        </w:tc>
        <w:tc>
          <w:tcPr>
            <w:tcW w:w="5141" w:type="dxa"/>
            <w:gridSpan w:val="14"/>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Развиен е модел за вклучување на јавноста во креирање на локални политики преку протоколи и листи за проверка, тестиран во 10 општини и преточен во водич за вработени во општините.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u w:val="single"/>
                <w:lang w:val="mk-MK"/>
              </w:rPr>
              <w:t>Продукти</w:t>
            </w:r>
            <w:r w:rsidRPr="00232275">
              <w:rPr>
                <w:rFonts w:ascii="StobiSerif Regular" w:eastAsia="Times New Roman" w:hAnsi="StobiSerif Regular" w:cs="Times New Roman"/>
                <w:sz w:val="20"/>
                <w:szCs w:val="20"/>
                <w:lang w:val="mk-MK"/>
              </w:rPr>
              <w:t>: Водич со протоколи; Листи за проверка; Модул за дводневна генеричка обука на локални службеници</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6.3.3. Финансиска поддршка за 6 општини кои имаат прифатено институционален механизам за учество и консултација со граѓаните преку шема на грантови. (Поддршката ќе биде насочена кон дефинирање и имплементирање на еден проект во секоја од 6-те општини, кој ќе биде насочен кон социјално вклучување (инклузија) на маргинализираните групи граѓани, на начин што ќе ги интегрираат родовите прашања и прашањата поврзани со меѓу-етничката соработка но и доброто владеење воопшто). </w:t>
            </w:r>
          </w:p>
        </w:tc>
        <w:tc>
          <w:tcPr>
            <w:tcW w:w="5141" w:type="dxa"/>
            <w:gridSpan w:val="14"/>
            <w:tcBorders>
              <w:top w:val="single" w:sz="8" w:space="0" w:color="auto"/>
              <w:left w:val="single" w:sz="4" w:space="0" w:color="auto"/>
              <w:bottom w:val="single" w:sz="4" w:space="0" w:color="auto"/>
              <w:right w:val="single" w:sz="8" w:space="0" w:color="auto"/>
            </w:tcBorders>
            <w:vAlign w:val="center"/>
            <w:hideMark/>
          </w:tcPr>
          <w:p w:rsidR="008E3733" w:rsidRPr="008346E6" w:rsidRDefault="008E3733" w:rsidP="008E3733">
            <w:pPr>
              <w:rPr>
                <w:rFonts w:ascii="StobiSerif Regular" w:eastAsia="Times New Roman" w:hAnsi="StobiSerif Regular" w:cs="Times New Roman"/>
                <w:sz w:val="20"/>
                <w:szCs w:val="20"/>
                <w:lang w:val="mk-MK"/>
              </w:rPr>
            </w:pPr>
            <w:r w:rsidRPr="008346E6">
              <w:rPr>
                <w:rFonts w:ascii="StobiSerif Regular" w:eastAsia="Times New Roman" w:hAnsi="StobiSerif Regular" w:cs="Times New Roman"/>
                <w:sz w:val="20"/>
                <w:szCs w:val="20"/>
                <w:lang w:val="mk-MK"/>
              </w:rPr>
              <w:t>Критериумите се изградени, финансиската поддршка за реализација на проекти во 6-те општини од страна на ГО е обезбедена и јавниот повик за проекти е објавен.</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D60369" w:rsidRPr="00232275" w:rsidTr="00E549E1">
        <w:trPr>
          <w:gridAfter w:val="1"/>
          <w:wAfter w:w="17" w:type="dxa"/>
          <w:trHeight w:val="300"/>
        </w:trPr>
        <w:tc>
          <w:tcPr>
            <w:tcW w:w="4789" w:type="dxa"/>
            <w:gridSpan w:val="6"/>
            <w:tcBorders>
              <w:top w:val="single" w:sz="4" w:space="0" w:color="auto"/>
            </w:tcBorders>
            <w:shd w:val="clear" w:color="auto" w:fill="auto"/>
            <w:noWrap/>
            <w:vAlign w:val="center"/>
          </w:tcPr>
          <w:p w:rsidR="00D60369" w:rsidRPr="00232275" w:rsidRDefault="00D60369" w:rsidP="008E3733">
            <w:pPr>
              <w:spacing w:after="0" w:line="240" w:lineRule="auto"/>
              <w:jc w:val="both"/>
              <w:rPr>
                <w:rFonts w:ascii="StobiSerif Regular" w:eastAsia="Times New Roman" w:hAnsi="StobiSerif Regular" w:cs="Times New Roman"/>
                <w:b/>
                <w:i/>
                <w:sz w:val="20"/>
                <w:szCs w:val="20"/>
                <w:lang w:val="mk-MK"/>
              </w:rPr>
            </w:pPr>
          </w:p>
        </w:tc>
        <w:tc>
          <w:tcPr>
            <w:tcW w:w="5141" w:type="dxa"/>
            <w:gridSpan w:val="14"/>
            <w:tcBorders>
              <w:top w:val="single" w:sz="4" w:space="0" w:color="auto"/>
            </w:tcBorders>
            <w:vAlign w:val="center"/>
          </w:tcPr>
          <w:p w:rsidR="00D60369" w:rsidRPr="008346E6" w:rsidRDefault="00D60369" w:rsidP="008E3733">
            <w:pPr>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300"/>
          <w:jc w:val="center"/>
        </w:trPr>
        <w:tc>
          <w:tcPr>
            <w:tcW w:w="9923" w:type="dxa"/>
            <w:gridSpan w:val="20"/>
            <w:tcBorders>
              <w:top w:val="single" w:sz="8" w:space="0" w:color="000000"/>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outlineLvl w:val="0"/>
              <w:rPr>
                <w:rFonts w:ascii="StobiSerif Regular" w:eastAsia="Times New Roman" w:hAnsi="StobiSerif Regular" w:cs="Times New Roman"/>
                <w:b/>
                <w:sz w:val="20"/>
                <w:szCs w:val="20"/>
                <w:lang w:val="mk-MK"/>
              </w:rPr>
            </w:pPr>
            <w:bookmarkStart w:id="78" w:name="_Toc453059130"/>
            <w:bookmarkStart w:id="79" w:name="_Toc453059222"/>
            <w:bookmarkStart w:id="80" w:name="_Toc453059268"/>
            <w:r w:rsidRPr="00232275">
              <w:rPr>
                <w:rFonts w:ascii="StobiSerif Regular" w:eastAsia="Times New Roman" w:hAnsi="StobiSerif Regular" w:cs="Times New Roman"/>
                <w:b/>
                <w:sz w:val="20"/>
                <w:szCs w:val="20"/>
                <w:lang w:val="mk-MK"/>
              </w:rPr>
              <w:t>6.4. Зајакнување на капацитетите за соработка на Единиците на локалната самоуправа со граѓанските организации</w:t>
            </w:r>
            <w:bookmarkEnd w:id="78"/>
            <w:bookmarkEnd w:id="79"/>
            <w:bookmarkEnd w:id="80"/>
          </w:p>
        </w:tc>
      </w:tr>
      <w:tr w:rsidR="008E3733" w:rsidRPr="00232275" w:rsidTr="00E549E1">
        <w:tblPrEx>
          <w:jc w:val="center"/>
          <w:tblInd w:w="0" w:type="dxa"/>
        </w:tblPrEx>
        <w:trPr>
          <w:gridBefore w:val="1"/>
          <w:wBefore w:w="24" w:type="dxa"/>
          <w:trHeight w:val="567"/>
          <w:jc w:val="center"/>
        </w:trPr>
        <w:tc>
          <w:tcPr>
            <w:tcW w:w="5083" w:type="dxa"/>
            <w:gridSpan w:val="7"/>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09/2016-12/2017</w:t>
            </w:r>
          </w:p>
        </w:tc>
        <w:tc>
          <w:tcPr>
            <w:tcW w:w="4840" w:type="dxa"/>
            <w:gridSpan w:val="13"/>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blPrEx>
          <w:jc w:val="center"/>
          <w:tblInd w:w="0" w:type="dxa"/>
        </w:tblPrEx>
        <w:trPr>
          <w:gridBefore w:val="1"/>
          <w:wBefore w:w="24" w:type="dxa"/>
          <w:trHeight w:val="600"/>
          <w:jc w:val="center"/>
        </w:trPr>
        <w:tc>
          <w:tcPr>
            <w:tcW w:w="5083"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4840" w:type="dxa"/>
            <w:gridSpan w:val="13"/>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blPrEx>
          <w:jc w:val="center"/>
          <w:tblInd w:w="0" w:type="dxa"/>
        </w:tblPrEx>
        <w:trPr>
          <w:gridBefore w:val="1"/>
          <w:wBefore w:w="24" w:type="dxa"/>
          <w:trHeight w:val="68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blPrEx>
          <w:jc w:val="center"/>
          <w:tblInd w:w="0" w:type="dxa"/>
        </w:tblPrEx>
        <w:trPr>
          <w:gridBefore w:val="1"/>
          <w:wBefore w:w="24" w:type="dxa"/>
          <w:trHeight w:val="32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blPrEx>
          <w:jc w:val="center"/>
          <w:tblInd w:w="0" w:type="dxa"/>
        </w:tblPrEx>
        <w:trPr>
          <w:gridBefore w:val="1"/>
          <w:wBefore w:w="24" w:type="dxa"/>
          <w:trHeight w:val="32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blPrEx>
          <w:jc w:val="center"/>
          <w:tblInd w:w="0" w:type="dxa"/>
        </w:tblPrEx>
        <w:trPr>
          <w:gridBefore w:val="1"/>
          <w:wBefore w:w="24" w:type="dxa"/>
          <w:trHeight w:val="32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blPrEx>
          <w:jc w:val="center"/>
          <w:tblInd w:w="0" w:type="dxa"/>
        </w:tblPrEx>
        <w:trPr>
          <w:gridBefore w:val="1"/>
          <w:wBefore w:w="24" w:type="dxa"/>
          <w:trHeight w:val="429"/>
          <w:jc w:val="center"/>
        </w:trPr>
        <w:tc>
          <w:tcPr>
            <w:tcW w:w="2169"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14"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4840"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МЛС</w:t>
            </w: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tc>
        <w:tc>
          <w:tcPr>
            <w:tcW w:w="4840"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УНДП, ЕЛС</w:t>
            </w: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429"/>
          <w:jc w:val="center"/>
        </w:trPr>
        <w:tc>
          <w:tcPr>
            <w:tcW w:w="2169"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4840"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548"/>
          <w:jc w:val="center"/>
        </w:trPr>
        <w:tc>
          <w:tcPr>
            <w:tcW w:w="5083"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 најголемиот број на општини сеуште не постојат институционализирани механизми и алатки за соработка на единиците на локалната самоуправа (ЕЛС) со граѓанските организации (ГО). Ова резултира со недоволно развиена соработка, особено не во областите за кои постои особен интерес кај граѓанските организации-испорака на услуги од надлежност на општините од страна на ГО.  </w:t>
            </w:r>
          </w:p>
        </w:tc>
      </w:tr>
      <w:tr w:rsidR="008E3733" w:rsidRPr="00232275" w:rsidTr="00E549E1">
        <w:tblPrEx>
          <w:jc w:val="center"/>
          <w:tblInd w:w="0" w:type="dxa"/>
        </w:tblPrEx>
        <w:trPr>
          <w:gridBefore w:val="1"/>
          <w:wBefore w:w="24" w:type="dxa"/>
          <w:trHeight w:val="32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Воспоставување на механизми за соработка на ЕЛС со ГО, особено во делот на испорака на услуги со што ќе се обезбеди и поголема финансиска оддржливост на ГО.</w:t>
            </w:r>
          </w:p>
        </w:tc>
      </w:tr>
      <w:tr w:rsidR="008E3733" w:rsidRPr="00232275" w:rsidTr="00E549E1">
        <w:tblPrEx>
          <w:jc w:val="center"/>
          <w:tblInd w:w="0" w:type="dxa"/>
        </w:tblPrEx>
        <w:trPr>
          <w:gridBefore w:val="1"/>
          <w:wBefore w:w="24" w:type="dxa"/>
          <w:trHeight w:val="406"/>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Развивање на механизам и алатки за транспарентна распределба на средства од општинските буџети за финансирање на проекти на ГО, дизајнирање на грантови шеми, зајакнување на капацитетите на ЕЛС и на ГО за реализација и користење на средствата, мониторирање на процесот.  </w:t>
            </w:r>
          </w:p>
        </w:tc>
      </w:tr>
      <w:tr w:rsidR="008E3733" w:rsidRPr="00232275" w:rsidTr="00E549E1">
        <w:tblPrEx>
          <w:jc w:val="center"/>
          <w:tblInd w:w="0" w:type="dxa"/>
        </w:tblPrEx>
        <w:trPr>
          <w:gridBefore w:val="1"/>
          <w:wBefore w:w="24" w:type="dxa"/>
          <w:trHeight w:val="60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autoSpaceDE w:val="0"/>
              <w:autoSpaceDN w:val="0"/>
              <w:adjustRightInd w:val="0"/>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Овозможување на транспарентна распределба на буџетските средства за граѓанските организации, подобрување на финансиската одржливост на граѓанските организации, обезбедување на поквалитетни и поекономични услуги за граѓаните на иновативен начин.</w:t>
            </w:r>
          </w:p>
        </w:tc>
      </w:tr>
      <w:tr w:rsidR="008E3733" w:rsidRPr="00232275" w:rsidTr="00E549E1">
        <w:tblPrEx>
          <w:jc w:val="center"/>
          <w:tblInd w:w="0" w:type="dxa"/>
        </w:tblPrEx>
        <w:trPr>
          <w:gridBefore w:val="1"/>
          <w:wBefore w:w="24" w:type="dxa"/>
          <w:trHeight w:val="60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унапредување на транспарентноста и отчетноста во распределбата на јавните финансии на локално ниво.</w:t>
            </w:r>
          </w:p>
        </w:tc>
      </w:tr>
      <w:tr w:rsidR="008E3733" w:rsidRPr="00232275" w:rsidTr="00E549E1">
        <w:tblPrEx>
          <w:jc w:val="center"/>
          <w:tblInd w:w="0" w:type="dxa"/>
        </w:tblPrEx>
        <w:trPr>
          <w:gridBefore w:val="1"/>
          <w:wBefore w:w="24" w:type="dxa"/>
          <w:trHeight w:val="689"/>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Соработката меѓу ЕЛС и ГО на транспарентен начин е услов за добро управување на локално ниво. Со воспоставување на механизми и креирање на алатки, се создаваат услови за воспоставување на пракса на институционализирана и предвидлива соработка, ќе се зголеми взаемната доверба  ќе се поттикне партиципативноста и ќе се подобри квалитетот на јавните услуги.</w:t>
            </w:r>
          </w:p>
        </w:tc>
      </w:tr>
      <w:tr w:rsidR="008E3733" w:rsidRPr="00232275" w:rsidTr="00E549E1">
        <w:tblPrEx>
          <w:jc w:val="center"/>
          <w:tblInd w:w="0" w:type="dxa"/>
        </w:tblPrEx>
        <w:trPr>
          <w:gridBefore w:val="1"/>
          <w:wBefore w:w="24" w:type="dxa"/>
          <w:trHeight w:val="2100"/>
          <w:jc w:val="center"/>
        </w:trPr>
        <w:tc>
          <w:tcPr>
            <w:tcW w:w="5083"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4840"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Воспоставен механизам за распределба на средства на ГО</w:t>
            </w:r>
          </w:p>
          <w:p w:rsidR="008E3733" w:rsidRPr="00232275" w:rsidRDefault="008E3733" w:rsidP="008E373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Зајакнати капацитети на локалната администрација и на граѓанските организации за институционална соработка</w:t>
            </w:r>
          </w:p>
          <w:p w:rsidR="008E3733" w:rsidRPr="00232275" w:rsidRDefault="008E3733" w:rsidP="008E373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Распределба на грантови за ГО</w:t>
            </w:r>
          </w:p>
          <w:p w:rsidR="008E3733" w:rsidRPr="00232275" w:rsidRDefault="008E3733" w:rsidP="008E373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Испорака на одредени социјални услуги од надлежност на ЕЛС од страна на ГО </w:t>
            </w:r>
          </w:p>
          <w:p w:rsidR="008E3733" w:rsidRPr="00232275" w:rsidRDefault="008E3733" w:rsidP="008E373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Мониторирање на целиот процес од страна на ГО</w:t>
            </w:r>
          </w:p>
        </w:tc>
      </w:tr>
      <w:tr w:rsidR="008E3733" w:rsidRPr="00232275" w:rsidTr="00E549E1">
        <w:tblPrEx>
          <w:jc w:val="center"/>
          <w:tblInd w:w="0" w:type="dxa"/>
        </w:tblPrEx>
        <w:trPr>
          <w:gridBefore w:val="1"/>
          <w:wBefore w:w="24" w:type="dxa"/>
          <w:trHeight w:val="406"/>
          <w:jc w:val="center"/>
        </w:trPr>
        <w:tc>
          <w:tcPr>
            <w:tcW w:w="5083" w:type="dxa"/>
            <w:gridSpan w:val="7"/>
            <w:vMerge w:val="restart"/>
            <w:tcBorders>
              <w:top w:val="single" w:sz="8" w:space="0" w:color="auto"/>
              <w:left w:val="single" w:sz="8" w:space="0" w:color="auto"/>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center"/>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004"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417"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134" w:type="dxa"/>
            <w:gridSpan w:val="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blPrEx>
          <w:jc w:val="center"/>
          <w:tblInd w:w="0" w:type="dxa"/>
        </w:tblPrEx>
        <w:trPr>
          <w:gridBefore w:val="1"/>
          <w:wBefore w:w="24" w:type="dxa"/>
          <w:trHeight w:val="400"/>
          <w:jc w:val="center"/>
        </w:trPr>
        <w:tc>
          <w:tcPr>
            <w:tcW w:w="5083" w:type="dxa"/>
            <w:gridSpan w:val="7"/>
            <w:vMerge/>
            <w:tcBorders>
              <w:top w:val="single" w:sz="8" w:space="0" w:color="auto"/>
              <w:left w:val="single" w:sz="8" w:space="0" w:color="auto"/>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rPr>
                <w:rFonts w:ascii="StobiSerif Regular" w:eastAsia="Times New Roman" w:hAnsi="StobiSerif Regular" w:cs="Times New Roman"/>
                <w:sz w:val="20"/>
                <w:szCs w:val="20"/>
              </w:rPr>
            </w:pPr>
          </w:p>
        </w:tc>
        <w:tc>
          <w:tcPr>
            <w:tcW w:w="1004"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rPr>
              <w:t xml:space="preserve">         </w:t>
            </w:r>
          </w:p>
        </w:tc>
        <w:tc>
          <w:tcPr>
            <w:tcW w:w="1417" w:type="dxa"/>
            <w:gridSpan w:val="4"/>
            <w:tcBorders>
              <w:top w:val="single" w:sz="8" w:space="0" w:color="auto"/>
              <w:left w:val="nil"/>
              <w:bottom w:val="single" w:sz="8" w:space="0" w:color="auto"/>
              <w:right w:val="single" w:sz="8" w:space="0" w:color="000000"/>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highlight w:val="blue"/>
                <w:lang w:val="mk-MK"/>
              </w:rPr>
            </w:pPr>
          </w:p>
        </w:tc>
        <w:tc>
          <w:tcPr>
            <w:tcW w:w="1134" w:type="dxa"/>
            <w:gridSpan w:val="3"/>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blPrEx>
          <w:jc w:val="center"/>
          <w:tblInd w:w="0" w:type="dxa"/>
        </w:tblPrEx>
        <w:trPr>
          <w:gridBefore w:val="1"/>
          <w:wBefore w:w="24" w:type="dxa"/>
          <w:trHeight w:val="270"/>
          <w:jc w:val="center"/>
        </w:trPr>
        <w:tc>
          <w:tcPr>
            <w:tcW w:w="5083" w:type="dxa"/>
            <w:gridSpan w:val="7"/>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4840" w:type="dxa"/>
            <w:gridSpan w:val="13"/>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E549E1" w:rsidRPr="00232275" w:rsidTr="00E549E1">
        <w:tblPrEx>
          <w:jc w:val="center"/>
          <w:tblInd w:w="0" w:type="dxa"/>
        </w:tblPrEx>
        <w:trPr>
          <w:gridBefore w:val="1"/>
          <w:wBefore w:w="24" w:type="dxa"/>
          <w:trHeight w:val="300"/>
          <w:jc w:val="center"/>
        </w:trPr>
        <w:tc>
          <w:tcPr>
            <w:tcW w:w="5083"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49E1" w:rsidRPr="00232275" w:rsidRDefault="00E549E1" w:rsidP="00E549E1">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6.4.1. Проценка на  постојните механизми во земјата и на ниво на Единиците на локалната самоуправа за распределба на јавни финансии на граѓанските организации, како и конкретни препораки за подобрување, врз основа на  научени лекции.</w:t>
            </w:r>
          </w:p>
        </w:tc>
        <w:tc>
          <w:tcPr>
            <w:tcW w:w="4840" w:type="dxa"/>
            <w:gridSpan w:val="13"/>
            <w:tcBorders>
              <w:top w:val="single" w:sz="8" w:space="0" w:color="auto"/>
              <w:left w:val="single" w:sz="4" w:space="0" w:color="auto"/>
              <w:bottom w:val="single" w:sz="8" w:space="0" w:color="auto"/>
              <w:right w:val="single" w:sz="8" w:space="0" w:color="auto"/>
            </w:tcBorders>
            <w:vAlign w:val="center"/>
          </w:tcPr>
          <w:p w:rsidR="00E549E1" w:rsidRPr="00232275" w:rsidRDefault="00E549E1" w:rsidP="00E549E1">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Избрани се општините</w:t>
            </w:r>
            <w:r>
              <w:rPr>
                <w:rFonts w:ascii="StobiSerif Regular" w:eastAsia="Times New Roman" w:hAnsi="StobiSerif Regular" w:cs="Times New Roman"/>
                <w:sz w:val="20"/>
                <w:szCs w:val="20"/>
                <w:lang w:val="mk-MK"/>
              </w:rPr>
              <w:t xml:space="preserve"> во кои што</w:t>
            </w:r>
            <w:r w:rsidRPr="00232275">
              <w:rPr>
                <w:rFonts w:ascii="StobiSerif Regular" w:eastAsia="Times New Roman" w:hAnsi="StobiSerif Regular" w:cs="Times New Roman"/>
                <w:sz w:val="20"/>
                <w:szCs w:val="20"/>
                <w:lang w:val="mk-MK"/>
              </w:rPr>
              <w:t xml:space="preserve"> се имплементираат активностите-Струмица, Куманово, Гостивар, Кавадарци и Ресен.</w:t>
            </w:r>
          </w:p>
          <w:p w:rsidR="00E549E1" w:rsidRPr="00E549E1" w:rsidRDefault="00E549E1" w:rsidP="00E549E1">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Подготвена е анализа на постоечките механизми и практики за финансирање на ГО, на национално и општинско ниво, како и законската рамка за финансирање на ГО. </w:t>
            </w:r>
          </w:p>
          <w:p w:rsidR="00E549E1" w:rsidRDefault="00E549E1" w:rsidP="00E549E1">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Организирани и спроведени се обукки за граѓанските организации кои што пројавиле интерес.</w:t>
            </w:r>
          </w:p>
          <w:p w:rsidR="00E549E1" w:rsidRPr="00E549E1" w:rsidRDefault="00E549E1" w:rsidP="00E549E1">
            <w:pPr>
              <w:spacing w:after="0" w:line="240" w:lineRule="auto"/>
              <w:jc w:val="both"/>
              <w:rPr>
                <w:rFonts w:ascii="StobiSerif Regular" w:eastAsia="Times New Roman" w:hAnsi="StobiSerif Regular" w:cs="Times New Roman"/>
                <w:sz w:val="20"/>
                <w:szCs w:val="20"/>
                <w:lang w:val="mk-MK"/>
              </w:rPr>
            </w:pPr>
            <w:r w:rsidRPr="00E549E1">
              <w:rPr>
                <w:rFonts w:ascii="StobiSerif Regular" w:eastAsia="Times New Roman" w:hAnsi="StobiSerif Regular" w:cs="Times New Roman"/>
                <w:sz w:val="20"/>
                <w:szCs w:val="20"/>
                <w:lang w:val="mk-MK"/>
              </w:rPr>
              <w:t>Јавниот повик за проекти е повторен, поради незадоволувачкиот квалитет на проектите доставени во првиот наврат.</w:t>
            </w:r>
          </w:p>
          <w:p w:rsidR="00E549E1" w:rsidRPr="00E549E1" w:rsidRDefault="00E549E1" w:rsidP="00E549E1">
            <w:pPr>
              <w:spacing w:after="0" w:line="240" w:lineRule="auto"/>
              <w:jc w:val="both"/>
              <w:rPr>
                <w:rFonts w:ascii="StobiSerif Regular" w:eastAsia="Times New Roman" w:hAnsi="StobiSerif Regular" w:cs="Times New Roman"/>
                <w:sz w:val="20"/>
                <w:szCs w:val="20"/>
                <w:lang w:val="mk-MK"/>
              </w:rPr>
            </w:pPr>
            <w:r w:rsidRPr="00E549E1">
              <w:rPr>
                <w:rFonts w:ascii="StobiSerif Regular" w:eastAsia="Times New Roman" w:hAnsi="StobiSerif Regular" w:cs="Times New Roman"/>
                <w:sz w:val="20"/>
                <w:szCs w:val="20"/>
                <w:lang w:val="mk-MK"/>
              </w:rPr>
              <w:t>Останува уште да се направи изборот и да се имплементираат проектите, со што се заокружува целиот процес на зајакнување на институционалните капацитети на локалната администрација и на ГО.</w:t>
            </w:r>
          </w:p>
          <w:p w:rsidR="00E549E1" w:rsidRPr="00232275" w:rsidRDefault="00E549E1" w:rsidP="00E549E1">
            <w:pPr>
              <w:spacing w:after="0" w:line="240" w:lineRule="auto"/>
              <w:jc w:val="both"/>
              <w:rPr>
                <w:rFonts w:ascii="StobiSerif Regular" w:eastAsia="Times New Roman" w:hAnsi="StobiSerif Regular" w:cs="Times New Roman"/>
                <w:sz w:val="20"/>
                <w:szCs w:val="20"/>
                <w:lang w:val="mk-MK"/>
              </w:rPr>
            </w:pPr>
            <w:r w:rsidRPr="00E549E1">
              <w:rPr>
                <w:rFonts w:ascii="StobiSerif Regular" w:eastAsia="Times New Roman" w:hAnsi="StobiSerif Regular" w:cs="Times New Roman"/>
                <w:sz w:val="20"/>
                <w:szCs w:val="20"/>
                <w:lang w:val="mk-MK"/>
              </w:rPr>
              <w:t>Овие активности се реализираат со проектот на Европската Комисија: Regional Programme on Local Democracy in the Western Balkans (ReLOaD). Имплементатор на проектот е канцеларијата на УНДП во Босна и Херцеговина а истиот се спроведува во 6 држави во регионот (Босна и Херцеговина, Македонија, Косово, Црна Гора, Албанија и Србија). Носител на проектните активности (партнер – имплементатор) во Република Македонија е локалната канцеларија на УНДП.</w:t>
            </w:r>
          </w:p>
        </w:tc>
      </w:tr>
      <w:tr w:rsidR="008E3733" w:rsidRPr="00232275" w:rsidTr="00E549E1">
        <w:tblPrEx>
          <w:jc w:val="center"/>
          <w:tblInd w:w="0" w:type="dxa"/>
        </w:tblPrEx>
        <w:trPr>
          <w:gridBefore w:val="1"/>
          <w:wBefore w:w="24" w:type="dxa"/>
          <w:trHeight w:val="300"/>
          <w:jc w:val="center"/>
        </w:trPr>
        <w:tc>
          <w:tcPr>
            <w:tcW w:w="5083"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6.4.2. Подготовка на методологија и алатки  за финансирање на граѓанските организации од  општинските буџети  и за следење на реализацијата на средствата.</w:t>
            </w:r>
          </w:p>
        </w:tc>
        <w:tc>
          <w:tcPr>
            <w:tcW w:w="4840" w:type="dxa"/>
            <w:gridSpan w:val="13"/>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404FAC">
              <w:rPr>
                <w:rFonts w:ascii="StobiSerif Regular" w:eastAsia="Times New Roman" w:hAnsi="StobiSerif Regular" w:cs="Times New Roman"/>
                <w:sz w:val="20"/>
                <w:szCs w:val="20"/>
                <w:lang w:val="mk-MK"/>
              </w:rPr>
              <w:t>Методологија е развиена во сите 5 избрани општини.</w:t>
            </w:r>
          </w:p>
        </w:tc>
      </w:tr>
      <w:tr w:rsidR="008E3733" w:rsidRPr="00232275" w:rsidTr="00E549E1">
        <w:tblPrEx>
          <w:jc w:val="center"/>
          <w:tblInd w:w="0" w:type="dxa"/>
        </w:tblPrEx>
        <w:trPr>
          <w:gridBefore w:val="1"/>
          <w:wBefore w:w="24" w:type="dxa"/>
          <w:trHeight w:val="300"/>
          <w:jc w:val="center"/>
        </w:trPr>
        <w:tc>
          <w:tcPr>
            <w:tcW w:w="5083"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6.4.3. Дизајнирање на прилагодени грантови шеми во секоја од избраните општини</w:t>
            </w:r>
          </w:p>
        </w:tc>
        <w:tc>
          <w:tcPr>
            <w:tcW w:w="4840" w:type="dxa"/>
            <w:gridSpan w:val="13"/>
            <w:tcBorders>
              <w:top w:val="single" w:sz="8" w:space="0" w:color="auto"/>
              <w:left w:val="single" w:sz="4" w:space="0" w:color="auto"/>
              <w:bottom w:val="single" w:sz="8" w:space="0" w:color="auto"/>
              <w:right w:val="single" w:sz="8" w:space="0" w:color="auto"/>
            </w:tcBorders>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D60369">
              <w:rPr>
                <w:rFonts w:ascii="StobiSerif Regular" w:eastAsia="Times New Roman" w:hAnsi="StobiSerif Regular" w:cs="Times New Roman"/>
                <w:sz w:val="20"/>
                <w:szCs w:val="20"/>
                <w:lang w:val="mk-MK"/>
              </w:rPr>
              <w:t>Врз основа на Методологијата е развиена грантова шема во сите 5 општини.</w:t>
            </w:r>
          </w:p>
        </w:tc>
      </w:tr>
      <w:tr w:rsidR="008E3733" w:rsidRPr="00232275" w:rsidTr="00E549E1">
        <w:tblPrEx>
          <w:jc w:val="center"/>
          <w:tblInd w:w="0" w:type="dxa"/>
        </w:tblPrEx>
        <w:trPr>
          <w:gridBefore w:val="1"/>
          <w:wBefore w:w="24" w:type="dxa"/>
          <w:trHeight w:val="300"/>
          <w:jc w:val="center"/>
        </w:trPr>
        <w:tc>
          <w:tcPr>
            <w:tcW w:w="5083"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6.4.4.  Развивање на капацитетите на локалната администрација и на ГО во избраните општини за реализација на јавниот повик.</w:t>
            </w:r>
          </w:p>
        </w:tc>
        <w:tc>
          <w:tcPr>
            <w:tcW w:w="4840" w:type="dxa"/>
            <w:gridSpan w:val="13"/>
            <w:tcBorders>
              <w:top w:val="single" w:sz="8" w:space="0" w:color="auto"/>
              <w:left w:val="single" w:sz="4" w:space="0" w:color="auto"/>
              <w:bottom w:val="single" w:sz="8" w:space="0" w:color="auto"/>
              <w:right w:val="single" w:sz="8" w:space="0" w:color="auto"/>
            </w:tcBorders>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D60369">
              <w:rPr>
                <w:rFonts w:ascii="StobiSerif Regular" w:eastAsia="Times New Roman" w:hAnsi="StobiSerif Regular" w:cs="Times New Roman"/>
                <w:sz w:val="20"/>
                <w:szCs w:val="20"/>
                <w:lang w:val="mk-MK"/>
              </w:rPr>
              <w:t xml:space="preserve">Активноста е реализирана преку обуки за сите ГО апликанти на шпрвиот јавен повик за проекти. </w:t>
            </w:r>
          </w:p>
        </w:tc>
      </w:tr>
      <w:tr w:rsidR="008E3733" w:rsidRPr="00232275" w:rsidTr="00E549E1">
        <w:tblPrEx>
          <w:jc w:val="center"/>
          <w:tblInd w:w="0" w:type="dxa"/>
        </w:tblPrEx>
        <w:trPr>
          <w:gridBefore w:val="1"/>
          <w:wBefore w:w="24" w:type="dxa"/>
          <w:trHeight w:val="300"/>
          <w:jc w:val="center"/>
        </w:trPr>
        <w:tc>
          <w:tcPr>
            <w:tcW w:w="5083"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rPr>
            </w:pPr>
            <w:r w:rsidRPr="00232275">
              <w:rPr>
                <w:rFonts w:ascii="StobiSerif Regular" w:eastAsia="Times New Roman" w:hAnsi="StobiSerif Regular" w:cs="Times New Roman"/>
                <w:b/>
                <w:i/>
                <w:sz w:val="20"/>
                <w:szCs w:val="20"/>
                <w:lang w:val="mk-MK"/>
              </w:rPr>
              <w:t>6.4.5. Обезбедување на социјални услуги од страна на граѓанските организации</w:t>
            </w:r>
          </w:p>
        </w:tc>
        <w:tc>
          <w:tcPr>
            <w:tcW w:w="4840" w:type="dxa"/>
            <w:gridSpan w:val="13"/>
            <w:tcBorders>
              <w:top w:val="single" w:sz="8" w:space="0" w:color="auto"/>
              <w:left w:val="single" w:sz="4" w:space="0" w:color="auto"/>
              <w:bottom w:val="single" w:sz="4" w:space="0" w:color="auto"/>
              <w:right w:val="single" w:sz="8" w:space="0" w:color="auto"/>
            </w:tcBorders>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D60369">
              <w:rPr>
                <w:rFonts w:ascii="StobiSerif Regular" w:eastAsia="Times New Roman" w:hAnsi="StobiSerif Regular" w:cs="Times New Roman"/>
                <w:sz w:val="20"/>
                <w:szCs w:val="20"/>
                <w:lang w:val="mk-MK"/>
              </w:rPr>
              <w:t>Активноста ќе отпочне да се реализира со почетокот на имплементацијата на проектите во петте општини од страна на граѓанските организации. За реализација на проектите за секоја општина има предвидено околу 120 илјади евра, а проектоите може да ги реализираат повеќе ГО.</w:t>
            </w:r>
          </w:p>
        </w:tc>
      </w:tr>
      <w:tr w:rsidR="00D60369" w:rsidRPr="00232275" w:rsidTr="00E549E1">
        <w:tblPrEx>
          <w:jc w:val="center"/>
          <w:tblInd w:w="0" w:type="dxa"/>
        </w:tblPrEx>
        <w:trPr>
          <w:gridBefore w:val="1"/>
          <w:wBefore w:w="24" w:type="dxa"/>
          <w:trHeight w:val="300"/>
          <w:jc w:val="center"/>
        </w:trPr>
        <w:tc>
          <w:tcPr>
            <w:tcW w:w="5083" w:type="dxa"/>
            <w:gridSpan w:val="7"/>
            <w:tcBorders>
              <w:top w:val="single" w:sz="4" w:space="0" w:color="auto"/>
            </w:tcBorders>
            <w:shd w:val="clear" w:color="auto" w:fill="auto"/>
            <w:noWrap/>
            <w:vAlign w:val="center"/>
          </w:tcPr>
          <w:p w:rsidR="00D60369" w:rsidRPr="00232275" w:rsidRDefault="00D60369" w:rsidP="008E3733">
            <w:pPr>
              <w:spacing w:after="0" w:line="240" w:lineRule="auto"/>
              <w:jc w:val="both"/>
              <w:rPr>
                <w:rFonts w:ascii="StobiSerif Regular" w:eastAsia="Times New Roman" w:hAnsi="StobiSerif Regular" w:cs="Times New Roman"/>
                <w:b/>
                <w:i/>
                <w:sz w:val="20"/>
                <w:szCs w:val="20"/>
                <w:lang w:val="mk-MK"/>
              </w:rPr>
            </w:pPr>
          </w:p>
        </w:tc>
        <w:tc>
          <w:tcPr>
            <w:tcW w:w="4840" w:type="dxa"/>
            <w:gridSpan w:val="13"/>
            <w:tcBorders>
              <w:top w:val="single" w:sz="4" w:space="0" w:color="auto"/>
            </w:tcBorders>
          </w:tcPr>
          <w:p w:rsidR="00D60369" w:rsidRPr="00D60369" w:rsidRDefault="00D60369"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300"/>
        </w:trPr>
        <w:tc>
          <w:tcPr>
            <w:tcW w:w="9930" w:type="dxa"/>
            <w:gridSpan w:val="20"/>
            <w:tcBorders>
              <w:top w:val="single" w:sz="8" w:space="0" w:color="000000"/>
              <w:left w:val="single" w:sz="8" w:space="0" w:color="auto"/>
              <w:bottom w:val="nil"/>
              <w:right w:val="single" w:sz="8" w:space="0" w:color="000000"/>
            </w:tcBorders>
            <w:shd w:val="clear" w:color="auto" w:fill="548DD4"/>
            <w:vAlign w:val="center"/>
            <w:hideMark/>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bookmarkStart w:id="81" w:name="_Toc453059131"/>
            <w:bookmarkStart w:id="82" w:name="_Toc453059223"/>
            <w:bookmarkStart w:id="83" w:name="_Toc453059269"/>
            <w:r w:rsidRPr="00232275">
              <w:rPr>
                <w:rFonts w:ascii="StobiSerif Regular" w:eastAsia="Times New Roman" w:hAnsi="StobiSerif Regular" w:cs="Times New Roman"/>
                <w:b/>
                <w:sz w:val="20"/>
                <w:szCs w:val="20"/>
                <w:lang w:val="mk-MK"/>
              </w:rPr>
              <w:t>6.5. Мониторинг и евалуација на квалитетот на услугите на локално ниво</w:t>
            </w:r>
            <w:bookmarkEnd w:id="81"/>
            <w:bookmarkEnd w:id="82"/>
            <w:bookmarkEnd w:id="83"/>
            <w:r w:rsidRPr="00232275">
              <w:rPr>
                <w:rFonts w:ascii="StobiSerif Regular" w:eastAsia="Times New Roman" w:hAnsi="StobiSerif Regular" w:cs="Times New Roman"/>
                <w:b/>
                <w:sz w:val="20"/>
                <w:szCs w:val="20"/>
                <w:lang w:val="mk-MK"/>
              </w:rPr>
              <w:t xml:space="preserve"> </w:t>
            </w:r>
          </w:p>
        </w:tc>
      </w:tr>
      <w:tr w:rsidR="008E3733" w:rsidRPr="00232275" w:rsidTr="00E549E1">
        <w:trPr>
          <w:gridAfter w:val="1"/>
          <w:wAfter w:w="17" w:type="dxa"/>
          <w:trHeight w:val="510"/>
        </w:trPr>
        <w:tc>
          <w:tcPr>
            <w:tcW w:w="4789" w:type="dxa"/>
            <w:gridSpan w:val="6"/>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lang w:val="mk-MK"/>
              </w:rPr>
              <w:t xml:space="preserve"> јули 2017-декември 2019</w:t>
            </w:r>
          </w:p>
        </w:tc>
        <w:tc>
          <w:tcPr>
            <w:tcW w:w="5141" w:type="dxa"/>
            <w:gridSpan w:val="1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rPr>
          <w:gridAfter w:val="1"/>
          <w:wAfter w:w="17" w:type="dxa"/>
          <w:trHeight w:val="600"/>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141" w:type="dxa"/>
            <w:gridSpan w:val="14"/>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rPr>
          <w:gridAfter w:val="1"/>
          <w:wAfter w:w="17" w:type="dxa"/>
          <w:trHeight w:val="567"/>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E6510B" w:rsidP="008E3733">
            <w:pPr>
              <w:spacing w:after="0" w:line="240" w:lineRule="auto"/>
              <w:jc w:val="center"/>
              <w:rPr>
                <w:rFonts w:ascii="StobiSerif Regular" w:eastAsia="Times New Roman" w:hAnsi="StobiSerif Regular" w:cs="Times New Roman"/>
                <w:sz w:val="20"/>
                <w:szCs w:val="20"/>
                <w:lang w:val="mk-MK"/>
              </w:rPr>
            </w:pPr>
            <w:hyperlink r:id="rId64" w:history="1">
              <w:r w:rsidR="008E3733" w:rsidRPr="00232275">
                <w:rPr>
                  <w:rFonts w:ascii="StobiSerif Regular" w:eastAsia="Times New Roman" w:hAnsi="StobiSerif Regular" w:cs="Times New Roman"/>
                  <w:sz w:val="20"/>
                  <w:szCs w:val="20"/>
                  <w:u w:val="single"/>
                  <w:lang w:val="mk-MK"/>
                </w:rPr>
                <w:t>elicakar@gmail.com</w:t>
              </w:r>
            </w:hyperlink>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МЛС</w:t>
            </w:r>
            <w:r w:rsidRPr="00232275">
              <w:rPr>
                <w:rFonts w:ascii="StobiSerif Regular" w:eastAsia="Times New Roman" w:hAnsi="StobiSerif Regular" w:cs="Times New Roman"/>
                <w:sz w:val="20"/>
                <w:szCs w:val="20"/>
                <w:lang w:val="en-GB"/>
              </w:rPr>
              <w:t>,</w:t>
            </w:r>
            <w:r w:rsidRPr="00232275">
              <w:rPr>
                <w:rFonts w:ascii="StobiSerif Regular" w:eastAsia="Times New Roman" w:hAnsi="StobiSerif Regular" w:cs="Times New Roman"/>
                <w:sz w:val="20"/>
                <w:szCs w:val="20"/>
                <w:lang w:val="mk-MK"/>
              </w:rPr>
              <w:t xml:space="preserve"> ЕЛС</w:t>
            </w:r>
            <w:r w:rsidRPr="00232275">
              <w:rPr>
                <w:rFonts w:ascii="StobiSerif Regular" w:eastAsia="Times New Roman" w:hAnsi="StobiSerif Regular" w:cs="Times New Roman"/>
                <w:sz w:val="20"/>
                <w:szCs w:val="20"/>
              </w:rPr>
              <w:t xml:space="preserve">, </w:t>
            </w:r>
            <w:r w:rsidRPr="00232275">
              <w:rPr>
                <w:rFonts w:ascii="StobiSerif Regular" w:eastAsia="Times New Roman" w:hAnsi="StobiSerif Regular" w:cs="Times New Roman"/>
                <w:sz w:val="20"/>
                <w:szCs w:val="20"/>
                <w:lang w:val="mk-MK"/>
              </w:rPr>
              <w:t>МФ</w:t>
            </w:r>
            <w:r w:rsidRPr="00232275">
              <w:rPr>
                <w:rFonts w:ascii="StobiSerif Regular" w:eastAsia="Times New Roman" w:hAnsi="StobiSerif Regular" w:cs="Times New Roman"/>
                <w:sz w:val="20"/>
                <w:szCs w:val="20"/>
              </w:rPr>
              <w:t xml:space="preserve">, </w:t>
            </w: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81"/>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УНДП, ГО </w:t>
            </w: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0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81"/>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48"/>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Сé уште недостасува интегриран и стандардизиран систем за мерење на задоволството на граѓаните од квалитетот на услугите кои ги обезбедуваат единиците на локалната самоуправа, како и мониторирање (следење) на резултатите од испораката на услугите. Имајќи предвид дека токму мониторингот и евалуацијата претставуваат клучни фактори од кои зависат транспарентноста, отчетноста и одговорноста на институциите на локалната власт, создавањето на подиректни и стандардизирани повратни врски (фидбек) е една од целите на новата Програма како и </w:t>
            </w:r>
            <w:r w:rsidRPr="00232275">
              <w:rPr>
                <w:rFonts w:ascii="StobiSerif Regular" w:eastAsia="Times New Roman" w:hAnsi="StobiSerif Regular" w:cs="Times New Roman"/>
                <w:sz w:val="20"/>
                <w:szCs w:val="20"/>
              </w:rPr>
              <w:t xml:space="preserve">на </w:t>
            </w:r>
            <w:r w:rsidRPr="00232275">
              <w:rPr>
                <w:rFonts w:ascii="StobiSerif Regular" w:eastAsia="Times New Roman" w:hAnsi="StobiSerif Regular" w:cs="Times New Roman"/>
                <w:sz w:val="20"/>
                <w:szCs w:val="20"/>
                <w:lang w:val="mk-MK"/>
              </w:rPr>
              <w:t xml:space="preserve">Акцискиот план за одржлив локален развој и децентрализација. Активностите кои ќе бидат преземени во рамките на оваа мерка, ќе им овозможат на граѓаните на директен начин да ги поставуваат локалните цели и приоритети, истовремено овозможувајќи му на граѓанскиот сектор да го мониторира успехот на општините при обезбедувањето на јавните услуги. </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Воспоставување функционален и стандардизиран систем за мерење на „Квалитетот на животот“ во сите општини (фокусиран на локалните услуги), следење на квалитетот при обезбедувањето на јавните услуги, како и добивање постојан увид во задоволството на граѓаните од квалитетот на услугите на локално ниво. </w:t>
            </w:r>
          </w:p>
        </w:tc>
      </w:tr>
      <w:tr w:rsidR="008E3733" w:rsidRPr="00232275" w:rsidTr="00E549E1">
        <w:trPr>
          <w:gridAfter w:val="1"/>
          <w:wAfter w:w="17" w:type="dxa"/>
          <w:trHeight w:val="406"/>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Воспоставување на систем на мониторинг и евалуација во сите 81 единица на локалната самоуправа. Обезбедување на постојан увид во квалитетот на услугите на локално ниво, преку зајакнување на капацитетите на граѓанскиот сектор. Спроведување на годишни истражувања за нивото на задоволство на граѓаните од услугите обезбедени од страна на единиците на локалната самоуправа.</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autoSpaceDE w:val="0"/>
              <w:autoSpaceDN w:val="0"/>
              <w:adjustRightInd w:val="0"/>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Постојано и навремено следење на квалитетот на животот во сите општини во државата преку употреба на стандардизирани индикатори, мониторирање на процесот на обезбедување јавни услуги од општините и добивање на реален увид во задоволството на граѓаните од квалитетот на услугите на локално ниво, во соработка со граѓанскиот сектор.</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мерките од оваа заложба се придонесува кон унапредување на ефективноста и транспарентноста на институциите на локално ниво преку стандардизиран систем на мониторинг на услугите и учество на граѓанит . </w:t>
            </w:r>
          </w:p>
        </w:tc>
      </w:tr>
      <w:tr w:rsidR="008E3733" w:rsidRPr="00232275" w:rsidTr="00E549E1">
        <w:trPr>
          <w:gridAfter w:val="1"/>
          <w:wAfter w:w="17" w:type="dxa"/>
          <w:trHeight w:val="689"/>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Воспоставувањето стандардизиран систем за мерење на квалитетот на животот во сите општини ќе придонесе кон добивање на постојан увид во квалитетот на услугите кои ги обезбедуваат единиците на локалната самоуправа, но и ќе ја зајакнат надзорната улога на општинските совети врз општинската администрација. Од друга страна пак, мерењата на перцепциите на граѓаните за квалитетот на услугите на локално ниво, ќе овозможат самите граѓани да учествуваат во поставувањето на приоритетни цели (услуги на кои тие им даваат приоритет) но и да го оценуваат доставувањето на услугите од страна на локалната самоуправа.</w:t>
            </w:r>
          </w:p>
        </w:tc>
      </w:tr>
      <w:tr w:rsidR="008E3733" w:rsidRPr="00232275" w:rsidTr="00E549E1">
        <w:trPr>
          <w:gridAfter w:val="1"/>
          <w:wAfter w:w="17" w:type="dxa"/>
          <w:trHeight w:val="973"/>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Воспоставен функционален и стандардизиран систем за мониторинг на квалитетот на животот фокусиран на локалните услуги во сите општини во државата;</w:t>
            </w:r>
          </w:p>
          <w:p w:rsidR="008E3733" w:rsidRPr="00232275" w:rsidRDefault="008E3733" w:rsidP="008E373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Креирана база на податоци за квалитетот на животот во сите 81 општина во Република Македонија</w:t>
            </w:r>
          </w:p>
          <w:p w:rsidR="008E3733" w:rsidRPr="00232275" w:rsidRDefault="008E3733" w:rsidP="008E373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Зајакнати капацитети на граѓанскиот сектор за мониторирање на услугите кои ги обезбедува локалната самоуправа</w:t>
            </w:r>
          </w:p>
          <w:p w:rsidR="008E3733" w:rsidRPr="00232275" w:rsidRDefault="008E3733" w:rsidP="008E373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Зајакната надзорната улога на општинските совети врз општинската администрација при доставувањето на услуги на локално ниво во сите општини.</w:t>
            </w:r>
          </w:p>
          <w:p w:rsidR="008E3733" w:rsidRPr="00232275" w:rsidRDefault="008E3733" w:rsidP="008E3733">
            <w:pPr>
              <w:numPr>
                <w:ilvl w:val="0"/>
                <w:numId w:val="15"/>
              </w:numPr>
              <w:spacing w:after="0" w:line="240" w:lineRule="auto"/>
              <w:ind w:left="178" w:hanging="142"/>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Спроведени годишни истражувања за задоволството на граѓаните од квалитетот на услугите на локално ниво. </w:t>
            </w:r>
          </w:p>
        </w:tc>
      </w:tr>
      <w:tr w:rsidR="008E3733" w:rsidRPr="00232275" w:rsidTr="00E549E1">
        <w:trPr>
          <w:gridAfter w:val="1"/>
          <w:wAfter w:w="17" w:type="dxa"/>
          <w:trHeight w:val="427"/>
        </w:trPr>
        <w:tc>
          <w:tcPr>
            <w:tcW w:w="4789" w:type="dxa"/>
            <w:gridSpan w:val="6"/>
            <w:vMerge w:val="restart"/>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b/>
                <w:sz w:val="20"/>
                <w:szCs w:val="20"/>
                <w:lang w:val="mk-MK"/>
              </w:rPr>
            </w:pP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32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 xml:space="preserve">ограничено </w:t>
            </w:r>
          </w:p>
        </w:tc>
        <w:tc>
          <w:tcPr>
            <w:tcW w:w="1417"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 xml:space="preserve">значително </w:t>
            </w:r>
          </w:p>
        </w:tc>
        <w:tc>
          <w:tcPr>
            <w:tcW w:w="1117"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rPr>
          <w:gridAfter w:val="1"/>
          <w:wAfter w:w="17" w:type="dxa"/>
          <w:trHeight w:val="303"/>
        </w:trPr>
        <w:tc>
          <w:tcPr>
            <w:tcW w:w="4789" w:type="dxa"/>
            <w:gridSpan w:val="6"/>
            <w:vMerge/>
            <w:tcBorders>
              <w:top w:val="single" w:sz="8" w:space="0" w:color="auto"/>
              <w:left w:val="single" w:sz="8" w:space="0" w:color="auto"/>
              <w:bottom w:val="single" w:sz="8" w:space="0" w:color="auto"/>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 xml:space="preserve">        </w:t>
            </w:r>
          </w:p>
        </w:tc>
        <w:tc>
          <w:tcPr>
            <w:tcW w:w="1322"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417" w:type="dxa"/>
            <w:gridSpan w:val="4"/>
            <w:tcBorders>
              <w:top w:val="single" w:sz="8" w:space="0" w:color="auto"/>
              <w:left w:val="nil"/>
              <w:bottom w:val="single" w:sz="8" w:space="0" w:color="auto"/>
              <w:right w:val="single" w:sz="8" w:space="0" w:color="000000"/>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117" w:type="dxa"/>
            <w:gridSpan w:val="2"/>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70"/>
        </w:trPr>
        <w:tc>
          <w:tcPr>
            <w:tcW w:w="4789" w:type="dxa"/>
            <w:gridSpan w:val="6"/>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141" w:type="dxa"/>
            <w:gridSpan w:val="14"/>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преземени активности и постигнати резултати по достигнување</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6.5.1. Дефинирање на индикатори за Квалитет на животот; собирање на податоци во општините и креирање на датабаза со податоци од сите општини.</w:t>
            </w:r>
          </w:p>
        </w:tc>
        <w:tc>
          <w:tcPr>
            <w:tcW w:w="5141" w:type="dxa"/>
            <w:gridSpan w:val="14"/>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Имплементацијата на проектот со зголемена динамика започнува од почетокот на 2018 година. Определени се лицата во надлежните институции кои што ќе работат на предвидените активности. Активноста се реализира на експертско ниво.</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Овие активности се предвидени со ИПА проектот: </w:t>
            </w:r>
            <w:r w:rsidRPr="00232275">
              <w:rPr>
                <w:rFonts w:ascii="StobiSerif Regular" w:eastAsia="Times New Roman" w:hAnsi="StobiSerif Regular" w:cs="Times New Roman"/>
                <w:i/>
                <w:sz w:val="20"/>
                <w:szCs w:val="20"/>
                <w:lang w:val="mk-MK"/>
              </w:rPr>
              <w:t>Supporting consolidation of the local self-government system in its capacities to ensure inclusive governance and growth</w:t>
            </w:r>
            <w:r w:rsidRPr="00232275">
              <w:rPr>
                <w:rFonts w:ascii="StobiSerif Regular" w:eastAsia="Times New Roman" w:hAnsi="StobiSerif Regular" w:cs="Times New Roman"/>
                <w:sz w:val="20"/>
                <w:szCs w:val="20"/>
                <w:lang w:val="mk-MK"/>
              </w:rPr>
              <w:t xml:space="preserve">, чиј имплементатор </w:t>
            </w:r>
            <w:r w:rsidRPr="00232275">
              <w:rPr>
                <w:rFonts w:ascii="StobiSerif Regular" w:eastAsia="Times New Roman" w:hAnsi="StobiSerif Regular" w:cs="Times New Roman"/>
                <w:sz w:val="20"/>
                <w:szCs w:val="20"/>
              </w:rPr>
              <w:t>e</w:t>
            </w:r>
            <w:r w:rsidRPr="00232275">
              <w:rPr>
                <w:rFonts w:ascii="StobiSerif Regular" w:eastAsia="Times New Roman" w:hAnsi="StobiSerif Regular" w:cs="Times New Roman"/>
                <w:sz w:val="20"/>
                <w:szCs w:val="20"/>
                <w:lang w:val="mk-MK"/>
              </w:rPr>
              <w:t xml:space="preserve"> локалната канцеларија на УНДП во Република Македонија.</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6.5.2. Зајакнување на капацитетите на засегнатите страни (општините) да ги координираат, мониторираат и евалуираат квалитетот и ефикасноста на доставувањето услуги на локално ниво.</w:t>
            </w:r>
          </w:p>
        </w:tc>
        <w:tc>
          <w:tcPr>
            <w:tcW w:w="5141" w:type="dxa"/>
            <w:gridSpan w:val="14"/>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Активноста се реализира.</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6.5.3. Организирање на обуки наменети за телата на општинската администрација задолжени за мониторинг и евалуација со цел подобрување на нивната ефикасност и знаења во 81 општина.</w:t>
            </w:r>
          </w:p>
        </w:tc>
        <w:tc>
          <w:tcPr>
            <w:tcW w:w="5141" w:type="dxa"/>
            <w:gridSpan w:val="14"/>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Активноста се реализира.</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6.5.4. Спроведување на две (2) годишни истражувања за задоволството на граѓаните од квалитетот на услугите на локално ниво</w:t>
            </w:r>
          </w:p>
        </w:tc>
        <w:tc>
          <w:tcPr>
            <w:tcW w:w="5141" w:type="dxa"/>
            <w:gridSpan w:val="14"/>
            <w:tcBorders>
              <w:top w:val="single" w:sz="8" w:space="0" w:color="auto"/>
              <w:left w:val="single" w:sz="4" w:space="0" w:color="auto"/>
              <w:bottom w:val="single" w:sz="4"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rPr>
              <w:t xml:space="preserve">  </w:t>
            </w:r>
            <w:r w:rsidRPr="007C4184">
              <w:rPr>
                <w:rFonts w:ascii="StobiSerif Regular" w:eastAsia="Times New Roman" w:hAnsi="StobiSerif Regular" w:cs="Times New Roman"/>
                <w:sz w:val="20"/>
                <w:szCs w:val="20"/>
                <w:lang w:val="mk-MK"/>
              </w:rPr>
              <w:t xml:space="preserve">  Извештајот за 2017 година е подготвен.</w:t>
            </w:r>
          </w:p>
        </w:tc>
      </w:tr>
      <w:tr w:rsidR="00D60369" w:rsidRPr="00232275" w:rsidTr="00A0174A">
        <w:trPr>
          <w:gridAfter w:val="1"/>
          <w:wAfter w:w="17" w:type="dxa"/>
          <w:trHeight w:val="300"/>
        </w:trPr>
        <w:tc>
          <w:tcPr>
            <w:tcW w:w="4789" w:type="dxa"/>
            <w:gridSpan w:val="6"/>
            <w:tcBorders>
              <w:top w:val="single" w:sz="4" w:space="0" w:color="auto"/>
              <w:bottom w:val="single" w:sz="4" w:space="0" w:color="auto"/>
            </w:tcBorders>
            <w:shd w:val="clear" w:color="auto" w:fill="auto"/>
            <w:noWrap/>
            <w:vAlign w:val="center"/>
          </w:tcPr>
          <w:p w:rsidR="00D60369" w:rsidRPr="00232275" w:rsidRDefault="00D60369" w:rsidP="008E3733">
            <w:pPr>
              <w:spacing w:after="0" w:line="240" w:lineRule="auto"/>
              <w:jc w:val="both"/>
              <w:rPr>
                <w:rFonts w:ascii="StobiSerif Regular" w:eastAsia="Times New Roman" w:hAnsi="StobiSerif Regular" w:cs="Times New Roman"/>
                <w:b/>
                <w:i/>
                <w:sz w:val="20"/>
                <w:szCs w:val="20"/>
                <w:lang w:val="mk-MK"/>
              </w:rPr>
            </w:pPr>
          </w:p>
        </w:tc>
        <w:tc>
          <w:tcPr>
            <w:tcW w:w="5141" w:type="dxa"/>
            <w:gridSpan w:val="14"/>
            <w:tcBorders>
              <w:top w:val="single" w:sz="4" w:space="0" w:color="auto"/>
              <w:bottom w:val="single" w:sz="4" w:space="0" w:color="auto"/>
            </w:tcBorders>
            <w:vAlign w:val="center"/>
          </w:tcPr>
          <w:p w:rsidR="00D60369" w:rsidRPr="00232275" w:rsidRDefault="00D60369" w:rsidP="008E3733">
            <w:pPr>
              <w:spacing w:after="0" w:line="240" w:lineRule="auto"/>
              <w:jc w:val="both"/>
              <w:rPr>
                <w:rFonts w:ascii="StobiSerif Regular" w:eastAsia="Times New Roman" w:hAnsi="StobiSerif Regular" w:cs="Times New Roman"/>
                <w:sz w:val="20"/>
                <w:szCs w:val="20"/>
              </w:rPr>
            </w:pPr>
          </w:p>
        </w:tc>
      </w:tr>
      <w:tr w:rsidR="008E3733" w:rsidRPr="00232275" w:rsidTr="00A0174A">
        <w:trPr>
          <w:gridAfter w:val="1"/>
          <w:wAfter w:w="17" w:type="dxa"/>
          <w:trHeight w:val="300"/>
        </w:trPr>
        <w:tc>
          <w:tcPr>
            <w:tcW w:w="9930" w:type="dxa"/>
            <w:gridSpan w:val="20"/>
            <w:tcBorders>
              <w:top w:val="single" w:sz="4" w:space="0" w:color="auto"/>
              <w:left w:val="single" w:sz="8" w:space="0" w:color="auto"/>
              <w:bottom w:val="nil"/>
              <w:right w:val="single" w:sz="8" w:space="0" w:color="000000"/>
            </w:tcBorders>
            <w:shd w:val="clear" w:color="auto" w:fill="548DD4"/>
            <w:vAlign w:val="center"/>
          </w:tcPr>
          <w:p w:rsidR="008E3733" w:rsidRPr="00232275" w:rsidRDefault="008E3733" w:rsidP="00A0174A">
            <w:pPr>
              <w:keepNext/>
              <w:spacing w:after="0" w:line="240" w:lineRule="auto"/>
              <w:jc w:val="center"/>
              <w:outlineLvl w:val="0"/>
              <w:rPr>
                <w:rFonts w:ascii="StobiSerif Regular" w:eastAsia="Times New Roman" w:hAnsi="StobiSerif Regular" w:cs="Times New Roman"/>
                <w:b/>
                <w:sz w:val="20"/>
                <w:szCs w:val="20"/>
                <w:lang w:val="mk-MK"/>
              </w:rPr>
            </w:pPr>
            <w:bookmarkStart w:id="84" w:name="_Toc453059132"/>
            <w:bookmarkStart w:id="85" w:name="_Toc453059224"/>
            <w:bookmarkStart w:id="86" w:name="_Toc453059270"/>
            <w:r w:rsidRPr="00232275">
              <w:rPr>
                <w:rFonts w:ascii="StobiSerif Regular" w:eastAsia="Times New Roman" w:hAnsi="StobiSerif Regular" w:cs="Times New Roman"/>
                <w:b/>
                <w:sz w:val="20"/>
                <w:szCs w:val="20"/>
                <w:lang w:val="mk-MK"/>
              </w:rPr>
              <w:t>6.6.Подобрување на социјалните услуги на локално ниво</w:t>
            </w:r>
            <w:bookmarkEnd w:id="84"/>
            <w:bookmarkEnd w:id="85"/>
            <w:bookmarkEnd w:id="86"/>
          </w:p>
        </w:tc>
      </w:tr>
      <w:tr w:rsidR="008E3733" w:rsidRPr="00232275" w:rsidTr="00E549E1">
        <w:trPr>
          <w:gridAfter w:val="1"/>
          <w:wAfter w:w="17" w:type="dxa"/>
          <w:trHeight w:val="567"/>
        </w:trPr>
        <w:tc>
          <w:tcPr>
            <w:tcW w:w="4927" w:type="dxa"/>
            <w:gridSpan w:val="7"/>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07/2016-06/2018</w:t>
            </w:r>
          </w:p>
        </w:tc>
        <w:tc>
          <w:tcPr>
            <w:tcW w:w="5003" w:type="dxa"/>
            <w:gridSpan w:val="13"/>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rPr>
          <w:gridAfter w:val="1"/>
          <w:wAfter w:w="17" w:type="dxa"/>
          <w:trHeight w:val="600"/>
        </w:trPr>
        <w:tc>
          <w:tcPr>
            <w:tcW w:w="4927"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003" w:type="dxa"/>
            <w:gridSpan w:val="13"/>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rPr>
          <w:gridAfter w:val="1"/>
          <w:wAfter w:w="17" w:type="dxa"/>
          <w:trHeight w:val="567"/>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3052"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003"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Министерство за труд и социјална политика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ЈОУДГ „Астибо“ - Штип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ЈОУДГ „13 Ноември“ - опш. Центар</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ЈУДГ „Детска радост“ - опш.Гази Баба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ЈУДГ „Бубамара“ опш.Аеродром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ЈУДГ „8 Март“ - Кисела Вода</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003"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before="100" w:beforeAutospacing="1" w:after="100" w:afterAutospacing="1"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ЦИКП</w:t>
            </w:r>
          </w:p>
          <w:p w:rsidR="008E3733" w:rsidRPr="00232275" w:rsidRDefault="008E3733" w:rsidP="008E3733">
            <w:pPr>
              <w:spacing w:before="100" w:beforeAutospacing="1" w:after="100" w:afterAutospacing="1"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Sole Communication Network  - дооел</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48"/>
        </w:trPr>
        <w:tc>
          <w:tcPr>
            <w:tcW w:w="4927"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 постои систем за електронска комуникација меѓу установите за згрижување на деца од предшколска возраст (градинките) и родителите како корисници на нивните услуги. Исто така градинките немаат воспоставено ниту електронски систем за внатрешна комуникација и комуникација со другите клиенти, што генерално се одразува на ефикасноста и на квалитетот на услугата, како и на транспарентноста и на отчетноста во нивното работење. </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Развиена платформа и градење на капацитети за комуникација и унапредување на ефективноста и ефикасноста на доставувањето на услугите од страна на градинките.</w:t>
            </w:r>
          </w:p>
        </w:tc>
      </w:tr>
      <w:tr w:rsidR="008E3733" w:rsidRPr="00232275" w:rsidTr="00E549E1">
        <w:trPr>
          <w:gridAfter w:val="1"/>
          <w:wAfter w:w="17" w:type="dxa"/>
          <w:trHeight w:val="406"/>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003" w:type="dxa"/>
            <w:gridSpan w:val="13"/>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1.Развој на алатка (web, mobile и desktop апликација) која во себе ќе ги содржи следните елементи:</w:t>
            </w:r>
          </w:p>
          <w:p w:rsidR="008E3733" w:rsidRPr="00232275" w:rsidRDefault="008E3733" w:rsidP="008E3733">
            <w:pPr>
              <w:spacing w:after="0" w:line="240" w:lineRule="auto"/>
              <w:contextualSpacing/>
              <w:jc w:val="both"/>
              <w:rPr>
                <w:rFonts w:ascii="StobiSerif Regular" w:eastAsia="Times New Roman" w:hAnsi="StobiSerif Regular" w:cs="Times New Roman"/>
                <w:sz w:val="10"/>
                <w:szCs w:val="1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2.Електронско вмрежување на сите субјекти со кои соработува градинката</w:t>
            </w:r>
          </w:p>
          <w:p w:rsidR="008E3733" w:rsidRPr="00232275" w:rsidRDefault="008E3733" w:rsidP="008E3733">
            <w:pPr>
              <w:spacing w:after="0" w:line="240" w:lineRule="auto"/>
              <w:jc w:val="both"/>
              <w:rPr>
                <w:rFonts w:ascii="StobiSerif Regular" w:eastAsia="Times New Roman" w:hAnsi="StobiSerif Regular" w:cs="Times New Roman"/>
                <w:sz w:val="10"/>
                <w:szCs w:val="1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 Електронска комуникација и испорака на услуги преку електронско поднесување на формулари за упис во градинките, објавување на дневното мени, организирање на настани, можност граѓаните да имаат директно влијание со нивни забелешки, сугестии и предлози на ВЕБ страната на градинката.</w:t>
            </w:r>
          </w:p>
        </w:tc>
      </w:tr>
      <w:tr w:rsidR="008E3733" w:rsidRPr="00232275" w:rsidTr="00E549E1">
        <w:trPr>
          <w:gridAfter w:val="1"/>
          <w:wAfter w:w="17" w:type="dxa"/>
          <w:trHeight w:val="264"/>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Поголемо граѓанско учество, користење на нови технологии, подобрување на квалитетот на услугите.</w:t>
            </w:r>
          </w:p>
        </w:tc>
      </w:tr>
      <w:tr w:rsidR="008E3733" w:rsidRPr="00232275" w:rsidTr="00E549E1">
        <w:trPr>
          <w:gridAfter w:val="1"/>
          <w:wAfter w:w="17" w:type="dxa"/>
          <w:trHeight w:val="264"/>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 мерките од оваа заложба се придонесува кон унапредување на ефективноста, транспарентноста и отчетноста на институциите на локално ниво во областа на социјалните услуги. </w:t>
            </w:r>
          </w:p>
        </w:tc>
      </w:tr>
      <w:tr w:rsidR="008E3733" w:rsidRPr="00232275" w:rsidTr="00E549E1">
        <w:trPr>
          <w:gridAfter w:val="1"/>
          <w:wAfter w:w="17" w:type="dxa"/>
          <w:trHeight w:val="1019"/>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Активното и директно вклучување на родителите во процесот на згрижување на деца, зголемување на транспарентност и отчетност на градинката и зголемување на довербата.</w:t>
            </w:r>
          </w:p>
        </w:tc>
      </w:tr>
      <w:tr w:rsidR="008E3733" w:rsidRPr="00232275" w:rsidTr="00E549E1">
        <w:trPr>
          <w:gridAfter w:val="1"/>
          <w:wAfter w:w="17" w:type="dxa"/>
          <w:trHeight w:val="1077"/>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Директно учество на граѓаните во креирањето и во користењето на услугите од страна на детските градинки преку воспоставување на електронска комуникација. </w:t>
            </w:r>
          </w:p>
        </w:tc>
      </w:tr>
      <w:tr w:rsidR="008E3733" w:rsidRPr="00232275" w:rsidTr="00E549E1">
        <w:trPr>
          <w:gridAfter w:val="1"/>
          <w:wAfter w:w="17" w:type="dxa"/>
          <w:trHeight w:val="489"/>
        </w:trPr>
        <w:tc>
          <w:tcPr>
            <w:tcW w:w="4927" w:type="dxa"/>
            <w:gridSpan w:val="7"/>
            <w:vMerge w:val="restart"/>
            <w:tcBorders>
              <w:top w:val="single" w:sz="8" w:space="0" w:color="auto"/>
              <w:left w:val="single" w:sz="8" w:space="0" w:color="auto"/>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p w:rsidR="008E3733" w:rsidRPr="00232275" w:rsidRDefault="008E3733" w:rsidP="008E3733">
            <w:pPr>
              <w:spacing w:after="0" w:line="240" w:lineRule="auto"/>
              <w:jc w:val="center"/>
              <w:rPr>
                <w:rFonts w:ascii="StobiSerif Regular" w:eastAsia="Times New Roman" w:hAnsi="StobiSerif Regular" w:cs="Times New Roman"/>
                <w:b/>
                <w:sz w:val="20"/>
                <w:szCs w:val="20"/>
                <w:lang w:val="mk-MK"/>
              </w:rPr>
            </w:pPr>
          </w:p>
          <w:p w:rsidR="008E3733" w:rsidRPr="00232275" w:rsidRDefault="008E3733" w:rsidP="008E3733">
            <w:pPr>
              <w:spacing w:after="0" w:line="240" w:lineRule="auto"/>
              <w:jc w:val="center"/>
              <w:rPr>
                <w:rFonts w:ascii="StobiSerif Regular" w:eastAsia="Times New Roman" w:hAnsi="StobiSerif Regular" w:cs="Times New Roman"/>
                <w:b/>
                <w:sz w:val="20"/>
                <w:szCs w:val="20"/>
                <w:lang w:val="mk-MK"/>
              </w:rPr>
            </w:pPr>
          </w:p>
        </w:tc>
        <w:tc>
          <w:tcPr>
            <w:tcW w:w="1248"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21" w:type="dxa"/>
            <w:gridSpan w:val="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271" w:type="dxa"/>
            <w:gridSpan w:val="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263" w:type="dxa"/>
            <w:gridSpan w:val="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rPr>
          <w:gridAfter w:val="1"/>
          <w:wAfter w:w="17" w:type="dxa"/>
          <w:trHeight w:val="460"/>
        </w:trPr>
        <w:tc>
          <w:tcPr>
            <w:tcW w:w="4927" w:type="dxa"/>
            <w:gridSpan w:val="7"/>
            <w:vMerge/>
            <w:tcBorders>
              <w:top w:val="single" w:sz="8" w:space="0" w:color="auto"/>
              <w:left w:val="single" w:sz="8" w:space="0" w:color="auto"/>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48"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21" w:type="dxa"/>
            <w:gridSpan w:val="3"/>
            <w:tcBorders>
              <w:top w:val="single" w:sz="8" w:space="0" w:color="auto"/>
              <w:left w:val="nil"/>
              <w:bottom w:val="single" w:sz="8" w:space="0" w:color="auto"/>
              <w:right w:val="single" w:sz="8" w:space="0" w:color="000000"/>
            </w:tcBorders>
            <w:shd w:val="clear" w:color="auto" w:fill="0070C0"/>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rPr>
            </w:pPr>
          </w:p>
        </w:tc>
        <w:tc>
          <w:tcPr>
            <w:tcW w:w="1271" w:type="dxa"/>
            <w:gridSpan w:val="3"/>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63" w:type="dxa"/>
            <w:gridSpan w:val="3"/>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70"/>
        </w:trPr>
        <w:tc>
          <w:tcPr>
            <w:tcW w:w="4927" w:type="dxa"/>
            <w:gridSpan w:val="7"/>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003" w:type="dxa"/>
            <w:gridSpan w:val="13"/>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6.6.1.  Креирање на динамичка веб платформа, развој на мобилна и десктоп апликација за комуникација </w:t>
            </w:r>
          </w:p>
        </w:tc>
        <w:tc>
          <w:tcPr>
            <w:tcW w:w="5003" w:type="dxa"/>
            <w:gridSpan w:val="13"/>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E92A05">
              <w:rPr>
                <w:rFonts w:ascii="StobiSerif Regular" w:eastAsia="Times New Roman" w:hAnsi="StobiSerif Regular" w:cs="Times New Roman"/>
                <w:sz w:val="20"/>
                <w:szCs w:val="20"/>
                <w:lang w:val="mk-MK"/>
              </w:rPr>
              <w:t>Не се обезбедени информации за напредокот на активностите.</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6.6.2. Обука на вработени и подигање на свеста</w:t>
            </w:r>
          </w:p>
        </w:tc>
        <w:tc>
          <w:tcPr>
            <w:tcW w:w="5003" w:type="dxa"/>
            <w:gridSpan w:val="13"/>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6.6.3.  Имплементација на платформата во реално опкружување</w:t>
            </w:r>
          </w:p>
        </w:tc>
        <w:tc>
          <w:tcPr>
            <w:tcW w:w="5003" w:type="dxa"/>
            <w:gridSpan w:val="13"/>
            <w:tcBorders>
              <w:top w:val="single" w:sz="8" w:space="0" w:color="auto"/>
              <w:left w:val="single" w:sz="4" w:space="0" w:color="auto"/>
              <w:bottom w:val="single" w:sz="8" w:space="0" w:color="auto"/>
              <w:right w:val="single" w:sz="8" w:space="0" w:color="auto"/>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6.6.4. Евалуација на имплементација</w:t>
            </w:r>
          </w:p>
        </w:tc>
        <w:tc>
          <w:tcPr>
            <w:tcW w:w="5003" w:type="dxa"/>
            <w:gridSpan w:val="13"/>
            <w:tcBorders>
              <w:top w:val="single" w:sz="8" w:space="0" w:color="auto"/>
              <w:left w:val="single" w:sz="4" w:space="0" w:color="auto"/>
              <w:bottom w:val="single" w:sz="4"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Евалуацијата</w:t>
            </w:r>
            <w:r w:rsidRPr="00232275">
              <w:rPr>
                <w:rFonts w:ascii="StobiSerif Regular" w:eastAsia="Times New Roman" w:hAnsi="StobiSerif Regular" w:cs="Times New Roman"/>
                <w:sz w:val="20"/>
                <w:szCs w:val="20"/>
              </w:rPr>
              <w:t xml:space="preserve"> е планирана за </w:t>
            </w:r>
            <w:r w:rsidRPr="00232275">
              <w:rPr>
                <w:rFonts w:ascii="StobiSerif Regular" w:eastAsia="Times New Roman" w:hAnsi="StobiSerif Regular" w:cs="Times New Roman"/>
                <w:sz w:val="20"/>
                <w:szCs w:val="20"/>
                <w:lang w:val="mk-MK"/>
              </w:rPr>
              <w:t xml:space="preserve">крајот на </w:t>
            </w:r>
            <w:r w:rsidRPr="00232275">
              <w:rPr>
                <w:rFonts w:ascii="StobiSerif Regular" w:eastAsia="Times New Roman" w:hAnsi="StobiSerif Regular" w:cs="Times New Roman"/>
                <w:sz w:val="20"/>
                <w:szCs w:val="20"/>
              </w:rPr>
              <w:t>2018</w:t>
            </w:r>
          </w:p>
        </w:tc>
      </w:tr>
      <w:tr w:rsidR="00D60369" w:rsidRPr="00232275" w:rsidTr="00A0174A">
        <w:trPr>
          <w:gridAfter w:val="1"/>
          <w:wAfter w:w="17" w:type="dxa"/>
          <w:trHeight w:val="300"/>
        </w:trPr>
        <w:tc>
          <w:tcPr>
            <w:tcW w:w="4927" w:type="dxa"/>
            <w:gridSpan w:val="7"/>
            <w:tcBorders>
              <w:top w:val="single" w:sz="4" w:space="0" w:color="auto"/>
              <w:bottom w:val="single" w:sz="4" w:space="0" w:color="auto"/>
            </w:tcBorders>
            <w:shd w:val="clear" w:color="auto" w:fill="auto"/>
            <w:noWrap/>
            <w:vAlign w:val="center"/>
          </w:tcPr>
          <w:p w:rsidR="00D60369" w:rsidRPr="00232275" w:rsidRDefault="00D60369" w:rsidP="008E3733">
            <w:pPr>
              <w:spacing w:after="0" w:line="240" w:lineRule="auto"/>
              <w:jc w:val="both"/>
              <w:rPr>
                <w:rFonts w:ascii="StobiSerif Regular" w:eastAsia="Times New Roman" w:hAnsi="StobiSerif Regular" w:cs="Times New Roman"/>
                <w:b/>
                <w:i/>
                <w:sz w:val="20"/>
                <w:szCs w:val="20"/>
                <w:lang w:val="mk-MK"/>
              </w:rPr>
            </w:pPr>
          </w:p>
        </w:tc>
        <w:tc>
          <w:tcPr>
            <w:tcW w:w="5003" w:type="dxa"/>
            <w:gridSpan w:val="13"/>
            <w:tcBorders>
              <w:top w:val="single" w:sz="4" w:space="0" w:color="auto"/>
              <w:bottom w:val="single" w:sz="4" w:space="0" w:color="auto"/>
            </w:tcBorders>
            <w:vAlign w:val="center"/>
          </w:tcPr>
          <w:p w:rsidR="00D60369" w:rsidRPr="00232275" w:rsidRDefault="00D60369"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A0174A">
        <w:trPr>
          <w:gridAfter w:val="1"/>
          <w:wAfter w:w="17" w:type="dxa"/>
          <w:trHeight w:val="300"/>
        </w:trPr>
        <w:tc>
          <w:tcPr>
            <w:tcW w:w="9930" w:type="dxa"/>
            <w:gridSpan w:val="20"/>
            <w:tcBorders>
              <w:top w:val="single" w:sz="4" w:space="0" w:color="auto"/>
              <w:left w:val="single" w:sz="8" w:space="0" w:color="auto"/>
              <w:bottom w:val="nil"/>
              <w:right w:val="single" w:sz="8" w:space="0" w:color="000000"/>
            </w:tcBorders>
            <w:shd w:val="clear" w:color="auto" w:fill="548DD4"/>
            <w:vAlign w:val="center"/>
            <w:hideMark/>
          </w:tcPr>
          <w:p w:rsidR="008E3733" w:rsidRPr="00232275" w:rsidRDefault="008E3733" w:rsidP="00A0174A">
            <w:pPr>
              <w:keepNext/>
              <w:spacing w:after="0" w:line="240" w:lineRule="auto"/>
              <w:jc w:val="center"/>
              <w:outlineLvl w:val="0"/>
              <w:rPr>
                <w:rFonts w:ascii="StobiSerif Regular" w:eastAsia="Times New Roman" w:hAnsi="StobiSerif Regular" w:cs="Times New Roman"/>
                <w:b/>
                <w:sz w:val="20"/>
                <w:szCs w:val="20"/>
              </w:rPr>
            </w:pPr>
            <w:bookmarkStart w:id="87" w:name="_Toc453059133"/>
            <w:bookmarkStart w:id="88" w:name="_Toc453059225"/>
            <w:bookmarkStart w:id="89" w:name="_Toc453059271"/>
            <w:r w:rsidRPr="00232275">
              <w:rPr>
                <w:rFonts w:ascii="StobiSerif Regular" w:eastAsia="Times New Roman" w:hAnsi="StobiSerif Regular" w:cs="Times New Roman"/>
                <w:b/>
                <w:sz w:val="20"/>
                <w:szCs w:val="20"/>
                <w:lang w:val="mk-MK"/>
              </w:rPr>
              <w:t>6.7.Подобрување на социјална инклузија на лица со попреченост  на локално ниво</w:t>
            </w:r>
            <w:bookmarkEnd w:id="87"/>
            <w:bookmarkEnd w:id="88"/>
            <w:bookmarkEnd w:id="89"/>
            <w:r w:rsidRPr="00232275">
              <w:rPr>
                <w:rFonts w:ascii="StobiSerif Regular" w:eastAsia="Times New Roman" w:hAnsi="StobiSerif Regular" w:cs="Times New Roman"/>
                <w:b/>
                <w:sz w:val="20"/>
                <w:szCs w:val="20"/>
                <w:lang w:val="mk-MK"/>
              </w:rPr>
              <w:t xml:space="preserve"> </w:t>
            </w:r>
          </w:p>
        </w:tc>
      </w:tr>
      <w:tr w:rsidR="008E3733" w:rsidRPr="00232275" w:rsidTr="00E549E1">
        <w:trPr>
          <w:gridAfter w:val="1"/>
          <w:wAfter w:w="17" w:type="dxa"/>
          <w:trHeight w:val="567"/>
        </w:trPr>
        <w:tc>
          <w:tcPr>
            <w:tcW w:w="4927" w:type="dxa"/>
            <w:gridSpan w:val="7"/>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09/2016-12/2017</w:t>
            </w:r>
          </w:p>
        </w:tc>
        <w:tc>
          <w:tcPr>
            <w:tcW w:w="5003" w:type="dxa"/>
            <w:gridSpan w:val="13"/>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rPr>
          <w:gridAfter w:val="1"/>
          <w:wAfter w:w="17" w:type="dxa"/>
          <w:trHeight w:val="600"/>
        </w:trPr>
        <w:tc>
          <w:tcPr>
            <w:tcW w:w="4927"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003" w:type="dxa"/>
            <w:gridSpan w:val="13"/>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rPr>
          <w:gridAfter w:val="1"/>
          <w:wAfter w:w="17" w:type="dxa"/>
          <w:trHeight w:val="51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3052"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003"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Единици на локалната самоуправа</w:t>
            </w:r>
          </w:p>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003" w:type="dxa"/>
            <w:gridSpan w:val="13"/>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before="100" w:beforeAutospacing="1" w:after="100" w:afterAutospacing="1"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УНДП</w:t>
            </w:r>
          </w:p>
          <w:p w:rsidR="008E3733" w:rsidRPr="00232275" w:rsidRDefault="008E3733" w:rsidP="008E3733">
            <w:pPr>
              <w:spacing w:before="100" w:beforeAutospacing="1" w:after="100" w:afterAutospacing="1"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Невладини организации од Пелагониски, Полошки и Југозападен плански регион</w:t>
            </w:r>
          </w:p>
          <w:p w:rsidR="008E3733" w:rsidRPr="00232275" w:rsidRDefault="008E3733" w:rsidP="008E3733">
            <w:pPr>
              <w:spacing w:before="100" w:beforeAutospacing="1" w:after="100" w:afterAutospacing="1"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ГО Инклузива со општините од  Североисточен плански регион</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3052" w:type="dxa"/>
            <w:gridSpan w:val="4"/>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003" w:type="dxa"/>
            <w:gridSpan w:val="13"/>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48"/>
        </w:trPr>
        <w:tc>
          <w:tcPr>
            <w:tcW w:w="4927" w:type="dxa"/>
            <w:gridSpan w:val="7"/>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Согласно Законот за локалната самоуправа во РМ секоја општина е должна на граѓаните да им овозможи пристап кон основните информации за услугите што им ги обезбедува. Лицата со попреченост секојдневно се  соочуваат со различни бариери при вршењето на секојдневните активности: влез и користење на јавните објекти, јавниот превоз, користењето на услуги.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ВЕБ страниците на општините не се прилагодени за користење од страна на лицата со попреченост (оштетен вид).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Сите општини немаат назначено лице за контакт со лица со попреченост заради полесно остварување на нивните права и решавање на нивните проблеми во непосредна комуникација со локалната администрација и со локалните власти. </w:t>
            </w:r>
          </w:p>
        </w:tc>
      </w:tr>
      <w:tr w:rsidR="008E3733" w:rsidRPr="00232275" w:rsidTr="00E549E1">
        <w:trPr>
          <w:gridAfter w:val="1"/>
          <w:wAfter w:w="17" w:type="dxa"/>
          <w:trHeight w:val="32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Полесен пристап на граѓаните со попреченост до информации и услугите кои ги испорачуваат општините.</w:t>
            </w:r>
          </w:p>
        </w:tc>
      </w:tr>
      <w:tr w:rsidR="008E3733" w:rsidRPr="00232275" w:rsidTr="00E549E1">
        <w:trPr>
          <w:gridAfter w:val="1"/>
          <w:wAfter w:w="17" w:type="dxa"/>
          <w:trHeight w:val="227"/>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20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1.Отворање на ИНФО Центар кој што ќе обезбедува информации од општините  за лицата со оштетен вид на соодветен начин.</w:t>
            </w:r>
          </w:p>
          <w:p w:rsidR="008E3733" w:rsidRPr="00232275" w:rsidRDefault="008E3733" w:rsidP="008E3733">
            <w:pPr>
              <w:spacing w:after="20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2.Прилагодување на ВЕБ страниците на општините заради обезбедување на непречен пристап и  достапност на информациите за граѓаните со попреченост. (оштетен вид)</w:t>
            </w:r>
          </w:p>
          <w:p w:rsidR="008E3733" w:rsidRPr="00232275" w:rsidRDefault="008E3733" w:rsidP="008E3733">
            <w:pPr>
              <w:spacing w:after="20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3. Подготовка на дополнителни материјали за информирање со цел лицата со оштетен вид да можат да се вклучат во процесите на консултација на локално ниво.</w:t>
            </w:r>
          </w:p>
        </w:tc>
      </w:tr>
      <w:tr w:rsidR="008E3733" w:rsidRPr="00232275" w:rsidTr="00E549E1">
        <w:trPr>
          <w:gridAfter w:val="1"/>
          <w:wAfter w:w="17" w:type="dxa"/>
          <w:trHeight w:val="60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Поголема социјална инклузија на лица со попреченост  на локално ниво.</w:t>
            </w:r>
          </w:p>
        </w:tc>
      </w:tr>
      <w:tr w:rsidR="008E3733" w:rsidRPr="00232275" w:rsidTr="00E549E1">
        <w:trPr>
          <w:gridAfter w:val="1"/>
          <w:wAfter w:w="17" w:type="dxa"/>
          <w:trHeight w:val="60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Врска со Цел 1 ,, Да се сопре сиромаштијата во сите нејзини форми“, Таргет 1.3 Да се имплементираат соодветни национални системи за социјална заштита и мерки за вклучување на сите и до 2030 да се постигне оддржлива покриеност на сиромашните и ранливите. </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ќе се унапреди вклученоста на лицата со попреченост на локално ниво како ранлива група на луѓе.</w:t>
            </w:r>
          </w:p>
        </w:tc>
      </w:tr>
      <w:tr w:rsidR="008E3733" w:rsidRPr="00232275" w:rsidTr="00A0174A">
        <w:trPr>
          <w:gridAfter w:val="1"/>
          <w:wAfter w:w="17" w:type="dxa"/>
          <w:trHeight w:val="547"/>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Со обезбедување на услови за соодветен приостап до информациите од страна на општините ќе се обезбеди поголема информираност, лесен пристап, ефикасност и поквалитетно доставување на услугите за корисниците со попреченост, зголемување на партиципативноста, инклузивно креирање на политики на локално ниво, како и зголемување на довербата на граѓаните со попреченост во институциите.</w:t>
            </w:r>
          </w:p>
        </w:tc>
      </w:tr>
      <w:tr w:rsidR="008E3733" w:rsidRPr="00232275" w:rsidTr="00E549E1">
        <w:trPr>
          <w:gridAfter w:val="1"/>
          <w:wAfter w:w="17" w:type="dxa"/>
          <w:trHeight w:val="510"/>
        </w:trPr>
        <w:tc>
          <w:tcPr>
            <w:tcW w:w="492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003" w:type="dxa"/>
            <w:gridSpan w:val="13"/>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Овозможен пристап до информации и услуги за лица со попреченост во секоја општина на Република Македонија.</w:t>
            </w:r>
          </w:p>
        </w:tc>
      </w:tr>
      <w:tr w:rsidR="008E3733" w:rsidRPr="00232275" w:rsidTr="00E549E1">
        <w:trPr>
          <w:gridAfter w:val="1"/>
          <w:wAfter w:w="17" w:type="dxa"/>
          <w:trHeight w:val="545"/>
        </w:trPr>
        <w:tc>
          <w:tcPr>
            <w:tcW w:w="4927" w:type="dxa"/>
            <w:gridSpan w:val="7"/>
            <w:vMerge w:val="restart"/>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Статус на реализација на заложбата</w:t>
            </w:r>
          </w:p>
        </w:tc>
        <w:tc>
          <w:tcPr>
            <w:tcW w:w="1248"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незапочнато</w:t>
            </w:r>
          </w:p>
        </w:tc>
        <w:tc>
          <w:tcPr>
            <w:tcW w:w="1221" w:type="dxa"/>
            <w:gridSpan w:val="3"/>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ограничено</w:t>
            </w:r>
          </w:p>
        </w:tc>
        <w:tc>
          <w:tcPr>
            <w:tcW w:w="1271" w:type="dxa"/>
            <w:gridSpan w:val="3"/>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значително</w:t>
            </w:r>
          </w:p>
        </w:tc>
        <w:tc>
          <w:tcPr>
            <w:tcW w:w="1263" w:type="dxa"/>
            <w:gridSpan w:val="3"/>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6"/>
                <w:szCs w:val="16"/>
                <w:lang w:val="mk-MK"/>
              </w:rPr>
            </w:pPr>
            <w:r w:rsidRPr="00232275">
              <w:rPr>
                <w:rFonts w:ascii="StobiSerif Regular" w:eastAsia="Times New Roman" w:hAnsi="StobiSerif Regular" w:cs="Times New Roman"/>
                <w:sz w:val="16"/>
                <w:szCs w:val="16"/>
                <w:lang w:val="mk-MK"/>
              </w:rPr>
              <w:t>завршено</w:t>
            </w:r>
          </w:p>
        </w:tc>
      </w:tr>
      <w:tr w:rsidR="008E3733" w:rsidRPr="00232275" w:rsidTr="00E549E1">
        <w:trPr>
          <w:gridAfter w:val="1"/>
          <w:wAfter w:w="17" w:type="dxa"/>
          <w:trHeight w:val="400"/>
        </w:trPr>
        <w:tc>
          <w:tcPr>
            <w:tcW w:w="4927" w:type="dxa"/>
            <w:gridSpan w:val="7"/>
            <w:vMerge/>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48"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 xml:space="preserve">        </w:t>
            </w:r>
          </w:p>
        </w:tc>
        <w:tc>
          <w:tcPr>
            <w:tcW w:w="1221" w:type="dxa"/>
            <w:gridSpan w:val="3"/>
            <w:tcBorders>
              <w:top w:val="single" w:sz="8" w:space="0" w:color="auto"/>
              <w:left w:val="nil"/>
              <w:bottom w:val="single" w:sz="8" w:space="0" w:color="auto"/>
              <w:right w:val="single" w:sz="8" w:space="0" w:color="000000"/>
            </w:tcBorders>
            <w:shd w:val="clear" w:color="auto" w:fill="FFFFFF" w:themeFill="background1"/>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71" w:type="dxa"/>
            <w:gridSpan w:val="3"/>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63" w:type="dxa"/>
            <w:gridSpan w:val="3"/>
            <w:tcBorders>
              <w:top w:val="single" w:sz="8" w:space="0" w:color="auto"/>
              <w:left w:val="nil"/>
              <w:bottom w:val="single" w:sz="8" w:space="0" w:color="auto"/>
              <w:right w:val="single" w:sz="8" w:space="0" w:color="000000"/>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70"/>
        </w:trPr>
        <w:tc>
          <w:tcPr>
            <w:tcW w:w="4927" w:type="dxa"/>
            <w:gridSpan w:val="7"/>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003" w:type="dxa"/>
            <w:gridSpan w:val="13"/>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6.7.1.  Проценка на потребите на лицата со оштетен вид</w:t>
            </w:r>
          </w:p>
        </w:tc>
        <w:tc>
          <w:tcPr>
            <w:tcW w:w="5003" w:type="dxa"/>
            <w:gridSpan w:val="13"/>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Реализирани се консултативни работилници во Битола, со учество на претставници од општините и од граѓански организации и е направена проценка на потребите.</w:t>
            </w:r>
          </w:p>
        </w:tc>
      </w:tr>
      <w:tr w:rsidR="008E3733" w:rsidRPr="00232275" w:rsidTr="00E549E1">
        <w:trPr>
          <w:gridAfter w:val="1"/>
          <w:wAfter w:w="17" w:type="dxa"/>
          <w:trHeight w:val="300"/>
        </w:trPr>
        <w:tc>
          <w:tcPr>
            <w:tcW w:w="4927"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6.7.2. Отворање на ИНФО центар за општините од 3 плански региони</w:t>
            </w:r>
          </w:p>
        </w:tc>
        <w:tc>
          <w:tcPr>
            <w:tcW w:w="5003" w:type="dxa"/>
            <w:gridSpan w:val="13"/>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Инфо центарот е најавено да биде отворен до крајот на месецот.</w:t>
            </w:r>
          </w:p>
        </w:tc>
      </w:tr>
      <w:tr w:rsidR="008E3733" w:rsidRPr="00232275" w:rsidTr="00A0174A">
        <w:trPr>
          <w:gridAfter w:val="1"/>
          <w:wAfter w:w="17" w:type="dxa"/>
          <w:trHeight w:val="300"/>
        </w:trPr>
        <w:tc>
          <w:tcPr>
            <w:tcW w:w="4927" w:type="dxa"/>
            <w:gridSpan w:val="7"/>
            <w:tcBorders>
              <w:top w:val="single" w:sz="8" w:space="0" w:color="auto"/>
              <w:left w:val="single" w:sz="8" w:space="0" w:color="auto"/>
              <w:bottom w:val="single" w:sz="8" w:space="0" w:color="000000"/>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6.7.3. Обезбедување на соодветен медиум за информирање на граѓаните со оштетен вид во Инфо центарот. Прилагодување на ВЕБ страниците на општините. Подготовка на дополнителни материјали за информирање.</w:t>
            </w:r>
          </w:p>
        </w:tc>
        <w:tc>
          <w:tcPr>
            <w:tcW w:w="5003" w:type="dxa"/>
            <w:gridSpan w:val="13"/>
            <w:tcBorders>
              <w:top w:val="single" w:sz="8" w:space="0" w:color="auto"/>
              <w:left w:val="single" w:sz="4" w:space="0" w:color="auto"/>
              <w:bottom w:val="single" w:sz="8" w:space="0" w:color="000000"/>
              <w:right w:val="single" w:sz="8" w:space="0" w:color="auto"/>
            </w:tcBorders>
            <w:vAlign w:val="center"/>
          </w:tcPr>
          <w:p w:rsidR="008E3733" w:rsidRPr="00232275" w:rsidRDefault="008E3733" w:rsidP="008E3733">
            <w:pPr>
              <w:spacing w:after="0" w:line="240" w:lineRule="auto"/>
              <w:jc w:val="both"/>
              <w:rPr>
                <w:rFonts w:ascii="StobiSerif Regular" w:hAnsi="StobiSerif Regular" w:cs="Tahoma"/>
                <w:sz w:val="20"/>
                <w:szCs w:val="20"/>
                <w:lang w:val="mk-MK"/>
              </w:rPr>
            </w:pPr>
            <w:r>
              <w:rPr>
                <w:rFonts w:ascii="StobiSerif Regular" w:hAnsi="StobiSerif Regular" w:cs="Tahoma"/>
                <w:sz w:val="20"/>
                <w:szCs w:val="20"/>
                <w:lang w:val="mk-MK"/>
              </w:rPr>
              <w:t xml:space="preserve">Обезбедени се технички </w:t>
            </w:r>
            <w:r w:rsidRPr="00232275">
              <w:rPr>
                <w:rFonts w:ascii="StobiSerif Regular" w:hAnsi="StobiSerif Regular" w:cs="Tahoma"/>
                <w:sz w:val="20"/>
                <w:szCs w:val="20"/>
                <w:lang w:val="mk-MK"/>
              </w:rPr>
              <w:t>од страна на УНДП.</w:t>
            </w:r>
          </w:p>
        </w:tc>
      </w:tr>
      <w:tr w:rsidR="008E3733" w:rsidRPr="00232275" w:rsidTr="00A0174A">
        <w:trPr>
          <w:gridAfter w:val="1"/>
          <w:wAfter w:w="17" w:type="dxa"/>
          <w:trHeight w:val="300"/>
        </w:trPr>
        <w:tc>
          <w:tcPr>
            <w:tcW w:w="4927" w:type="dxa"/>
            <w:gridSpan w:val="7"/>
            <w:tcBorders>
              <w:top w:val="single" w:sz="8" w:space="0" w:color="000000"/>
              <w:left w:val="single" w:sz="8" w:space="0" w:color="auto"/>
              <w:bottom w:val="single" w:sz="4" w:space="0" w:color="auto"/>
              <w:right w:val="single" w:sz="4" w:space="0" w:color="auto"/>
            </w:tcBorders>
            <w:shd w:val="clear" w:color="auto" w:fill="auto"/>
            <w:noWrap/>
            <w:vAlign w:val="center"/>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bookmarkStart w:id="90" w:name="_Toc453059135"/>
            <w:bookmarkStart w:id="91" w:name="_Toc453059227"/>
            <w:bookmarkStart w:id="92" w:name="_Toc453059273"/>
            <w:r w:rsidRPr="00232275">
              <w:rPr>
                <w:rFonts w:ascii="StobiSerif Regular" w:eastAsia="Times New Roman" w:hAnsi="StobiSerif Regular" w:cs="Times New Roman"/>
                <w:b/>
                <w:i/>
                <w:sz w:val="20"/>
                <w:szCs w:val="20"/>
                <w:lang w:val="mk-MK"/>
              </w:rPr>
              <w:t>6.7.4.Поголема пристапност до информации за лицата со попреченост во Североисточен регион</w:t>
            </w:r>
          </w:p>
        </w:tc>
        <w:tc>
          <w:tcPr>
            <w:tcW w:w="5003" w:type="dxa"/>
            <w:gridSpan w:val="13"/>
            <w:tcBorders>
              <w:top w:val="single" w:sz="8" w:space="0" w:color="000000"/>
              <w:left w:val="single" w:sz="4" w:space="0" w:color="auto"/>
              <w:bottom w:val="single" w:sz="4" w:space="0" w:color="auto"/>
              <w:right w:val="single" w:sz="8" w:space="0" w:color="auto"/>
            </w:tcBorders>
            <w:vAlign w:val="center"/>
          </w:tcPr>
          <w:p w:rsidR="008E3733" w:rsidRPr="00232275" w:rsidRDefault="008E3733" w:rsidP="008E3733">
            <w:pPr>
              <w:spacing w:after="0" w:line="240" w:lineRule="auto"/>
              <w:jc w:val="both"/>
              <w:rPr>
                <w:rFonts w:ascii="StobiSerif Regular" w:hAnsi="StobiSerif Regular" w:cs="Tahoma"/>
                <w:sz w:val="20"/>
                <w:szCs w:val="20"/>
                <w:lang w:val="mk-MK"/>
              </w:rPr>
            </w:pPr>
            <w:r>
              <w:rPr>
                <w:rFonts w:ascii="StobiSerif Regular" w:hAnsi="StobiSerif Regular" w:cs="Tahoma"/>
                <w:sz w:val="20"/>
                <w:szCs w:val="20"/>
                <w:lang w:val="mk-MK"/>
              </w:rPr>
              <w:t>А</w:t>
            </w:r>
            <w:r w:rsidRPr="00232275">
              <w:rPr>
                <w:rFonts w:ascii="StobiSerif Regular" w:hAnsi="StobiSerif Regular" w:cs="Tahoma"/>
                <w:sz w:val="20"/>
                <w:szCs w:val="20"/>
                <w:lang w:val="mk-MK"/>
              </w:rPr>
              <w:t>ктивностите се реализирани</w:t>
            </w:r>
            <w:r w:rsidRPr="00232275">
              <w:rPr>
                <w:rFonts w:ascii="StobiSerif Regular" w:hAnsi="StobiSerif Regular" w:cs="Tahoma"/>
                <w:sz w:val="20"/>
                <w:szCs w:val="20"/>
              </w:rPr>
              <w:t>:</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-Направена е анализа на ВЕБ страниците на општините во Североисточниот плански регион.</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-Подготвен е извештај со препораки за адаптирање на ВЕБ страниците за потребите на лицата со попреченост на македонски, албански и англиски јазик.</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-Потпишан е Меморандум за соработка со општините Куманово, Крива Паланка и Кратово. Општина Крива Паланка веќе работи на адаптација на својата ВЕБ страница.</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Подготвен е Прирачник за лица со лесна интелектуална попреченост, на лесен и разбирлив јазик за начинот на остварување на правото на слободен пристап до информации од јавен карактер.</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w:t>
            </w:r>
            <w:r w:rsidRPr="00232275">
              <w:rPr>
                <w:rFonts w:ascii="StobiSerif Regular" w:hAnsi="StobiSerif Regular"/>
                <w:sz w:val="20"/>
                <w:szCs w:val="20"/>
              </w:rPr>
              <w:t xml:space="preserve"> </w:t>
            </w:r>
            <w:r>
              <w:rPr>
                <w:rFonts w:ascii="StobiSerif Regular" w:hAnsi="StobiSerif Regular" w:cs="Tahoma"/>
                <w:sz w:val="20"/>
                <w:szCs w:val="20"/>
                <w:lang w:val="mk-MK"/>
              </w:rPr>
              <w:t>Подготвен е</w:t>
            </w:r>
            <w:r w:rsidRPr="00232275">
              <w:rPr>
                <w:rFonts w:ascii="StobiSerif Regular" w:hAnsi="StobiSerif Regular" w:cs="Tahoma"/>
                <w:sz w:val="20"/>
                <w:szCs w:val="20"/>
                <w:lang w:val="mk-MK"/>
              </w:rPr>
              <w:t xml:space="preserve"> видео материјал за информирање на лицата со попреченост преку знаковен јазик за начинот и постапката за слободен пристап до информации од јавен карактер, кој што ќе биде готов до средината на февруари, кога завршува проектот.</w:t>
            </w:r>
          </w:p>
        </w:tc>
      </w:tr>
      <w:tr w:rsidR="00D60369" w:rsidRPr="00232275" w:rsidTr="00A0174A">
        <w:trPr>
          <w:gridAfter w:val="1"/>
          <w:wAfter w:w="17" w:type="dxa"/>
          <w:trHeight w:val="300"/>
        </w:trPr>
        <w:tc>
          <w:tcPr>
            <w:tcW w:w="4927" w:type="dxa"/>
            <w:gridSpan w:val="7"/>
            <w:tcBorders>
              <w:top w:val="single" w:sz="4" w:space="0" w:color="auto"/>
              <w:bottom w:val="single" w:sz="4" w:space="0" w:color="auto"/>
            </w:tcBorders>
            <w:shd w:val="clear" w:color="auto" w:fill="auto"/>
            <w:noWrap/>
            <w:vAlign w:val="center"/>
          </w:tcPr>
          <w:p w:rsidR="00D60369" w:rsidRPr="00232275" w:rsidRDefault="00D60369" w:rsidP="008E3733">
            <w:pPr>
              <w:spacing w:after="0" w:line="240" w:lineRule="auto"/>
              <w:jc w:val="both"/>
              <w:rPr>
                <w:rFonts w:ascii="StobiSerif Regular" w:eastAsia="Times New Roman" w:hAnsi="StobiSerif Regular" w:cs="Times New Roman"/>
                <w:b/>
                <w:i/>
                <w:sz w:val="20"/>
                <w:szCs w:val="20"/>
                <w:lang w:val="mk-MK"/>
              </w:rPr>
            </w:pPr>
          </w:p>
        </w:tc>
        <w:tc>
          <w:tcPr>
            <w:tcW w:w="5003" w:type="dxa"/>
            <w:gridSpan w:val="13"/>
            <w:tcBorders>
              <w:top w:val="single" w:sz="4" w:space="0" w:color="auto"/>
              <w:bottom w:val="single" w:sz="4" w:space="0" w:color="auto"/>
            </w:tcBorders>
            <w:vAlign w:val="center"/>
          </w:tcPr>
          <w:p w:rsidR="00D60369" w:rsidRDefault="00D60369" w:rsidP="008E3733">
            <w:pPr>
              <w:spacing w:after="0" w:line="240" w:lineRule="auto"/>
              <w:jc w:val="both"/>
              <w:rPr>
                <w:rFonts w:ascii="StobiSerif Regular" w:hAnsi="StobiSerif Regular" w:cs="Tahoma"/>
                <w:sz w:val="20"/>
                <w:szCs w:val="20"/>
                <w:lang w:val="mk-MK"/>
              </w:rPr>
            </w:pPr>
          </w:p>
        </w:tc>
      </w:tr>
      <w:bookmarkEnd w:id="90"/>
      <w:bookmarkEnd w:id="91"/>
      <w:bookmarkEnd w:id="92"/>
      <w:tr w:rsidR="008E3733" w:rsidRPr="00232275" w:rsidTr="00E549E1">
        <w:trPr>
          <w:gridAfter w:val="1"/>
          <w:wAfter w:w="17" w:type="dxa"/>
          <w:trHeight w:val="300"/>
        </w:trPr>
        <w:tc>
          <w:tcPr>
            <w:tcW w:w="9930" w:type="dxa"/>
            <w:gridSpan w:val="20"/>
            <w:tcBorders>
              <w:top w:val="single" w:sz="4" w:space="0" w:color="auto"/>
              <w:left w:val="single" w:sz="8" w:space="0" w:color="auto"/>
              <w:bottom w:val="nil"/>
              <w:right w:val="single" w:sz="8" w:space="0" w:color="000000"/>
            </w:tcBorders>
            <w:shd w:val="clear" w:color="auto" w:fill="548DD4"/>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r w:rsidRPr="00232275">
              <w:rPr>
                <w:rFonts w:ascii="StobiSerif Regular" w:eastAsia="Times New Roman" w:hAnsi="StobiSerif Regular" w:cs="Times New Roman"/>
                <w:b/>
                <w:sz w:val="20"/>
                <w:szCs w:val="20"/>
                <w:lang w:val="mk-MK"/>
              </w:rPr>
              <w:t>6.8.Подобрување на комуналните услуги на локално ниво</w:t>
            </w:r>
          </w:p>
        </w:tc>
      </w:tr>
      <w:tr w:rsidR="008E3733" w:rsidRPr="00232275" w:rsidTr="00E549E1">
        <w:trPr>
          <w:gridAfter w:val="1"/>
          <w:wAfter w:w="17" w:type="dxa"/>
          <w:trHeight w:val="300"/>
        </w:trPr>
        <w:tc>
          <w:tcPr>
            <w:tcW w:w="9930" w:type="dxa"/>
            <w:gridSpan w:val="20"/>
            <w:tcBorders>
              <w:top w:val="single" w:sz="8" w:space="0" w:color="000000"/>
              <w:left w:val="single" w:sz="8" w:space="0" w:color="auto"/>
              <w:bottom w:val="single" w:sz="4" w:space="0" w:color="auto"/>
              <w:right w:val="single" w:sz="8" w:space="0" w:color="000000"/>
            </w:tcBorders>
            <w:shd w:val="clear" w:color="auto" w:fill="auto"/>
          </w:tcPr>
          <w:p w:rsidR="008E3733" w:rsidRPr="00232275" w:rsidRDefault="008E3733" w:rsidP="008E3733">
            <w:pPr>
              <w:spacing w:after="0" w:line="240" w:lineRule="auto"/>
              <w:jc w:val="both"/>
              <w:rPr>
                <w:rFonts w:ascii="StobiSerif Regular" w:eastAsia="Times New Roman" w:hAnsi="StobiSerif Regular" w:cs="Times New Roman"/>
                <w:b/>
                <w:sz w:val="20"/>
                <w:szCs w:val="20"/>
                <w:lang w:val="mk-MK"/>
              </w:rPr>
            </w:pPr>
            <w:r w:rsidRPr="00232275">
              <w:rPr>
                <w:rFonts w:ascii="StobiSerif Regular" w:hAnsi="StobiSerif Regular" w:cs="Tahoma"/>
                <w:sz w:val="20"/>
                <w:szCs w:val="20"/>
                <w:lang w:val="mk-MK"/>
              </w:rPr>
              <w:t>Министерство за локална самоуправа информира дека  оваа заложба е потребно да биде изоставена согласно известување од Здружението за оддржлив развој дека средствата што ги очекувале од Германското друштво за техничка соработка ГИЗ, не успеале да ги обезбедат и не се во состојба истатa да ја реализираат.</w:t>
            </w:r>
          </w:p>
        </w:tc>
      </w:tr>
      <w:tr w:rsidR="00D60369" w:rsidRPr="00232275" w:rsidTr="00E549E1">
        <w:trPr>
          <w:gridAfter w:val="1"/>
          <w:wAfter w:w="17" w:type="dxa"/>
          <w:trHeight w:val="300"/>
        </w:trPr>
        <w:tc>
          <w:tcPr>
            <w:tcW w:w="9930" w:type="dxa"/>
            <w:gridSpan w:val="20"/>
            <w:tcBorders>
              <w:top w:val="single" w:sz="4" w:space="0" w:color="auto"/>
              <w:bottom w:val="single" w:sz="8" w:space="0" w:color="000000"/>
            </w:tcBorders>
            <w:shd w:val="clear" w:color="auto" w:fill="auto"/>
          </w:tcPr>
          <w:p w:rsidR="00D60369" w:rsidRDefault="00D60369" w:rsidP="008E3733">
            <w:pPr>
              <w:spacing w:after="0" w:line="240" w:lineRule="auto"/>
              <w:jc w:val="both"/>
              <w:rPr>
                <w:rFonts w:ascii="StobiSerif Regular" w:hAnsi="StobiSerif Regular" w:cs="Tahoma"/>
                <w:sz w:val="20"/>
                <w:szCs w:val="20"/>
                <w:lang w:val="mk-MK"/>
              </w:rPr>
            </w:pPr>
          </w:p>
          <w:p w:rsidR="00D60369" w:rsidRPr="00232275" w:rsidRDefault="00D60369" w:rsidP="008E3733">
            <w:pPr>
              <w:spacing w:after="0" w:line="240" w:lineRule="auto"/>
              <w:jc w:val="both"/>
              <w:rPr>
                <w:rFonts w:ascii="StobiSerif Regular" w:hAnsi="StobiSerif Regular" w:cs="Tahoma"/>
                <w:sz w:val="20"/>
                <w:szCs w:val="20"/>
                <w:lang w:val="mk-MK"/>
              </w:rPr>
            </w:pPr>
          </w:p>
        </w:tc>
      </w:tr>
      <w:tr w:rsidR="008E3733" w:rsidRPr="00232275" w:rsidTr="00E549E1">
        <w:trPr>
          <w:gridAfter w:val="1"/>
          <w:wAfter w:w="17" w:type="dxa"/>
          <w:trHeight w:val="300"/>
        </w:trPr>
        <w:tc>
          <w:tcPr>
            <w:tcW w:w="9930" w:type="dxa"/>
            <w:gridSpan w:val="20"/>
            <w:tcBorders>
              <w:top w:val="single" w:sz="8" w:space="0" w:color="000000"/>
              <w:left w:val="single" w:sz="8" w:space="0" w:color="auto"/>
              <w:bottom w:val="nil"/>
              <w:right w:val="single" w:sz="8" w:space="0" w:color="000000"/>
            </w:tcBorders>
            <w:shd w:val="clear" w:color="auto" w:fill="548DD4"/>
            <w:vAlign w:val="center"/>
          </w:tcPr>
          <w:p w:rsidR="008E3733" w:rsidRPr="00232275" w:rsidRDefault="008E3733" w:rsidP="008E3733">
            <w:pPr>
              <w:keepNext/>
              <w:spacing w:after="0" w:line="240" w:lineRule="auto"/>
              <w:jc w:val="center"/>
              <w:outlineLvl w:val="0"/>
              <w:rPr>
                <w:rFonts w:ascii="StobiSerif Regular" w:eastAsia="Times New Roman" w:hAnsi="StobiSerif Regular" w:cs="Times New Roman"/>
                <w:b/>
                <w:sz w:val="20"/>
                <w:szCs w:val="20"/>
                <w:lang w:val="mk-MK"/>
              </w:rPr>
            </w:pPr>
            <w:r w:rsidRPr="00232275">
              <w:rPr>
                <w:rFonts w:ascii="StobiSerif Regular" w:eastAsia="Times New Roman" w:hAnsi="StobiSerif Regular" w:cs="Times New Roman"/>
                <w:b/>
                <w:sz w:val="20"/>
                <w:szCs w:val="20"/>
                <w:lang w:val="mk-MK"/>
              </w:rPr>
              <w:t>6</w:t>
            </w:r>
            <w:r w:rsidRPr="00232275">
              <w:rPr>
                <w:rFonts w:ascii="StobiSerif Regular" w:eastAsia="Times New Roman" w:hAnsi="StobiSerif Regular" w:cs="Times New Roman"/>
                <w:b/>
                <w:sz w:val="20"/>
                <w:szCs w:val="20"/>
              </w:rPr>
              <w:t>.9</w:t>
            </w:r>
            <w:r w:rsidRPr="00232275">
              <w:rPr>
                <w:rFonts w:ascii="StobiSerif Regular" w:eastAsia="Times New Roman" w:hAnsi="StobiSerif Regular" w:cs="Times New Roman"/>
                <w:b/>
                <w:sz w:val="20"/>
                <w:szCs w:val="20"/>
                <w:lang w:val="mk-MK"/>
              </w:rPr>
              <w:t>.Поголема информираност на граѓаните за институцијата Народен правобранител</w:t>
            </w:r>
          </w:p>
        </w:tc>
      </w:tr>
      <w:tr w:rsidR="008E3733" w:rsidRPr="00232275" w:rsidTr="00E549E1">
        <w:trPr>
          <w:gridAfter w:val="1"/>
          <w:wAfter w:w="17" w:type="dxa"/>
          <w:trHeight w:val="567"/>
        </w:trPr>
        <w:tc>
          <w:tcPr>
            <w:tcW w:w="4789" w:type="dxa"/>
            <w:gridSpan w:val="6"/>
            <w:tcBorders>
              <w:top w:val="single" w:sz="4" w:space="0" w:color="auto"/>
              <w:left w:val="single" w:sz="4" w:space="0" w:color="auto"/>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07/2016-07/2017</w:t>
            </w:r>
          </w:p>
        </w:tc>
        <w:tc>
          <w:tcPr>
            <w:tcW w:w="5141" w:type="dxa"/>
            <w:gridSpan w:val="14"/>
            <w:tcBorders>
              <w:top w:val="single" w:sz="4" w:space="0" w:color="auto"/>
              <w:left w:val="nil"/>
              <w:bottom w:val="single" w:sz="4" w:space="0" w:color="auto"/>
              <w:right w:val="single" w:sz="4" w:space="0" w:color="auto"/>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Нова мерка</w:t>
            </w:r>
          </w:p>
        </w:tc>
      </w:tr>
      <w:tr w:rsidR="008E3733" w:rsidRPr="00232275" w:rsidTr="00E549E1">
        <w:trPr>
          <w:gridAfter w:val="1"/>
          <w:wAfter w:w="17" w:type="dxa"/>
          <w:trHeight w:val="600"/>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Водечка институција за спроведување</w:t>
            </w:r>
          </w:p>
        </w:tc>
        <w:tc>
          <w:tcPr>
            <w:tcW w:w="5141" w:type="dxa"/>
            <w:gridSpan w:val="14"/>
            <w:tcBorders>
              <w:top w:val="nil"/>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Министерство за локална самоуправа </w:t>
            </w:r>
          </w:p>
        </w:tc>
      </w:tr>
      <w:tr w:rsidR="008E3733" w:rsidRPr="00232275" w:rsidTr="00E549E1">
        <w:trPr>
          <w:gridAfter w:val="1"/>
          <w:wAfter w:w="17" w:type="dxa"/>
          <w:trHeight w:val="611"/>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Ели Чакар</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Функција, Одделение</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Државен советник</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Email</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elicakar@gmail.com</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Телефон</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071 226 415</w:t>
            </w:r>
          </w:p>
        </w:tc>
      </w:tr>
      <w:tr w:rsidR="008E3733" w:rsidRPr="00232275" w:rsidTr="00E549E1">
        <w:trPr>
          <w:gridAfter w:val="1"/>
          <w:wAfter w:w="17" w:type="dxa"/>
          <w:trHeight w:val="429"/>
        </w:trPr>
        <w:tc>
          <w:tcPr>
            <w:tcW w:w="1875"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Други вклучени субјекти</w:t>
            </w: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Народен правобранител</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ГО, приватен сектор, мултилатерални  и работни групи </w:t>
            </w:r>
          </w:p>
        </w:tc>
        <w:tc>
          <w:tcPr>
            <w:tcW w:w="5141" w:type="dxa"/>
            <w:gridSpan w:val="14"/>
            <w:vMerge w:val="restart"/>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ГО за заштита на правата на граѓаните</w:t>
            </w: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429"/>
        </w:trPr>
        <w:tc>
          <w:tcPr>
            <w:tcW w:w="1875"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2914" w:type="dxa"/>
            <w:gridSpan w:val="3"/>
            <w:vMerge/>
            <w:tcBorders>
              <w:top w:val="nil"/>
              <w:left w:val="single" w:sz="8" w:space="0" w:color="auto"/>
              <w:bottom w:val="single" w:sz="8" w:space="0" w:color="000000"/>
              <w:right w:val="single" w:sz="8" w:space="0" w:color="auto"/>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c>
          <w:tcPr>
            <w:tcW w:w="5141" w:type="dxa"/>
            <w:gridSpan w:val="1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sz w:val="20"/>
                <w:szCs w:val="20"/>
                <w:lang w:val="mk-MK"/>
              </w:rPr>
            </w:pPr>
          </w:p>
        </w:tc>
      </w:tr>
      <w:tr w:rsidR="008E3733" w:rsidRPr="00232275" w:rsidTr="00E549E1">
        <w:trPr>
          <w:gridAfter w:val="1"/>
          <w:wAfter w:w="17" w:type="dxa"/>
          <w:trHeight w:val="548"/>
        </w:trPr>
        <w:tc>
          <w:tcPr>
            <w:tcW w:w="4789" w:type="dxa"/>
            <w:gridSpan w:val="6"/>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Состојба или проблем што се опфаќа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Народниот правобранител како институција е воспоставен во 1997 година, со донесувањето на Законот за Народен правобранител, но граѓаните сеуште недоволно се запознаени со неговите надлежности и улога во заштитата на нивните права, особено во помалите и руралните општини. </w:t>
            </w:r>
          </w:p>
        </w:tc>
      </w:tr>
      <w:tr w:rsidR="008E3733" w:rsidRPr="00232275" w:rsidTr="00E549E1">
        <w:trPr>
          <w:gridAfter w:val="1"/>
          <w:wAfter w:w="17" w:type="dxa"/>
          <w:trHeight w:val="32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Главна цел</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Полесен пристап на граѓаните до  институцијата Народен правобранител. </w:t>
            </w:r>
          </w:p>
        </w:tc>
      </w:tr>
      <w:tr w:rsidR="008E3733" w:rsidRPr="00232275" w:rsidTr="00E549E1">
        <w:trPr>
          <w:gridAfter w:val="1"/>
          <w:wAfter w:w="17" w:type="dxa"/>
          <w:trHeight w:val="406"/>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Кус опис на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Секоја општина на официјалната ВЕБ страна да постави лесно видлив линк до ВЕБ страната на Народниот правобранител.</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ОВП предизвик опфатен со обврската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Користење на иновативни начини и нови технологии за полесен пристап на граѓаните до институцијата Народниот правобранител, за заштита на нивните права пред органите на централната и локалната власт.</w:t>
            </w:r>
          </w:p>
        </w:tc>
      </w:tr>
      <w:tr w:rsidR="008E3733" w:rsidRPr="00232275" w:rsidTr="00E549E1">
        <w:trPr>
          <w:gridAfter w:val="1"/>
          <w:wAfter w:w="17" w:type="dxa"/>
          <w:trHeight w:val="60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Поврзаност со Глобалните цели за одржлив развој</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мерките од оваа заложба се придонесува кон унапредување на ефективноста, и транспарентноста на институциите на локално ниво во областа на заштита на човековите права</w:t>
            </w:r>
          </w:p>
        </w:tc>
      </w:tr>
      <w:tr w:rsidR="008E3733" w:rsidRPr="00232275" w:rsidTr="00E549E1">
        <w:trPr>
          <w:gridAfter w:val="1"/>
          <w:wAfter w:w="17" w:type="dxa"/>
          <w:trHeight w:val="1019"/>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Важност</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Со поставувањето на линкот на Народниот правобранител, ќе се подигне нивото на информираност за постоењето на институцијата Народен правобранител, како и свесноста кај граѓаните за обезбедувањето на заштита во остварувањето на нивните права пред органите на централната и локалната власт. На овој начин граѓаните ќе се информираат за начинот на неговата работа, како и за  можноста за поднесување претставки преку е- маил.</w:t>
            </w:r>
          </w:p>
        </w:tc>
      </w:tr>
      <w:tr w:rsidR="008E3733" w:rsidRPr="00232275" w:rsidTr="00E549E1">
        <w:trPr>
          <w:gridAfter w:val="1"/>
          <w:wAfter w:w="17" w:type="dxa"/>
          <w:trHeight w:val="850"/>
        </w:trPr>
        <w:tc>
          <w:tcPr>
            <w:tcW w:w="478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Амбиција</w:t>
            </w:r>
          </w:p>
        </w:tc>
        <w:tc>
          <w:tcPr>
            <w:tcW w:w="5141" w:type="dxa"/>
            <w:gridSpan w:val="1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Информираност на граѓаните за можноста од заштита на нивните права во случај на повреда од страна на органите на општината.</w:t>
            </w:r>
          </w:p>
        </w:tc>
      </w:tr>
      <w:tr w:rsidR="008E3733" w:rsidRPr="00232275" w:rsidTr="00E549E1">
        <w:trPr>
          <w:gridAfter w:val="1"/>
          <w:wAfter w:w="17" w:type="dxa"/>
          <w:trHeight w:val="415"/>
        </w:trPr>
        <w:tc>
          <w:tcPr>
            <w:tcW w:w="4789" w:type="dxa"/>
            <w:gridSpan w:val="6"/>
            <w:vMerge w:val="restart"/>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Статус на реализација на заложбата </w:t>
            </w:r>
          </w:p>
        </w:tc>
        <w:tc>
          <w:tcPr>
            <w:tcW w:w="1285"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8"/>
                <w:szCs w:val="18"/>
                <w:lang w:val="mk-MK"/>
              </w:rPr>
            </w:pPr>
            <w:r w:rsidRPr="00232275">
              <w:rPr>
                <w:rFonts w:ascii="StobiSerif Regular" w:eastAsia="Times New Roman" w:hAnsi="StobiSerif Regular" w:cs="Times New Roman"/>
                <w:sz w:val="18"/>
                <w:szCs w:val="18"/>
                <w:lang w:val="mk-MK"/>
              </w:rPr>
              <w:t>започнато</w:t>
            </w:r>
          </w:p>
        </w:tc>
        <w:tc>
          <w:tcPr>
            <w:tcW w:w="132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8"/>
                <w:szCs w:val="18"/>
                <w:lang w:val="mk-MK"/>
              </w:rPr>
            </w:pPr>
            <w:r w:rsidRPr="00232275">
              <w:rPr>
                <w:rFonts w:ascii="StobiSerif Regular" w:eastAsia="Times New Roman" w:hAnsi="StobiSerif Regular" w:cs="Times New Roman"/>
                <w:sz w:val="18"/>
                <w:szCs w:val="18"/>
                <w:lang w:val="mk-MK"/>
              </w:rPr>
              <w:t>ограничено</w:t>
            </w:r>
          </w:p>
        </w:tc>
        <w:tc>
          <w:tcPr>
            <w:tcW w:w="1252" w:type="dxa"/>
            <w:gridSpan w:val="2"/>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8"/>
                <w:szCs w:val="18"/>
                <w:lang w:val="mk-MK"/>
              </w:rPr>
            </w:pPr>
            <w:r w:rsidRPr="00232275">
              <w:rPr>
                <w:rFonts w:ascii="StobiSerif Regular" w:eastAsia="Times New Roman" w:hAnsi="StobiSerif Regular" w:cs="Times New Roman"/>
                <w:sz w:val="18"/>
                <w:szCs w:val="18"/>
                <w:lang w:val="mk-MK"/>
              </w:rPr>
              <w:t>значително</w:t>
            </w:r>
          </w:p>
        </w:tc>
        <w:tc>
          <w:tcPr>
            <w:tcW w:w="1282" w:type="dxa"/>
            <w:gridSpan w:val="4"/>
            <w:tcBorders>
              <w:top w:val="single" w:sz="8" w:space="0" w:color="auto"/>
              <w:left w:val="nil"/>
              <w:bottom w:val="single" w:sz="8" w:space="0" w:color="auto"/>
              <w:right w:val="single" w:sz="8" w:space="0" w:color="000000"/>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18"/>
                <w:szCs w:val="18"/>
                <w:lang w:val="mk-MK"/>
              </w:rPr>
            </w:pPr>
            <w:r w:rsidRPr="00232275">
              <w:rPr>
                <w:rFonts w:ascii="StobiSerif Regular" w:eastAsia="Times New Roman" w:hAnsi="StobiSerif Regular" w:cs="Times New Roman"/>
                <w:sz w:val="18"/>
                <w:szCs w:val="18"/>
                <w:lang w:val="mk-MK"/>
              </w:rPr>
              <w:t>завршено</w:t>
            </w:r>
          </w:p>
        </w:tc>
      </w:tr>
      <w:tr w:rsidR="008E3733" w:rsidRPr="00232275" w:rsidTr="00E549E1">
        <w:trPr>
          <w:gridAfter w:val="1"/>
          <w:wAfter w:w="17" w:type="dxa"/>
          <w:trHeight w:val="330"/>
        </w:trPr>
        <w:tc>
          <w:tcPr>
            <w:tcW w:w="4789" w:type="dxa"/>
            <w:gridSpan w:val="6"/>
            <w:vMerge/>
            <w:tcBorders>
              <w:top w:val="single" w:sz="8" w:space="0" w:color="auto"/>
              <w:left w:val="single" w:sz="8" w:space="0" w:color="auto"/>
              <w:bottom w:val="single" w:sz="8" w:space="0" w:color="auto"/>
              <w:right w:val="single" w:sz="8" w:space="0" w:color="000000"/>
            </w:tcBorders>
            <w:vAlign w:val="center"/>
            <w:hideMark/>
          </w:tcPr>
          <w:p w:rsidR="008E3733" w:rsidRPr="00232275" w:rsidRDefault="008E3733" w:rsidP="008E3733">
            <w:pPr>
              <w:spacing w:after="0" w:line="240" w:lineRule="auto"/>
              <w:rPr>
                <w:rFonts w:ascii="StobiSerif Regular" w:eastAsia="Times New Roman" w:hAnsi="StobiSerif Regular" w:cs="Times New Roman"/>
                <w:b/>
                <w:sz w:val="20"/>
                <w:szCs w:val="20"/>
                <w:lang w:val="mk-MK"/>
              </w:rPr>
            </w:pPr>
          </w:p>
        </w:tc>
        <w:tc>
          <w:tcPr>
            <w:tcW w:w="128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32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rPr>
            </w:pPr>
            <w:r w:rsidRPr="00232275">
              <w:rPr>
                <w:rFonts w:ascii="StobiSerif Regular" w:eastAsia="Times New Roman" w:hAnsi="StobiSerif Regular" w:cs="Times New Roman"/>
                <w:sz w:val="20"/>
                <w:szCs w:val="20"/>
              </w:rPr>
              <w:t xml:space="preserve">       </w:t>
            </w:r>
          </w:p>
        </w:tc>
        <w:tc>
          <w:tcPr>
            <w:tcW w:w="1252" w:type="dxa"/>
            <w:gridSpan w:val="2"/>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c>
          <w:tcPr>
            <w:tcW w:w="1282" w:type="dxa"/>
            <w:gridSpan w:val="4"/>
            <w:tcBorders>
              <w:top w:val="single" w:sz="8" w:space="0" w:color="auto"/>
              <w:left w:val="nil"/>
              <w:bottom w:val="single" w:sz="8" w:space="0" w:color="auto"/>
              <w:right w:val="single" w:sz="8" w:space="0" w:color="000000"/>
            </w:tcBorders>
            <w:shd w:val="clear" w:color="auto" w:fill="548DD4" w:themeFill="text2" w:themeFillTint="99"/>
            <w:vAlign w:val="center"/>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p>
        </w:tc>
      </w:tr>
      <w:tr w:rsidR="008E3733" w:rsidRPr="00232275" w:rsidTr="00E549E1">
        <w:trPr>
          <w:gridAfter w:val="1"/>
          <w:wAfter w:w="17" w:type="dxa"/>
          <w:trHeight w:val="270"/>
        </w:trPr>
        <w:tc>
          <w:tcPr>
            <w:tcW w:w="4789" w:type="dxa"/>
            <w:gridSpan w:val="6"/>
            <w:tcBorders>
              <w:top w:val="single" w:sz="8" w:space="0" w:color="auto"/>
              <w:left w:val="single" w:sz="8"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sz w:val="20"/>
                <w:szCs w:val="20"/>
                <w:lang w:val="mk-MK"/>
              </w:rPr>
              <w:t xml:space="preserve">Достигнувања                           </w:t>
            </w:r>
          </w:p>
        </w:tc>
        <w:tc>
          <w:tcPr>
            <w:tcW w:w="5141" w:type="dxa"/>
            <w:gridSpan w:val="14"/>
            <w:tcBorders>
              <w:top w:val="single" w:sz="8" w:space="0" w:color="auto"/>
              <w:left w:val="single" w:sz="4" w:space="0" w:color="auto"/>
              <w:bottom w:val="single" w:sz="4" w:space="0" w:color="auto"/>
              <w:right w:val="single" w:sz="4" w:space="0" w:color="auto"/>
            </w:tcBorders>
            <w:shd w:val="clear" w:color="auto" w:fill="DBE5F1"/>
            <w:vAlign w:val="center"/>
            <w:hideMark/>
          </w:tcPr>
          <w:p w:rsidR="008E3733" w:rsidRPr="00232275" w:rsidRDefault="008E3733" w:rsidP="008E3733">
            <w:pPr>
              <w:spacing w:after="0" w:line="240" w:lineRule="auto"/>
              <w:jc w:val="center"/>
              <w:rPr>
                <w:rFonts w:ascii="StobiSerif Regular" w:eastAsia="Times New Roman" w:hAnsi="StobiSerif Regular" w:cs="Times New Roman"/>
                <w:sz w:val="20"/>
                <w:szCs w:val="20"/>
                <w:lang w:val="mk-MK"/>
              </w:rPr>
            </w:pPr>
            <w:r w:rsidRPr="00232275">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8E3733" w:rsidRPr="00232275" w:rsidTr="00E549E1">
        <w:trPr>
          <w:gridAfter w:val="1"/>
          <w:wAfter w:w="17" w:type="dxa"/>
          <w:trHeight w:val="300"/>
        </w:trPr>
        <w:tc>
          <w:tcPr>
            <w:tcW w:w="47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3733" w:rsidRPr="00232275" w:rsidRDefault="008E3733" w:rsidP="008E3733">
            <w:pPr>
              <w:spacing w:after="0" w:line="240" w:lineRule="auto"/>
              <w:jc w:val="both"/>
              <w:rPr>
                <w:rFonts w:ascii="StobiSerif Regular" w:eastAsia="Times New Roman" w:hAnsi="StobiSerif Regular" w:cs="Times New Roman"/>
                <w:b/>
                <w:i/>
                <w:sz w:val="20"/>
                <w:szCs w:val="20"/>
                <w:lang w:val="mk-MK"/>
              </w:rPr>
            </w:pPr>
            <w:r w:rsidRPr="00232275">
              <w:rPr>
                <w:rFonts w:ascii="StobiSerif Regular" w:eastAsia="Times New Roman" w:hAnsi="StobiSerif Regular" w:cs="Times New Roman"/>
                <w:b/>
                <w:i/>
                <w:sz w:val="20"/>
                <w:szCs w:val="20"/>
                <w:lang w:val="mk-MK"/>
              </w:rPr>
              <w:t xml:space="preserve">6.9.1. Поставување на линк на ВЕБ страниците на општините до ВЕБ страницата на Народниот правобранител </w:t>
            </w:r>
          </w:p>
        </w:tc>
        <w:tc>
          <w:tcPr>
            <w:tcW w:w="5141" w:type="dxa"/>
            <w:gridSpan w:val="14"/>
            <w:tcBorders>
              <w:top w:val="single" w:sz="8" w:space="0" w:color="auto"/>
              <w:left w:val="single" w:sz="4" w:space="0" w:color="auto"/>
              <w:bottom w:val="single" w:sz="8" w:space="0" w:color="auto"/>
              <w:right w:val="single" w:sz="8" w:space="0" w:color="auto"/>
            </w:tcBorders>
            <w:vAlign w:val="center"/>
            <w:hideMark/>
          </w:tcPr>
          <w:p w:rsidR="008E3733" w:rsidRPr="00232275" w:rsidRDefault="008E3733" w:rsidP="008E3733">
            <w:pPr>
              <w:spacing w:after="0" w:line="240" w:lineRule="auto"/>
              <w:jc w:val="both"/>
              <w:rPr>
                <w:rFonts w:ascii="StobiSerif Regular" w:eastAsia="Times New Roman" w:hAnsi="StobiSerif Regular" w:cs="Times New Roman"/>
                <w:sz w:val="20"/>
                <w:szCs w:val="20"/>
                <w:lang w:val="mk-MK"/>
              </w:rPr>
            </w:pPr>
            <w:r>
              <w:rPr>
                <w:rFonts w:ascii="StobiSerif Regular" w:eastAsia="Times New Roman" w:hAnsi="StobiSerif Regular" w:cs="Times New Roman"/>
                <w:sz w:val="20"/>
                <w:szCs w:val="20"/>
                <w:lang w:val="mk-MK"/>
              </w:rPr>
              <w:t>Две третини од општините ја имаат реализирано заложбата. Ова е процес кој трае и треба да се унапредува.</w:t>
            </w:r>
          </w:p>
        </w:tc>
      </w:tr>
    </w:tbl>
    <w:p w:rsidR="008E3733" w:rsidRPr="00232275" w:rsidRDefault="008E3733" w:rsidP="008E3733">
      <w:pPr>
        <w:spacing w:line="240" w:lineRule="auto"/>
        <w:rPr>
          <w:rFonts w:ascii="StobiSerif Regular" w:hAnsi="StobiSerif Regular"/>
          <w:sz w:val="20"/>
          <w:szCs w:val="20"/>
          <w:lang w:val="mk-MK"/>
        </w:rPr>
      </w:pPr>
    </w:p>
    <w:tbl>
      <w:tblPr>
        <w:tblW w:w="9806" w:type="dxa"/>
        <w:tblInd w:w="-318" w:type="dxa"/>
        <w:tblLayout w:type="fixed"/>
        <w:tblLook w:val="00A0" w:firstRow="1" w:lastRow="0" w:firstColumn="1" w:lastColumn="0" w:noHBand="0" w:noVBand="0"/>
      </w:tblPr>
      <w:tblGrid>
        <w:gridCol w:w="1896"/>
        <w:gridCol w:w="2665"/>
        <w:gridCol w:w="1417"/>
        <w:gridCol w:w="1276"/>
        <w:gridCol w:w="1276"/>
        <w:gridCol w:w="1276"/>
      </w:tblGrid>
      <w:tr w:rsidR="008E3733" w:rsidRPr="00232275" w:rsidTr="008E3733">
        <w:trPr>
          <w:trHeight w:val="436"/>
        </w:trPr>
        <w:tc>
          <w:tcPr>
            <w:tcW w:w="9806" w:type="dxa"/>
            <w:gridSpan w:val="6"/>
            <w:tcBorders>
              <w:top w:val="single" w:sz="8" w:space="0" w:color="auto"/>
              <w:left w:val="single" w:sz="8" w:space="0" w:color="auto"/>
              <w:bottom w:val="single" w:sz="8" w:space="0" w:color="auto"/>
              <w:right w:val="single" w:sz="8" w:space="0" w:color="000000"/>
            </w:tcBorders>
            <w:shd w:val="clear" w:color="auto" w:fill="92D050"/>
          </w:tcPr>
          <w:p w:rsidR="008E3733" w:rsidRPr="00232275" w:rsidRDefault="008E3733" w:rsidP="008E3733">
            <w:pPr>
              <w:pStyle w:val="Heading1"/>
              <w:spacing w:before="120" w:after="120"/>
              <w:ind w:left="0"/>
              <w:rPr>
                <w:rFonts w:ascii="StobiSerif Regular" w:hAnsi="StobiSerif Regular"/>
                <w:lang w:val="mk-MK"/>
              </w:rPr>
            </w:pPr>
            <w:r w:rsidRPr="00232275">
              <w:rPr>
                <w:rFonts w:ascii="StobiSerif Regular" w:hAnsi="StobiSerif Regular"/>
                <w:lang w:val="mk-MK"/>
              </w:rPr>
              <w:t>7.ЈАВНИ УСЛУГИ</w:t>
            </w:r>
          </w:p>
        </w:tc>
      </w:tr>
      <w:tr w:rsidR="008E3733" w:rsidRPr="00232275" w:rsidTr="008E3733">
        <w:trPr>
          <w:trHeight w:val="300"/>
        </w:trPr>
        <w:tc>
          <w:tcPr>
            <w:tcW w:w="9806" w:type="dxa"/>
            <w:gridSpan w:val="6"/>
            <w:tcBorders>
              <w:top w:val="single" w:sz="8" w:space="0" w:color="auto"/>
              <w:left w:val="single" w:sz="8" w:space="0" w:color="auto"/>
              <w:bottom w:val="nil"/>
              <w:right w:val="single" w:sz="8" w:space="0" w:color="000000"/>
            </w:tcBorders>
            <w:shd w:val="clear" w:color="auto" w:fill="548DD4"/>
            <w:vAlign w:val="center"/>
          </w:tcPr>
          <w:p w:rsidR="008E3733" w:rsidRPr="00232275" w:rsidRDefault="008E3733" w:rsidP="008E3733">
            <w:pPr>
              <w:pStyle w:val="Heading1"/>
              <w:ind w:left="0"/>
              <w:rPr>
                <w:rFonts w:ascii="StobiSerif Regular" w:hAnsi="StobiSerif Regular"/>
                <w:lang w:val="mk-MK"/>
              </w:rPr>
            </w:pPr>
            <w:bookmarkStart w:id="93" w:name="_Toc453059137"/>
            <w:bookmarkStart w:id="94" w:name="_Toc453059229"/>
            <w:bookmarkStart w:id="95" w:name="_Toc453059275"/>
            <w:r w:rsidRPr="00232275">
              <w:rPr>
                <w:rFonts w:ascii="StobiSerif Regular" w:hAnsi="StobiSerif Regular"/>
                <w:lang w:val="mk-MK"/>
              </w:rPr>
              <w:t>7.1 Поволна правна средина за социјални договори</w:t>
            </w:r>
            <w:bookmarkEnd w:id="93"/>
            <w:bookmarkEnd w:id="94"/>
            <w:bookmarkEnd w:id="95"/>
          </w:p>
        </w:tc>
      </w:tr>
      <w:tr w:rsidR="008E3733" w:rsidRPr="00232275" w:rsidTr="00FB185B">
        <w:trPr>
          <w:trHeight w:val="680"/>
        </w:trPr>
        <w:tc>
          <w:tcPr>
            <w:tcW w:w="4561" w:type="dxa"/>
            <w:gridSpan w:val="2"/>
            <w:tcBorders>
              <w:top w:val="single" w:sz="4" w:space="0" w:color="auto"/>
              <w:left w:val="single" w:sz="4" w:space="0" w:color="auto"/>
              <w:bottom w:val="single" w:sz="4" w:space="0" w:color="auto"/>
              <w:right w:val="single" w:sz="4" w:space="0" w:color="auto"/>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(0</w:t>
            </w:r>
            <w:r w:rsidRPr="00232275">
              <w:rPr>
                <w:rFonts w:ascii="StobiSerif Regular" w:hAnsi="StobiSerif Regular"/>
                <w:sz w:val="20"/>
                <w:szCs w:val="20"/>
              </w:rPr>
              <w:t>7</w:t>
            </w:r>
            <w:r w:rsidRPr="00232275">
              <w:rPr>
                <w:rFonts w:ascii="StobiSerif Regular" w:hAnsi="StobiSerif Regular"/>
                <w:sz w:val="20"/>
                <w:szCs w:val="20"/>
                <w:lang w:val="mk-MK"/>
              </w:rPr>
              <w:t>/2016–</w:t>
            </w:r>
            <w:r w:rsidRPr="00232275">
              <w:rPr>
                <w:rFonts w:ascii="StobiSerif Regular" w:hAnsi="StobiSerif Regular"/>
                <w:sz w:val="20"/>
                <w:szCs w:val="20"/>
              </w:rPr>
              <w:t>0</w:t>
            </w:r>
            <w:r w:rsidRPr="00232275">
              <w:rPr>
                <w:rFonts w:ascii="StobiSerif Regular" w:hAnsi="StobiSerif Regular"/>
                <w:sz w:val="20"/>
                <w:szCs w:val="20"/>
                <w:lang w:val="mk-MK"/>
              </w:rPr>
              <w:t>6/2018)</w:t>
            </w:r>
          </w:p>
        </w:tc>
        <w:tc>
          <w:tcPr>
            <w:tcW w:w="5245" w:type="dxa"/>
            <w:gridSpan w:val="4"/>
            <w:tcBorders>
              <w:top w:val="single" w:sz="4" w:space="0" w:color="auto"/>
              <w:left w:val="nil"/>
              <w:bottom w:val="single" w:sz="4" w:space="0" w:color="auto"/>
              <w:right w:val="single" w:sz="4" w:space="0" w:color="auto"/>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мерка</w:t>
            </w:r>
          </w:p>
        </w:tc>
      </w:tr>
      <w:tr w:rsidR="008E3733" w:rsidRPr="00232275" w:rsidTr="00FB185B">
        <w:trPr>
          <w:trHeight w:val="600"/>
        </w:trPr>
        <w:tc>
          <w:tcPr>
            <w:tcW w:w="4561" w:type="dxa"/>
            <w:gridSpan w:val="2"/>
            <w:tcBorders>
              <w:top w:val="nil"/>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5" w:type="dxa"/>
            <w:gridSpan w:val="4"/>
            <w:tcBorders>
              <w:top w:val="nil"/>
              <w:left w:val="nil"/>
              <w:bottom w:val="single" w:sz="8" w:space="0" w:color="auto"/>
              <w:right w:val="single" w:sz="8" w:space="0" w:color="000000"/>
            </w:tcBorders>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труд и социјална политика</w:t>
            </w:r>
          </w:p>
        </w:tc>
      </w:tr>
      <w:tr w:rsidR="008E3733" w:rsidRPr="00232275" w:rsidTr="00FB185B">
        <w:trPr>
          <w:trHeight w:val="51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Софија Спасовска</w:t>
            </w:r>
          </w:p>
        </w:tc>
      </w:tr>
      <w:tr w:rsidR="008E3733" w:rsidRPr="00232275" w:rsidTr="00FB185B">
        <w:trPr>
          <w:trHeight w:val="32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Помошник раководител на Сектор за  социјална заштита и социјална политика</w:t>
            </w:r>
          </w:p>
        </w:tc>
      </w:tr>
      <w:tr w:rsidR="008E3733" w:rsidRPr="00232275" w:rsidTr="00FB185B">
        <w:trPr>
          <w:trHeight w:val="32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SSpasovska@mtsp.gov.mk</w:t>
            </w:r>
          </w:p>
        </w:tc>
      </w:tr>
      <w:tr w:rsidR="008E3733" w:rsidRPr="00232275" w:rsidTr="00FB185B">
        <w:trPr>
          <w:trHeight w:val="32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+ 389 75 306 027</w:t>
            </w:r>
          </w:p>
        </w:tc>
      </w:tr>
      <w:tr w:rsidR="008E3733" w:rsidRPr="00232275" w:rsidTr="00FB185B">
        <w:trPr>
          <w:trHeight w:val="31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p w:rsidR="008E3733" w:rsidRPr="00232275" w:rsidRDefault="008E3733" w:rsidP="008E3733">
            <w:pPr>
              <w:spacing w:after="0" w:line="240" w:lineRule="auto"/>
              <w:jc w:val="center"/>
              <w:rPr>
                <w:rFonts w:ascii="StobiSerif Regular" w:hAnsi="StobiSerif Regular"/>
                <w:sz w:val="20"/>
                <w:szCs w:val="20"/>
                <w:highlight w:val="yellow"/>
                <w:lang w:val="mk-MK"/>
              </w:rPr>
            </w:pPr>
          </w:p>
        </w:tc>
        <w:tc>
          <w:tcPr>
            <w:tcW w:w="2665" w:type="dxa"/>
            <w:vMerge w:val="restart"/>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5" w:type="dxa"/>
            <w:gridSpan w:val="4"/>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локална самоуправа Ели Чакар, Државен советник , elicakar@gmail.com</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Единици на локалната самоуправа</w:t>
            </w:r>
          </w:p>
        </w:tc>
      </w:tr>
      <w:tr w:rsidR="008E3733" w:rsidRPr="00232275" w:rsidTr="00FB185B">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509"/>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val="restart"/>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highlight w:val="yellow"/>
              </w:rPr>
            </w:pPr>
            <w:r w:rsidRPr="00232275">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245" w:type="dxa"/>
            <w:gridSpan w:val="4"/>
            <w:vMerge w:val="restart"/>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СОС Детско село</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Македонија</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Зоран Богдановски</w:t>
            </w:r>
          </w:p>
          <w:p w:rsidR="008E3733" w:rsidRPr="00232275" w:rsidRDefault="008E3733" w:rsidP="008E3733">
            <w:pPr>
              <w:spacing w:after="0" w:line="240" w:lineRule="auto"/>
              <w:jc w:val="both"/>
              <w:rPr>
                <w:rFonts w:ascii="StobiSerif Regular" w:hAnsi="StobiSerif Regular"/>
                <w:sz w:val="20"/>
                <w:szCs w:val="20"/>
                <w:highlight w:val="yellow"/>
                <w:lang w:val="mk-MK"/>
              </w:rPr>
            </w:pPr>
            <w:r w:rsidRPr="00232275">
              <w:rPr>
                <w:rFonts w:ascii="StobiSerif Regular" w:hAnsi="StobiSerif Regular"/>
                <w:sz w:val="20"/>
                <w:szCs w:val="20"/>
                <w:lang w:val="mk-MK"/>
              </w:rPr>
              <w:t>zoran.bogdanovski@sos.org.mk ; 070 260 957</w:t>
            </w:r>
          </w:p>
        </w:tc>
      </w:tr>
      <w:tr w:rsidR="008E3733" w:rsidRPr="00232275" w:rsidTr="00FB185B">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2665" w:type="dxa"/>
            <w:vMerge/>
            <w:tcBorders>
              <w:top w:val="nil"/>
              <w:left w:val="single" w:sz="8" w:space="0" w:color="auto"/>
              <w:bottom w:val="single" w:sz="8" w:space="0" w:color="000000"/>
              <w:right w:val="single" w:sz="8" w:space="0" w:color="auto"/>
            </w:tcBorders>
            <w:shd w:val="clear" w:color="auto" w:fill="DBE5F1"/>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vMerge/>
            <w:tcBorders>
              <w:top w:val="single" w:sz="8" w:space="0" w:color="auto"/>
              <w:left w:val="single" w:sz="8" w:space="0" w:color="auto"/>
              <w:bottom w:val="single" w:sz="8" w:space="0" w:color="000000"/>
              <w:right w:val="single" w:sz="8" w:space="0" w:color="000000"/>
            </w:tcBorders>
            <w:vAlign w:val="center"/>
          </w:tcPr>
          <w:p w:rsidR="008E3733" w:rsidRPr="00232275" w:rsidRDefault="008E3733" w:rsidP="008E3733">
            <w:pPr>
              <w:spacing w:after="0" w:line="240" w:lineRule="auto"/>
              <w:rPr>
                <w:rFonts w:ascii="StobiSerif Regular" w:hAnsi="StobiSerif Regular"/>
                <w:sz w:val="20"/>
                <w:szCs w:val="20"/>
                <w:highlight w:val="yellow"/>
                <w:lang w:val="mk-MK"/>
              </w:rPr>
            </w:pPr>
          </w:p>
        </w:tc>
      </w:tr>
      <w:tr w:rsidR="008E3733" w:rsidRPr="00232275" w:rsidTr="00FB185B">
        <w:trPr>
          <w:trHeight w:val="831"/>
        </w:trPr>
        <w:tc>
          <w:tcPr>
            <w:tcW w:w="4561" w:type="dxa"/>
            <w:gridSpan w:val="2"/>
            <w:tcBorders>
              <w:top w:val="nil"/>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highlight w:val="yellow"/>
                <w:lang w:val="mk-MK"/>
              </w:rPr>
            </w:pPr>
            <w:r w:rsidRPr="00232275">
              <w:rPr>
                <w:rFonts w:ascii="StobiSerif Regular" w:hAnsi="StobiSerif Regular"/>
                <w:sz w:val="20"/>
                <w:szCs w:val="20"/>
                <w:lang w:val="mk-MK"/>
              </w:rPr>
              <w:t>Состојба или проблем што се опфаќа со обврската</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Согласно постојната законска регулатива, овозможено е различни субјекти да даваат социјални услуги во заедницата, но сеуште овој процес не е доволно развиен и не се практикува доволно. Во основа сите социјални услуги се обезбедуваат од централно ниво. Заради подобрување на услугите кон граѓаните, постои потреба повеќе чинители да се јават како даватели на социјални услуги, меѓу кои и ГО. Овој модел се практикува во многу земји со развиен граѓански сектор, со што се обезбедува соработка со ГО, одржливост на ГО, како и обезбедување на услуги на поефективен начин, без дополнително врзување на човечки ресурси. Во Република Македонија концептот на социјално претприемништво не е соодветно уреден во правниот систем, иако важноста на концептот и придобивките се признати во општеството. Не постои законска регулатива која сеопфатно ја регулираат оваа материја, иако во неколку закони и политики постојат одредби кои што придонесуваат за поддршка на идниот развој на социјалното претприемништво. Законот за здруженија на граѓани и фондации регулира можност невладините организации да имаат и бизнис активности, но искористувањето на овие можности е мало. Многу од невладините организации располагаат со ограничени ресурси и/или се соочуваат со зависност од еден донатор што ја намалува можноста за нивна долгорочна одржливост.</w:t>
            </w:r>
          </w:p>
        </w:tc>
      </w:tr>
      <w:tr w:rsidR="008E3733" w:rsidRPr="00232275" w:rsidTr="00FB185B">
        <w:trPr>
          <w:trHeight w:val="32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highlight w:val="yellow"/>
                <w:lang w:val="mk-MK"/>
              </w:rPr>
            </w:pPr>
            <w:r w:rsidRPr="00232275">
              <w:rPr>
                <w:rFonts w:ascii="StobiSerif Regular" w:hAnsi="StobiSerif Regular"/>
                <w:sz w:val="20"/>
                <w:szCs w:val="20"/>
                <w:lang w:val="mk-MK"/>
              </w:rPr>
              <w:t>Главна цел</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Подобрување на социјалните услуги кон граѓаните  во Македонија согласно нивните потреби, а преку создавање на поволна правна средина за социјални договори, како и  подобрување на националното законодавство и политиките преку развивање на механизми за социјални договори во областа на социјалната заштита во Република Македонија. Дополнително целта на мерката е и да се помогне во креирање на соодветна средина за социјално претприемништво на организациите од граѓанското општество (ГО) и да се подобри нивната одржливост, финансиска одржливост и социјално влијание</w:t>
            </w:r>
          </w:p>
        </w:tc>
      </w:tr>
      <w:tr w:rsidR="008E3733" w:rsidRPr="00232275" w:rsidTr="00FB185B">
        <w:trPr>
          <w:trHeight w:val="406"/>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highlight w:val="yellow"/>
                <w:lang w:val="mk-MK"/>
              </w:rPr>
            </w:pP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highlight w:val="yellow"/>
                <w:lang w:val="mk-MK"/>
              </w:rPr>
            </w:pPr>
            <w:r w:rsidRPr="00232275">
              <w:rPr>
                <w:rFonts w:ascii="StobiSerif Regular" w:hAnsi="StobiSerif Regular"/>
                <w:sz w:val="20"/>
                <w:szCs w:val="20"/>
                <w:lang w:val="mk-MK"/>
              </w:rPr>
              <w:t>Создавање и подобрување на условите за давање на социјални услуги преку креирање на модел за склучување на социјални договори во областа на заштита на децата и давање на социјални услуги. Решавање на социјални проблеми преку креативни решенија основани на бизнис логика а доставени од непрофитни организации</w:t>
            </w:r>
          </w:p>
        </w:tc>
      </w:tr>
      <w:tr w:rsidR="008E3733" w:rsidRPr="00232275" w:rsidTr="00FB185B">
        <w:trPr>
          <w:trHeight w:val="60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hAnsi="StobiSerif Regular"/>
                <w:sz w:val="20"/>
                <w:szCs w:val="20"/>
                <w:highlight w:val="yellow"/>
                <w:lang w:val="mk-MK"/>
              </w:rPr>
            </w:pP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after="0" w:line="240" w:lineRule="auto"/>
              <w:jc w:val="both"/>
              <w:rPr>
                <w:rFonts w:ascii="StobiSerif Regular" w:hAnsi="StobiSerif Regular"/>
                <w:sz w:val="20"/>
                <w:szCs w:val="20"/>
                <w:highlight w:val="yellow"/>
              </w:rPr>
            </w:pPr>
            <w:r w:rsidRPr="00232275">
              <w:rPr>
                <w:rFonts w:ascii="StobiSerif Regular" w:hAnsi="StobiSerif Regular"/>
                <w:sz w:val="20"/>
                <w:szCs w:val="20"/>
                <w:lang w:val="mk-MK"/>
              </w:rPr>
              <w:t>Преку воведувањето на овој модел се овозможува иновативен пристап за подобрување на квалитетот на испораката на социјални услуги,  со вклучување на ГО, проширување на опфатот на социјалните услуги за маргинализирани групи, како и поголема финансиска одржливост на ГО. Од друга страна со оваа мерка се подобрува и олеснува пристапот на граѓаните кон социјалните услуги и нивна одржливост.</w:t>
            </w:r>
          </w:p>
        </w:tc>
      </w:tr>
      <w:tr w:rsidR="008E3733" w:rsidRPr="00232275" w:rsidTr="00FB185B">
        <w:trPr>
          <w:trHeight w:val="600"/>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highlight w:val="yellow"/>
                <w:lang w:val="mk-MK"/>
              </w:rPr>
            </w:pPr>
            <w:r w:rsidRPr="00232275">
              <w:rPr>
                <w:rFonts w:ascii="StobiSerif Regular" w:hAnsi="StobiSerif Regular"/>
                <w:sz w:val="20"/>
                <w:szCs w:val="20"/>
                <w:lang w:val="mk-MK"/>
              </w:rPr>
              <w:t>Поврзаност со Глобалните цели за одржлив развој</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 Врска со Цел 1 ,,Да се сопре сиромаштијата во сите нејзини форми“ , Таргет 1.3: Да се имплементираат соодветни национални системи за социјална заштита и мерки за вклучување на сите и до 2030 да се постигне одржлива покриеност на сиромашните и ранливите </w:t>
            </w:r>
          </w:p>
          <w:p w:rsidR="008E3733" w:rsidRPr="00232275" w:rsidRDefault="008E3733" w:rsidP="008E3733">
            <w:pPr>
              <w:spacing w:after="0" w:line="240" w:lineRule="auto"/>
              <w:jc w:val="both"/>
              <w:rPr>
                <w:rFonts w:ascii="StobiSerif Regular" w:hAnsi="StobiSerif Regular"/>
                <w:sz w:val="20"/>
                <w:szCs w:val="20"/>
                <w:highlight w:val="yellow"/>
                <w:lang w:val="mk-MK"/>
              </w:rPr>
            </w:pPr>
            <w:r w:rsidRPr="00232275">
              <w:rPr>
                <w:rFonts w:ascii="StobiSerif Regular" w:hAnsi="StobiSerif Regular"/>
                <w:sz w:val="20"/>
                <w:szCs w:val="20"/>
                <w:lang w:val="mk-MK"/>
              </w:rPr>
              <w:t>Со мерките од оваа заложба ќе се унапредат социјалните услуги кон граѓаните преку подобрување на националното законодавство.</w:t>
            </w:r>
          </w:p>
        </w:tc>
      </w:tr>
      <w:tr w:rsidR="008E3733" w:rsidRPr="00232275" w:rsidTr="00FB185B">
        <w:trPr>
          <w:trHeight w:val="4195"/>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spacing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 Креирањето на механизми за испорака на социјални услуги од страна на ГО ќе ја зголеми довербата и соработката помеѓу владините институции и граѓанскиот сектор и ќе придонесе кон поголемо користење на можноста за делегирање на функции/надлежности и подобрување на квалитетот на услугите кон граѓаните.</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воведувањето на овој модел ќе се подобрат капацитетите на системот на социјална заштита, вклучување на различни субјекти во испораката на услуги, што директно ќе води кон поголема конкурентност и квалитет согласно специфичните потреби за социјална заштита на граѓаните.</w:t>
            </w:r>
          </w:p>
        </w:tc>
      </w:tr>
      <w:tr w:rsidR="008E3733" w:rsidRPr="00232275" w:rsidTr="00FB185B">
        <w:trPr>
          <w:trHeight w:val="547"/>
        </w:trPr>
        <w:tc>
          <w:tcPr>
            <w:tcW w:w="456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45" w:type="dxa"/>
            <w:gridSpan w:val="4"/>
            <w:tcBorders>
              <w:top w:val="single" w:sz="8" w:space="0" w:color="auto"/>
              <w:left w:val="nil"/>
              <w:bottom w:val="single" w:sz="8" w:space="0" w:color="auto"/>
              <w:right w:val="single" w:sz="8" w:space="0" w:color="000000"/>
            </w:tcBorders>
            <w:vAlign w:val="center"/>
          </w:tcPr>
          <w:p w:rsidR="008E3733" w:rsidRPr="00232275" w:rsidRDefault="008E3733" w:rsidP="008E3733">
            <w:pPr>
              <w:numPr>
                <w:ilvl w:val="0"/>
                <w:numId w:val="21"/>
              </w:numPr>
              <w:spacing w:after="0" w:line="240" w:lineRule="auto"/>
              <w:ind w:left="141" w:hanging="141"/>
              <w:jc w:val="both"/>
              <w:rPr>
                <w:rFonts w:ascii="StobiSerif Regular" w:hAnsi="StobiSerif Regular"/>
                <w:sz w:val="20"/>
                <w:szCs w:val="20"/>
                <w:lang w:val="mk-MK"/>
              </w:rPr>
            </w:pPr>
            <w:r w:rsidRPr="00232275">
              <w:rPr>
                <w:rFonts w:ascii="StobiSerif Regular" w:hAnsi="StobiSerif Regular"/>
                <w:sz w:val="20"/>
                <w:szCs w:val="20"/>
                <w:lang w:val="mk-MK"/>
              </w:rPr>
              <w:t>Развиен документ (акциски план) со постапки за ефикасно спроведување на социјални договори за претстојните 3 години;</w:t>
            </w:r>
          </w:p>
          <w:p w:rsidR="008E3733" w:rsidRPr="00232275" w:rsidRDefault="008E3733" w:rsidP="008E3733">
            <w:pPr>
              <w:numPr>
                <w:ilvl w:val="0"/>
                <w:numId w:val="21"/>
              </w:numPr>
              <w:spacing w:after="0" w:line="240" w:lineRule="auto"/>
              <w:ind w:left="141" w:hanging="141"/>
              <w:jc w:val="both"/>
              <w:rPr>
                <w:rFonts w:ascii="StobiSerif Regular" w:hAnsi="StobiSerif Regular"/>
                <w:sz w:val="20"/>
                <w:szCs w:val="20"/>
                <w:lang w:val="mk-MK"/>
              </w:rPr>
            </w:pPr>
            <w:r w:rsidRPr="00232275">
              <w:rPr>
                <w:rFonts w:ascii="StobiSerif Regular" w:hAnsi="StobiSerif Regular"/>
                <w:sz w:val="20"/>
                <w:szCs w:val="20"/>
                <w:lang w:val="mk-MK"/>
              </w:rPr>
              <w:t>предлози за унапредување на правната рамка за социјална заштита во Република Македонија, во согласност со релевантните меѓународни стандарди и регулатива, со која се овозможува склучување на социјални договори во областа на социјалната заштита;</w:t>
            </w:r>
          </w:p>
          <w:p w:rsidR="008E3733" w:rsidRPr="00232275" w:rsidRDefault="008E3733" w:rsidP="008E3733">
            <w:pPr>
              <w:numPr>
                <w:ilvl w:val="0"/>
                <w:numId w:val="21"/>
              </w:numPr>
              <w:spacing w:after="0" w:line="240" w:lineRule="auto"/>
              <w:ind w:left="141" w:hanging="141"/>
              <w:jc w:val="both"/>
              <w:rPr>
                <w:rFonts w:ascii="StobiSerif Regular" w:hAnsi="StobiSerif Regular"/>
                <w:sz w:val="20"/>
                <w:szCs w:val="20"/>
                <w:lang w:val="mk-MK"/>
              </w:rPr>
            </w:pPr>
            <w:r w:rsidRPr="00232275">
              <w:rPr>
                <w:rFonts w:ascii="StobiSerif Regular" w:hAnsi="StobiSerif Regular"/>
                <w:sz w:val="20"/>
                <w:szCs w:val="20"/>
                <w:lang w:val="mk-MK"/>
              </w:rPr>
              <w:t>подготовка на предлог</w:t>
            </w:r>
            <w:r w:rsidRPr="00232275">
              <w:rPr>
                <w:rFonts w:ascii="StobiSerif Regular" w:hAnsi="StobiSerif Regular"/>
                <w:sz w:val="20"/>
                <w:szCs w:val="20"/>
              </w:rPr>
              <w:t xml:space="preserve"> </w:t>
            </w:r>
            <w:r w:rsidRPr="00232275">
              <w:rPr>
                <w:rFonts w:ascii="StobiSerif Regular" w:hAnsi="StobiSerif Regular"/>
                <w:sz w:val="20"/>
                <w:szCs w:val="20"/>
                <w:lang w:val="mk-MK"/>
              </w:rPr>
              <w:t>-</w:t>
            </w:r>
            <w:r w:rsidRPr="00232275">
              <w:rPr>
                <w:rFonts w:ascii="StobiSerif Regular" w:hAnsi="StobiSerif Regular"/>
                <w:sz w:val="20"/>
                <w:szCs w:val="20"/>
              </w:rPr>
              <w:t xml:space="preserve"> </w:t>
            </w:r>
            <w:r w:rsidRPr="00232275">
              <w:rPr>
                <w:rFonts w:ascii="StobiSerif Regular" w:hAnsi="StobiSerif Regular"/>
                <w:sz w:val="20"/>
                <w:szCs w:val="20"/>
                <w:lang w:val="mk-MK"/>
              </w:rPr>
              <w:t>подзаконски акти за стандарди за обезбедување на социјални услуги, предлог на постапки за регулирање на социјалните договори во областа на социјалната заштита, како и утврдување на услови и постапка за избор  на   други даватели на социјални услуги.</w:t>
            </w:r>
          </w:p>
          <w:p w:rsidR="008E3733" w:rsidRPr="00232275" w:rsidRDefault="008E3733" w:rsidP="008E3733">
            <w:pPr>
              <w:numPr>
                <w:ilvl w:val="0"/>
                <w:numId w:val="21"/>
              </w:numPr>
              <w:spacing w:after="0" w:line="240" w:lineRule="auto"/>
              <w:ind w:left="141" w:hanging="141"/>
              <w:jc w:val="both"/>
              <w:rPr>
                <w:rFonts w:ascii="StobiSerif Regular" w:hAnsi="StobiSerif Regular"/>
                <w:sz w:val="20"/>
                <w:szCs w:val="20"/>
                <w:lang w:val="mk-MK"/>
              </w:rPr>
            </w:pPr>
            <w:r w:rsidRPr="00232275">
              <w:rPr>
                <w:rFonts w:ascii="StobiSerif Regular" w:hAnsi="StobiSerif Regular"/>
                <w:sz w:val="20"/>
                <w:szCs w:val="20"/>
                <w:lang w:val="mk-MK"/>
              </w:rPr>
              <w:t>промоција на социјалните договори како модел за подобрување на квалитетот на социјалните услуги и одржливоста на граѓанското општество во Македонија и зајакнување на меѓусекторската соработка.</w:t>
            </w:r>
          </w:p>
          <w:p w:rsidR="008E3733" w:rsidRPr="00232275" w:rsidRDefault="008E3733" w:rsidP="008E3733">
            <w:pPr>
              <w:numPr>
                <w:ilvl w:val="0"/>
                <w:numId w:val="21"/>
              </w:numPr>
              <w:spacing w:after="0" w:line="240" w:lineRule="auto"/>
              <w:ind w:left="141" w:hanging="141"/>
              <w:jc w:val="both"/>
              <w:rPr>
                <w:rFonts w:ascii="StobiSerif Regular" w:hAnsi="StobiSerif Regular"/>
                <w:sz w:val="20"/>
                <w:szCs w:val="20"/>
                <w:lang w:val="mk-MK"/>
              </w:rPr>
            </w:pPr>
            <w:r w:rsidRPr="00232275">
              <w:rPr>
                <w:rFonts w:ascii="StobiSerif Regular" w:hAnsi="StobiSerif Regular"/>
                <w:sz w:val="20"/>
                <w:szCs w:val="20"/>
                <w:lang w:val="mk-MK"/>
              </w:rPr>
              <w:t xml:space="preserve">Зајакнати капацитети на 100 претставници на ГО, централната и локалната власт, институции и бизнис секторот преку обука, а заради успешно спроведување на моделот на социјални договори во областа на социјалната заштита. </w:t>
            </w:r>
          </w:p>
          <w:p w:rsidR="008E3733" w:rsidRPr="00232275" w:rsidRDefault="008E3733" w:rsidP="008E3733">
            <w:pPr>
              <w:numPr>
                <w:ilvl w:val="0"/>
                <w:numId w:val="20"/>
              </w:numPr>
              <w:spacing w:after="0" w:line="240" w:lineRule="auto"/>
              <w:ind w:left="194" w:hanging="194"/>
              <w:jc w:val="both"/>
              <w:rPr>
                <w:rFonts w:ascii="StobiSerif Regular" w:hAnsi="StobiSerif Regular"/>
                <w:sz w:val="20"/>
                <w:szCs w:val="20"/>
                <w:lang w:val="mk-MK"/>
              </w:rPr>
            </w:pPr>
            <w:r w:rsidRPr="00232275">
              <w:rPr>
                <w:rFonts w:ascii="StobiSerif Regular" w:hAnsi="StobiSerif Regular"/>
                <w:sz w:val="20"/>
                <w:szCs w:val="20"/>
                <w:lang w:val="mk-MK"/>
              </w:rPr>
              <w:t>Основање на бизнис активности и зајакнување на социјалното влијание на 10 ГО преку регрантирање на креативни решенија за решавање на социјални проблеми</w:t>
            </w:r>
          </w:p>
          <w:p w:rsidR="008E3733" w:rsidRPr="00232275" w:rsidRDefault="008E3733" w:rsidP="008E3733">
            <w:pPr>
              <w:numPr>
                <w:ilvl w:val="0"/>
                <w:numId w:val="20"/>
              </w:numPr>
              <w:spacing w:after="0" w:line="240" w:lineRule="auto"/>
              <w:ind w:left="194" w:hanging="194"/>
              <w:jc w:val="both"/>
              <w:rPr>
                <w:rFonts w:ascii="StobiSerif Regular" w:hAnsi="StobiSerif Regular"/>
                <w:sz w:val="20"/>
                <w:szCs w:val="20"/>
                <w:lang w:val="mk-MK"/>
              </w:rPr>
            </w:pPr>
            <w:r w:rsidRPr="00232275">
              <w:rPr>
                <w:rFonts w:ascii="StobiSerif Regular" w:hAnsi="StobiSerif Regular"/>
                <w:sz w:val="20"/>
                <w:szCs w:val="20"/>
                <w:lang w:val="mk-MK"/>
              </w:rPr>
              <w:t>Подобрена средина за социјално претприемништво</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561" w:type="dxa"/>
            <w:gridSpan w:val="2"/>
            <w:vMerge w:val="restart"/>
          </w:tcPr>
          <w:p w:rsidR="008E3733" w:rsidRPr="00232275" w:rsidRDefault="008E3733" w:rsidP="008E3733">
            <w:pPr>
              <w:spacing w:after="0" w:line="240" w:lineRule="auto"/>
              <w:jc w:val="both"/>
              <w:rPr>
                <w:rFonts w:ascii="StobiSerif Regular" w:hAnsi="StobiSerif Regular" w:cs="Tahoma"/>
                <w:sz w:val="20"/>
                <w:szCs w:val="20"/>
                <w:lang w:val="mk-MK"/>
              </w:rPr>
            </w:pPr>
          </w:p>
          <w:p w:rsidR="008E3733" w:rsidRPr="00232275" w:rsidRDefault="008E3733" w:rsidP="008E3733">
            <w:pPr>
              <w:spacing w:after="0" w:line="240" w:lineRule="auto"/>
              <w:jc w:val="both"/>
              <w:rPr>
                <w:rFonts w:ascii="StobiSerif Regular" w:hAnsi="StobiSerif Regular" w:cs="Tahoma"/>
                <w:sz w:val="20"/>
                <w:szCs w:val="20"/>
                <w:highlight w:val="yellow"/>
                <w:lang w:val="mk-MK"/>
              </w:rPr>
            </w:pPr>
            <w:r w:rsidRPr="00232275">
              <w:rPr>
                <w:rFonts w:ascii="StobiSerif Regular" w:hAnsi="StobiSerif Regular" w:cs="Tahoma"/>
                <w:sz w:val="20"/>
                <w:szCs w:val="20"/>
                <w:lang w:val="mk-MK"/>
              </w:rPr>
              <w:t>Статус на реализација на заложба</w:t>
            </w:r>
          </w:p>
        </w:tc>
        <w:tc>
          <w:tcPr>
            <w:tcW w:w="1417"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276"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276"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561" w:type="dxa"/>
            <w:gridSpan w:val="2"/>
            <w:vMerge/>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c>
          <w:tcPr>
            <w:tcW w:w="1417" w:type="dxa"/>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c>
          <w:tcPr>
            <w:tcW w:w="1276" w:type="dxa"/>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c>
          <w:tcPr>
            <w:tcW w:w="1276" w:type="dxa"/>
            <w:shd w:val="clear" w:color="auto" w:fill="auto"/>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c>
          <w:tcPr>
            <w:tcW w:w="1276" w:type="dxa"/>
            <w:shd w:val="clear" w:color="auto" w:fill="548DD4" w:themeFill="text2" w:themeFillTint="99"/>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4561" w:type="dxa"/>
            <w:gridSpan w:val="2"/>
            <w:shd w:val="clear" w:color="auto" w:fill="DBE5F1" w:themeFill="accent1" w:themeFillTint="33"/>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p w:rsidR="008E3733" w:rsidRPr="00232275" w:rsidRDefault="008E3733" w:rsidP="008E3733">
            <w:pPr>
              <w:spacing w:after="0" w:line="240" w:lineRule="auto"/>
              <w:jc w:val="both"/>
              <w:rPr>
                <w:rFonts w:ascii="StobiSerif Regular" w:hAnsi="StobiSerif Regular" w:cs="Tahoma"/>
                <w:sz w:val="20"/>
                <w:szCs w:val="20"/>
                <w:highlight w:val="yellow"/>
                <w:lang w:val="mk-MK"/>
              </w:rPr>
            </w:pPr>
          </w:p>
        </w:tc>
        <w:tc>
          <w:tcPr>
            <w:tcW w:w="5245" w:type="dxa"/>
            <w:gridSpan w:val="4"/>
            <w:shd w:val="clear" w:color="auto" w:fill="DBE5F1" w:themeFill="accent1" w:themeFillTint="33"/>
          </w:tcPr>
          <w:p w:rsidR="008E3733" w:rsidRPr="00232275" w:rsidRDefault="008E3733" w:rsidP="008E3733">
            <w:pPr>
              <w:spacing w:after="0" w:line="240" w:lineRule="auto"/>
              <w:jc w:val="both"/>
              <w:rPr>
                <w:rFonts w:ascii="StobiSerif Regular" w:hAnsi="StobiSerif Regular" w:cs="Tahoma"/>
                <w:b/>
                <w:sz w:val="20"/>
                <w:szCs w:val="20"/>
                <w:highlight w:val="yellow"/>
                <w:lang w:val="mk-MK"/>
              </w:rPr>
            </w:pPr>
            <w:r w:rsidRPr="00232275">
              <w:rPr>
                <w:rFonts w:ascii="StobiSerif Regular" w:hAnsi="StobiSerif Regular" w:cs="Tahoma"/>
                <w:sz w:val="20"/>
                <w:szCs w:val="20"/>
                <w:lang w:val="mk-MK"/>
              </w:rPr>
              <w:t>Кус опис</w:t>
            </w:r>
            <w:r w:rsidRPr="00232275">
              <w:rPr>
                <w:rFonts w:ascii="StobiSerif Regular" w:hAnsi="StobiSerif Regular" w:cs="Tahoma"/>
                <w:b/>
                <w:sz w:val="20"/>
                <w:szCs w:val="20"/>
                <w:lang w:val="mk-MK"/>
              </w:rPr>
              <w:t xml:space="preserve"> </w:t>
            </w:r>
            <w:r w:rsidRPr="00232275">
              <w:rPr>
                <w:rFonts w:ascii="StobiSerif Regular" w:hAnsi="StobiSerif Regular" w:cs="Tahoma"/>
                <w:sz w:val="20"/>
                <w:szCs w:val="20"/>
                <w:lang w:val="mk-MK"/>
              </w:rPr>
              <w:t>на превземени активности и постигнати резултати по достигнување</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0"/>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7.1.1.Спроведена Компаративна анализа за имплементација на модел на социјални договори</w:t>
            </w:r>
          </w:p>
          <w:p w:rsidR="008E3733" w:rsidRPr="00232275" w:rsidRDefault="008E3733" w:rsidP="008E3733">
            <w:pPr>
              <w:spacing w:after="0" w:line="240" w:lineRule="auto"/>
              <w:jc w:val="both"/>
              <w:rPr>
                <w:rFonts w:ascii="StobiSerif Regular" w:hAnsi="StobiSerif Regular"/>
                <w:b/>
                <w:i/>
                <w:sz w:val="20"/>
                <w:szCs w:val="20"/>
                <w:highlight w:val="yellow"/>
                <w:lang w:val="mk-MK"/>
              </w:rPr>
            </w:pPr>
          </w:p>
        </w:tc>
        <w:tc>
          <w:tcPr>
            <w:tcW w:w="5245" w:type="dxa"/>
            <w:gridSpan w:val="4"/>
          </w:tcPr>
          <w:p w:rsidR="008E3733" w:rsidRPr="00232275" w:rsidRDefault="008E3733" w:rsidP="008E3733">
            <w:pPr>
              <w:pStyle w:val="ListParagraph"/>
              <w:numPr>
                <w:ilvl w:val="0"/>
                <w:numId w:val="20"/>
              </w:numPr>
              <w:spacing w:after="0" w:line="240" w:lineRule="auto"/>
              <w:ind w:left="179" w:hanging="179"/>
              <w:jc w:val="both"/>
              <w:rPr>
                <w:rFonts w:ascii="StobiSerif Regular" w:hAnsi="StobiSerif Regular" w:cs="Tahoma"/>
                <w:sz w:val="20"/>
                <w:szCs w:val="20"/>
                <w:lang w:val="mk-MK"/>
              </w:rPr>
            </w:pPr>
            <w:r w:rsidRPr="00232275">
              <w:rPr>
                <w:rFonts w:ascii="StobiSerif Regular" w:hAnsi="StobiSerif Regular" w:cs="Tahoma"/>
                <w:sz w:val="20"/>
                <w:szCs w:val="20"/>
                <w:lang w:val="mk-MK"/>
              </w:rPr>
              <w:t>Спроведена компаративна анализа за имплементација на социјалните договори во регионот и пошироко во Европа, како и анализа на правната рамка во Македонија и условите за развивање и имплементација на модел на социјални договори</w:t>
            </w:r>
          </w:p>
          <w:p w:rsidR="008E3733" w:rsidRPr="00232275" w:rsidRDefault="008E3733" w:rsidP="008E3733">
            <w:pPr>
              <w:pStyle w:val="ListParagraph"/>
              <w:numPr>
                <w:ilvl w:val="0"/>
                <w:numId w:val="20"/>
              </w:numPr>
              <w:spacing w:after="0" w:line="240" w:lineRule="auto"/>
              <w:ind w:left="179" w:hanging="179"/>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Изработен извештај со наоди и препораки произлезени од компаративната анализа </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highlight w:val="yellow"/>
                <w:lang w:val="mk-MK"/>
              </w:rPr>
            </w:pPr>
            <w:r w:rsidRPr="00232275">
              <w:rPr>
                <w:rFonts w:ascii="StobiSerif Regular" w:hAnsi="StobiSerif Regular"/>
                <w:b/>
                <w:i/>
                <w:sz w:val="20"/>
                <w:szCs w:val="20"/>
                <w:lang w:val="mk-MK"/>
              </w:rPr>
              <w:t>7.1.2. Промовиран Извештај со резултатите и препораките од спроведената компаративна анализа</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Промоција на извештајот со резултатите и препораките од компаративната анализа (пред членовите на Мултипартитниот одбор и стручната јавност на национално ниво – 30тина претставници од МТСП, УНИЦЕФ, Завод за социјални дејности, Центар за социјална работа, Институт за социјална работа и политика, Граѓански организации од социјална дејност и др.)</w:t>
            </w:r>
          </w:p>
          <w:p w:rsidR="008E3733" w:rsidRPr="00232275" w:rsidRDefault="008E3733" w:rsidP="008E3733">
            <w:pPr>
              <w:spacing w:after="0" w:line="240" w:lineRule="auto"/>
              <w:jc w:val="both"/>
              <w:rPr>
                <w:rFonts w:ascii="StobiSerif Regular" w:hAnsi="StobiSerif Regular" w:cs="Tahoma"/>
                <w:sz w:val="20"/>
                <w:szCs w:val="20"/>
                <w:highlight w:val="yellow"/>
                <w:lang w:val="mk-MK"/>
              </w:rPr>
            </w:pPr>
            <w:r w:rsidRPr="00232275">
              <w:rPr>
                <w:rFonts w:ascii="StobiSerif Regular" w:hAnsi="StobiSerif Regular" w:cs="Tahoma"/>
                <w:sz w:val="20"/>
                <w:szCs w:val="20"/>
                <w:lang w:val="mk-MK"/>
              </w:rPr>
              <w:t>- Регионална промоција на извештајот со резултатите и препораките од компаративната анализа (регионално во шест градови во Македонија – Битола, Струмица, Тетово, Охрид, Велес и Штип, учество на 80тина претставници од општинските центри за социјална работа, општинските сектори за социјални дејности и граѓански организации со социјална дејност и др.)</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7.1.3. Изготвен документ - предлог стандарди за испорака на социјални услуги од страна на граѓанските организации и подигнување на јавната свест</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Развиен предлог документ за стандарди за испорака на социјални услуги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Презентиран и дискутиран нацрт документ за стандарди за испорака на социјални услуги на дводневна национална конференција со учество на меѓународни и национални експерти, претставници на донатори, институции и организации од областа на социјалната заштита и јавните политики,, 6 регионални јавни дебати во 6 градови во Македонија и со Мултипартитниот одбор (советодавно, стручно тело во проектот)</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highlight w:val="yellow"/>
                <w:lang w:val="mk-MK"/>
              </w:rPr>
            </w:pPr>
            <w:r w:rsidRPr="00232275">
              <w:rPr>
                <w:rFonts w:ascii="StobiSerif Regular" w:hAnsi="StobiSerif Regular"/>
                <w:b/>
                <w:i/>
                <w:sz w:val="20"/>
                <w:szCs w:val="20"/>
                <w:lang w:val="mk-MK"/>
              </w:rPr>
              <w:t>7.1.4. Изготвен документ -  предлог модел на Социјални договори</w:t>
            </w:r>
          </w:p>
          <w:p w:rsidR="008E3733" w:rsidRPr="00232275" w:rsidRDefault="008E3733" w:rsidP="008E3733">
            <w:pPr>
              <w:spacing w:after="0" w:line="240" w:lineRule="auto"/>
              <w:rPr>
                <w:rFonts w:ascii="StobiSerif Regular" w:hAnsi="StobiSerif Regular"/>
                <w:sz w:val="20"/>
                <w:szCs w:val="20"/>
                <w:highlight w:val="yellow"/>
                <w:lang w:val="mk-MK"/>
              </w:rPr>
            </w:pP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Развиен предлог документ за јавни политики за социјални услуги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Развиен документ за правни прашања во врска со имплементација на моделот на социјални договори во Македонија</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Презентирани и дискутирани предлог документи за јавни политики и правни прашања за успешна имплементација на моделот на социјални договори на дводневна национална конференција со учество на меѓународни и национални експерти, претставници на донатори, институции и организации од областа на социјалната заштита и јавните политики,, 6 регионални јавни дебати во 6 градови во Македонија и со Мултипартитниот одбор (советодавно, стручно тело во проектот).</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highlight w:val="yellow"/>
                <w:lang w:val="mk-MK"/>
              </w:rPr>
            </w:pPr>
            <w:r w:rsidRPr="00232275">
              <w:rPr>
                <w:rFonts w:ascii="StobiSerif Regular" w:hAnsi="StobiSerif Regular"/>
                <w:b/>
                <w:i/>
                <w:sz w:val="20"/>
                <w:szCs w:val="20"/>
                <w:lang w:val="mk-MK"/>
              </w:rPr>
              <w:t>7.1.5. Изготвен документ - предлог за подобрување на начинот на избор и давање на дозвола за обезбедување на социјални услуги  на граѓанските организации (пакет процедури за избор и склучување на договори со даватели на социјални услуги)</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Развиен документ за процедури за лиценцирање и доделување на договори за социјални услуги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Презентиран и дискутиран предлог документ за процедури за лиценцирање и доделување договори за испорака на социјални услуги на дводневна национална коференција, 6 регионални јавни дебати во 6 градови воМакедонија и со Мултипартитниот одбор (советодавно, стручно тело во проектот)</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6"/>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highlight w:val="yellow"/>
                <w:lang w:val="mk-MK"/>
              </w:rPr>
            </w:pPr>
            <w:r w:rsidRPr="00232275">
              <w:rPr>
                <w:rFonts w:ascii="StobiSerif Regular" w:hAnsi="StobiSerif Regular"/>
                <w:b/>
                <w:i/>
                <w:sz w:val="20"/>
                <w:szCs w:val="20"/>
              </w:rPr>
              <w:t xml:space="preserve">7.1.6 </w:t>
            </w:r>
            <w:r w:rsidRPr="00232275">
              <w:rPr>
                <w:rFonts w:ascii="StobiSerif Regular" w:hAnsi="StobiSerif Regular"/>
                <w:b/>
                <w:i/>
                <w:sz w:val="20"/>
                <w:szCs w:val="20"/>
                <w:lang w:val="mk-MK"/>
              </w:rPr>
              <w:t>Промовиран предлог моделот за социјални договори</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Организирана дводневна Национална конференција за промоција на предлог моделот за социјални договори на која учествуваа околу 150 претставници, меѓу кои Министерот за труд и социјална политика, потоа претставници на ЕУ Делегација, УНИЦЕФ, ГИЗ, МТСП, СОС Детски села од Бугарија, Финска, Украина, Ерменија, Косово, експерти од Холандија, Save the children, Завод за социјални дејности, Центри за социјална работа, Институтот за социјална работа и политика како и претставниц на локалната самоуправа и граѓански организации итн.</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Регионална промоција на моделот на социјални договори – одржани 6 средби во  6 градови во Македонија (Битола, Струмица, Велес, Тетово, Штипп, Охрид) со опфатеност на околните општини на кои учествуваа 100тина претставници од Центрите за социјална работа, ЕЛС и граѓански организации.</w:t>
            </w:r>
          </w:p>
          <w:p w:rsidR="008E3733" w:rsidRPr="00232275" w:rsidRDefault="008E3733" w:rsidP="008E3733">
            <w:pPr>
              <w:spacing w:after="0" w:line="240" w:lineRule="auto"/>
              <w:jc w:val="both"/>
              <w:rPr>
                <w:rFonts w:ascii="StobiSerif Regular" w:hAnsi="StobiSerif Regular" w:cs="Tahoma"/>
                <w:sz w:val="20"/>
                <w:szCs w:val="20"/>
                <w:highlight w:val="yellow"/>
                <w:lang w:val="mk-MK"/>
              </w:rPr>
            </w:pPr>
            <w:r w:rsidRPr="00232275">
              <w:rPr>
                <w:rFonts w:ascii="StobiSerif Regular" w:hAnsi="StobiSerif Regular" w:cs="Tahoma"/>
                <w:sz w:val="20"/>
                <w:szCs w:val="20"/>
                <w:lang w:val="mk-MK"/>
              </w:rPr>
              <w:t>- Средба на Мултипартитиот одбор (советодавно, стручно тело во проектот) за промоција и дискусија на развиените документи во рамки на предлог моделот на Социјални договори.</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0"/>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7.1.7 Поднесување/Предавање на изготвените документи во рамки на  предлог моделот на Социјални договори  до МТСП</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Откако моделот беше промовиран и дискутиран на повеќе јавни дебати со различни заинтересирани страни, истиот беше финализиран и на 18.05.2017 година поднесен на разгледување и усвојување до Министерството за труд и социјална политика.</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Style w:val="FootnoteReference"/>
                <w:rFonts w:ascii="StobiSerif Regular" w:hAnsi="StobiSerif Regular"/>
                <w:b/>
                <w:i/>
                <w:sz w:val="20"/>
                <w:szCs w:val="20"/>
                <w:lang w:val="mk-MK"/>
              </w:rPr>
              <w:footnoteReference w:id="2"/>
            </w:r>
            <w:r w:rsidRPr="00232275">
              <w:rPr>
                <w:rFonts w:ascii="StobiSerif Regular" w:hAnsi="StobiSerif Regular"/>
                <w:b/>
                <w:i/>
                <w:sz w:val="20"/>
                <w:szCs w:val="20"/>
                <w:lang w:val="mk-MK"/>
              </w:rPr>
              <w:t>7.1.8 Обука на претставници на институции и организации од областа на социјалната заштита за имплементација на моделот на социјални договори</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оваа активност треба да следи како последователна активност после поднесувањето и усвојувањето на моделот на социјални договори од страна на Владата на Република Македонија како подготовка на претставниците на јавните институции како и организации од областа на социјалната заштита за успешна имплементација на моделот на социјални договори.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Со реализацијата на ова активност ќе се комплетираат условите и подготовките за пилотирање и успешна имплементација на социјалните договори за дел од социјалните услуги и во целост ќе се реализира позитивното влијание на проектот во однос на подобрување на социјалните политики и социјалните услуги.</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1"/>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Style w:val="FootnoteReference"/>
                <w:rFonts w:ascii="StobiSerif Regular" w:hAnsi="StobiSerif Regular"/>
                <w:b/>
                <w:i/>
                <w:sz w:val="20"/>
                <w:szCs w:val="20"/>
                <w:lang w:val="mk-MK"/>
              </w:rPr>
            </w:pPr>
            <w:r w:rsidRPr="00232275">
              <w:rPr>
                <w:rFonts w:ascii="StobiSerif Regular" w:hAnsi="StobiSerif Regular"/>
                <w:b/>
                <w:i/>
                <w:sz w:val="20"/>
                <w:szCs w:val="20"/>
              </w:rPr>
              <w:t xml:space="preserve">7.1.9 </w:t>
            </w:r>
            <w:r w:rsidRPr="00232275">
              <w:rPr>
                <w:rFonts w:ascii="StobiSerif Regular" w:hAnsi="StobiSerif Regular"/>
                <w:b/>
                <w:i/>
                <w:sz w:val="20"/>
                <w:szCs w:val="20"/>
                <w:lang w:val="mk-MK"/>
              </w:rPr>
              <w:t>Проценка на влијание на политика</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lang w:val="mk-MK"/>
              </w:rPr>
              <w:t>Дополнително, надвор од активностите на проектот, а поддржано од УНИЦЕФ, СОС Детско село Македонија реализира Проценка на влијанието на политика (</w:t>
            </w:r>
            <w:r w:rsidRPr="00232275">
              <w:rPr>
                <w:rFonts w:ascii="StobiSerif Regular" w:hAnsi="StobiSerif Regular" w:cs="Tahoma"/>
                <w:sz w:val="20"/>
                <w:szCs w:val="20"/>
              </w:rPr>
              <w:t xml:space="preserve">RIA – Regulatory Impact Assessment) </w:t>
            </w:r>
            <w:r w:rsidRPr="00232275">
              <w:rPr>
                <w:rFonts w:ascii="StobiSerif Regular" w:hAnsi="StobiSerif Regular" w:cs="Tahoma"/>
                <w:sz w:val="20"/>
                <w:szCs w:val="20"/>
                <w:lang w:val="mk-MK"/>
              </w:rPr>
              <w:t>што ќе придонесе за дополнителна поддршка на имплементацијата на предложениот модел на социјалните договори за давање на социјални услуги .</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2"/>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7.1.10 Анализа на трошоци и корист</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Исто така, дополнително, надвор од активностите на проектот, а поддржано од УНИЦЕФ, СОС Детско село Македонија реализира и Анализа на трошоците и користа </w:t>
            </w:r>
            <w:r w:rsidRPr="00232275">
              <w:rPr>
                <w:rFonts w:ascii="StobiSerif Regular" w:hAnsi="StobiSerif Regular" w:cs="Tahoma"/>
                <w:sz w:val="20"/>
                <w:szCs w:val="20"/>
              </w:rPr>
              <w:t>(CBA - Cost Benefit Analysis)</w:t>
            </w:r>
            <w:r w:rsidRPr="00232275">
              <w:rPr>
                <w:rFonts w:ascii="StobiSerif Regular" w:hAnsi="StobiSerif Regular" w:cs="Tahoma"/>
                <w:sz w:val="20"/>
                <w:szCs w:val="20"/>
                <w:lang w:val="mk-MK"/>
              </w:rPr>
              <w:t>, која ќе даде увид во трошоците и користа од воведување и имплементацијата на предложениот модел на социјални договори</w:t>
            </w:r>
            <w:r w:rsidRPr="00232275">
              <w:rPr>
                <w:rFonts w:ascii="StobiSerif Regular" w:hAnsi="StobiSerif Regular" w:cs="Tahoma"/>
                <w:sz w:val="20"/>
                <w:szCs w:val="20"/>
              </w:rPr>
              <w:t xml:space="preserve"> за </w:t>
            </w:r>
            <w:r w:rsidRPr="00232275">
              <w:rPr>
                <w:rFonts w:ascii="StobiSerif Regular" w:hAnsi="StobiSerif Regular" w:cs="Tahoma"/>
                <w:sz w:val="20"/>
                <w:szCs w:val="20"/>
                <w:lang w:val="mk-MK"/>
              </w:rPr>
              <w:t>давање</w:t>
            </w:r>
            <w:r w:rsidRPr="00232275">
              <w:rPr>
                <w:rFonts w:ascii="StobiSerif Regular" w:hAnsi="StobiSerif Regular" w:cs="Tahoma"/>
                <w:sz w:val="20"/>
                <w:szCs w:val="20"/>
              </w:rPr>
              <w:t xml:space="preserve"> на социјални услуги</w:t>
            </w:r>
            <w:r w:rsidRPr="00232275">
              <w:rPr>
                <w:rFonts w:ascii="StobiSerif Regular" w:hAnsi="StobiSerif Regular" w:cs="Tahoma"/>
                <w:sz w:val="20"/>
                <w:szCs w:val="20"/>
                <w:lang w:val="mk-MK"/>
              </w:rPr>
              <w:t>.</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2"/>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7.1.11 Јавен настан за промоција на резултатите од Проценка на влијание на политика и</w:t>
            </w:r>
            <w:r w:rsidRPr="00232275">
              <w:rPr>
                <w:rFonts w:ascii="StobiSerif Regular" w:hAnsi="StobiSerif Regular"/>
                <w:sz w:val="20"/>
                <w:szCs w:val="20"/>
              </w:rPr>
              <w:t xml:space="preserve"> </w:t>
            </w:r>
            <w:r w:rsidRPr="00232275">
              <w:rPr>
                <w:rFonts w:ascii="StobiSerif Regular" w:hAnsi="StobiSerif Regular"/>
                <w:b/>
                <w:i/>
                <w:sz w:val="20"/>
                <w:szCs w:val="20"/>
                <w:lang w:val="mk-MK"/>
              </w:rPr>
              <w:t>Анализа на трошоци и корист и примопредавање на моделот на социјални договори на МТСП</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 28 јули 2017 од 10 часот, во просториите на Хотел Мериот во Скопје се реализира јавен настан со цел претставување на иницијативата за воведување на моделот на социјални договори, како и претставување на наодите и резултатите од спроведените анализи за корисноста и придобивките од примената на моделот на социјални договори во рамки на проектот „Воведување на моделот на социјални договори во обезбедување на социјални услуги” кој беше финансиран од УНИЦЕФ и  имплементиран од СОС Детско село Македонија. Спроведените анализи беа фокусирани на Проценка на влијание на политиките (RIA- Regulatory Impact Assessment) и Анализа на корист и трошоци (CBA – Cost benefit Analysis), а резултатите од истите одат во прилог на поддршка на оправданоста од воведување на моделот на социјални договори.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 настанот се изврши јавно примопредавање на Моделот на социјални договори на Министерката за труд и социјална политика Г-а Мила Царовска.</w:t>
            </w:r>
          </w:p>
        </w:tc>
      </w:tr>
      <w:tr w:rsidR="008E3733" w:rsidRPr="00232275" w:rsidTr="00FB1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4561" w:type="dxa"/>
            <w:gridSpan w:val="2"/>
            <w:tcBorders>
              <w:top w:val="single" w:sz="8" w:space="0" w:color="auto"/>
              <w:left w:val="single" w:sz="8" w:space="0" w:color="auto"/>
              <w:bottom w:val="single" w:sz="8" w:space="0" w:color="auto"/>
            </w:tcBorders>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7.1.12 Поднесување на изготвените документи во рамки на  Моделот на Социјални договори и резултатите од спроведените анализи  до МТСП и Владата на Р. Македонија</w:t>
            </w:r>
          </w:p>
        </w:tc>
        <w:tc>
          <w:tcPr>
            <w:tcW w:w="5245" w:type="dxa"/>
            <w:gridSpan w:val="4"/>
          </w:tcPr>
          <w:p w:rsidR="008E3733" w:rsidRPr="00232275" w:rsidRDefault="008E3733" w:rsidP="008E3733">
            <w:pPr>
              <w:spacing w:after="0" w:line="240" w:lineRule="auto"/>
              <w:jc w:val="both"/>
              <w:rPr>
                <w:rFonts w:ascii="StobiSerif Regular" w:hAnsi="StobiSerif Regular" w:cs="Tahoma"/>
                <w:sz w:val="20"/>
                <w:szCs w:val="20"/>
                <w:highlight w:val="yellow"/>
                <w:lang w:val="mk-MK"/>
              </w:rPr>
            </w:pPr>
            <w:r w:rsidRPr="00232275">
              <w:rPr>
                <w:rFonts w:ascii="StobiSerif Regular" w:hAnsi="StobiSerif Regular" w:cs="Tahoma"/>
                <w:sz w:val="20"/>
                <w:szCs w:val="20"/>
                <w:lang w:val="mk-MK"/>
              </w:rPr>
              <w:t>Во септември 2017 година до МТСП и Владата  на Република Македонија беа поднесени на усвојување Моделот на социјални договори и спроведените Проценка на влијание на политика и Анализа на трошоци и корист чии резултати одат во прилог на усвојување и воведување на Моделот на социјални договори со кој би се овозможиле поквалитетни поефикасни и поефективни социјални услуги за корисниците.</w:t>
            </w:r>
          </w:p>
        </w:tc>
      </w:tr>
    </w:tbl>
    <w:p w:rsidR="008E3733" w:rsidRPr="00232275" w:rsidRDefault="008E3733" w:rsidP="008E3733">
      <w:pPr>
        <w:spacing w:line="240" w:lineRule="auto"/>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84"/>
        <w:gridCol w:w="2795"/>
        <w:gridCol w:w="1417"/>
        <w:gridCol w:w="1276"/>
        <w:gridCol w:w="1276"/>
        <w:gridCol w:w="1267"/>
        <w:gridCol w:w="9"/>
      </w:tblGrid>
      <w:tr w:rsidR="008E3733" w:rsidRPr="00232275" w:rsidTr="008E3733">
        <w:trPr>
          <w:gridAfter w:val="1"/>
          <w:wAfter w:w="9" w:type="dxa"/>
          <w:trHeight w:val="300"/>
        </w:trPr>
        <w:tc>
          <w:tcPr>
            <w:tcW w:w="9915"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8E3733" w:rsidRPr="00232275" w:rsidRDefault="008E3733" w:rsidP="008E3733">
            <w:pPr>
              <w:pStyle w:val="Heading1"/>
              <w:spacing w:before="120"/>
              <w:ind w:left="0"/>
              <w:rPr>
                <w:rFonts w:ascii="StobiSerif Regular" w:hAnsi="StobiSerif Regular"/>
                <w:lang w:val="mk-MK"/>
              </w:rPr>
            </w:pPr>
            <w:bookmarkStart w:id="96" w:name="_Toc453059138"/>
            <w:bookmarkStart w:id="97" w:name="_Toc453059230"/>
            <w:bookmarkStart w:id="98" w:name="_Toc453059276"/>
            <w:r w:rsidRPr="00232275">
              <w:rPr>
                <w:rFonts w:ascii="StobiSerif Regular" w:hAnsi="StobiSerif Regular"/>
                <w:lang w:val="mk-MK"/>
              </w:rPr>
              <w:t>8.  КЛИМАТСКИ ПРОМЕНИ</w:t>
            </w:r>
            <w:bookmarkEnd w:id="96"/>
            <w:bookmarkEnd w:id="97"/>
            <w:bookmarkEnd w:id="98"/>
          </w:p>
        </w:tc>
      </w:tr>
      <w:tr w:rsidR="008E3733" w:rsidRPr="00232275" w:rsidTr="008E3733">
        <w:trPr>
          <w:gridAfter w:val="1"/>
          <w:wAfter w:w="9" w:type="dxa"/>
          <w:trHeight w:val="300"/>
        </w:trPr>
        <w:tc>
          <w:tcPr>
            <w:tcW w:w="9915" w:type="dxa"/>
            <w:gridSpan w:val="6"/>
            <w:tcBorders>
              <w:top w:val="single" w:sz="8" w:space="0" w:color="auto"/>
              <w:left w:val="single" w:sz="8" w:space="0" w:color="auto"/>
              <w:bottom w:val="nil"/>
              <w:right w:val="single" w:sz="8" w:space="0" w:color="000000"/>
            </w:tcBorders>
            <w:shd w:val="clear" w:color="auto" w:fill="548DD4"/>
            <w:vAlign w:val="center"/>
          </w:tcPr>
          <w:p w:rsidR="008E3733" w:rsidRPr="00232275" w:rsidRDefault="008E3733" w:rsidP="008E3733">
            <w:pPr>
              <w:pStyle w:val="Heading1"/>
              <w:ind w:left="0"/>
              <w:rPr>
                <w:rFonts w:ascii="StobiSerif Regular" w:hAnsi="StobiSerif Regular"/>
                <w:lang w:val="mk-MK"/>
              </w:rPr>
            </w:pPr>
            <w:bookmarkStart w:id="99" w:name="_Toc453059139"/>
            <w:bookmarkStart w:id="100" w:name="_Toc453059231"/>
            <w:bookmarkStart w:id="101" w:name="_Toc453059277"/>
            <w:r w:rsidRPr="00232275">
              <w:rPr>
                <w:rFonts w:ascii="StobiSerif Regular" w:hAnsi="StobiSerif Regular"/>
                <w:lang w:val="mk-MK"/>
              </w:rPr>
              <w:t>8.1 Развој на климатските политики на национално ниво на транспарентен и партиципативен начин</w:t>
            </w:r>
            <w:bookmarkEnd w:id="99"/>
            <w:bookmarkEnd w:id="100"/>
            <w:bookmarkEnd w:id="101"/>
          </w:p>
        </w:tc>
      </w:tr>
      <w:tr w:rsidR="008E3733" w:rsidRPr="00232275" w:rsidTr="008E3733">
        <w:trPr>
          <w:gridAfter w:val="1"/>
          <w:wAfter w:w="9" w:type="dxa"/>
          <w:trHeight w:val="589"/>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rPr>
              <w:t>7/</w:t>
            </w:r>
            <w:r w:rsidRPr="00232275">
              <w:rPr>
                <w:rFonts w:ascii="StobiSerif Regular" w:hAnsi="StobiSerif Regular"/>
                <w:sz w:val="20"/>
                <w:szCs w:val="20"/>
                <w:lang w:val="mk-MK"/>
              </w:rPr>
              <w:t xml:space="preserve">2016 – </w:t>
            </w:r>
            <w:r w:rsidRPr="00232275">
              <w:rPr>
                <w:rFonts w:ascii="StobiSerif Regular" w:hAnsi="StobiSerif Regular"/>
                <w:sz w:val="20"/>
                <w:szCs w:val="20"/>
              </w:rPr>
              <w:t>1/</w:t>
            </w:r>
            <w:r w:rsidRPr="00232275">
              <w:rPr>
                <w:rFonts w:ascii="StobiSerif Regular" w:hAnsi="StobiSerif Regular"/>
                <w:sz w:val="20"/>
                <w:szCs w:val="20"/>
                <w:lang w:val="mk-MK"/>
              </w:rPr>
              <w:t>2018)</w:t>
            </w:r>
          </w:p>
        </w:tc>
        <w:tc>
          <w:tcPr>
            <w:tcW w:w="5236"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tc>
      </w:tr>
      <w:tr w:rsidR="008E3733" w:rsidRPr="00232275" w:rsidTr="008E3733">
        <w:trPr>
          <w:gridAfter w:val="1"/>
          <w:wAfter w:w="9" w:type="dxa"/>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36"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животна средина и просторно планирање </w:t>
            </w:r>
          </w:p>
        </w:tc>
      </w:tr>
      <w:tr w:rsidR="008E3733" w:rsidRPr="00232275" w:rsidTr="008E3733">
        <w:trPr>
          <w:gridAfter w:val="1"/>
          <w:wAfter w:w="9" w:type="dxa"/>
          <w:trHeight w:val="484"/>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Теодора Обрадовиќ Грнчаровска </w:t>
            </w:r>
          </w:p>
        </w:tc>
      </w:tr>
      <w:tr w:rsidR="008E3733" w:rsidRPr="00232275" w:rsidTr="008E3733">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Државен советник</w:t>
            </w:r>
          </w:p>
        </w:tc>
      </w:tr>
      <w:tr w:rsidR="008E3733" w:rsidRPr="00232275" w:rsidTr="008E3733">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hAnsi="StobiSerif Regular"/>
                <w:sz w:val="20"/>
                <w:szCs w:val="20"/>
                <w:lang w:val="mk-MK"/>
              </w:rPr>
            </w:pPr>
            <w:hyperlink r:id="rId65" w:history="1">
              <w:r w:rsidR="008E3733" w:rsidRPr="00232275">
                <w:rPr>
                  <w:rFonts w:ascii="StobiSerif Regular" w:hAnsi="StobiSerif Regular"/>
                  <w:sz w:val="20"/>
                  <w:szCs w:val="20"/>
                  <w:u w:val="single"/>
                </w:rPr>
                <w:t>t.grncarovska@moepp.gov.mk</w:t>
              </w:r>
            </w:hyperlink>
            <w:r w:rsidR="008E3733" w:rsidRPr="00232275">
              <w:rPr>
                <w:rFonts w:ascii="StobiSerif Regular" w:hAnsi="StobiSerif Regular"/>
                <w:sz w:val="20"/>
                <w:szCs w:val="20"/>
              </w:rPr>
              <w:t xml:space="preserve">, </w:t>
            </w:r>
            <w:r w:rsidR="008E3733" w:rsidRPr="00232275">
              <w:rPr>
                <w:rFonts w:ascii="StobiSerif Regular" w:hAnsi="StobiSerif Regular"/>
                <w:sz w:val="20"/>
                <w:szCs w:val="20"/>
                <w:lang w:val="mk-MK"/>
              </w:rPr>
              <w:t>dori.moeppgovmk@gmail.com</w:t>
            </w:r>
          </w:p>
        </w:tc>
      </w:tr>
      <w:tr w:rsidR="008E3733" w:rsidRPr="00232275" w:rsidTr="008E3733">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p>
        </w:tc>
      </w:tr>
      <w:tr w:rsidR="008E3733" w:rsidRPr="00232275" w:rsidTr="008E3733">
        <w:trPr>
          <w:gridAfter w:val="1"/>
          <w:wAfter w:w="9" w:type="dxa"/>
          <w:trHeight w:val="491"/>
        </w:trPr>
        <w:tc>
          <w:tcPr>
            <w:tcW w:w="1884"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79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3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Национален комитет за климатски промени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економија</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транспорт и врски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Министерство за финансии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СЕП</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Влада на РМ - сектор за економски политики структурни реформи и инвестиции</w:t>
            </w:r>
          </w:p>
        </w:tc>
      </w:tr>
      <w:tr w:rsidR="008E3733" w:rsidRPr="00232275" w:rsidTr="008E3733">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3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Македонска академија на науки и уметности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Стопанска Комора</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НВО/ГЗ</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Донатори/проекти кои имплементираат активности во областа на климатски промени</w:t>
            </w: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42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gridAfter w:val="1"/>
          <w:wAfter w:w="9" w:type="dxa"/>
          <w:trHeight w:val="548"/>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36"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Досегашните национални планови и останати национални извештаи за климатски промени, иако беа изготвени на транспарентен и партиципативен начин, постои потреба од дополнителни напори за приближување на оваа проблематика на пошироки групи со цел да се постигне повисок степен на чувство на заедничка сопственост врз резултатите. Со тоа ќе се овозможи поголем степен на имплементација на предвидените мерки во документите.</w:t>
            </w:r>
          </w:p>
        </w:tc>
      </w:tr>
      <w:tr w:rsidR="008E3733" w:rsidRPr="00232275" w:rsidTr="008E3733">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Потранспарентен и партиципативен развој на климатските политики на национално ниво</w:t>
            </w:r>
          </w:p>
        </w:tc>
      </w:tr>
      <w:tr w:rsidR="008E3733" w:rsidRPr="00232275" w:rsidTr="008E3733">
        <w:trPr>
          <w:gridAfter w:val="1"/>
          <w:wAfter w:w="9" w:type="dxa"/>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Подготовка на Вториот двогодишен ревидиран извештај за климатски промени преку партиципативно учество на сите релевантни страни во работни групи, јавни дебати и други форми на консултации.</w:t>
            </w:r>
          </w:p>
        </w:tc>
      </w:tr>
      <w:tr w:rsidR="008E3733" w:rsidRPr="00232275" w:rsidTr="008E3733">
        <w:trPr>
          <w:gridAfter w:val="1"/>
          <w:wAfter w:w="9" w:type="dxa"/>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36"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Обезбедување на широк консултативен процес во подготовка на стратешки документ за климатски промени, кој воедно се праќа и до Рамковната конвенција на ОН за климатски промени (</w:t>
            </w:r>
            <w:r w:rsidRPr="00232275">
              <w:rPr>
                <w:rFonts w:ascii="StobiSerif Regular" w:hAnsi="StobiSerif Regular"/>
                <w:sz w:val="20"/>
                <w:szCs w:val="20"/>
              </w:rPr>
              <w:t>UNFCCC)</w:t>
            </w:r>
          </w:p>
        </w:tc>
      </w:tr>
      <w:tr w:rsidR="008E3733" w:rsidRPr="00232275" w:rsidTr="008E3733">
        <w:trPr>
          <w:gridAfter w:val="1"/>
          <w:wAfter w:w="9" w:type="dxa"/>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16 ,,Мир, правда и силни институции“, Таргет 16.7: Да се обезбеди пресретлив, инклузивен, партиципативен и репрезентативен процес на донесување одлуки на сите нивоа и Цел 13 ,,Климатска Акција“  Таргет 13.2: Интегрирање на мерки за климатски промени во националните политики, стратегии и планирањето</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усогласување на националните политики со мерките за климатските промени и поквалитетно одлучување од страна на креаторите на политики засновано на консултација со  засегнатите страни.</w:t>
            </w:r>
          </w:p>
        </w:tc>
      </w:tr>
      <w:tr w:rsidR="008E3733" w:rsidRPr="00232275" w:rsidTr="008E3733">
        <w:trPr>
          <w:gridAfter w:val="1"/>
          <w:wAfter w:w="9" w:type="dxa"/>
          <w:trHeight w:val="737"/>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Поголема транспарентност во процесот ќе овозможи и поинформирано носење на секторски и локални политики.</w:t>
            </w:r>
          </w:p>
        </w:tc>
      </w:tr>
      <w:tr w:rsidR="008E3733" w:rsidRPr="00232275" w:rsidTr="008E3733">
        <w:trPr>
          <w:gridAfter w:val="1"/>
          <w:wAfter w:w="9" w:type="dxa"/>
          <w:trHeight w:val="2815"/>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 xml:space="preserve">ќе се обезбеди подобро опкружување за развој на климатски политики; </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ќе се зајакнат постојните и создадат нови механизми на соработка;</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 xml:space="preserve">ќе се обезбеди достапност и можност за вклученост на сите релевантни страни во подготовката на националните документи за климатски промени до меѓународни тела, со цел да бидат опфатени и обврските на државата кон </w:t>
            </w:r>
            <w:r w:rsidRPr="00232275">
              <w:rPr>
                <w:rFonts w:ascii="StobiSerif Regular" w:hAnsi="StobiSerif Regular"/>
                <w:sz w:val="20"/>
                <w:szCs w:val="20"/>
              </w:rPr>
              <w:t>UNFCCC</w:t>
            </w:r>
            <w:r w:rsidRPr="00232275">
              <w:rPr>
                <w:rFonts w:ascii="StobiSerif Regular" w:hAnsi="StobiSerif Regular"/>
                <w:sz w:val="20"/>
                <w:szCs w:val="20"/>
                <w:lang w:val="mk-MK"/>
              </w:rPr>
              <w:t xml:space="preserve"> но и кон ЕУ.</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679" w:type="dxa"/>
            <w:gridSpan w:val="2"/>
            <w:vMerge w:val="restart"/>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417"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незапочнато</w:t>
            </w: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ограничено</w:t>
            </w: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значително</w:t>
            </w:r>
          </w:p>
        </w:tc>
        <w:tc>
          <w:tcPr>
            <w:tcW w:w="1276" w:type="dxa"/>
            <w:gridSpan w:val="2"/>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завршено</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679" w:type="dxa"/>
            <w:gridSpan w:val="2"/>
            <w:vMerge/>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417" w:type="dxa"/>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76"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76" w:type="dxa"/>
            <w:gridSpan w:val="2"/>
            <w:shd w:val="clear" w:color="auto" w:fill="548DD4" w:themeFill="text2" w:themeFillTint="99"/>
          </w:tcPr>
          <w:p w:rsidR="008E3733" w:rsidRPr="00232275" w:rsidRDefault="008E3733" w:rsidP="008E3733">
            <w:pPr>
              <w:spacing w:after="0" w:line="240" w:lineRule="auto"/>
              <w:jc w:val="both"/>
              <w:rPr>
                <w:rFonts w:ascii="StobiSerif Regular" w:hAnsi="StobiSerif Regular" w:cs="Tahoma"/>
                <w:b/>
                <w:sz w:val="16"/>
                <w:szCs w:val="16"/>
              </w:rPr>
            </w:pP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4679" w:type="dxa"/>
            <w:gridSpan w:val="2"/>
            <w:shd w:val="clear" w:color="auto" w:fill="DBE5F1" w:themeFill="accent1" w:themeFillTint="33"/>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5" w:type="dxa"/>
            <w:gridSpan w:val="5"/>
            <w:shd w:val="clear" w:color="auto" w:fill="DBE5F1" w:themeFill="accent1" w:themeFillTint="33"/>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679" w:type="dxa"/>
            <w:gridSpan w:val="2"/>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b/>
                <w:i/>
                <w:sz w:val="20"/>
                <w:szCs w:val="20"/>
                <w:lang w:val="mk-MK"/>
              </w:rPr>
              <w:t>8.1.1. Организирање на најмалку три консултативни работилници со засегнатите страни  за подготовка на Вториот двогодишен ревидиран извештај за климатски промени</w:t>
            </w:r>
          </w:p>
        </w:tc>
        <w:tc>
          <w:tcPr>
            <w:tcW w:w="5245" w:type="dxa"/>
            <w:gridSpan w:val="5"/>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Организирана една работилница за консултативно детализирање на проектните активности.</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Останатите планирани работилници, за финализирање на инвентарот на стакленички гасови и за оценка на потенцијалот за ублажување на климатските промени се одложени за 2017, по формирањето на новата Влада.</w:t>
            </w:r>
          </w:p>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Организирани работилници во широк консултативен процес со сите засегнати страни за:</w:t>
            </w:r>
          </w:p>
          <w:p w:rsidR="008E3733" w:rsidRPr="00232275" w:rsidRDefault="008E3733" w:rsidP="008E3733">
            <w:pPr>
              <w:spacing w:after="0" w:line="240" w:lineRule="auto"/>
              <w:ind w:left="326" w:hanging="142"/>
              <w:jc w:val="both"/>
              <w:rPr>
                <w:rFonts w:ascii="StobiSerif Regular" w:hAnsi="StobiSerif Regular" w:cs="Tahoma"/>
                <w:sz w:val="20"/>
                <w:szCs w:val="20"/>
                <w:lang w:val="mk-MK"/>
              </w:rPr>
            </w:pPr>
            <w:r w:rsidRPr="00232275">
              <w:rPr>
                <w:rFonts w:ascii="StobiSerif Regular" w:hAnsi="StobiSerif Regular" w:cs="Tahoma"/>
                <w:sz w:val="20"/>
                <w:szCs w:val="20"/>
                <w:lang w:val="mk-MK"/>
              </w:rPr>
              <w:t>•</w:t>
            </w:r>
            <w:r w:rsidRPr="00232275">
              <w:rPr>
                <w:rFonts w:ascii="StobiSerif Regular" w:hAnsi="StobiSerif Regular" w:cs="Tahoma"/>
                <w:sz w:val="20"/>
                <w:szCs w:val="20"/>
                <w:lang w:val="mk-MK"/>
              </w:rPr>
              <w:tab/>
              <w:t xml:space="preserve">детализирање на проектните ективности </w:t>
            </w:r>
          </w:p>
          <w:p w:rsidR="008E3733" w:rsidRPr="00232275" w:rsidRDefault="008E3733" w:rsidP="008E3733">
            <w:pPr>
              <w:spacing w:after="0" w:line="240" w:lineRule="auto"/>
              <w:ind w:left="326" w:hanging="142"/>
              <w:jc w:val="both"/>
              <w:rPr>
                <w:rFonts w:ascii="StobiSerif Regular" w:hAnsi="StobiSerif Regular" w:cs="Tahoma"/>
                <w:sz w:val="20"/>
                <w:szCs w:val="20"/>
                <w:lang w:val="mk-MK"/>
              </w:rPr>
            </w:pPr>
            <w:r w:rsidRPr="00232275">
              <w:rPr>
                <w:rFonts w:ascii="StobiSerif Regular" w:hAnsi="StobiSerif Regular" w:cs="Tahoma"/>
                <w:sz w:val="20"/>
                <w:szCs w:val="20"/>
                <w:lang w:val="mk-MK"/>
              </w:rPr>
              <w:t>•</w:t>
            </w:r>
            <w:r w:rsidRPr="00232275">
              <w:rPr>
                <w:rFonts w:ascii="StobiSerif Regular" w:hAnsi="StobiSerif Regular" w:cs="Tahoma"/>
                <w:sz w:val="20"/>
                <w:szCs w:val="20"/>
                <w:lang w:val="mk-MK"/>
              </w:rPr>
              <w:tab/>
              <w:t xml:space="preserve">финализирање на инвентарот на </w:t>
            </w:r>
            <w:r w:rsidRPr="00232275">
              <w:rPr>
                <w:rFonts w:ascii="StobiSerif Regular" w:hAnsi="StobiSerif Regular" w:cs="Tahoma"/>
                <w:sz w:val="20"/>
                <w:szCs w:val="20"/>
              </w:rPr>
              <w:t xml:space="preserve"> </w:t>
            </w:r>
            <w:r w:rsidRPr="00232275">
              <w:rPr>
                <w:rFonts w:ascii="StobiSerif Regular" w:hAnsi="StobiSerif Regular" w:cs="Tahoma"/>
                <w:sz w:val="20"/>
                <w:szCs w:val="20"/>
                <w:lang w:val="mk-MK"/>
              </w:rPr>
              <w:t>стакленички гасови</w:t>
            </w:r>
          </w:p>
          <w:p w:rsidR="008E3733" w:rsidRPr="00232275" w:rsidRDefault="008E3733" w:rsidP="008E3733">
            <w:pPr>
              <w:spacing w:after="0" w:line="240" w:lineRule="auto"/>
              <w:ind w:left="326" w:hanging="142"/>
              <w:jc w:val="both"/>
              <w:rPr>
                <w:rFonts w:ascii="StobiSerif Regular" w:hAnsi="StobiSerif Regular" w:cs="Tahoma"/>
                <w:sz w:val="20"/>
                <w:szCs w:val="20"/>
                <w:lang w:val="mk-MK"/>
              </w:rPr>
            </w:pPr>
            <w:r w:rsidRPr="00232275">
              <w:rPr>
                <w:rFonts w:ascii="StobiSerif Regular" w:hAnsi="StobiSerif Regular" w:cs="Tahoma"/>
                <w:sz w:val="20"/>
                <w:szCs w:val="20"/>
                <w:lang w:val="mk-MK"/>
              </w:rPr>
              <w:t>•</w:t>
            </w:r>
            <w:r w:rsidRPr="00232275">
              <w:rPr>
                <w:rFonts w:ascii="StobiSerif Regular" w:hAnsi="StobiSerif Regular" w:cs="Tahoma"/>
                <w:sz w:val="20"/>
                <w:szCs w:val="20"/>
                <w:lang w:val="mk-MK"/>
              </w:rPr>
              <w:tab/>
              <w:t>оценка на потенцијалот за ублажување на климатските промени.</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679" w:type="dxa"/>
            <w:gridSpan w:val="2"/>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8.1.2. Подготовка на иновативни информативни материјали за заложбите на државата во однос на Договорот од Париз и можните национални акциски мерки</w:t>
            </w:r>
          </w:p>
        </w:tc>
        <w:tc>
          <w:tcPr>
            <w:tcW w:w="5245" w:type="dxa"/>
            <w:gridSpan w:val="5"/>
            <w:shd w:val="clear" w:color="auto" w:fill="auto"/>
          </w:tcPr>
          <w:p w:rsidR="008E3733" w:rsidRPr="00232275" w:rsidRDefault="008E3733" w:rsidP="008E3733">
            <w:pPr>
              <w:spacing w:after="0" w:line="240" w:lineRule="auto"/>
              <w:jc w:val="both"/>
              <w:rPr>
                <w:rFonts w:ascii="StobiSerif Regular" w:hAnsi="StobiSerif Regular" w:cs="Tahoma"/>
                <w:sz w:val="20"/>
                <w:szCs w:val="20"/>
              </w:rPr>
            </w:pPr>
            <w:r w:rsidRPr="00232275">
              <w:rPr>
                <w:rFonts w:ascii="StobiSerif Regular" w:hAnsi="StobiSerif Regular" w:cs="Tahoma"/>
                <w:sz w:val="20"/>
                <w:szCs w:val="20"/>
              </w:rPr>
              <w:t>Министерството за животна средина и просторно планирање и Програмата за развој на Обединетите Нации, во рамките на проектот „Втор национален извештај за климатски промени“ имплементираа со серија активности поврзани со подготовка на иновативни материјали за заложбите на државата во однос на климатските промени:</w:t>
            </w:r>
          </w:p>
          <w:p w:rsidR="008E3733" w:rsidRPr="00232275" w:rsidRDefault="008E3733" w:rsidP="008E3733">
            <w:pPr>
              <w:pStyle w:val="ListParagraph"/>
              <w:numPr>
                <w:ilvl w:val="0"/>
                <w:numId w:val="30"/>
              </w:numPr>
              <w:spacing w:after="0" w:line="240" w:lineRule="auto"/>
              <w:ind w:hanging="176"/>
              <w:jc w:val="both"/>
              <w:rPr>
                <w:rFonts w:ascii="StobiSerif Regular" w:hAnsi="StobiSerif Regular" w:cs="Tahoma"/>
                <w:sz w:val="20"/>
                <w:szCs w:val="20"/>
              </w:rPr>
            </w:pPr>
            <w:r w:rsidRPr="00232275">
              <w:rPr>
                <w:rFonts w:ascii="StobiSerif Regular" w:hAnsi="StobiSerif Regular" w:cs="Tahoma"/>
                <w:sz w:val="20"/>
                <w:szCs w:val="20"/>
              </w:rPr>
              <w:t>Подготвен е детален извештај за Националните перспективи за климатските промени по Париз “Национални обврски и синергии при известувањето за климатските промени до УНФЦЦЦ и ЕУ”, кој ги претстави постигнувањата на меѓународните процеси за климатски промени и соодветните придонеси на државата, но и ги разгледува националните обврски за известување за климатски промени, земајќи го предвид статусот на Република Македонија како држава кандидатка за членство во ЕУ.</w:t>
            </w:r>
          </w:p>
          <w:p w:rsidR="008E3733" w:rsidRPr="00232275" w:rsidRDefault="008E3733" w:rsidP="008E3733">
            <w:pPr>
              <w:pStyle w:val="ListParagraph"/>
              <w:numPr>
                <w:ilvl w:val="0"/>
                <w:numId w:val="30"/>
              </w:numPr>
              <w:spacing w:after="0" w:line="240" w:lineRule="auto"/>
              <w:ind w:hanging="176"/>
              <w:jc w:val="both"/>
              <w:rPr>
                <w:rFonts w:ascii="StobiSerif Regular" w:hAnsi="StobiSerif Regular" w:cs="Tahoma"/>
                <w:sz w:val="20"/>
                <w:szCs w:val="20"/>
              </w:rPr>
            </w:pPr>
            <w:r w:rsidRPr="00232275">
              <w:rPr>
                <w:rFonts w:ascii="StobiSerif Regular" w:hAnsi="StobiSerif Regular" w:cs="Tahoma"/>
                <w:sz w:val="20"/>
                <w:szCs w:val="20"/>
              </w:rPr>
              <w:t>Подготвен е и дистрибуиран првиот е-весник за климатски промени</w:t>
            </w:r>
          </w:p>
          <w:p w:rsidR="008E3733" w:rsidRPr="00232275" w:rsidRDefault="008E3733" w:rsidP="008E3733">
            <w:pPr>
              <w:pStyle w:val="ListParagraph"/>
              <w:numPr>
                <w:ilvl w:val="0"/>
                <w:numId w:val="30"/>
              </w:numPr>
              <w:spacing w:after="0" w:line="240" w:lineRule="auto"/>
              <w:ind w:hanging="176"/>
              <w:jc w:val="both"/>
              <w:rPr>
                <w:rFonts w:ascii="StobiSerif Regular" w:hAnsi="StobiSerif Regular" w:cs="Tahoma"/>
                <w:sz w:val="20"/>
                <w:szCs w:val="20"/>
              </w:rPr>
            </w:pPr>
            <w:r w:rsidRPr="00232275">
              <w:rPr>
                <w:rFonts w:ascii="StobiSerif Regular" w:hAnsi="StobiSerif Regular" w:cs="Tahoma"/>
                <w:sz w:val="20"/>
                <w:szCs w:val="20"/>
              </w:rPr>
              <w:t>Подготвена е и дистрибуирана анкетанаменета испитување на јавното мислење за климатските промени, пополнувајќи е- прашалник насловен „Дали ве засегаат климатските промени?“ Целта на ова истражување е да покаже дали свеста и подготвеноста да се реагира на климатските предизвици кои во последно време се се’ поголеми е променета.Компаративната анализа на резултатите ќе помогне за понатамошен наменски пристап кон комуникацијата и активното учество на граѓанскиот и јавниот сектор и напредок на Република Македонија во исполнување на обврските поврзани со климатските промени (кон меѓународната заедница/Парискиот договор/УНЦФЦЦ). Резултатите од анализата на анкетата ќе бидат готови во јануари 2017.</w:t>
            </w:r>
          </w:p>
          <w:p w:rsidR="008E3733" w:rsidRPr="00232275" w:rsidRDefault="008E3733" w:rsidP="008E3733">
            <w:pPr>
              <w:pStyle w:val="ListParagraph"/>
              <w:numPr>
                <w:ilvl w:val="0"/>
                <w:numId w:val="30"/>
              </w:numPr>
              <w:spacing w:after="0" w:line="240" w:lineRule="auto"/>
              <w:ind w:hanging="176"/>
              <w:jc w:val="both"/>
              <w:rPr>
                <w:rFonts w:ascii="StobiSerif Regular" w:hAnsi="StobiSerif Regular" w:cs="Tahoma"/>
                <w:sz w:val="20"/>
                <w:szCs w:val="20"/>
              </w:rPr>
            </w:pPr>
            <w:r w:rsidRPr="00232275">
              <w:rPr>
                <w:rFonts w:ascii="StobiSerif Regular" w:hAnsi="StobiSerif Regular" w:cs="Tahoma"/>
                <w:sz w:val="20"/>
                <w:szCs w:val="20"/>
              </w:rPr>
              <w:t>Подготвен е извештај за прогресот на имплементација  на Стратегија за комуникација на климатски промени (2013) за периодот 2013-2016, како и подготовка на краткорочен акциски план за комуникација за климатски промени за периодот 2017-2020.</w:t>
            </w:r>
          </w:p>
          <w:p w:rsidR="008E3733" w:rsidRPr="00232275" w:rsidRDefault="008E3733" w:rsidP="008E3733">
            <w:pPr>
              <w:pStyle w:val="ListParagraph"/>
              <w:numPr>
                <w:ilvl w:val="0"/>
                <w:numId w:val="30"/>
              </w:numPr>
              <w:spacing w:after="0" w:line="240" w:lineRule="auto"/>
              <w:ind w:hanging="176"/>
              <w:jc w:val="both"/>
              <w:rPr>
                <w:rFonts w:ascii="StobiSerif Regular" w:hAnsi="StobiSerif Regular" w:cs="Tahoma"/>
                <w:sz w:val="20"/>
                <w:szCs w:val="20"/>
              </w:rPr>
            </w:pPr>
            <w:r w:rsidRPr="00232275">
              <w:rPr>
                <w:rFonts w:ascii="StobiSerif Regular" w:hAnsi="StobiSerif Regular" w:cs="Tahoma"/>
                <w:sz w:val="20"/>
                <w:szCs w:val="20"/>
              </w:rPr>
              <w:t>Со поддршка на УНДП и Центарот за иновации на Град Скопје, спроведено е прво сеопфатно истражување за начините на греење во Скопје на голем број на испитаници. Опфатени се 5,044 домаќинства во сите 17 урбани и рурални општини во Скопската котлина. Овој примерок е репрезентативен и овозможува анализи на податоците на ниво на општина, или дури и населба. Истражувањето се реализираше во Јануари 2017 година, од страна на професионални анкетари со користење на мобилната алатка Placeformer. Оваа иновативна алатка овозможува собирање на податоци од голема група на граѓани во краток временски период и географски означени информации кои можат да се користат за дизајнирање на политики и мерки на локално и микро ниво, но и на регионално и национално ниво. Врз основа на добиените податоци, направено е ажурирање на  потенцијалот за ублажување на климатските промени и подготвена е Студија за греење на Скопје - СТУГРЕС со анализа на политики и мерки, во која се дадени конкретни препораки за носење на информирани одлуки и политики.</w:t>
            </w:r>
          </w:p>
        </w:tc>
      </w:tr>
    </w:tbl>
    <w:p w:rsidR="008E3733" w:rsidRPr="00232275" w:rsidRDefault="008E3733" w:rsidP="008E3733">
      <w:pPr>
        <w:spacing w:line="240" w:lineRule="auto"/>
        <w:rPr>
          <w:rFonts w:ascii="StobiSerif Regular" w:hAnsi="StobiSerif Regular"/>
          <w:sz w:val="20"/>
          <w:szCs w:val="20"/>
        </w:rPr>
      </w:pPr>
    </w:p>
    <w:tbl>
      <w:tblPr>
        <w:tblW w:w="9924" w:type="dxa"/>
        <w:tblInd w:w="-318" w:type="dxa"/>
        <w:tblLayout w:type="fixed"/>
        <w:tblLook w:val="04A0" w:firstRow="1" w:lastRow="0" w:firstColumn="1" w:lastColumn="0" w:noHBand="0" w:noVBand="1"/>
      </w:tblPr>
      <w:tblGrid>
        <w:gridCol w:w="1896"/>
        <w:gridCol w:w="2925"/>
        <w:gridCol w:w="1417"/>
        <w:gridCol w:w="1276"/>
        <w:gridCol w:w="1276"/>
        <w:gridCol w:w="1134"/>
      </w:tblGrid>
      <w:tr w:rsidR="008E3733" w:rsidRPr="00232275" w:rsidTr="008E3733">
        <w:trPr>
          <w:trHeight w:val="300"/>
        </w:trPr>
        <w:tc>
          <w:tcPr>
            <w:tcW w:w="9924"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spacing w:before="120" w:after="120"/>
              <w:ind w:left="0"/>
              <w:rPr>
                <w:rFonts w:ascii="StobiSerif Regular" w:hAnsi="StobiSerif Regular"/>
                <w:lang w:val="mk-MK"/>
              </w:rPr>
            </w:pPr>
            <w:bookmarkStart w:id="102" w:name="_Toc453059140"/>
            <w:bookmarkStart w:id="103" w:name="_Toc453059232"/>
            <w:bookmarkStart w:id="104" w:name="_Toc453059278"/>
            <w:r w:rsidRPr="00232275">
              <w:rPr>
                <w:rFonts w:ascii="StobiSerif Regular" w:hAnsi="StobiSerif Regular"/>
                <w:lang w:val="mk-MK"/>
              </w:rPr>
              <w:t>8.2 Отворени податоци за климатски промени на национално и локално ниво</w:t>
            </w:r>
            <w:bookmarkEnd w:id="102"/>
            <w:bookmarkEnd w:id="103"/>
            <w:bookmarkEnd w:id="104"/>
          </w:p>
        </w:tc>
      </w:tr>
      <w:tr w:rsidR="008E3733" w:rsidRPr="00232275" w:rsidTr="008E3733">
        <w:trPr>
          <w:trHeight w:val="612"/>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rPr>
              <w:t>7/</w:t>
            </w:r>
            <w:r w:rsidRPr="00232275">
              <w:rPr>
                <w:rFonts w:ascii="StobiSerif Regular" w:hAnsi="StobiSerif Regular"/>
                <w:sz w:val="20"/>
                <w:szCs w:val="20"/>
                <w:lang w:val="mk-MK"/>
              </w:rPr>
              <w:t xml:space="preserve">2016 – </w:t>
            </w:r>
            <w:r w:rsidRPr="00232275">
              <w:rPr>
                <w:rFonts w:ascii="StobiSerif Regular" w:hAnsi="StobiSerif Regular"/>
                <w:sz w:val="20"/>
                <w:szCs w:val="20"/>
              </w:rPr>
              <w:t>1/</w:t>
            </w:r>
            <w:r w:rsidRPr="00232275">
              <w:rPr>
                <w:rFonts w:ascii="StobiSerif Regular" w:hAnsi="StobiSerif Regular"/>
                <w:sz w:val="20"/>
                <w:szCs w:val="20"/>
                <w:lang w:val="mk-MK"/>
              </w:rPr>
              <w:t>2018)</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103"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животна средина и просторно планирање </w:t>
            </w:r>
          </w:p>
        </w:tc>
      </w:tr>
      <w:tr w:rsidR="008E3733" w:rsidRPr="00232275" w:rsidTr="008E3733">
        <w:trPr>
          <w:trHeight w:val="5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Теодора Обрадовиќ Грнчаровска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Државен советник</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rPr>
                <w:rFonts w:ascii="StobiSerif Regular" w:hAnsi="StobiSerif Regular"/>
                <w:sz w:val="20"/>
                <w:szCs w:val="20"/>
              </w:rPr>
            </w:pPr>
            <w:hyperlink r:id="rId66" w:history="1">
              <w:r w:rsidR="008E3733" w:rsidRPr="00232275">
                <w:rPr>
                  <w:rFonts w:ascii="StobiSerif Regular" w:hAnsi="StobiSerif Regular"/>
                  <w:sz w:val="20"/>
                  <w:szCs w:val="20"/>
                  <w:u w:val="single"/>
                </w:rPr>
                <w:t>t.grncarovska@moepp.gov.mk</w:t>
              </w:r>
            </w:hyperlink>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dori.moeppgovmk@gmail.com</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 единици на локалната самоуправа</w:t>
            </w:r>
          </w:p>
        </w:tc>
        <w:tc>
          <w:tcPr>
            <w:tcW w:w="510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Национален комитет за климатски промени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Државен завод за статистика</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Управа за Хидро-метеоролошки работи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Локална самоуправа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0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Македонска академија на науки и уметности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Академска заедница</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103"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Постоечката база на податоци – инвентар на стакленички гасови ќе се надградува со нови податоци на секои 2 години. На локално ниво, подготвени се инвентари на стакленички гасови за 8 општини и во фаза на подготовка е инвентар за Град Скопје (кој ги опфаќа сите 11 скопски општини), Оваа мерка ќе допринесе овие податоци, освен што ќе бидат постојано надградувани, да бидат разбирливи и лесно достапни на едно место </w:t>
            </w:r>
            <w:r w:rsidRPr="00232275">
              <w:rPr>
                <w:rFonts w:ascii="StobiSerif Regular" w:hAnsi="StobiSerif Regular"/>
                <w:sz w:val="20"/>
                <w:szCs w:val="20"/>
              </w:rPr>
              <w:t xml:space="preserve">- </w:t>
            </w:r>
            <w:r w:rsidRPr="00232275">
              <w:rPr>
                <w:rFonts w:ascii="StobiSerif Regular" w:hAnsi="StobiSerif Regular"/>
                <w:sz w:val="20"/>
                <w:szCs w:val="20"/>
                <w:lang w:val="mk-MK"/>
              </w:rPr>
              <w:t xml:space="preserve">порталот </w:t>
            </w:r>
            <w:r w:rsidRPr="00232275">
              <w:rPr>
                <w:rFonts w:ascii="StobiSerif Regular" w:hAnsi="StobiSerif Regular"/>
                <w:sz w:val="20"/>
                <w:szCs w:val="20"/>
              </w:rPr>
              <w:t>www.klimatskipromeni.mk.</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Потранспарентен и партиципативен развој на климатските политики на национално ниво</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Подобрување на квалитетот на информациите поврзани со климатските промени и нивната анализа </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103"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Обезбедување на отворен пристап до националните бази за количини и извори на емисии на стакленички гасови на национално и на локално ниво; информации и податоци за влијанието на климатските промени вклучувајќи ги и релевантните климатски сценарија</w:t>
            </w:r>
            <w:r w:rsidRPr="00232275">
              <w:rPr>
                <w:rFonts w:ascii="StobiSerif Regular" w:hAnsi="StobiSerif Regular"/>
                <w:sz w:val="20"/>
                <w:szCs w:val="20"/>
              </w:rPr>
              <w:t>;</w:t>
            </w:r>
            <w:r w:rsidRPr="00232275">
              <w:rPr>
                <w:rFonts w:ascii="StobiSerif Regular" w:hAnsi="StobiSerif Regular"/>
                <w:sz w:val="20"/>
                <w:szCs w:val="20"/>
                <w:lang w:val="mk-MK"/>
              </w:rPr>
              <w:t xml:space="preserve"> информации и податоци за ублажување на климатските промени.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13: ,,Климатска Акција“, Таргет 13.2: Интегрирање на мерки за климатски промени во националните политики, стратегии и планирањето</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усогласување на националните политики со мерките за климатските промени и поквалитетно одлучување од страна на креаторите на политики засновано на консултација со  засегнатите страни</w:t>
            </w:r>
          </w:p>
        </w:tc>
      </w:tr>
      <w:tr w:rsidR="008E3733" w:rsidRPr="00232275" w:rsidTr="008E3733">
        <w:trPr>
          <w:trHeight w:val="283"/>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rPr>
            </w:pPr>
            <w:r w:rsidRPr="00232275">
              <w:rPr>
                <w:rFonts w:ascii="StobiSerif Regular" w:hAnsi="StobiSerif Regular"/>
                <w:sz w:val="20"/>
                <w:szCs w:val="20"/>
                <w:lang w:val="mk-MK"/>
              </w:rPr>
              <w:t>Податоците за климатски промени да бидат достапни на едно место, да бидат во форма која ќе биде разбирлива за пошироката јавност и ќе овозможи поголемо граѓанско учество во креирањето на политики, но и ќе отвори можности за трансфер и примена на нови   технологии и иновации.</w:t>
            </w:r>
          </w:p>
        </w:tc>
      </w:tr>
      <w:tr w:rsidR="008E3733" w:rsidRPr="00232275" w:rsidTr="008E3733">
        <w:trPr>
          <w:trHeight w:val="21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 xml:space="preserve">ќе се обезбеди подобрување на системите за собирање на релевантни податоци; </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ќе се подобри квалитетот на собирање и анализа на податоците;</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ќе се зајакнат националните капацитети за справување со климатските промени</w:t>
            </w:r>
            <w:r w:rsidRPr="00232275">
              <w:rPr>
                <w:rFonts w:ascii="StobiSerif Regular" w:hAnsi="StobiSerif Regular"/>
                <w:sz w:val="20"/>
                <w:szCs w:val="20"/>
              </w:rPr>
              <w:t>;</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 xml:space="preserve"> - ќе се подобри квалитетот на известување кон </w:t>
            </w:r>
            <w:r w:rsidRPr="00232275">
              <w:rPr>
                <w:rFonts w:ascii="StobiSerif Regular" w:hAnsi="StobiSerif Regular"/>
                <w:sz w:val="20"/>
                <w:szCs w:val="20"/>
              </w:rPr>
              <w:t xml:space="preserve">UNFCCC </w:t>
            </w:r>
            <w:r w:rsidRPr="00232275">
              <w:rPr>
                <w:rFonts w:ascii="StobiSerif Regular" w:hAnsi="StobiSerif Regular"/>
                <w:sz w:val="20"/>
                <w:szCs w:val="20"/>
                <w:lang w:val="mk-MK"/>
              </w:rPr>
              <w:t>и ЕУ</w:t>
            </w:r>
            <w:r w:rsidRPr="00232275">
              <w:rPr>
                <w:rFonts w:ascii="StobiSerif Regular" w:hAnsi="StobiSerif Regular"/>
                <w:sz w:val="20"/>
                <w:szCs w:val="20"/>
              </w:rPr>
              <w:t>;</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821" w:type="dxa"/>
            <w:gridSpan w:val="2"/>
            <w:vMerge w:val="restart"/>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417"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незапочнато</w:t>
            </w: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ограничено</w:t>
            </w: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значително</w:t>
            </w:r>
          </w:p>
        </w:tc>
        <w:tc>
          <w:tcPr>
            <w:tcW w:w="1134" w:type="dxa"/>
          </w:tcPr>
          <w:p w:rsidR="008E3733" w:rsidRPr="00232275" w:rsidRDefault="008E3733" w:rsidP="008E3733">
            <w:pPr>
              <w:spacing w:after="0" w:line="240" w:lineRule="auto"/>
              <w:jc w:val="both"/>
              <w:rPr>
                <w:rFonts w:ascii="StobiSerif Regular" w:hAnsi="StobiSerif Regular" w:cs="Tahoma"/>
                <w:b/>
                <w:sz w:val="16"/>
                <w:szCs w:val="16"/>
                <w:lang w:val="mk-MK"/>
              </w:rPr>
            </w:pPr>
            <w:r w:rsidRPr="00232275">
              <w:rPr>
                <w:rFonts w:ascii="StobiSerif Regular" w:hAnsi="StobiSerif Regular" w:cs="Tahoma"/>
                <w:b/>
                <w:sz w:val="16"/>
                <w:szCs w:val="16"/>
                <w:lang w:val="mk-MK"/>
              </w:rPr>
              <w:t>завршено</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821" w:type="dxa"/>
            <w:gridSpan w:val="2"/>
            <w:vMerge/>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417" w:type="dxa"/>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76" w:type="dxa"/>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276" w:type="dxa"/>
            <w:shd w:val="clear" w:color="auto" w:fill="auto"/>
          </w:tcPr>
          <w:p w:rsidR="008E3733" w:rsidRPr="00232275" w:rsidRDefault="008E3733" w:rsidP="008E3733">
            <w:pPr>
              <w:spacing w:after="0" w:line="240" w:lineRule="auto"/>
              <w:jc w:val="both"/>
              <w:rPr>
                <w:rFonts w:ascii="StobiSerif Regular" w:hAnsi="StobiSerif Regular" w:cs="Tahoma"/>
                <w:b/>
                <w:sz w:val="16"/>
                <w:szCs w:val="16"/>
                <w:lang w:val="mk-MK"/>
              </w:rPr>
            </w:pPr>
          </w:p>
        </w:tc>
        <w:tc>
          <w:tcPr>
            <w:tcW w:w="1134" w:type="dxa"/>
            <w:shd w:val="clear" w:color="auto" w:fill="0070C0"/>
          </w:tcPr>
          <w:p w:rsidR="008E3733" w:rsidRPr="00232275" w:rsidRDefault="008E3733" w:rsidP="008E3733">
            <w:pPr>
              <w:spacing w:after="0" w:line="240" w:lineRule="auto"/>
              <w:jc w:val="both"/>
              <w:rPr>
                <w:rFonts w:ascii="StobiSerif Regular" w:hAnsi="StobiSerif Regular" w:cs="Tahoma"/>
                <w:b/>
                <w:sz w:val="16"/>
                <w:szCs w:val="16"/>
              </w:rPr>
            </w:pP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4821" w:type="dxa"/>
            <w:gridSpan w:val="2"/>
            <w:shd w:val="clear" w:color="auto" w:fill="DBE5F1" w:themeFill="accent1" w:themeFillTint="33"/>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103" w:type="dxa"/>
            <w:gridSpan w:val="4"/>
            <w:shd w:val="clear" w:color="auto" w:fill="DBE5F1" w:themeFill="accent1" w:themeFillTint="33"/>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8.2.1 Ревидирање на националниот инвентар на стакленички гасови со дополнување на низата податоци (1990-2012) со 2013г. и 2014г.</w:t>
            </w:r>
          </w:p>
        </w:tc>
        <w:tc>
          <w:tcPr>
            <w:tcW w:w="5103"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Националниот инвентар на стакленички гасови е дополнет до 2014г.</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8.2.2 Подобрување на квалитетот на националниот инвентар на стакленички гасови</w:t>
            </w:r>
          </w:p>
        </w:tc>
        <w:tc>
          <w:tcPr>
            <w:tcW w:w="5103" w:type="dxa"/>
            <w:gridSpan w:val="4"/>
          </w:tcPr>
          <w:p w:rsidR="008E3733" w:rsidRPr="00232275" w:rsidRDefault="008E3733" w:rsidP="008E3733">
            <w:pPr>
              <w:pStyle w:val="ListParagraph"/>
              <w:spacing w:after="0" w:line="240" w:lineRule="auto"/>
              <w:ind w:left="0"/>
              <w:jc w:val="both"/>
              <w:rPr>
                <w:rFonts w:ascii="StobiSerif Regular" w:hAnsi="StobiSerif Regular" w:cs="Tahoma"/>
                <w:sz w:val="20"/>
                <w:szCs w:val="20"/>
              </w:rPr>
            </w:pPr>
            <w:r w:rsidRPr="00232275">
              <w:rPr>
                <w:rFonts w:ascii="StobiSerif Regular" w:hAnsi="StobiSerif Regular" w:cs="Tahoma"/>
                <w:sz w:val="20"/>
                <w:szCs w:val="20"/>
                <w:lang w:val="mk-MK"/>
              </w:rPr>
              <w:t xml:space="preserve">Квалитетот на националниот инвентар е значително подобрен, до степен кој го дозволуваат податоците кои се собираат на национално ниво. За подобување на квалитетот на идите инвентари, има низа на препораки, како и табела со податоци кои недостасуваат и предлог институции кои се најсоодветни да ги собираат. </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8.2.3 Обезбедување на слободен пристап до националниот инвентар на стакленички гасови</w:t>
            </w:r>
          </w:p>
        </w:tc>
        <w:tc>
          <w:tcPr>
            <w:tcW w:w="5103" w:type="dxa"/>
            <w:gridSpan w:val="4"/>
          </w:tcPr>
          <w:p w:rsidR="008E3733" w:rsidRPr="00232275" w:rsidRDefault="008E3733" w:rsidP="008E3733">
            <w:pPr>
              <w:pStyle w:val="ListParagraph"/>
              <w:spacing w:after="0" w:line="240" w:lineRule="auto"/>
              <w:ind w:left="0"/>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Националниот инвентар на стакленички гасови е отворен за јавноста и претставен на визуелно интересен начин на </w:t>
            </w:r>
            <w:hyperlink r:id="rId67" w:history="1">
              <w:r w:rsidRPr="00232275">
                <w:rPr>
                  <w:rStyle w:val="Hyperlink"/>
                  <w:rFonts w:ascii="StobiSerif Regular" w:hAnsi="StobiSerif Regular" w:cs="Tahoma"/>
                  <w:color w:val="auto"/>
                  <w:sz w:val="20"/>
                  <w:szCs w:val="20"/>
                </w:rPr>
                <w:t>http://www.unfccc.org.mk/Default.aspx?LCID=244</w:t>
              </w:r>
            </w:hyperlink>
            <w:r w:rsidRPr="00232275">
              <w:rPr>
                <w:rFonts w:ascii="StobiSerif Regular" w:hAnsi="StobiSerif Regular" w:cs="Tahoma"/>
                <w:sz w:val="20"/>
                <w:szCs w:val="20"/>
                <w:lang w:val="mk-MK"/>
              </w:rPr>
              <w:t>.Базата може да се пребарува по гас/сектор/подсектор/година, а информациите се видливи во динамички графикони. Истите можат да се експортираат во ексел/слика или да се испечатат.</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 xml:space="preserve">8.2.4 Зајакнување на капацитетите на релевентните страни со цел да се обезбеди редовно собирање на податоци поврзани со климатските промени и нивно споделување </w:t>
            </w:r>
          </w:p>
        </w:tc>
        <w:tc>
          <w:tcPr>
            <w:tcW w:w="5103" w:type="dxa"/>
            <w:gridSpan w:val="4"/>
          </w:tcPr>
          <w:p w:rsidR="008E3733" w:rsidRPr="00232275" w:rsidRDefault="008E3733" w:rsidP="008E3733">
            <w:pPr>
              <w:pStyle w:val="ListParagraph"/>
              <w:spacing w:after="0" w:line="240" w:lineRule="auto"/>
              <w:ind w:left="0"/>
              <w:jc w:val="both"/>
              <w:rPr>
                <w:rFonts w:ascii="StobiSerif Regular" w:hAnsi="StobiSerif Regular" w:cs="Tahoma"/>
                <w:sz w:val="20"/>
                <w:szCs w:val="20"/>
                <w:lang w:val="mk-MK"/>
              </w:rPr>
            </w:pPr>
            <w:r w:rsidRPr="00232275">
              <w:rPr>
                <w:rFonts w:ascii="StobiSerif Regular" w:hAnsi="StobiSerif Regular" w:cs="Tahoma"/>
                <w:sz w:val="20"/>
                <w:szCs w:val="20"/>
                <w:lang w:val="mk-MK"/>
              </w:rPr>
              <w:t>Во текот на ажурирањето на инвентарот на стакленички гасови се вршеше континуирано зајакнување на капацитетите на релевентните институции и за собирање на податоците и за подготовка на самите инвентари, особено за инвентарот во секторот шумарство и промена на земјиште. Во МАНУ се обучија двајца јуниори за подготовка на инвентари, а се одржаа и работни состаноци со релевантни институции (Државен завод за статистика, Министерство за земјоделие, шумарство и водостопанство и др.) во однос на собирање на подетални податоци.</w:t>
            </w:r>
          </w:p>
          <w:p w:rsidR="008E3733" w:rsidRPr="00232275" w:rsidRDefault="008E3733" w:rsidP="008E3733">
            <w:pPr>
              <w:pStyle w:val="ListParagraph"/>
              <w:spacing w:after="0" w:line="240" w:lineRule="auto"/>
              <w:ind w:left="0"/>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Со цел да се најдат алтернативни начини да се подготви подетален инвентар на стакленички гасови за секторот земјоделие, шумарство и промена на користење на земјиштето, за прв пат се користеше </w:t>
            </w:r>
            <w:r w:rsidRPr="00232275">
              <w:rPr>
                <w:rFonts w:ascii="StobiSerif Regular" w:hAnsi="StobiSerif Regular" w:cs="Tahoma"/>
                <w:sz w:val="20"/>
                <w:szCs w:val="20"/>
              </w:rPr>
              <w:t xml:space="preserve">Corine </w:t>
            </w:r>
            <w:r w:rsidRPr="00232275">
              <w:rPr>
                <w:rFonts w:ascii="StobiSerif Regular" w:hAnsi="StobiSerif Regular" w:cs="Tahoma"/>
                <w:sz w:val="20"/>
                <w:szCs w:val="20"/>
                <w:lang w:val="mk-MK"/>
              </w:rPr>
              <w:t xml:space="preserve">базата. На тој начин се зајакнаа националните капацитети за овие сектори. </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8.2.5 Обезбедување на слободен пристап до инвентари на стакленички гасови на локално ниво за 8 општини и Град Скопје</w:t>
            </w:r>
          </w:p>
        </w:tc>
        <w:tc>
          <w:tcPr>
            <w:tcW w:w="5103" w:type="dxa"/>
            <w:gridSpan w:val="4"/>
          </w:tcPr>
          <w:p w:rsidR="008E3733" w:rsidRPr="00232275" w:rsidRDefault="008E3733" w:rsidP="008E3733">
            <w:pPr>
              <w:pStyle w:val="ListParagraph"/>
              <w:spacing w:after="0" w:line="240" w:lineRule="auto"/>
              <w:ind w:left="0"/>
              <w:jc w:val="both"/>
              <w:rPr>
                <w:rFonts w:ascii="StobiSerif Regular" w:hAnsi="StobiSerif Regular" w:cs="Tahoma"/>
                <w:sz w:val="20"/>
                <w:szCs w:val="20"/>
                <w:lang w:val="mk-MK"/>
              </w:rPr>
            </w:pPr>
            <w:r w:rsidRPr="00232275">
              <w:rPr>
                <w:rFonts w:ascii="StobiSerif Regular" w:hAnsi="StobiSerif Regular" w:cs="Tahoma"/>
                <w:sz w:val="20"/>
                <w:szCs w:val="20"/>
                <w:lang w:val="mk-MK"/>
              </w:rPr>
              <w:t xml:space="preserve">Слободен пристап обезбеден на </w:t>
            </w:r>
            <w:r w:rsidRPr="00232275">
              <w:rPr>
                <w:rFonts w:ascii="StobiSerif Regular" w:hAnsi="StobiSerif Regular" w:cs="Tahoma"/>
                <w:sz w:val="20"/>
                <w:szCs w:val="20"/>
              </w:rPr>
              <w:t>www.klimatskipromeni.mk</w:t>
            </w:r>
          </w:p>
        </w:tc>
      </w:tr>
    </w:tbl>
    <w:p w:rsidR="008E3733" w:rsidRPr="00232275" w:rsidRDefault="008E3733" w:rsidP="008E3733">
      <w:pPr>
        <w:spacing w:line="240" w:lineRule="auto"/>
        <w:rPr>
          <w:rFonts w:ascii="StobiSerif Regular"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1275"/>
        <w:gridCol w:w="1276"/>
        <w:gridCol w:w="1134"/>
        <w:gridCol w:w="1559"/>
      </w:tblGrid>
      <w:tr w:rsidR="008E3733" w:rsidRPr="00232275" w:rsidTr="008E3733">
        <w:trPr>
          <w:trHeight w:val="300"/>
        </w:trPr>
        <w:tc>
          <w:tcPr>
            <w:tcW w:w="10065" w:type="dxa"/>
            <w:gridSpan w:val="6"/>
            <w:tcBorders>
              <w:top w:val="single" w:sz="8" w:space="0" w:color="auto"/>
              <w:left w:val="single" w:sz="8" w:space="0" w:color="auto"/>
              <w:bottom w:val="nil"/>
              <w:right w:val="single" w:sz="8" w:space="0" w:color="000000"/>
            </w:tcBorders>
            <w:shd w:val="clear" w:color="auto" w:fill="548DD4"/>
            <w:vAlign w:val="center"/>
            <w:hideMark/>
          </w:tcPr>
          <w:p w:rsidR="008E3733" w:rsidRPr="00232275" w:rsidRDefault="008E3733" w:rsidP="008E3733">
            <w:pPr>
              <w:pStyle w:val="Heading1"/>
              <w:rPr>
                <w:rFonts w:ascii="StobiSerif Regular" w:hAnsi="StobiSerif Regular"/>
                <w:lang w:val="mk-MK"/>
              </w:rPr>
            </w:pPr>
            <w:r w:rsidRPr="00232275">
              <w:rPr>
                <w:rFonts w:ascii="StobiSerif Regular" w:hAnsi="StobiSerif Regular"/>
              </w:rPr>
              <w:br w:type="page"/>
            </w:r>
            <w:bookmarkStart w:id="105" w:name="_Toc453059141"/>
            <w:bookmarkStart w:id="106" w:name="_Toc453059233"/>
            <w:bookmarkStart w:id="107" w:name="_Toc453059279"/>
            <w:r w:rsidRPr="00232275">
              <w:rPr>
                <w:rFonts w:ascii="StobiSerif Regular" w:hAnsi="StobiSerif Regular"/>
                <w:lang w:val="mk-MK"/>
              </w:rPr>
              <w:t>8.3. Обезбедување на одговорност и вклученост на приватниот сектор во националната акција за климатски промени</w:t>
            </w:r>
            <w:bookmarkEnd w:id="105"/>
            <w:bookmarkEnd w:id="106"/>
            <w:bookmarkEnd w:id="107"/>
          </w:p>
        </w:tc>
      </w:tr>
      <w:tr w:rsidR="008E3733" w:rsidRPr="00232275" w:rsidTr="008E3733">
        <w:trPr>
          <w:trHeight w:val="53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 xml:space="preserve">Почетен и краен датум на обврската </w:t>
            </w:r>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rPr>
              <w:t>7/</w:t>
            </w:r>
            <w:r w:rsidRPr="00232275">
              <w:rPr>
                <w:rFonts w:ascii="StobiSerif Regular" w:hAnsi="StobiSerif Regular"/>
                <w:sz w:val="20"/>
                <w:szCs w:val="20"/>
                <w:lang w:val="mk-MK"/>
              </w:rPr>
              <w:t xml:space="preserve">2016 – </w:t>
            </w:r>
            <w:r w:rsidRPr="00232275">
              <w:rPr>
                <w:rFonts w:ascii="StobiSerif Regular" w:hAnsi="StobiSerif Regular"/>
                <w:sz w:val="20"/>
                <w:szCs w:val="20"/>
              </w:rPr>
              <w:t>1/</w:t>
            </w:r>
            <w:r w:rsidRPr="00232275">
              <w:rPr>
                <w:rFonts w:ascii="StobiSerif Regular" w:hAnsi="StobiSerif Regular"/>
                <w:sz w:val="20"/>
                <w:szCs w:val="20"/>
                <w:lang w:val="mk-MK"/>
              </w:rPr>
              <w:t>2018)</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нова обврска</w:t>
            </w:r>
          </w:p>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Водечка институција за спроведување</w:t>
            </w:r>
          </w:p>
        </w:tc>
        <w:tc>
          <w:tcPr>
            <w:tcW w:w="5244" w:type="dxa"/>
            <w:gridSpan w:val="4"/>
            <w:tcBorders>
              <w:top w:val="nil"/>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Министерство за животна средина и просторно планирање </w:t>
            </w:r>
          </w:p>
        </w:tc>
      </w:tr>
      <w:tr w:rsidR="008E3733" w:rsidRPr="00232275" w:rsidTr="008E3733">
        <w:trPr>
          <w:trHeight w:val="61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Име на одговорно лице во институцијата за спроведување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Теодора Обрадовиќ Грнчаровска </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Функција, Одделение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Државен советник</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Email</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E6510B" w:rsidP="008E3733">
            <w:pPr>
              <w:spacing w:after="0" w:line="240" w:lineRule="auto"/>
              <w:jc w:val="center"/>
              <w:rPr>
                <w:rFonts w:ascii="StobiSerif Regular" w:hAnsi="StobiSerif Regular"/>
                <w:sz w:val="20"/>
                <w:szCs w:val="20"/>
              </w:rPr>
            </w:pPr>
            <w:hyperlink r:id="rId68" w:history="1">
              <w:r w:rsidR="008E3733" w:rsidRPr="00232275">
                <w:rPr>
                  <w:rFonts w:ascii="StobiSerif Regular" w:hAnsi="StobiSerif Regular"/>
                  <w:sz w:val="20"/>
                  <w:szCs w:val="20"/>
                  <w:u w:val="single"/>
                </w:rPr>
                <w:t>t.grncarovska@moepp.gov.mk</w:t>
              </w:r>
            </w:hyperlink>
          </w:p>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dori.moeppgovmk@gmail.com</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Телефон</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p>
        </w:tc>
      </w:tr>
      <w:tr w:rsidR="008E3733" w:rsidRPr="00232275" w:rsidTr="008E3733">
        <w:trPr>
          <w:trHeight w:val="429"/>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Други вклучени субјекти</w:t>
            </w: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lang w:val="mk-MK"/>
              </w:rPr>
            </w:pPr>
          </w:p>
          <w:p w:rsidR="008E3733" w:rsidRPr="00232275" w:rsidRDefault="008E3733" w:rsidP="008E3733">
            <w:pPr>
              <w:spacing w:after="0" w:line="240" w:lineRule="auto"/>
              <w:jc w:val="center"/>
              <w:rPr>
                <w:rFonts w:ascii="StobiSerif Regular" w:hAnsi="StobiSerif Regular"/>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Органи на државна управа, самостојни органи на државна управа</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Национален комитет за климатски промени</w:t>
            </w:r>
          </w:p>
          <w:p w:rsidR="008E3733" w:rsidRPr="00232275" w:rsidRDefault="008E3733" w:rsidP="008E3733">
            <w:pPr>
              <w:spacing w:after="0" w:line="240" w:lineRule="auto"/>
              <w:rPr>
                <w:rFonts w:ascii="StobiSerif Regular" w:hAnsi="StobiSerif Regular"/>
                <w:sz w:val="20"/>
                <w:szCs w:val="20"/>
              </w:rPr>
            </w:pPr>
            <w:r w:rsidRPr="00232275">
              <w:rPr>
                <w:rFonts w:ascii="StobiSerif Regular" w:hAnsi="StobiSerif Regular"/>
                <w:sz w:val="20"/>
                <w:szCs w:val="20"/>
                <w:lang w:val="mk-MK"/>
              </w:rPr>
              <w:t xml:space="preserve">Влада на РМ </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rPr>
            </w:pPr>
            <w:r w:rsidRPr="00232275">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Македонска академија на науки и уметности</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Стопанска Комора</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НВО/ГЗ</w:t>
            </w:r>
          </w:p>
          <w:p w:rsidR="008E3733" w:rsidRPr="00232275" w:rsidRDefault="008E3733" w:rsidP="008E3733">
            <w:pPr>
              <w:spacing w:after="0" w:line="240" w:lineRule="auto"/>
              <w:rPr>
                <w:rFonts w:ascii="StobiSerif Regular" w:hAnsi="StobiSerif Regular"/>
                <w:sz w:val="20"/>
                <w:szCs w:val="20"/>
                <w:lang w:val="mk-MK"/>
              </w:rPr>
            </w:pPr>
            <w:r w:rsidRPr="00232275">
              <w:rPr>
                <w:rFonts w:ascii="StobiSerif Regular" w:hAnsi="StobiSerif Regular"/>
                <w:sz w:val="20"/>
                <w:szCs w:val="20"/>
                <w:lang w:val="mk-MK"/>
              </w:rPr>
              <w:t>Донатори/проекти кои имплементираат активности во областа на климатски промени</w:t>
            </w: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42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8E3733" w:rsidRPr="00232275" w:rsidRDefault="008E3733" w:rsidP="008E3733">
            <w:pPr>
              <w:spacing w:after="0" w:line="240" w:lineRule="auto"/>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8E3733" w:rsidRPr="00232275" w:rsidRDefault="008E3733" w:rsidP="008E3733">
            <w:pPr>
              <w:spacing w:after="0" w:line="240" w:lineRule="auto"/>
              <w:rPr>
                <w:rFonts w:ascii="StobiSerif Regular" w:hAnsi="StobiSerif Regular"/>
                <w:sz w:val="20"/>
                <w:szCs w:val="20"/>
                <w:lang w:val="mk-MK"/>
              </w:rPr>
            </w:pPr>
          </w:p>
        </w:tc>
      </w:tr>
      <w:tr w:rsidR="008E3733" w:rsidRPr="00232275" w:rsidTr="008E3733">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Состојба или проблем што се опфаќа со обврската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Министерството за животна средина и просторно планирање преку неколку вида прашалници собира информации од индустријата во писмена форма и за различни сегменти поврзани со загадувањето на животната средина. Софтверот ЕМИ за мониторинг на емисиите од индустријата е подготвен со поддршка наПрограмата за развој на Обединетите нации (УНДП) и Глобалниот Еколошки Фонд-ГЕФ, меѓутоа за да заживее потребно е да се направи прилагодување на подзаконски документи.</w:t>
            </w:r>
          </w:p>
        </w:tc>
      </w:tr>
      <w:tr w:rsidR="008E3733" w:rsidRPr="00232275" w:rsidTr="008E3733">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Главна цел</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Мерки за обезбедување на одговорност и вклученост на приватниот сектор во националната акција за климатски промени. </w:t>
            </w:r>
          </w:p>
        </w:tc>
      </w:tr>
      <w:tr w:rsidR="008E3733" w:rsidRPr="00232275" w:rsidTr="008E3733">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Кус опис на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Подобрување на правната рамка во однос на приватниот сектор и климатските промени.</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ОВП предизвик опфатен со обврската</w:t>
            </w:r>
          </w:p>
          <w:p w:rsidR="008E3733" w:rsidRPr="00232275" w:rsidRDefault="008E3733" w:rsidP="008E3733">
            <w:pPr>
              <w:spacing w:after="0" w:line="240" w:lineRule="auto"/>
              <w:jc w:val="center"/>
              <w:rPr>
                <w:rFonts w:ascii="StobiSerif Regular" w:hAnsi="StobiSerif Regular"/>
                <w:sz w:val="20"/>
                <w:szCs w:val="20"/>
                <w:lang w:val="mk-MK"/>
              </w:rPr>
            </w:pP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8E3733" w:rsidRPr="00232275" w:rsidRDefault="008E3733" w:rsidP="008E3733">
            <w:pPr>
              <w:spacing w:after="0" w:line="240" w:lineRule="auto"/>
              <w:jc w:val="both"/>
              <w:rPr>
                <w:rFonts w:ascii="StobiSerif Regular" w:hAnsi="StobiSerif Regular"/>
                <w:b/>
                <w:bCs/>
                <w:iCs/>
                <w:sz w:val="20"/>
                <w:szCs w:val="20"/>
                <w:lang w:val="mk-MK"/>
              </w:rPr>
            </w:pPr>
            <w:r w:rsidRPr="00232275">
              <w:rPr>
                <w:rFonts w:ascii="StobiSerif Regular" w:hAnsi="StobiSerif Regular"/>
                <w:sz w:val="20"/>
                <w:szCs w:val="20"/>
                <w:lang w:val="mk-MK"/>
              </w:rPr>
              <w:t>Воспоставување на соодветна правна и регулаторна рамка за обезбедување на податоци релевантни за климатските промени од приватниот сектор</w:t>
            </w:r>
            <w:r w:rsidRPr="00232275">
              <w:rPr>
                <w:rFonts w:ascii="StobiSerif Regular" w:hAnsi="StobiSerif Regular"/>
                <w:b/>
                <w:bCs/>
                <w:iCs/>
                <w:sz w:val="20"/>
                <w:szCs w:val="20"/>
                <w:lang w:val="mk-MK"/>
              </w:rPr>
              <w:t>.</w:t>
            </w:r>
          </w:p>
        </w:tc>
      </w:tr>
      <w:tr w:rsidR="008E3733" w:rsidRPr="00232275" w:rsidTr="008E3733">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Поврзаност со Глобалните цели за одржлив развој</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Врска со Цел 13 ,,Климатска Акција“, Таргет: 13.3 Подобрување на образованието, подигање на свест, човечките и институционални капацитети за ублажување на климатските промени, адаптација, намалување на влијанието и рано предупредување</w:t>
            </w:r>
          </w:p>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Со мерките од оваа заложба се придонесува кон подигнување на свеста,  одговорноста и вклученост во националните активности за  климатските промени.</w:t>
            </w:r>
          </w:p>
        </w:tc>
      </w:tr>
      <w:tr w:rsidR="008E3733" w:rsidRPr="00232275" w:rsidTr="008E3733">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Важност</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jc w:val="both"/>
              <w:rPr>
                <w:rFonts w:ascii="StobiSerif Regular" w:hAnsi="StobiSerif Regular"/>
                <w:sz w:val="20"/>
                <w:szCs w:val="20"/>
                <w:lang w:val="mk-MK"/>
              </w:rPr>
            </w:pPr>
            <w:r w:rsidRPr="00232275">
              <w:rPr>
                <w:rFonts w:ascii="StobiSerif Regular" w:hAnsi="StobiSerif Regular"/>
                <w:sz w:val="20"/>
                <w:szCs w:val="20"/>
                <w:lang w:val="mk-MK"/>
              </w:rPr>
              <w:t xml:space="preserve">Со оваа мерка ќе се обединат сите информации кои Министерството ги бара од индустријата во електронска форма, ќе се олесни известувањето но и ќе се подобри квалитетот на собраните податоци поврзани со загадување на воздухот и климатските промени.  </w:t>
            </w:r>
          </w:p>
        </w:tc>
      </w:tr>
      <w:tr w:rsidR="008E3733" w:rsidRPr="00232275" w:rsidTr="008E3733">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733" w:rsidRPr="00232275" w:rsidRDefault="008E3733" w:rsidP="008E3733">
            <w:pPr>
              <w:spacing w:after="0" w:line="240" w:lineRule="auto"/>
              <w:jc w:val="center"/>
              <w:rPr>
                <w:rFonts w:ascii="StobiSerif Regular" w:hAnsi="StobiSerif Regular"/>
                <w:sz w:val="20"/>
                <w:szCs w:val="20"/>
                <w:lang w:val="mk-MK"/>
              </w:rPr>
            </w:pPr>
            <w:r w:rsidRPr="00232275">
              <w:rPr>
                <w:rFonts w:ascii="StobiSerif Regular" w:hAnsi="StobiSerif Regular"/>
                <w:sz w:val="20"/>
                <w:szCs w:val="20"/>
                <w:lang w:val="mk-MK"/>
              </w:rPr>
              <w:t>Амбиција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w:t>
            </w:r>
            <w:r w:rsidRPr="00232275">
              <w:rPr>
                <w:rFonts w:ascii="StobiSerif Regular" w:hAnsi="StobiSerif Regular"/>
                <w:sz w:val="20"/>
                <w:szCs w:val="20"/>
                <w:lang w:val="mk-MK"/>
              </w:rPr>
              <w:tab/>
              <w:t xml:space="preserve">ќе се подобри известувањето, мониторингот и верфикацијата на податоците кои Министерството за животна средина и просторно планирање ги побарува од индустријата </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  ќе се зајакне соработката со приватниот сектор</w:t>
            </w:r>
          </w:p>
          <w:p w:rsidR="008E3733" w:rsidRPr="00232275" w:rsidRDefault="008E3733" w:rsidP="008E3733">
            <w:pPr>
              <w:spacing w:after="0" w:line="240" w:lineRule="auto"/>
              <w:ind w:left="239" w:hanging="180"/>
              <w:jc w:val="both"/>
              <w:rPr>
                <w:rFonts w:ascii="StobiSerif Regular" w:hAnsi="StobiSerif Regular"/>
                <w:sz w:val="20"/>
                <w:szCs w:val="20"/>
                <w:lang w:val="mk-MK"/>
              </w:rPr>
            </w:pPr>
            <w:r w:rsidRPr="00232275">
              <w:rPr>
                <w:rFonts w:ascii="StobiSerif Regular" w:hAnsi="StobiSerif Regular"/>
                <w:sz w:val="20"/>
                <w:szCs w:val="20"/>
                <w:lang w:val="mk-MK"/>
              </w:rPr>
              <w:t>- ќе се обезбеди поддршка за известување кон УНФЦЦЦ и ЕУ</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4821" w:type="dxa"/>
            <w:gridSpan w:val="2"/>
            <w:vMerge w:val="restart"/>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Статус на реализација на заложба</w:t>
            </w:r>
          </w:p>
        </w:tc>
        <w:tc>
          <w:tcPr>
            <w:tcW w:w="1275"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незапочнато</w:t>
            </w:r>
          </w:p>
        </w:tc>
        <w:tc>
          <w:tcPr>
            <w:tcW w:w="1276"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ограничено</w:t>
            </w:r>
          </w:p>
        </w:tc>
        <w:tc>
          <w:tcPr>
            <w:tcW w:w="1134"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значително</w:t>
            </w:r>
          </w:p>
        </w:tc>
        <w:tc>
          <w:tcPr>
            <w:tcW w:w="1559" w:type="dxa"/>
          </w:tcPr>
          <w:p w:rsidR="008E3733" w:rsidRPr="00232275" w:rsidRDefault="008E3733" w:rsidP="008E3733">
            <w:pPr>
              <w:spacing w:after="0" w:line="240" w:lineRule="auto"/>
              <w:jc w:val="both"/>
              <w:rPr>
                <w:rFonts w:ascii="StobiSerif Regular" w:hAnsi="StobiSerif Regular" w:cs="Tahoma"/>
                <w:sz w:val="16"/>
                <w:szCs w:val="16"/>
                <w:lang w:val="mk-MK"/>
              </w:rPr>
            </w:pPr>
            <w:r w:rsidRPr="00232275">
              <w:rPr>
                <w:rFonts w:ascii="StobiSerif Regular" w:hAnsi="StobiSerif Regular" w:cs="Tahoma"/>
                <w:sz w:val="16"/>
                <w:szCs w:val="16"/>
                <w:lang w:val="mk-MK"/>
              </w:rPr>
              <w:t>завршено</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821" w:type="dxa"/>
            <w:gridSpan w:val="2"/>
            <w:vMerge/>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p>
        </w:tc>
        <w:tc>
          <w:tcPr>
            <w:tcW w:w="1275" w:type="dxa"/>
          </w:tcPr>
          <w:p w:rsidR="008E3733" w:rsidRPr="00232275" w:rsidRDefault="008E3733" w:rsidP="008E3733">
            <w:pPr>
              <w:spacing w:after="0" w:line="240" w:lineRule="auto"/>
              <w:jc w:val="both"/>
              <w:rPr>
                <w:rFonts w:ascii="StobiSerif Regular" w:hAnsi="StobiSerif Regular" w:cs="Tahoma"/>
                <w:sz w:val="16"/>
                <w:szCs w:val="16"/>
                <w:lang w:val="mk-MK"/>
              </w:rPr>
            </w:pPr>
          </w:p>
        </w:tc>
        <w:tc>
          <w:tcPr>
            <w:tcW w:w="1276"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p>
        </w:tc>
        <w:tc>
          <w:tcPr>
            <w:tcW w:w="1134" w:type="dxa"/>
            <w:shd w:val="clear" w:color="auto" w:fill="auto"/>
          </w:tcPr>
          <w:p w:rsidR="008E3733" w:rsidRPr="00232275" w:rsidRDefault="008E3733" w:rsidP="008E3733">
            <w:pPr>
              <w:spacing w:after="0" w:line="240" w:lineRule="auto"/>
              <w:jc w:val="both"/>
              <w:rPr>
                <w:rFonts w:ascii="StobiSerif Regular" w:hAnsi="StobiSerif Regular" w:cs="Tahoma"/>
                <w:sz w:val="16"/>
                <w:szCs w:val="16"/>
                <w:lang w:val="mk-MK"/>
              </w:rPr>
            </w:pPr>
          </w:p>
        </w:tc>
        <w:tc>
          <w:tcPr>
            <w:tcW w:w="1559" w:type="dxa"/>
            <w:shd w:val="clear" w:color="auto" w:fill="4472C4"/>
          </w:tcPr>
          <w:p w:rsidR="008E3733" w:rsidRPr="00232275" w:rsidRDefault="008E3733" w:rsidP="008E3733">
            <w:pPr>
              <w:spacing w:after="0" w:line="240" w:lineRule="auto"/>
              <w:jc w:val="both"/>
              <w:rPr>
                <w:rFonts w:ascii="StobiSerif Regular" w:hAnsi="StobiSerif Regular" w:cs="Tahoma"/>
                <w:sz w:val="16"/>
                <w:szCs w:val="16"/>
              </w:rPr>
            </w:pP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821" w:type="dxa"/>
            <w:gridSpan w:val="2"/>
            <w:shd w:val="clear" w:color="auto" w:fill="DBE5F1"/>
            <w:vAlign w:val="center"/>
          </w:tcPr>
          <w:p w:rsidR="008E3733" w:rsidRPr="00232275" w:rsidRDefault="008E3733" w:rsidP="008E3733">
            <w:pPr>
              <w:spacing w:after="0" w:line="240" w:lineRule="auto"/>
              <w:jc w:val="center"/>
              <w:rPr>
                <w:rFonts w:ascii="StobiSerif Regular" w:hAnsi="StobiSerif Regular" w:cs="Tahoma"/>
                <w:sz w:val="20"/>
                <w:szCs w:val="20"/>
                <w:lang w:val="mk-MK"/>
              </w:rPr>
            </w:pPr>
            <w:r w:rsidRPr="00232275">
              <w:rPr>
                <w:rFonts w:ascii="StobiSerif Regular" w:hAnsi="StobiSerif Regular" w:cs="Tahoma"/>
                <w:sz w:val="20"/>
                <w:szCs w:val="20"/>
                <w:lang w:val="mk-MK"/>
              </w:rPr>
              <w:t>Назив на достигнување</w:t>
            </w:r>
          </w:p>
        </w:tc>
        <w:tc>
          <w:tcPr>
            <w:tcW w:w="5244" w:type="dxa"/>
            <w:gridSpan w:val="4"/>
            <w:shd w:val="clear" w:color="auto" w:fill="DBE5F1"/>
          </w:tcPr>
          <w:p w:rsidR="008E3733" w:rsidRPr="00232275" w:rsidRDefault="008E3733" w:rsidP="008E3733">
            <w:pPr>
              <w:spacing w:after="0" w:line="240" w:lineRule="auto"/>
              <w:jc w:val="both"/>
              <w:rPr>
                <w:rFonts w:ascii="StobiSerif Regular" w:hAnsi="StobiSerif Regular" w:cs="Tahoma"/>
                <w:b/>
                <w:sz w:val="20"/>
                <w:szCs w:val="20"/>
                <w:lang w:val="mk-MK"/>
              </w:rPr>
            </w:pPr>
            <w:r w:rsidRPr="00232275">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8E3733" w:rsidRPr="00232275" w:rsidTr="008E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8E3733" w:rsidRPr="00232275" w:rsidRDefault="008E3733" w:rsidP="008E3733">
            <w:pPr>
              <w:spacing w:after="0" w:line="240" w:lineRule="auto"/>
              <w:jc w:val="both"/>
              <w:rPr>
                <w:rFonts w:ascii="StobiSerif Regular" w:hAnsi="StobiSerif Regular"/>
                <w:b/>
                <w:i/>
                <w:sz w:val="20"/>
                <w:szCs w:val="20"/>
                <w:lang w:val="mk-MK"/>
              </w:rPr>
            </w:pPr>
            <w:r w:rsidRPr="00232275">
              <w:rPr>
                <w:rFonts w:ascii="StobiSerif Regular" w:hAnsi="StobiSerif Regular"/>
                <w:b/>
                <w:i/>
                <w:sz w:val="20"/>
                <w:szCs w:val="20"/>
                <w:lang w:val="mk-MK"/>
              </w:rPr>
              <w:t>8.3.1. Подготовка на правилници за софтверот за мониторинг на емисиите од индустријата ЕМИ</w:t>
            </w:r>
            <w:r w:rsidRPr="00232275">
              <w:rPr>
                <w:rFonts w:ascii="StobiSerif Regular" w:hAnsi="StobiSerif Regular"/>
                <w:sz w:val="20"/>
                <w:szCs w:val="20"/>
                <w:lang w:val="mk-MK"/>
              </w:rPr>
              <w:t xml:space="preserve">- </w:t>
            </w:r>
            <w:r w:rsidRPr="00232275">
              <w:rPr>
                <w:rFonts w:ascii="StobiSerif Regular" w:hAnsi="StobiSerif Regular"/>
                <w:b/>
                <w:i/>
                <w:sz w:val="20"/>
                <w:szCs w:val="20"/>
                <w:lang w:val="mk-MK"/>
              </w:rPr>
              <w:t>Emission Monitoring from Industry sector (EMI) software upgraded</w:t>
            </w:r>
          </w:p>
        </w:tc>
        <w:tc>
          <w:tcPr>
            <w:tcW w:w="5244" w:type="dxa"/>
            <w:gridSpan w:val="4"/>
          </w:tcPr>
          <w:p w:rsidR="008E3733" w:rsidRPr="00232275" w:rsidRDefault="008E3733" w:rsidP="008E3733">
            <w:pPr>
              <w:spacing w:after="0" w:line="240" w:lineRule="auto"/>
              <w:jc w:val="both"/>
              <w:rPr>
                <w:rFonts w:ascii="StobiSerif Regular" w:hAnsi="StobiSerif Regular" w:cs="Tahoma"/>
                <w:sz w:val="20"/>
                <w:szCs w:val="20"/>
                <w:lang w:val="mk-MK"/>
              </w:rPr>
            </w:pPr>
            <w:r w:rsidRPr="00232275">
              <w:rPr>
                <w:rFonts w:ascii="StobiSerif Regular" w:hAnsi="StobiSerif Regular" w:cs="Tahoma"/>
                <w:sz w:val="20"/>
                <w:szCs w:val="20"/>
                <w:lang w:val="mk-MK"/>
              </w:rPr>
              <w:t>Нацрт верзија на правилниците е подготвена. Истите ќе бидат дел од новиот Закон за климатска акција, кој ќе започне да се подготвува наскоро. ЕМИ софтверот е поставен на сервер на министерството.</w:t>
            </w:r>
          </w:p>
        </w:tc>
      </w:tr>
    </w:tbl>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p w:rsidR="008E3733" w:rsidRPr="00232275" w:rsidRDefault="008E3733" w:rsidP="008E3733">
      <w:pPr>
        <w:spacing w:line="240" w:lineRule="auto"/>
        <w:rPr>
          <w:rFonts w:ascii="StobiSerif Regular" w:hAnsi="StobiSerif Regular"/>
          <w:sz w:val="20"/>
          <w:szCs w:val="20"/>
          <w:lang w:val="mk-MK"/>
        </w:rPr>
      </w:pPr>
    </w:p>
    <w:sectPr w:rsidR="008E3733" w:rsidRPr="00232275" w:rsidSect="00701FB0">
      <w:footerReference w:type="default" r:id="rId6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10B" w:rsidRDefault="00E6510B" w:rsidP="00B760C9">
      <w:pPr>
        <w:spacing w:after="0" w:line="240" w:lineRule="auto"/>
      </w:pPr>
      <w:r>
        <w:separator/>
      </w:r>
    </w:p>
  </w:endnote>
  <w:endnote w:type="continuationSeparator" w:id="0">
    <w:p w:rsidR="00E6510B" w:rsidRDefault="00E6510B" w:rsidP="00B7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tobiSerifPro">
    <w:altName w:val="Calibri"/>
    <w:panose1 w:val="020B0604020202020204"/>
    <w:charset w:val="00"/>
    <w:family w:val="modern"/>
    <w:notTrueType/>
    <w:pitch w:val="variable"/>
    <w:sig w:usb0="A00002AF" w:usb1="5000204B" w:usb2="00000000" w:usb3="00000000" w:csb0="0000009F" w:csb1="00000000"/>
  </w:font>
  <w:font w:name="StobiSans">
    <w:altName w:val="StobiSans Regular"/>
    <w:panose1 w:val="020B06040202020202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00000003" w:usb1="00000000" w:usb2="00000000" w:usb3="00000000" w:csb0="00000001" w:csb1="00000000"/>
  </w:font>
  <w:font w:name="StobiSerif Regular">
    <w:altName w:val="Calibri"/>
    <w:panose1 w:val="020B0604020202020204"/>
    <w:charset w:val="00"/>
    <w:family w:val="modern"/>
    <w:notTrueType/>
    <w:pitch w:val="variable"/>
    <w:sig w:usb0="A00002AF" w:usb1="5000204B" w:usb2="00000000" w:usb3="00000000" w:csb0="0000009F" w:csb1="00000000"/>
  </w:font>
  <w:font w:name="MAC C Swiss">
    <w:altName w:val="Calibri"/>
    <w:panose1 w:val="020B0604020202020204"/>
    <w:charset w:val="00"/>
    <w:family w:val="swiss"/>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QOfficinaSerif">
    <w:altName w:val="Cambria"/>
    <w:panose1 w:val="020B0604020202020204"/>
    <w:charset w:val="CC"/>
    <w:family w:val="roman"/>
    <w:notTrueType/>
    <w:pitch w:val="default"/>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20B0606020202030204"/>
    <w:charset w:val="CC"/>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924461"/>
      <w:docPartObj>
        <w:docPartGallery w:val="Page Numbers (Bottom of Page)"/>
        <w:docPartUnique/>
      </w:docPartObj>
    </w:sdtPr>
    <w:sdtEndPr>
      <w:rPr>
        <w:noProof/>
      </w:rPr>
    </w:sdtEndPr>
    <w:sdtContent>
      <w:p w:rsidR="00E92A05" w:rsidRDefault="00E92A05">
        <w:pPr>
          <w:pStyle w:val="Footer"/>
          <w:jc w:val="right"/>
        </w:pPr>
        <w:r>
          <w:fldChar w:fldCharType="begin"/>
        </w:r>
        <w:r>
          <w:instrText xml:space="preserve"> PAGE   \* MERGEFORMAT </w:instrText>
        </w:r>
        <w:r>
          <w:fldChar w:fldCharType="separate"/>
        </w:r>
        <w:r w:rsidR="007460C5">
          <w:rPr>
            <w:noProof/>
          </w:rPr>
          <w:t>85</w:t>
        </w:r>
        <w:r>
          <w:rPr>
            <w:noProof/>
          </w:rPr>
          <w:fldChar w:fldCharType="end"/>
        </w:r>
      </w:p>
    </w:sdtContent>
  </w:sdt>
  <w:p w:rsidR="00E92A05" w:rsidRDefault="00E9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10B" w:rsidRDefault="00E6510B" w:rsidP="00B760C9">
      <w:pPr>
        <w:spacing w:after="0" w:line="240" w:lineRule="auto"/>
      </w:pPr>
      <w:r>
        <w:separator/>
      </w:r>
    </w:p>
  </w:footnote>
  <w:footnote w:type="continuationSeparator" w:id="0">
    <w:p w:rsidR="00E6510B" w:rsidRDefault="00E6510B" w:rsidP="00B760C9">
      <w:pPr>
        <w:spacing w:after="0" w:line="240" w:lineRule="auto"/>
      </w:pPr>
      <w:r>
        <w:continuationSeparator/>
      </w:r>
    </w:p>
  </w:footnote>
  <w:footnote w:id="1">
    <w:p w:rsidR="00E92A05" w:rsidRPr="001B56C7" w:rsidRDefault="00E92A05" w:rsidP="001B56C7">
      <w:pPr>
        <w:pStyle w:val="FootnoteText"/>
        <w:jc w:val="both"/>
        <w:rPr>
          <w:rFonts w:ascii="StobiSerif Regular" w:hAnsi="StobiSerif Regular"/>
          <w:sz w:val="16"/>
          <w:szCs w:val="16"/>
          <w:lang w:val="mk-MK"/>
        </w:rPr>
      </w:pPr>
      <w:r w:rsidRPr="001B56C7">
        <w:rPr>
          <w:rStyle w:val="FootnoteReference"/>
          <w:rFonts w:ascii="StobiSerif Regular" w:hAnsi="StobiSerif Regular"/>
          <w:sz w:val="16"/>
          <w:szCs w:val="16"/>
        </w:rPr>
        <w:footnoteRef/>
      </w:r>
      <w:r w:rsidRPr="001B56C7">
        <w:rPr>
          <w:rFonts w:ascii="StobiSerif Regular" w:hAnsi="StobiSerif Regular"/>
          <w:sz w:val="16"/>
          <w:szCs w:val="16"/>
        </w:rPr>
        <w:t xml:space="preserve"> </w:t>
      </w:r>
      <w:r w:rsidRPr="001B56C7">
        <w:rPr>
          <w:rFonts w:ascii="StobiSerif Regular" w:hAnsi="StobiSerif Regular"/>
          <w:sz w:val="16"/>
          <w:szCs w:val="16"/>
          <w:lang w:val="mk-MK"/>
        </w:rPr>
        <w:t>Во моментот порталот не е во функција поради интеграција со друг систем.Податоците можат да се најдат на http://mioa.gov.mk/?q=mk/documents/open-government-partnership</w:t>
      </w:r>
    </w:p>
  </w:footnote>
  <w:footnote w:id="2">
    <w:p w:rsidR="00E92A05" w:rsidRPr="002D6F7C" w:rsidRDefault="00E92A05" w:rsidP="008E3733">
      <w:pPr>
        <w:pStyle w:val="FootnoteText"/>
        <w:rPr>
          <w:rFonts w:ascii="StobiSerif Regular" w:hAnsi="StobiSerif Regular" w:cs="Tahoma"/>
          <w:sz w:val="16"/>
          <w:szCs w:val="16"/>
          <w:lang w:val="mk-MK"/>
        </w:rPr>
      </w:pPr>
      <w:r w:rsidRPr="00DB7231">
        <w:rPr>
          <w:rStyle w:val="FootnoteReference"/>
          <w:rFonts w:ascii="Times New Roman" w:hAnsi="Times New Roman"/>
        </w:rPr>
        <w:footnoteRef/>
      </w:r>
      <w:r w:rsidRPr="00DB7231">
        <w:rPr>
          <w:rFonts w:ascii="Times New Roman" w:hAnsi="Times New Roman"/>
        </w:rPr>
        <w:t xml:space="preserve"> </w:t>
      </w:r>
      <w:r w:rsidRPr="00DB7231">
        <w:rPr>
          <w:rFonts w:ascii="Times New Roman" w:hAnsi="Times New Roman"/>
          <w:lang w:val="mk-MK"/>
        </w:rPr>
        <w:t xml:space="preserve">7.1.8 - </w:t>
      </w:r>
      <w:r w:rsidRPr="002D6F7C">
        <w:rPr>
          <w:rFonts w:ascii="StobiSerif Regular" w:hAnsi="StobiSerif Regular" w:cs="Tahoma"/>
          <w:sz w:val="16"/>
          <w:szCs w:val="16"/>
          <w:lang w:val="mk-MK"/>
        </w:rPr>
        <w:t>Активност за реализација – Со оглед на тоа дека проектот е завршен, во однос на реализацијата на овие обуки се надеваме да бидат реализирани откако ќе биде обезбеден донатор кој би ги финансирал истите.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5A8"/>
    <w:multiLevelType w:val="hybridMultilevel"/>
    <w:tmpl w:val="8A78C82C"/>
    <w:lvl w:ilvl="0" w:tplc="ACDE5AD4">
      <w:numFmt w:val="bullet"/>
      <w:lvlText w:val="-"/>
      <w:lvlJc w:val="left"/>
      <w:pPr>
        <w:ind w:left="185" w:hanging="360"/>
      </w:pPr>
      <w:rPr>
        <w:rFonts w:ascii="Calibri" w:eastAsia="Calibri" w:hAnsi="Calibri" w:cs="Times New Roman"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1" w15:restartNumberingAfterBreak="0">
    <w:nsid w:val="05617781"/>
    <w:multiLevelType w:val="hybridMultilevel"/>
    <w:tmpl w:val="4D2C2646"/>
    <w:lvl w:ilvl="0" w:tplc="49B64736">
      <w:start w:val="4"/>
      <w:numFmt w:val="decimal"/>
      <w:lvlText w:val="%1"/>
      <w:lvlJc w:val="left"/>
      <w:pPr>
        <w:ind w:left="720" w:hanging="360"/>
      </w:pPr>
      <w:rPr>
        <w:rFonts w:ascii="StobiSerifPro" w:hAnsi="StobiSerifPr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6D7A"/>
    <w:multiLevelType w:val="hybridMultilevel"/>
    <w:tmpl w:val="81041AE0"/>
    <w:lvl w:ilvl="0" w:tplc="CBB46A0A">
      <w:start w:val="1"/>
      <w:numFmt w:val="bullet"/>
      <w:lvlText w:val=""/>
      <w:lvlJc w:val="left"/>
      <w:pPr>
        <w:ind w:left="360" w:hanging="360"/>
      </w:pPr>
      <w:rPr>
        <w:rFonts w:ascii="Wingdings" w:hAnsi="Wingdings" w:hint="default"/>
        <w:color w:val="244061" w:themeColor="accent1" w:themeShade="8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0FD933C9"/>
    <w:multiLevelType w:val="hybridMultilevel"/>
    <w:tmpl w:val="B60EE352"/>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E662A"/>
    <w:multiLevelType w:val="hybridMultilevel"/>
    <w:tmpl w:val="53B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95F6D"/>
    <w:multiLevelType w:val="hybridMultilevel"/>
    <w:tmpl w:val="5EB6CD8E"/>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954A0"/>
    <w:multiLevelType w:val="hybridMultilevel"/>
    <w:tmpl w:val="84BC8A04"/>
    <w:lvl w:ilvl="0" w:tplc="819EFE34">
      <w:start w:val="1"/>
      <w:numFmt w:val="bullet"/>
      <w:lvlText w:val="-"/>
      <w:lvlJc w:val="left"/>
      <w:pPr>
        <w:ind w:left="185" w:hanging="360"/>
      </w:pPr>
      <w:rPr>
        <w:rFonts w:ascii="Calibri" w:eastAsia="Times New Roman" w:hAnsi="Calibri" w:cs="Times New Roman"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7" w15:restartNumberingAfterBreak="0">
    <w:nsid w:val="265F4405"/>
    <w:multiLevelType w:val="hybridMultilevel"/>
    <w:tmpl w:val="5D1427E0"/>
    <w:lvl w:ilvl="0" w:tplc="819EFE34">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BC779D"/>
    <w:multiLevelType w:val="hybridMultilevel"/>
    <w:tmpl w:val="F5D0F708"/>
    <w:lvl w:ilvl="0" w:tplc="799E204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A3D1B26"/>
    <w:multiLevelType w:val="hybridMultilevel"/>
    <w:tmpl w:val="5FBACEB0"/>
    <w:lvl w:ilvl="0" w:tplc="1708CEAE">
      <w:start w:val="1"/>
      <w:numFmt w:val="decimal"/>
      <w:lvlText w:val="%1."/>
      <w:lvlJc w:val="left"/>
      <w:pPr>
        <w:ind w:left="900" w:hanging="360"/>
      </w:pPr>
      <w:rPr>
        <w:rFonts w:ascii="StobiSerifPro" w:hAnsi="StobiSerifPro"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6345A4"/>
    <w:multiLevelType w:val="hybridMultilevel"/>
    <w:tmpl w:val="C900C03E"/>
    <w:lvl w:ilvl="0" w:tplc="ACDE5AD4">
      <w:numFmt w:val="bullet"/>
      <w:lvlText w:val="-"/>
      <w:lvlJc w:val="left"/>
      <w:pPr>
        <w:ind w:left="360" w:hanging="360"/>
      </w:pPr>
      <w:rPr>
        <w:rFonts w:ascii="Calibri" w:eastAsia="Calibri" w:hAnsi="Calibri"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31E9656D"/>
    <w:multiLevelType w:val="hybridMultilevel"/>
    <w:tmpl w:val="E824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47315"/>
    <w:multiLevelType w:val="hybridMultilevel"/>
    <w:tmpl w:val="7AACB0D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3" w15:restartNumberingAfterBreak="0">
    <w:nsid w:val="32400669"/>
    <w:multiLevelType w:val="hybridMultilevel"/>
    <w:tmpl w:val="3A66B204"/>
    <w:lvl w:ilvl="0" w:tplc="04090001">
      <w:start w:val="1"/>
      <w:numFmt w:val="bullet"/>
      <w:lvlText w:val=""/>
      <w:lvlJc w:val="left"/>
      <w:pPr>
        <w:ind w:left="176" w:hanging="360"/>
      </w:pPr>
      <w:rPr>
        <w:rFonts w:ascii="Symbol" w:hAnsi="Symbol" w:hint="default"/>
      </w:rPr>
    </w:lvl>
    <w:lvl w:ilvl="1" w:tplc="04090003" w:tentative="1">
      <w:start w:val="1"/>
      <w:numFmt w:val="bullet"/>
      <w:lvlText w:val="o"/>
      <w:lvlJc w:val="left"/>
      <w:pPr>
        <w:ind w:left="896" w:hanging="360"/>
      </w:pPr>
      <w:rPr>
        <w:rFonts w:ascii="Courier New" w:hAnsi="Courier New" w:cs="Courier New" w:hint="default"/>
      </w:rPr>
    </w:lvl>
    <w:lvl w:ilvl="2" w:tplc="04090005" w:tentative="1">
      <w:start w:val="1"/>
      <w:numFmt w:val="bullet"/>
      <w:lvlText w:val=""/>
      <w:lvlJc w:val="left"/>
      <w:pPr>
        <w:ind w:left="1616" w:hanging="360"/>
      </w:pPr>
      <w:rPr>
        <w:rFonts w:ascii="Wingdings" w:hAnsi="Wingdings" w:hint="default"/>
      </w:rPr>
    </w:lvl>
    <w:lvl w:ilvl="3" w:tplc="04090001" w:tentative="1">
      <w:start w:val="1"/>
      <w:numFmt w:val="bullet"/>
      <w:lvlText w:val=""/>
      <w:lvlJc w:val="left"/>
      <w:pPr>
        <w:ind w:left="2336" w:hanging="360"/>
      </w:pPr>
      <w:rPr>
        <w:rFonts w:ascii="Symbol" w:hAnsi="Symbol" w:hint="default"/>
      </w:rPr>
    </w:lvl>
    <w:lvl w:ilvl="4" w:tplc="04090003" w:tentative="1">
      <w:start w:val="1"/>
      <w:numFmt w:val="bullet"/>
      <w:lvlText w:val="o"/>
      <w:lvlJc w:val="left"/>
      <w:pPr>
        <w:ind w:left="3056" w:hanging="360"/>
      </w:pPr>
      <w:rPr>
        <w:rFonts w:ascii="Courier New" w:hAnsi="Courier New" w:cs="Courier New" w:hint="default"/>
      </w:rPr>
    </w:lvl>
    <w:lvl w:ilvl="5" w:tplc="04090005" w:tentative="1">
      <w:start w:val="1"/>
      <w:numFmt w:val="bullet"/>
      <w:lvlText w:val=""/>
      <w:lvlJc w:val="left"/>
      <w:pPr>
        <w:ind w:left="3776" w:hanging="360"/>
      </w:pPr>
      <w:rPr>
        <w:rFonts w:ascii="Wingdings" w:hAnsi="Wingdings" w:hint="default"/>
      </w:rPr>
    </w:lvl>
    <w:lvl w:ilvl="6" w:tplc="04090001" w:tentative="1">
      <w:start w:val="1"/>
      <w:numFmt w:val="bullet"/>
      <w:lvlText w:val=""/>
      <w:lvlJc w:val="left"/>
      <w:pPr>
        <w:ind w:left="4496" w:hanging="360"/>
      </w:pPr>
      <w:rPr>
        <w:rFonts w:ascii="Symbol" w:hAnsi="Symbol" w:hint="default"/>
      </w:rPr>
    </w:lvl>
    <w:lvl w:ilvl="7" w:tplc="04090003" w:tentative="1">
      <w:start w:val="1"/>
      <w:numFmt w:val="bullet"/>
      <w:lvlText w:val="o"/>
      <w:lvlJc w:val="left"/>
      <w:pPr>
        <w:ind w:left="5216" w:hanging="360"/>
      </w:pPr>
      <w:rPr>
        <w:rFonts w:ascii="Courier New" w:hAnsi="Courier New" w:cs="Courier New" w:hint="default"/>
      </w:rPr>
    </w:lvl>
    <w:lvl w:ilvl="8" w:tplc="04090005" w:tentative="1">
      <w:start w:val="1"/>
      <w:numFmt w:val="bullet"/>
      <w:lvlText w:val=""/>
      <w:lvlJc w:val="left"/>
      <w:pPr>
        <w:ind w:left="5936" w:hanging="360"/>
      </w:pPr>
      <w:rPr>
        <w:rFonts w:ascii="Wingdings" w:hAnsi="Wingdings" w:hint="default"/>
      </w:rPr>
    </w:lvl>
  </w:abstractNum>
  <w:abstractNum w:abstractNumId="14" w15:restartNumberingAfterBreak="0">
    <w:nsid w:val="36A938D6"/>
    <w:multiLevelType w:val="hybridMultilevel"/>
    <w:tmpl w:val="2DA8D642"/>
    <w:lvl w:ilvl="0" w:tplc="99E697CC">
      <w:numFmt w:val="bullet"/>
      <w:lvlText w:val="-"/>
      <w:lvlJc w:val="left"/>
      <w:pPr>
        <w:ind w:left="1440" w:hanging="360"/>
      </w:pPr>
      <w:rPr>
        <w:rFonts w:ascii="StobiSans" w:eastAsia="Times New Roman" w:hAnsi="StobiSans" w:cs="Tahoma"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74C2089"/>
    <w:multiLevelType w:val="hybridMultilevel"/>
    <w:tmpl w:val="DE6C92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2C19D8"/>
    <w:multiLevelType w:val="hybridMultilevel"/>
    <w:tmpl w:val="EFC86330"/>
    <w:lvl w:ilvl="0" w:tplc="8E0CCAD8">
      <w:start w:val="1"/>
      <w:numFmt w:val="decimal"/>
      <w:lvlText w:val="%1."/>
      <w:lvlJc w:val="left"/>
      <w:pPr>
        <w:ind w:left="900" w:hanging="360"/>
      </w:pPr>
      <w:rPr>
        <w:rFonts w:ascii="StobiSerifPro" w:hAnsi="StobiSerifPro"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C6375A"/>
    <w:multiLevelType w:val="hybridMultilevel"/>
    <w:tmpl w:val="5CA6C80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8" w15:restartNumberingAfterBreak="0">
    <w:nsid w:val="46851675"/>
    <w:multiLevelType w:val="hybridMultilevel"/>
    <w:tmpl w:val="E68C4D8A"/>
    <w:lvl w:ilvl="0" w:tplc="6930B066">
      <w:numFmt w:val="bullet"/>
      <w:lvlText w:val="-"/>
      <w:lvlJc w:val="left"/>
      <w:pPr>
        <w:ind w:left="720" w:hanging="360"/>
      </w:pPr>
      <w:rPr>
        <w:rFonts w:ascii="StobiSerifPro" w:eastAsiaTheme="minorHAnsi" w:hAnsi="StobiSerifPro"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F2D14"/>
    <w:multiLevelType w:val="hybridMultilevel"/>
    <w:tmpl w:val="162E2CAC"/>
    <w:lvl w:ilvl="0" w:tplc="77D8115A">
      <w:numFmt w:val="bullet"/>
      <w:lvlText w:val="•"/>
      <w:lvlJc w:val="left"/>
      <w:pPr>
        <w:ind w:left="1080" w:hanging="72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27092"/>
    <w:multiLevelType w:val="hybridMultilevel"/>
    <w:tmpl w:val="20664E1A"/>
    <w:lvl w:ilvl="0" w:tplc="93A827E0">
      <w:start w:val="6"/>
      <w:numFmt w:val="bullet"/>
      <w:lvlText w:val="-"/>
      <w:lvlJc w:val="left"/>
      <w:pPr>
        <w:ind w:left="219" w:hanging="360"/>
      </w:pPr>
      <w:rPr>
        <w:rFonts w:ascii="StobiSerifPro" w:eastAsia="Times New Roman" w:hAnsi="StobiSerifPro" w:cs="Times New Roman" w:hint="default"/>
      </w:rPr>
    </w:lvl>
    <w:lvl w:ilvl="1" w:tplc="08090003">
      <w:start w:val="1"/>
      <w:numFmt w:val="bullet"/>
      <w:lvlText w:val="o"/>
      <w:lvlJc w:val="left"/>
      <w:pPr>
        <w:ind w:left="939" w:hanging="360"/>
      </w:pPr>
      <w:rPr>
        <w:rFonts w:ascii="Courier New" w:hAnsi="Courier New" w:cs="Courier New" w:hint="default"/>
      </w:rPr>
    </w:lvl>
    <w:lvl w:ilvl="2" w:tplc="08090005">
      <w:start w:val="1"/>
      <w:numFmt w:val="bullet"/>
      <w:lvlText w:val=""/>
      <w:lvlJc w:val="left"/>
      <w:pPr>
        <w:ind w:left="1659" w:hanging="360"/>
      </w:pPr>
      <w:rPr>
        <w:rFonts w:ascii="Wingdings" w:hAnsi="Wingdings" w:hint="default"/>
      </w:rPr>
    </w:lvl>
    <w:lvl w:ilvl="3" w:tplc="08090001">
      <w:start w:val="1"/>
      <w:numFmt w:val="bullet"/>
      <w:lvlText w:val=""/>
      <w:lvlJc w:val="left"/>
      <w:pPr>
        <w:ind w:left="2379" w:hanging="360"/>
      </w:pPr>
      <w:rPr>
        <w:rFonts w:ascii="Symbol" w:hAnsi="Symbol" w:hint="default"/>
      </w:rPr>
    </w:lvl>
    <w:lvl w:ilvl="4" w:tplc="08090003">
      <w:start w:val="1"/>
      <w:numFmt w:val="bullet"/>
      <w:lvlText w:val="o"/>
      <w:lvlJc w:val="left"/>
      <w:pPr>
        <w:ind w:left="3099" w:hanging="360"/>
      </w:pPr>
      <w:rPr>
        <w:rFonts w:ascii="Courier New" w:hAnsi="Courier New" w:cs="Courier New" w:hint="default"/>
      </w:rPr>
    </w:lvl>
    <w:lvl w:ilvl="5" w:tplc="08090005">
      <w:start w:val="1"/>
      <w:numFmt w:val="bullet"/>
      <w:lvlText w:val=""/>
      <w:lvlJc w:val="left"/>
      <w:pPr>
        <w:ind w:left="3819" w:hanging="360"/>
      </w:pPr>
      <w:rPr>
        <w:rFonts w:ascii="Wingdings" w:hAnsi="Wingdings" w:hint="default"/>
      </w:rPr>
    </w:lvl>
    <w:lvl w:ilvl="6" w:tplc="08090001">
      <w:start w:val="1"/>
      <w:numFmt w:val="bullet"/>
      <w:lvlText w:val=""/>
      <w:lvlJc w:val="left"/>
      <w:pPr>
        <w:ind w:left="4539" w:hanging="360"/>
      </w:pPr>
      <w:rPr>
        <w:rFonts w:ascii="Symbol" w:hAnsi="Symbol" w:hint="default"/>
      </w:rPr>
    </w:lvl>
    <w:lvl w:ilvl="7" w:tplc="08090003">
      <w:start w:val="1"/>
      <w:numFmt w:val="bullet"/>
      <w:lvlText w:val="o"/>
      <w:lvlJc w:val="left"/>
      <w:pPr>
        <w:ind w:left="5259" w:hanging="360"/>
      </w:pPr>
      <w:rPr>
        <w:rFonts w:ascii="Courier New" w:hAnsi="Courier New" w:cs="Courier New" w:hint="default"/>
      </w:rPr>
    </w:lvl>
    <w:lvl w:ilvl="8" w:tplc="08090005">
      <w:start w:val="1"/>
      <w:numFmt w:val="bullet"/>
      <w:lvlText w:val=""/>
      <w:lvlJc w:val="left"/>
      <w:pPr>
        <w:ind w:left="5979" w:hanging="360"/>
      </w:pPr>
      <w:rPr>
        <w:rFonts w:ascii="Wingdings" w:hAnsi="Wingdings" w:hint="default"/>
      </w:rPr>
    </w:lvl>
  </w:abstractNum>
  <w:abstractNum w:abstractNumId="21" w15:restartNumberingAfterBreak="0">
    <w:nsid w:val="4E6673FA"/>
    <w:multiLevelType w:val="hybridMultilevel"/>
    <w:tmpl w:val="4BE61C68"/>
    <w:lvl w:ilvl="0" w:tplc="85B4C970">
      <w:numFmt w:val="bullet"/>
      <w:lvlText w:val="-"/>
      <w:lvlJc w:val="left"/>
      <w:pPr>
        <w:ind w:left="720" w:hanging="360"/>
      </w:pPr>
      <w:rPr>
        <w:rFonts w:ascii="StobiSerifPro" w:eastAsia="Times New Roman" w:hAnsi="StobiSerifPro" w:cs="Times New Roman" w:hint="default"/>
        <w:color w:val="FF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50551CBB"/>
    <w:multiLevelType w:val="hybridMultilevel"/>
    <w:tmpl w:val="BE0A3A22"/>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75620"/>
    <w:multiLevelType w:val="hybridMultilevel"/>
    <w:tmpl w:val="BE42731E"/>
    <w:lvl w:ilvl="0" w:tplc="09009EEC">
      <w:start w:val="1"/>
      <w:numFmt w:val="bullet"/>
      <w:lvlText w:val=""/>
      <w:lvlJc w:val="left"/>
      <w:pPr>
        <w:ind w:left="720" w:hanging="360"/>
      </w:pPr>
      <w:rPr>
        <w:rFonts w:ascii="Symbol" w:hAnsi="Symbol" w:hint="default"/>
        <w:sz w:val="1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5A14692C"/>
    <w:multiLevelType w:val="hybridMultilevel"/>
    <w:tmpl w:val="D6D0A64C"/>
    <w:lvl w:ilvl="0" w:tplc="5F3291DC">
      <w:numFmt w:val="bullet"/>
      <w:lvlText w:val="-"/>
      <w:lvlJc w:val="left"/>
      <w:pPr>
        <w:ind w:left="360" w:hanging="360"/>
      </w:pPr>
      <w:rPr>
        <w:rFonts w:ascii="StobiSerif Regular" w:eastAsiaTheme="minorHAnsi" w:hAnsi="StobiSerif Regular"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F73C78"/>
    <w:multiLevelType w:val="hybridMultilevel"/>
    <w:tmpl w:val="C3622190"/>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C315A7"/>
    <w:multiLevelType w:val="hybridMultilevel"/>
    <w:tmpl w:val="810897DA"/>
    <w:lvl w:ilvl="0" w:tplc="9EB62A7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40A16D8"/>
    <w:multiLevelType w:val="hybridMultilevel"/>
    <w:tmpl w:val="5EBE270C"/>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8" w15:restartNumberingAfterBreak="0">
    <w:nsid w:val="67E214C6"/>
    <w:multiLevelType w:val="hybridMultilevel"/>
    <w:tmpl w:val="BEE2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54048"/>
    <w:multiLevelType w:val="hybridMultilevel"/>
    <w:tmpl w:val="7D6E5FEA"/>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AD2508"/>
    <w:multiLevelType w:val="hybridMultilevel"/>
    <w:tmpl w:val="D9E8272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1" w15:restartNumberingAfterBreak="0">
    <w:nsid w:val="6EF61984"/>
    <w:multiLevelType w:val="hybridMultilevel"/>
    <w:tmpl w:val="3C2E030C"/>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193C2E"/>
    <w:multiLevelType w:val="hybridMultilevel"/>
    <w:tmpl w:val="C714DDB2"/>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5E69D6"/>
    <w:multiLevelType w:val="hybridMultilevel"/>
    <w:tmpl w:val="C33EB280"/>
    <w:lvl w:ilvl="0" w:tplc="3CB8E2C8">
      <w:numFmt w:val="bullet"/>
      <w:lvlText w:val="-"/>
      <w:lvlJc w:val="left"/>
      <w:pPr>
        <w:ind w:left="720" w:hanging="360"/>
      </w:pPr>
      <w:rPr>
        <w:rFonts w:ascii="StobiSerifPro" w:eastAsia="Times New Roman" w:hAnsi="StobiSerifPro" w:cs="Times New Roman"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D0191"/>
    <w:multiLevelType w:val="hybridMultilevel"/>
    <w:tmpl w:val="2946D02C"/>
    <w:lvl w:ilvl="0" w:tplc="819EFE34">
      <w:start w:val="1"/>
      <w:numFmt w:val="bullet"/>
      <w:lvlText w:val="-"/>
      <w:lvlJc w:val="left"/>
      <w:pPr>
        <w:ind w:left="182" w:hanging="360"/>
      </w:pPr>
      <w:rPr>
        <w:rFonts w:ascii="Calibri" w:eastAsia="Times New Roman" w:hAnsi="Calibri" w:cs="Times New Roman" w:hint="default"/>
      </w:rPr>
    </w:lvl>
    <w:lvl w:ilvl="1" w:tplc="04090003" w:tentative="1">
      <w:start w:val="1"/>
      <w:numFmt w:val="bullet"/>
      <w:lvlText w:val="o"/>
      <w:lvlJc w:val="left"/>
      <w:pPr>
        <w:ind w:left="902" w:hanging="360"/>
      </w:pPr>
      <w:rPr>
        <w:rFonts w:ascii="Courier New" w:hAnsi="Courier New" w:cs="Courier New" w:hint="default"/>
      </w:rPr>
    </w:lvl>
    <w:lvl w:ilvl="2" w:tplc="04090005" w:tentative="1">
      <w:start w:val="1"/>
      <w:numFmt w:val="bullet"/>
      <w:lvlText w:val=""/>
      <w:lvlJc w:val="left"/>
      <w:pPr>
        <w:ind w:left="1622" w:hanging="360"/>
      </w:pPr>
      <w:rPr>
        <w:rFonts w:ascii="Wingdings" w:hAnsi="Wingdings" w:hint="default"/>
      </w:rPr>
    </w:lvl>
    <w:lvl w:ilvl="3" w:tplc="04090001" w:tentative="1">
      <w:start w:val="1"/>
      <w:numFmt w:val="bullet"/>
      <w:lvlText w:val=""/>
      <w:lvlJc w:val="left"/>
      <w:pPr>
        <w:ind w:left="2342" w:hanging="360"/>
      </w:pPr>
      <w:rPr>
        <w:rFonts w:ascii="Symbol" w:hAnsi="Symbol" w:hint="default"/>
      </w:rPr>
    </w:lvl>
    <w:lvl w:ilvl="4" w:tplc="04090003" w:tentative="1">
      <w:start w:val="1"/>
      <w:numFmt w:val="bullet"/>
      <w:lvlText w:val="o"/>
      <w:lvlJc w:val="left"/>
      <w:pPr>
        <w:ind w:left="3062" w:hanging="360"/>
      </w:pPr>
      <w:rPr>
        <w:rFonts w:ascii="Courier New" w:hAnsi="Courier New" w:cs="Courier New" w:hint="default"/>
      </w:rPr>
    </w:lvl>
    <w:lvl w:ilvl="5" w:tplc="04090005" w:tentative="1">
      <w:start w:val="1"/>
      <w:numFmt w:val="bullet"/>
      <w:lvlText w:val=""/>
      <w:lvlJc w:val="left"/>
      <w:pPr>
        <w:ind w:left="3782" w:hanging="360"/>
      </w:pPr>
      <w:rPr>
        <w:rFonts w:ascii="Wingdings" w:hAnsi="Wingdings" w:hint="default"/>
      </w:rPr>
    </w:lvl>
    <w:lvl w:ilvl="6" w:tplc="04090001" w:tentative="1">
      <w:start w:val="1"/>
      <w:numFmt w:val="bullet"/>
      <w:lvlText w:val=""/>
      <w:lvlJc w:val="left"/>
      <w:pPr>
        <w:ind w:left="4502" w:hanging="360"/>
      </w:pPr>
      <w:rPr>
        <w:rFonts w:ascii="Symbol" w:hAnsi="Symbol" w:hint="default"/>
      </w:rPr>
    </w:lvl>
    <w:lvl w:ilvl="7" w:tplc="04090003" w:tentative="1">
      <w:start w:val="1"/>
      <w:numFmt w:val="bullet"/>
      <w:lvlText w:val="o"/>
      <w:lvlJc w:val="left"/>
      <w:pPr>
        <w:ind w:left="5222" w:hanging="360"/>
      </w:pPr>
      <w:rPr>
        <w:rFonts w:ascii="Courier New" w:hAnsi="Courier New" w:cs="Courier New" w:hint="default"/>
      </w:rPr>
    </w:lvl>
    <w:lvl w:ilvl="8" w:tplc="04090005" w:tentative="1">
      <w:start w:val="1"/>
      <w:numFmt w:val="bullet"/>
      <w:lvlText w:val=""/>
      <w:lvlJc w:val="left"/>
      <w:pPr>
        <w:ind w:left="5942" w:hanging="360"/>
      </w:pPr>
      <w:rPr>
        <w:rFonts w:ascii="Wingdings" w:hAnsi="Wingdings" w:hint="default"/>
      </w:rPr>
    </w:lvl>
  </w:abstractNum>
  <w:abstractNum w:abstractNumId="35" w15:restartNumberingAfterBreak="0">
    <w:nsid w:val="7AC66403"/>
    <w:multiLevelType w:val="hybridMultilevel"/>
    <w:tmpl w:val="C36ED8BC"/>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6" w15:restartNumberingAfterBreak="0">
    <w:nsid w:val="7DDA6A38"/>
    <w:multiLevelType w:val="hybridMultilevel"/>
    <w:tmpl w:val="9AA42848"/>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6"/>
  </w:num>
  <w:num w:numId="3">
    <w:abstractNumId w:val="6"/>
  </w:num>
  <w:num w:numId="4">
    <w:abstractNumId w:val="17"/>
  </w:num>
  <w:num w:numId="5">
    <w:abstractNumId w:val="12"/>
  </w:num>
  <w:num w:numId="6">
    <w:abstractNumId w:val="18"/>
  </w:num>
  <w:num w:numId="7">
    <w:abstractNumId w:val="3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9"/>
  </w:num>
  <w:num w:numId="12">
    <w:abstractNumId w:val="22"/>
  </w:num>
  <w:num w:numId="13">
    <w:abstractNumId w:val="11"/>
  </w:num>
  <w:num w:numId="14">
    <w:abstractNumId w:val="7"/>
  </w:num>
  <w:num w:numId="15">
    <w:abstractNumId w:val="34"/>
  </w:num>
  <w:num w:numId="16">
    <w:abstractNumId w:val="25"/>
  </w:num>
  <w:num w:numId="17">
    <w:abstractNumId w:val="3"/>
  </w:num>
  <w:num w:numId="18">
    <w:abstractNumId w:val="2"/>
  </w:num>
  <w:num w:numId="19">
    <w:abstractNumId w:val="36"/>
  </w:num>
  <w:num w:numId="20">
    <w:abstractNumId w:val="20"/>
  </w:num>
  <w:num w:numId="21">
    <w:abstractNumId w:val="31"/>
  </w:num>
  <w:num w:numId="22">
    <w:abstractNumId w:val="4"/>
  </w:num>
  <w:num w:numId="23">
    <w:abstractNumId w:val="9"/>
  </w:num>
  <w:num w:numId="24">
    <w:abstractNumId w:val="27"/>
  </w:num>
  <w:num w:numId="25">
    <w:abstractNumId w:val="17"/>
  </w:num>
  <w:num w:numId="26">
    <w:abstractNumId w:val="1"/>
  </w:num>
  <w:num w:numId="27">
    <w:abstractNumId w:val="5"/>
  </w:num>
  <w:num w:numId="28">
    <w:abstractNumId w:val="0"/>
  </w:num>
  <w:num w:numId="29">
    <w:abstractNumId w:val="10"/>
  </w:num>
  <w:num w:numId="30">
    <w:abstractNumId w:val="13"/>
  </w:num>
  <w:num w:numId="31">
    <w:abstractNumId w:val="32"/>
  </w:num>
  <w:num w:numId="32">
    <w:abstractNumId w:val="19"/>
  </w:num>
  <w:num w:numId="33">
    <w:abstractNumId w:val="23"/>
  </w:num>
  <w:num w:numId="34">
    <w:abstractNumId w:val="30"/>
  </w:num>
  <w:num w:numId="35">
    <w:abstractNumId w:val="21"/>
  </w:num>
  <w:num w:numId="36">
    <w:abstractNumId w:val="14"/>
  </w:num>
  <w:num w:numId="37">
    <w:abstractNumId w:val="28"/>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E9"/>
    <w:rsid w:val="00004F7C"/>
    <w:rsid w:val="0001088C"/>
    <w:rsid w:val="00015659"/>
    <w:rsid w:val="0001684E"/>
    <w:rsid w:val="00016E6A"/>
    <w:rsid w:val="00025697"/>
    <w:rsid w:val="00026784"/>
    <w:rsid w:val="00040A3E"/>
    <w:rsid w:val="00041095"/>
    <w:rsid w:val="000543FD"/>
    <w:rsid w:val="000566FE"/>
    <w:rsid w:val="00060AE6"/>
    <w:rsid w:val="000940EC"/>
    <w:rsid w:val="00097796"/>
    <w:rsid w:val="000B3EF4"/>
    <w:rsid w:val="000C0ED6"/>
    <w:rsid w:val="000C699B"/>
    <w:rsid w:val="000C6DF5"/>
    <w:rsid w:val="000D0E7C"/>
    <w:rsid w:val="00114745"/>
    <w:rsid w:val="0011548E"/>
    <w:rsid w:val="00117AB5"/>
    <w:rsid w:val="00127117"/>
    <w:rsid w:val="001305D8"/>
    <w:rsid w:val="00132528"/>
    <w:rsid w:val="0013576A"/>
    <w:rsid w:val="00136E36"/>
    <w:rsid w:val="0014202B"/>
    <w:rsid w:val="001432C6"/>
    <w:rsid w:val="001559B1"/>
    <w:rsid w:val="00166430"/>
    <w:rsid w:val="00167998"/>
    <w:rsid w:val="0017014A"/>
    <w:rsid w:val="001923BE"/>
    <w:rsid w:val="00193AE2"/>
    <w:rsid w:val="00197CB9"/>
    <w:rsid w:val="001A4C56"/>
    <w:rsid w:val="001A6923"/>
    <w:rsid w:val="001B56C7"/>
    <w:rsid w:val="001C304E"/>
    <w:rsid w:val="001D1CBB"/>
    <w:rsid w:val="001F0463"/>
    <w:rsid w:val="001F30D3"/>
    <w:rsid w:val="001F5DB5"/>
    <w:rsid w:val="001F618F"/>
    <w:rsid w:val="002157D1"/>
    <w:rsid w:val="00217DC8"/>
    <w:rsid w:val="00231C47"/>
    <w:rsid w:val="00232275"/>
    <w:rsid w:val="00232A70"/>
    <w:rsid w:val="00232EA6"/>
    <w:rsid w:val="00234EC0"/>
    <w:rsid w:val="00237FBA"/>
    <w:rsid w:val="002438D0"/>
    <w:rsid w:val="002460F8"/>
    <w:rsid w:val="002462D4"/>
    <w:rsid w:val="0024746F"/>
    <w:rsid w:val="002610CC"/>
    <w:rsid w:val="0026203F"/>
    <w:rsid w:val="00262E18"/>
    <w:rsid w:val="00263FB2"/>
    <w:rsid w:val="00273DD4"/>
    <w:rsid w:val="00294A78"/>
    <w:rsid w:val="002A74A1"/>
    <w:rsid w:val="002C3653"/>
    <w:rsid w:val="002C4341"/>
    <w:rsid w:val="002C6BE6"/>
    <w:rsid w:val="002C7E80"/>
    <w:rsid w:val="002D27D6"/>
    <w:rsid w:val="002D6F7C"/>
    <w:rsid w:val="002D7C3F"/>
    <w:rsid w:val="002E110D"/>
    <w:rsid w:val="002E2DEC"/>
    <w:rsid w:val="002F2B89"/>
    <w:rsid w:val="003006B5"/>
    <w:rsid w:val="0030355D"/>
    <w:rsid w:val="00304B87"/>
    <w:rsid w:val="00305B78"/>
    <w:rsid w:val="0030658E"/>
    <w:rsid w:val="00326D83"/>
    <w:rsid w:val="00332549"/>
    <w:rsid w:val="00333853"/>
    <w:rsid w:val="00333A9D"/>
    <w:rsid w:val="00351691"/>
    <w:rsid w:val="00364074"/>
    <w:rsid w:val="00366950"/>
    <w:rsid w:val="0037298C"/>
    <w:rsid w:val="00383119"/>
    <w:rsid w:val="00386A09"/>
    <w:rsid w:val="003924E4"/>
    <w:rsid w:val="003946AC"/>
    <w:rsid w:val="003A672A"/>
    <w:rsid w:val="003B00E7"/>
    <w:rsid w:val="003D4892"/>
    <w:rsid w:val="003E3223"/>
    <w:rsid w:val="003E44D1"/>
    <w:rsid w:val="003E78F5"/>
    <w:rsid w:val="0040221F"/>
    <w:rsid w:val="00411AD4"/>
    <w:rsid w:val="00413463"/>
    <w:rsid w:val="0041365E"/>
    <w:rsid w:val="00424002"/>
    <w:rsid w:val="0044458B"/>
    <w:rsid w:val="00454EBE"/>
    <w:rsid w:val="004606F7"/>
    <w:rsid w:val="00472003"/>
    <w:rsid w:val="004752C8"/>
    <w:rsid w:val="0049380A"/>
    <w:rsid w:val="00495C4F"/>
    <w:rsid w:val="004A693E"/>
    <w:rsid w:val="004A7327"/>
    <w:rsid w:val="004B05CA"/>
    <w:rsid w:val="004B367E"/>
    <w:rsid w:val="004C791E"/>
    <w:rsid w:val="004D7FC2"/>
    <w:rsid w:val="004E0051"/>
    <w:rsid w:val="004E7000"/>
    <w:rsid w:val="00505E6A"/>
    <w:rsid w:val="005127A1"/>
    <w:rsid w:val="00524D28"/>
    <w:rsid w:val="0053209E"/>
    <w:rsid w:val="0054080C"/>
    <w:rsid w:val="00547B69"/>
    <w:rsid w:val="005525CE"/>
    <w:rsid w:val="00554F13"/>
    <w:rsid w:val="00571A0C"/>
    <w:rsid w:val="005725C2"/>
    <w:rsid w:val="00582151"/>
    <w:rsid w:val="005855DD"/>
    <w:rsid w:val="00593D08"/>
    <w:rsid w:val="0059549B"/>
    <w:rsid w:val="00596C20"/>
    <w:rsid w:val="00597A36"/>
    <w:rsid w:val="00597DDD"/>
    <w:rsid w:val="005A4AC5"/>
    <w:rsid w:val="005B3300"/>
    <w:rsid w:val="005B5B7D"/>
    <w:rsid w:val="005B6D55"/>
    <w:rsid w:val="005C22F5"/>
    <w:rsid w:val="005E13F8"/>
    <w:rsid w:val="005E2A2E"/>
    <w:rsid w:val="005E40AF"/>
    <w:rsid w:val="005F5C11"/>
    <w:rsid w:val="00601A78"/>
    <w:rsid w:val="00613D3C"/>
    <w:rsid w:val="00616659"/>
    <w:rsid w:val="00620C60"/>
    <w:rsid w:val="00621D5C"/>
    <w:rsid w:val="00627012"/>
    <w:rsid w:val="0063183E"/>
    <w:rsid w:val="00634DBE"/>
    <w:rsid w:val="00677FFE"/>
    <w:rsid w:val="00680165"/>
    <w:rsid w:val="00685D87"/>
    <w:rsid w:val="00693366"/>
    <w:rsid w:val="006A7116"/>
    <w:rsid w:val="006A742E"/>
    <w:rsid w:val="006D313F"/>
    <w:rsid w:val="006D7C87"/>
    <w:rsid w:val="006E1E77"/>
    <w:rsid w:val="00701FB0"/>
    <w:rsid w:val="00702E94"/>
    <w:rsid w:val="0070420D"/>
    <w:rsid w:val="00704F14"/>
    <w:rsid w:val="00705B8F"/>
    <w:rsid w:val="00707619"/>
    <w:rsid w:val="00712E2F"/>
    <w:rsid w:val="00715559"/>
    <w:rsid w:val="00723EC6"/>
    <w:rsid w:val="007323AE"/>
    <w:rsid w:val="007460C5"/>
    <w:rsid w:val="00761CDD"/>
    <w:rsid w:val="00771DB4"/>
    <w:rsid w:val="00773BC8"/>
    <w:rsid w:val="00780F6F"/>
    <w:rsid w:val="0079024F"/>
    <w:rsid w:val="007936DC"/>
    <w:rsid w:val="007969AD"/>
    <w:rsid w:val="007A5B67"/>
    <w:rsid w:val="007B18FF"/>
    <w:rsid w:val="007B23A9"/>
    <w:rsid w:val="007C29C1"/>
    <w:rsid w:val="007C7B04"/>
    <w:rsid w:val="007D5998"/>
    <w:rsid w:val="007D5DF7"/>
    <w:rsid w:val="007E34DD"/>
    <w:rsid w:val="007F3438"/>
    <w:rsid w:val="008034FD"/>
    <w:rsid w:val="00807F18"/>
    <w:rsid w:val="00830C44"/>
    <w:rsid w:val="00832F4A"/>
    <w:rsid w:val="00833255"/>
    <w:rsid w:val="00833289"/>
    <w:rsid w:val="00835705"/>
    <w:rsid w:val="0083709D"/>
    <w:rsid w:val="008377BD"/>
    <w:rsid w:val="00856C98"/>
    <w:rsid w:val="00860CCC"/>
    <w:rsid w:val="00867D89"/>
    <w:rsid w:val="008700E3"/>
    <w:rsid w:val="008963B1"/>
    <w:rsid w:val="0089647C"/>
    <w:rsid w:val="00896840"/>
    <w:rsid w:val="008A07E5"/>
    <w:rsid w:val="008A3D60"/>
    <w:rsid w:val="008A5DB8"/>
    <w:rsid w:val="008A608D"/>
    <w:rsid w:val="008B5604"/>
    <w:rsid w:val="008B64C3"/>
    <w:rsid w:val="008C61F6"/>
    <w:rsid w:val="008D1055"/>
    <w:rsid w:val="008E3447"/>
    <w:rsid w:val="008E3733"/>
    <w:rsid w:val="008E3FC7"/>
    <w:rsid w:val="008E6C13"/>
    <w:rsid w:val="008E7AE9"/>
    <w:rsid w:val="009041DA"/>
    <w:rsid w:val="00914716"/>
    <w:rsid w:val="009255E2"/>
    <w:rsid w:val="009330D0"/>
    <w:rsid w:val="00933729"/>
    <w:rsid w:val="009352DB"/>
    <w:rsid w:val="00940449"/>
    <w:rsid w:val="00967AC0"/>
    <w:rsid w:val="00980882"/>
    <w:rsid w:val="00991062"/>
    <w:rsid w:val="00993DE9"/>
    <w:rsid w:val="009A1D96"/>
    <w:rsid w:val="009B1E9A"/>
    <w:rsid w:val="009B3DAA"/>
    <w:rsid w:val="009B7D6B"/>
    <w:rsid w:val="009C7F8F"/>
    <w:rsid w:val="009D34DA"/>
    <w:rsid w:val="009E3A7A"/>
    <w:rsid w:val="009F332B"/>
    <w:rsid w:val="00A01169"/>
    <w:rsid w:val="00A0174A"/>
    <w:rsid w:val="00A048E5"/>
    <w:rsid w:val="00A06733"/>
    <w:rsid w:val="00A10981"/>
    <w:rsid w:val="00A23756"/>
    <w:rsid w:val="00A3239D"/>
    <w:rsid w:val="00A32D3B"/>
    <w:rsid w:val="00A44AB4"/>
    <w:rsid w:val="00A52D6F"/>
    <w:rsid w:val="00A5318B"/>
    <w:rsid w:val="00A53F2C"/>
    <w:rsid w:val="00A576AA"/>
    <w:rsid w:val="00A60808"/>
    <w:rsid w:val="00A7083F"/>
    <w:rsid w:val="00A75126"/>
    <w:rsid w:val="00A8381C"/>
    <w:rsid w:val="00A901B5"/>
    <w:rsid w:val="00A92CEA"/>
    <w:rsid w:val="00AA6218"/>
    <w:rsid w:val="00AA6BA7"/>
    <w:rsid w:val="00AA7F17"/>
    <w:rsid w:val="00AB0714"/>
    <w:rsid w:val="00AB56B2"/>
    <w:rsid w:val="00AC12CA"/>
    <w:rsid w:val="00AC476D"/>
    <w:rsid w:val="00AD4428"/>
    <w:rsid w:val="00AE5F56"/>
    <w:rsid w:val="00AF2C59"/>
    <w:rsid w:val="00AF43B8"/>
    <w:rsid w:val="00AF62C9"/>
    <w:rsid w:val="00B02C78"/>
    <w:rsid w:val="00B0665D"/>
    <w:rsid w:val="00B06E2A"/>
    <w:rsid w:val="00B26EFC"/>
    <w:rsid w:val="00B33759"/>
    <w:rsid w:val="00B408AB"/>
    <w:rsid w:val="00B52698"/>
    <w:rsid w:val="00B63E12"/>
    <w:rsid w:val="00B71E3E"/>
    <w:rsid w:val="00B760C9"/>
    <w:rsid w:val="00B80BC1"/>
    <w:rsid w:val="00B86074"/>
    <w:rsid w:val="00B86478"/>
    <w:rsid w:val="00B92708"/>
    <w:rsid w:val="00B92BCF"/>
    <w:rsid w:val="00B9460E"/>
    <w:rsid w:val="00BA0FCA"/>
    <w:rsid w:val="00BA2CBB"/>
    <w:rsid w:val="00BA49B9"/>
    <w:rsid w:val="00BC0378"/>
    <w:rsid w:val="00BC15FC"/>
    <w:rsid w:val="00BC4980"/>
    <w:rsid w:val="00BE7BB8"/>
    <w:rsid w:val="00BF555A"/>
    <w:rsid w:val="00BF6695"/>
    <w:rsid w:val="00C01311"/>
    <w:rsid w:val="00C04AEE"/>
    <w:rsid w:val="00C05E89"/>
    <w:rsid w:val="00C11A98"/>
    <w:rsid w:val="00C424D9"/>
    <w:rsid w:val="00C52206"/>
    <w:rsid w:val="00C551D6"/>
    <w:rsid w:val="00C5554A"/>
    <w:rsid w:val="00C568AC"/>
    <w:rsid w:val="00C72CE9"/>
    <w:rsid w:val="00C74231"/>
    <w:rsid w:val="00C948CD"/>
    <w:rsid w:val="00C96F76"/>
    <w:rsid w:val="00CA0059"/>
    <w:rsid w:val="00CA5475"/>
    <w:rsid w:val="00CA5DD6"/>
    <w:rsid w:val="00CA6F85"/>
    <w:rsid w:val="00CA7F7A"/>
    <w:rsid w:val="00CB06D6"/>
    <w:rsid w:val="00CB0AE4"/>
    <w:rsid w:val="00CC0451"/>
    <w:rsid w:val="00CC7233"/>
    <w:rsid w:val="00CD77B1"/>
    <w:rsid w:val="00CE69A2"/>
    <w:rsid w:val="00CF3B20"/>
    <w:rsid w:val="00D01B70"/>
    <w:rsid w:val="00D11F2A"/>
    <w:rsid w:val="00D1450D"/>
    <w:rsid w:val="00D175E2"/>
    <w:rsid w:val="00D41868"/>
    <w:rsid w:val="00D41A6E"/>
    <w:rsid w:val="00D50CA9"/>
    <w:rsid w:val="00D55A2E"/>
    <w:rsid w:val="00D60369"/>
    <w:rsid w:val="00D8154C"/>
    <w:rsid w:val="00D9133B"/>
    <w:rsid w:val="00D91E2E"/>
    <w:rsid w:val="00DF372F"/>
    <w:rsid w:val="00DF3F23"/>
    <w:rsid w:val="00DF76BF"/>
    <w:rsid w:val="00E03471"/>
    <w:rsid w:val="00E03A52"/>
    <w:rsid w:val="00E06785"/>
    <w:rsid w:val="00E109C6"/>
    <w:rsid w:val="00E1226B"/>
    <w:rsid w:val="00E2078B"/>
    <w:rsid w:val="00E362D9"/>
    <w:rsid w:val="00E549E1"/>
    <w:rsid w:val="00E557E3"/>
    <w:rsid w:val="00E606F6"/>
    <w:rsid w:val="00E6510B"/>
    <w:rsid w:val="00E70490"/>
    <w:rsid w:val="00E72C61"/>
    <w:rsid w:val="00E72D0C"/>
    <w:rsid w:val="00E77DE5"/>
    <w:rsid w:val="00E805D7"/>
    <w:rsid w:val="00E86AB3"/>
    <w:rsid w:val="00E92161"/>
    <w:rsid w:val="00E92A05"/>
    <w:rsid w:val="00E96D97"/>
    <w:rsid w:val="00E97DDC"/>
    <w:rsid w:val="00EA3C29"/>
    <w:rsid w:val="00EB150F"/>
    <w:rsid w:val="00ED060C"/>
    <w:rsid w:val="00EE67C2"/>
    <w:rsid w:val="00EF55A0"/>
    <w:rsid w:val="00EF6199"/>
    <w:rsid w:val="00F03387"/>
    <w:rsid w:val="00F11723"/>
    <w:rsid w:val="00F51599"/>
    <w:rsid w:val="00F764E0"/>
    <w:rsid w:val="00F7686E"/>
    <w:rsid w:val="00F80806"/>
    <w:rsid w:val="00F85D90"/>
    <w:rsid w:val="00F95EFD"/>
    <w:rsid w:val="00FB0DF3"/>
    <w:rsid w:val="00FB185B"/>
    <w:rsid w:val="00FD6500"/>
    <w:rsid w:val="00FE1794"/>
    <w:rsid w:val="00FF499F"/>
    <w:rsid w:val="00FF7EC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7A4E0-A754-481E-B909-4895529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714"/>
  </w:style>
  <w:style w:type="paragraph" w:styleId="Heading1">
    <w:name w:val="heading 1"/>
    <w:basedOn w:val="Normal"/>
    <w:next w:val="Normal"/>
    <w:link w:val="Heading1Char"/>
    <w:qFormat/>
    <w:rsid w:val="00A75126"/>
    <w:pPr>
      <w:keepNext/>
      <w:spacing w:after="0" w:line="240" w:lineRule="auto"/>
      <w:ind w:left="180"/>
      <w:jc w:val="center"/>
      <w:outlineLvl w:val="0"/>
    </w:pPr>
    <w:rPr>
      <w:rFonts w:ascii="MAC C Swiss" w:eastAsia="Times New Roman" w:hAnsi="MAC C Swiss" w:cs="Times New Roman"/>
      <w:b/>
      <w:sz w:val="20"/>
      <w:szCs w:val="20"/>
    </w:rPr>
  </w:style>
  <w:style w:type="paragraph" w:styleId="Heading3">
    <w:name w:val="heading 3"/>
    <w:basedOn w:val="Normal"/>
    <w:next w:val="Normal"/>
    <w:link w:val="Heading3Char"/>
    <w:uiPriority w:val="9"/>
    <w:qFormat/>
    <w:rsid w:val="002E110D"/>
    <w:pPr>
      <w:keepNext/>
      <w:spacing w:before="240" w:after="60" w:line="240" w:lineRule="auto"/>
      <w:outlineLvl w:val="2"/>
    </w:pPr>
    <w:rPr>
      <w:rFonts w:ascii="Calibri" w:eastAsia="MS Gothic" w:hAnsi="Calibri" w:cs="Times New Roman"/>
      <w:b/>
      <w:bCs/>
      <w:sz w:val="26"/>
      <w:szCs w:val="26"/>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CE9"/>
    <w:pPr>
      <w:ind w:left="720"/>
      <w:contextualSpacing/>
    </w:pPr>
  </w:style>
  <w:style w:type="paragraph" w:styleId="BalloonText">
    <w:name w:val="Balloon Text"/>
    <w:basedOn w:val="Normal"/>
    <w:link w:val="BalloonTextChar"/>
    <w:uiPriority w:val="99"/>
    <w:semiHidden/>
    <w:unhideWhenUsed/>
    <w:rsid w:val="00C7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CE9"/>
    <w:rPr>
      <w:rFonts w:ascii="Tahoma" w:hAnsi="Tahoma" w:cs="Tahoma"/>
      <w:sz w:val="16"/>
      <w:szCs w:val="16"/>
    </w:rPr>
  </w:style>
  <w:style w:type="character" w:customStyle="1" w:styleId="Heading1Char">
    <w:name w:val="Heading 1 Char"/>
    <w:basedOn w:val="DefaultParagraphFont"/>
    <w:link w:val="Heading1"/>
    <w:rsid w:val="00A75126"/>
    <w:rPr>
      <w:rFonts w:ascii="MAC C Swiss" w:eastAsia="Times New Roman" w:hAnsi="MAC C Swiss" w:cs="Times New Roman"/>
      <w:b/>
      <w:sz w:val="20"/>
      <w:szCs w:val="20"/>
    </w:rPr>
  </w:style>
  <w:style w:type="table" w:styleId="TableGrid">
    <w:name w:val="Table Grid"/>
    <w:basedOn w:val="TableNormal"/>
    <w:uiPriority w:val="59"/>
    <w:rsid w:val="00A7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3447"/>
    <w:rPr>
      <w:color w:val="0000FF"/>
      <w:u w:val="single"/>
    </w:rPr>
  </w:style>
  <w:style w:type="paragraph" w:styleId="CommentText">
    <w:name w:val="annotation text"/>
    <w:basedOn w:val="Normal"/>
    <w:link w:val="CommentTextChar"/>
    <w:semiHidden/>
    <w:rsid w:val="00CC0451"/>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semiHidden/>
    <w:rsid w:val="00CC0451"/>
    <w:rPr>
      <w:rFonts w:ascii="Times New Roman" w:eastAsia="Calibri" w:hAnsi="Times New Roman" w:cs="Times New Roman"/>
      <w:sz w:val="20"/>
      <w:szCs w:val="20"/>
    </w:rPr>
  </w:style>
  <w:style w:type="paragraph" w:styleId="Header">
    <w:name w:val="header"/>
    <w:basedOn w:val="Normal"/>
    <w:link w:val="HeaderChar"/>
    <w:uiPriority w:val="99"/>
    <w:unhideWhenUsed/>
    <w:rsid w:val="00B7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0C9"/>
  </w:style>
  <w:style w:type="paragraph" w:styleId="Footer">
    <w:name w:val="footer"/>
    <w:basedOn w:val="Normal"/>
    <w:link w:val="FooterChar"/>
    <w:uiPriority w:val="99"/>
    <w:unhideWhenUsed/>
    <w:rsid w:val="00B7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0C9"/>
  </w:style>
  <w:style w:type="paragraph" w:styleId="PlainText">
    <w:name w:val="Plain Text"/>
    <w:basedOn w:val="Normal"/>
    <w:link w:val="PlainTextChar"/>
    <w:uiPriority w:val="99"/>
    <w:unhideWhenUsed/>
    <w:rsid w:val="009C7F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7F8F"/>
    <w:rPr>
      <w:rFonts w:ascii="Calibri" w:hAnsi="Calibri" w:cs="Consolas"/>
      <w:szCs w:val="21"/>
    </w:rPr>
  </w:style>
  <w:style w:type="paragraph" w:styleId="EndnoteText">
    <w:name w:val="endnote text"/>
    <w:basedOn w:val="Normal"/>
    <w:link w:val="EndnoteTextChar"/>
    <w:uiPriority w:val="99"/>
    <w:semiHidden/>
    <w:unhideWhenUsed/>
    <w:rsid w:val="005C2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2F5"/>
    <w:rPr>
      <w:sz w:val="20"/>
      <w:szCs w:val="20"/>
    </w:rPr>
  </w:style>
  <w:style w:type="character" w:styleId="EndnoteReference">
    <w:name w:val="endnote reference"/>
    <w:basedOn w:val="DefaultParagraphFont"/>
    <w:uiPriority w:val="99"/>
    <w:semiHidden/>
    <w:unhideWhenUsed/>
    <w:rsid w:val="005C22F5"/>
    <w:rPr>
      <w:vertAlign w:val="superscript"/>
    </w:rPr>
  </w:style>
  <w:style w:type="paragraph" w:styleId="FootnoteText">
    <w:name w:val="footnote text"/>
    <w:basedOn w:val="Normal"/>
    <w:link w:val="FootnoteTextChar"/>
    <w:uiPriority w:val="99"/>
    <w:semiHidden/>
    <w:unhideWhenUsed/>
    <w:rsid w:val="005C22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F5"/>
    <w:rPr>
      <w:sz w:val="20"/>
      <w:szCs w:val="20"/>
    </w:rPr>
  </w:style>
  <w:style w:type="character" w:styleId="FootnoteReference">
    <w:name w:val="footnote reference"/>
    <w:basedOn w:val="DefaultParagraphFont"/>
    <w:uiPriority w:val="99"/>
    <w:unhideWhenUsed/>
    <w:rsid w:val="005C22F5"/>
    <w:rPr>
      <w:vertAlign w:val="superscript"/>
    </w:rPr>
  </w:style>
  <w:style w:type="character" w:customStyle="1" w:styleId="apple-style-span">
    <w:name w:val="apple-style-span"/>
    <w:basedOn w:val="DefaultParagraphFont"/>
    <w:rsid w:val="00E96D97"/>
  </w:style>
  <w:style w:type="character" w:customStyle="1" w:styleId="Heading3Char">
    <w:name w:val="Heading 3 Char"/>
    <w:basedOn w:val="DefaultParagraphFont"/>
    <w:link w:val="Heading3"/>
    <w:uiPriority w:val="9"/>
    <w:rsid w:val="002E110D"/>
    <w:rPr>
      <w:rFonts w:ascii="Calibri" w:eastAsia="MS Gothic" w:hAnsi="Calibri" w:cs="Times New Roman"/>
      <w:b/>
      <w:bCs/>
      <w:sz w:val="26"/>
      <w:szCs w:val="26"/>
      <w:lang w:val="uk-UA" w:eastAsia="ru-RU"/>
    </w:rPr>
  </w:style>
  <w:style w:type="numbering" w:customStyle="1" w:styleId="NoList1">
    <w:name w:val="No List1"/>
    <w:next w:val="NoList"/>
    <w:uiPriority w:val="99"/>
    <w:semiHidden/>
    <w:unhideWhenUsed/>
    <w:rsid w:val="002E110D"/>
  </w:style>
  <w:style w:type="character" w:styleId="FollowedHyperlink">
    <w:name w:val="FollowedHyperlink"/>
    <w:basedOn w:val="DefaultParagraphFont"/>
    <w:uiPriority w:val="99"/>
    <w:semiHidden/>
    <w:unhideWhenUsed/>
    <w:rsid w:val="002E110D"/>
    <w:rPr>
      <w:color w:val="800080" w:themeColor="followedHyperlink"/>
      <w:u w:val="single"/>
    </w:rPr>
  </w:style>
  <w:style w:type="paragraph" w:customStyle="1" w:styleId="Normal1">
    <w:name w:val="Normal1"/>
    <w:rsid w:val="002E110D"/>
    <w:pPr>
      <w:spacing w:after="0" w:line="240" w:lineRule="auto"/>
    </w:pPr>
    <w:rPr>
      <w:rFonts w:ascii="Calibri" w:eastAsia="Calibri" w:hAnsi="Calibri" w:cs="Calibri"/>
      <w:color w:val="000000"/>
      <w:szCs w:val="20"/>
    </w:rPr>
  </w:style>
  <w:style w:type="character" w:customStyle="1" w:styleId="apple-converted-space">
    <w:name w:val="apple-converted-space"/>
    <w:basedOn w:val="DefaultParagraphFont"/>
    <w:rsid w:val="002E110D"/>
  </w:style>
  <w:style w:type="paragraph" w:styleId="NormalWeb">
    <w:name w:val="Normal (Web)"/>
    <w:basedOn w:val="Normal"/>
    <w:uiPriority w:val="99"/>
    <w:semiHidden/>
    <w:unhideWhenUsed/>
    <w:rsid w:val="002E110D"/>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numbering" w:customStyle="1" w:styleId="NoList2">
    <w:name w:val="No List2"/>
    <w:next w:val="NoList"/>
    <w:uiPriority w:val="99"/>
    <w:semiHidden/>
    <w:unhideWhenUsed/>
    <w:rsid w:val="008700E3"/>
  </w:style>
  <w:style w:type="character" w:styleId="CommentReference">
    <w:name w:val="annotation reference"/>
    <w:basedOn w:val="DefaultParagraphFont"/>
    <w:uiPriority w:val="99"/>
    <w:semiHidden/>
    <w:unhideWhenUsed/>
    <w:rsid w:val="00A5318B"/>
    <w:rPr>
      <w:sz w:val="16"/>
      <w:szCs w:val="16"/>
    </w:rPr>
  </w:style>
  <w:style w:type="paragraph" w:styleId="CommentSubject">
    <w:name w:val="annotation subject"/>
    <w:basedOn w:val="CommentText"/>
    <w:next w:val="CommentText"/>
    <w:link w:val="CommentSubjectChar"/>
    <w:uiPriority w:val="99"/>
    <w:semiHidden/>
    <w:unhideWhenUsed/>
    <w:rsid w:val="00A5318B"/>
    <w:pPr>
      <w:spacing w:after="1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318B"/>
    <w:rPr>
      <w:rFonts w:ascii="Times New Roman" w:eastAsia="Calibri" w:hAnsi="Times New Roman" w:cs="Times New Roman"/>
      <w:b/>
      <w:bCs/>
      <w:sz w:val="20"/>
      <w:szCs w:val="20"/>
    </w:rPr>
  </w:style>
  <w:style w:type="character" w:customStyle="1" w:styleId="A10">
    <w:name w:val="A10"/>
    <w:uiPriority w:val="99"/>
    <w:rsid w:val="002C3653"/>
    <w:rPr>
      <w:rFonts w:cs="QOfficinaSerif"/>
      <w:color w:val="000000"/>
      <w:sz w:val="20"/>
      <w:szCs w:val="20"/>
    </w:rPr>
  </w:style>
  <w:style w:type="table" w:customStyle="1" w:styleId="TableGrid1">
    <w:name w:val="Table Grid1"/>
    <w:basedOn w:val="TableNormal"/>
    <w:next w:val="TableGrid"/>
    <w:uiPriority w:val="59"/>
    <w:rsid w:val="008E3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6">
      <w:bodyDiv w:val="1"/>
      <w:marLeft w:val="0"/>
      <w:marRight w:val="0"/>
      <w:marTop w:val="0"/>
      <w:marBottom w:val="0"/>
      <w:divBdr>
        <w:top w:val="none" w:sz="0" w:space="0" w:color="auto"/>
        <w:left w:val="none" w:sz="0" w:space="0" w:color="auto"/>
        <w:bottom w:val="none" w:sz="0" w:space="0" w:color="auto"/>
        <w:right w:val="none" w:sz="0" w:space="0" w:color="auto"/>
      </w:divBdr>
    </w:div>
    <w:div w:id="668634">
      <w:bodyDiv w:val="1"/>
      <w:marLeft w:val="0"/>
      <w:marRight w:val="0"/>
      <w:marTop w:val="0"/>
      <w:marBottom w:val="0"/>
      <w:divBdr>
        <w:top w:val="none" w:sz="0" w:space="0" w:color="auto"/>
        <w:left w:val="none" w:sz="0" w:space="0" w:color="auto"/>
        <w:bottom w:val="none" w:sz="0" w:space="0" w:color="auto"/>
        <w:right w:val="none" w:sz="0" w:space="0" w:color="auto"/>
      </w:divBdr>
    </w:div>
    <w:div w:id="553933907">
      <w:bodyDiv w:val="1"/>
      <w:marLeft w:val="0"/>
      <w:marRight w:val="0"/>
      <w:marTop w:val="0"/>
      <w:marBottom w:val="0"/>
      <w:divBdr>
        <w:top w:val="none" w:sz="0" w:space="0" w:color="auto"/>
        <w:left w:val="none" w:sz="0" w:space="0" w:color="auto"/>
        <w:bottom w:val="none" w:sz="0" w:space="0" w:color="auto"/>
        <w:right w:val="none" w:sz="0" w:space="0" w:color="auto"/>
      </w:divBdr>
    </w:div>
    <w:div w:id="613294756">
      <w:bodyDiv w:val="1"/>
      <w:marLeft w:val="0"/>
      <w:marRight w:val="0"/>
      <w:marTop w:val="0"/>
      <w:marBottom w:val="0"/>
      <w:divBdr>
        <w:top w:val="none" w:sz="0" w:space="0" w:color="auto"/>
        <w:left w:val="none" w:sz="0" w:space="0" w:color="auto"/>
        <w:bottom w:val="none" w:sz="0" w:space="0" w:color="auto"/>
        <w:right w:val="none" w:sz="0" w:space="0" w:color="auto"/>
      </w:divBdr>
    </w:div>
    <w:div w:id="698162015">
      <w:bodyDiv w:val="1"/>
      <w:marLeft w:val="0"/>
      <w:marRight w:val="0"/>
      <w:marTop w:val="0"/>
      <w:marBottom w:val="0"/>
      <w:divBdr>
        <w:top w:val="none" w:sz="0" w:space="0" w:color="auto"/>
        <w:left w:val="none" w:sz="0" w:space="0" w:color="auto"/>
        <w:bottom w:val="none" w:sz="0" w:space="0" w:color="auto"/>
        <w:right w:val="none" w:sz="0" w:space="0" w:color="auto"/>
      </w:divBdr>
    </w:div>
    <w:div w:id="988479974">
      <w:bodyDiv w:val="1"/>
      <w:marLeft w:val="0"/>
      <w:marRight w:val="0"/>
      <w:marTop w:val="0"/>
      <w:marBottom w:val="0"/>
      <w:divBdr>
        <w:top w:val="none" w:sz="0" w:space="0" w:color="auto"/>
        <w:left w:val="none" w:sz="0" w:space="0" w:color="auto"/>
        <w:bottom w:val="none" w:sz="0" w:space="0" w:color="auto"/>
        <w:right w:val="none" w:sz="0" w:space="0" w:color="auto"/>
      </w:divBdr>
    </w:div>
    <w:div w:id="1811165433">
      <w:bodyDiv w:val="1"/>
      <w:marLeft w:val="0"/>
      <w:marRight w:val="0"/>
      <w:marTop w:val="0"/>
      <w:marBottom w:val="0"/>
      <w:divBdr>
        <w:top w:val="none" w:sz="0" w:space="0" w:color="auto"/>
        <w:left w:val="none" w:sz="0" w:space="0" w:color="auto"/>
        <w:bottom w:val="none" w:sz="0" w:space="0" w:color="auto"/>
        <w:right w:val="none" w:sz="0" w:space="0" w:color="auto"/>
      </w:divBdr>
    </w:div>
    <w:div w:id="18495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adica.Josifovski@mioa.gov.mk" TargetMode="External"/><Relationship Id="rId21" Type="http://schemas.openxmlformats.org/officeDocument/2006/relationships/hyperlink" Target="http://www.otvorenipodatoci.gov.mk" TargetMode="External"/><Relationship Id="rId42" Type="http://schemas.openxmlformats.org/officeDocument/2006/relationships/hyperlink" Target="mailto:vdoneva@dksk.org.mk" TargetMode="External"/><Relationship Id="rId47" Type="http://schemas.openxmlformats.org/officeDocument/2006/relationships/hyperlink" Target="mailto:vgeorgiev@dksk.org.mk" TargetMode="External"/><Relationship Id="rId63" Type="http://schemas.openxmlformats.org/officeDocument/2006/relationships/hyperlink" Target="http://indikatori.opstinskisoveti.mk" TargetMode="External"/><Relationship Id="rId68" Type="http://schemas.openxmlformats.org/officeDocument/2006/relationships/hyperlink" Target="mailto:t.grncarovska@moepp.gov.m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ilip.manevski@mioa.gov.mk" TargetMode="External"/><Relationship Id="rId29" Type="http://schemas.openxmlformats.org/officeDocument/2006/relationships/hyperlink" Target="mailto:nadica.josifovski@mioa.gov.mk" TargetMode="External"/><Relationship Id="rId11" Type="http://schemas.openxmlformats.org/officeDocument/2006/relationships/hyperlink" Target="http://www.nvosorabotka.gov.mk" TargetMode="External"/><Relationship Id="rId24" Type="http://schemas.openxmlformats.org/officeDocument/2006/relationships/hyperlink" Target="http://www.otvorenipodatoci.gov.mk" TargetMode="External"/><Relationship Id="rId32" Type="http://schemas.openxmlformats.org/officeDocument/2006/relationships/hyperlink" Target="mailto:nadica.josifovski@mioa.gov.mk" TargetMode="External"/><Relationship Id="rId37" Type="http://schemas.openxmlformats.org/officeDocument/2006/relationships/hyperlink" Target="https://www.youtube.com/watch?v=ebI6t-4wGtA" TargetMode="External"/><Relationship Id="rId40" Type="http://schemas.openxmlformats.org/officeDocument/2006/relationships/hyperlink" Target="mailto:vdoneva@dksk.org.mk" TargetMode="External"/><Relationship Id="rId45" Type="http://schemas.openxmlformats.org/officeDocument/2006/relationships/hyperlink" Target="mailto:vgeorgiev@dksk.org.mk" TargetMode="External"/><Relationship Id="rId53" Type="http://schemas.openxmlformats.org/officeDocument/2006/relationships/hyperlink" Target="mailto:aleksandar.kolekeski@eurothink.mk" TargetMode="External"/><Relationship Id="rId58" Type="http://schemas.openxmlformats.org/officeDocument/2006/relationships/hyperlink" Target="mailto:klimentina@public.org.mk" TargetMode="External"/><Relationship Id="rId66" Type="http://schemas.openxmlformats.org/officeDocument/2006/relationships/hyperlink" Target="mailto:t.grncarovska@moepp.gov.mk" TargetMode="External"/><Relationship Id="rId5" Type="http://schemas.openxmlformats.org/officeDocument/2006/relationships/webSettings" Target="webSettings.xml"/><Relationship Id="rId61" Type="http://schemas.openxmlformats.org/officeDocument/2006/relationships/hyperlink" Target="http://www.cup.org.mk" TargetMode="External"/><Relationship Id="rId19" Type="http://schemas.openxmlformats.org/officeDocument/2006/relationships/hyperlink" Target="http://www.otvorenipodatoci.gov.mk" TargetMode="External"/><Relationship Id="rId14" Type="http://schemas.openxmlformats.org/officeDocument/2006/relationships/hyperlink" Target="mailto:Nadica.Josifovski@mioa.gov.mk" TargetMode="External"/><Relationship Id="rId22" Type="http://schemas.openxmlformats.org/officeDocument/2006/relationships/hyperlink" Target="http://www.otvorenipodatoci.gov.mk" TargetMode="External"/><Relationship Id="rId27" Type="http://schemas.openxmlformats.org/officeDocument/2006/relationships/hyperlink" Target="mailto:vladimir.radosavljevik@mioa.gov.mk" TargetMode="External"/><Relationship Id="rId30" Type="http://schemas.openxmlformats.org/officeDocument/2006/relationships/hyperlink" Target="mailto:vladimir.radosavljevik@mioa.gov.mk" TargetMode="External"/><Relationship Id="rId35" Type="http://schemas.openxmlformats.org/officeDocument/2006/relationships/hyperlink" Target="mailto:cveta@komspi.mk" TargetMode="External"/><Relationship Id="rId43" Type="http://schemas.openxmlformats.org/officeDocument/2006/relationships/hyperlink" Target="mailto:vgeorgiev@dksk.org.mk" TargetMode="External"/><Relationship Id="rId48" Type="http://schemas.openxmlformats.org/officeDocument/2006/relationships/hyperlink" Target="http://www.finance.gov.mk/mk/node/6810" TargetMode="External"/><Relationship Id="rId56" Type="http://schemas.openxmlformats.org/officeDocument/2006/relationships/hyperlink" Target="mailto:sashejovanov@humanost.org.mk" TargetMode="External"/><Relationship Id="rId64" Type="http://schemas.openxmlformats.org/officeDocument/2006/relationships/hyperlink" Target="mailto:elicakar@gmail.com"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sep.gov.mk/nvo-list/" TargetMode="External"/><Relationship Id="rId3" Type="http://schemas.openxmlformats.org/officeDocument/2006/relationships/styles" Target="styles.xml"/><Relationship Id="rId12" Type="http://schemas.openxmlformats.org/officeDocument/2006/relationships/hyperlink" Target="http://www.nvosorabotka.gov.mk" TargetMode="External"/><Relationship Id="rId17" Type="http://schemas.openxmlformats.org/officeDocument/2006/relationships/hyperlink" Target="mailto:nadica.josifovski@mioa.gov.mk" TargetMode="External"/><Relationship Id="rId25" Type="http://schemas.openxmlformats.org/officeDocument/2006/relationships/hyperlink" Target="mailto:Filip.manevski@mioa.gov.mk" TargetMode="External"/><Relationship Id="rId33" Type="http://schemas.openxmlformats.org/officeDocument/2006/relationships/hyperlink" Target="mailto:vladimir.radosavljevik@mioa.gov.mk" TargetMode="External"/><Relationship Id="rId38" Type="http://schemas.openxmlformats.org/officeDocument/2006/relationships/hyperlink" Target="https://www.youtube.com/watch?v=hXUQyCcfyj8" TargetMode="External"/><Relationship Id="rId46" Type="http://schemas.openxmlformats.org/officeDocument/2006/relationships/hyperlink" Target="mailto:vdoneva@dksk.org.mk" TargetMode="External"/><Relationship Id="rId59" Type="http://schemas.openxmlformats.org/officeDocument/2006/relationships/hyperlink" Target="mailto:Orhideja.Kaljosevska@sep.gov.mk" TargetMode="External"/><Relationship Id="rId67" Type="http://schemas.openxmlformats.org/officeDocument/2006/relationships/hyperlink" Target="http://www.unfccc.org.mk/Default.aspx?LCID=244" TargetMode="External"/><Relationship Id="rId20" Type="http://schemas.openxmlformats.org/officeDocument/2006/relationships/hyperlink" Target="http://www.otvorenipodatoci.gov.mk" TargetMode="External"/><Relationship Id="rId41" Type="http://schemas.openxmlformats.org/officeDocument/2006/relationships/hyperlink" Target="mailto:vgeorgiev@dksk.org.mk" TargetMode="External"/><Relationship Id="rId54" Type="http://schemas.openxmlformats.org/officeDocument/2006/relationships/hyperlink" Target="mailto:suzana.pecakovska@fosm.mk" TargetMode="External"/><Relationship Id="rId62" Type="http://schemas.openxmlformats.org/officeDocument/2006/relationships/hyperlink" Target="http://www.cup.org.mk/projectspage.php?id=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ladimir.radosavljevik@mioa.gov.mk" TargetMode="External"/><Relationship Id="rId23" Type="http://schemas.openxmlformats.org/officeDocument/2006/relationships/hyperlink" Target="http://www.otvorenipodatoci.gov.mk" TargetMode="External"/><Relationship Id="rId28" Type="http://schemas.openxmlformats.org/officeDocument/2006/relationships/hyperlink" Target="mailto:filip.manevski@mioa.gov.mk" TargetMode="External"/><Relationship Id="rId36" Type="http://schemas.openxmlformats.org/officeDocument/2006/relationships/hyperlink" Target="mailto:inxhihoxha@komspi.mk" TargetMode="External"/><Relationship Id="rId49" Type="http://schemas.openxmlformats.org/officeDocument/2006/relationships/hyperlink" Target="http://www.finance.gov.mk/files/u9/Polugodisen%20izvestaj%20za%20izvrsuvanjeto%20na%20Budzetot%20na%20RM_0.pdf" TargetMode="External"/><Relationship Id="rId57" Type="http://schemas.openxmlformats.org/officeDocument/2006/relationships/hyperlink" Target="mailto:dragana.karovska@hera.org.mk" TargetMode="External"/><Relationship Id="rId10" Type="http://schemas.openxmlformats.org/officeDocument/2006/relationships/hyperlink" Target="http://www.crm.com.mk/DS/default.aspx?MainId=1&amp;CatID=90" TargetMode="External"/><Relationship Id="rId31" Type="http://schemas.openxmlformats.org/officeDocument/2006/relationships/hyperlink" Target="mailto:filip.manevski@mioa.gov.mk" TargetMode="External"/><Relationship Id="rId44" Type="http://schemas.openxmlformats.org/officeDocument/2006/relationships/hyperlink" Target="mailto:vdoneva@dksk.org.mk" TargetMode="External"/><Relationship Id="rId52" Type="http://schemas.openxmlformats.org/officeDocument/2006/relationships/hyperlink" Target="mailto:biljana_dukovska@yahoo.com" TargetMode="External"/><Relationship Id="rId60" Type="http://schemas.openxmlformats.org/officeDocument/2006/relationships/hyperlink" Target="http://www.economy.gov.mk/docs/sektor-mineralni-surovini" TargetMode="External"/><Relationship Id="rId65" Type="http://schemas.openxmlformats.org/officeDocument/2006/relationships/hyperlink" Target="mailto:t.grncarovska@moepp.gov.mk" TargetMode="External"/><Relationship Id="rId4" Type="http://schemas.openxmlformats.org/officeDocument/2006/relationships/settings" Target="settings.xml"/><Relationship Id="rId9" Type="http://schemas.openxmlformats.org/officeDocument/2006/relationships/hyperlink" Target="http://vlada.mk/vladini-sednici" TargetMode="External"/><Relationship Id="rId13" Type="http://schemas.openxmlformats.org/officeDocument/2006/relationships/hyperlink" Target="http://www.nvosorabotka.gov.mk" TargetMode="External"/><Relationship Id="rId18" Type="http://schemas.openxmlformats.org/officeDocument/2006/relationships/hyperlink" Target="mailto:vladimir.radosavljevik@mioa.gov.mk" TargetMode="External"/><Relationship Id="rId39" Type="http://schemas.openxmlformats.org/officeDocument/2006/relationships/hyperlink" Target="https://www.youtube.com/watch?v=IGJjAMInBqQ" TargetMode="External"/><Relationship Id="rId34" Type="http://schemas.openxmlformats.org/officeDocument/2006/relationships/hyperlink" Target="mailto:oliverserafimovski@komspi.mk" TargetMode="External"/><Relationship Id="rId50" Type="http://schemas.openxmlformats.org/officeDocument/2006/relationships/hyperlink" Target="mailto:Orhideja.Kaljosevska@sep.gov.mk" TargetMode="External"/><Relationship Id="rId55" Type="http://schemas.openxmlformats.org/officeDocument/2006/relationships/hyperlink" Target="mailto:blazen@reactor.or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475B-BD59-0148-9659-66441E37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36709</Words>
  <Characters>209247</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245466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gordana.dimitrovska</dc:creator>
  <cp:lastModifiedBy>Sandra Pernar</cp:lastModifiedBy>
  <cp:revision>2</cp:revision>
  <cp:lastPrinted>2018-11-16T08:59:00Z</cp:lastPrinted>
  <dcterms:created xsi:type="dcterms:W3CDTF">2019-01-03T12:27:00Z</dcterms:created>
  <dcterms:modified xsi:type="dcterms:W3CDTF">2019-01-03T12:27:00Z</dcterms:modified>
</cp:coreProperties>
</file>