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09D" w:rsidRPr="0060609D" w:rsidRDefault="0060609D" w:rsidP="00863E5E">
      <w:pPr>
        <w:spacing w:after="0" w:line="240" w:lineRule="auto"/>
        <w:jc w:val="center"/>
        <w:rPr>
          <w:rFonts w:ascii="Times New Roman" w:eastAsiaTheme="minorHAnsi" w:hAnsi="Times New Roman"/>
          <w:b/>
          <w:sz w:val="24"/>
          <w:szCs w:val="24"/>
        </w:rPr>
      </w:pPr>
      <w:r w:rsidRPr="0060609D">
        <w:rPr>
          <w:rFonts w:ascii="Times New Roman" w:eastAsiaTheme="minorHAnsi" w:hAnsi="Times New Roman"/>
          <w:b/>
          <w:sz w:val="24"/>
          <w:szCs w:val="24"/>
        </w:rPr>
        <w:t>O</w:t>
      </w:r>
      <w:r>
        <w:rPr>
          <w:rFonts w:ascii="Times New Roman" w:eastAsiaTheme="minorHAnsi" w:hAnsi="Times New Roman"/>
          <w:b/>
          <w:sz w:val="24"/>
          <w:szCs w:val="24"/>
        </w:rPr>
        <w:t xml:space="preserve">PEN </w:t>
      </w:r>
      <w:r w:rsidRPr="0060609D">
        <w:rPr>
          <w:rFonts w:ascii="Times New Roman" w:eastAsiaTheme="minorHAnsi" w:hAnsi="Times New Roman"/>
          <w:b/>
          <w:sz w:val="24"/>
          <w:szCs w:val="24"/>
        </w:rPr>
        <w:t>G</w:t>
      </w:r>
      <w:r>
        <w:rPr>
          <w:rFonts w:ascii="Times New Roman" w:eastAsiaTheme="minorHAnsi" w:hAnsi="Times New Roman"/>
          <w:b/>
          <w:sz w:val="24"/>
          <w:szCs w:val="24"/>
        </w:rPr>
        <w:t>OVERNMENT PARTENRSHIP SECOND NATIONAL ACTION PLAN OF LATVIA</w:t>
      </w:r>
    </w:p>
    <w:p w:rsidR="0060609D" w:rsidRPr="0060609D" w:rsidRDefault="0060609D" w:rsidP="00863E5E">
      <w:pPr>
        <w:spacing w:after="0" w:line="240" w:lineRule="auto"/>
        <w:contextualSpacing/>
        <w:jc w:val="center"/>
        <w:rPr>
          <w:rFonts w:ascii="Times New Roman" w:eastAsiaTheme="minorHAnsi" w:hAnsi="Times New Roman"/>
          <w:b/>
          <w:bCs/>
          <w:sz w:val="24"/>
          <w:szCs w:val="24"/>
        </w:rPr>
      </w:pPr>
      <w:r w:rsidRPr="0060609D">
        <w:rPr>
          <w:rFonts w:ascii="Times New Roman" w:eastAsiaTheme="minorHAnsi" w:hAnsi="Times New Roman"/>
          <w:b/>
          <w:bCs/>
          <w:sz w:val="24"/>
          <w:szCs w:val="24"/>
        </w:rPr>
        <w:t>1. Introduction</w:t>
      </w:r>
    </w:p>
    <w:p w:rsidR="0060609D" w:rsidRPr="0060609D" w:rsidRDefault="0060609D" w:rsidP="00863E5E">
      <w:pPr>
        <w:spacing w:after="0" w:line="240" w:lineRule="auto"/>
        <w:contextualSpacing/>
        <w:rPr>
          <w:rFonts w:ascii="Times New Roman" w:eastAsiaTheme="minorHAnsi" w:hAnsi="Times New Roman"/>
          <w:b/>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Latvia confirms that its goal by joining the partnership is to promote clearly identifiable administrative, legal and public change through shaping and strengthening a people-friendly, effective, open and honest public administration.</w:t>
      </w: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The role and influence of civil society have considerably increased in decision-making on development issues vital for Latvia. At the same time, this influence cannot yet be regarded as sufficient or satisfying all stakeholders. The mission of public administration institutions at various levels is to enhance their tools for day-to-day communication with civil society and organisations representing it.  The involvement of civil society in decision-making processes and legislative initiatives is one of the ways for reducing the gap between power and society and is a potent tool for building an inclusive society in the country in general.   </w:t>
      </w:r>
      <w:bookmarkStart w:id="0" w:name="_GoBack"/>
      <w:bookmarkEnd w:id="0"/>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The connection between public and administration can be ensured both by facilitating public participation in governance processes, which includes technical possibilities enabling that, and by an increased control in the fields that involve the risk of decreasing or disregarding the role of society in public administration, for instance, corruption.   </w:t>
      </w:r>
    </w:p>
    <w:p w:rsidR="0060609D" w:rsidRPr="0060609D" w:rsidRDefault="0060609D" w:rsidP="00863E5E">
      <w:pPr>
        <w:spacing w:after="0" w:line="240" w:lineRule="auto"/>
        <w:ind w:left="720"/>
        <w:contextualSpacing/>
        <w:rPr>
          <w:rFonts w:ascii="Times New Roman" w:eastAsiaTheme="minorHAnsi" w:hAnsi="Times New Roman"/>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Therefore, the first National Action Plan approved on 10 April 2012 included four priority areas: 1) Improving the quality of public service provision; 2) Involvement of society and civil society organisations in decision-making processes; 3) Restricting corruption; 4) Open data. The choice of areas was determined by their relation to the set goals; the areas also contained descriptions of planned actions. </w:t>
      </w:r>
    </w:p>
    <w:p w:rsidR="0060609D" w:rsidRPr="0060609D" w:rsidRDefault="0060609D" w:rsidP="00863E5E">
      <w:pPr>
        <w:spacing w:after="0" w:line="240" w:lineRule="auto"/>
        <w:ind w:left="720"/>
        <w:contextualSpacing/>
        <w:rPr>
          <w:rFonts w:ascii="Times New Roman" w:eastAsiaTheme="minorHAnsi" w:hAnsi="Times New Roman"/>
          <w:sz w:val="24"/>
          <w:szCs w:val="24"/>
        </w:rPr>
      </w:pPr>
    </w:p>
    <w:p w:rsidR="00C951C9" w:rsidRPr="00C951C9" w:rsidRDefault="00C951C9" w:rsidP="00863E5E">
      <w:pPr>
        <w:spacing w:after="0" w:line="240" w:lineRule="auto"/>
        <w:ind w:left="720"/>
        <w:jc w:val="both"/>
        <w:rPr>
          <w:rFonts w:ascii="Times New Roman" w:eastAsiaTheme="minorHAnsi" w:hAnsi="Times New Roman"/>
          <w:sz w:val="24"/>
          <w:szCs w:val="24"/>
        </w:rPr>
      </w:pPr>
      <w:r w:rsidRPr="00C951C9">
        <w:rPr>
          <w:rFonts w:ascii="Times New Roman" w:eastAsiaTheme="minorHAnsi" w:hAnsi="Times New Roman"/>
          <w:sz w:val="24"/>
          <w:szCs w:val="24"/>
        </w:rPr>
        <w:t>The implementation of the planned action and achieving of the objectives was closely linked to the National Development Plan for 2014–2020, the Guidelines for the National Identity, Civil Society and Integration Policy for 2012–2018, and policy documents which are relevant for the objectives defined in the Declaration, including the draft Guidelines for the Prevention and Combating of Corruption for 2014–2020 and the draft Guidelines for the Development of Information Society for 2014–2020. The drafts of the two guidelines outline a broad set of measures for reducing of corruption and the implementation of e-administration, including the open data principle.</w:t>
      </w:r>
    </w:p>
    <w:p w:rsidR="00C951C9" w:rsidRPr="00C951C9" w:rsidRDefault="00C951C9" w:rsidP="00863E5E">
      <w:pPr>
        <w:spacing w:after="0" w:line="240" w:lineRule="auto"/>
        <w:ind w:left="720"/>
        <w:jc w:val="both"/>
        <w:rPr>
          <w:rFonts w:ascii="Times New Roman" w:eastAsiaTheme="minorHAnsi" w:hAnsi="Times New Roman"/>
          <w:sz w:val="24"/>
          <w:szCs w:val="24"/>
          <w:highlight w:val="green"/>
          <w:lang w:val="lv-LV"/>
        </w:rPr>
      </w:pPr>
      <w:r w:rsidRPr="00C951C9">
        <w:rPr>
          <w:rFonts w:ascii="Times New Roman" w:eastAsiaTheme="minorHAnsi" w:hAnsi="Times New Roman"/>
          <w:sz w:val="24"/>
          <w:szCs w:val="24"/>
          <w:lang w:val="lv-LV"/>
        </w:rPr>
        <w:t xml:space="preserve">The </w:t>
      </w:r>
      <w:r w:rsidRPr="00C951C9">
        <w:rPr>
          <w:rFonts w:ascii="Times New Roman" w:eastAsiaTheme="minorHAnsi" w:hAnsi="Times New Roman"/>
          <w:sz w:val="24"/>
          <w:szCs w:val="24"/>
        </w:rPr>
        <w:t xml:space="preserve">draft Guidelines for the Prevention and Combating of Corruption for 2014–2020 establish the main objective: while upholding the principle of good governance and effective management of human resources, ensure a trustworthy functioning of any institution or organisation, and establish a single framework for cooperation between the government and the general public that promotes understanding of the significance of integrity in public administration. </w:t>
      </w:r>
    </w:p>
    <w:p w:rsidR="00C951C9" w:rsidRPr="00C951C9" w:rsidRDefault="00C951C9" w:rsidP="00863E5E">
      <w:pPr>
        <w:spacing w:after="0" w:line="240" w:lineRule="auto"/>
        <w:ind w:left="720"/>
        <w:jc w:val="both"/>
        <w:rPr>
          <w:rFonts w:ascii="Times New Roman" w:eastAsiaTheme="minorHAnsi" w:hAnsi="Times New Roman"/>
          <w:sz w:val="24"/>
          <w:szCs w:val="24"/>
          <w:lang w:val="lv-LV"/>
        </w:rPr>
      </w:pPr>
      <w:r w:rsidRPr="00C951C9">
        <w:rPr>
          <w:rFonts w:ascii="Times New Roman" w:eastAsiaTheme="minorHAnsi" w:hAnsi="Times New Roman"/>
          <w:sz w:val="24"/>
          <w:szCs w:val="24"/>
        </w:rPr>
        <w:t>To achieve the main objective of the corruption prevention and combating policy, the following sub-objectives have been formulated:</w:t>
      </w:r>
      <w:r w:rsidRPr="00C951C9">
        <w:rPr>
          <w:rFonts w:ascii="Times New Roman" w:eastAsiaTheme="minorHAnsi" w:hAnsi="Times New Roman"/>
          <w:sz w:val="24"/>
          <w:szCs w:val="24"/>
          <w:lang w:val="lv-LV"/>
        </w:rPr>
        <w:t xml:space="preserve"> </w:t>
      </w:r>
    </w:p>
    <w:p w:rsidR="00C951C9" w:rsidRPr="00C951C9" w:rsidRDefault="00C951C9" w:rsidP="00863E5E">
      <w:pPr>
        <w:numPr>
          <w:ilvl w:val="0"/>
          <w:numId w:val="9"/>
        </w:numPr>
        <w:spacing w:after="0" w:line="240" w:lineRule="auto"/>
        <w:jc w:val="both"/>
        <w:rPr>
          <w:rFonts w:ascii="Times New Roman" w:eastAsiaTheme="minorHAnsi" w:hAnsi="Times New Roman"/>
          <w:sz w:val="24"/>
          <w:szCs w:val="24"/>
        </w:rPr>
      </w:pPr>
      <w:r w:rsidRPr="00C951C9">
        <w:rPr>
          <w:rFonts w:ascii="Times New Roman" w:eastAsiaTheme="minorHAnsi" w:hAnsi="Times New Roman"/>
          <w:sz w:val="24"/>
          <w:szCs w:val="24"/>
        </w:rPr>
        <w:lastRenderedPageBreak/>
        <w:t xml:space="preserve">Ensure human resource management policy in public administration that would exclude motivation for corruptive actions; </w:t>
      </w:r>
    </w:p>
    <w:p w:rsidR="00C951C9" w:rsidRPr="00C951C9" w:rsidRDefault="00C951C9" w:rsidP="00863E5E">
      <w:pPr>
        <w:numPr>
          <w:ilvl w:val="0"/>
          <w:numId w:val="9"/>
        </w:numPr>
        <w:spacing w:after="0" w:line="240" w:lineRule="auto"/>
        <w:jc w:val="both"/>
        <w:rPr>
          <w:rFonts w:ascii="Times New Roman" w:eastAsiaTheme="minorHAnsi" w:hAnsi="Times New Roman"/>
          <w:sz w:val="24"/>
          <w:szCs w:val="24"/>
        </w:rPr>
      </w:pPr>
      <w:r w:rsidRPr="00C951C9">
        <w:rPr>
          <w:rFonts w:ascii="Times New Roman" w:eastAsiaTheme="minorHAnsi" w:hAnsi="Times New Roman"/>
          <w:sz w:val="24"/>
          <w:szCs w:val="24"/>
        </w:rPr>
        <w:t>Establish a permanently functioning internal control system that would eliminate as much as possible the pre-conditions for corruption in the public and private sector;</w:t>
      </w:r>
    </w:p>
    <w:p w:rsidR="00C951C9" w:rsidRPr="00C951C9" w:rsidRDefault="00C951C9" w:rsidP="00863E5E">
      <w:pPr>
        <w:numPr>
          <w:ilvl w:val="0"/>
          <w:numId w:val="9"/>
        </w:numPr>
        <w:spacing w:after="0" w:line="240" w:lineRule="auto"/>
        <w:jc w:val="both"/>
        <w:rPr>
          <w:rFonts w:ascii="Times New Roman" w:eastAsiaTheme="minorHAnsi" w:hAnsi="Times New Roman"/>
          <w:sz w:val="24"/>
          <w:szCs w:val="24"/>
        </w:rPr>
      </w:pPr>
      <w:r w:rsidRPr="00C951C9">
        <w:rPr>
          <w:rFonts w:ascii="Times New Roman" w:eastAsiaTheme="minorHAnsi" w:hAnsi="Times New Roman"/>
          <w:sz w:val="24"/>
          <w:szCs w:val="24"/>
        </w:rPr>
        <w:t>Reduce tolerance for corruption among the general public;</w:t>
      </w:r>
    </w:p>
    <w:p w:rsidR="00C951C9" w:rsidRPr="00C951C9" w:rsidRDefault="00C951C9" w:rsidP="00863E5E">
      <w:pPr>
        <w:numPr>
          <w:ilvl w:val="0"/>
          <w:numId w:val="9"/>
        </w:numPr>
        <w:spacing w:after="0" w:line="240" w:lineRule="auto"/>
        <w:jc w:val="both"/>
        <w:rPr>
          <w:rFonts w:ascii="Times New Roman" w:eastAsiaTheme="minorHAnsi" w:hAnsi="Times New Roman"/>
          <w:sz w:val="24"/>
          <w:szCs w:val="24"/>
        </w:rPr>
      </w:pPr>
      <w:r w:rsidRPr="00C951C9">
        <w:rPr>
          <w:rFonts w:ascii="Times New Roman" w:eastAsiaTheme="minorHAnsi" w:hAnsi="Times New Roman"/>
          <w:sz w:val="24"/>
          <w:szCs w:val="24"/>
        </w:rPr>
        <w:t>Ensure inevitability of punishment for offences involving abuse of office;</w:t>
      </w:r>
    </w:p>
    <w:p w:rsidR="00C951C9" w:rsidRPr="00C951C9" w:rsidRDefault="00C951C9" w:rsidP="00863E5E">
      <w:pPr>
        <w:numPr>
          <w:ilvl w:val="0"/>
          <w:numId w:val="9"/>
        </w:numPr>
        <w:spacing w:after="0" w:line="240" w:lineRule="auto"/>
        <w:jc w:val="both"/>
        <w:rPr>
          <w:rFonts w:ascii="Times New Roman" w:eastAsiaTheme="minorHAnsi" w:hAnsi="Times New Roman"/>
          <w:sz w:val="24"/>
          <w:szCs w:val="24"/>
        </w:rPr>
      </w:pPr>
      <w:r w:rsidRPr="00C951C9">
        <w:rPr>
          <w:rFonts w:ascii="Times New Roman" w:eastAsiaTheme="minorHAnsi" w:hAnsi="Times New Roman"/>
          <w:sz w:val="24"/>
          <w:szCs w:val="24"/>
        </w:rPr>
        <w:t>Restrict the power of money in politics.</w:t>
      </w:r>
    </w:p>
    <w:p w:rsidR="0060609D" w:rsidRPr="0060609D" w:rsidRDefault="0060609D" w:rsidP="00863E5E">
      <w:pPr>
        <w:spacing w:after="0" w:line="240" w:lineRule="auto"/>
        <w:ind w:left="720"/>
        <w:contextualSpacing/>
        <w:rPr>
          <w:rFonts w:ascii="Times New Roman" w:eastAsiaTheme="minorHAnsi" w:hAnsi="Times New Roman"/>
          <w:sz w:val="24"/>
          <w:szCs w:val="24"/>
        </w:rPr>
      </w:pPr>
    </w:p>
    <w:p w:rsidR="0060609D" w:rsidRPr="0060609D" w:rsidRDefault="0060609D" w:rsidP="00863E5E">
      <w:pPr>
        <w:spacing w:after="0" w:line="240" w:lineRule="auto"/>
        <w:contextualSpacing/>
        <w:jc w:val="center"/>
        <w:rPr>
          <w:rFonts w:ascii="Times New Roman" w:eastAsiaTheme="minorHAnsi" w:hAnsi="Times New Roman"/>
          <w:b/>
          <w:sz w:val="24"/>
          <w:szCs w:val="24"/>
        </w:rPr>
      </w:pPr>
      <w:r>
        <w:rPr>
          <w:rFonts w:ascii="Times New Roman" w:eastAsiaTheme="minorHAnsi" w:hAnsi="Times New Roman"/>
          <w:b/>
          <w:sz w:val="24"/>
          <w:szCs w:val="24"/>
        </w:rPr>
        <w:t xml:space="preserve">2. </w:t>
      </w:r>
      <w:r w:rsidRPr="0060609D">
        <w:rPr>
          <w:rFonts w:ascii="Times New Roman" w:eastAsiaTheme="minorHAnsi" w:hAnsi="Times New Roman"/>
          <w:b/>
          <w:sz w:val="24"/>
          <w:szCs w:val="24"/>
        </w:rPr>
        <w:t>Overview of the measures implemented</w:t>
      </w:r>
    </w:p>
    <w:p w:rsidR="0060609D" w:rsidRPr="0060609D" w:rsidRDefault="0060609D" w:rsidP="00863E5E">
      <w:pPr>
        <w:spacing w:after="0" w:line="240" w:lineRule="auto"/>
        <w:ind w:left="720"/>
        <w:contextualSpacing/>
        <w:rPr>
          <w:rFonts w:ascii="Times New Roman" w:eastAsiaTheme="minorHAnsi" w:hAnsi="Times New Roman"/>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Within the framework of the four areas specified in Latvia’s first National Action Plan, 17 measures were identified, which targeted concrete improvements towards people-friendly, effective, open and fair public administration.   </w:t>
      </w: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The Independent Reporting Mechanism established that five measures have been fully implemented, while others remain in various stages of completion. The five implemented measures are as follows: </w:t>
      </w:r>
    </w:p>
    <w:p w:rsidR="0060609D" w:rsidRPr="0060609D" w:rsidRDefault="0060609D" w:rsidP="00863E5E">
      <w:pPr>
        <w:spacing w:after="0" w:line="240" w:lineRule="auto"/>
        <w:ind w:left="720"/>
        <w:contextualSpacing/>
        <w:jc w:val="both"/>
        <w:rPr>
          <w:rFonts w:ascii="Times New Roman" w:eastAsiaTheme="minorHAnsi" w:hAnsi="Times New Roman"/>
          <w:sz w:val="24"/>
          <w:szCs w:val="24"/>
        </w:rPr>
      </w:pP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The assessment of NGO participation in the study entitled "Assessment of mechanisms for the involvement of non-governmental organisations in the Cabinet of Ministers  decision making processes and formulation of proposals for the improvement of those mechanisms", which provided information on the desired directions for the improvement of civil society involvement in public administration, which includes participation in the drafting of planning documents and legislation at as early stage as possible.  </w:t>
      </w:r>
    </w:p>
    <w:p w:rsidR="0060609D" w:rsidRPr="0060609D" w:rsidRDefault="0060609D" w:rsidP="00863E5E">
      <w:pPr>
        <w:spacing w:after="0" w:line="240" w:lineRule="auto"/>
        <w:ind w:left="1080"/>
        <w:contextualSpacing/>
        <w:jc w:val="both"/>
        <w:rPr>
          <w:rFonts w:ascii="Times New Roman" w:eastAsiaTheme="minorHAnsi" w:hAnsi="Times New Roman"/>
          <w:sz w:val="24"/>
          <w:szCs w:val="24"/>
        </w:rPr>
      </w:pP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color w:val="000000"/>
          <w:sz w:val="24"/>
          <w:szCs w:val="24"/>
        </w:rPr>
        <w:t xml:space="preserve">The online broadcasting of the Cabinet of Ministers and the Saeima sessions to ensure that the general public has a possibility for directly following most of the politicians’ professional activities. </w:t>
      </w:r>
    </w:p>
    <w:p w:rsidR="0060609D" w:rsidRPr="0060609D" w:rsidRDefault="0060609D" w:rsidP="00863E5E">
      <w:pPr>
        <w:spacing w:after="0" w:line="240" w:lineRule="auto"/>
        <w:jc w:val="both"/>
        <w:rPr>
          <w:rFonts w:ascii="Times New Roman" w:eastAsiaTheme="minorHAnsi" w:hAnsi="Times New Roman"/>
          <w:sz w:val="24"/>
          <w:szCs w:val="24"/>
        </w:rPr>
      </w:pP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Work has been started to ensure a broad coverage of public internet access points across Latvia. During the first stage of the project, at least 165 access points are planned to be set up by 2015, while the second stage is to be implemented by 2018. In total in Latvia, it has been envisaged to establish 500 connection points in various locations.  </w:t>
      </w:r>
    </w:p>
    <w:p w:rsidR="0060609D" w:rsidRPr="0060609D" w:rsidRDefault="0060609D" w:rsidP="00863E5E">
      <w:pPr>
        <w:autoSpaceDE w:val="0"/>
        <w:autoSpaceDN w:val="0"/>
        <w:adjustRightInd w:val="0"/>
        <w:spacing w:after="0" w:line="240" w:lineRule="auto"/>
        <w:ind w:left="720"/>
        <w:rPr>
          <w:rFonts w:ascii="Times New Roman" w:eastAsiaTheme="minorHAnsi" w:hAnsi="Times New Roman"/>
          <w:color w:val="000000"/>
          <w:sz w:val="24"/>
          <w:szCs w:val="24"/>
        </w:rPr>
      </w:pP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The assessment of public services has been carried out for the introduction of ‘a one-stop shop’ thus identifying what is required for an effective delivery of public services and reducing the administrative burden on the general public.</w:t>
      </w:r>
    </w:p>
    <w:p w:rsidR="0060609D" w:rsidRPr="0060609D" w:rsidRDefault="0060609D" w:rsidP="00863E5E">
      <w:pPr>
        <w:spacing w:after="0" w:line="240" w:lineRule="auto"/>
        <w:ind w:left="1080"/>
        <w:contextualSpacing/>
        <w:jc w:val="both"/>
        <w:rPr>
          <w:rFonts w:ascii="Times New Roman" w:eastAsiaTheme="minorHAnsi" w:hAnsi="Times New Roman"/>
          <w:sz w:val="24"/>
          <w:szCs w:val="24"/>
        </w:rPr>
      </w:pP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color w:val="000000"/>
          <w:sz w:val="24"/>
          <w:szCs w:val="24"/>
        </w:rPr>
        <w:t xml:space="preserve">The provision of e-services at the National Land Service was improved, which considerably reduced the administrative burden on people who handle real estate related matters. The Electronic Declaration System of the State Revenues Service has also been upgraded.  </w:t>
      </w:r>
    </w:p>
    <w:p w:rsidR="0060609D" w:rsidRPr="0060609D" w:rsidRDefault="0060609D" w:rsidP="00863E5E">
      <w:pPr>
        <w:spacing w:after="0" w:line="240" w:lineRule="auto"/>
        <w:ind w:left="1080"/>
        <w:contextualSpacing/>
        <w:jc w:val="both"/>
        <w:rPr>
          <w:rFonts w:ascii="Times New Roman" w:eastAsiaTheme="minorHAnsi" w:hAnsi="Times New Roman"/>
          <w:sz w:val="24"/>
          <w:szCs w:val="24"/>
        </w:rPr>
      </w:pPr>
    </w:p>
    <w:p w:rsidR="0060609D" w:rsidRPr="0060609D" w:rsidRDefault="0060609D" w:rsidP="00863E5E">
      <w:pPr>
        <w:spacing w:after="0" w:line="240" w:lineRule="auto"/>
        <w:jc w:val="both"/>
        <w:rPr>
          <w:rFonts w:ascii="Times New Roman" w:eastAsiaTheme="minorHAnsi" w:hAnsi="Times New Roman"/>
          <w:sz w:val="24"/>
          <w:szCs w:val="24"/>
        </w:rPr>
      </w:pPr>
      <w:r w:rsidRPr="0060609D">
        <w:rPr>
          <w:rFonts w:ascii="Times New Roman" w:eastAsiaTheme="minorHAnsi" w:hAnsi="Times New Roman"/>
          <w:sz w:val="24"/>
          <w:szCs w:val="24"/>
        </w:rPr>
        <w:lastRenderedPageBreak/>
        <w:t xml:space="preserve">In the reporting period following the Report by the </w:t>
      </w:r>
      <w:r w:rsidRPr="0060609D">
        <w:rPr>
          <w:rFonts w:ascii="Times New Roman" w:eastAsiaTheme="minorHAnsi" w:hAnsi="Times New Roman"/>
          <w:bCs/>
          <w:color w:val="222222"/>
          <w:sz w:val="24"/>
          <w:szCs w:val="24"/>
        </w:rPr>
        <w:t>Independent Reporting Mechanism, the following measures have also been completed.</w:t>
      </w:r>
    </w:p>
    <w:p w:rsidR="0060609D" w:rsidRPr="0060609D" w:rsidRDefault="0060609D" w:rsidP="00863E5E">
      <w:pPr>
        <w:numPr>
          <w:ilvl w:val="0"/>
          <w:numId w:val="3"/>
        </w:numPr>
        <w:spacing w:after="0" w:line="240" w:lineRule="auto"/>
        <w:contextualSpacing/>
        <w:jc w:val="both"/>
        <w:rPr>
          <w:rFonts w:ascii="Times New Roman" w:eastAsiaTheme="minorHAnsi" w:hAnsi="Times New Roman"/>
          <w:sz w:val="24"/>
          <w:szCs w:val="24"/>
        </w:rPr>
      </w:pPr>
      <w:r w:rsidRPr="0060609D">
        <w:rPr>
          <w:rFonts w:ascii="Times New Roman" w:eastAsiaTheme="minorHAnsi" w:hAnsi="Times New Roman"/>
          <w:sz w:val="24"/>
          <w:szCs w:val="24"/>
        </w:rPr>
        <w:t xml:space="preserve">On 6 March 2014, the Saeima adopted “Trade Union Law” that will come into force on 1 November 2014. </w:t>
      </w:r>
    </w:p>
    <w:p w:rsidR="00E035E6" w:rsidRPr="00037467" w:rsidRDefault="00E035E6" w:rsidP="00863E5E">
      <w:pPr>
        <w:spacing w:after="0" w:line="240" w:lineRule="auto"/>
        <w:rPr>
          <w:rFonts w:ascii="Times New Roman" w:eastAsiaTheme="minorHAnsi" w:hAnsi="Times New Roman"/>
          <w:sz w:val="24"/>
          <w:szCs w:val="24"/>
        </w:rPr>
      </w:pPr>
    </w:p>
    <w:p w:rsidR="00E035E6" w:rsidRPr="00037467" w:rsidRDefault="0060609D" w:rsidP="00863E5E">
      <w:pPr>
        <w:spacing w:after="0" w:line="240" w:lineRule="auto"/>
        <w:contextualSpacing/>
        <w:jc w:val="center"/>
        <w:rPr>
          <w:rFonts w:ascii="Times New Roman" w:eastAsiaTheme="minorHAnsi" w:hAnsi="Times New Roman"/>
          <w:sz w:val="24"/>
          <w:szCs w:val="24"/>
        </w:rPr>
      </w:pPr>
      <w:r>
        <w:rPr>
          <w:rFonts w:ascii="Times New Roman" w:eastAsiaTheme="minorHAnsi" w:hAnsi="Times New Roman"/>
          <w:b/>
          <w:sz w:val="24"/>
          <w:szCs w:val="24"/>
        </w:rPr>
        <w:t xml:space="preserve">3. </w:t>
      </w:r>
      <w:r w:rsidR="00C10D70" w:rsidRPr="00037467">
        <w:rPr>
          <w:rFonts w:ascii="Times New Roman" w:eastAsiaTheme="minorHAnsi" w:hAnsi="Times New Roman"/>
          <w:b/>
          <w:sz w:val="24"/>
          <w:szCs w:val="24"/>
        </w:rPr>
        <w:t>The Process</w:t>
      </w:r>
    </w:p>
    <w:p w:rsidR="00B9139B" w:rsidRPr="00037467" w:rsidRDefault="00943447" w:rsidP="00863E5E">
      <w:pPr>
        <w:spacing w:after="0" w:line="240" w:lineRule="auto"/>
        <w:contextualSpacing/>
        <w:jc w:val="both"/>
        <w:rPr>
          <w:rFonts w:ascii="Times New Roman" w:eastAsiaTheme="minorHAnsi" w:hAnsi="Times New Roman"/>
          <w:sz w:val="24"/>
          <w:szCs w:val="24"/>
        </w:rPr>
      </w:pPr>
      <w:r w:rsidRPr="00037467">
        <w:rPr>
          <w:rFonts w:ascii="Times New Roman" w:eastAsiaTheme="minorHAnsi" w:hAnsi="Times New Roman"/>
          <w:sz w:val="24"/>
          <w:szCs w:val="24"/>
        </w:rPr>
        <w:t xml:space="preserve">Although the independent assessment mechanism found other activities not being directly linked to the Open Government Partnership principles, the implementation of those activates will continue as much as possible, and the progress will be reported in the next self-assessments. </w:t>
      </w:r>
    </w:p>
    <w:p w:rsidR="00943447" w:rsidRPr="00037467" w:rsidRDefault="00C10D70" w:rsidP="00863E5E">
      <w:pPr>
        <w:spacing w:after="0" w:line="240" w:lineRule="auto"/>
        <w:jc w:val="both"/>
        <w:rPr>
          <w:rFonts w:ascii="Times New Roman" w:eastAsiaTheme="minorHAnsi" w:hAnsi="Times New Roman"/>
          <w:sz w:val="24"/>
          <w:szCs w:val="24"/>
        </w:rPr>
      </w:pPr>
      <w:r w:rsidRPr="00037467">
        <w:rPr>
          <w:rFonts w:ascii="Times New Roman" w:eastAsiaTheme="minorHAnsi" w:hAnsi="Times New Roman"/>
          <w:sz w:val="24"/>
          <w:szCs w:val="24"/>
        </w:rPr>
        <w:t>Latvia's second Action P</w:t>
      </w:r>
      <w:r w:rsidR="00943447" w:rsidRPr="00037467">
        <w:rPr>
          <w:rFonts w:ascii="Times New Roman" w:eastAsiaTheme="minorHAnsi" w:hAnsi="Times New Roman"/>
          <w:sz w:val="24"/>
          <w:szCs w:val="24"/>
        </w:rPr>
        <w:t xml:space="preserve">lan highlights commitments that have direct impact on achieving the above listed objectives set by Latvia and the overall OGP objectives.  </w:t>
      </w:r>
    </w:p>
    <w:p w:rsidR="00943447" w:rsidRPr="00037467" w:rsidRDefault="00943447" w:rsidP="00863E5E">
      <w:pPr>
        <w:spacing w:after="0" w:line="240" w:lineRule="auto"/>
        <w:jc w:val="both"/>
        <w:rPr>
          <w:rFonts w:ascii="Times New Roman" w:eastAsiaTheme="minorHAnsi" w:hAnsi="Times New Roman"/>
          <w:sz w:val="24"/>
          <w:szCs w:val="24"/>
        </w:rPr>
      </w:pPr>
      <w:r w:rsidRPr="00037467">
        <w:rPr>
          <w:rFonts w:ascii="Times New Roman" w:eastAsiaTheme="minorHAnsi" w:hAnsi="Times New Roman"/>
          <w:sz w:val="24"/>
          <w:szCs w:val="24"/>
        </w:rPr>
        <w:t>Recommendation from civil society organisations had a considerable role in identifying issues and main objectives to be addressed by the second action plan. Co</w:t>
      </w:r>
      <w:r w:rsidR="003A6EDB" w:rsidRPr="00037467">
        <w:rPr>
          <w:rFonts w:ascii="Times New Roman" w:eastAsiaTheme="minorHAnsi" w:hAnsi="Times New Roman"/>
          <w:sz w:val="24"/>
          <w:szCs w:val="24"/>
        </w:rPr>
        <w:t xml:space="preserve">nsultations about them were held at a meeting on 14 July 2014 with the participation of representatives from six different public bodies and nine civil society organisations. </w:t>
      </w:r>
    </w:p>
    <w:tbl>
      <w:tblPr>
        <w:tblStyle w:val="TableGrid"/>
        <w:tblW w:w="8793" w:type="dxa"/>
        <w:tblLook w:val="04A0" w:firstRow="1" w:lastRow="0" w:firstColumn="1" w:lastColumn="0" w:noHBand="0" w:noVBand="1"/>
      </w:tblPr>
      <w:tblGrid>
        <w:gridCol w:w="2007"/>
        <w:gridCol w:w="2049"/>
        <w:gridCol w:w="1641"/>
        <w:gridCol w:w="1643"/>
        <w:gridCol w:w="1453"/>
      </w:tblGrid>
      <w:tr w:rsidR="00E035E6" w:rsidRPr="00037467" w:rsidTr="00E035E6">
        <w:trPr>
          <w:trHeight w:val="255"/>
        </w:trPr>
        <w:tc>
          <w:tcPr>
            <w:tcW w:w="8793" w:type="dxa"/>
            <w:gridSpan w:val="5"/>
            <w:tcBorders>
              <w:top w:val="nil"/>
              <w:left w:val="nil"/>
              <w:right w:val="nil"/>
            </w:tcBorders>
          </w:tcPr>
          <w:p w:rsidR="00E035E6" w:rsidRPr="00037467" w:rsidRDefault="00E035E6" w:rsidP="00863E5E">
            <w:pPr>
              <w:pStyle w:val="NoSpacing"/>
              <w:rPr>
                <w:rFonts w:ascii="Times New Roman" w:hAnsi="Times New Roman" w:cs="Times New Roman"/>
                <w:sz w:val="24"/>
                <w:szCs w:val="24"/>
                <w:lang w:val="en-GB"/>
              </w:rPr>
            </w:pPr>
          </w:p>
        </w:tc>
      </w:tr>
      <w:tr w:rsidR="00E035E6" w:rsidRPr="00037467" w:rsidTr="00E035E6">
        <w:trPr>
          <w:trHeight w:val="285"/>
        </w:trPr>
        <w:tc>
          <w:tcPr>
            <w:tcW w:w="8793" w:type="dxa"/>
            <w:gridSpan w:val="5"/>
          </w:tcPr>
          <w:p w:rsidR="001E74A4" w:rsidRPr="00037467" w:rsidRDefault="00842D1A" w:rsidP="00863E5E">
            <w:pPr>
              <w:pStyle w:val="NoSpacing"/>
              <w:jc w:val="center"/>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Name and number of the </w:t>
            </w:r>
            <w:r w:rsidR="00050B9D" w:rsidRPr="00037467">
              <w:rPr>
                <w:rFonts w:ascii="Times New Roman" w:hAnsi="Times New Roman" w:cs="Times New Roman"/>
                <w:sz w:val="24"/>
                <w:szCs w:val="24"/>
                <w:lang w:val="en-GB"/>
              </w:rPr>
              <w:t>Commitment</w:t>
            </w:r>
          </w:p>
        </w:tc>
      </w:tr>
      <w:tr w:rsidR="00E035E6" w:rsidRPr="00037467" w:rsidTr="00E035E6">
        <w:tc>
          <w:tcPr>
            <w:tcW w:w="8793" w:type="dxa"/>
            <w:gridSpan w:val="5"/>
          </w:tcPr>
          <w:p w:rsidR="00E035E6" w:rsidRPr="00037467" w:rsidRDefault="00050B9D" w:rsidP="00863E5E">
            <w:pPr>
              <w:pStyle w:val="NoSpacing"/>
              <w:jc w:val="center"/>
              <w:rPr>
                <w:rFonts w:ascii="Times New Roman" w:hAnsi="Times New Roman" w:cs="Times New Roman"/>
                <w:b/>
                <w:bCs/>
                <w:color w:val="000000"/>
                <w:sz w:val="24"/>
                <w:szCs w:val="24"/>
                <w:lang w:val="en-GB"/>
              </w:rPr>
            </w:pPr>
            <w:r w:rsidRPr="00037467">
              <w:rPr>
                <w:rFonts w:ascii="Times New Roman" w:hAnsi="Times New Roman" w:cs="Times New Roman"/>
                <w:b/>
                <w:bCs/>
                <w:color w:val="000000"/>
                <w:sz w:val="24"/>
                <w:szCs w:val="24"/>
                <w:lang w:val="en-GB"/>
              </w:rPr>
              <w:t xml:space="preserve">1. </w:t>
            </w:r>
            <w:r w:rsidR="00842D1A" w:rsidRPr="00037467">
              <w:rPr>
                <w:rFonts w:ascii="Times New Roman" w:hAnsi="Times New Roman" w:cs="Times New Roman"/>
                <w:b/>
                <w:bCs/>
                <w:color w:val="000000"/>
                <w:sz w:val="24"/>
                <w:szCs w:val="24"/>
                <w:lang w:val="en-GB"/>
              </w:rPr>
              <w:t>Concept Paper</w:t>
            </w:r>
            <w:r w:rsidR="003827E6" w:rsidRPr="00037467">
              <w:rPr>
                <w:rFonts w:ascii="Times New Roman" w:hAnsi="Times New Roman" w:cs="Times New Roman"/>
                <w:b/>
                <w:bCs/>
                <w:color w:val="000000"/>
                <w:sz w:val="24"/>
                <w:szCs w:val="24"/>
                <w:lang w:val="en-GB"/>
              </w:rPr>
              <w:t xml:space="preserve"> on Publishing </w:t>
            </w:r>
            <w:r w:rsidR="009E3B0D" w:rsidRPr="00037467">
              <w:rPr>
                <w:rFonts w:ascii="Times New Roman" w:hAnsi="Times New Roman" w:cs="Times New Roman"/>
                <w:b/>
                <w:bCs/>
                <w:color w:val="000000"/>
                <w:sz w:val="24"/>
                <w:szCs w:val="24"/>
                <w:lang w:val="en-GB"/>
              </w:rPr>
              <w:t>the Public Sector Data</w:t>
            </w:r>
            <w:r w:rsidR="003827E6" w:rsidRPr="00037467">
              <w:rPr>
                <w:rFonts w:ascii="Times New Roman" w:hAnsi="Times New Roman" w:cs="Times New Roman"/>
                <w:b/>
                <w:bCs/>
                <w:color w:val="000000"/>
                <w:sz w:val="24"/>
                <w:szCs w:val="24"/>
                <w:lang w:val="en-GB"/>
              </w:rPr>
              <w:t xml:space="preserve"> in a Machine Readable Format (Open Data)</w:t>
            </w:r>
          </w:p>
          <w:p w:rsidR="00050B9D" w:rsidRPr="00037467" w:rsidRDefault="00050B9D" w:rsidP="00863E5E">
            <w:pPr>
              <w:pStyle w:val="NoSpacing"/>
              <w:jc w:val="center"/>
              <w:rPr>
                <w:rFonts w:ascii="Times New Roman" w:hAnsi="Times New Roman" w:cs="Times New Roman"/>
                <w:b/>
                <w:sz w:val="24"/>
                <w:szCs w:val="24"/>
                <w:lang w:val="en-GB"/>
              </w:rPr>
            </w:pPr>
          </w:p>
        </w:tc>
      </w:tr>
      <w:tr w:rsidR="00E035E6" w:rsidRPr="00037467" w:rsidTr="00E035E6">
        <w:tc>
          <w:tcPr>
            <w:tcW w:w="4261" w:type="dxa"/>
            <w:gridSpan w:val="2"/>
          </w:tcPr>
          <w:p w:rsidR="00DD338F"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Lead agency</w:t>
            </w:r>
          </w:p>
        </w:tc>
        <w:tc>
          <w:tcPr>
            <w:tcW w:w="4532" w:type="dxa"/>
            <w:gridSpan w:val="3"/>
          </w:tcPr>
          <w:p w:rsidR="00050B9D"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Ministry of Environmental Protection and Regional Development</w:t>
            </w:r>
          </w:p>
        </w:tc>
      </w:tr>
      <w:tr w:rsidR="00E035E6" w:rsidRPr="00037467" w:rsidTr="00E035E6">
        <w:trPr>
          <w:trHeight w:val="105"/>
        </w:trPr>
        <w:tc>
          <w:tcPr>
            <w:tcW w:w="2130" w:type="dxa"/>
            <w:vMerge w:val="restart"/>
          </w:tcPr>
          <w:p w:rsidR="00DD338F" w:rsidRPr="00037467" w:rsidRDefault="00DD338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w:t>
            </w:r>
            <w:r w:rsidR="00050B9D" w:rsidRPr="00037467">
              <w:rPr>
                <w:rFonts w:ascii="Times New Roman" w:hAnsi="Times New Roman" w:cs="Times New Roman"/>
                <w:sz w:val="24"/>
                <w:szCs w:val="24"/>
                <w:lang w:val="en-GB"/>
              </w:rPr>
              <w:t xml:space="preserve">involved </w:t>
            </w:r>
            <w:r w:rsidRPr="00037467">
              <w:rPr>
                <w:rFonts w:ascii="Times New Roman" w:hAnsi="Times New Roman" w:cs="Times New Roman"/>
                <w:sz w:val="24"/>
                <w:szCs w:val="24"/>
                <w:lang w:val="en-GB"/>
              </w:rPr>
              <w:t xml:space="preserve">actors </w:t>
            </w:r>
          </w:p>
        </w:tc>
        <w:tc>
          <w:tcPr>
            <w:tcW w:w="2131" w:type="dxa"/>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532" w:type="dxa"/>
            <w:gridSpan w:val="3"/>
            <w:vMerge w:val="restart"/>
          </w:tcPr>
          <w:p w:rsidR="00E035E6" w:rsidRPr="00037467" w:rsidRDefault="00E035E6" w:rsidP="00863E5E">
            <w:pPr>
              <w:pStyle w:val="NoSpacing"/>
              <w:jc w:val="both"/>
              <w:rPr>
                <w:rFonts w:ascii="Times New Roman" w:hAnsi="Times New Roman" w:cs="Times New Roman"/>
                <w:sz w:val="24"/>
                <w:szCs w:val="24"/>
                <w:lang w:val="en-GB"/>
              </w:rPr>
            </w:pPr>
          </w:p>
        </w:tc>
      </w:tr>
      <w:tr w:rsidR="00E035E6" w:rsidRPr="00037467" w:rsidTr="00E035E6">
        <w:trPr>
          <w:trHeight w:val="105"/>
        </w:trPr>
        <w:tc>
          <w:tcPr>
            <w:tcW w:w="2130" w:type="dxa"/>
            <w:vMerge/>
          </w:tcPr>
          <w:p w:rsidR="00E035E6" w:rsidRPr="00037467" w:rsidRDefault="00E035E6" w:rsidP="00863E5E">
            <w:pPr>
              <w:pStyle w:val="NoSpacing"/>
              <w:rPr>
                <w:rFonts w:ascii="Times New Roman" w:hAnsi="Times New Roman" w:cs="Times New Roman"/>
                <w:sz w:val="24"/>
                <w:szCs w:val="24"/>
                <w:lang w:val="en-GB"/>
              </w:rPr>
            </w:pPr>
          </w:p>
        </w:tc>
        <w:tc>
          <w:tcPr>
            <w:tcW w:w="2131" w:type="dxa"/>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Civil Society, Private Sector</w:t>
            </w:r>
          </w:p>
        </w:tc>
        <w:tc>
          <w:tcPr>
            <w:tcW w:w="4532" w:type="dxa"/>
            <w:gridSpan w:val="3"/>
            <w:vMerge/>
          </w:tcPr>
          <w:p w:rsidR="00E035E6" w:rsidRPr="00037467" w:rsidRDefault="00E035E6" w:rsidP="00863E5E">
            <w:pPr>
              <w:pStyle w:val="NoSpacing"/>
              <w:rPr>
                <w:rFonts w:ascii="Times New Roman" w:hAnsi="Times New Roman" w:cs="Times New Roman"/>
                <w:sz w:val="24"/>
                <w:szCs w:val="24"/>
                <w:lang w:val="en-GB"/>
              </w:rPr>
            </w:pPr>
          </w:p>
        </w:tc>
      </w:tr>
      <w:tr w:rsidR="00E035E6" w:rsidRPr="00037467" w:rsidTr="00E035E6">
        <w:tc>
          <w:tcPr>
            <w:tcW w:w="4261"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Status quo or p</w:t>
            </w:r>
            <w:r w:rsidR="00DD338F" w:rsidRPr="00037467">
              <w:rPr>
                <w:rFonts w:ascii="Times New Roman" w:hAnsi="Times New Roman" w:cs="Times New Roman"/>
                <w:sz w:val="24"/>
                <w:szCs w:val="24"/>
                <w:lang w:val="en-GB"/>
              </w:rPr>
              <w:t>roblem</w:t>
            </w:r>
            <w:r w:rsidRPr="00037467">
              <w:rPr>
                <w:rFonts w:ascii="Times New Roman" w:hAnsi="Times New Roman" w:cs="Times New Roman"/>
                <w:sz w:val="24"/>
                <w:szCs w:val="24"/>
                <w:lang w:val="en-GB"/>
              </w:rPr>
              <w:t>/issue</w:t>
            </w:r>
            <w:r w:rsidR="00DD338F" w:rsidRPr="00037467">
              <w:rPr>
                <w:rFonts w:ascii="Times New Roman" w:hAnsi="Times New Roman" w:cs="Times New Roman"/>
                <w:sz w:val="24"/>
                <w:szCs w:val="24"/>
                <w:lang w:val="en-GB"/>
              </w:rPr>
              <w:t xml:space="preserve"> to be addressed</w:t>
            </w:r>
          </w:p>
        </w:tc>
        <w:tc>
          <w:tcPr>
            <w:tcW w:w="4532" w:type="dxa"/>
            <w:gridSpan w:val="3"/>
          </w:tcPr>
          <w:p w:rsidR="0079592E" w:rsidRPr="00037467" w:rsidRDefault="00B5382C"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Data and information held by public administration institutions is a resource that offers unexplored economic and social potential. The value of data increases when making them available for the use in creating new commercial products and services, in research, the analysis of public processes. This will have a positive impact, in terms of GDP growth and tax yield, not only on national economies but also directly on the budget revenues, a part of which can be used for sustaining and funding this direction in the activities of public administration.</w:t>
            </w:r>
          </w:p>
        </w:tc>
      </w:tr>
      <w:tr w:rsidR="00E035E6" w:rsidRPr="00037467" w:rsidTr="00E035E6">
        <w:tc>
          <w:tcPr>
            <w:tcW w:w="4261" w:type="dxa"/>
            <w:gridSpan w:val="2"/>
          </w:tcPr>
          <w:p w:rsidR="00DD338F" w:rsidRPr="00037467" w:rsidRDefault="00DD338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M</w:t>
            </w:r>
            <w:r w:rsidR="00050B9D" w:rsidRPr="00037467">
              <w:rPr>
                <w:rFonts w:ascii="Times New Roman" w:hAnsi="Times New Roman" w:cs="Times New Roman"/>
                <w:sz w:val="24"/>
                <w:szCs w:val="24"/>
                <w:lang w:val="en-GB"/>
              </w:rPr>
              <w:t>ain O</w:t>
            </w:r>
            <w:r w:rsidRPr="00037467">
              <w:rPr>
                <w:rFonts w:ascii="Times New Roman" w:hAnsi="Times New Roman" w:cs="Times New Roman"/>
                <w:sz w:val="24"/>
                <w:szCs w:val="24"/>
                <w:lang w:val="en-GB"/>
              </w:rPr>
              <w:t xml:space="preserve">bjective </w:t>
            </w:r>
          </w:p>
        </w:tc>
        <w:tc>
          <w:tcPr>
            <w:tcW w:w="4532" w:type="dxa"/>
            <w:gridSpan w:val="3"/>
          </w:tcPr>
          <w:p w:rsidR="00C10D70" w:rsidRPr="00037467" w:rsidRDefault="00C10D70" w:rsidP="00863E5E">
            <w:pPr>
              <w:pStyle w:val="NoSpacing"/>
              <w:jc w:val="both"/>
              <w:rPr>
                <w:rFonts w:ascii="Times New Roman" w:hAnsi="Times New Roman" w:cs="Times New Roman"/>
                <w:sz w:val="24"/>
                <w:szCs w:val="24"/>
                <w:lang w:val="en-GB"/>
              </w:rPr>
            </w:pPr>
          </w:p>
          <w:p w:rsidR="00842D1A" w:rsidRPr="00037467" w:rsidRDefault="00842D1A"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To achieve that public administration related data are technically and legally accessible, </w:t>
            </w:r>
            <w:r w:rsidR="00A2091D" w:rsidRPr="00037467">
              <w:rPr>
                <w:rFonts w:ascii="Times New Roman" w:hAnsi="Times New Roman" w:cs="Times New Roman"/>
                <w:sz w:val="24"/>
                <w:szCs w:val="24"/>
                <w:lang w:val="en-GB"/>
              </w:rPr>
              <w:t>a</w:t>
            </w:r>
            <w:r w:rsidRPr="00037467">
              <w:rPr>
                <w:rFonts w:ascii="Times New Roman" w:hAnsi="Times New Roman" w:cs="Times New Roman"/>
                <w:sz w:val="24"/>
                <w:szCs w:val="24"/>
                <w:lang w:val="en-GB"/>
              </w:rPr>
              <w:t xml:space="preserve">re published in a proactive format, and their use </w:t>
            </w:r>
            <w:r w:rsidR="003A6EDB" w:rsidRPr="00037467">
              <w:rPr>
                <w:rFonts w:ascii="Times New Roman" w:hAnsi="Times New Roman" w:cs="Times New Roman"/>
                <w:sz w:val="24"/>
                <w:szCs w:val="24"/>
                <w:lang w:val="en-GB"/>
              </w:rPr>
              <w:t xml:space="preserve">is facilitated </w:t>
            </w:r>
            <w:r w:rsidRPr="00037467">
              <w:rPr>
                <w:rFonts w:ascii="Times New Roman" w:hAnsi="Times New Roman" w:cs="Times New Roman"/>
                <w:sz w:val="24"/>
                <w:szCs w:val="24"/>
                <w:lang w:val="en-GB"/>
              </w:rPr>
              <w:t xml:space="preserve">in the creation of new solutions. </w:t>
            </w:r>
          </w:p>
          <w:p w:rsidR="00A2091D" w:rsidRPr="00037467" w:rsidRDefault="00A2091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In order to support and facilitate making of public data available for re-use, the following measures will be supported: </w:t>
            </w:r>
          </w:p>
          <w:p w:rsidR="0055735D"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A2091D" w:rsidRPr="00037467">
              <w:rPr>
                <w:rFonts w:ascii="Times New Roman" w:hAnsi="Times New Roman" w:cs="Times New Roman"/>
                <w:sz w:val="24"/>
                <w:szCs w:val="24"/>
                <w:lang w:val="en-GB"/>
              </w:rPr>
              <w:t>technical soluti</w:t>
            </w:r>
            <w:r w:rsidR="00372C69" w:rsidRPr="00037467">
              <w:rPr>
                <w:rFonts w:ascii="Times New Roman" w:hAnsi="Times New Roman" w:cs="Times New Roman"/>
                <w:sz w:val="24"/>
                <w:szCs w:val="24"/>
                <w:lang w:val="en-GB"/>
              </w:rPr>
              <w:t>ons for preparing and publishing</w:t>
            </w:r>
            <w:r w:rsidR="00A2091D" w:rsidRPr="00037467">
              <w:rPr>
                <w:rFonts w:ascii="Times New Roman" w:hAnsi="Times New Roman" w:cs="Times New Roman"/>
                <w:sz w:val="24"/>
                <w:szCs w:val="24"/>
                <w:lang w:val="en-GB"/>
              </w:rPr>
              <w:t xml:space="preserve"> data in a publicly accessible, </w:t>
            </w:r>
            <w:r w:rsidR="00A2091D" w:rsidRPr="00037467">
              <w:rPr>
                <w:rFonts w:ascii="Times New Roman" w:hAnsi="Times New Roman" w:cs="Times New Roman"/>
                <w:sz w:val="24"/>
                <w:szCs w:val="24"/>
                <w:lang w:val="en-GB"/>
              </w:rPr>
              <w:lastRenderedPageBreak/>
              <w:t>transparent, harmonised</w:t>
            </w:r>
            <w:r w:rsidR="00FD1725" w:rsidRPr="00037467">
              <w:rPr>
                <w:rFonts w:ascii="Times New Roman" w:hAnsi="Times New Roman" w:cs="Times New Roman"/>
                <w:sz w:val="24"/>
                <w:szCs w:val="24"/>
                <w:lang w:val="en-GB"/>
              </w:rPr>
              <w:t xml:space="preserve"> </w:t>
            </w:r>
            <w:r w:rsidR="00A2091D" w:rsidRPr="00037467">
              <w:rPr>
                <w:rFonts w:ascii="Times New Roman" w:hAnsi="Times New Roman" w:cs="Times New Roman"/>
                <w:sz w:val="24"/>
                <w:szCs w:val="24"/>
                <w:lang w:val="en-GB"/>
              </w:rPr>
              <w:t>and automatically processable form</w:t>
            </w:r>
            <w:r w:rsidR="00372C69" w:rsidRPr="00037467">
              <w:rPr>
                <w:rFonts w:ascii="Times New Roman" w:hAnsi="Times New Roman" w:cs="Times New Roman"/>
                <w:sz w:val="24"/>
                <w:szCs w:val="24"/>
                <w:lang w:val="en-GB"/>
              </w:rPr>
              <w:t>, where possible,</w:t>
            </w:r>
            <w:r w:rsidR="00FD1725" w:rsidRPr="00037467">
              <w:rPr>
                <w:rFonts w:ascii="Times New Roman" w:hAnsi="Times New Roman" w:cs="Times New Roman"/>
                <w:sz w:val="24"/>
                <w:szCs w:val="24"/>
                <w:lang w:val="en-GB"/>
              </w:rPr>
              <w:t xml:space="preserve"> </w:t>
            </w:r>
            <w:r w:rsidR="00372C69" w:rsidRPr="00037467">
              <w:rPr>
                <w:rFonts w:ascii="Times New Roman" w:hAnsi="Times New Roman" w:cs="Times New Roman"/>
                <w:sz w:val="24"/>
                <w:szCs w:val="24"/>
                <w:lang w:val="en-GB"/>
              </w:rPr>
              <w:t>while ensuring the protection of personal data;</w:t>
            </w:r>
          </w:p>
          <w:p w:rsidR="0055735D"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372C69" w:rsidRPr="00037467">
              <w:rPr>
                <w:rFonts w:ascii="Times New Roman" w:hAnsi="Times New Roman" w:cs="Times New Roman"/>
                <w:sz w:val="24"/>
                <w:szCs w:val="24"/>
                <w:lang w:val="en-GB"/>
              </w:rPr>
              <w:t xml:space="preserve">establishment of the ICT infrastructure required for sharing to </w:t>
            </w:r>
            <w:r w:rsidR="00FD1725" w:rsidRPr="00037467">
              <w:rPr>
                <w:rFonts w:ascii="Times New Roman" w:hAnsi="Times New Roman" w:cs="Times New Roman"/>
                <w:sz w:val="24"/>
                <w:szCs w:val="24"/>
                <w:lang w:val="en-GB"/>
              </w:rPr>
              <w:t xml:space="preserve">make the current </w:t>
            </w:r>
            <w:r w:rsidR="00372C69" w:rsidRPr="00037467">
              <w:rPr>
                <w:rFonts w:ascii="Times New Roman" w:hAnsi="Times New Roman" w:cs="Times New Roman"/>
                <w:sz w:val="24"/>
                <w:szCs w:val="24"/>
                <w:lang w:val="en-GB"/>
              </w:rPr>
              <w:t>data</w:t>
            </w:r>
            <w:r w:rsidR="00FD1725" w:rsidRPr="00037467">
              <w:rPr>
                <w:rFonts w:ascii="Times New Roman" w:hAnsi="Times New Roman" w:cs="Times New Roman"/>
                <w:sz w:val="24"/>
                <w:szCs w:val="24"/>
                <w:lang w:val="en-GB"/>
              </w:rPr>
              <w:t xml:space="preserve"> on national data registers</w:t>
            </w:r>
            <w:r w:rsidR="00CB6EA4" w:rsidRPr="00037467">
              <w:rPr>
                <w:rFonts w:ascii="Times New Roman" w:hAnsi="Times New Roman" w:cs="Times New Roman"/>
                <w:sz w:val="24"/>
                <w:szCs w:val="24"/>
                <w:lang w:val="en-GB"/>
              </w:rPr>
              <w:t xml:space="preserve"> a</w:t>
            </w:r>
            <w:r w:rsidR="00FD1725" w:rsidRPr="00037467">
              <w:rPr>
                <w:rFonts w:ascii="Times New Roman" w:hAnsi="Times New Roman" w:cs="Times New Roman"/>
                <w:sz w:val="24"/>
                <w:szCs w:val="24"/>
                <w:lang w:val="en-GB"/>
              </w:rPr>
              <w:t>vailable for reuse</w:t>
            </w:r>
            <w:r w:rsidR="00372C69" w:rsidRPr="00037467">
              <w:rPr>
                <w:rFonts w:ascii="Times New Roman" w:hAnsi="Times New Roman" w:cs="Times New Roman"/>
                <w:sz w:val="24"/>
                <w:szCs w:val="24"/>
                <w:lang w:val="en-GB"/>
              </w:rPr>
              <w:t>;</w:t>
            </w:r>
          </w:p>
          <w:p w:rsidR="00CB6EA4"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CB6EA4" w:rsidRPr="00037467">
              <w:rPr>
                <w:rFonts w:ascii="Times New Roman" w:hAnsi="Times New Roman" w:cs="Times New Roman"/>
                <w:sz w:val="24"/>
                <w:szCs w:val="24"/>
                <w:lang w:val="en-GB"/>
              </w:rPr>
              <w:t xml:space="preserve">creation of a unified, centralised data catalogue, where data structures and interfaces are described </w:t>
            </w:r>
            <w:r w:rsidR="00A76030" w:rsidRPr="00037467">
              <w:rPr>
                <w:rFonts w:ascii="Times New Roman" w:hAnsi="Times New Roman" w:cs="Times New Roman"/>
                <w:sz w:val="24"/>
                <w:szCs w:val="24"/>
                <w:lang w:val="en-GB"/>
              </w:rPr>
              <w:t>following a harmonised model</w:t>
            </w:r>
            <w:r w:rsidR="00CB6EA4" w:rsidRPr="00037467">
              <w:rPr>
                <w:rFonts w:ascii="Times New Roman" w:hAnsi="Times New Roman" w:cs="Times New Roman"/>
                <w:sz w:val="24"/>
                <w:szCs w:val="24"/>
                <w:lang w:val="en-GB"/>
              </w:rPr>
              <w:t xml:space="preserve"> </w:t>
            </w:r>
            <w:r w:rsidR="00A76030" w:rsidRPr="00037467">
              <w:rPr>
                <w:rFonts w:ascii="Times New Roman" w:hAnsi="Times New Roman" w:cs="Times New Roman"/>
                <w:sz w:val="24"/>
                <w:szCs w:val="24"/>
                <w:lang w:val="en-GB"/>
              </w:rPr>
              <w:t xml:space="preserve">and </w:t>
            </w:r>
            <w:r w:rsidR="00CB6EA4" w:rsidRPr="00037467">
              <w:rPr>
                <w:rFonts w:ascii="Times New Roman" w:hAnsi="Times New Roman" w:cs="Times New Roman"/>
                <w:sz w:val="24"/>
                <w:szCs w:val="24"/>
                <w:lang w:val="en-GB"/>
              </w:rPr>
              <w:t xml:space="preserve">available in a centralised catalogue; </w:t>
            </w:r>
          </w:p>
          <w:p w:rsidR="00CB6EA4"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7A575B" w:rsidRPr="00037467">
              <w:rPr>
                <w:rFonts w:ascii="Times New Roman" w:hAnsi="Times New Roman" w:cs="Times New Roman"/>
                <w:sz w:val="24"/>
                <w:szCs w:val="24"/>
                <w:lang w:val="en-GB"/>
              </w:rPr>
              <w:t>working out</w:t>
            </w:r>
            <w:r w:rsidR="00CB6EA4" w:rsidRPr="00037467">
              <w:rPr>
                <w:rFonts w:ascii="Times New Roman" w:hAnsi="Times New Roman" w:cs="Times New Roman"/>
                <w:sz w:val="24"/>
                <w:szCs w:val="24"/>
                <w:lang w:val="en-GB"/>
              </w:rPr>
              <w:t xml:space="preserve"> a solution </w:t>
            </w:r>
            <w:r w:rsidR="007A575B" w:rsidRPr="00037467">
              <w:rPr>
                <w:rFonts w:ascii="Times New Roman" w:hAnsi="Times New Roman" w:cs="Times New Roman"/>
                <w:sz w:val="24"/>
                <w:szCs w:val="24"/>
                <w:lang w:val="en-GB"/>
              </w:rPr>
              <w:t>for centralised data distribution</w:t>
            </w:r>
            <w:r w:rsidR="00E86590" w:rsidRPr="00037467">
              <w:rPr>
                <w:rFonts w:ascii="Times New Roman" w:hAnsi="Times New Roman" w:cs="Times New Roman"/>
                <w:sz w:val="24"/>
                <w:szCs w:val="24"/>
                <w:lang w:val="en-GB"/>
              </w:rPr>
              <w:t>, including decentralised solutions, where expedien</w:t>
            </w:r>
            <w:r w:rsidR="00E868C8" w:rsidRPr="00037467">
              <w:rPr>
                <w:rFonts w:ascii="Times New Roman" w:hAnsi="Times New Roman" w:cs="Times New Roman"/>
                <w:sz w:val="24"/>
                <w:szCs w:val="24"/>
                <w:lang w:val="en-GB"/>
              </w:rPr>
              <w:t>t.</w:t>
            </w:r>
            <w:r w:rsidR="00E86590" w:rsidRPr="00037467">
              <w:rPr>
                <w:rFonts w:ascii="Times New Roman" w:hAnsi="Times New Roman" w:cs="Times New Roman"/>
                <w:sz w:val="24"/>
                <w:szCs w:val="24"/>
                <w:lang w:val="en-GB"/>
              </w:rPr>
              <w:t xml:space="preserve"> </w:t>
            </w:r>
          </w:p>
          <w:p w:rsidR="0056216F"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56216F" w:rsidRPr="00037467">
              <w:rPr>
                <w:rFonts w:ascii="Times New Roman" w:hAnsi="Times New Roman" w:cs="Times New Roman"/>
                <w:sz w:val="24"/>
                <w:szCs w:val="24"/>
                <w:lang w:val="en-GB"/>
              </w:rPr>
              <w:t xml:space="preserve">support for activities required to ensure the functionality of data sources with the aim of  re-use and converting into a reusable format of the data held in those sources, including anonymisation measures;  </w:t>
            </w:r>
          </w:p>
          <w:p w:rsidR="00E868C8"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E868C8" w:rsidRPr="00037467">
              <w:rPr>
                <w:rFonts w:ascii="Times New Roman" w:hAnsi="Times New Roman" w:cs="Times New Roman"/>
                <w:sz w:val="24"/>
                <w:szCs w:val="24"/>
                <w:lang w:val="en-GB"/>
              </w:rPr>
              <w:t xml:space="preserve">alongside the solutions, the necessary policies should be </w:t>
            </w:r>
            <w:r w:rsidR="0056216F" w:rsidRPr="00037467">
              <w:rPr>
                <w:rFonts w:ascii="Times New Roman" w:hAnsi="Times New Roman" w:cs="Times New Roman"/>
                <w:sz w:val="24"/>
                <w:szCs w:val="24"/>
                <w:lang w:val="en-GB"/>
              </w:rPr>
              <w:t xml:space="preserve">devised and legal framework put in place: </w:t>
            </w:r>
          </w:p>
          <w:p w:rsidR="00E868C8" w:rsidRPr="00037467" w:rsidRDefault="0055735D" w:rsidP="00863E5E">
            <w:pPr>
              <w:pStyle w:val="NoSpacing"/>
              <w:jc w:val="both"/>
              <w:rPr>
                <w:rFonts w:ascii="Times New Roman" w:hAnsi="Times New Roman" w:cs="Times New Roman"/>
                <w:color w:val="000000"/>
                <w:sz w:val="24"/>
                <w:szCs w:val="24"/>
                <w:lang w:val="en-GB"/>
              </w:rPr>
            </w:pPr>
            <w:r w:rsidRPr="00037467">
              <w:rPr>
                <w:rFonts w:ascii="Times New Roman" w:hAnsi="Times New Roman" w:cs="Times New Roman"/>
                <w:sz w:val="24"/>
                <w:szCs w:val="24"/>
                <w:lang w:val="en-GB"/>
              </w:rPr>
              <w:t xml:space="preserve">○ </w:t>
            </w:r>
            <w:r w:rsidR="0056216F" w:rsidRPr="00037467">
              <w:rPr>
                <w:rFonts w:ascii="Times New Roman" w:hAnsi="Times New Roman" w:cs="Times New Roman"/>
                <w:color w:val="000000"/>
                <w:sz w:val="24"/>
                <w:szCs w:val="24"/>
                <w:lang w:val="en-GB"/>
              </w:rPr>
              <w:t xml:space="preserve">for implementation into national law of </w:t>
            </w:r>
            <w:r w:rsidR="00E868C8" w:rsidRPr="00037467">
              <w:rPr>
                <w:rFonts w:ascii="Times New Roman" w:hAnsi="Times New Roman" w:cs="Times New Roman"/>
                <w:color w:val="000000"/>
                <w:sz w:val="24"/>
                <w:szCs w:val="24"/>
                <w:lang w:val="en-GB"/>
              </w:rPr>
              <w:t>Directive 2003/98/EC of the of the European Parliament and of the Council on the re-use of public sector information (PSI Directive)</w:t>
            </w:r>
            <w:r w:rsidR="0056216F" w:rsidRPr="00037467">
              <w:rPr>
                <w:rFonts w:ascii="Times New Roman" w:hAnsi="Times New Roman" w:cs="Times New Roman"/>
                <w:color w:val="000000"/>
                <w:sz w:val="24"/>
                <w:szCs w:val="24"/>
                <w:lang w:val="en-GB"/>
              </w:rPr>
              <w:t xml:space="preserve">, incl. </w:t>
            </w:r>
            <w:r w:rsidR="006C5BAC" w:rsidRPr="00037467">
              <w:rPr>
                <w:rFonts w:ascii="Times New Roman" w:hAnsi="Times New Roman" w:cs="Times New Roman"/>
                <w:color w:val="000000"/>
                <w:sz w:val="24"/>
                <w:szCs w:val="24"/>
                <w:lang w:val="en-GB"/>
              </w:rPr>
              <w:t>charging</w:t>
            </w:r>
            <w:r w:rsidR="00E6613E" w:rsidRPr="00037467">
              <w:rPr>
                <w:rFonts w:ascii="Times New Roman" w:hAnsi="Times New Roman" w:cs="Times New Roman"/>
                <w:color w:val="000000"/>
                <w:sz w:val="24"/>
                <w:szCs w:val="24"/>
                <w:lang w:val="en-GB"/>
              </w:rPr>
              <w:t xml:space="preserve"> and licencing provisions, e.g. in the area of geospatial information; </w:t>
            </w:r>
          </w:p>
          <w:p w:rsidR="00E23A00"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E23A00" w:rsidRPr="00037467">
              <w:rPr>
                <w:rFonts w:ascii="Times New Roman" w:hAnsi="Times New Roman" w:cs="Times New Roman"/>
                <w:sz w:val="24"/>
                <w:szCs w:val="24"/>
                <w:lang w:val="en-GB"/>
              </w:rPr>
              <w:t xml:space="preserve">for changing the model of financing public administration institutions, in order to promote the re-use and sharing of data held by the state, thereby reducing, as much as possible, direct dependency of the </w:t>
            </w:r>
            <w:r w:rsidR="00A76030" w:rsidRPr="00037467">
              <w:rPr>
                <w:rFonts w:ascii="Times New Roman" w:hAnsi="Times New Roman" w:cs="Times New Roman"/>
                <w:sz w:val="24"/>
                <w:szCs w:val="24"/>
                <w:lang w:val="en-GB"/>
              </w:rPr>
              <w:t>core activities</w:t>
            </w:r>
            <w:r w:rsidR="00E23A00" w:rsidRPr="00037467">
              <w:rPr>
                <w:rFonts w:ascii="Times New Roman" w:hAnsi="Times New Roman" w:cs="Times New Roman"/>
                <w:sz w:val="24"/>
                <w:szCs w:val="24"/>
                <w:lang w:val="en-GB"/>
              </w:rPr>
              <w:t xml:space="preserve"> of an institution on revenues gained from offering information for re-use; </w:t>
            </w:r>
          </w:p>
          <w:p w:rsidR="003127DF"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B5382C" w:rsidRPr="00037467">
              <w:rPr>
                <w:rFonts w:ascii="Times New Roman" w:hAnsi="Times New Roman" w:cs="Times New Roman"/>
                <w:sz w:val="24"/>
                <w:szCs w:val="24"/>
                <w:lang w:val="en-GB"/>
              </w:rPr>
              <w:t>m</w:t>
            </w:r>
            <w:r w:rsidR="003127DF" w:rsidRPr="00037467">
              <w:rPr>
                <w:rFonts w:ascii="Times New Roman" w:hAnsi="Times New Roman" w:cs="Times New Roman"/>
                <w:sz w:val="24"/>
                <w:szCs w:val="24"/>
                <w:lang w:val="en-GB"/>
              </w:rPr>
              <w:t xml:space="preserve">easures promoting the use of open data in </w:t>
            </w:r>
            <w:r w:rsidR="001455EF" w:rsidRPr="00037467">
              <w:rPr>
                <w:rFonts w:ascii="Times New Roman" w:hAnsi="Times New Roman" w:cs="Times New Roman"/>
                <w:sz w:val="24"/>
                <w:szCs w:val="24"/>
                <w:lang w:val="en-GB"/>
              </w:rPr>
              <w:t xml:space="preserve">the </w:t>
            </w:r>
            <w:r w:rsidR="003127DF" w:rsidRPr="00037467">
              <w:rPr>
                <w:rFonts w:ascii="Times New Roman" w:hAnsi="Times New Roman" w:cs="Times New Roman"/>
                <w:sz w:val="24"/>
                <w:szCs w:val="24"/>
                <w:lang w:val="en-GB"/>
              </w:rPr>
              <w:t>creation of new and innovative products (</w:t>
            </w:r>
            <w:r w:rsidR="001455EF" w:rsidRPr="00037467">
              <w:rPr>
                <w:rFonts w:ascii="Times New Roman" w:hAnsi="Times New Roman" w:cs="Times New Roman"/>
                <w:sz w:val="24"/>
                <w:szCs w:val="24"/>
                <w:lang w:val="en-GB"/>
              </w:rPr>
              <w:t xml:space="preserve">application software, </w:t>
            </w:r>
            <w:r w:rsidR="003127DF" w:rsidRPr="00037467">
              <w:rPr>
                <w:rFonts w:ascii="Times New Roman" w:hAnsi="Times New Roman" w:cs="Times New Roman"/>
                <w:sz w:val="24"/>
                <w:szCs w:val="24"/>
                <w:lang w:val="en-GB"/>
              </w:rPr>
              <w:t xml:space="preserve">solutions contests, educational seminars and workshops). </w:t>
            </w:r>
          </w:p>
          <w:p w:rsidR="007B63E1" w:rsidRPr="00037467" w:rsidRDefault="003127DF"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Infrastructure measures to be supported: </w:t>
            </w:r>
          </w:p>
          <w:p w:rsidR="0055735D"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3827E6" w:rsidRPr="00037467">
              <w:rPr>
                <w:rFonts w:ascii="Times New Roman" w:hAnsi="Times New Roman" w:cs="Times New Roman"/>
                <w:sz w:val="24"/>
                <w:szCs w:val="24"/>
                <w:lang w:val="en-GB"/>
              </w:rPr>
              <w:t>shared use solutions for the processing, publishing and previewing of the open data;</w:t>
            </w:r>
          </w:p>
          <w:p w:rsidR="003827E6" w:rsidRPr="00037467" w:rsidRDefault="0055735D"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 </w:t>
            </w:r>
            <w:r w:rsidR="001E3509" w:rsidRPr="00037467">
              <w:rPr>
                <w:rFonts w:ascii="Times New Roman" w:hAnsi="Times New Roman" w:cs="Times New Roman"/>
                <w:sz w:val="24"/>
                <w:szCs w:val="24"/>
                <w:lang w:val="en-GB"/>
              </w:rPr>
              <w:t xml:space="preserve">creating </w:t>
            </w:r>
            <w:r w:rsidR="007B63E1" w:rsidRPr="00037467">
              <w:rPr>
                <w:rFonts w:ascii="Times New Roman" w:hAnsi="Times New Roman" w:cs="Times New Roman"/>
                <w:sz w:val="24"/>
                <w:szCs w:val="24"/>
                <w:lang w:val="en-GB"/>
              </w:rPr>
              <w:t>open data</w:t>
            </w:r>
            <w:r w:rsidR="003827E6" w:rsidRPr="00037467">
              <w:rPr>
                <w:rFonts w:ascii="Times New Roman" w:hAnsi="Times New Roman" w:cs="Times New Roman"/>
                <w:sz w:val="24"/>
                <w:szCs w:val="24"/>
                <w:lang w:val="en-GB"/>
              </w:rPr>
              <w:t xml:space="preserve"> </w:t>
            </w:r>
            <w:r w:rsidR="001E3509" w:rsidRPr="00037467">
              <w:rPr>
                <w:rFonts w:ascii="Times New Roman" w:hAnsi="Times New Roman" w:cs="Times New Roman"/>
                <w:sz w:val="24"/>
                <w:szCs w:val="24"/>
                <w:lang w:val="en-GB"/>
              </w:rPr>
              <w:t xml:space="preserve">applications </w:t>
            </w:r>
            <w:r w:rsidR="003827E6" w:rsidRPr="00037467">
              <w:rPr>
                <w:rFonts w:ascii="Times New Roman" w:hAnsi="Times New Roman" w:cs="Times New Roman"/>
                <w:sz w:val="24"/>
                <w:szCs w:val="24"/>
                <w:lang w:val="en-GB"/>
              </w:rPr>
              <w:t>(incl. data</w:t>
            </w:r>
            <w:r w:rsidR="007B63E1" w:rsidRPr="00037467">
              <w:rPr>
                <w:rFonts w:ascii="Times New Roman" w:hAnsi="Times New Roman" w:cs="Times New Roman"/>
                <w:sz w:val="24"/>
                <w:szCs w:val="24"/>
                <w:lang w:val="en-GB"/>
              </w:rPr>
              <w:t xml:space="preserve">set aggregation and integration). </w:t>
            </w:r>
            <w:r w:rsidR="003827E6" w:rsidRPr="00037467">
              <w:rPr>
                <w:rFonts w:ascii="Times New Roman" w:hAnsi="Times New Roman" w:cs="Times New Roman"/>
                <w:sz w:val="24"/>
                <w:szCs w:val="24"/>
                <w:lang w:val="en-GB"/>
              </w:rPr>
              <w:t xml:space="preserve"> </w:t>
            </w:r>
          </w:p>
          <w:p w:rsidR="0079592E" w:rsidRPr="00037467" w:rsidRDefault="0079592E" w:rsidP="00863E5E">
            <w:pPr>
              <w:pStyle w:val="NoSpacing"/>
              <w:jc w:val="both"/>
              <w:rPr>
                <w:rFonts w:ascii="Times New Roman" w:hAnsi="Times New Roman" w:cs="Times New Roman"/>
                <w:sz w:val="24"/>
                <w:szCs w:val="24"/>
                <w:lang w:val="en-GB"/>
              </w:rPr>
            </w:pPr>
          </w:p>
        </w:tc>
      </w:tr>
      <w:tr w:rsidR="00E035E6" w:rsidRPr="00037467" w:rsidTr="00E035E6">
        <w:tc>
          <w:tcPr>
            <w:tcW w:w="4261" w:type="dxa"/>
            <w:gridSpan w:val="2"/>
          </w:tcPr>
          <w:p w:rsidR="00DD338F"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lastRenderedPageBreak/>
              <w:t>OGP challenge addressed by the commitment</w:t>
            </w:r>
          </w:p>
        </w:tc>
        <w:tc>
          <w:tcPr>
            <w:tcW w:w="4532" w:type="dxa"/>
            <w:gridSpan w:val="3"/>
          </w:tcPr>
          <w:p w:rsidR="0079592E" w:rsidRPr="00037467" w:rsidRDefault="0079592E" w:rsidP="00863E5E">
            <w:pPr>
              <w:pStyle w:val="NoSpacing"/>
              <w:rPr>
                <w:rFonts w:ascii="Times New Roman" w:hAnsi="Times New Roman" w:cs="Times New Roman"/>
                <w:sz w:val="24"/>
                <w:szCs w:val="24"/>
                <w:lang w:val="en-GB"/>
              </w:rPr>
            </w:pPr>
          </w:p>
        </w:tc>
      </w:tr>
      <w:tr w:rsidR="00E035E6" w:rsidRPr="00037467" w:rsidTr="00E035E6">
        <w:trPr>
          <w:trHeight w:val="105"/>
        </w:trPr>
        <w:tc>
          <w:tcPr>
            <w:tcW w:w="4261" w:type="dxa"/>
            <w:gridSpan w:val="2"/>
            <w:vMerge w:val="restart"/>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Is it relevant to the advancement of:</w:t>
            </w:r>
          </w:p>
        </w:tc>
        <w:tc>
          <w:tcPr>
            <w:tcW w:w="1656" w:type="dxa"/>
          </w:tcPr>
          <w:p w:rsidR="00DD338F" w:rsidRPr="00037467" w:rsidRDefault="00DD338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420" w:type="dxa"/>
          </w:tcPr>
          <w:p w:rsidR="00DD338F" w:rsidRPr="00037467" w:rsidRDefault="00DD338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56" w:type="dxa"/>
          </w:tcPr>
          <w:p w:rsidR="00DD338F"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E035E6" w:rsidRPr="00037467" w:rsidTr="00E035E6">
        <w:trPr>
          <w:trHeight w:val="105"/>
        </w:trPr>
        <w:tc>
          <w:tcPr>
            <w:tcW w:w="4261" w:type="dxa"/>
            <w:gridSpan w:val="2"/>
            <w:vMerge/>
          </w:tcPr>
          <w:p w:rsidR="00E035E6" w:rsidRPr="00037467" w:rsidRDefault="00E035E6" w:rsidP="00863E5E">
            <w:pPr>
              <w:pStyle w:val="NoSpacing"/>
              <w:rPr>
                <w:rFonts w:ascii="Times New Roman" w:hAnsi="Times New Roman" w:cs="Times New Roman"/>
                <w:sz w:val="24"/>
                <w:szCs w:val="24"/>
                <w:lang w:val="en-GB"/>
              </w:rPr>
            </w:pPr>
          </w:p>
        </w:tc>
        <w:tc>
          <w:tcPr>
            <w:tcW w:w="1656"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c>
          <w:tcPr>
            <w:tcW w:w="1420" w:type="dxa"/>
          </w:tcPr>
          <w:p w:rsidR="00E035E6" w:rsidRPr="00037467" w:rsidRDefault="00E035E6" w:rsidP="00863E5E">
            <w:pPr>
              <w:pStyle w:val="NoSpacing"/>
              <w:rPr>
                <w:rFonts w:ascii="Times New Roman" w:hAnsi="Times New Roman" w:cs="Times New Roman"/>
                <w:sz w:val="24"/>
                <w:szCs w:val="24"/>
                <w:lang w:val="en-GB"/>
              </w:rPr>
            </w:pPr>
          </w:p>
        </w:tc>
        <w:tc>
          <w:tcPr>
            <w:tcW w:w="1456"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r>
      <w:tr w:rsidR="00E035E6" w:rsidRPr="00037467" w:rsidTr="00E035E6">
        <w:trPr>
          <w:trHeight w:val="838"/>
        </w:trPr>
        <w:tc>
          <w:tcPr>
            <w:tcW w:w="4261" w:type="dxa"/>
            <w:gridSpan w:val="2"/>
          </w:tcPr>
          <w:p w:rsidR="00050B9D" w:rsidRPr="00037467" w:rsidRDefault="009E3B0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lastRenderedPageBreak/>
              <w:t>Verifiable</w:t>
            </w:r>
            <w:r w:rsidR="00050B9D"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050B9D" w:rsidRPr="00037467">
              <w:rPr>
                <w:rFonts w:ascii="Times New Roman" w:hAnsi="Times New Roman" w:cs="Times New Roman"/>
                <w:sz w:val="24"/>
                <w:szCs w:val="24"/>
                <w:lang w:val="en-GB"/>
              </w:rPr>
              <w:t xml:space="preserve"> the commitment:</w:t>
            </w:r>
          </w:p>
          <w:p w:rsidR="00E035E6" w:rsidRPr="00037467" w:rsidRDefault="00E035E6" w:rsidP="00863E5E">
            <w:pPr>
              <w:pStyle w:val="NoSpacing"/>
              <w:rPr>
                <w:rFonts w:ascii="Times New Roman" w:hAnsi="Times New Roman" w:cs="Times New Roman"/>
                <w:sz w:val="24"/>
                <w:szCs w:val="24"/>
                <w:lang w:val="en-GB"/>
              </w:rPr>
            </w:pPr>
          </w:p>
        </w:tc>
        <w:tc>
          <w:tcPr>
            <w:tcW w:w="1656" w:type="dxa"/>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420" w:type="dxa"/>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56" w:type="dxa"/>
          </w:tcPr>
          <w:p w:rsidR="00E035E6"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050B9D" w:rsidRPr="00037467" w:rsidTr="00E035E6">
        <w:trPr>
          <w:trHeight w:val="838"/>
        </w:trPr>
        <w:tc>
          <w:tcPr>
            <w:tcW w:w="4261" w:type="dxa"/>
            <w:gridSpan w:val="2"/>
          </w:tcPr>
          <w:p w:rsidR="00050B9D" w:rsidRPr="00037467" w:rsidRDefault="009E3B0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In 2017, the estimation of r</w:t>
            </w:r>
            <w:r w:rsidR="00B5382C" w:rsidRPr="00037467">
              <w:rPr>
                <w:rFonts w:ascii="Times New Roman" w:hAnsi="Times New Roman" w:cs="Times New Roman"/>
                <w:sz w:val="24"/>
                <w:szCs w:val="24"/>
                <w:lang w:val="en-GB"/>
              </w:rPr>
              <w:t xml:space="preserve">e-use </w:t>
            </w:r>
            <w:r w:rsidRPr="00037467">
              <w:rPr>
                <w:rFonts w:ascii="Times New Roman" w:hAnsi="Times New Roman" w:cs="Times New Roman"/>
                <w:sz w:val="24"/>
                <w:szCs w:val="24"/>
                <w:lang w:val="en-GB"/>
              </w:rPr>
              <w:t>of public sector information will amount to ~380 point</w:t>
            </w:r>
            <w:r w:rsidR="00050B9D" w:rsidRPr="00037467">
              <w:rPr>
                <w:rFonts w:ascii="Times New Roman" w:hAnsi="Times New Roman" w:cs="Times New Roman"/>
                <w:sz w:val="24"/>
                <w:szCs w:val="24"/>
                <w:lang w:val="en-GB"/>
              </w:rPr>
              <w:t>s</w:t>
            </w:r>
            <w:r w:rsidRPr="00037467">
              <w:rPr>
                <w:rFonts w:ascii="Times New Roman" w:hAnsi="Times New Roman" w:cs="Times New Roman"/>
                <w:sz w:val="24"/>
                <w:szCs w:val="24"/>
                <w:lang w:val="en-GB"/>
              </w:rPr>
              <w:t xml:space="preserve">. </w:t>
            </w:r>
          </w:p>
        </w:tc>
        <w:tc>
          <w:tcPr>
            <w:tcW w:w="1656" w:type="dxa"/>
          </w:tcPr>
          <w:p w:rsidR="00050B9D"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Ongoing</w:t>
            </w:r>
          </w:p>
        </w:tc>
        <w:tc>
          <w:tcPr>
            <w:tcW w:w="1420" w:type="dxa"/>
          </w:tcPr>
          <w:p w:rsidR="00050B9D" w:rsidRPr="00037467" w:rsidRDefault="00050B9D" w:rsidP="00863E5E">
            <w:pPr>
              <w:pStyle w:val="NoSpacing"/>
              <w:rPr>
                <w:rFonts w:ascii="Times New Roman" w:hAnsi="Times New Roman" w:cs="Times New Roman"/>
                <w:sz w:val="24"/>
                <w:szCs w:val="24"/>
                <w:lang w:val="en-GB"/>
              </w:rPr>
            </w:pPr>
          </w:p>
        </w:tc>
        <w:tc>
          <w:tcPr>
            <w:tcW w:w="1456" w:type="dxa"/>
          </w:tcPr>
          <w:p w:rsidR="00050B9D" w:rsidRPr="00037467" w:rsidRDefault="00050B9D"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2020</w:t>
            </w:r>
          </w:p>
        </w:tc>
      </w:tr>
    </w:tbl>
    <w:p w:rsidR="001E345D" w:rsidRPr="00037467" w:rsidRDefault="001E345D" w:rsidP="00863E5E">
      <w:pPr>
        <w:spacing w:after="0" w:line="240" w:lineRule="auto"/>
        <w:rPr>
          <w:rFonts w:ascii="Times New Roman" w:hAnsi="Times New Roman"/>
          <w:sz w:val="24"/>
          <w:szCs w:val="24"/>
        </w:rPr>
      </w:pPr>
    </w:p>
    <w:tbl>
      <w:tblPr>
        <w:tblStyle w:val="TableGrid"/>
        <w:tblW w:w="8758" w:type="dxa"/>
        <w:tblLook w:val="04A0" w:firstRow="1" w:lastRow="0" w:firstColumn="1" w:lastColumn="0" w:noHBand="0" w:noVBand="1"/>
      </w:tblPr>
      <w:tblGrid>
        <w:gridCol w:w="2014"/>
        <w:gridCol w:w="2031"/>
        <w:gridCol w:w="1641"/>
        <w:gridCol w:w="1643"/>
        <w:gridCol w:w="1429"/>
      </w:tblGrid>
      <w:tr w:rsidR="00E035E6" w:rsidRPr="00037467" w:rsidTr="00E035E6">
        <w:tc>
          <w:tcPr>
            <w:tcW w:w="8758" w:type="dxa"/>
            <w:gridSpan w:val="5"/>
          </w:tcPr>
          <w:p w:rsidR="00E035E6" w:rsidRPr="00037467" w:rsidRDefault="00842D1A" w:rsidP="00863E5E">
            <w:pPr>
              <w:pStyle w:val="NoSpacing"/>
              <w:jc w:val="center"/>
              <w:rPr>
                <w:rFonts w:ascii="Times New Roman" w:hAnsi="Times New Roman" w:cs="Times New Roman"/>
                <w:sz w:val="24"/>
                <w:szCs w:val="24"/>
                <w:lang w:val="en-GB"/>
              </w:rPr>
            </w:pPr>
            <w:r w:rsidRPr="00037467">
              <w:rPr>
                <w:rFonts w:ascii="Times New Roman" w:hAnsi="Times New Roman" w:cs="Times New Roman"/>
                <w:sz w:val="24"/>
                <w:szCs w:val="24"/>
                <w:lang w:val="en-GB"/>
              </w:rPr>
              <w:t>Commitment</w:t>
            </w:r>
          </w:p>
        </w:tc>
      </w:tr>
      <w:tr w:rsidR="00E035E6" w:rsidRPr="00037467" w:rsidTr="00E035E6">
        <w:tc>
          <w:tcPr>
            <w:tcW w:w="8758" w:type="dxa"/>
            <w:gridSpan w:val="5"/>
          </w:tcPr>
          <w:p w:rsidR="00E035E6" w:rsidRPr="00037467" w:rsidRDefault="000272C2" w:rsidP="00863E5E">
            <w:pPr>
              <w:pStyle w:val="NoSpacing"/>
              <w:jc w:val="center"/>
              <w:rPr>
                <w:rFonts w:ascii="Times New Roman" w:hAnsi="Times New Roman" w:cs="Times New Roman"/>
                <w:b/>
                <w:sz w:val="24"/>
                <w:szCs w:val="24"/>
                <w:lang w:val="en-GB"/>
              </w:rPr>
            </w:pPr>
            <w:r w:rsidRPr="00037467">
              <w:rPr>
                <w:rFonts w:ascii="Times New Roman" w:hAnsi="Times New Roman"/>
                <w:sz w:val="24"/>
                <w:szCs w:val="24"/>
                <w:lang w:val="en-GB"/>
              </w:rPr>
              <w:t xml:space="preserve">2. </w:t>
            </w:r>
            <w:r w:rsidR="00B150C7" w:rsidRPr="00037467">
              <w:rPr>
                <w:rFonts w:ascii="Times New Roman" w:hAnsi="Times New Roman" w:cs="Times New Roman"/>
                <w:b/>
                <w:sz w:val="24"/>
                <w:szCs w:val="24"/>
                <w:lang w:val="en-GB"/>
              </w:rPr>
              <w:t>Single portal for the drafting of legislative and development planning documents</w:t>
            </w:r>
          </w:p>
          <w:p w:rsidR="00B150C7" w:rsidRPr="00037467" w:rsidRDefault="00B150C7" w:rsidP="00863E5E">
            <w:pPr>
              <w:pStyle w:val="NoSpacing"/>
              <w:jc w:val="center"/>
              <w:rPr>
                <w:rFonts w:ascii="Times New Roman" w:hAnsi="Times New Roman" w:cs="Times New Roman"/>
                <w:b/>
                <w:sz w:val="24"/>
                <w:szCs w:val="24"/>
                <w:lang w:val="en-GB"/>
              </w:rPr>
            </w:pPr>
          </w:p>
        </w:tc>
      </w:tr>
      <w:tr w:rsidR="00E035E6" w:rsidRPr="00037467" w:rsidTr="00B93B15">
        <w:tc>
          <w:tcPr>
            <w:tcW w:w="4045"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Lead agency</w:t>
            </w:r>
          </w:p>
        </w:tc>
        <w:tc>
          <w:tcPr>
            <w:tcW w:w="4713" w:type="dxa"/>
            <w:gridSpan w:val="3"/>
          </w:tcPr>
          <w:p w:rsidR="00E035E6"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State Chancellery</w:t>
            </w:r>
          </w:p>
        </w:tc>
      </w:tr>
      <w:tr w:rsidR="00B93B15" w:rsidRPr="00037467" w:rsidTr="00B93B15">
        <w:trPr>
          <w:trHeight w:val="105"/>
        </w:trPr>
        <w:tc>
          <w:tcPr>
            <w:tcW w:w="2014" w:type="dxa"/>
            <w:vMerge w:val="restart"/>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2031"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p w:rsidR="00B150C7" w:rsidRPr="00037467" w:rsidRDefault="00B150C7" w:rsidP="00863E5E">
            <w:pPr>
              <w:pStyle w:val="NoSpacing"/>
              <w:rPr>
                <w:rFonts w:ascii="Times New Roman" w:hAnsi="Times New Roman" w:cs="Times New Roman"/>
                <w:sz w:val="24"/>
                <w:szCs w:val="24"/>
                <w:lang w:val="en-GB"/>
              </w:rPr>
            </w:pPr>
          </w:p>
        </w:tc>
        <w:tc>
          <w:tcPr>
            <w:tcW w:w="4713" w:type="dxa"/>
            <w:gridSpan w:val="3"/>
            <w:vMerge w:val="restart"/>
          </w:tcPr>
          <w:p w:rsidR="00B93B15"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Ministry of Environmental Protection and Regional Development</w:t>
            </w:r>
          </w:p>
        </w:tc>
      </w:tr>
      <w:tr w:rsidR="00B93B15" w:rsidRPr="00037467" w:rsidTr="00B93B15">
        <w:trPr>
          <w:trHeight w:val="105"/>
        </w:trPr>
        <w:tc>
          <w:tcPr>
            <w:tcW w:w="2014" w:type="dxa"/>
            <w:vMerge/>
            <w:vAlign w:val="center"/>
          </w:tcPr>
          <w:p w:rsidR="00B93B15" w:rsidRPr="00037467" w:rsidRDefault="00B93B15" w:rsidP="00863E5E">
            <w:pPr>
              <w:pStyle w:val="NoSpacing"/>
              <w:rPr>
                <w:rFonts w:ascii="Times New Roman" w:hAnsi="Times New Roman" w:cs="Times New Roman"/>
                <w:sz w:val="24"/>
                <w:szCs w:val="24"/>
                <w:lang w:val="en-GB"/>
              </w:rPr>
            </w:pPr>
          </w:p>
        </w:tc>
        <w:tc>
          <w:tcPr>
            <w:tcW w:w="2031"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Civil Society, Private Sector</w:t>
            </w:r>
          </w:p>
        </w:tc>
        <w:tc>
          <w:tcPr>
            <w:tcW w:w="4713" w:type="dxa"/>
            <w:gridSpan w:val="3"/>
            <w:vMerge/>
          </w:tcPr>
          <w:p w:rsidR="00B93B15" w:rsidRPr="00037467" w:rsidRDefault="00B93B15" w:rsidP="00863E5E">
            <w:pPr>
              <w:pStyle w:val="NoSpacing"/>
              <w:rPr>
                <w:rFonts w:ascii="Times New Roman" w:hAnsi="Times New Roman" w:cs="Times New Roman"/>
                <w:sz w:val="24"/>
                <w:szCs w:val="24"/>
                <w:lang w:val="en-GB"/>
              </w:rPr>
            </w:pPr>
          </w:p>
        </w:tc>
      </w:tr>
      <w:tr w:rsidR="00E035E6" w:rsidRPr="00037467" w:rsidTr="00B93B15">
        <w:tc>
          <w:tcPr>
            <w:tcW w:w="4045"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Status quo or problem/issue to be addressed</w:t>
            </w:r>
          </w:p>
        </w:tc>
        <w:tc>
          <w:tcPr>
            <w:tcW w:w="4713" w:type="dxa"/>
            <w:gridSpan w:val="3"/>
          </w:tcPr>
          <w:p w:rsidR="001C681B" w:rsidRPr="00037467" w:rsidRDefault="001C681B"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The decision making process is complicated, and</w:t>
            </w:r>
            <w:r w:rsidR="0066101B" w:rsidRPr="00037467">
              <w:rPr>
                <w:rFonts w:ascii="Times New Roman" w:hAnsi="Times New Roman" w:cs="Times New Roman"/>
                <w:sz w:val="24"/>
                <w:szCs w:val="24"/>
                <w:lang w:val="en-GB"/>
              </w:rPr>
              <w:t>,</w:t>
            </w:r>
            <w:r w:rsidRPr="00037467">
              <w:rPr>
                <w:rFonts w:ascii="Times New Roman" w:hAnsi="Times New Roman" w:cs="Times New Roman"/>
                <w:sz w:val="24"/>
                <w:szCs w:val="24"/>
                <w:lang w:val="en-GB"/>
              </w:rPr>
              <w:t xml:space="preserve"> due to that</w:t>
            </w:r>
            <w:r w:rsidR="0066101B" w:rsidRPr="00037467">
              <w:rPr>
                <w:rFonts w:ascii="Times New Roman" w:hAnsi="Times New Roman" w:cs="Times New Roman"/>
                <w:sz w:val="24"/>
                <w:szCs w:val="24"/>
                <w:lang w:val="en-GB"/>
              </w:rPr>
              <w:t>, hardly transparent</w:t>
            </w:r>
            <w:r w:rsidRPr="00037467">
              <w:rPr>
                <w:rFonts w:ascii="Times New Roman" w:hAnsi="Times New Roman" w:cs="Times New Roman"/>
                <w:sz w:val="24"/>
                <w:szCs w:val="24"/>
                <w:lang w:val="en-GB"/>
              </w:rPr>
              <w:t xml:space="preserve"> and not easily accessible </w:t>
            </w:r>
            <w:r w:rsidR="00A76030" w:rsidRPr="00037467">
              <w:rPr>
                <w:rFonts w:ascii="Times New Roman" w:hAnsi="Times New Roman" w:cs="Times New Roman"/>
                <w:sz w:val="24"/>
                <w:szCs w:val="24"/>
                <w:lang w:val="en-GB"/>
              </w:rPr>
              <w:t>for</w:t>
            </w:r>
            <w:r w:rsidRPr="00037467">
              <w:rPr>
                <w:rFonts w:ascii="Times New Roman" w:hAnsi="Times New Roman" w:cs="Times New Roman"/>
                <w:sz w:val="24"/>
                <w:szCs w:val="24"/>
                <w:lang w:val="en-GB"/>
              </w:rPr>
              <w:t xml:space="preserve"> the public. </w:t>
            </w:r>
            <w:r w:rsidR="0066101B" w:rsidRPr="00037467">
              <w:rPr>
                <w:rFonts w:ascii="Times New Roman" w:hAnsi="Times New Roman" w:cs="Times New Roman"/>
                <w:sz w:val="24"/>
                <w:szCs w:val="24"/>
                <w:lang w:val="en-GB"/>
              </w:rPr>
              <w:t xml:space="preserve">This places limitations on public engagement. </w:t>
            </w:r>
          </w:p>
          <w:p w:rsidR="00E035E6" w:rsidRPr="00037467" w:rsidRDefault="00E035E6" w:rsidP="00863E5E">
            <w:pPr>
              <w:pStyle w:val="NoSpacing"/>
              <w:rPr>
                <w:rFonts w:ascii="Times New Roman" w:hAnsi="Times New Roman" w:cs="Times New Roman"/>
                <w:sz w:val="24"/>
                <w:szCs w:val="24"/>
                <w:lang w:val="en-GB"/>
              </w:rPr>
            </w:pPr>
          </w:p>
        </w:tc>
      </w:tr>
      <w:tr w:rsidR="00E035E6" w:rsidRPr="00037467" w:rsidTr="00B93B15">
        <w:tc>
          <w:tcPr>
            <w:tcW w:w="4045"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Main Objective</w:t>
            </w:r>
          </w:p>
        </w:tc>
        <w:tc>
          <w:tcPr>
            <w:tcW w:w="4713" w:type="dxa"/>
            <w:gridSpan w:val="3"/>
          </w:tcPr>
          <w:p w:rsidR="00E035E6" w:rsidRPr="00037467" w:rsidRDefault="001C681B" w:rsidP="00863E5E">
            <w:pPr>
              <w:pStyle w:val="NoSpacing"/>
              <w:jc w:val="both"/>
              <w:rPr>
                <w:rFonts w:ascii="Times New Roman" w:hAnsi="Times New Roman" w:cs="Times New Roman"/>
                <w:sz w:val="24"/>
                <w:szCs w:val="24"/>
                <w:lang w:val="en-GB"/>
              </w:rPr>
            </w:pPr>
            <w:r w:rsidRPr="00037467">
              <w:rPr>
                <w:rFonts w:ascii="Times New Roman" w:hAnsi="Times New Roman" w:cs="Times New Roman"/>
                <w:bCs/>
                <w:sz w:val="24"/>
                <w:szCs w:val="24"/>
                <w:lang w:val="en-GB"/>
              </w:rPr>
              <w:t xml:space="preserve">Make easier and increase civic participation in public administration processes through expanding possibilities for the use of e-participation tools. </w:t>
            </w:r>
          </w:p>
          <w:p w:rsidR="00A76030" w:rsidRPr="00037467" w:rsidRDefault="00A76030" w:rsidP="00863E5E">
            <w:pPr>
              <w:pStyle w:val="Default"/>
              <w:ind w:left="66"/>
              <w:jc w:val="both"/>
              <w:rPr>
                <w:rFonts w:ascii="Times New Roman" w:hAnsi="Times New Roman" w:cs="Times New Roman"/>
                <w:bCs/>
                <w:lang w:val="en-GB"/>
              </w:rPr>
            </w:pPr>
          </w:p>
          <w:p w:rsidR="00234417" w:rsidRPr="00037467" w:rsidRDefault="00234417" w:rsidP="00863E5E">
            <w:pPr>
              <w:pStyle w:val="Default"/>
              <w:ind w:left="66"/>
              <w:jc w:val="both"/>
              <w:rPr>
                <w:rFonts w:ascii="Times New Roman" w:hAnsi="Times New Roman" w:cs="Times New Roman"/>
                <w:lang w:val="en-GB"/>
              </w:rPr>
            </w:pPr>
            <w:r w:rsidRPr="00037467">
              <w:rPr>
                <w:rFonts w:ascii="Times New Roman" w:hAnsi="Times New Roman" w:cs="Times New Roman"/>
                <w:bCs/>
                <w:lang w:val="en-GB"/>
              </w:rPr>
              <w:t xml:space="preserve">To this end, there are plans </w:t>
            </w:r>
            <w:r w:rsidRPr="00037467">
              <w:rPr>
                <w:rFonts w:ascii="Times New Roman" w:hAnsi="Times New Roman" w:cs="Times New Roman"/>
                <w:lang w:val="en-GB"/>
              </w:rPr>
              <w:t xml:space="preserve">to develop and put into operation by the beginning of 2016 a joint portal for drafting of legislation and development planning documents. The portal is expected to enhance the transparency of the processes of document drafting and decision-making in the central government and local authorities, as well as making it easier for the </w:t>
            </w:r>
            <w:r w:rsidR="001C681B" w:rsidRPr="00037467">
              <w:rPr>
                <w:rFonts w:ascii="Times New Roman" w:hAnsi="Times New Roman" w:cs="Times New Roman"/>
                <w:lang w:val="en-GB"/>
              </w:rPr>
              <w:t>general public</w:t>
            </w:r>
            <w:r w:rsidRPr="00037467">
              <w:rPr>
                <w:rFonts w:ascii="Times New Roman" w:hAnsi="Times New Roman" w:cs="Times New Roman"/>
                <w:lang w:val="en-GB"/>
              </w:rPr>
              <w:t xml:space="preserve"> to quickly obtain </w:t>
            </w:r>
            <w:r w:rsidR="001C681B" w:rsidRPr="00037467">
              <w:rPr>
                <w:rFonts w:ascii="Times New Roman" w:hAnsi="Times New Roman" w:cs="Times New Roman"/>
                <w:lang w:val="en-GB"/>
              </w:rPr>
              <w:t>clear</w:t>
            </w:r>
            <w:r w:rsidRPr="00037467">
              <w:rPr>
                <w:rFonts w:ascii="Times New Roman" w:hAnsi="Times New Roman" w:cs="Times New Roman"/>
                <w:lang w:val="en-GB"/>
              </w:rPr>
              <w:t xml:space="preserve"> information on the legislation and development planning documents being drafted, and engage and participate in </w:t>
            </w:r>
            <w:r w:rsidR="001C681B" w:rsidRPr="00037467">
              <w:rPr>
                <w:rFonts w:ascii="Times New Roman" w:hAnsi="Times New Roman" w:cs="Times New Roman"/>
                <w:lang w:val="en-GB"/>
              </w:rPr>
              <w:t xml:space="preserve">the </w:t>
            </w:r>
            <w:r w:rsidRPr="00037467">
              <w:rPr>
                <w:rFonts w:ascii="Times New Roman" w:hAnsi="Times New Roman" w:cs="Times New Roman"/>
                <w:lang w:val="en-GB"/>
              </w:rPr>
              <w:t xml:space="preserve">drafting. </w:t>
            </w:r>
            <w:r w:rsidR="001C681B" w:rsidRPr="00037467">
              <w:rPr>
                <w:rFonts w:ascii="Times New Roman" w:hAnsi="Times New Roman" w:cs="Times New Roman"/>
                <w:lang w:val="en-GB"/>
              </w:rPr>
              <w:t>T</w:t>
            </w:r>
            <w:r w:rsidRPr="00037467">
              <w:rPr>
                <w:rFonts w:ascii="Times New Roman" w:hAnsi="Times New Roman" w:cs="Times New Roman"/>
                <w:lang w:val="en-GB"/>
              </w:rPr>
              <w:t xml:space="preserve">he decision making process will be visible and accessible </w:t>
            </w:r>
            <w:r w:rsidR="001C681B" w:rsidRPr="00037467">
              <w:rPr>
                <w:rFonts w:ascii="Times New Roman" w:hAnsi="Times New Roman" w:cs="Times New Roman"/>
                <w:lang w:val="en-GB"/>
              </w:rPr>
              <w:t xml:space="preserve">as a whole, from the idea to making the final decision. </w:t>
            </w:r>
          </w:p>
          <w:p w:rsidR="00E035E6" w:rsidRPr="00037467" w:rsidRDefault="00E035E6" w:rsidP="00863E5E">
            <w:pPr>
              <w:pStyle w:val="NoSpacing"/>
              <w:jc w:val="both"/>
              <w:rPr>
                <w:rFonts w:ascii="Times New Roman" w:hAnsi="Times New Roman" w:cs="Times New Roman"/>
                <w:sz w:val="24"/>
                <w:szCs w:val="24"/>
                <w:lang w:val="en-GB"/>
              </w:rPr>
            </w:pPr>
          </w:p>
          <w:p w:rsidR="0066101B" w:rsidRPr="00037467" w:rsidRDefault="00A76030"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The g</w:t>
            </w:r>
            <w:r w:rsidR="0066101B" w:rsidRPr="00037467">
              <w:rPr>
                <w:rFonts w:ascii="Times New Roman" w:hAnsi="Times New Roman" w:cs="Times New Roman"/>
                <w:sz w:val="24"/>
                <w:szCs w:val="24"/>
                <w:lang w:val="en-GB"/>
              </w:rPr>
              <w:t xml:space="preserve">eneral public will have opportunities for presenting their proposals on changes in legislation or administrative practice, as well as </w:t>
            </w:r>
            <w:r w:rsidRPr="00037467">
              <w:rPr>
                <w:rFonts w:ascii="Times New Roman" w:hAnsi="Times New Roman" w:cs="Times New Roman"/>
                <w:sz w:val="24"/>
                <w:szCs w:val="24"/>
                <w:lang w:val="en-GB"/>
              </w:rPr>
              <w:t xml:space="preserve">for </w:t>
            </w:r>
            <w:r w:rsidR="0066101B" w:rsidRPr="00037467">
              <w:rPr>
                <w:rFonts w:ascii="Times New Roman" w:hAnsi="Times New Roman" w:cs="Times New Roman"/>
                <w:sz w:val="24"/>
                <w:szCs w:val="24"/>
                <w:lang w:val="en-GB"/>
              </w:rPr>
              <w:t>following the progress of draft legislation through all the stages until the adoption and directly contribut</w:t>
            </w:r>
            <w:r w:rsidRPr="00037467">
              <w:rPr>
                <w:rFonts w:ascii="Times New Roman" w:hAnsi="Times New Roman" w:cs="Times New Roman"/>
                <w:sz w:val="24"/>
                <w:szCs w:val="24"/>
                <w:lang w:val="en-GB"/>
              </w:rPr>
              <w:t>ing</w:t>
            </w:r>
            <w:r w:rsidR="0066101B" w:rsidRPr="00037467">
              <w:rPr>
                <w:rFonts w:ascii="Times New Roman" w:hAnsi="Times New Roman" w:cs="Times New Roman"/>
                <w:sz w:val="24"/>
                <w:szCs w:val="24"/>
                <w:lang w:val="en-GB"/>
              </w:rPr>
              <w:t xml:space="preserve"> their opinions. </w:t>
            </w:r>
          </w:p>
          <w:p w:rsidR="009F3E2F" w:rsidRPr="00037467" w:rsidRDefault="009F3E2F" w:rsidP="00863E5E">
            <w:pPr>
              <w:pStyle w:val="NoSpacing"/>
              <w:rPr>
                <w:rFonts w:ascii="Times New Roman" w:hAnsi="Times New Roman" w:cs="Times New Roman"/>
                <w:sz w:val="24"/>
                <w:szCs w:val="24"/>
                <w:lang w:val="en-GB"/>
              </w:rPr>
            </w:pPr>
          </w:p>
        </w:tc>
      </w:tr>
      <w:tr w:rsidR="00E035E6" w:rsidRPr="00037467" w:rsidTr="00B93B15">
        <w:tc>
          <w:tcPr>
            <w:tcW w:w="4045" w:type="dxa"/>
            <w:gridSpan w:val="2"/>
          </w:tcPr>
          <w:p w:rsidR="00E035E6"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 xml:space="preserve">OGP challenge addressed by the </w:t>
            </w:r>
            <w:r w:rsidRPr="00037467">
              <w:rPr>
                <w:rFonts w:ascii="Times New Roman" w:hAnsi="Times New Roman"/>
                <w:sz w:val="24"/>
                <w:szCs w:val="24"/>
                <w:lang w:val="en-GB"/>
              </w:rPr>
              <w:lastRenderedPageBreak/>
              <w:t>commitment</w:t>
            </w:r>
          </w:p>
        </w:tc>
        <w:tc>
          <w:tcPr>
            <w:tcW w:w="4713" w:type="dxa"/>
            <w:gridSpan w:val="3"/>
          </w:tcPr>
          <w:p w:rsidR="00E035E6" w:rsidRPr="00037467" w:rsidRDefault="00E035E6" w:rsidP="00863E5E">
            <w:pPr>
              <w:pStyle w:val="NoSpacing"/>
              <w:rPr>
                <w:rFonts w:ascii="Times New Roman" w:hAnsi="Times New Roman" w:cs="Times New Roman"/>
                <w:sz w:val="24"/>
                <w:szCs w:val="24"/>
                <w:lang w:val="en-GB"/>
              </w:rPr>
            </w:pPr>
          </w:p>
        </w:tc>
      </w:tr>
      <w:tr w:rsidR="009F3E2F" w:rsidRPr="00037467" w:rsidTr="00B93B15">
        <w:trPr>
          <w:trHeight w:val="105"/>
        </w:trPr>
        <w:tc>
          <w:tcPr>
            <w:tcW w:w="4045" w:type="dxa"/>
            <w:gridSpan w:val="2"/>
            <w:vMerge w:val="restart"/>
          </w:tcPr>
          <w:p w:rsidR="009F3E2F"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lastRenderedPageBreak/>
              <w:t>Is it relevant to the advancement of:</w:t>
            </w:r>
          </w:p>
        </w:tc>
        <w:tc>
          <w:tcPr>
            <w:tcW w:w="1641"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29"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E035E6" w:rsidRPr="00037467" w:rsidTr="00B93B15">
        <w:trPr>
          <w:trHeight w:val="105"/>
        </w:trPr>
        <w:tc>
          <w:tcPr>
            <w:tcW w:w="4045" w:type="dxa"/>
            <w:gridSpan w:val="2"/>
            <w:vMerge/>
          </w:tcPr>
          <w:p w:rsidR="00E035E6" w:rsidRPr="00037467" w:rsidRDefault="00E035E6" w:rsidP="00863E5E">
            <w:pPr>
              <w:pStyle w:val="NoSpacing"/>
              <w:rPr>
                <w:rFonts w:ascii="Times New Roman" w:hAnsi="Times New Roman" w:cs="Times New Roman"/>
                <w:sz w:val="24"/>
                <w:szCs w:val="24"/>
                <w:lang w:val="en-GB"/>
              </w:rPr>
            </w:pPr>
          </w:p>
        </w:tc>
        <w:tc>
          <w:tcPr>
            <w:tcW w:w="1641"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c>
          <w:tcPr>
            <w:tcW w:w="1643" w:type="dxa"/>
          </w:tcPr>
          <w:p w:rsidR="00E035E6" w:rsidRPr="00037467" w:rsidRDefault="00E035E6" w:rsidP="00863E5E">
            <w:pPr>
              <w:pStyle w:val="NoSpacing"/>
              <w:rPr>
                <w:rFonts w:ascii="Times New Roman" w:hAnsi="Times New Roman" w:cs="Times New Roman"/>
                <w:sz w:val="24"/>
                <w:szCs w:val="24"/>
                <w:lang w:val="en-GB"/>
              </w:rPr>
            </w:pPr>
          </w:p>
        </w:tc>
        <w:tc>
          <w:tcPr>
            <w:tcW w:w="1429"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r>
      <w:tr w:rsidR="009F3E2F" w:rsidRPr="00037467" w:rsidTr="00B93B15">
        <w:trPr>
          <w:trHeight w:val="562"/>
        </w:trPr>
        <w:tc>
          <w:tcPr>
            <w:tcW w:w="4045" w:type="dxa"/>
            <w:gridSpan w:val="2"/>
          </w:tcPr>
          <w:p w:rsidR="009F3E2F"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9F3E2F"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9F3E2F" w:rsidRPr="00037467">
              <w:rPr>
                <w:rFonts w:ascii="Times New Roman" w:hAnsi="Times New Roman" w:cs="Times New Roman"/>
                <w:sz w:val="24"/>
                <w:szCs w:val="24"/>
                <w:lang w:val="en-GB"/>
              </w:rPr>
              <w:t xml:space="preserve"> the commitment:</w:t>
            </w:r>
          </w:p>
          <w:p w:rsidR="009F3E2F" w:rsidRPr="00037467" w:rsidRDefault="009F3E2F" w:rsidP="00863E5E">
            <w:pPr>
              <w:pStyle w:val="NoSpacing"/>
              <w:rPr>
                <w:rFonts w:ascii="Times New Roman" w:hAnsi="Times New Roman" w:cs="Times New Roman"/>
                <w:sz w:val="24"/>
                <w:szCs w:val="24"/>
                <w:lang w:val="en-GB"/>
              </w:rPr>
            </w:pPr>
          </w:p>
        </w:tc>
        <w:tc>
          <w:tcPr>
            <w:tcW w:w="1641"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29"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9F3E2F" w:rsidRPr="00037467" w:rsidTr="00B93B15">
        <w:trPr>
          <w:trHeight w:val="562"/>
        </w:trPr>
        <w:tc>
          <w:tcPr>
            <w:tcW w:w="4045" w:type="dxa"/>
            <w:gridSpan w:val="2"/>
          </w:tcPr>
          <w:p w:rsidR="009F3E2F" w:rsidRPr="00037467" w:rsidRDefault="00C3094B"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Increase in the number of comments from NG</w:t>
            </w:r>
            <w:r w:rsidR="009F3E2F" w:rsidRPr="00037467">
              <w:rPr>
                <w:rFonts w:ascii="Times New Roman" w:hAnsi="Times New Roman" w:cs="Times New Roman"/>
                <w:sz w:val="24"/>
                <w:szCs w:val="24"/>
                <w:lang w:val="en-GB"/>
              </w:rPr>
              <w:t>O</w:t>
            </w:r>
            <w:r w:rsidRPr="00037467">
              <w:rPr>
                <w:rFonts w:ascii="Times New Roman" w:hAnsi="Times New Roman" w:cs="Times New Roman"/>
                <w:sz w:val="24"/>
                <w:szCs w:val="24"/>
                <w:lang w:val="en-GB"/>
              </w:rPr>
              <w:t>s and general public</w:t>
            </w:r>
          </w:p>
        </w:tc>
        <w:tc>
          <w:tcPr>
            <w:tcW w:w="1641" w:type="dxa"/>
          </w:tcPr>
          <w:p w:rsidR="009F3E2F" w:rsidRPr="00037467" w:rsidRDefault="009F3E2F" w:rsidP="00863E5E">
            <w:pPr>
              <w:pStyle w:val="NoSpacing"/>
              <w:rPr>
                <w:rFonts w:ascii="Times New Roman" w:hAnsi="Times New Roman" w:cs="Times New Roman"/>
                <w:sz w:val="24"/>
                <w:szCs w:val="24"/>
                <w:lang w:val="en-GB"/>
              </w:rPr>
            </w:pPr>
          </w:p>
        </w:tc>
        <w:tc>
          <w:tcPr>
            <w:tcW w:w="1643" w:type="dxa"/>
          </w:tcPr>
          <w:p w:rsidR="009F3E2F" w:rsidRPr="00037467" w:rsidRDefault="00C3094B"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November </w:t>
            </w:r>
            <w:r w:rsidR="009F3E2F" w:rsidRPr="00037467">
              <w:rPr>
                <w:rFonts w:ascii="Times New Roman" w:hAnsi="Times New Roman" w:cs="Times New Roman"/>
                <w:sz w:val="24"/>
                <w:szCs w:val="24"/>
                <w:lang w:val="en-GB"/>
              </w:rPr>
              <w:t>2013</w:t>
            </w:r>
          </w:p>
        </w:tc>
        <w:tc>
          <w:tcPr>
            <w:tcW w:w="1429" w:type="dxa"/>
          </w:tcPr>
          <w:p w:rsidR="009F3E2F" w:rsidRPr="00037467" w:rsidRDefault="00C3094B"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2016</w:t>
            </w:r>
          </w:p>
        </w:tc>
      </w:tr>
    </w:tbl>
    <w:p w:rsidR="001E345D" w:rsidRPr="00037467" w:rsidRDefault="001E345D" w:rsidP="00863E5E">
      <w:pPr>
        <w:spacing w:after="0" w:line="240" w:lineRule="auto"/>
        <w:rPr>
          <w:rFonts w:ascii="Times New Roman" w:hAnsi="Times New Roman"/>
          <w:sz w:val="24"/>
          <w:szCs w:val="24"/>
        </w:rPr>
      </w:pPr>
    </w:p>
    <w:tbl>
      <w:tblPr>
        <w:tblStyle w:val="TableGrid"/>
        <w:tblW w:w="8793" w:type="dxa"/>
        <w:tblLook w:val="04A0" w:firstRow="1" w:lastRow="0" w:firstColumn="1" w:lastColumn="0" w:noHBand="0" w:noVBand="1"/>
      </w:tblPr>
      <w:tblGrid>
        <w:gridCol w:w="2020"/>
        <w:gridCol w:w="2036"/>
        <w:gridCol w:w="1641"/>
        <w:gridCol w:w="1643"/>
        <w:gridCol w:w="1453"/>
      </w:tblGrid>
      <w:tr w:rsidR="00E035E6" w:rsidRPr="00037467" w:rsidTr="00E035E6">
        <w:tc>
          <w:tcPr>
            <w:tcW w:w="8793" w:type="dxa"/>
            <w:gridSpan w:val="5"/>
          </w:tcPr>
          <w:p w:rsidR="00E035E6" w:rsidRPr="00037467" w:rsidRDefault="008801AD" w:rsidP="00863E5E">
            <w:pPr>
              <w:pStyle w:val="NoSpacing"/>
              <w:jc w:val="center"/>
              <w:rPr>
                <w:rFonts w:ascii="Times New Roman" w:hAnsi="Times New Roman" w:cs="Times New Roman"/>
                <w:sz w:val="24"/>
                <w:szCs w:val="24"/>
                <w:lang w:val="en-GB"/>
              </w:rPr>
            </w:pPr>
            <w:r w:rsidRPr="00037467">
              <w:rPr>
                <w:rFonts w:ascii="Times New Roman" w:hAnsi="Times New Roman" w:cs="Times New Roman"/>
                <w:sz w:val="24"/>
                <w:szCs w:val="24"/>
                <w:lang w:val="en-GB"/>
              </w:rPr>
              <w:t>Commitment</w:t>
            </w:r>
          </w:p>
        </w:tc>
      </w:tr>
      <w:tr w:rsidR="00E035E6" w:rsidRPr="00037467" w:rsidTr="00E035E6">
        <w:tc>
          <w:tcPr>
            <w:tcW w:w="8793" w:type="dxa"/>
            <w:gridSpan w:val="5"/>
          </w:tcPr>
          <w:p w:rsidR="00C3094B" w:rsidRPr="00037467" w:rsidRDefault="009F3E2F" w:rsidP="00863E5E">
            <w:pPr>
              <w:pStyle w:val="NoSpacing"/>
              <w:jc w:val="center"/>
              <w:rPr>
                <w:rFonts w:ascii="Times New Roman" w:hAnsi="Times New Roman" w:cs="Times New Roman"/>
                <w:b/>
                <w:sz w:val="24"/>
                <w:szCs w:val="24"/>
                <w:lang w:val="en-GB"/>
              </w:rPr>
            </w:pPr>
            <w:r w:rsidRPr="00037467">
              <w:rPr>
                <w:rFonts w:ascii="Times New Roman" w:hAnsi="Times New Roman"/>
                <w:b/>
                <w:sz w:val="24"/>
                <w:szCs w:val="24"/>
                <w:lang w:val="en-GB"/>
              </w:rPr>
              <w:t>3.</w:t>
            </w:r>
            <w:r w:rsidRPr="00037467">
              <w:rPr>
                <w:rFonts w:ascii="Times New Roman" w:hAnsi="Times New Roman"/>
                <w:sz w:val="24"/>
                <w:szCs w:val="24"/>
                <w:lang w:val="en-GB"/>
              </w:rPr>
              <w:t xml:space="preserve"> </w:t>
            </w:r>
            <w:r w:rsidR="00C3094B" w:rsidRPr="00037467">
              <w:rPr>
                <w:rFonts w:ascii="Times New Roman" w:hAnsi="Times New Roman" w:cs="Times New Roman"/>
                <w:b/>
                <w:sz w:val="24"/>
                <w:szCs w:val="24"/>
                <w:lang w:val="en-GB"/>
              </w:rPr>
              <w:t>Common platform for the government institutions' webpages and information</w:t>
            </w:r>
          </w:p>
        </w:tc>
      </w:tr>
      <w:tr w:rsidR="00E035E6" w:rsidRPr="00037467" w:rsidTr="009F3E2F">
        <w:tc>
          <w:tcPr>
            <w:tcW w:w="4056"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Lead agency</w:t>
            </w:r>
          </w:p>
        </w:tc>
        <w:tc>
          <w:tcPr>
            <w:tcW w:w="4737" w:type="dxa"/>
            <w:gridSpan w:val="3"/>
          </w:tcPr>
          <w:p w:rsidR="000272C2"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State Chancellery</w:t>
            </w:r>
            <w:r w:rsidRPr="00037467">
              <w:rPr>
                <w:rFonts w:ascii="Times New Roman" w:hAnsi="Times New Roman" w:cs="Times New Roman"/>
                <w:sz w:val="24"/>
                <w:szCs w:val="24"/>
                <w:lang w:val="en-GB"/>
              </w:rPr>
              <w:t xml:space="preserve"> </w:t>
            </w:r>
          </w:p>
          <w:p w:rsidR="00E035E6"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Ministry of Environmental Protection and Regional Development</w:t>
            </w:r>
          </w:p>
        </w:tc>
      </w:tr>
      <w:tr w:rsidR="00B93B15" w:rsidRPr="00037467" w:rsidTr="009F3E2F">
        <w:trPr>
          <w:trHeight w:val="105"/>
        </w:trPr>
        <w:tc>
          <w:tcPr>
            <w:tcW w:w="2020" w:type="dxa"/>
            <w:vMerge w:val="restart"/>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2036"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737" w:type="dxa"/>
            <w:gridSpan w:val="3"/>
            <w:vMerge w:val="restart"/>
          </w:tcPr>
          <w:p w:rsidR="00893FEA"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 xml:space="preserve"> </w:t>
            </w:r>
            <w:r w:rsidR="00893FEA" w:rsidRPr="00037467">
              <w:rPr>
                <w:rFonts w:ascii="Times New Roman" w:hAnsi="Times New Roman"/>
                <w:sz w:val="24"/>
                <w:szCs w:val="24"/>
              </w:rPr>
              <w:t>Public administration intitutions (ministries and subordinated institutions)</w:t>
            </w:r>
          </w:p>
          <w:p w:rsidR="00B93B15" w:rsidRPr="00037467" w:rsidRDefault="00893FEA"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General public</w:t>
            </w:r>
          </w:p>
        </w:tc>
      </w:tr>
      <w:tr w:rsidR="00B93B15" w:rsidRPr="00037467" w:rsidTr="003827E6">
        <w:trPr>
          <w:trHeight w:val="105"/>
        </w:trPr>
        <w:tc>
          <w:tcPr>
            <w:tcW w:w="2020" w:type="dxa"/>
            <w:vMerge/>
            <w:vAlign w:val="center"/>
          </w:tcPr>
          <w:p w:rsidR="00B93B15" w:rsidRPr="00037467" w:rsidRDefault="00B93B15" w:rsidP="00863E5E">
            <w:pPr>
              <w:pStyle w:val="NoSpacing"/>
              <w:rPr>
                <w:rFonts w:ascii="Times New Roman" w:hAnsi="Times New Roman" w:cs="Times New Roman"/>
                <w:sz w:val="24"/>
                <w:szCs w:val="24"/>
                <w:lang w:val="en-GB"/>
              </w:rPr>
            </w:pPr>
          </w:p>
        </w:tc>
        <w:tc>
          <w:tcPr>
            <w:tcW w:w="2036"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Civil Society, Private Sector</w:t>
            </w:r>
          </w:p>
        </w:tc>
        <w:tc>
          <w:tcPr>
            <w:tcW w:w="4737" w:type="dxa"/>
            <w:gridSpan w:val="3"/>
            <w:vMerge/>
          </w:tcPr>
          <w:p w:rsidR="00B93B15" w:rsidRPr="00037467" w:rsidRDefault="00B93B15" w:rsidP="00863E5E">
            <w:pPr>
              <w:pStyle w:val="NoSpacing"/>
              <w:rPr>
                <w:rFonts w:ascii="Times New Roman" w:hAnsi="Times New Roman" w:cs="Times New Roman"/>
                <w:sz w:val="24"/>
                <w:szCs w:val="24"/>
                <w:lang w:val="en-GB"/>
              </w:rPr>
            </w:pPr>
          </w:p>
        </w:tc>
      </w:tr>
      <w:tr w:rsidR="00E035E6" w:rsidRPr="00037467" w:rsidTr="009F3E2F">
        <w:tc>
          <w:tcPr>
            <w:tcW w:w="4056"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Status quo or problem/issue to be addressed</w:t>
            </w:r>
          </w:p>
        </w:tc>
        <w:tc>
          <w:tcPr>
            <w:tcW w:w="4737" w:type="dxa"/>
            <w:gridSpan w:val="3"/>
          </w:tcPr>
          <w:p w:rsidR="004F7DB5" w:rsidRPr="00037467" w:rsidRDefault="004F7DB5"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Many public institutions have functionally and technically outdated websites, which do not meet the requirement of modern technologies, cannot ensure customer-oriented services</w:t>
            </w:r>
            <w:r w:rsidR="0072759F" w:rsidRPr="00037467">
              <w:rPr>
                <w:rFonts w:ascii="Times New Roman" w:hAnsi="Times New Roman" w:cs="Times New Roman"/>
                <w:sz w:val="24"/>
                <w:szCs w:val="24"/>
                <w:lang w:val="en-GB"/>
              </w:rPr>
              <w:t xml:space="preserve">, and are not </w:t>
            </w:r>
            <w:r w:rsidR="00A76030" w:rsidRPr="00037467">
              <w:rPr>
                <w:rFonts w:ascii="Times New Roman" w:hAnsi="Times New Roman" w:cs="Times New Roman"/>
                <w:sz w:val="24"/>
                <w:szCs w:val="24"/>
                <w:lang w:val="en-GB"/>
              </w:rPr>
              <w:t>user-friendly</w:t>
            </w:r>
            <w:r w:rsidR="0072759F" w:rsidRPr="00037467">
              <w:rPr>
                <w:rFonts w:ascii="Times New Roman" w:hAnsi="Times New Roman" w:cs="Times New Roman"/>
                <w:sz w:val="24"/>
                <w:szCs w:val="24"/>
                <w:lang w:val="en-GB"/>
              </w:rPr>
              <w:t xml:space="preserve">. Different contents management platforms exist, and it is not possible to share best practices. A study established that only 16 out of 115 government institution websites have been recognised as good by users. It has been admitted that the websites have low functionality and non-transparent structures. </w:t>
            </w:r>
          </w:p>
          <w:p w:rsidR="00E035E6" w:rsidRPr="00037467" w:rsidRDefault="00E035E6" w:rsidP="00863E5E">
            <w:pPr>
              <w:pStyle w:val="NoSpacing"/>
              <w:rPr>
                <w:rFonts w:ascii="Times New Roman" w:hAnsi="Times New Roman" w:cs="Times New Roman"/>
                <w:sz w:val="24"/>
                <w:szCs w:val="24"/>
                <w:lang w:val="en-GB"/>
              </w:rPr>
            </w:pPr>
          </w:p>
        </w:tc>
      </w:tr>
      <w:tr w:rsidR="00E035E6" w:rsidRPr="00037467" w:rsidTr="009F3E2F">
        <w:tc>
          <w:tcPr>
            <w:tcW w:w="4056" w:type="dxa"/>
            <w:gridSpan w:val="2"/>
          </w:tcPr>
          <w:p w:rsidR="00E035E6"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Main Objective</w:t>
            </w:r>
          </w:p>
        </w:tc>
        <w:tc>
          <w:tcPr>
            <w:tcW w:w="4737" w:type="dxa"/>
            <w:gridSpan w:val="3"/>
          </w:tcPr>
          <w:p w:rsidR="0072759F" w:rsidRPr="00037467" w:rsidRDefault="0072759F"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Public institutions have state-of-the-art, user-friendly websites tailored to the needs of the public. </w:t>
            </w:r>
          </w:p>
          <w:p w:rsidR="0072759F" w:rsidRPr="00037467" w:rsidRDefault="0072759F"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This will be achieved by devising a uniform website management platform centralised at the government level. </w:t>
            </w:r>
          </w:p>
          <w:p w:rsidR="00E035E6" w:rsidRPr="00037467" w:rsidRDefault="00EB2268" w:rsidP="00863E5E">
            <w:pPr>
              <w:pStyle w:val="BodyText"/>
              <w:spacing w:after="0"/>
              <w:jc w:val="both"/>
            </w:pPr>
            <w:r w:rsidRPr="00037467">
              <w:t xml:space="preserve">The reform will be conducive to achieving the following aims: </w:t>
            </w:r>
          </w:p>
          <w:p w:rsidR="00EB2268" w:rsidRPr="00037467" w:rsidRDefault="00EB2268" w:rsidP="00863E5E">
            <w:pPr>
              <w:pStyle w:val="BodyText"/>
              <w:spacing w:after="0"/>
              <w:jc w:val="both"/>
            </w:pPr>
            <w:r w:rsidRPr="00037467">
              <w:t>1. The quality and security requirements for the public institution websites in the country are set in a centralised manner.</w:t>
            </w:r>
          </w:p>
          <w:p w:rsidR="00EB2268" w:rsidRPr="00037467" w:rsidRDefault="00EB2268" w:rsidP="00863E5E">
            <w:pPr>
              <w:pStyle w:val="BodyText"/>
              <w:spacing w:after="0"/>
              <w:jc w:val="both"/>
            </w:pPr>
            <w:r w:rsidRPr="00037467">
              <w:t xml:space="preserve">2. Customer-targeted service is a quality communication channel that facilitates public participation. The websites are </w:t>
            </w:r>
            <w:r w:rsidR="00480CF5" w:rsidRPr="00037467">
              <w:t xml:space="preserve">based on state-of-the-art technological solutions, they are </w:t>
            </w:r>
            <w:r w:rsidRPr="00037467">
              <w:t xml:space="preserve">user friendly and of straightforward design. </w:t>
            </w:r>
          </w:p>
          <w:p w:rsidR="003A6EDB" w:rsidRPr="00037467" w:rsidRDefault="00E035E6" w:rsidP="00863E5E">
            <w:pPr>
              <w:pStyle w:val="BodyText"/>
              <w:spacing w:after="0"/>
              <w:jc w:val="both"/>
            </w:pPr>
            <w:r w:rsidRPr="00037467">
              <w:t xml:space="preserve">3. </w:t>
            </w:r>
            <w:r w:rsidR="003A6EDB" w:rsidRPr="00037467">
              <w:t xml:space="preserve">A considerable financial benefit ensured, as possibilities </w:t>
            </w:r>
            <w:r w:rsidR="0072759F" w:rsidRPr="00037467">
              <w:t xml:space="preserve">are precluded </w:t>
            </w:r>
            <w:r w:rsidR="003A6EDB" w:rsidRPr="00037467">
              <w:t xml:space="preserve">for creating new websites or investing into those on the grounds </w:t>
            </w:r>
            <w:r w:rsidR="003A6EDB" w:rsidRPr="00037467">
              <w:lastRenderedPageBreak/>
              <w:t xml:space="preserve">of subjective decisions. Public administration </w:t>
            </w:r>
            <w:r w:rsidR="005C6008" w:rsidRPr="00037467">
              <w:t xml:space="preserve">will not have to overspend due to the same functionalities being developed on repeated occasions. </w:t>
            </w:r>
          </w:p>
          <w:p w:rsidR="00E035E6" w:rsidRPr="00037467" w:rsidRDefault="00E035E6" w:rsidP="00863E5E">
            <w:pPr>
              <w:pStyle w:val="BodyText"/>
              <w:spacing w:after="0"/>
              <w:jc w:val="both"/>
            </w:pPr>
            <w:r w:rsidRPr="00037467">
              <w:t xml:space="preserve">4. </w:t>
            </w:r>
            <w:r w:rsidR="005C6008" w:rsidRPr="00037467">
              <w:t>More effective planning of the development of public institution websites.</w:t>
            </w:r>
          </w:p>
          <w:p w:rsidR="00E035E6" w:rsidRPr="00037467" w:rsidRDefault="00E035E6" w:rsidP="00863E5E">
            <w:pPr>
              <w:pStyle w:val="NoSpacing"/>
              <w:jc w:val="both"/>
              <w:rPr>
                <w:rFonts w:ascii="Times New Roman" w:hAnsi="Times New Roman" w:cs="Times New Roman"/>
                <w:sz w:val="24"/>
                <w:szCs w:val="24"/>
                <w:lang w:val="en-GB"/>
              </w:rPr>
            </w:pPr>
          </w:p>
        </w:tc>
      </w:tr>
      <w:tr w:rsidR="00E035E6" w:rsidRPr="00037467" w:rsidTr="009F3E2F">
        <w:tc>
          <w:tcPr>
            <w:tcW w:w="4056" w:type="dxa"/>
            <w:gridSpan w:val="2"/>
          </w:tcPr>
          <w:p w:rsidR="00E035E6"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lastRenderedPageBreak/>
              <w:t>OGP challenge addressed by the commitment</w:t>
            </w:r>
          </w:p>
        </w:tc>
        <w:tc>
          <w:tcPr>
            <w:tcW w:w="4737" w:type="dxa"/>
            <w:gridSpan w:val="3"/>
          </w:tcPr>
          <w:p w:rsidR="00E035E6" w:rsidRPr="00037467" w:rsidRDefault="00E035E6" w:rsidP="00863E5E">
            <w:pPr>
              <w:pStyle w:val="NoSpacing"/>
              <w:rPr>
                <w:rFonts w:ascii="Times New Roman" w:hAnsi="Times New Roman" w:cs="Times New Roman"/>
                <w:sz w:val="24"/>
                <w:szCs w:val="24"/>
                <w:lang w:val="en-GB"/>
              </w:rPr>
            </w:pPr>
          </w:p>
        </w:tc>
      </w:tr>
      <w:tr w:rsidR="009F3E2F" w:rsidRPr="00037467" w:rsidTr="009F3E2F">
        <w:trPr>
          <w:trHeight w:val="105"/>
        </w:trPr>
        <w:tc>
          <w:tcPr>
            <w:tcW w:w="4056" w:type="dxa"/>
            <w:gridSpan w:val="2"/>
            <w:vMerge w:val="restart"/>
          </w:tcPr>
          <w:p w:rsidR="009F3E2F"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Is it relevant to the advancement of:</w:t>
            </w:r>
          </w:p>
        </w:tc>
        <w:tc>
          <w:tcPr>
            <w:tcW w:w="1641"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5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E035E6" w:rsidRPr="00037467" w:rsidTr="009F3E2F">
        <w:trPr>
          <w:trHeight w:val="105"/>
        </w:trPr>
        <w:tc>
          <w:tcPr>
            <w:tcW w:w="4056" w:type="dxa"/>
            <w:gridSpan w:val="2"/>
            <w:vMerge/>
          </w:tcPr>
          <w:p w:rsidR="00E035E6" w:rsidRPr="00037467" w:rsidRDefault="00E035E6" w:rsidP="00863E5E">
            <w:pPr>
              <w:pStyle w:val="NoSpacing"/>
              <w:rPr>
                <w:rFonts w:ascii="Times New Roman" w:hAnsi="Times New Roman" w:cs="Times New Roman"/>
                <w:sz w:val="24"/>
                <w:szCs w:val="24"/>
                <w:lang w:val="en-GB"/>
              </w:rPr>
            </w:pPr>
          </w:p>
        </w:tc>
        <w:tc>
          <w:tcPr>
            <w:tcW w:w="1641"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c>
          <w:tcPr>
            <w:tcW w:w="1643" w:type="dxa"/>
          </w:tcPr>
          <w:p w:rsidR="00E035E6" w:rsidRPr="00037467" w:rsidRDefault="00E035E6" w:rsidP="00863E5E">
            <w:pPr>
              <w:pStyle w:val="NoSpacing"/>
              <w:rPr>
                <w:rFonts w:ascii="Times New Roman" w:hAnsi="Times New Roman" w:cs="Times New Roman"/>
                <w:sz w:val="24"/>
                <w:szCs w:val="24"/>
                <w:lang w:val="en-GB"/>
              </w:rPr>
            </w:pPr>
          </w:p>
        </w:tc>
        <w:tc>
          <w:tcPr>
            <w:tcW w:w="1453" w:type="dxa"/>
          </w:tcPr>
          <w:p w:rsidR="00E035E6" w:rsidRPr="00037467" w:rsidRDefault="00E035E6"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r>
      <w:tr w:rsidR="009F3E2F" w:rsidRPr="00037467" w:rsidTr="009F3E2F">
        <w:trPr>
          <w:trHeight w:val="838"/>
        </w:trPr>
        <w:tc>
          <w:tcPr>
            <w:tcW w:w="4056" w:type="dxa"/>
            <w:gridSpan w:val="2"/>
          </w:tcPr>
          <w:p w:rsidR="009F3E2F"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9F3E2F"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9F3E2F" w:rsidRPr="00037467">
              <w:rPr>
                <w:rFonts w:ascii="Times New Roman" w:hAnsi="Times New Roman" w:cs="Times New Roman"/>
                <w:sz w:val="24"/>
                <w:szCs w:val="24"/>
                <w:lang w:val="en-GB"/>
              </w:rPr>
              <w:t xml:space="preserve"> the commitment:</w:t>
            </w:r>
          </w:p>
          <w:p w:rsidR="009F3E2F" w:rsidRPr="00037467" w:rsidRDefault="009F3E2F" w:rsidP="00863E5E">
            <w:pPr>
              <w:pStyle w:val="NoSpacing"/>
              <w:rPr>
                <w:rFonts w:ascii="Times New Roman" w:hAnsi="Times New Roman" w:cs="Times New Roman"/>
                <w:sz w:val="24"/>
                <w:szCs w:val="24"/>
                <w:lang w:val="en-GB"/>
              </w:rPr>
            </w:pPr>
          </w:p>
        </w:tc>
        <w:tc>
          <w:tcPr>
            <w:tcW w:w="1641"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5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9F3E2F" w:rsidRPr="00037467" w:rsidTr="009F3E2F">
        <w:trPr>
          <w:trHeight w:val="838"/>
        </w:trPr>
        <w:tc>
          <w:tcPr>
            <w:tcW w:w="4056" w:type="dxa"/>
            <w:gridSpan w:val="2"/>
          </w:tcPr>
          <w:p w:rsidR="0005766E" w:rsidRPr="00037467" w:rsidRDefault="0005766E"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Establishing a common platform for the management of public institution websites</w:t>
            </w:r>
          </w:p>
          <w:p w:rsidR="009F3E2F" w:rsidRPr="00037467" w:rsidRDefault="009F3E2F" w:rsidP="00863E5E">
            <w:pPr>
              <w:pStyle w:val="NoSpacing"/>
              <w:rPr>
                <w:rFonts w:ascii="Times New Roman" w:hAnsi="Times New Roman" w:cs="Times New Roman"/>
                <w:sz w:val="24"/>
                <w:szCs w:val="24"/>
                <w:lang w:val="en-GB"/>
              </w:rPr>
            </w:pPr>
          </w:p>
          <w:p w:rsidR="009F3E2F" w:rsidRPr="00037467" w:rsidRDefault="009F3E2F" w:rsidP="00863E5E">
            <w:pPr>
              <w:pStyle w:val="NoSpacing"/>
              <w:rPr>
                <w:rFonts w:ascii="Times New Roman" w:hAnsi="Times New Roman" w:cs="Times New Roman"/>
                <w:sz w:val="24"/>
                <w:szCs w:val="24"/>
                <w:lang w:val="en-GB"/>
              </w:rPr>
            </w:pPr>
          </w:p>
        </w:tc>
        <w:tc>
          <w:tcPr>
            <w:tcW w:w="1641" w:type="dxa"/>
          </w:tcPr>
          <w:p w:rsidR="009F3E2F" w:rsidRPr="00037467" w:rsidRDefault="0005766E"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Ongoing</w:t>
            </w:r>
          </w:p>
        </w:tc>
        <w:tc>
          <w:tcPr>
            <w:tcW w:w="1643" w:type="dxa"/>
          </w:tcPr>
          <w:p w:rsidR="009F3E2F" w:rsidRPr="00037467" w:rsidRDefault="009F3E2F"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2013</w:t>
            </w:r>
          </w:p>
        </w:tc>
        <w:tc>
          <w:tcPr>
            <w:tcW w:w="1453" w:type="dxa"/>
          </w:tcPr>
          <w:p w:rsidR="009F3E2F" w:rsidRPr="00037467" w:rsidRDefault="0005766E"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At least by 2020</w:t>
            </w:r>
            <w:r w:rsidR="008801AD" w:rsidRPr="00037467">
              <w:rPr>
                <w:rFonts w:ascii="Times New Roman" w:hAnsi="Times New Roman" w:cs="Times New Roman"/>
                <w:sz w:val="24"/>
                <w:szCs w:val="24"/>
                <w:lang w:val="en-GB"/>
              </w:rPr>
              <w:t xml:space="preserve">; </w:t>
            </w:r>
            <w:r w:rsidRPr="00037467">
              <w:rPr>
                <w:rFonts w:ascii="Times New Roman" w:hAnsi="Times New Roman" w:cs="Times New Roman"/>
                <w:sz w:val="24"/>
                <w:szCs w:val="24"/>
                <w:lang w:val="en-GB"/>
              </w:rPr>
              <w:t>a long term initiative</w:t>
            </w:r>
          </w:p>
        </w:tc>
      </w:tr>
    </w:tbl>
    <w:p w:rsidR="009806D9" w:rsidRPr="00037467" w:rsidRDefault="009806D9" w:rsidP="00863E5E">
      <w:pPr>
        <w:spacing w:after="0" w:line="240" w:lineRule="auto"/>
        <w:rPr>
          <w:rFonts w:ascii="Times New Roman" w:hAnsi="Times New Roman"/>
          <w:sz w:val="24"/>
          <w:szCs w:val="24"/>
        </w:rPr>
      </w:pPr>
    </w:p>
    <w:tbl>
      <w:tblPr>
        <w:tblStyle w:val="TableGrid"/>
        <w:tblW w:w="8793" w:type="dxa"/>
        <w:tblLook w:val="04A0" w:firstRow="1" w:lastRow="0" w:firstColumn="1" w:lastColumn="0" w:noHBand="0" w:noVBand="1"/>
      </w:tblPr>
      <w:tblGrid>
        <w:gridCol w:w="1832"/>
        <w:gridCol w:w="1875"/>
        <w:gridCol w:w="2009"/>
        <w:gridCol w:w="1643"/>
        <w:gridCol w:w="1434"/>
      </w:tblGrid>
      <w:tr w:rsidR="004B3407" w:rsidRPr="00037467" w:rsidTr="0006658E">
        <w:tc>
          <w:tcPr>
            <w:tcW w:w="8793" w:type="dxa"/>
            <w:gridSpan w:val="5"/>
          </w:tcPr>
          <w:p w:rsidR="004B3407" w:rsidRPr="00037467" w:rsidRDefault="008801AD" w:rsidP="00863E5E">
            <w:pPr>
              <w:pStyle w:val="NoSpacing"/>
              <w:jc w:val="center"/>
              <w:rPr>
                <w:rFonts w:ascii="Times New Roman" w:hAnsi="Times New Roman" w:cs="Times New Roman"/>
                <w:sz w:val="24"/>
                <w:szCs w:val="24"/>
                <w:lang w:val="en-GB"/>
              </w:rPr>
            </w:pPr>
            <w:r w:rsidRPr="00037467">
              <w:rPr>
                <w:rFonts w:ascii="Times New Roman" w:hAnsi="Times New Roman" w:cs="Times New Roman"/>
                <w:sz w:val="24"/>
                <w:szCs w:val="24"/>
                <w:lang w:val="en-GB"/>
              </w:rPr>
              <w:t>C</w:t>
            </w:r>
            <w:r w:rsidRPr="00037467">
              <w:rPr>
                <w:rFonts w:ascii="Times New Roman" w:hAnsi="Times New Roman"/>
                <w:sz w:val="24"/>
                <w:szCs w:val="24"/>
                <w:lang w:val="en-GB"/>
              </w:rPr>
              <w:t>ommitment</w:t>
            </w:r>
          </w:p>
        </w:tc>
      </w:tr>
      <w:tr w:rsidR="004B3407" w:rsidRPr="00037467" w:rsidTr="0006658E">
        <w:tc>
          <w:tcPr>
            <w:tcW w:w="8793" w:type="dxa"/>
            <w:gridSpan w:val="5"/>
          </w:tcPr>
          <w:p w:rsidR="006D08D7" w:rsidRPr="00037467" w:rsidRDefault="008801AD" w:rsidP="00863E5E">
            <w:pPr>
              <w:spacing w:after="0" w:line="240" w:lineRule="auto"/>
              <w:rPr>
                <w:rFonts w:ascii="Times New Roman" w:hAnsi="Times New Roman"/>
                <w:b/>
                <w:sz w:val="24"/>
                <w:szCs w:val="24"/>
              </w:rPr>
            </w:pPr>
            <w:r w:rsidRPr="00037467">
              <w:rPr>
                <w:rFonts w:ascii="Times New Roman" w:hAnsi="Times New Roman"/>
                <w:b/>
                <w:sz w:val="24"/>
                <w:szCs w:val="24"/>
              </w:rPr>
              <w:t>4.</w:t>
            </w:r>
            <w:r w:rsidRPr="00037467">
              <w:rPr>
                <w:rFonts w:ascii="Times New Roman" w:hAnsi="Times New Roman"/>
                <w:sz w:val="24"/>
                <w:szCs w:val="24"/>
              </w:rPr>
              <w:t xml:space="preserve"> </w:t>
            </w:r>
            <w:r w:rsidR="006D08D7" w:rsidRPr="00037467">
              <w:rPr>
                <w:rFonts w:ascii="Times New Roman" w:hAnsi="Times New Roman"/>
                <w:b/>
                <w:sz w:val="24"/>
                <w:szCs w:val="24"/>
              </w:rPr>
              <w:t>Open, fair and professional selection of candidates for the membership on the boards and councils of public entity enterprises</w:t>
            </w:r>
          </w:p>
        </w:tc>
      </w:tr>
      <w:tr w:rsidR="004B3407" w:rsidRPr="00037467" w:rsidTr="00B93B15">
        <w:tc>
          <w:tcPr>
            <w:tcW w:w="3707" w:type="dxa"/>
            <w:gridSpan w:val="2"/>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Lead agency</w:t>
            </w:r>
          </w:p>
        </w:tc>
        <w:tc>
          <w:tcPr>
            <w:tcW w:w="5086" w:type="dxa"/>
            <w:gridSpan w:val="3"/>
          </w:tcPr>
          <w:p w:rsidR="004B3407" w:rsidRPr="00037467" w:rsidRDefault="00D45664"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State Chancellery</w:t>
            </w:r>
            <w:r w:rsidRPr="00037467">
              <w:rPr>
                <w:rFonts w:ascii="Times New Roman" w:hAnsi="Times New Roman" w:cs="Times New Roman"/>
                <w:sz w:val="24"/>
                <w:szCs w:val="24"/>
                <w:lang w:val="en-GB"/>
              </w:rPr>
              <w:t>, Ministry of Economics</w:t>
            </w:r>
          </w:p>
        </w:tc>
      </w:tr>
      <w:tr w:rsidR="00B93B15" w:rsidRPr="00037467" w:rsidTr="00B93B15">
        <w:trPr>
          <w:trHeight w:val="105"/>
        </w:trPr>
        <w:tc>
          <w:tcPr>
            <w:tcW w:w="1832" w:type="dxa"/>
            <w:vMerge w:val="restart"/>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1875"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5086" w:type="dxa"/>
            <w:gridSpan w:val="3"/>
            <w:vMerge w:val="restart"/>
          </w:tcPr>
          <w:p w:rsidR="00893FEA" w:rsidRPr="00037467" w:rsidRDefault="00893FEA"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All shareholders in </w:t>
            </w:r>
            <w:r w:rsidR="00A76030" w:rsidRPr="00037467">
              <w:rPr>
                <w:rFonts w:ascii="Times New Roman" w:hAnsi="Times New Roman" w:cs="Times New Roman"/>
                <w:sz w:val="24"/>
                <w:szCs w:val="24"/>
                <w:lang w:val="en-GB"/>
              </w:rPr>
              <w:t>enterprises owned by</w:t>
            </w:r>
            <w:r w:rsidRPr="00037467">
              <w:rPr>
                <w:rFonts w:ascii="Times New Roman" w:hAnsi="Times New Roman" w:cs="Times New Roman"/>
                <w:sz w:val="24"/>
                <w:szCs w:val="24"/>
                <w:lang w:val="en-GB"/>
              </w:rPr>
              <w:t xml:space="preserve"> public entit</w:t>
            </w:r>
            <w:r w:rsidR="00A76030" w:rsidRPr="00037467">
              <w:rPr>
                <w:rFonts w:ascii="Times New Roman" w:hAnsi="Times New Roman" w:cs="Times New Roman"/>
                <w:sz w:val="24"/>
                <w:szCs w:val="24"/>
                <w:lang w:val="en-GB"/>
              </w:rPr>
              <w:t>ies</w:t>
            </w:r>
            <w:r w:rsidR="003D6F51" w:rsidRPr="00037467">
              <w:rPr>
                <w:rFonts w:ascii="Times New Roman" w:hAnsi="Times New Roman" w:cs="Times New Roman"/>
                <w:sz w:val="24"/>
                <w:szCs w:val="24"/>
                <w:lang w:val="en-GB"/>
              </w:rPr>
              <w:t xml:space="preserve"> </w:t>
            </w:r>
          </w:p>
        </w:tc>
      </w:tr>
      <w:tr w:rsidR="00B93B15" w:rsidRPr="00037467" w:rsidTr="003827E6">
        <w:trPr>
          <w:trHeight w:val="105"/>
        </w:trPr>
        <w:tc>
          <w:tcPr>
            <w:tcW w:w="1832" w:type="dxa"/>
            <w:vMerge/>
            <w:vAlign w:val="center"/>
          </w:tcPr>
          <w:p w:rsidR="00B93B15" w:rsidRPr="00037467" w:rsidRDefault="00B93B15" w:rsidP="00863E5E">
            <w:pPr>
              <w:pStyle w:val="NoSpacing"/>
              <w:rPr>
                <w:rFonts w:ascii="Times New Roman" w:hAnsi="Times New Roman" w:cs="Times New Roman"/>
                <w:sz w:val="24"/>
                <w:szCs w:val="24"/>
                <w:lang w:val="en-GB"/>
              </w:rPr>
            </w:pPr>
          </w:p>
        </w:tc>
        <w:tc>
          <w:tcPr>
            <w:tcW w:w="1875"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Civil Society, Private Sector</w:t>
            </w:r>
          </w:p>
        </w:tc>
        <w:tc>
          <w:tcPr>
            <w:tcW w:w="5086" w:type="dxa"/>
            <w:gridSpan w:val="3"/>
            <w:vMerge/>
          </w:tcPr>
          <w:p w:rsidR="00B93B15" w:rsidRPr="00037467" w:rsidRDefault="00B93B15" w:rsidP="00863E5E">
            <w:pPr>
              <w:pStyle w:val="NoSpacing"/>
              <w:rPr>
                <w:rFonts w:ascii="Times New Roman" w:hAnsi="Times New Roman" w:cs="Times New Roman"/>
                <w:sz w:val="24"/>
                <w:szCs w:val="24"/>
                <w:lang w:val="en-GB"/>
              </w:rPr>
            </w:pPr>
          </w:p>
        </w:tc>
      </w:tr>
      <w:tr w:rsidR="004B3407" w:rsidRPr="00037467" w:rsidTr="00B93B15">
        <w:tc>
          <w:tcPr>
            <w:tcW w:w="3707" w:type="dxa"/>
            <w:gridSpan w:val="2"/>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Status quo or problem/issue to be addressed</w:t>
            </w:r>
          </w:p>
        </w:tc>
        <w:tc>
          <w:tcPr>
            <w:tcW w:w="5086" w:type="dxa"/>
            <w:gridSpan w:val="3"/>
          </w:tcPr>
          <w:p w:rsidR="006D08D7" w:rsidRPr="00037467" w:rsidRDefault="006D08D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Different practice</w:t>
            </w:r>
            <w:r w:rsidR="003D6F51" w:rsidRPr="00037467">
              <w:rPr>
                <w:rFonts w:ascii="Times New Roman" w:hAnsi="Times New Roman" w:cs="Times New Roman"/>
                <w:sz w:val="24"/>
                <w:szCs w:val="24"/>
                <w:lang w:val="en-GB"/>
              </w:rPr>
              <w:t>s</w:t>
            </w:r>
            <w:r w:rsidR="004F7DB5" w:rsidRPr="00037467">
              <w:rPr>
                <w:rFonts w:ascii="Times New Roman" w:hAnsi="Times New Roman" w:cs="Times New Roman"/>
                <w:sz w:val="24"/>
                <w:szCs w:val="24"/>
                <w:lang w:val="en-GB"/>
              </w:rPr>
              <w:t xml:space="preserve"> </w:t>
            </w:r>
            <w:r w:rsidRPr="00037467">
              <w:rPr>
                <w:rFonts w:ascii="Times New Roman" w:hAnsi="Times New Roman" w:cs="Times New Roman"/>
                <w:sz w:val="24"/>
                <w:szCs w:val="24"/>
                <w:lang w:val="en-GB"/>
              </w:rPr>
              <w:t xml:space="preserve">in procedures for the selection of candidates for the membership on the board and council </w:t>
            </w:r>
            <w:r w:rsidR="003D6F51" w:rsidRPr="00037467">
              <w:rPr>
                <w:rFonts w:ascii="Times New Roman" w:hAnsi="Times New Roman" w:cs="Times New Roman"/>
                <w:sz w:val="24"/>
                <w:szCs w:val="24"/>
                <w:lang w:val="en-GB"/>
              </w:rPr>
              <w:t xml:space="preserve">of a public entity enterprise; the process is often not transparent, which </w:t>
            </w:r>
            <w:r w:rsidR="004F7DB5" w:rsidRPr="00037467">
              <w:rPr>
                <w:rFonts w:ascii="Times New Roman" w:hAnsi="Times New Roman" w:cs="Times New Roman"/>
                <w:sz w:val="24"/>
                <w:szCs w:val="24"/>
                <w:lang w:val="en-GB"/>
              </w:rPr>
              <w:t xml:space="preserve">casts doubt on whether </w:t>
            </w:r>
            <w:r w:rsidR="004C3D17" w:rsidRPr="00037467">
              <w:rPr>
                <w:rFonts w:ascii="Times New Roman" w:hAnsi="Times New Roman" w:cs="Times New Roman"/>
                <w:sz w:val="24"/>
                <w:szCs w:val="24"/>
                <w:lang w:val="en-GB"/>
              </w:rPr>
              <w:t>the most suitable candidate</w:t>
            </w:r>
            <w:r w:rsidR="004F7DB5" w:rsidRPr="00037467">
              <w:rPr>
                <w:rFonts w:ascii="Times New Roman" w:hAnsi="Times New Roman" w:cs="Times New Roman"/>
                <w:sz w:val="24"/>
                <w:szCs w:val="24"/>
                <w:lang w:val="en-GB"/>
              </w:rPr>
              <w:t>s are being approved</w:t>
            </w:r>
            <w:r w:rsidR="004C3D17" w:rsidRPr="00037467">
              <w:rPr>
                <w:rFonts w:ascii="Times New Roman" w:hAnsi="Times New Roman" w:cs="Times New Roman"/>
                <w:sz w:val="24"/>
                <w:szCs w:val="24"/>
                <w:lang w:val="en-GB"/>
              </w:rPr>
              <w:t>.</w:t>
            </w:r>
          </w:p>
        </w:tc>
      </w:tr>
      <w:tr w:rsidR="004B3407" w:rsidRPr="00037467" w:rsidTr="00B93B15">
        <w:tc>
          <w:tcPr>
            <w:tcW w:w="3707" w:type="dxa"/>
            <w:gridSpan w:val="2"/>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Main Objective</w:t>
            </w:r>
          </w:p>
        </w:tc>
        <w:tc>
          <w:tcPr>
            <w:tcW w:w="5086" w:type="dxa"/>
            <w:gridSpan w:val="3"/>
          </w:tcPr>
          <w:p w:rsidR="004C3D17" w:rsidRPr="00037467" w:rsidRDefault="004C3D17"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To nominate candidates for the posts of board and council members on the basis of professional competence criteria (education, experience, knowledge of the field, finance, management, etc.), in which a candidate's political affiliation is not a </w:t>
            </w:r>
            <w:r w:rsidR="00685B5A" w:rsidRPr="00037467">
              <w:rPr>
                <w:rFonts w:ascii="Times New Roman" w:hAnsi="Times New Roman" w:cs="Times New Roman"/>
                <w:sz w:val="24"/>
                <w:szCs w:val="24"/>
                <w:lang w:val="en-GB"/>
              </w:rPr>
              <w:t xml:space="preserve">decisive </w:t>
            </w:r>
            <w:r w:rsidRPr="00037467">
              <w:rPr>
                <w:rFonts w:ascii="Times New Roman" w:hAnsi="Times New Roman" w:cs="Times New Roman"/>
                <w:sz w:val="24"/>
                <w:szCs w:val="24"/>
                <w:lang w:val="en-GB"/>
              </w:rPr>
              <w:t xml:space="preserve">factor. </w:t>
            </w:r>
          </w:p>
        </w:tc>
      </w:tr>
      <w:tr w:rsidR="004B3407" w:rsidRPr="00037467" w:rsidTr="00B93B15">
        <w:tc>
          <w:tcPr>
            <w:tcW w:w="3707" w:type="dxa"/>
            <w:gridSpan w:val="2"/>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OGP challenge addressed by the commitment</w:t>
            </w:r>
          </w:p>
        </w:tc>
        <w:tc>
          <w:tcPr>
            <w:tcW w:w="5086" w:type="dxa"/>
            <w:gridSpan w:val="3"/>
          </w:tcPr>
          <w:p w:rsidR="004B3407" w:rsidRPr="00037467" w:rsidRDefault="004B3407" w:rsidP="00863E5E">
            <w:pPr>
              <w:pStyle w:val="NoSpacing"/>
              <w:rPr>
                <w:rFonts w:ascii="Times New Roman" w:hAnsi="Times New Roman" w:cs="Times New Roman"/>
                <w:sz w:val="24"/>
                <w:szCs w:val="24"/>
                <w:lang w:val="en-GB"/>
              </w:rPr>
            </w:pPr>
          </w:p>
        </w:tc>
      </w:tr>
      <w:tr w:rsidR="00B93B15" w:rsidRPr="00037467" w:rsidTr="00B93B15">
        <w:trPr>
          <w:trHeight w:val="105"/>
        </w:trPr>
        <w:tc>
          <w:tcPr>
            <w:tcW w:w="3707" w:type="dxa"/>
            <w:gridSpan w:val="2"/>
            <w:vMerge w:val="restart"/>
          </w:tcPr>
          <w:p w:rsidR="00B93B15" w:rsidRPr="00037467" w:rsidRDefault="000272C2" w:rsidP="00863E5E">
            <w:pPr>
              <w:pStyle w:val="NoSpacing"/>
              <w:rPr>
                <w:rFonts w:ascii="Times New Roman" w:hAnsi="Times New Roman" w:cs="Times New Roman"/>
                <w:sz w:val="24"/>
                <w:szCs w:val="24"/>
                <w:lang w:val="en-GB"/>
              </w:rPr>
            </w:pPr>
            <w:r w:rsidRPr="00037467">
              <w:rPr>
                <w:rFonts w:ascii="Times New Roman" w:hAnsi="Times New Roman"/>
                <w:sz w:val="24"/>
                <w:szCs w:val="24"/>
                <w:lang w:val="en-GB"/>
              </w:rPr>
              <w:t>Is it relevant to the advancement of:</w:t>
            </w:r>
          </w:p>
        </w:tc>
        <w:tc>
          <w:tcPr>
            <w:tcW w:w="2009"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34" w:type="dxa"/>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4B3407" w:rsidRPr="00037467" w:rsidTr="00B93B15">
        <w:trPr>
          <w:trHeight w:val="105"/>
        </w:trPr>
        <w:tc>
          <w:tcPr>
            <w:tcW w:w="3707" w:type="dxa"/>
            <w:gridSpan w:val="2"/>
            <w:vMerge/>
          </w:tcPr>
          <w:p w:rsidR="004B3407" w:rsidRPr="00037467" w:rsidRDefault="004B3407" w:rsidP="00863E5E">
            <w:pPr>
              <w:pStyle w:val="NoSpacing"/>
              <w:rPr>
                <w:rFonts w:ascii="Times New Roman" w:hAnsi="Times New Roman" w:cs="Times New Roman"/>
                <w:sz w:val="24"/>
                <w:szCs w:val="24"/>
                <w:lang w:val="en-GB"/>
              </w:rPr>
            </w:pPr>
          </w:p>
        </w:tc>
        <w:tc>
          <w:tcPr>
            <w:tcW w:w="2009" w:type="dxa"/>
          </w:tcPr>
          <w:p w:rsidR="004B3407" w:rsidRPr="00037467" w:rsidRDefault="004B340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X</w:t>
            </w:r>
          </w:p>
        </w:tc>
        <w:tc>
          <w:tcPr>
            <w:tcW w:w="1643" w:type="dxa"/>
          </w:tcPr>
          <w:p w:rsidR="004B3407" w:rsidRPr="00037467" w:rsidRDefault="004B3407" w:rsidP="00863E5E">
            <w:pPr>
              <w:pStyle w:val="NoSpacing"/>
              <w:rPr>
                <w:rFonts w:ascii="Times New Roman" w:hAnsi="Times New Roman" w:cs="Times New Roman"/>
                <w:sz w:val="24"/>
                <w:szCs w:val="24"/>
                <w:lang w:val="en-GB"/>
              </w:rPr>
            </w:pPr>
          </w:p>
        </w:tc>
        <w:tc>
          <w:tcPr>
            <w:tcW w:w="1434" w:type="dxa"/>
          </w:tcPr>
          <w:p w:rsidR="004B3407" w:rsidRPr="00037467" w:rsidRDefault="004B3407" w:rsidP="00863E5E">
            <w:pPr>
              <w:pStyle w:val="NoSpacing"/>
              <w:rPr>
                <w:rFonts w:ascii="Times New Roman" w:hAnsi="Times New Roman" w:cs="Times New Roman"/>
                <w:sz w:val="24"/>
                <w:szCs w:val="24"/>
                <w:lang w:val="en-GB"/>
              </w:rPr>
            </w:pPr>
          </w:p>
        </w:tc>
      </w:tr>
      <w:tr w:rsidR="004B3407" w:rsidRPr="00037467" w:rsidTr="00B93B15">
        <w:trPr>
          <w:trHeight w:val="838"/>
        </w:trPr>
        <w:tc>
          <w:tcPr>
            <w:tcW w:w="3707" w:type="dxa"/>
            <w:gridSpan w:val="2"/>
          </w:tcPr>
          <w:p w:rsidR="00B93B15"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B93B15"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B93B15" w:rsidRPr="00037467">
              <w:rPr>
                <w:rFonts w:ascii="Times New Roman" w:hAnsi="Times New Roman" w:cs="Times New Roman"/>
                <w:sz w:val="24"/>
                <w:szCs w:val="24"/>
                <w:lang w:val="en-GB"/>
              </w:rPr>
              <w:t xml:space="preserve"> the commitment:</w:t>
            </w:r>
          </w:p>
          <w:p w:rsidR="004B3407" w:rsidRPr="00037467" w:rsidRDefault="004B3407" w:rsidP="00863E5E">
            <w:pPr>
              <w:pStyle w:val="NoSpacing"/>
              <w:jc w:val="both"/>
              <w:rPr>
                <w:rFonts w:ascii="Times New Roman" w:hAnsi="Times New Roman" w:cs="Times New Roman"/>
                <w:sz w:val="24"/>
                <w:szCs w:val="24"/>
                <w:lang w:val="en-GB"/>
              </w:rPr>
            </w:pPr>
          </w:p>
        </w:tc>
        <w:tc>
          <w:tcPr>
            <w:tcW w:w="2009" w:type="dxa"/>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34" w:type="dxa"/>
          </w:tcPr>
          <w:p w:rsidR="004B3407"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B93B15" w:rsidRPr="00037467" w:rsidTr="00B93B15">
        <w:trPr>
          <w:trHeight w:val="838"/>
        </w:trPr>
        <w:tc>
          <w:tcPr>
            <w:tcW w:w="3707" w:type="dxa"/>
            <w:gridSpan w:val="2"/>
          </w:tcPr>
          <w:p w:rsidR="005C6008" w:rsidRPr="00037467" w:rsidRDefault="005C6008"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lastRenderedPageBreak/>
              <w:t xml:space="preserve">New procedures laid down for </w:t>
            </w:r>
            <w:r w:rsidR="007466AC" w:rsidRPr="00037467">
              <w:rPr>
                <w:rFonts w:ascii="Times New Roman" w:hAnsi="Times New Roman" w:cs="Times New Roman"/>
                <w:sz w:val="24"/>
                <w:szCs w:val="24"/>
                <w:lang w:val="en-GB"/>
              </w:rPr>
              <w:t xml:space="preserve">the </w:t>
            </w:r>
            <w:r w:rsidRPr="00037467">
              <w:rPr>
                <w:rFonts w:ascii="Times New Roman" w:hAnsi="Times New Roman" w:cs="Times New Roman"/>
                <w:sz w:val="24"/>
                <w:szCs w:val="24"/>
                <w:lang w:val="en-GB"/>
              </w:rPr>
              <w:t>selectio</w:t>
            </w:r>
            <w:r w:rsidR="003D0203" w:rsidRPr="00037467">
              <w:rPr>
                <w:rFonts w:ascii="Times New Roman" w:hAnsi="Times New Roman" w:cs="Times New Roman"/>
                <w:sz w:val="24"/>
                <w:szCs w:val="24"/>
                <w:lang w:val="en-GB"/>
              </w:rPr>
              <w:t xml:space="preserve">n of candidates for membership </w:t>
            </w:r>
            <w:r w:rsidRPr="00037467">
              <w:rPr>
                <w:rFonts w:ascii="Times New Roman" w:hAnsi="Times New Roman" w:cs="Times New Roman"/>
                <w:sz w:val="24"/>
                <w:szCs w:val="24"/>
                <w:lang w:val="en-GB"/>
              </w:rPr>
              <w:t xml:space="preserve">on </w:t>
            </w:r>
            <w:r w:rsidR="003D0203" w:rsidRPr="00037467">
              <w:rPr>
                <w:rFonts w:ascii="Times New Roman" w:hAnsi="Times New Roman" w:cs="Times New Roman"/>
                <w:sz w:val="24"/>
                <w:szCs w:val="24"/>
                <w:lang w:val="en-GB"/>
              </w:rPr>
              <w:t xml:space="preserve">enterprise </w:t>
            </w:r>
            <w:r w:rsidRPr="00037467">
              <w:rPr>
                <w:rFonts w:ascii="Times New Roman" w:hAnsi="Times New Roman" w:cs="Times New Roman"/>
                <w:sz w:val="24"/>
                <w:szCs w:val="24"/>
                <w:lang w:val="en-GB"/>
              </w:rPr>
              <w:t>boards and councils</w:t>
            </w:r>
            <w:r w:rsidR="007466AC" w:rsidRPr="00037467">
              <w:rPr>
                <w:rFonts w:ascii="Times New Roman" w:hAnsi="Times New Roman" w:cs="Times New Roman"/>
                <w:sz w:val="24"/>
                <w:szCs w:val="24"/>
                <w:lang w:val="en-GB"/>
              </w:rPr>
              <w:t xml:space="preserve">. </w:t>
            </w:r>
            <w:r w:rsidRPr="00037467">
              <w:rPr>
                <w:rFonts w:ascii="Times New Roman" w:hAnsi="Times New Roman" w:cs="Times New Roman"/>
                <w:sz w:val="24"/>
                <w:szCs w:val="24"/>
                <w:lang w:val="en-GB"/>
              </w:rPr>
              <w:t xml:space="preserve"> </w:t>
            </w:r>
          </w:p>
          <w:p w:rsidR="00B93B15" w:rsidRPr="00037467" w:rsidRDefault="00B93B15" w:rsidP="00863E5E">
            <w:pPr>
              <w:pStyle w:val="NoSpacing"/>
              <w:jc w:val="both"/>
              <w:rPr>
                <w:rFonts w:ascii="Times New Roman" w:hAnsi="Times New Roman" w:cs="Times New Roman"/>
                <w:sz w:val="24"/>
                <w:szCs w:val="24"/>
                <w:lang w:val="en-GB"/>
              </w:rPr>
            </w:pPr>
          </w:p>
          <w:p w:rsidR="007466AC" w:rsidRPr="00037467" w:rsidRDefault="007466AC" w:rsidP="00863E5E">
            <w:pPr>
              <w:pStyle w:val="NoSpacing"/>
              <w:jc w:val="both"/>
              <w:rPr>
                <w:rFonts w:ascii="Times New Roman" w:hAnsi="Times New Roman" w:cs="Times New Roman"/>
                <w:sz w:val="24"/>
                <w:szCs w:val="24"/>
                <w:lang w:val="en-GB"/>
              </w:rPr>
            </w:pPr>
            <w:r w:rsidRPr="00037467">
              <w:rPr>
                <w:rFonts w:ascii="Times New Roman" w:hAnsi="Times New Roman" w:cs="Times New Roman"/>
                <w:sz w:val="24"/>
                <w:szCs w:val="24"/>
                <w:lang w:val="en-GB"/>
              </w:rPr>
              <w:t>All public entities</w:t>
            </w:r>
            <w:r w:rsidR="00C3290A" w:rsidRPr="00037467">
              <w:rPr>
                <w:rFonts w:ascii="Times New Roman" w:hAnsi="Times New Roman" w:cs="Times New Roman"/>
                <w:sz w:val="24"/>
                <w:szCs w:val="24"/>
                <w:lang w:val="en-GB"/>
              </w:rPr>
              <w:t xml:space="preserve">, </w:t>
            </w:r>
            <w:r w:rsidRPr="00037467">
              <w:rPr>
                <w:rFonts w:ascii="Times New Roman" w:hAnsi="Times New Roman" w:cs="Times New Roman"/>
                <w:sz w:val="24"/>
                <w:szCs w:val="24"/>
                <w:lang w:val="en-GB"/>
              </w:rPr>
              <w:t xml:space="preserve">shareholders in state owned enterprises must </w:t>
            </w:r>
            <w:r w:rsidRPr="00037467">
              <w:rPr>
                <w:rFonts w:ascii="Times New Roman" w:hAnsi="Times New Roman" w:cs="Times New Roman"/>
                <w:sz w:val="24"/>
                <w:szCs w:val="24"/>
                <w:u w:val="single"/>
                <w:lang w:val="en-GB"/>
              </w:rPr>
              <w:t>invariably</w:t>
            </w:r>
            <w:r w:rsidRPr="00037467">
              <w:rPr>
                <w:rFonts w:ascii="Times New Roman" w:hAnsi="Times New Roman" w:cs="Times New Roman"/>
                <w:sz w:val="24"/>
                <w:szCs w:val="24"/>
                <w:lang w:val="en-GB"/>
              </w:rPr>
              <w:t xml:space="preserve"> follow the set procedure for selecting candidates.</w:t>
            </w:r>
          </w:p>
          <w:p w:rsidR="00B93B15" w:rsidRPr="00037467" w:rsidRDefault="00B93B15" w:rsidP="00863E5E">
            <w:pPr>
              <w:pStyle w:val="NoSpacing"/>
              <w:jc w:val="both"/>
              <w:rPr>
                <w:rFonts w:ascii="Times New Roman" w:hAnsi="Times New Roman" w:cs="Times New Roman"/>
                <w:sz w:val="24"/>
                <w:szCs w:val="24"/>
                <w:lang w:val="en-GB"/>
              </w:rPr>
            </w:pPr>
          </w:p>
          <w:p w:rsidR="00B93B15" w:rsidRPr="00037467" w:rsidRDefault="00B93B15" w:rsidP="00863E5E">
            <w:pPr>
              <w:pStyle w:val="NoSpacing"/>
              <w:jc w:val="both"/>
              <w:rPr>
                <w:rFonts w:ascii="Times New Roman" w:hAnsi="Times New Roman" w:cs="Times New Roman"/>
                <w:sz w:val="24"/>
                <w:szCs w:val="24"/>
                <w:lang w:val="en-GB"/>
              </w:rPr>
            </w:pPr>
          </w:p>
        </w:tc>
        <w:tc>
          <w:tcPr>
            <w:tcW w:w="2009" w:type="dxa"/>
          </w:tcPr>
          <w:p w:rsidR="00B93B15" w:rsidRPr="00037467" w:rsidRDefault="00C3290A" w:rsidP="00863E5E">
            <w:pPr>
              <w:spacing w:after="0" w:line="240" w:lineRule="auto"/>
              <w:rPr>
                <w:rFonts w:ascii="Times New Roman" w:hAnsi="Times New Roman"/>
                <w:sz w:val="24"/>
                <w:szCs w:val="24"/>
              </w:rPr>
            </w:pPr>
            <w:r w:rsidRPr="00037467">
              <w:rPr>
                <w:rFonts w:ascii="Times New Roman" w:hAnsi="Times New Roman"/>
                <w:color w:val="222222"/>
                <w:sz w:val="24"/>
                <w:szCs w:val="24"/>
              </w:rPr>
              <w:t xml:space="preserve">The new procedures for selecting candidates for membership on a board or a council has been set out in the draft “Law on the Management of Enterprises and Shares owned by Public Entities”, adopted in the second reading on 3 July 2014, and the draft Cabinet of Ministers Instruction “Procedures for selecting candidates for membership on a board or a council in companies in which the State as shareholder has the right to nominate board or council members”, announced at the State Secretaries’ meeting on 31 July 2014 (minutes No29, para. 15) and scheduled to be considered at the Cabinet of Ministers meeting on 16 September 2014. </w:t>
            </w:r>
          </w:p>
        </w:tc>
        <w:tc>
          <w:tcPr>
            <w:tcW w:w="1643" w:type="dxa"/>
          </w:tcPr>
          <w:p w:rsidR="00B93B15" w:rsidRPr="00037467" w:rsidRDefault="00B93B15" w:rsidP="00863E5E">
            <w:pPr>
              <w:pStyle w:val="NoSpacing"/>
              <w:rPr>
                <w:rFonts w:ascii="Times New Roman" w:hAnsi="Times New Roman" w:cs="Times New Roman"/>
                <w:sz w:val="24"/>
                <w:szCs w:val="24"/>
                <w:lang w:val="en-GB"/>
              </w:rPr>
            </w:pPr>
          </w:p>
        </w:tc>
        <w:tc>
          <w:tcPr>
            <w:tcW w:w="1434" w:type="dxa"/>
          </w:tcPr>
          <w:p w:rsidR="00B93B15" w:rsidRPr="00037467" w:rsidRDefault="00B93B15" w:rsidP="00863E5E">
            <w:pPr>
              <w:pStyle w:val="NoSpacing"/>
              <w:rPr>
                <w:rFonts w:ascii="Times New Roman" w:hAnsi="Times New Roman" w:cs="Times New Roman"/>
                <w:sz w:val="24"/>
                <w:szCs w:val="24"/>
                <w:lang w:val="en-GB"/>
              </w:rPr>
            </w:pPr>
          </w:p>
        </w:tc>
      </w:tr>
    </w:tbl>
    <w:p w:rsidR="00AA1991" w:rsidRPr="00037467" w:rsidRDefault="00AA1991" w:rsidP="00863E5E">
      <w:pPr>
        <w:spacing w:after="0" w:line="240" w:lineRule="auto"/>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1941"/>
        <w:gridCol w:w="1659"/>
        <w:gridCol w:w="1643"/>
        <w:gridCol w:w="1661"/>
      </w:tblGrid>
      <w:tr w:rsidR="00547284" w:rsidRPr="00547284" w:rsidTr="00547284">
        <w:tc>
          <w:tcPr>
            <w:tcW w:w="8755" w:type="dxa"/>
            <w:gridSpan w:val="5"/>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center"/>
              <w:rPr>
                <w:rFonts w:ascii="Times New Roman" w:hAnsi="Times New Roman"/>
                <w:sz w:val="24"/>
                <w:szCs w:val="24"/>
              </w:rPr>
            </w:pPr>
            <w:r w:rsidRPr="00547284">
              <w:rPr>
                <w:rFonts w:ascii="Times New Roman" w:hAnsi="Times New Roman"/>
                <w:sz w:val="24"/>
                <w:szCs w:val="24"/>
              </w:rPr>
              <w:t xml:space="preserve">Commitment </w:t>
            </w:r>
          </w:p>
        </w:tc>
      </w:tr>
      <w:tr w:rsidR="00547284" w:rsidRPr="00547284" w:rsidTr="00547284">
        <w:tc>
          <w:tcPr>
            <w:tcW w:w="8755" w:type="dxa"/>
            <w:gridSpan w:val="5"/>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center"/>
              <w:rPr>
                <w:rFonts w:ascii="Times New Roman" w:hAnsi="Times New Roman"/>
                <w:b/>
                <w:sz w:val="24"/>
                <w:szCs w:val="24"/>
              </w:rPr>
            </w:pPr>
            <w:r w:rsidRPr="00547284">
              <w:rPr>
                <w:rFonts w:ascii="Times New Roman" w:hAnsi="Times New Roman"/>
                <w:b/>
                <w:sz w:val="24"/>
                <w:szCs w:val="24"/>
              </w:rPr>
              <w:t xml:space="preserve">5. </w:t>
            </w:r>
            <w:r w:rsidRPr="00547284">
              <w:rPr>
                <w:rFonts w:ascii="Times New Roman" w:hAnsi="Times New Roman"/>
                <w:b/>
                <w:sz w:val="24"/>
                <w:szCs w:val="24"/>
              </w:rPr>
              <w:t>Introduce more effective supervision or enforcement mechanisms of control over the activities of the officials responsible for handling public resources</w:t>
            </w:r>
          </w:p>
        </w:tc>
      </w:tr>
      <w:tr w:rsidR="00547284" w:rsidRPr="00EE4E27" w:rsidTr="00547284">
        <w:tc>
          <w:tcPr>
            <w:tcW w:w="3792" w:type="dxa"/>
            <w:gridSpan w:val="2"/>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Lead  agency</w:t>
            </w:r>
          </w:p>
        </w:tc>
        <w:tc>
          <w:tcPr>
            <w:tcW w:w="4963" w:type="dxa"/>
            <w:gridSpan w:val="3"/>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 xml:space="preserve">The Ministry of Finance, the Corruption Prevention and Combating  Bureau </w:t>
            </w:r>
          </w:p>
        </w:tc>
      </w:tr>
      <w:tr w:rsidR="00547284" w:rsidRPr="00EE4E27" w:rsidTr="00547284">
        <w:trPr>
          <w:trHeight w:val="105"/>
        </w:trPr>
        <w:tc>
          <w:tcPr>
            <w:tcW w:w="1851" w:type="dxa"/>
            <w:vMerge w:val="restart"/>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 xml:space="preserve">Other involved </w:t>
            </w:r>
            <w:r w:rsidRPr="00547284">
              <w:rPr>
                <w:rFonts w:ascii="Times New Roman" w:hAnsi="Times New Roman"/>
                <w:sz w:val="24"/>
                <w:szCs w:val="24"/>
              </w:rPr>
              <w:lastRenderedPageBreak/>
              <w:t>actors</w:t>
            </w:r>
          </w:p>
        </w:tc>
        <w:tc>
          <w:tcPr>
            <w:tcW w:w="1941"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lastRenderedPageBreak/>
              <w:t>Government</w:t>
            </w:r>
          </w:p>
        </w:tc>
        <w:tc>
          <w:tcPr>
            <w:tcW w:w="4963" w:type="dxa"/>
            <w:gridSpan w:val="3"/>
            <w:vMerge w:val="restart"/>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The Ministry of  Justice</w:t>
            </w:r>
          </w:p>
        </w:tc>
      </w:tr>
      <w:tr w:rsidR="00547284" w:rsidRPr="00EE4E27" w:rsidTr="00547284">
        <w:trPr>
          <w:trHeight w:val="672"/>
        </w:trPr>
        <w:tc>
          <w:tcPr>
            <w:tcW w:w="1851" w:type="dxa"/>
            <w:vMerge/>
            <w:tcBorders>
              <w:top w:val="single" w:sz="4" w:space="0" w:color="auto"/>
              <w:left w:val="single" w:sz="4" w:space="0" w:color="auto"/>
              <w:bottom w:val="single" w:sz="4" w:space="0" w:color="auto"/>
              <w:right w:val="single" w:sz="4" w:space="0" w:color="auto"/>
            </w:tcBorders>
            <w:vAlign w:val="center"/>
            <w:hideMark/>
          </w:tcPr>
          <w:p w:rsidR="00547284" w:rsidRPr="00547284" w:rsidRDefault="00547284" w:rsidP="00863E5E">
            <w:pPr>
              <w:spacing w:after="0" w:line="240" w:lineRule="auto"/>
              <w:jc w:val="both"/>
              <w:rPr>
                <w:rFonts w:ascii="Times New Roman" w:hAnsi="Times New Roman"/>
                <w:sz w:val="24"/>
                <w:szCs w:val="24"/>
                <w:highlight w:val="green"/>
              </w:rPr>
            </w:pPr>
          </w:p>
        </w:tc>
        <w:tc>
          <w:tcPr>
            <w:tcW w:w="1941"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Civil Society, Private Sector</w:t>
            </w:r>
          </w:p>
        </w:tc>
        <w:tc>
          <w:tcPr>
            <w:tcW w:w="4963" w:type="dxa"/>
            <w:gridSpan w:val="3"/>
            <w:vMerge/>
            <w:tcBorders>
              <w:top w:val="single" w:sz="4" w:space="0" w:color="auto"/>
              <w:left w:val="single" w:sz="4" w:space="0" w:color="auto"/>
              <w:bottom w:val="single" w:sz="4" w:space="0" w:color="auto"/>
              <w:right w:val="single" w:sz="4" w:space="0" w:color="auto"/>
            </w:tcBorders>
            <w:vAlign w:val="center"/>
          </w:tcPr>
          <w:p w:rsidR="00547284" w:rsidRPr="00547284" w:rsidRDefault="00547284" w:rsidP="00863E5E">
            <w:pPr>
              <w:spacing w:after="0" w:line="240" w:lineRule="auto"/>
              <w:jc w:val="both"/>
              <w:rPr>
                <w:rFonts w:ascii="Times New Roman" w:hAnsi="Times New Roman"/>
                <w:sz w:val="24"/>
                <w:szCs w:val="24"/>
                <w:highlight w:val="green"/>
              </w:rPr>
            </w:pPr>
          </w:p>
        </w:tc>
      </w:tr>
      <w:tr w:rsidR="00547284" w:rsidRPr="00EE4E27" w:rsidTr="00547284">
        <w:tc>
          <w:tcPr>
            <w:tcW w:w="3792" w:type="dxa"/>
            <w:gridSpan w:val="2"/>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lastRenderedPageBreak/>
              <w:t>Issues to be addressed</w:t>
            </w:r>
          </w:p>
          <w:p w:rsidR="00547284" w:rsidRPr="00547284" w:rsidRDefault="00547284" w:rsidP="00863E5E">
            <w:pPr>
              <w:spacing w:after="0" w:line="240" w:lineRule="auto"/>
              <w:jc w:val="both"/>
              <w:rPr>
                <w:rFonts w:ascii="Times New Roman" w:hAnsi="Times New Roman"/>
                <w:sz w:val="24"/>
                <w:szCs w:val="24"/>
                <w:highlight w:val="green"/>
              </w:rPr>
            </w:pPr>
          </w:p>
        </w:tc>
        <w:tc>
          <w:tcPr>
            <w:tcW w:w="4963" w:type="dxa"/>
            <w:gridSpan w:val="3"/>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t xml:space="preserve">The actions of public officials with state or local government property and funds, and transactions carried out by public institutions should be assessed on their compliance with legislation in order to detect mismanagement, abuse of office, abuse of authority for personal unearned gain or for that of other persons. To monitor the prevention of the conflict of interest in the actions of public officials and compliance with prohibitions and additional restrictions set out in legislations in regard to public officials. </w:t>
            </w:r>
          </w:p>
          <w:p w:rsidR="00547284" w:rsidRPr="00547284" w:rsidRDefault="00547284" w:rsidP="00863E5E">
            <w:pPr>
              <w:spacing w:after="0" w:line="240" w:lineRule="auto"/>
              <w:jc w:val="both"/>
              <w:rPr>
                <w:rFonts w:ascii="Times New Roman" w:hAnsi="Times New Roman"/>
                <w:sz w:val="24"/>
                <w:szCs w:val="24"/>
                <w:highlight w:val="green"/>
              </w:rPr>
            </w:pPr>
          </w:p>
        </w:tc>
      </w:tr>
      <w:tr w:rsidR="00547284" w:rsidRPr="00EE4E27" w:rsidTr="00547284">
        <w:tc>
          <w:tcPr>
            <w:tcW w:w="3792" w:type="dxa"/>
            <w:gridSpan w:val="2"/>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Main Objective</w:t>
            </w:r>
          </w:p>
        </w:tc>
        <w:tc>
          <w:tcPr>
            <w:tcW w:w="4963" w:type="dxa"/>
            <w:gridSpan w:val="3"/>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t xml:space="preserve">To counter corruption by force of law and public support, to achieve that public power is used with integrity in the interests of the state and community. Where violations of the Law “On the prevention of the conflict of interest in the actions of public officials” are detected, to prosecute public officials administratively – hold administrative hearings, enforce liability for violations of corruption prevention provisions, seek damages from officials in respect of loss resulting from their actions.     </w:t>
            </w:r>
          </w:p>
          <w:p w:rsidR="00547284" w:rsidRPr="00547284" w:rsidRDefault="00547284" w:rsidP="00863E5E">
            <w:pPr>
              <w:spacing w:after="0" w:line="240" w:lineRule="auto"/>
              <w:jc w:val="both"/>
              <w:rPr>
                <w:rFonts w:ascii="Times New Roman" w:hAnsi="Times New Roman"/>
                <w:sz w:val="24"/>
                <w:szCs w:val="24"/>
                <w:highlight w:val="yellow"/>
              </w:rPr>
            </w:pPr>
            <w:r w:rsidRPr="00547284">
              <w:rPr>
                <w:rFonts w:ascii="Times New Roman" w:hAnsi="Times New Roman"/>
                <w:sz w:val="24"/>
                <w:szCs w:val="24"/>
              </w:rPr>
              <w:t xml:space="preserve">The following tasks have been set:  </w:t>
            </w:r>
          </w:p>
          <w:p w:rsidR="00547284" w:rsidRPr="00547284" w:rsidRDefault="00547284" w:rsidP="00863E5E">
            <w:pPr>
              <w:numPr>
                <w:ilvl w:val="0"/>
                <w:numId w:val="4"/>
              </w:numPr>
              <w:spacing w:after="0" w:line="240" w:lineRule="auto"/>
              <w:jc w:val="both"/>
              <w:rPr>
                <w:rFonts w:ascii="Times New Roman" w:hAnsi="Times New Roman"/>
                <w:sz w:val="24"/>
                <w:szCs w:val="24"/>
              </w:rPr>
            </w:pPr>
            <w:r w:rsidRPr="00547284">
              <w:rPr>
                <w:rFonts w:ascii="Times New Roman" w:hAnsi="Times New Roman"/>
                <w:sz w:val="24"/>
                <w:szCs w:val="24"/>
              </w:rPr>
              <w:t xml:space="preserve">Consider a possibility for enabling public access online to information on all contracts signed by public authorities on the supply of good and services, and other deals, and develop recommendations for ensuring such measures; </w:t>
            </w:r>
          </w:p>
          <w:p w:rsidR="00547284" w:rsidRPr="00547284" w:rsidRDefault="00547284" w:rsidP="00863E5E">
            <w:pPr>
              <w:numPr>
                <w:ilvl w:val="0"/>
                <w:numId w:val="4"/>
              </w:numPr>
              <w:spacing w:after="0" w:line="240" w:lineRule="auto"/>
              <w:jc w:val="both"/>
              <w:rPr>
                <w:rFonts w:ascii="Times New Roman" w:hAnsi="Times New Roman"/>
                <w:sz w:val="24"/>
                <w:szCs w:val="24"/>
              </w:rPr>
            </w:pPr>
            <w:r w:rsidRPr="00547284">
              <w:rPr>
                <w:rFonts w:ascii="Times New Roman" w:hAnsi="Times New Roman"/>
                <w:sz w:val="24"/>
                <w:szCs w:val="24"/>
              </w:rPr>
              <w:t xml:space="preserve">Consider a possibility for introducing more effective supervision or enforcement mechanisms to control the activities of public officials responsible for handling public fonds, i.a., administrative liability for misuse (wasteful spending) of public property and funds by officials; </w:t>
            </w:r>
          </w:p>
          <w:p w:rsidR="00547284" w:rsidRPr="00547284" w:rsidRDefault="00547284" w:rsidP="00863E5E">
            <w:pPr>
              <w:numPr>
                <w:ilvl w:val="0"/>
                <w:numId w:val="4"/>
              </w:numPr>
              <w:spacing w:after="0" w:line="240" w:lineRule="auto"/>
              <w:jc w:val="both"/>
              <w:rPr>
                <w:rFonts w:ascii="Times New Roman" w:hAnsi="Times New Roman"/>
                <w:sz w:val="24"/>
                <w:szCs w:val="24"/>
              </w:rPr>
            </w:pPr>
            <w:r w:rsidRPr="00547284">
              <w:rPr>
                <w:rFonts w:ascii="Times New Roman" w:hAnsi="Times New Roman"/>
                <w:sz w:val="24"/>
                <w:szCs w:val="24"/>
              </w:rPr>
              <w:t xml:space="preserve">Analyse risks of misuse of funds and corruption in the below-threshold public procurement and purchases not covered by external legislation and provide recommendations for risk reduction. </w:t>
            </w:r>
          </w:p>
          <w:p w:rsidR="00547284" w:rsidRPr="00547284" w:rsidRDefault="00547284" w:rsidP="00863E5E">
            <w:pPr>
              <w:spacing w:after="0" w:line="240" w:lineRule="auto"/>
              <w:rPr>
                <w:rFonts w:ascii="Times New Roman" w:hAnsi="Times New Roman"/>
                <w:sz w:val="24"/>
                <w:szCs w:val="24"/>
              </w:rPr>
            </w:pPr>
            <w:r w:rsidRPr="00547284">
              <w:rPr>
                <w:rFonts w:ascii="Times New Roman" w:hAnsi="Times New Roman"/>
                <w:sz w:val="24"/>
                <w:szCs w:val="24"/>
              </w:rPr>
              <w:t xml:space="preserve">Assess legislation on criminalizing corruption and, in accordance with the problems identified in practices of the application the law, to produce </w:t>
            </w:r>
            <w:r w:rsidRPr="00547284">
              <w:rPr>
                <w:rFonts w:ascii="Times New Roman" w:hAnsi="Times New Roman"/>
                <w:sz w:val="24"/>
                <w:szCs w:val="24"/>
              </w:rPr>
              <w:lastRenderedPageBreak/>
              <w:t xml:space="preserve">draft legislation seeking a more effective application of liability provisions regarding unlawful actions with public funds and property. </w:t>
            </w:r>
          </w:p>
          <w:p w:rsidR="00547284" w:rsidRPr="00547284" w:rsidRDefault="00547284" w:rsidP="00863E5E">
            <w:pPr>
              <w:spacing w:after="0" w:line="240" w:lineRule="auto"/>
              <w:ind w:left="720"/>
              <w:jc w:val="both"/>
              <w:rPr>
                <w:rFonts w:ascii="Times New Roman" w:hAnsi="Times New Roman"/>
                <w:sz w:val="24"/>
                <w:szCs w:val="24"/>
                <w:highlight w:val="green"/>
              </w:rPr>
            </w:pPr>
          </w:p>
        </w:tc>
      </w:tr>
      <w:tr w:rsidR="00547284" w:rsidRPr="00EE4E27" w:rsidTr="00547284">
        <w:tc>
          <w:tcPr>
            <w:tcW w:w="3792" w:type="dxa"/>
            <w:gridSpan w:val="2"/>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lastRenderedPageBreak/>
              <w:t>OGP challenge addressed by the commitment</w:t>
            </w:r>
          </w:p>
        </w:tc>
        <w:tc>
          <w:tcPr>
            <w:tcW w:w="4963" w:type="dxa"/>
            <w:gridSpan w:val="3"/>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p>
        </w:tc>
      </w:tr>
      <w:tr w:rsidR="00547284" w:rsidRPr="00EE4E27" w:rsidTr="00547284">
        <w:trPr>
          <w:trHeight w:val="105"/>
        </w:trPr>
        <w:tc>
          <w:tcPr>
            <w:tcW w:w="3792" w:type="dxa"/>
            <w:gridSpan w:val="2"/>
            <w:vMerge w:val="restart"/>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p>
        </w:tc>
        <w:tc>
          <w:tcPr>
            <w:tcW w:w="1659"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Transparency</w:t>
            </w:r>
          </w:p>
        </w:tc>
        <w:tc>
          <w:tcPr>
            <w:tcW w:w="1643"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Accountability</w:t>
            </w:r>
          </w:p>
        </w:tc>
        <w:tc>
          <w:tcPr>
            <w:tcW w:w="1661"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Public Participation</w:t>
            </w:r>
          </w:p>
        </w:tc>
      </w:tr>
      <w:tr w:rsidR="00547284" w:rsidRPr="00EE4E27" w:rsidTr="00547284">
        <w:trPr>
          <w:trHeight w:val="105"/>
        </w:trPr>
        <w:tc>
          <w:tcPr>
            <w:tcW w:w="3792" w:type="dxa"/>
            <w:gridSpan w:val="2"/>
            <w:vMerge/>
            <w:tcBorders>
              <w:top w:val="single" w:sz="4" w:space="0" w:color="auto"/>
              <w:left w:val="single" w:sz="4" w:space="0" w:color="auto"/>
              <w:bottom w:val="single" w:sz="4" w:space="0" w:color="auto"/>
              <w:right w:val="single" w:sz="4" w:space="0" w:color="auto"/>
            </w:tcBorders>
            <w:vAlign w:val="center"/>
            <w:hideMark/>
          </w:tcPr>
          <w:p w:rsidR="00547284" w:rsidRPr="00547284" w:rsidRDefault="00547284" w:rsidP="00863E5E">
            <w:pPr>
              <w:spacing w:after="0" w:line="240" w:lineRule="auto"/>
              <w:jc w:val="both"/>
              <w:rPr>
                <w:rFonts w:ascii="Times New Roman" w:hAnsi="Times New Roman"/>
                <w:sz w:val="24"/>
                <w:szCs w:val="24"/>
                <w:highlight w:val="green"/>
              </w:rPr>
            </w:pPr>
          </w:p>
        </w:tc>
        <w:tc>
          <w:tcPr>
            <w:tcW w:w="1659"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t>x</w:t>
            </w:r>
          </w:p>
        </w:tc>
        <w:tc>
          <w:tcPr>
            <w:tcW w:w="1643"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t>x</w:t>
            </w:r>
          </w:p>
        </w:tc>
        <w:tc>
          <w:tcPr>
            <w:tcW w:w="1661"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p>
        </w:tc>
      </w:tr>
      <w:tr w:rsidR="00547284" w:rsidRPr="00EE4E27" w:rsidTr="00547284">
        <w:trPr>
          <w:trHeight w:val="677"/>
        </w:trPr>
        <w:tc>
          <w:tcPr>
            <w:tcW w:w="3792" w:type="dxa"/>
            <w:gridSpan w:val="2"/>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Verifyable and measurable milestones to fulfill the commitment</w:t>
            </w:r>
          </w:p>
        </w:tc>
        <w:tc>
          <w:tcPr>
            <w:tcW w:w="1659"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rPr>
            </w:pPr>
            <w:r w:rsidRPr="00547284">
              <w:rPr>
                <w:rFonts w:ascii="Times New Roman" w:hAnsi="Times New Roman"/>
                <w:sz w:val="24"/>
                <w:szCs w:val="24"/>
              </w:rPr>
              <w:t>New commitment</w:t>
            </w:r>
          </w:p>
          <w:p w:rsidR="00547284" w:rsidRPr="00547284" w:rsidRDefault="00547284" w:rsidP="00863E5E">
            <w:pPr>
              <w:spacing w:after="0" w:line="240" w:lineRule="auto"/>
              <w:jc w:val="both"/>
              <w:rPr>
                <w:rFonts w:ascii="Times New Roman" w:hAnsi="Times New Roman"/>
                <w:sz w:val="24"/>
                <w:szCs w:val="24"/>
                <w:highlight w:val="green"/>
              </w:rPr>
            </w:pPr>
          </w:p>
        </w:tc>
        <w:tc>
          <w:tcPr>
            <w:tcW w:w="1643"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Start Date:</w:t>
            </w:r>
          </w:p>
        </w:tc>
        <w:tc>
          <w:tcPr>
            <w:tcW w:w="1661" w:type="dxa"/>
            <w:tcBorders>
              <w:top w:val="single" w:sz="4" w:space="0" w:color="auto"/>
              <w:left w:val="single" w:sz="4" w:space="0" w:color="auto"/>
              <w:bottom w:val="single" w:sz="4" w:space="0" w:color="auto"/>
              <w:right w:val="single" w:sz="4" w:space="0" w:color="auto"/>
            </w:tcBorders>
            <w:hideMark/>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End Date:</w:t>
            </w:r>
          </w:p>
        </w:tc>
      </w:tr>
      <w:tr w:rsidR="00547284" w:rsidRPr="00EE4E27" w:rsidTr="00547284">
        <w:trPr>
          <w:trHeight w:val="416"/>
        </w:trPr>
        <w:tc>
          <w:tcPr>
            <w:tcW w:w="3792" w:type="dxa"/>
            <w:gridSpan w:val="2"/>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No information</w:t>
            </w:r>
          </w:p>
        </w:tc>
        <w:tc>
          <w:tcPr>
            <w:tcW w:w="1659"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p>
        </w:tc>
        <w:tc>
          <w:tcPr>
            <w:tcW w:w="1643"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p>
        </w:tc>
        <w:tc>
          <w:tcPr>
            <w:tcW w:w="1661" w:type="dxa"/>
            <w:tcBorders>
              <w:top w:val="single" w:sz="4" w:space="0" w:color="auto"/>
              <w:left w:val="single" w:sz="4" w:space="0" w:color="auto"/>
              <w:bottom w:val="single" w:sz="4" w:space="0" w:color="auto"/>
              <w:right w:val="single" w:sz="4" w:space="0" w:color="auto"/>
            </w:tcBorders>
          </w:tcPr>
          <w:p w:rsidR="00547284" w:rsidRPr="00547284" w:rsidRDefault="00547284" w:rsidP="00863E5E">
            <w:pPr>
              <w:spacing w:after="0" w:line="240" w:lineRule="auto"/>
              <w:jc w:val="both"/>
              <w:rPr>
                <w:rFonts w:ascii="Times New Roman" w:hAnsi="Times New Roman"/>
                <w:sz w:val="24"/>
                <w:szCs w:val="24"/>
                <w:highlight w:val="green"/>
              </w:rPr>
            </w:pPr>
            <w:r w:rsidRPr="00547284">
              <w:rPr>
                <w:rFonts w:ascii="Times New Roman" w:hAnsi="Times New Roman"/>
                <w:sz w:val="24"/>
                <w:szCs w:val="24"/>
              </w:rPr>
              <w:t>2018</w:t>
            </w:r>
          </w:p>
        </w:tc>
      </w:tr>
    </w:tbl>
    <w:p w:rsidR="00DE126C" w:rsidRPr="00037467" w:rsidRDefault="00DE126C" w:rsidP="00863E5E">
      <w:pPr>
        <w:spacing w:after="0" w:line="240" w:lineRule="auto"/>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1924"/>
        <w:gridCol w:w="1638"/>
        <w:gridCol w:w="1643"/>
        <w:gridCol w:w="1662"/>
      </w:tblGrid>
      <w:tr w:rsidR="001E345D" w:rsidRPr="00037467" w:rsidTr="00863E5E">
        <w:tc>
          <w:tcPr>
            <w:tcW w:w="8755" w:type="dxa"/>
            <w:gridSpan w:val="5"/>
            <w:tcBorders>
              <w:top w:val="single" w:sz="4" w:space="0" w:color="auto"/>
              <w:left w:val="single" w:sz="4" w:space="0" w:color="auto"/>
              <w:bottom w:val="single" w:sz="4" w:space="0" w:color="auto"/>
              <w:right w:val="single" w:sz="4" w:space="0" w:color="auto"/>
            </w:tcBorders>
            <w:hideMark/>
          </w:tcPr>
          <w:p w:rsidR="001E345D" w:rsidRPr="00037467" w:rsidRDefault="00964A0D" w:rsidP="00863E5E">
            <w:pPr>
              <w:spacing w:after="0" w:line="240" w:lineRule="auto"/>
              <w:jc w:val="center"/>
              <w:rPr>
                <w:rFonts w:ascii="Times New Roman" w:hAnsi="Times New Roman"/>
                <w:sz w:val="24"/>
                <w:szCs w:val="24"/>
              </w:rPr>
            </w:pPr>
            <w:r w:rsidRPr="00037467">
              <w:rPr>
                <w:rFonts w:ascii="Times New Roman" w:hAnsi="Times New Roman"/>
                <w:sz w:val="24"/>
                <w:szCs w:val="24"/>
              </w:rPr>
              <w:t>Commitment</w:t>
            </w:r>
          </w:p>
        </w:tc>
      </w:tr>
      <w:tr w:rsidR="001E345D" w:rsidRPr="00037467" w:rsidTr="00863E5E">
        <w:tc>
          <w:tcPr>
            <w:tcW w:w="8755" w:type="dxa"/>
            <w:gridSpan w:val="5"/>
            <w:tcBorders>
              <w:top w:val="single" w:sz="4" w:space="0" w:color="auto"/>
              <w:left w:val="single" w:sz="4" w:space="0" w:color="auto"/>
              <w:bottom w:val="single" w:sz="4" w:space="0" w:color="auto"/>
              <w:right w:val="single" w:sz="4" w:space="0" w:color="auto"/>
            </w:tcBorders>
            <w:hideMark/>
          </w:tcPr>
          <w:p w:rsidR="00E94BC0" w:rsidRPr="00037467" w:rsidRDefault="00964A0D" w:rsidP="00863E5E">
            <w:pPr>
              <w:autoSpaceDE w:val="0"/>
              <w:autoSpaceDN w:val="0"/>
              <w:adjustRightInd w:val="0"/>
              <w:spacing w:after="0" w:line="240" w:lineRule="auto"/>
              <w:jc w:val="center"/>
              <w:rPr>
                <w:rFonts w:ascii="Times New Roman" w:hAnsi="Times New Roman"/>
                <w:b/>
                <w:color w:val="000000"/>
                <w:sz w:val="24"/>
                <w:szCs w:val="24"/>
              </w:rPr>
            </w:pPr>
            <w:r w:rsidRPr="00037467">
              <w:rPr>
                <w:rFonts w:ascii="Times New Roman" w:hAnsi="Times New Roman"/>
                <w:b/>
                <w:bCs/>
                <w:color w:val="000000"/>
                <w:sz w:val="24"/>
                <w:szCs w:val="24"/>
              </w:rPr>
              <w:t xml:space="preserve">6. </w:t>
            </w:r>
            <w:r w:rsidR="00E94BC0" w:rsidRPr="00037467">
              <w:rPr>
                <w:rFonts w:ascii="Times New Roman" w:hAnsi="Times New Roman"/>
                <w:b/>
                <w:bCs/>
                <w:color w:val="000000"/>
                <w:sz w:val="24"/>
                <w:szCs w:val="24"/>
              </w:rPr>
              <w:t>Establish a sustainable model of financing NGOs</w:t>
            </w:r>
          </w:p>
        </w:tc>
      </w:tr>
      <w:tr w:rsidR="00AA7B6D" w:rsidRPr="00037467" w:rsidTr="00863E5E">
        <w:tc>
          <w:tcPr>
            <w:tcW w:w="3812" w:type="dxa"/>
            <w:gridSpan w:val="2"/>
            <w:tcBorders>
              <w:top w:val="single" w:sz="4" w:space="0" w:color="auto"/>
              <w:left w:val="single" w:sz="4" w:space="0" w:color="auto"/>
              <w:bottom w:val="single" w:sz="4" w:space="0" w:color="auto"/>
              <w:right w:val="single" w:sz="4" w:space="0" w:color="auto"/>
            </w:tcBorders>
            <w:hideMark/>
          </w:tcPr>
          <w:p w:rsidR="001E345D"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Lead agency</w:t>
            </w:r>
          </w:p>
        </w:tc>
        <w:tc>
          <w:tcPr>
            <w:tcW w:w="4943" w:type="dxa"/>
            <w:gridSpan w:val="3"/>
            <w:tcBorders>
              <w:top w:val="single" w:sz="4" w:space="0" w:color="auto"/>
              <w:left w:val="single" w:sz="4" w:space="0" w:color="auto"/>
              <w:bottom w:val="single" w:sz="4" w:space="0" w:color="auto"/>
              <w:right w:val="single" w:sz="4" w:space="0" w:color="auto"/>
            </w:tcBorders>
          </w:tcPr>
          <w:p w:rsidR="001E345D" w:rsidRPr="00037467" w:rsidRDefault="00D45664" w:rsidP="00863E5E">
            <w:pPr>
              <w:spacing w:after="0" w:line="240" w:lineRule="auto"/>
              <w:rPr>
                <w:rFonts w:ascii="Times New Roman" w:hAnsi="Times New Roman"/>
                <w:color w:val="000000"/>
                <w:sz w:val="24"/>
                <w:szCs w:val="24"/>
              </w:rPr>
            </w:pPr>
            <w:r w:rsidRPr="00037467">
              <w:rPr>
                <w:rFonts w:ascii="Times New Roman" w:hAnsi="Times New Roman"/>
                <w:color w:val="000000"/>
                <w:sz w:val="24"/>
                <w:szCs w:val="24"/>
              </w:rPr>
              <w:t>Ministry of Culture</w:t>
            </w:r>
          </w:p>
        </w:tc>
      </w:tr>
      <w:tr w:rsidR="00B93B15" w:rsidRPr="00037467" w:rsidTr="00863E5E">
        <w:trPr>
          <w:trHeight w:val="105"/>
        </w:trPr>
        <w:tc>
          <w:tcPr>
            <w:tcW w:w="1888" w:type="dxa"/>
            <w:vMerge w:val="restart"/>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1924"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943" w:type="dxa"/>
            <w:gridSpan w:val="3"/>
            <w:vMerge w:val="restart"/>
            <w:tcBorders>
              <w:top w:val="single" w:sz="4" w:space="0" w:color="auto"/>
              <w:left w:val="single" w:sz="4" w:space="0" w:color="auto"/>
              <w:bottom w:val="single" w:sz="4" w:space="0" w:color="auto"/>
              <w:right w:val="single" w:sz="4" w:space="0" w:color="auto"/>
            </w:tcBorders>
          </w:tcPr>
          <w:p w:rsidR="00B93B15" w:rsidRPr="00037467" w:rsidRDefault="00B93B15" w:rsidP="00863E5E">
            <w:pPr>
              <w:spacing w:after="0" w:line="240" w:lineRule="auto"/>
              <w:rPr>
                <w:rFonts w:ascii="Times New Roman" w:hAnsi="Times New Roman"/>
                <w:sz w:val="24"/>
                <w:szCs w:val="24"/>
              </w:rPr>
            </w:pPr>
          </w:p>
        </w:tc>
      </w:tr>
      <w:tr w:rsidR="00B93B15" w:rsidRPr="00037467" w:rsidTr="00863E5E">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B15" w:rsidRPr="00037467" w:rsidRDefault="00B93B15" w:rsidP="00863E5E">
            <w:pPr>
              <w:spacing w:after="0" w:line="240" w:lineRule="auto"/>
              <w:rPr>
                <w:rFonts w:ascii="Times New Roman" w:hAnsi="Times New Roman"/>
                <w:sz w:val="24"/>
                <w:szCs w:val="24"/>
              </w:rPr>
            </w:pPr>
          </w:p>
        </w:tc>
        <w:tc>
          <w:tcPr>
            <w:tcW w:w="1924"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Civil Society, Private Sector</w:t>
            </w:r>
          </w:p>
        </w:tc>
        <w:tc>
          <w:tcPr>
            <w:tcW w:w="4943" w:type="dxa"/>
            <w:gridSpan w:val="3"/>
            <w:vMerge/>
            <w:tcBorders>
              <w:top w:val="single" w:sz="4" w:space="0" w:color="auto"/>
              <w:left w:val="single" w:sz="4" w:space="0" w:color="auto"/>
              <w:bottom w:val="single" w:sz="4" w:space="0" w:color="auto"/>
              <w:right w:val="single" w:sz="4" w:space="0" w:color="auto"/>
            </w:tcBorders>
            <w:vAlign w:val="center"/>
          </w:tcPr>
          <w:p w:rsidR="00B93B15" w:rsidRPr="00037467" w:rsidRDefault="00B93B15" w:rsidP="00863E5E">
            <w:pPr>
              <w:spacing w:after="0" w:line="240" w:lineRule="auto"/>
              <w:rPr>
                <w:rFonts w:ascii="Times New Roman" w:hAnsi="Times New Roman"/>
                <w:sz w:val="24"/>
                <w:szCs w:val="24"/>
              </w:rPr>
            </w:pPr>
          </w:p>
        </w:tc>
      </w:tr>
      <w:tr w:rsidR="00AA7B6D" w:rsidRPr="00037467" w:rsidTr="00863E5E">
        <w:tc>
          <w:tcPr>
            <w:tcW w:w="3812" w:type="dxa"/>
            <w:gridSpan w:val="2"/>
            <w:tcBorders>
              <w:top w:val="single" w:sz="4" w:space="0" w:color="auto"/>
              <w:left w:val="single" w:sz="4" w:space="0" w:color="auto"/>
              <w:bottom w:val="single" w:sz="4" w:space="0" w:color="auto"/>
              <w:right w:val="single" w:sz="4" w:space="0" w:color="auto"/>
            </w:tcBorders>
            <w:hideMark/>
          </w:tcPr>
          <w:p w:rsidR="001E345D"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Status quo or problem/issue to be addressed</w:t>
            </w:r>
          </w:p>
        </w:tc>
        <w:tc>
          <w:tcPr>
            <w:tcW w:w="4943" w:type="dxa"/>
            <w:gridSpan w:val="3"/>
            <w:tcBorders>
              <w:top w:val="single" w:sz="4" w:space="0" w:color="auto"/>
              <w:left w:val="single" w:sz="4" w:space="0" w:color="auto"/>
              <w:bottom w:val="single" w:sz="4" w:space="0" w:color="auto"/>
              <w:right w:val="single" w:sz="4" w:space="0" w:color="auto"/>
            </w:tcBorders>
          </w:tcPr>
          <w:p w:rsidR="005708E4" w:rsidRPr="00037467" w:rsidRDefault="005708E4"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According to the Enterprise Register data, 14,704 organisations were registered in Latvia as of August 2011. However, a comparatively small part of the country's population are members of those organisations, and a downward trend has been observed. A large part of NGOs are working in the areas of sports, culture and recreation (39%), while a considerably lower percentage are active in human rights protection, combating corruption, addressing ecological problems, and similar sectors. </w:t>
            </w:r>
          </w:p>
          <w:p w:rsidR="005708E4" w:rsidRPr="00037467" w:rsidRDefault="005708E4"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There is a tendency for organisations to be linguistically separated – Latvian and Russian-speaking. Latvia's NGOs remain financially and administratively weak, are far more often being set up in Riga than in other regions of the country, and have a low number of members. Nevertheless, under the socio-economic crisis, it was NGOs that provided services in the social sector and in the field of interest education, where the public administration budget was limited. </w:t>
            </w:r>
          </w:p>
          <w:p w:rsidR="00AA7B6D" w:rsidRPr="00037467" w:rsidRDefault="005708E4"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At the same time, civil society organisations are not involved in public policy making to their full capacity, which undermines trust in public administration. </w:t>
            </w:r>
            <w:r w:rsidR="00AA7B6D" w:rsidRPr="00037467">
              <w:rPr>
                <w:rFonts w:ascii="Times New Roman" w:hAnsi="Times New Roman"/>
                <w:sz w:val="24"/>
                <w:szCs w:val="24"/>
              </w:rPr>
              <w:t xml:space="preserve"> </w:t>
            </w:r>
          </w:p>
          <w:p w:rsidR="00AA7B6D" w:rsidRPr="00037467" w:rsidRDefault="00AA7B6D" w:rsidP="00863E5E">
            <w:pPr>
              <w:spacing w:after="0" w:line="240" w:lineRule="auto"/>
              <w:jc w:val="both"/>
              <w:rPr>
                <w:rFonts w:ascii="Times New Roman" w:hAnsi="Times New Roman"/>
                <w:sz w:val="24"/>
                <w:szCs w:val="24"/>
              </w:rPr>
            </w:pPr>
          </w:p>
        </w:tc>
      </w:tr>
      <w:tr w:rsidR="00AA7B6D" w:rsidRPr="00037467" w:rsidTr="00863E5E">
        <w:tc>
          <w:tcPr>
            <w:tcW w:w="3812" w:type="dxa"/>
            <w:gridSpan w:val="2"/>
            <w:tcBorders>
              <w:top w:val="single" w:sz="4" w:space="0" w:color="auto"/>
              <w:left w:val="single" w:sz="4" w:space="0" w:color="auto"/>
              <w:bottom w:val="single" w:sz="4" w:space="0" w:color="auto"/>
              <w:right w:val="single" w:sz="4" w:space="0" w:color="auto"/>
            </w:tcBorders>
            <w:hideMark/>
          </w:tcPr>
          <w:p w:rsidR="001E345D"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Main Objective</w:t>
            </w:r>
          </w:p>
        </w:tc>
        <w:tc>
          <w:tcPr>
            <w:tcW w:w="4943" w:type="dxa"/>
            <w:gridSpan w:val="3"/>
            <w:tcBorders>
              <w:top w:val="single" w:sz="4" w:space="0" w:color="auto"/>
              <w:left w:val="single" w:sz="4" w:space="0" w:color="auto"/>
              <w:bottom w:val="single" w:sz="4" w:space="0" w:color="auto"/>
              <w:right w:val="single" w:sz="4" w:space="0" w:color="auto"/>
            </w:tcBorders>
          </w:tcPr>
          <w:p w:rsidR="005708E4" w:rsidRPr="00037467" w:rsidRDefault="005708E4"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To enhance </w:t>
            </w:r>
            <w:r w:rsidR="00264143" w:rsidRPr="00037467">
              <w:rPr>
                <w:rFonts w:ascii="Times New Roman" w:hAnsi="Times New Roman"/>
                <w:sz w:val="24"/>
                <w:szCs w:val="24"/>
              </w:rPr>
              <w:t>the</w:t>
            </w:r>
            <w:r w:rsidRPr="00037467">
              <w:rPr>
                <w:rFonts w:ascii="Times New Roman" w:hAnsi="Times New Roman"/>
                <w:sz w:val="24"/>
                <w:szCs w:val="24"/>
              </w:rPr>
              <w:t xml:space="preserve"> legal and financial framework </w:t>
            </w:r>
            <w:r w:rsidRPr="00037467">
              <w:rPr>
                <w:rFonts w:ascii="Times New Roman" w:hAnsi="Times New Roman"/>
                <w:sz w:val="24"/>
                <w:szCs w:val="24"/>
              </w:rPr>
              <w:lastRenderedPageBreak/>
              <w:t>for increasing the institutional capacity of associations, quality participation of NGOs in decision making, strengthening them as social partners, promoting the delegation</w:t>
            </w:r>
            <w:r w:rsidR="000A79D0" w:rsidRPr="00037467">
              <w:rPr>
                <w:rFonts w:ascii="Times New Roman" w:hAnsi="Times New Roman"/>
                <w:sz w:val="24"/>
                <w:szCs w:val="24"/>
              </w:rPr>
              <w:t xml:space="preserve"> </w:t>
            </w:r>
            <w:r w:rsidRPr="00037467">
              <w:rPr>
                <w:rFonts w:ascii="Times New Roman" w:hAnsi="Times New Roman"/>
                <w:sz w:val="24"/>
                <w:szCs w:val="24"/>
              </w:rPr>
              <w:t>of public functions</w:t>
            </w:r>
            <w:r w:rsidR="000A79D0" w:rsidRPr="00037467">
              <w:rPr>
                <w:rFonts w:ascii="Times New Roman" w:hAnsi="Times New Roman"/>
                <w:sz w:val="24"/>
                <w:szCs w:val="24"/>
              </w:rPr>
              <w:t>, where it is possible,</w:t>
            </w:r>
            <w:r w:rsidRPr="00037467">
              <w:rPr>
                <w:rFonts w:ascii="Times New Roman" w:hAnsi="Times New Roman"/>
                <w:sz w:val="24"/>
                <w:szCs w:val="24"/>
              </w:rPr>
              <w:t xml:space="preserve"> to associations and foundations</w:t>
            </w:r>
            <w:r w:rsidR="000A79D0" w:rsidRPr="00037467">
              <w:rPr>
                <w:rFonts w:ascii="Times New Roman" w:hAnsi="Times New Roman"/>
                <w:sz w:val="24"/>
                <w:szCs w:val="24"/>
              </w:rPr>
              <w:t>, especially in matters of civic education.</w:t>
            </w:r>
            <w:r w:rsidRPr="00037467">
              <w:rPr>
                <w:rFonts w:ascii="Times New Roman" w:hAnsi="Times New Roman"/>
                <w:sz w:val="24"/>
                <w:szCs w:val="24"/>
              </w:rPr>
              <w:t xml:space="preserve"> </w:t>
            </w:r>
          </w:p>
          <w:p w:rsidR="00AA7B6D" w:rsidRPr="00037467" w:rsidRDefault="00AA7B6D" w:rsidP="00863E5E">
            <w:pPr>
              <w:autoSpaceDE w:val="0"/>
              <w:autoSpaceDN w:val="0"/>
              <w:adjustRightInd w:val="0"/>
              <w:spacing w:after="0" w:line="240" w:lineRule="auto"/>
              <w:jc w:val="both"/>
              <w:rPr>
                <w:rFonts w:ascii="Times New Roman" w:hAnsi="Times New Roman"/>
                <w:sz w:val="24"/>
                <w:szCs w:val="24"/>
              </w:rPr>
            </w:pPr>
          </w:p>
        </w:tc>
      </w:tr>
      <w:tr w:rsidR="00AA7B6D" w:rsidRPr="00037467" w:rsidTr="00863E5E">
        <w:tc>
          <w:tcPr>
            <w:tcW w:w="3812" w:type="dxa"/>
            <w:gridSpan w:val="2"/>
            <w:tcBorders>
              <w:top w:val="single" w:sz="4" w:space="0" w:color="auto"/>
              <w:left w:val="single" w:sz="4" w:space="0" w:color="auto"/>
              <w:bottom w:val="single" w:sz="4" w:space="0" w:color="auto"/>
              <w:right w:val="single" w:sz="4" w:space="0" w:color="auto"/>
            </w:tcBorders>
            <w:hideMark/>
          </w:tcPr>
          <w:p w:rsidR="001E345D"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lastRenderedPageBreak/>
              <w:t>OGP challenge addressed by the commitment</w:t>
            </w:r>
          </w:p>
        </w:tc>
        <w:tc>
          <w:tcPr>
            <w:tcW w:w="4943" w:type="dxa"/>
            <w:gridSpan w:val="3"/>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r>
      <w:tr w:rsidR="00B93B15" w:rsidRPr="00037467" w:rsidTr="00863E5E">
        <w:trPr>
          <w:trHeight w:val="105"/>
        </w:trPr>
        <w:tc>
          <w:tcPr>
            <w:tcW w:w="3812" w:type="dxa"/>
            <w:gridSpan w:val="2"/>
            <w:vMerge w:val="restart"/>
            <w:tcBorders>
              <w:top w:val="single" w:sz="4" w:space="0" w:color="auto"/>
              <w:left w:val="single" w:sz="4" w:space="0" w:color="auto"/>
              <w:bottom w:val="single" w:sz="4" w:space="0" w:color="auto"/>
              <w:right w:val="single" w:sz="4" w:space="0" w:color="auto"/>
            </w:tcBorders>
            <w:hideMark/>
          </w:tcPr>
          <w:p w:rsidR="00B93B15" w:rsidRPr="00037467" w:rsidRDefault="000272C2" w:rsidP="00863E5E">
            <w:pPr>
              <w:spacing w:after="0" w:line="240" w:lineRule="auto"/>
              <w:rPr>
                <w:rFonts w:ascii="Times New Roman" w:hAnsi="Times New Roman"/>
                <w:sz w:val="24"/>
                <w:szCs w:val="24"/>
              </w:rPr>
            </w:pPr>
            <w:r w:rsidRPr="00037467">
              <w:rPr>
                <w:rFonts w:ascii="Times New Roman" w:eastAsiaTheme="minorHAnsi" w:hAnsi="Times New Roman"/>
                <w:sz w:val="24"/>
                <w:szCs w:val="24"/>
              </w:rPr>
              <w:t>Is it relevant to the advancement of:</w:t>
            </w:r>
          </w:p>
        </w:tc>
        <w:tc>
          <w:tcPr>
            <w:tcW w:w="1638"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662"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AA7B6D" w:rsidRPr="00037467" w:rsidTr="00863E5E">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345D" w:rsidRPr="00037467" w:rsidRDefault="001E345D" w:rsidP="00863E5E">
            <w:pPr>
              <w:spacing w:after="0" w:line="240" w:lineRule="auto"/>
              <w:rPr>
                <w:rFonts w:ascii="Times New Roman" w:hAnsi="Times New Roman"/>
                <w:sz w:val="24"/>
                <w:szCs w:val="24"/>
              </w:rPr>
            </w:pPr>
          </w:p>
        </w:tc>
        <w:tc>
          <w:tcPr>
            <w:tcW w:w="1638" w:type="dxa"/>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1E345D" w:rsidRPr="00037467" w:rsidRDefault="009A1B01" w:rsidP="00863E5E">
            <w:pPr>
              <w:spacing w:after="0" w:line="240" w:lineRule="auto"/>
              <w:rPr>
                <w:rFonts w:ascii="Times New Roman" w:hAnsi="Times New Roman"/>
                <w:sz w:val="24"/>
                <w:szCs w:val="24"/>
              </w:rPr>
            </w:pPr>
            <w:r w:rsidRPr="00037467">
              <w:rPr>
                <w:rFonts w:ascii="Times New Roman" w:hAnsi="Times New Roman"/>
                <w:sz w:val="24"/>
                <w:szCs w:val="24"/>
              </w:rPr>
              <w:t>X</w:t>
            </w:r>
          </w:p>
        </w:tc>
      </w:tr>
      <w:tr w:rsidR="00B93B15" w:rsidRPr="00037467" w:rsidTr="00863E5E">
        <w:trPr>
          <w:trHeight w:val="677"/>
        </w:trPr>
        <w:tc>
          <w:tcPr>
            <w:tcW w:w="3812" w:type="dxa"/>
            <w:gridSpan w:val="2"/>
            <w:tcBorders>
              <w:top w:val="single" w:sz="4" w:space="0" w:color="auto"/>
              <w:left w:val="single" w:sz="4" w:space="0" w:color="auto"/>
              <w:bottom w:val="single" w:sz="4" w:space="0" w:color="auto"/>
              <w:right w:val="single" w:sz="4" w:space="0" w:color="auto"/>
            </w:tcBorders>
          </w:tcPr>
          <w:p w:rsidR="00B93B15"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B93B15"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B93B15" w:rsidRPr="00037467">
              <w:rPr>
                <w:rFonts w:ascii="Times New Roman" w:hAnsi="Times New Roman" w:cs="Times New Roman"/>
                <w:sz w:val="24"/>
                <w:szCs w:val="24"/>
                <w:lang w:val="en-GB"/>
              </w:rPr>
              <w:t xml:space="preserve"> the commitment:</w:t>
            </w:r>
          </w:p>
          <w:p w:rsidR="00B93B15" w:rsidRPr="00037467" w:rsidRDefault="00B93B15" w:rsidP="00863E5E">
            <w:pPr>
              <w:pStyle w:val="NoSpacing"/>
              <w:rPr>
                <w:rFonts w:ascii="Times New Roman" w:hAnsi="Times New Roman" w:cs="Times New Roman"/>
                <w:sz w:val="24"/>
                <w:szCs w:val="24"/>
                <w:lang w:val="en-GB"/>
              </w:rPr>
            </w:pPr>
          </w:p>
        </w:tc>
        <w:tc>
          <w:tcPr>
            <w:tcW w:w="1638" w:type="dxa"/>
            <w:tcBorders>
              <w:top w:val="single" w:sz="4" w:space="0" w:color="auto"/>
              <w:left w:val="single" w:sz="4" w:space="0" w:color="auto"/>
              <w:bottom w:val="single" w:sz="4" w:space="0" w:color="auto"/>
              <w:right w:val="single" w:sz="4"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662"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AA7B6D" w:rsidRPr="00037467" w:rsidTr="00863E5E">
        <w:trPr>
          <w:trHeight w:val="416"/>
        </w:trPr>
        <w:tc>
          <w:tcPr>
            <w:tcW w:w="3812" w:type="dxa"/>
            <w:gridSpan w:val="2"/>
            <w:tcBorders>
              <w:top w:val="single" w:sz="4" w:space="0" w:color="auto"/>
              <w:left w:val="single" w:sz="4" w:space="0" w:color="auto"/>
              <w:bottom w:val="single" w:sz="4" w:space="0" w:color="auto"/>
              <w:right w:val="single" w:sz="4" w:space="0" w:color="auto"/>
            </w:tcBorders>
          </w:tcPr>
          <w:p w:rsidR="001E345D" w:rsidRPr="00037467" w:rsidRDefault="000A79D0" w:rsidP="00863E5E">
            <w:pPr>
              <w:spacing w:after="0" w:line="240" w:lineRule="auto"/>
              <w:rPr>
                <w:rFonts w:ascii="Times New Roman" w:hAnsi="Times New Roman"/>
                <w:sz w:val="24"/>
                <w:szCs w:val="24"/>
              </w:rPr>
            </w:pPr>
            <w:r w:rsidRPr="00037467">
              <w:rPr>
                <w:rFonts w:ascii="Times New Roman" w:hAnsi="Times New Roman"/>
                <w:sz w:val="24"/>
                <w:szCs w:val="24"/>
              </w:rPr>
              <w:t>No</w:t>
            </w:r>
            <w:r w:rsidR="00B9139B" w:rsidRPr="00037467">
              <w:rPr>
                <w:rFonts w:ascii="Times New Roman" w:hAnsi="Times New Roman"/>
                <w:sz w:val="24"/>
                <w:szCs w:val="24"/>
              </w:rPr>
              <w:t xml:space="preserve"> inform</w:t>
            </w:r>
            <w:r w:rsidRPr="00037467">
              <w:rPr>
                <w:rFonts w:ascii="Times New Roman" w:hAnsi="Times New Roman"/>
                <w:sz w:val="24"/>
                <w:szCs w:val="24"/>
              </w:rPr>
              <w:t>ation</w:t>
            </w:r>
          </w:p>
        </w:tc>
        <w:tc>
          <w:tcPr>
            <w:tcW w:w="1638" w:type="dxa"/>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1E345D" w:rsidRPr="00037467" w:rsidRDefault="001E345D" w:rsidP="00863E5E">
            <w:pPr>
              <w:spacing w:after="0" w:line="240" w:lineRule="auto"/>
              <w:rPr>
                <w:rFonts w:ascii="Times New Roman" w:hAnsi="Times New Roman"/>
                <w:sz w:val="24"/>
                <w:szCs w:val="24"/>
              </w:rPr>
            </w:pPr>
          </w:p>
        </w:tc>
      </w:tr>
    </w:tbl>
    <w:p w:rsidR="001E345D" w:rsidRPr="00037467" w:rsidRDefault="001E345D" w:rsidP="00863E5E">
      <w:pPr>
        <w:spacing w:after="0" w:line="240" w:lineRule="auto"/>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840"/>
        <w:gridCol w:w="1653"/>
        <w:gridCol w:w="1643"/>
        <w:gridCol w:w="1879"/>
      </w:tblGrid>
      <w:tr w:rsidR="001710A5" w:rsidRPr="00037467" w:rsidTr="00A91155">
        <w:tc>
          <w:tcPr>
            <w:tcW w:w="8755" w:type="dxa"/>
            <w:gridSpan w:val="5"/>
            <w:tcBorders>
              <w:top w:val="single" w:sz="4" w:space="0" w:color="auto"/>
              <w:left w:val="single" w:sz="4" w:space="0" w:color="auto"/>
              <w:bottom w:val="single" w:sz="4" w:space="0" w:color="auto"/>
              <w:right w:val="single" w:sz="4" w:space="0" w:color="auto"/>
            </w:tcBorders>
            <w:hideMark/>
          </w:tcPr>
          <w:p w:rsidR="001710A5" w:rsidRPr="00037467" w:rsidRDefault="00964A0D" w:rsidP="00863E5E">
            <w:pPr>
              <w:spacing w:after="0" w:line="240" w:lineRule="auto"/>
              <w:jc w:val="center"/>
              <w:rPr>
                <w:rFonts w:ascii="Times New Roman" w:hAnsi="Times New Roman"/>
                <w:sz w:val="24"/>
                <w:szCs w:val="24"/>
              </w:rPr>
            </w:pPr>
            <w:r w:rsidRPr="00037467">
              <w:rPr>
                <w:rFonts w:ascii="Times New Roman" w:hAnsi="Times New Roman"/>
                <w:sz w:val="24"/>
                <w:szCs w:val="24"/>
              </w:rPr>
              <w:t>Commitment</w:t>
            </w:r>
          </w:p>
        </w:tc>
      </w:tr>
      <w:tr w:rsidR="001710A5" w:rsidRPr="00037467" w:rsidTr="00A91155">
        <w:tc>
          <w:tcPr>
            <w:tcW w:w="8755" w:type="dxa"/>
            <w:gridSpan w:val="5"/>
            <w:tcBorders>
              <w:top w:val="single" w:sz="4" w:space="0" w:color="auto"/>
              <w:left w:val="single" w:sz="4" w:space="0" w:color="auto"/>
              <w:bottom w:val="single" w:sz="4" w:space="0" w:color="auto"/>
              <w:right w:val="single" w:sz="4" w:space="0" w:color="auto"/>
            </w:tcBorders>
            <w:hideMark/>
          </w:tcPr>
          <w:p w:rsidR="00B01072" w:rsidRPr="00037467" w:rsidRDefault="00A9410F" w:rsidP="00863E5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sz w:val="24"/>
                <w:szCs w:val="24"/>
              </w:rPr>
              <w:t>7</w:t>
            </w:r>
            <w:r w:rsidR="00964A0D" w:rsidRPr="00037467">
              <w:rPr>
                <w:rFonts w:ascii="Times New Roman" w:hAnsi="Times New Roman"/>
                <w:b/>
                <w:sz w:val="24"/>
                <w:szCs w:val="24"/>
              </w:rPr>
              <w:t>.</w:t>
            </w:r>
            <w:r w:rsidR="00964A0D" w:rsidRPr="00037467">
              <w:rPr>
                <w:rFonts w:ascii="Times New Roman" w:hAnsi="Times New Roman"/>
                <w:sz w:val="24"/>
                <w:szCs w:val="24"/>
              </w:rPr>
              <w:t xml:space="preserve"> </w:t>
            </w:r>
            <w:r w:rsidR="003D0203" w:rsidRPr="00037467">
              <w:rPr>
                <w:rFonts w:ascii="Times New Roman" w:hAnsi="Times New Roman"/>
                <w:b/>
                <w:bCs/>
                <w:color w:val="000000"/>
                <w:sz w:val="24"/>
                <w:szCs w:val="24"/>
              </w:rPr>
              <w:t xml:space="preserve">Provide </w:t>
            </w:r>
            <w:r w:rsidR="001E3AEB" w:rsidRPr="00037467">
              <w:rPr>
                <w:rFonts w:ascii="Times New Roman" w:hAnsi="Times New Roman"/>
                <w:b/>
                <w:bCs/>
                <w:color w:val="000000"/>
                <w:sz w:val="24"/>
                <w:szCs w:val="24"/>
              </w:rPr>
              <w:t xml:space="preserve">a </w:t>
            </w:r>
            <w:r w:rsidR="00B01072" w:rsidRPr="00037467">
              <w:rPr>
                <w:rFonts w:ascii="Times New Roman" w:hAnsi="Times New Roman"/>
                <w:b/>
                <w:bCs/>
                <w:color w:val="000000"/>
                <w:sz w:val="24"/>
                <w:szCs w:val="24"/>
              </w:rPr>
              <w:t xml:space="preserve">possibility for </w:t>
            </w:r>
            <w:r w:rsidR="001E3AEB" w:rsidRPr="00037467">
              <w:rPr>
                <w:rFonts w:ascii="Times New Roman" w:hAnsi="Times New Roman"/>
                <w:b/>
                <w:bCs/>
                <w:color w:val="000000"/>
                <w:sz w:val="24"/>
                <w:szCs w:val="24"/>
              </w:rPr>
              <w:t xml:space="preserve">the online </w:t>
            </w:r>
            <w:r w:rsidR="00B01072" w:rsidRPr="00037467">
              <w:rPr>
                <w:rFonts w:ascii="Times New Roman" w:hAnsi="Times New Roman"/>
                <w:b/>
                <w:bCs/>
                <w:color w:val="000000"/>
                <w:sz w:val="24"/>
                <w:szCs w:val="24"/>
              </w:rPr>
              <w:t>collecti</w:t>
            </w:r>
            <w:r w:rsidR="001E3AEB" w:rsidRPr="00037467">
              <w:rPr>
                <w:rFonts w:ascii="Times New Roman" w:hAnsi="Times New Roman"/>
                <w:b/>
                <w:bCs/>
                <w:color w:val="000000"/>
                <w:sz w:val="24"/>
                <w:szCs w:val="24"/>
              </w:rPr>
              <w:t>on of</w:t>
            </w:r>
            <w:r w:rsidR="00B01072" w:rsidRPr="00037467">
              <w:rPr>
                <w:rFonts w:ascii="Times New Roman" w:hAnsi="Times New Roman"/>
                <w:b/>
                <w:bCs/>
                <w:color w:val="000000"/>
                <w:sz w:val="24"/>
                <w:szCs w:val="24"/>
              </w:rPr>
              <w:t xml:space="preserve"> signature</w:t>
            </w:r>
            <w:r w:rsidR="001E3AEB" w:rsidRPr="00037467">
              <w:rPr>
                <w:rFonts w:ascii="Times New Roman" w:hAnsi="Times New Roman"/>
                <w:b/>
                <w:bCs/>
                <w:color w:val="000000"/>
                <w:sz w:val="24"/>
                <w:szCs w:val="24"/>
              </w:rPr>
              <w:t>s</w:t>
            </w:r>
            <w:r w:rsidR="00B01072" w:rsidRPr="00037467">
              <w:rPr>
                <w:rFonts w:ascii="Times New Roman" w:hAnsi="Times New Roman"/>
                <w:b/>
                <w:bCs/>
                <w:color w:val="000000"/>
                <w:sz w:val="24"/>
                <w:szCs w:val="24"/>
              </w:rPr>
              <w:t xml:space="preserve"> </w:t>
            </w:r>
            <w:r w:rsidR="001E3AEB" w:rsidRPr="00037467">
              <w:rPr>
                <w:rFonts w:ascii="Times New Roman" w:hAnsi="Times New Roman"/>
                <w:b/>
                <w:bCs/>
                <w:color w:val="000000"/>
                <w:sz w:val="24"/>
                <w:szCs w:val="24"/>
              </w:rPr>
              <w:t xml:space="preserve">on referenda </w:t>
            </w:r>
          </w:p>
        </w:tc>
      </w:tr>
      <w:tr w:rsidR="001710A5" w:rsidRPr="00037467" w:rsidTr="00B93B15">
        <w:tc>
          <w:tcPr>
            <w:tcW w:w="3580" w:type="dxa"/>
            <w:gridSpan w:val="2"/>
            <w:tcBorders>
              <w:top w:val="single" w:sz="4" w:space="0" w:color="auto"/>
              <w:left w:val="single" w:sz="4" w:space="0" w:color="auto"/>
              <w:bottom w:val="single" w:sz="4" w:space="0" w:color="auto"/>
              <w:right w:val="single" w:sz="4" w:space="0" w:color="auto"/>
            </w:tcBorders>
            <w:hideMark/>
          </w:tcPr>
          <w:p w:rsidR="001710A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Lead agency</w:t>
            </w:r>
          </w:p>
        </w:tc>
        <w:tc>
          <w:tcPr>
            <w:tcW w:w="5175" w:type="dxa"/>
            <w:gridSpan w:val="3"/>
            <w:tcBorders>
              <w:top w:val="single" w:sz="4" w:space="0" w:color="auto"/>
              <w:left w:val="single" w:sz="4" w:space="0" w:color="auto"/>
              <w:bottom w:val="single" w:sz="4" w:space="0" w:color="auto"/>
              <w:right w:val="single" w:sz="4" w:space="0" w:color="auto"/>
            </w:tcBorders>
          </w:tcPr>
          <w:p w:rsidR="001710A5" w:rsidRPr="00037467" w:rsidRDefault="00D45664" w:rsidP="00863E5E">
            <w:pPr>
              <w:spacing w:after="0" w:line="240" w:lineRule="auto"/>
              <w:rPr>
                <w:rFonts w:ascii="Times New Roman" w:hAnsi="Times New Roman"/>
                <w:color w:val="000000"/>
                <w:sz w:val="24"/>
                <w:szCs w:val="24"/>
              </w:rPr>
            </w:pPr>
            <w:r w:rsidRPr="00037467">
              <w:rPr>
                <w:rFonts w:ascii="Times New Roman" w:hAnsi="Times New Roman"/>
                <w:sz w:val="24"/>
                <w:szCs w:val="24"/>
              </w:rPr>
              <w:t>Ministry of Environmental Protection and Regional Development</w:t>
            </w:r>
          </w:p>
        </w:tc>
      </w:tr>
      <w:tr w:rsidR="00B93B15" w:rsidRPr="00037467" w:rsidTr="00B93B15">
        <w:trPr>
          <w:trHeight w:val="105"/>
        </w:trPr>
        <w:tc>
          <w:tcPr>
            <w:tcW w:w="1740" w:type="dxa"/>
            <w:vMerge w:val="restart"/>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1840"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5175" w:type="dxa"/>
            <w:gridSpan w:val="3"/>
            <w:vMerge w:val="restart"/>
            <w:tcBorders>
              <w:top w:val="single" w:sz="4" w:space="0" w:color="auto"/>
              <w:left w:val="single" w:sz="4" w:space="0" w:color="auto"/>
              <w:bottom w:val="single" w:sz="4" w:space="0" w:color="auto"/>
              <w:right w:val="single" w:sz="4" w:space="0" w:color="auto"/>
            </w:tcBorders>
          </w:tcPr>
          <w:p w:rsidR="00B93B15" w:rsidRPr="00037467" w:rsidRDefault="00893FEA" w:rsidP="00863E5E">
            <w:pPr>
              <w:spacing w:after="0" w:line="240" w:lineRule="auto"/>
              <w:rPr>
                <w:rFonts w:ascii="Times New Roman" w:hAnsi="Times New Roman"/>
                <w:sz w:val="24"/>
                <w:szCs w:val="24"/>
              </w:rPr>
            </w:pPr>
            <w:r w:rsidRPr="00037467">
              <w:rPr>
                <w:rFonts w:ascii="Times New Roman" w:hAnsi="Times New Roman"/>
                <w:sz w:val="24"/>
                <w:szCs w:val="24"/>
              </w:rPr>
              <w:t>Public administration intitutions (ministries and subordinated institutions)</w:t>
            </w:r>
          </w:p>
          <w:p w:rsidR="00B93B15" w:rsidRPr="00037467" w:rsidRDefault="00D45664" w:rsidP="00863E5E">
            <w:pPr>
              <w:spacing w:after="0" w:line="240" w:lineRule="auto"/>
              <w:rPr>
                <w:rFonts w:ascii="Times New Roman" w:hAnsi="Times New Roman"/>
                <w:sz w:val="24"/>
                <w:szCs w:val="24"/>
              </w:rPr>
            </w:pPr>
            <w:r w:rsidRPr="00037467">
              <w:rPr>
                <w:rFonts w:ascii="Times New Roman" w:hAnsi="Times New Roman"/>
                <w:sz w:val="24"/>
                <w:szCs w:val="24"/>
              </w:rPr>
              <w:t>General public</w:t>
            </w:r>
          </w:p>
        </w:tc>
      </w:tr>
      <w:tr w:rsidR="00B93B15" w:rsidRPr="00037467" w:rsidTr="00B93B1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B15" w:rsidRPr="00037467" w:rsidRDefault="00B93B15" w:rsidP="00863E5E">
            <w:pPr>
              <w:spacing w:after="0" w:line="240" w:lineRule="auto"/>
              <w:rPr>
                <w:rFonts w:ascii="Times New Roman" w:hAnsi="Times New Roman"/>
                <w:sz w:val="24"/>
                <w:szCs w:val="24"/>
              </w:rPr>
            </w:pPr>
          </w:p>
        </w:tc>
        <w:tc>
          <w:tcPr>
            <w:tcW w:w="1840"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Civil Society, Private Sector</w:t>
            </w:r>
          </w:p>
        </w:tc>
        <w:tc>
          <w:tcPr>
            <w:tcW w:w="5175" w:type="dxa"/>
            <w:gridSpan w:val="3"/>
            <w:vMerge/>
            <w:tcBorders>
              <w:top w:val="single" w:sz="4" w:space="0" w:color="auto"/>
              <w:left w:val="single" w:sz="4" w:space="0" w:color="auto"/>
              <w:bottom w:val="single" w:sz="4" w:space="0" w:color="auto"/>
              <w:right w:val="single" w:sz="4" w:space="0" w:color="auto"/>
            </w:tcBorders>
            <w:vAlign w:val="center"/>
          </w:tcPr>
          <w:p w:rsidR="00B93B15" w:rsidRPr="00037467" w:rsidRDefault="00B93B15" w:rsidP="00863E5E">
            <w:pPr>
              <w:spacing w:after="0" w:line="240" w:lineRule="auto"/>
              <w:rPr>
                <w:rFonts w:ascii="Times New Roman" w:hAnsi="Times New Roman"/>
                <w:sz w:val="24"/>
                <w:szCs w:val="24"/>
              </w:rPr>
            </w:pPr>
          </w:p>
        </w:tc>
      </w:tr>
      <w:tr w:rsidR="001710A5" w:rsidRPr="00037467" w:rsidTr="00B93B15">
        <w:tc>
          <w:tcPr>
            <w:tcW w:w="3580" w:type="dxa"/>
            <w:gridSpan w:val="2"/>
            <w:tcBorders>
              <w:top w:val="single" w:sz="4" w:space="0" w:color="auto"/>
              <w:left w:val="single" w:sz="4" w:space="0" w:color="auto"/>
              <w:bottom w:val="single" w:sz="4" w:space="0" w:color="auto"/>
              <w:right w:val="single" w:sz="4" w:space="0" w:color="auto"/>
            </w:tcBorders>
            <w:hideMark/>
          </w:tcPr>
          <w:p w:rsidR="001710A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Status quo or problem/issue to be addressed</w:t>
            </w:r>
          </w:p>
        </w:tc>
        <w:tc>
          <w:tcPr>
            <w:tcW w:w="5175" w:type="dxa"/>
            <w:gridSpan w:val="3"/>
            <w:tcBorders>
              <w:top w:val="single" w:sz="4" w:space="0" w:color="auto"/>
              <w:left w:val="single" w:sz="4" w:space="0" w:color="auto"/>
              <w:bottom w:val="single" w:sz="4" w:space="0" w:color="auto"/>
              <w:right w:val="single" w:sz="4" w:space="0" w:color="auto"/>
            </w:tcBorders>
          </w:tcPr>
          <w:p w:rsidR="001E3AEB" w:rsidRPr="00037467" w:rsidRDefault="001E3AEB" w:rsidP="00863E5E">
            <w:pPr>
              <w:spacing w:after="0" w:line="240" w:lineRule="auto"/>
              <w:jc w:val="both"/>
              <w:rPr>
                <w:rFonts w:ascii="Times New Roman" w:hAnsi="Times New Roman"/>
                <w:sz w:val="24"/>
                <w:szCs w:val="24"/>
              </w:rPr>
            </w:pPr>
            <w:r w:rsidRPr="00037467">
              <w:rPr>
                <w:rFonts w:ascii="Times New Roman" w:hAnsi="Times New Roman"/>
                <w:sz w:val="24"/>
                <w:szCs w:val="24"/>
              </w:rPr>
              <w:t>It was possible for the re</w:t>
            </w:r>
            <w:r w:rsidR="00FC4D22" w:rsidRPr="00037467">
              <w:rPr>
                <w:rFonts w:ascii="Times New Roman" w:hAnsi="Times New Roman"/>
                <w:sz w:val="24"/>
                <w:szCs w:val="24"/>
              </w:rPr>
              <w:t>s</w:t>
            </w:r>
            <w:r w:rsidRPr="00037467">
              <w:rPr>
                <w:rFonts w:ascii="Times New Roman" w:hAnsi="Times New Roman"/>
                <w:sz w:val="24"/>
                <w:szCs w:val="24"/>
              </w:rPr>
              <w:t xml:space="preserve">idents of Latvia to initiate </w:t>
            </w:r>
            <w:r w:rsidR="003D0203" w:rsidRPr="00037467">
              <w:rPr>
                <w:rFonts w:ascii="Times New Roman" w:hAnsi="Times New Roman"/>
                <w:sz w:val="24"/>
                <w:szCs w:val="24"/>
              </w:rPr>
              <w:t xml:space="preserve">referenda and </w:t>
            </w:r>
            <w:r w:rsidRPr="00037467">
              <w:rPr>
                <w:rFonts w:ascii="Times New Roman" w:hAnsi="Times New Roman"/>
                <w:sz w:val="24"/>
                <w:szCs w:val="24"/>
              </w:rPr>
              <w:t>amendments to legislation by collecting signatures</w:t>
            </w:r>
            <w:r w:rsidR="003D0203" w:rsidRPr="00037467">
              <w:rPr>
                <w:rFonts w:ascii="Times New Roman" w:hAnsi="Times New Roman"/>
                <w:sz w:val="24"/>
                <w:szCs w:val="24"/>
              </w:rPr>
              <w:t xml:space="preserve"> on paper</w:t>
            </w:r>
            <w:r w:rsidRPr="00037467">
              <w:rPr>
                <w:rFonts w:ascii="Times New Roman" w:hAnsi="Times New Roman"/>
                <w:sz w:val="24"/>
                <w:szCs w:val="24"/>
              </w:rPr>
              <w:t xml:space="preserve">, which </w:t>
            </w:r>
            <w:r w:rsidR="003D0203" w:rsidRPr="00037467">
              <w:rPr>
                <w:rFonts w:ascii="Times New Roman" w:hAnsi="Times New Roman"/>
                <w:sz w:val="24"/>
                <w:szCs w:val="24"/>
              </w:rPr>
              <w:t xml:space="preserve">then </w:t>
            </w:r>
            <w:r w:rsidRPr="00037467">
              <w:rPr>
                <w:rFonts w:ascii="Times New Roman" w:hAnsi="Times New Roman"/>
                <w:sz w:val="24"/>
                <w:szCs w:val="24"/>
              </w:rPr>
              <w:t xml:space="preserve">would </w:t>
            </w:r>
            <w:r w:rsidR="00A06716" w:rsidRPr="00037467">
              <w:rPr>
                <w:rFonts w:ascii="Times New Roman" w:hAnsi="Times New Roman"/>
                <w:sz w:val="24"/>
                <w:szCs w:val="24"/>
              </w:rPr>
              <w:t xml:space="preserve">need to </w:t>
            </w:r>
            <w:r w:rsidRPr="00037467">
              <w:rPr>
                <w:rFonts w:ascii="Times New Roman" w:hAnsi="Times New Roman"/>
                <w:sz w:val="24"/>
                <w:szCs w:val="24"/>
              </w:rPr>
              <w:t xml:space="preserve">be witnessed by a notary public. </w:t>
            </w:r>
            <w:r w:rsidR="00A06716" w:rsidRPr="00037467">
              <w:rPr>
                <w:rFonts w:ascii="Times New Roman" w:hAnsi="Times New Roman"/>
                <w:sz w:val="24"/>
                <w:szCs w:val="24"/>
              </w:rPr>
              <w:t>T</w:t>
            </w:r>
            <w:r w:rsidR="003D0203" w:rsidRPr="00037467">
              <w:rPr>
                <w:rFonts w:ascii="Times New Roman" w:hAnsi="Times New Roman"/>
                <w:sz w:val="24"/>
                <w:szCs w:val="24"/>
              </w:rPr>
              <w:t xml:space="preserve">hus far </w:t>
            </w:r>
            <w:r w:rsidR="00A06716" w:rsidRPr="00037467">
              <w:rPr>
                <w:rFonts w:ascii="Times New Roman" w:hAnsi="Times New Roman"/>
                <w:sz w:val="24"/>
                <w:szCs w:val="24"/>
              </w:rPr>
              <w:t xml:space="preserve">no possibilities </w:t>
            </w:r>
            <w:r w:rsidR="003D0203" w:rsidRPr="00037467">
              <w:rPr>
                <w:rFonts w:ascii="Times New Roman" w:hAnsi="Times New Roman"/>
                <w:sz w:val="24"/>
                <w:szCs w:val="24"/>
              </w:rPr>
              <w:t xml:space="preserve">existing </w:t>
            </w:r>
            <w:r w:rsidR="00FC4D22" w:rsidRPr="00037467">
              <w:rPr>
                <w:rFonts w:ascii="Times New Roman" w:hAnsi="Times New Roman"/>
                <w:sz w:val="24"/>
                <w:szCs w:val="24"/>
              </w:rPr>
              <w:t>of</w:t>
            </w:r>
            <w:r w:rsidR="00A06716" w:rsidRPr="00037467">
              <w:rPr>
                <w:rFonts w:ascii="Times New Roman" w:hAnsi="Times New Roman"/>
                <w:sz w:val="24"/>
                <w:szCs w:val="24"/>
              </w:rPr>
              <w:t xml:space="preserve"> collect</w:t>
            </w:r>
            <w:r w:rsidR="00FC4D22" w:rsidRPr="00037467">
              <w:rPr>
                <w:rFonts w:ascii="Times New Roman" w:hAnsi="Times New Roman"/>
                <w:sz w:val="24"/>
                <w:szCs w:val="24"/>
              </w:rPr>
              <w:t>ing</w:t>
            </w:r>
            <w:r w:rsidR="00A06716" w:rsidRPr="00037467">
              <w:rPr>
                <w:rFonts w:ascii="Times New Roman" w:hAnsi="Times New Roman"/>
                <w:sz w:val="24"/>
                <w:szCs w:val="24"/>
              </w:rPr>
              <w:t xml:space="preserve"> the signatures online.</w:t>
            </w:r>
          </w:p>
          <w:p w:rsidR="00A06716" w:rsidRPr="00037467" w:rsidRDefault="003C0FDD" w:rsidP="00863E5E">
            <w:pPr>
              <w:spacing w:after="0" w:line="240" w:lineRule="auto"/>
              <w:jc w:val="both"/>
              <w:rPr>
                <w:rFonts w:ascii="Times New Roman" w:hAnsi="Times New Roman"/>
                <w:sz w:val="24"/>
                <w:szCs w:val="24"/>
              </w:rPr>
            </w:pPr>
            <w:r w:rsidRPr="00037467">
              <w:rPr>
                <w:rFonts w:ascii="Times New Roman" w:hAnsi="Times New Roman"/>
                <w:sz w:val="24"/>
                <w:szCs w:val="24"/>
              </w:rPr>
              <w:t>A</w:t>
            </w:r>
            <w:r w:rsidR="00FC4D22" w:rsidRPr="00037467">
              <w:rPr>
                <w:rFonts w:ascii="Times New Roman" w:hAnsi="Times New Roman"/>
                <w:sz w:val="24"/>
                <w:szCs w:val="24"/>
              </w:rPr>
              <w:t>mendm</w:t>
            </w:r>
            <w:r w:rsidR="00A06716" w:rsidRPr="00037467">
              <w:rPr>
                <w:rFonts w:ascii="Times New Roman" w:hAnsi="Times New Roman"/>
                <w:sz w:val="24"/>
                <w:szCs w:val="24"/>
              </w:rPr>
              <w:t>e</w:t>
            </w:r>
            <w:r w:rsidR="00FC4D22" w:rsidRPr="00037467">
              <w:rPr>
                <w:rFonts w:ascii="Times New Roman" w:hAnsi="Times New Roman"/>
                <w:sz w:val="24"/>
                <w:szCs w:val="24"/>
              </w:rPr>
              <w:t xml:space="preserve">nts to the </w:t>
            </w:r>
            <w:r w:rsidR="00FC4D22" w:rsidRPr="00037467">
              <w:rPr>
                <w:rFonts w:ascii="Times New Roman" w:hAnsi="Times New Roman"/>
                <w:i/>
                <w:sz w:val="24"/>
                <w:szCs w:val="24"/>
              </w:rPr>
              <w:t xml:space="preserve">Law on National </w:t>
            </w:r>
            <w:r w:rsidR="00540895" w:rsidRPr="00037467">
              <w:rPr>
                <w:rFonts w:ascii="Times New Roman" w:hAnsi="Times New Roman"/>
                <w:i/>
                <w:sz w:val="24"/>
                <w:szCs w:val="24"/>
              </w:rPr>
              <w:t>Referenda</w:t>
            </w:r>
            <w:r w:rsidR="00FC4D22" w:rsidRPr="00037467">
              <w:rPr>
                <w:rFonts w:ascii="Times New Roman" w:hAnsi="Times New Roman"/>
                <w:i/>
                <w:sz w:val="24"/>
                <w:szCs w:val="24"/>
              </w:rPr>
              <w:t>, Legislative Initiatives and the European Citizens Initiative</w:t>
            </w:r>
            <w:r w:rsidR="00FC4D22" w:rsidRPr="00037467">
              <w:rPr>
                <w:rFonts w:ascii="Times New Roman" w:hAnsi="Times New Roman"/>
                <w:sz w:val="24"/>
                <w:szCs w:val="24"/>
              </w:rPr>
              <w:t xml:space="preserve"> envisage that as from 1 </w:t>
            </w:r>
            <w:r w:rsidR="00424FBA" w:rsidRPr="00037467">
              <w:rPr>
                <w:rFonts w:ascii="Times New Roman" w:hAnsi="Times New Roman"/>
                <w:sz w:val="24"/>
                <w:szCs w:val="24"/>
              </w:rPr>
              <w:t>January</w:t>
            </w:r>
            <w:r w:rsidR="00FC4D22" w:rsidRPr="00037467">
              <w:rPr>
                <w:rFonts w:ascii="Times New Roman" w:hAnsi="Times New Roman"/>
                <w:sz w:val="24"/>
                <w:szCs w:val="24"/>
              </w:rPr>
              <w:t xml:space="preserve"> 2015 people will </w:t>
            </w:r>
            <w:r w:rsidR="00424FBA" w:rsidRPr="00037467">
              <w:rPr>
                <w:rFonts w:ascii="Times New Roman" w:hAnsi="Times New Roman"/>
                <w:sz w:val="24"/>
                <w:szCs w:val="24"/>
              </w:rPr>
              <w:t xml:space="preserve">also </w:t>
            </w:r>
            <w:r w:rsidR="00FC4D22" w:rsidRPr="00037467">
              <w:rPr>
                <w:rFonts w:ascii="Times New Roman" w:hAnsi="Times New Roman"/>
                <w:sz w:val="24"/>
                <w:szCs w:val="24"/>
              </w:rPr>
              <w:t xml:space="preserve">be able to sign online the </w:t>
            </w:r>
            <w:r w:rsidR="00424FBA" w:rsidRPr="00037467">
              <w:rPr>
                <w:rFonts w:ascii="Times New Roman" w:hAnsi="Times New Roman"/>
                <w:sz w:val="24"/>
                <w:szCs w:val="24"/>
              </w:rPr>
              <w:t xml:space="preserve">initiatives on referenda and legislation – via the portal Latvija.lv, and online systems created by private entities. </w:t>
            </w:r>
          </w:p>
          <w:p w:rsidR="007C68A3" w:rsidRPr="00037467" w:rsidRDefault="007C68A3"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In addition to its primary purpose, the solution also offers an innovative and open approach – the principle of open interfaces. The Law and </w:t>
            </w:r>
            <w:r w:rsidR="00851871" w:rsidRPr="00037467">
              <w:rPr>
                <w:rFonts w:ascii="Times New Roman" w:hAnsi="Times New Roman"/>
                <w:sz w:val="24"/>
                <w:szCs w:val="24"/>
              </w:rPr>
              <w:t xml:space="preserve">the subordinate </w:t>
            </w:r>
            <w:r w:rsidRPr="00037467">
              <w:rPr>
                <w:rFonts w:ascii="Times New Roman" w:hAnsi="Times New Roman"/>
                <w:sz w:val="24"/>
                <w:szCs w:val="24"/>
              </w:rPr>
              <w:t xml:space="preserve">Cabinet of Ministers regulations </w:t>
            </w:r>
            <w:r w:rsidR="00851871" w:rsidRPr="00037467">
              <w:rPr>
                <w:rFonts w:ascii="Times New Roman" w:hAnsi="Times New Roman"/>
                <w:sz w:val="24"/>
                <w:szCs w:val="24"/>
              </w:rPr>
              <w:t xml:space="preserve">stipulate that also private entities are also able to devise and offer solutions for the collection of signatures online, provided their systems comply with security and technical requirements laid down by the state, and has been certified by a competent institution. </w:t>
            </w:r>
          </w:p>
          <w:p w:rsidR="00851871" w:rsidRPr="00037467" w:rsidRDefault="00851871"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The state provides a platform for the submission, </w:t>
            </w:r>
            <w:r w:rsidRPr="00037467">
              <w:rPr>
                <w:rFonts w:ascii="Times New Roman" w:hAnsi="Times New Roman"/>
                <w:sz w:val="24"/>
                <w:szCs w:val="24"/>
              </w:rPr>
              <w:lastRenderedPageBreak/>
              <w:t>checking and counting of votes submitted online.</w:t>
            </w:r>
          </w:p>
        </w:tc>
      </w:tr>
      <w:tr w:rsidR="001710A5" w:rsidRPr="00037467" w:rsidTr="00B93B15">
        <w:tc>
          <w:tcPr>
            <w:tcW w:w="3580" w:type="dxa"/>
            <w:gridSpan w:val="2"/>
            <w:tcBorders>
              <w:top w:val="single" w:sz="4" w:space="0" w:color="auto"/>
              <w:left w:val="single" w:sz="4" w:space="0" w:color="auto"/>
              <w:bottom w:val="single" w:sz="4" w:space="0" w:color="auto"/>
              <w:right w:val="single" w:sz="4" w:space="0" w:color="auto"/>
            </w:tcBorders>
            <w:hideMark/>
          </w:tcPr>
          <w:p w:rsidR="001710A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lastRenderedPageBreak/>
              <w:t>Main Objective</w:t>
            </w:r>
          </w:p>
        </w:tc>
        <w:tc>
          <w:tcPr>
            <w:tcW w:w="5175" w:type="dxa"/>
            <w:gridSpan w:val="3"/>
            <w:tcBorders>
              <w:top w:val="single" w:sz="4" w:space="0" w:color="auto"/>
              <w:left w:val="single" w:sz="4" w:space="0" w:color="auto"/>
              <w:bottom w:val="single" w:sz="4" w:space="0" w:color="auto"/>
              <w:right w:val="single" w:sz="4" w:space="0" w:color="auto"/>
            </w:tcBorders>
          </w:tcPr>
          <w:p w:rsidR="001710A5" w:rsidRPr="00037467" w:rsidRDefault="001710A5" w:rsidP="00863E5E">
            <w:pPr>
              <w:autoSpaceDE w:val="0"/>
              <w:autoSpaceDN w:val="0"/>
              <w:adjustRightInd w:val="0"/>
              <w:spacing w:after="0" w:line="240" w:lineRule="auto"/>
              <w:jc w:val="both"/>
              <w:rPr>
                <w:rFonts w:ascii="Times New Roman" w:hAnsi="Times New Roman"/>
                <w:sz w:val="24"/>
                <w:szCs w:val="24"/>
              </w:rPr>
            </w:pPr>
          </w:p>
          <w:p w:rsidR="007950B1" w:rsidRPr="00037467" w:rsidRDefault="007950B1"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The online collection of signatures for initiating referenda, </w:t>
            </w:r>
            <w:r w:rsidR="00540895" w:rsidRPr="00037467">
              <w:rPr>
                <w:rFonts w:ascii="Times New Roman" w:hAnsi="Times New Roman"/>
                <w:sz w:val="24"/>
                <w:szCs w:val="24"/>
              </w:rPr>
              <w:t>offer</w:t>
            </w:r>
            <w:r w:rsidRPr="00037467">
              <w:rPr>
                <w:rFonts w:ascii="Times New Roman" w:hAnsi="Times New Roman"/>
                <w:sz w:val="24"/>
                <w:szCs w:val="24"/>
              </w:rPr>
              <w:t xml:space="preserve">ed as an e-service </w:t>
            </w:r>
            <w:r w:rsidR="00540895" w:rsidRPr="00037467">
              <w:rPr>
                <w:rFonts w:ascii="Times New Roman" w:hAnsi="Times New Roman"/>
                <w:sz w:val="24"/>
                <w:szCs w:val="24"/>
              </w:rPr>
              <w:t>o</w:t>
            </w:r>
            <w:r w:rsidRPr="00037467">
              <w:rPr>
                <w:rFonts w:ascii="Times New Roman" w:hAnsi="Times New Roman"/>
                <w:sz w:val="24"/>
                <w:szCs w:val="24"/>
              </w:rPr>
              <w:t xml:space="preserve">n the </w:t>
            </w:r>
            <w:r w:rsidR="00540895" w:rsidRPr="00037467">
              <w:rPr>
                <w:rFonts w:ascii="Times New Roman" w:hAnsi="Times New Roman"/>
                <w:sz w:val="24"/>
                <w:szCs w:val="24"/>
              </w:rPr>
              <w:t>single state</w:t>
            </w:r>
            <w:r w:rsidRPr="00037467">
              <w:rPr>
                <w:rFonts w:ascii="Times New Roman" w:hAnsi="Times New Roman"/>
                <w:sz w:val="24"/>
                <w:szCs w:val="24"/>
              </w:rPr>
              <w:t xml:space="preserve"> and local government</w:t>
            </w:r>
            <w:r w:rsidR="00540895" w:rsidRPr="00037467">
              <w:rPr>
                <w:rFonts w:ascii="Times New Roman" w:hAnsi="Times New Roman"/>
                <w:sz w:val="24"/>
                <w:szCs w:val="24"/>
              </w:rPr>
              <w:t xml:space="preserve"> </w:t>
            </w:r>
            <w:r w:rsidRPr="00037467">
              <w:rPr>
                <w:rFonts w:ascii="Times New Roman" w:hAnsi="Times New Roman"/>
                <w:sz w:val="24"/>
                <w:szCs w:val="24"/>
              </w:rPr>
              <w:t xml:space="preserve">portal </w:t>
            </w:r>
            <w:hyperlink r:id="rId9" w:history="1">
              <w:r w:rsidR="00540895" w:rsidRPr="00037467">
                <w:rPr>
                  <w:rStyle w:val="Hyperlink"/>
                  <w:rFonts w:ascii="Times New Roman" w:hAnsi="Times New Roman"/>
                  <w:sz w:val="24"/>
                  <w:szCs w:val="24"/>
                </w:rPr>
                <w:t>www.latvija.lv</w:t>
              </w:r>
            </w:hyperlink>
            <w:r w:rsidRPr="00037467">
              <w:rPr>
                <w:rFonts w:ascii="Times New Roman" w:hAnsi="Times New Roman"/>
                <w:sz w:val="24"/>
                <w:szCs w:val="24"/>
              </w:rPr>
              <w:t xml:space="preserve">, aims at providing more convenient and widely accessible possibilities for taking part in the legislative and referendum initiatives, thereby making it easier for people, incl. those staying abroad, to directly participate in democratic processes in their country. </w:t>
            </w:r>
          </w:p>
          <w:p w:rsidR="00851871" w:rsidRPr="00037467" w:rsidRDefault="00851871" w:rsidP="00863E5E">
            <w:pPr>
              <w:autoSpaceDE w:val="0"/>
              <w:autoSpaceDN w:val="0"/>
              <w:adjustRightInd w:val="0"/>
              <w:spacing w:after="0" w:line="240" w:lineRule="auto"/>
              <w:jc w:val="both"/>
              <w:rPr>
                <w:rFonts w:ascii="Times New Roman" w:hAnsi="Times New Roman"/>
                <w:sz w:val="24"/>
                <w:szCs w:val="24"/>
              </w:rPr>
            </w:pPr>
          </w:p>
        </w:tc>
      </w:tr>
      <w:tr w:rsidR="001710A5" w:rsidRPr="00037467" w:rsidTr="00B93B15">
        <w:tc>
          <w:tcPr>
            <w:tcW w:w="3580" w:type="dxa"/>
            <w:gridSpan w:val="2"/>
            <w:tcBorders>
              <w:top w:val="single" w:sz="4" w:space="0" w:color="auto"/>
              <w:left w:val="single" w:sz="4" w:space="0" w:color="auto"/>
              <w:bottom w:val="single" w:sz="4" w:space="0" w:color="auto"/>
              <w:right w:val="single" w:sz="4" w:space="0" w:color="auto"/>
            </w:tcBorders>
            <w:hideMark/>
          </w:tcPr>
          <w:p w:rsidR="001710A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OGP challenge addressed by the commitment</w:t>
            </w:r>
          </w:p>
        </w:tc>
        <w:tc>
          <w:tcPr>
            <w:tcW w:w="5175" w:type="dxa"/>
            <w:gridSpan w:val="3"/>
            <w:tcBorders>
              <w:top w:val="single" w:sz="4" w:space="0" w:color="auto"/>
              <w:left w:val="single" w:sz="4" w:space="0" w:color="auto"/>
              <w:bottom w:val="single" w:sz="4" w:space="0" w:color="auto"/>
              <w:right w:val="single" w:sz="4" w:space="0" w:color="auto"/>
            </w:tcBorders>
          </w:tcPr>
          <w:p w:rsidR="001710A5" w:rsidRPr="00037467" w:rsidRDefault="001710A5" w:rsidP="00863E5E">
            <w:pPr>
              <w:spacing w:after="0" w:line="240" w:lineRule="auto"/>
              <w:rPr>
                <w:rFonts w:ascii="Times New Roman" w:hAnsi="Times New Roman"/>
                <w:sz w:val="24"/>
                <w:szCs w:val="24"/>
              </w:rPr>
            </w:pPr>
          </w:p>
        </w:tc>
      </w:tr>
      <w:tr w:rsidR="00B93B15" w:rsidRPr="00037467" w:rsidTr="00B93B15">
        <w:trPr>
          <w:trHeight w:val="105"/>
        </w:trPr>
        <w:tc>
          <w:tcPr>
            <w:tcW w:w="3580" w:type="dxa"/>
            <w:gridSpan w:val="2"/>
            <w:vMerge w:val="restart"/>
            <w:tcBorders>
              <w:top w:val="single" w:sz="4" w:space="0" w:color="auto"/>
              <w:left w:val="single" w:sz="4" w:space="0" w:color="auto"/>
              <w:bottom w:val="single" w:sz="4" w:space="0" w:color="auto"/>
              <w:right w:val="single" w:sz="4" w:space="0" w:color="auto"/>
            </w:tcBorders>
            <w:hideMark/>
          </w:tcPr>
          <w:p w:rsidR="00B93B15" w:rsidRPr="00037467" w:rsidRDefault="000272C2" w:rsidP="00863E5E">
            <w:pPr>
              <w:spacing w:after="0" w:line="240" w:lineRule="auto"/>
              <w:rPr>
                <w:rFonts w:ascii="Times New Roman" w:hAnsi="Times New Roman"/>
                <w:sz w:val="24"/>
                <w:szCs w:val="24"/>
              </w:rPr>
            </w:pPr>
            <w:r w:rsidRPr="00037467">
              <w:rPr>
                <w:rFonts w:ascii="Times New Roman" w:eastAsiaTheme="minorHAnsi" w:hAnsi="Times New Roman"/>
                <w:sz w:val="24"/>
                <w:szCs w:val="24"/>
              </w:rPr>
              <w:t>Is it relevant to the advancement of:</w:t>
            </w:r>
          </w:p>
        </w:tc>
        <w:tc>
          <w:tcPr>
            <w:tcW w:w="165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879"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1710A5" w:rsidRPr="00037467" w:rsidTr="00B93B15">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710A5" w:rsidRPr="00037467" w:rsidRDefault="001710A5" w:rsidP="00863E5E">
            <w:pPr>
              <w:spacing w:after="0" w:line="240" w:lineRule="auto"/>
              <w:rPr>
                <w:rFonts w:ascii="Times New Roman" w:hAnsi="Times New Roman"/>
                <w:sz w:val="24"/>
                <w:szCs w:val="24"/>
              </w:rPr>
            </w:pPr>
          </w:p>
        </w:tc>
        <w:tc>
          <w:tcPr>
            <w:tcW w:w="1653" w:type="dxa"/>
            <w:tcBorders>
              <w:top w:val="single" w:sz="4" w:space="0" w:color="auto"/>
              <w:left w:val="single" w:sz="4" w:space="0" w:color="auto"/>
              <w:bottom w:val="single" w:sz="4" w:space="0" w:color="auto"/>
              <w:right w:val="single" w:sz="4" w:space="0" w:color="auto"/>
            </w:tcBorders>
          </w:tcPr>
          <w:p w:rsidR="001710A5" w:rsidRPr="00037467" w:rsidRDefault="001710A5" w:rsidP="00863E5E">
            <w:pPr>
              <w:spacing w:after="0" w:line="240" w:lineRule="auto"/>
              <w:jc w:val="center"/>
              <w:rPr>
                <w:rFonts w:ascii="Times New Roman" w:hAnsi="Times New Roman"/>
                <w:sz w:val="24"/>
                <w:szCs w:val="24"/>
              </w:rPr>
            </w:pPr>
            <w:r w:rsidRPr="00037467">
              <w:rPr>
                <w:rFonts w:ascii="Times New Roman" w:hAnsi="Times New Roman"/>
                <w:sz w:val="24"/>
                <w:szCs w:val="24"/>
              </w:rPr>
              <w:t>X</w:t>
            </w:r>
          </w:p>
        </w:tc>
        <w:tc>
          <w:tcPr>
            <w:tcW w:w="1643" w:type="dxa"/>
            <w:tcBorders>
              <w:top w:val="single" w:sz="4" w:space="0" w:color="auto"/>
              <w:left w:val="single" w:sz="4" w:space="0" w:color="auto"/>
              <w:bottom w:val="single" w:sz="4" w:space="0" w:color="auto"/>
              <w:right w:val="single" w:sz="4" w:space="0" w:color="auto"/>
            </w:tcBorders>
            <w:vAlign w:val="center"/>
          </w:tcPr>
          <w:p w:rsidR="001710A5" w:rsidRPr="00037467" w:rsidRDefault="001710A5" w:rsidP="00863E5E">
            <w:pPr>
              <w:spacing w:after="0" w:line="240" w:lineRule="auto"/>
              <w:jc w:val="center"/>
              <w:rPr>
                <w:rFonts w:ascii="Times New Roman" w:hAnsi="Times New Roman"/>
                <w:sz w:val="24"/>
                <w:szCs w:val="24"/>
              </w:rPr>
            </w:pPr>
          </w:p>
        </w:tc>
        <w:tc>
          <w:tcPr>
            <w:tcW w:w="1879" w:type="dxa"/>
            <w:tcBorders>
              <w:top w:val="single" w:sz="4" w:space="0" w:color="auto"/>
              <w:left w:val="single" w:sz="4" w:space="0" w:color="auto"/>
              <w:bottom w:val="single" w:sz="4" w:space="0" w:color="auto"/>
              <w:right w:val="single" w:sz="4" w:space="0" w:color="auto"/>
            </w:tcBorders>
          </w:tcPr>
          <w:p w:rsidR="001710A5" w:rsidRPr="00037467" w:rsidRDefault="001710A5" w:rsidP="00863E5E">
            <w:pPr>
              <w:spacing w:after="0" w:line="240" w:lineRule="auto"/>
              <w:jc w:val="center"/>
              <w:rPr>
                <w:rFonts w:ascii="Times New Roman" w:hAnsi="Times New Roman"/>
                <w:sz w:val="24"/>
                <w:szCs w:val="24"/>
              </w:rPr>
            </w:pPr>
            <w:r w:rsidRPr="00037467">
              <w:rPr>
                <w:rFonts w:ascii="Times New Roman" w:hAnsi="Times New Roman"/>
                <w:sz w:val="24"/>
                <w:szCs w:val="24"/>
              </w:rPr>
              <w:t>X</w:t>
            </w:r>
          </w:p>
        </w:tc>
      </w:tr>
      <w:tr w:rsidR="00B93B15" w:rsidRPr="00037467" w:rsidTr="00B93B15">
        <w:trPr>
          <w:trHeight w:val="677"/>
        </w:trPr>
        <w:tc>
          <w:tcPr>
            <w:tcW w:w="3580" w:type="dxa"/>
            <w:gridSpan w:val="2"/>
            <w:tcBorders>
              <w:top w:val="single" w:sz="4" w:space="0" w:color="auto"/>
              <w:left w:val="single" w:sz="4" w:space="0" w:color="auto"/>
              <w:bottom w:val="single" w:sz="4" w:space="0" w:color="auto"/>
              <w:right w:val="single" w:sz="4" w:space="0" w:color="auto"/>
            </w:tcBorders>
          </w:tcPr>
          <w:p w:rsidR="00B93B15"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B93B15"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B93B15" w:rsidRPr="00037467">
              <w:rPr>
                <w:rFonts w:ascii="Times New Roman" w:hAnsi="Times New Roman" w:cs="Times New Roman"/>
                <w:sz w:val="24"/>
                <w:szCs w:val="24"/>
                <w:lang w:val="en-GB"/>
              </w:rPr>
              <w:t xml:space="preserve"> the commitment:</w:t>
            </w:r>
          </w:p>
          <w:p w:rsidR="00B93B15" w:rsidRPr="00037467" w:rsidRDefault="00B93B15" w:rsidP="00863E5E">
            <w:pPr>
              <w:pStyle w:val="NoSpacing"/>
              <w:rPr>
                <w:rFonts w:ascii="Times New Roman" w:hAnsi="Times New Roman" w:cs="Times New Roman"/>
                <w:sz w:val="24"/>
                <w:szCs w:val="24"/>
                <w:lang w:val="en-GB"/>
              </w:rPr>
            </w:pPr>
          </w:p>
        </w:tc>
        <w:tc>
          <w:tcPr>
            <w:tcW w:w="1653" w:type="dxa"/>
            <w:tcBorders>
              <w:top w:val="single" w:sz="4" w:space="0" w:color="auto"/>
              <w:left w:val="single" w:sz="4" w:space="0" w:color="auto"/>
              <w:bottom w:val="single" w:sz="4" w:space="0" w:color="auto"/>
              <w:right w:val="single" w:sz="4"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879"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1710A5" w:rsidRPr="00037467" w:rsidTr="00B93B15">
        <w:trPr>
          <w:trHeight w:val="416"/>
        </w:trPr>
        <w:tc>
          <w:tcPr>
            <w:tcW w:w="3580" w:type="dxa"/>
            <w:gridSpan w:val="2"/>
            <w:tcBorders>
              <w:top w:val="single" w:sz="4" w:space="0" w:color="auto"/>
              <w:left w:val="single" w:sz="4" w:space="0" w:color="auto"/>
              <w:bottom w:val="single" w:sz="4" w:space="0" w:color="auto"/>
              <w:right w:val="single" w:sz="4" w:space="0" w:color="auto"/>
            </w:tcBorders>
          </w:tcPr>
          <w:p w:rsidR="001710A5" w:rsidRPr="00037467" w:rsidRDefault="007950B1" w:rsidP="00863E5E">
            <w:pPr>
              <w:pStyle w:val="ListParagraph"/>
              <w:numPr>
                <w:ilvl w:val="0"/>
                <w:numId w:val="6"/>
              </w:numPr>
              <w:spacing w:after="0" w:line="240" w:lineRule="auto"/>
              <w:rPr>
                <w:rFonts w:ascii="Times New Roman" w:hAnsi="Times New Roman"/>
                <w:sz w:val="24"/>
                <w:szCs w:val="24"/>
              </w:rPr>
            </w:pPr>
            <w:r w:rsidRPr="00037467">
              <w:rPr>
                <w:rFonts w:ascii="Times New Roman" w:hAnsi="Times New Roman"/>
                <w:sz w:val="24"/>
                <w:szCs w:val="24"/>
              </w:rPr>
              <w:t xml:space="preserve">Cabinet of Ministers Regulations No </w:t>
            </w:r>
            <w:r w:rsidR="001710A5" w:rsidRPr="00037467">
              <w:rPr>
                <w:rFonts w:ascii="Times New Roman" w:hAnsi="Times New Roman"/>
                <w:sz w:val="24"/>
                <w:szCs w:val="24"/>
              </w:rPr>
              <w:t xml:space="preserve">471 </w:t>
            </w:r>
            <w:r w:rsidRPr="00037467">
              <w:rPr>
                <w:rFonts w:ascii="Times New Roman" w:hAnsi="Times New Roman"/>
                <w:sz w:val="24"/>
                <w:szCs w:val="24"/>
              </w:rPr>
              <w:t>“Security and technical requirements for signature collection online systems”</w:t>
            </w:r>
            <w:r w:rsidR="001710A5" w:rsidRPr="00037467">
              <w:rPr>
                <w:rFonts w:ascii="Times New Roman" w:hAnsi="Times New Roman"/>
                <w:sz w:val="24"/>
                <w:szCs w:val="24"/>
              </w:rPr>
              <w:t xml:space="preserve"> </w:t>
            </w:r>
          </w:p>
          <w:p w:rsidR="001710A5" w:rsidRPr="00037467" w:rsidRDefault="001710A5" w:rsidP="00863E5E">
            <w:pPr>
              <w:pStyle w:val="ListParagraph"/>
              <w:spacing w:after="0" w:line="240" w:lineRule="auto"/>
              <w:rPr>
                <w:rFonts w:ascii="Times New Roman" w:hAnsi="Times New Roman"/>
                <w:sz w:val="24"/>
                <w:szCs w:val="24"/>
              </w:rPr>
            </w:pPr>
          </w:p>
          <w:p w:rsidR="001710A5" w:rsidRPr="00037467" w:rsidRDefault="00540895" w:rsidP="00863E5E">
            <w:pPr>
              <w:pStyle w:val="ListParagraph"/>
              <w:numPr>
                <w:ilvl w:val="0"/>
                <w:numId w:val="6"/>
              </w:numPr>
              <w:spacing w:after="0" w:line="240" w:lineRule="auto"/>
              <w:rPr>
                <w:rFonts w:ascii="Times New Roman" w:hAnsi="Times New Roman"/>
                <w:sz w:val="24"/>
                <w:szCs w:val="24"/>
              </w:rPr>
            </w:pPr>
            <w:r w:rsidRPr="00037467">
              <w:rPr>
                <w:rFonts w:ascii="Times New Roman" w:hAnsi="Times New Roman"/>
                <w:sz w:val="24"/>
                <w:szCs w:val="24"/>
              </w:rPr>
              <w:t xml:space="preserve">The new service is offered on the single state and local government </w:t>
            </w:r>
            <w:hyperlink r:id="rId10" w:history="1">
              <w:r w:rsidR="001710A5" w:rsidRPr="00037467">
                <w:rPr>
                  <w:rStyle w:val="Hyperlink"/>
                  <w:rFonts w:ascii="Times New Roman" w:hAnsi="Times New Roman"/>
                  <w:sz w:val="24"/>
                  <w:szCs w:val="24"/>
                </w:rPr>
                <w:t>www.latvija.lv</w:t>
              </w:r>
            </w:hyperlink>
          </w:p>
          <w:p w:rsidR="001710A5" w:rsidRPr="00037467" w:rsidRDefault="001710A5" w:rsidP="00863E5E">
            <w:pPr>
              <w:pStyle w:val="ListParagraph"/>
              <w:spacing w:after="0" w:line="240" w:lineRule="auto"/>
              <w:rPr>
                <w:rFonts w:ascii="Times New Roman" w:hAnsi="Times New Roman"/>
                <w:sz w:val="24"/>
                <w:szCs w:val="24"/>
              </w:rPr>
            </w:pPr>
          </w:p>
          <w:p w:rsidR="001710A5" w:rsidRPr="00037467" w:rsidRDefault="00540895" w:rsidP="00863E5E">
            <w:pPr>
              <w:pStyle w:val="ListParagraph"/>
              <w:numPr>
                <w:ilvl w:val="0"/>
                <w:numId w:val="6"/>
              </w:numPr>
              <w:spacing w:after="0" w:line="240" w:lineRule="auto"/>
              <w:rPr>
                <w:rFonts w:ascii="Times New Roman" w:hAnsi="Times New Roman"/>
                <w:sz w:val="24"/>
                <w:szCs w:val="24"/>
              </w:rPr>
            </w:pPr>
            <w:r w:rsidRPr="00037467">
              <w:rPr>
                <w:rFonts w:ascii="Times New Roman" w:hAnsi="Times New Roman"/>
                <w:sz w:val="24"/>
                <w:szCs w:val="24"/>
              </w:rPr>
              <w:t>Monitoring the intensity of use of the new service</w:t>
            </w:r>
          </w:p>
        </w:tc>
        <w:tc>
          <w:tcPr>
            <w:tcW w:w="1653" w:type="dxa"/>
            <w:tcBorders>
              <w:top w:val="single" w:sz="4" w:space="0" w:color="auto"/>
              <w:left w:val="single" w:sz="4" w:space="0" w:color="auto"/>
              <w:bottom w:val="single" w:sz="4" w:space="0" w:color="auto"/>
              <w:right w:val="single" w:sz="4" w:space="0" w:color="auto"/>
            </w:tcBorders>
          </w:tcPr>
          <w:p w:rsidR="001710A5" w:rsidRPr="00037467" w:rsidRDefault="001710A5" w:rsidP="00863E5E">
            <w:pPr>
              <w:spacing w:after="0" w:line="240" w:lineRule="auto"/>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1710A5" w:rsidRPr="00037467" w:rsidRDefault="00851871" w:rsidP="00863E5E">
            <w:pPr>
              <w:spacing w:after="0" w:line="240" w:lineRule="auto"/>
              <w:rPr>
                <w:rFonts w:ascii="Times New Roman" w:hAnsi="Times New Roman"/>
                <w:sz w:val="24"/>
                <w:szCs w:val="24"/>
              </w:rPr>
            </w:pPr>
            <w:r w:rsidRPr="00037467">
              <w:rPr>
                <w:rFonts w:ascii="Times New Roman" w:hAnsi="Times New Roman"/>
                <w:sz w:val="24"/>
                <w:szCs w:val="24"/>
              </w:rPr>
              <w:t xml:space="preserve">8 November </w:t>
            </w:r>
            <w:r w:rsidR="001710A5" w:rsidRPr="00037467">
              <w:rPr>
                <w:rFonts w:ascii="Times New Roman" w:hAnsi="Times New Roman"/>
                <w:sz w:val="24"/>
                <w:szCs w:val="24"/>
              </w:rPr>
              <w:t xml:space="preserve">2012 </w:t>
            </w: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540895" w:rsidRPr="00037467" w:rsidRDefault="00540895" w:rsidP="00863E5E">
            <w:pPr>
              <w:spacing w:after="0" w:line="240" w:lineRule="auto"/>
              <w:rPr>
                <w:rFonts w:ascii="Times New Roman" w:hAnsi="Times New Roman"/>
                <w:sz w:val="24"/>
                <w:szCs w:val="24"/>
              </w:rPr>
            </w:pPr>
          </w:p>
          <w:p w:rsidR="001710A5" w:rsidRPr="00037467" w:rsidRDefault="007950B1" w:rsidP="00863E5E">
            <w:pPr>
              <w:spacing w:after="0" w:line="240" w:lineRule="auto"/>
              <w:rPr>
                <w:rFonts w:ascii="Times New Roman" w:hAnsi="Times New Roman"/>
                <w:sz w:val="24"/>
                <w:szCs w:val="24"/>
              </w:rPr>
            </w:pPr>
            <w:r w:rsidRPr="00037467">
              <w:rPr>
                <w:rFonts w:ascii="Times New Roman" w:hAnsi="Times New Roman"/>
                <w:sz w:val="24"/>
                <w:szCs w:val="24"/>
              </w:rPr>
              <w:t xml:space="preserve">September </w:t>
            </w:r>
            <w:r w:rsidR="001710A5" w:rsidRPr="00037467">
              <w:rPr>
                <w:rFonts w:ascii="Times New Roman" w:hAnsi="Times New Roman"/>
                <w:sz w:val="24"/>
                <w:szCs w:val="24"/>
              </w:rPr>
              <w:t>2014</w:t>
            </w: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7950B1" w:rsidRPr="00037467" w:rsidRDefault="001710A5" w:rsidP="00863E5E">
            <w:pPr>
              <w:spacing w:after="0" w:line="240" w:lineRule="auto"/>
              <w:rPr>
                <w:rFonts w:ascii="Times New Roman" w:hAnsi="Times New Roman"/>
                <w:sz w:val="24"/>
                <w:szCs w:val="24"/>
              </w:rPr>
            </w:pPr>
            <w:r w:rsidRPr="00037467">
              <w:rPr>
                <w:rFonts w:ascii="Times New Roman" w:hAnsi="Times New Roman"/>
                <w:sz w:val="24"/>
                <w:szCs w:val="24"/>
              </w:rPr>
              <w:br/>
            </w:r>
            <w:r w:rsidR="007950B1" w:rsidRPr="00037467">
              <w:rPr>
                <w:rFonts w:ascii="Times New Roman" w:hAnsi="Times New Roman"/>
                <w:sz w:val="24"/>
                <w:szCs w:val="24"/>
              </w:rPr>
              <w:t>1 January 2015</w:t>
            </w:r>
          </w:p>
          <w:p w:rsidR="001710A5" w:rsidRPr="00037467" w:rsidRDefault="001710A5" w:rsidP="00863E5E">
            <w:pPr>
              <w:spacing w:after="0" w:line="240" w:lineRule="auto"/>
              <w:rPr>
                <w:rFonts w:ascii="Times New Roman" w:hAnsi="Times New Roman"/>
                <w:sz w:val="24"/>
                <w:szCs w:val="24"/>
              </w:rPr>
            </w:pPr>
            <w:r w:rsidRPr="00037467">
              <w:rPr>
                <w:rFonts w:ascii="Times New Roman" w:hAnsi="Times New Roman"/>
                <w:sz w:val="24"/>
                <w:szCs w:val="24"/>
              </w:rPr>
              <w:br/>
            </w:r>
          </w:p>
        </w:tc>
        <w:tc>
          <w:tcPr>
            <w:tcW w:w="1879" w:type="dxa"/>
            <w:tcBorders>
              <w:top w:val="single" w:sz="4" w:space="0" w:color="auto"/>
              <w:left w:val="single" w:sz="4" w:space="0" w:color="auto"/>
              <w:bottom w:val="single" w:sz="4" w:space="0" w:color="auto"/>
              <w:right w:val="single" w:sz="4" w:space="0" w:color="auto"/>
            </w:tcBorders>
          </w:tcPr>
          <w:p w:rsidR="001710A5" w:rsidRPr="00037467" w:rsidRDefault="00851871" w:rsidP="00863E5E">
            <w:pPr>
              <w:spacing w:after="0" w:line="240" w:lineRule="auto"/>
              <w:rPr>
                <w:rFonts w:ascii="Times New Roman" w:hAnsi="Times New Roman"/>
                <w:sz w:val="24"/>
                <w:szCs w:val="24"/>
              </w:rPr>
            </w:pPr>
            <w:r w:rsidRPr="00037467">
              <w:rPr>
                <w:rFonts w:ascii="Times New Roman" w:hAnsi="Times New Roman"/>
                <w:sz w:val="24"/>
                <w:szCs w:val="24"/>
              </w:rPr>
              <w:t xml:space="preserve">22 August </w:t>
            </w:r>
            <w:r w:rsidR="001710A5" w:rsidRPr="00037467">
              <w:rPr>
                <w:rFonts w:ascii="Times New Roman" w:hAnsi="Times New Roman"/>
                <w:sz w:val="24"/>
                <w:szCs w:val="24"/>
              </w:rPr>
              <w:t>2014</w:t>
            </w: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7950B1" w:rsidRPr="00037467" w:rsidRDefault="007950B1" w:rsidP="00863E5E">
            <w:pPr>
              <w:spacing w:after="0" w:line="240" w:lineRule="auto"/>
              <w:rPr>
                <w:rFonts w:ascii="Times New Roman" w:hAnsi="Times New Roman"/>
                <w:sz w:val="24"/>
                <w:szCs w:val="24"/>
              </w:rPr>
            </w:pPr>
          </w:p>
          <w:p w:rsidR="00540895" w:rsidRPr="00037467" w:rsidRDefault="00540895" w:rsidP="00863E5E">
            <w:pPr>
              <w:spacing w:after="0" w:line="240" w:lineRule="auto"/>
              <w:rPr>
                <w:rFonts w:ascii="Times New Roman" w:hAnsi="Times New Roman"/>
                <w:sz w:val="24"/>
                <w:szCs w:val="24"/>
              </w:rPr>
            </w:pPr>
          </w:p>
          <w:p w:rsidR="001710A5" w:rsidRPr="00037467" w:rsidRDefault="007950B1" w:rsidP="00863E5E">
            <w:pPr>
              <w:spacing w:after="0" w:line="240" w:lineRule="auto"/>
              <w:rPr>
                <w:rFonts w:ascii="Times New Roman" w:hAnsi="Times New Roman"/>
                <w:sz w:val="24"/>
                <w:szCs w:val="24"/>
              </w:rPr>
            </w:pPr>
            <w:r w:rsidRPr="00037467">
              <w:rPr>
                <w:rFonts w:ascii="Times New Roman" w:hAnsi="Times New Roman"/>
                <w:sz w:val="24"/>
                <w:szCs w:val="24"/>
              </w:rPr>
              <w:t xml:space="preserve">1 January </w:t>
            </w:r>
            <w:r w:rsidR="001710A5" w:rsidRPr="00037467">
              <w:rPr>
                <w:rFonts w:ascii="Times New Roman" w:hAnsi="Times New Roman"/>
                <w:sz w:val="24"/>
                <w:szCs w:val="24"/>
              </w:rPr>
              <w:t>2015</w:t>
            </w: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1710A5" w:rsidRPr="00037467" w:rsidRDefault="001710A5" w:rsidP="00863E5E">
            <w:pPr>
              <w:spacing w:after="0" w:line="240" w:lineRule="auto"/>
              <w:rPr>
                <w:rFonts w:ascii="Times New Roman" w:hAnsi="Times New Roman"/>
                <w:sz w:val="24"/>
                <w:szCs w:val="24"/>
              </w:rPr>
            </w:pPr>
          </w:p>
          <w:p w:rsidR="001710A5" w:rsidRPr="00037467" w:rsidRDefault="007950B1" w:rsidP="00863E5E">
            <w:pPr>
              <w:spacing w:after="0" w:line="240" w:lineRule="auto"/>
              <w:rPr>
                <w:rFonts w:ascii="Times New Roman" w:hAnsi="Times New Roman"/>
                <w:sz w:val="24"/>
                <w:szCs w:val="24"/>
              </w:rPr>
            </w:pPr>
            <w:r w:rsidRPr="00037467">
              <w:rPr>
                <w:rFonts w:ascii="Times New Roman" w:hAnsi="Times New Roman"/>
                <w:sz w:val="24"/>
                <w:szCs w:val="24"/>
              </w:rPr>
              <w:t>On a regular basis</w:t>
            </w:r>
            <w:r w:rsidR="001710A5" w:rsidRPr="00037467">
              <w:rPr>
                <w:rFonts w:ascii="Times New Roman" w:hAnsi="Times New Roman"/>
                <w:sz w:val="24"/>
                <w:szCs w:val="24"/>
              </w:rPr>
              <w:t xml:space="preserve"> </w:t>
            </w:r>
          </w:p>
        </w:tc>
      </w:tr>
    </w:tbl>
    <w:p w:rsidR="001710A5" w:rsidRPr="00037467" w:rsidRDefault="001710A5" w:rsidP="00863E5E">
      <w:pPr>
        <w:spacing w:after="0" w:line="240" w:lineRule="auto"/>
        <w:rPr>
          <w:rFonts w:ascii="Times New Roman" w:hAnsi="Times New Roman"/>
          <w:sz w:val="24"/>
          <w:szCs w:val="24"/>
        </w:rPr>
      </w:pPr>
    </w:p>
    <w:p w:rsidR="00DE126C" w:rsidRPr="00037467" w:rsidRDefault="00DE126C" w:rsidP="00863E5E">
      <w:pPr>
        <w:spacing w:after="0" w:line="240" w:lineRule="auto"/>
        <w:rPr>
          <w:rFonts w:ascii="Times New Roman" w:hAnsi="Times New Roman"/>
          <w:sz w:val="24"/>
          <w:szCs w:val="24"/>
        </w:rPr>
      </w:pPr>
    </w:p>
    <w:tbl>
      <w:tblPr>
        <w:tblW w:w="8793" w:type="dxa"/>
        <w:tblCellMar>
          <w:left w:w="0" w:type="dxa"/>
          <w:right w:w="0" w:type="dxa"/>
        </w:tblCellMar>
        <w:tblLook w:val="04A0" w:firstRow="1" w:lastRow="0" w:firstColumn="1" w:lastColumn="0" w:noHBand="0" w:noVBand="1"/>
      </w:tblPr>
      <w:tblGrid>
        <w:gridCol w:w="2019"/>
        <w:gridCol w:w="2036"/>
        <w:gridCol w:w="1635"/>
        <w:gridCol w:w="6"/>
        <w:gridCol w:w="1643"/>
        <w:gridCol w:w="1454"/>
      </w:tblGrid>
      <w:tr w:rsidR="00962EB3" w:rsidRPr="00037467" w:rsidTr="00962EB3">
        <w:tc>
          <w:tcPr>
            <w:tcW w:w="8793"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540895" w:rsidP="00863E5E">
            <w:pPr>
              <w:spacing w:after="0" w:line="240" w:lineRule="auto"/>
              <w:jc w:val="center"/>
              <w:rPr>
                <w:rFonts w:ascii="Times New Roman" w:hAnsi="Times New Roman"/>
                <w:sz w:val="24"/>
                <w:szCs w:val="24"/>
              </w:rPr>
            </w:pPr>
            <w:r w:rsidRPr="00037467">
              <w:rPr>
                <w:rFonts w:ascii="Times New Roman" w:hAnsi="Times New Roman"/>
                <w:sz w:val="24"/>
                <w:szCs w:val="24"/>
              </w:rPr>
              <w:t>Commitment</w:t>
            </w:r>
          </w:p>
        </w:tc>
      </w:tr>
      <w:tr w:rsidR="00962EB3" w:rsidRPr="00037467" w:rsidTr="00962EB3">
        <w:tc>
          <w:tcPr>
            <w:tcW w:w="879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40895" w:rsidRPr="00037467" w:rsidRDefault="00A9410F" w:rsidP="00863E5E">
            <w:pPr>
              <w:spacing w:after="0" w:line="240" w:lineRule="auto"/>
              <w:jc w:val="center"/>
              <w:rPr>
                <w:rFonts w:ascii="Times New Roman" w:hAnsi="Times New Roman"/>
                <w:b/>
                <w:bCs/>
                <w:sz w:val="24"/>
                <w:szCs w:val="24"/>
              </w:rPr>
            </w:pPr>
            <w:r>
              <w:rPr>
                <w:rFonts w:ascii="Times New Roman" w:hAnsi="Times New Roman"/>
                <w:b/>
                <w:sz w:val="24"/>
                <w:szCs w:val="24"/>
              </w:rPr>
              <w:t>8</w:t>
            </w:r>
            <w:r w:rsidR="00964A0D" w:rsidRPr="00037467">
              <w:rPr>
                <w:rFonts w:ascii="Times New Roman" w:hAnsi="Times New Roman"/>
                <w:b/>
                <w:sz w:val="24"/>
                <w:szCs w:val="24"/>
              </w:rPr>
              <w:t xml:space="preserve">. </w:t>
            </w:r>
            <w:r w:rsidR="002716CE">
              <w:rPr>
                <w:rFonts w:ascii="Times New Roman" w:hAnsi="Times New Roman"/>
                <w:b/>
                <w:bCs/>
                <w:sz w:val="24"/>
                <w:szCs w:val="24"/>
              </w:rPr>
              <w:t>Draft law</w:t>
            </w:r>
            <w:r w:rsidR="00112F2E" w:rsidRPr="00037467">
              <w:rPr>
                <w:rFonts w:ascii="Times New Roman" w:hAnsi="Times New Roman"/>
                <w:b/>
                <w:bCs/>
                <w:sz w:val="24"/>
                <w:szCs w:val="24"/>
              </w:rPr>
              <w:t xml:space="preserve"> on the Protection of Whistleb</w:t>
            </w:r>
            <w:r w:rsidR="00540895" w:rsidRPr="00037467">
              <w:rPr>
                <w:rFonts w:ascii="Times New Roman" w:hAnsi="Times New Roman"/>
                <w:b/>
                <w:bCs/>
                <w:sz w:val="24"/>
                <w:szCs w:val="24"/>
              </w:rPr>
              <w:t>lowers</w:t>
            </w:r>
          </w:p>
          <w:p w:rsidR="00540895" w:rsidRPr="00037467" w:rsidRDefault="00540895" w:rsidP="00863E5E">
            <w:pPr>
              <w:spacing w:after="0" w:line="240" w:lineRule="auto"/>
              <w:jc w:val="center"/>
              <w:rPr>
                <w:rFonts w:ascii="Times New Roman" w:hAnsi="Times New Roman"/>
                <w:sz w:val="24"/>
                <w:szCs w:val="24"/>
              </w:rPr>
            </w:pPr>
            <w:r w:rsidRPr="00037467">
              <w:rPr>
                <w:rFonts w:ascii="Times New Roman" w:hAnsi="Times New Roman"/>
                <w:sz w:val="24"/>
                <w:szCs w:val="24"/>
              </w:rPr>
              <w:t>Active civil society</w:t>
            </w:r>
            <w:r w:rsidR="003D0203" w:rsidRPr="00037467">
              <w:rPr>
                <w:rFonts w:ascii="Times New Roman" w:hAnsi="Times New Roman"/>
                <w:sz w:val="24"/>
                <w:szCs w:val="24"/>
              </w:rPr>
              <w:t xml:space="preserve">, </w:t>
            </w:r>
            <w:r w:rsidRPr="00037467">
              <w:rPr>
                <w:rFonts w:ascii="Times New Roman" w:hAnsi="Times New Roman"/>
                <w:sz w:val="24"/>
                <w:szCs w:val="24"/>
              </w:rPr>
              <w:t>reducing the number of cases of the so-called “stealing the state”</w:t>
            </w:r>
          </w:p>
        </w:tc>
      </w:tr>
      <w:tr w:rsidR="00D45664"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962EB3" w:rsidP="00863E5E">
            <w:pPr>
              <w:spacing w:after="0" w:line="240" w:lineRule="auto"/>
              <w:rPr>
                <w:rFonts w:ascii="Times New Roman" w:hAnsi="Times New Roman"/>
                <w:sz w:val="24"/>
                <w:szCs w:val="24"/>
              </w:rPr>
            </w:pPr>
            <w:r w:rsidRPr="00037467">
              <w:rPr>
                <w:rFonts w:ascii="Times New Roman" w:hAnsi="Times New Roman"/>
                <w:sz w:val="24"/>
                <w:szCs w:val="24"/>
              </w:rPr>
              <w:t> </w:t>
            </w:r>
            <w:r w:rsidR="00B93B15" w:rsidRPr="00037467">
              <w:rPr>
                <w:rFonts w:ascii="Times New Roman" w:hAnsi="Times New Roman"/>
                <w:sz w:val="24"/>
                <w:szCs w:val="24"/>
              </w:rPr>
              <w:t>Lead agency</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62EB3" w:rsidRPr="00037467" w:rsidRDefault="00D45664" w:rsidP="00863E5E">
            <w:pPr>
              <w:spacing w:after="0" w:line="240" w:lineRule="auto"/>
              <w:rPr>
                <w:rFonts w:ascii="Times New Roman" w:hAnsi="Times New Roman"/>
                <w:sz w:val="24"/>
                <w:szCs w:val="24"/>
              </w:rPr>
            </w:pPr>
            <w:r w:rsidRPr="00037467">
              <w:rPr>
                <w:rFonts w:ascii="Times New Roman" w:hAnsi="Times New Roman"/>
                <w:sz w:val="24"/>
                <w:szCs w:val="24"/>
              </w:rPr>
              <w:t>State Chancellery</w:t>
            </w:r>
          </w:p>
        </w:tc>
      </w:tr>
      <w:tr w:rsidR="00D45664" w:rsidRPr="00037467" w:rsidTr="00B93B15">
        <w:trPr>
          <w:trHeight w:val="105"/>
        </w:trPr>
        <w:tc>
          <w:tcPr>
            <w:tcW w:w="20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tcPr>
          <w:p w:rsidR="00B93B15" w:rsidRPr="00037467" w:rsidRDefault="00D45664" w:rsidP="00863E5E">
            <w:pPr>
              <w:spacing w:after="0" w:line="240" w:lineRule="auto"/>
              <w:rPr>
                <w:rFonts w:ascii="Times New Roman" w:hAnsi="Times New Roman"/>
                <w:sz w:val="24"/>
                <w:szCs w:val="24"/>
              </w:rPr>
            </w:pPr>
            <w:r w:rsidRPr="00037467">
              <w:rPr>
                <w:rFonts w:ascii="Times New Roman" w:hAnsi="Times New Roman"/>
                <w:sz w:val="24"/>
                <w:szCs w:val="24"/>
              </w:rPr>
              <w:t>Ministry of Justice, Ministry of the Interior, Ministry of Welfare, Supreme Court, Prosecutor General’s Office</w:t>
            </w:r>
            <w:r w:rsidR="00B93B15" w:rsidRPr="00037467">
              <w:rPr>
                <w:rFonts w:ascii="Times New Roman" w:hAnsi="Times New Roman"/>
                <w:sz w:val="24"/>
                <w:szCs w:val="24"/>
              </w:rPr>
              <w:t xml:space="preserve"> </w:t>
            </w:r>
          </w:p>
        </w:tc>
      </w:tr>
      <w:tr w:rsidR="00D45664" w:rsidRPr="00037467" w:rsidTr="00B93B15">
        <w:trPr>
          <w:trHeight w:val="105"/>
        </w:trPr>
        <w:tc>
          <w:tcPr>
            <w:tcW w:w="0" w:type="auto"/>
            <w:vMerge/>
            <w:tcBorders>
              <w:top w:val="nil"/>
              <w:left w:val="single" w:sz="8" w:space="0" w:color="auto"/>
              <w:bottom w:val="single" w:sz="8" w:space="0" w:color="auto"/>
              <w:right w:val="single" w:sz="8" w:space="0" w:color="auto"/>
            </w:tcBorders>
            <w:vAlign w:val="center"/>
            <w:hideMark/>
          </w:tcPr>
          <w:p w:rsidR="00B93B15" w:rsidRPr="00037467" w:rsidRDefault="00B93B15" w:rsidP="00863E5E">
            <w:pPr>
              <w:spacing w:after="0" w:line="240" w:lineRule="auto"/>
              <w:rPr>
                <w:rFonts w:ascii="Times New Roman" w:hAnsi="Times New Roman"/>
                <w:sz w:val="24"/>
                <w:szCs w:val="24"/>
              </w:rPr>
            </w:pP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Civil Society, Private Sector</w:t>
            </w:r>
          </w:p>
        </w:tc>
        <w:tc>
          <w:tcPr>
            <w:tcW w:w="0" w:type="auto"/>
            <w:gridSpan w:val="4"/>
            <w:tcBorders>
              <w:top w:val="nil"/>
              <w:left w:val="nil"/>
              <w:bottom w:val="single" w:sz="8" w:space="0" w:color="auto"/>
              <w:right w:val="single" w:sz="8" w:space="0" w:color="auto"/>
            </w:tcBorders>
            <w:vAlign w:val="center"/>
            <w:hideMark/>
          </w:tcPr>
          <w:p w:rsidR="00D45664" w:rsidRPr="00037467" w:rsidRDefault="00D45664" w:rsidP="00863E5E">
            <w:pPr>
              <w:spacing w:after="0" w:line="240" w:lineRule="auto"/>
              <w:ind w:left="121"/>
              <w:rPr>
                <w:rFonts w:ascii="Times New Roman" w:hAnsi="Times New Roman"/>
                <w:sz w:val="24"/>
                <w:szCs w:val="24"/>
              </w:rPr>
            </w:pPr>
            <w:r w:rsidRPr="00037467">
              <w:rPr>
                <w:rFonts w:ascii="Times New Roman" w:hAnsi="Times New Roman"/>
                <w:sz w:val="24"/>
                <w:szCs w:val="24"/>
              </w:rPr>
              <w:t>NGO Delna</w:t>
            </w:r>
          </w:p>
          <w:p w:rsidR="00D45664" w:rsidRPr="00037467" w:rsidRDefault="00D45664" w:rsidP="00863E5E">
            <w:pPr>
              <w:spacing w:after="0" w:line="240" w:lineRule="auto"/>
              <w:ind w:left="121"/>
              <w:rPr>
                <w:rFonts w:ascii="Times New Roman" w:hAnsi="Times New Roman"/>
                <w:sz w:val="24"/>
                <w:szCs w:val="24"/>
              </w:rPr>
            </w:pPr>
            <w:r w:rsidRPr="00037467">
              <w:rPr>
                <w:rFonts w:ascii="Times New Roman" w:hAnsi="Times New Roman"/>
                <w:sz w:val="24"/>
                <w:szCs w:val="24"/>
              </w:rPr>
              <w:t xml:space="preserve">Free Trade Unions Organisation of Latvia  </w:t>
            </w:r>
          </w:p>
          <w:p w:rsidR="00B93B15" w:rsidRPr="00037467" w:rsidRDefault="00B93B15" w:rsidP="00863E5E">
            <w:pPr>
              <w:spacing w:after="0" w:line="240" w:lineRule="auto"/>
              <w:rPr>
                <w:rFonts w:ascii="Times New Roman" w:hAnsi="Times New Roman"/>
                <w:sz w:val="24"/>
                <w:szCs w:val="24"/>
              </w:rPr>
            </w:pPr>
          </w:p>
        </w:tc>
      </w:tr>
      <w:tr w:rsidR="00D45664"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 xml:space="preserve">Status quo or problem/issue to be </w:t>
            </w:r>
            <w:r w:rsidRPr="00037467">
              <w:rPr>
                <w:rFonts w:ascii="Times New Roman" w:hAnsi="Times New Roman"/>
                <w:sz w:val="24"/>
                <w:szCs w:val="24"/>
              </w:rPr>
              <w:lastRenderedPageBreak/>
              <w:t>addressed</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540895" w:rsidRPr="00037467" w:rsidRDefault="00540895" w:rsidP="00863E5E">
            <w:pPr>
              <w:spacing w:after="0" w:line="240" w:lineRule="auto"/>
              <w:rPr>
                <w:rFonts w:ascii="Times New Roman" w:hAnsi="Times New Roman"/>
                <w:sz w:val="24"/>
                <w:szCs w:val="24"/>
              </w:rPr>
            </w:pPr>
            <w:r w:rsidRPr="00037467">
              <w:rPr>
                <w:rFonts w:ascii="Times New Roman" w:hAnsi="Times New Roman"/>
                <w:sz w:val="24"/>
                <w:szCs w:val="24"/>
              </w:rPr>
              <w:lastRenderedPageBreak/>
              <w:t xml:space="preserve">Negative perceptions among the general </w:t>
            </w:r>
            <w:r w:rsidRPr="00037467">
              <w:rPr>
                <w:rFonts w:ascii="Times New Roman" w:hAnsi="Times New Roman"/>
                <w:sz w:val="24"/>
                <w:szCs w:val="24"/>
              </w:rPr>
              <w:lastRenderedPageBreak/>
              <w:t xml:space="preserve">public </w:t>
            </w:r>
            <w:r w:rsidR="00112F2E" w:rsidRPr="00037467">
              <w:rPr>
                <w:rFonts w:ascii="Times New Roman" w:hAnsi="Times New Roman"/>
                <w:sz w:val="24"/>
                <w:szCs w:val="24"/>
              </w:rPr>
              <w:t>about</w:t>
            </w:r>
            <w:r w:rsidRPr="00037467">
              <w:rPr>
                <w:rFonts w:ascii="Times New Roman" w:hAnsi="Times New Roman"/>
                <w:sz w:val="24"/>
                <w:szCs w:val="24"/>
              </w:rPr>
              <w:t xml:space="preserve"> whistleblowers </w:t>
            </w:r>
            <w:r w:rsidR="00112F2E" w:rsidRPr="00037467">
              <w:rPr>
                <w:rFonts w:ascii="Times New Roman" w:hAnsi="Times New Roman"/>
                <w:sz w:val="24"/>
                <w:szCs w:val="24"/>
              </w:rPr>
              <w:t xml:space="preserve">and a mechanism for their practical protection. </w:t>
            </w:r>
          </w:p>
        </w:tc>
      </w:tr>
      <w:tr w:rsidR="00D45664"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lastRenderedPageBreak/>
              <w:t>Main Objective</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112F2E" w:rsidRPr="00037467" w:rsidRDefault="00112F2E" w:rsidP="00863E5E">
            <w:pPr>
              <w:spacing w:after="0" w:line="240" w:lineRule="auto"/>
              <w:rPr>
                <w:rFonts w:ascii="Times New Roman" w:hAnsi="Times New Roman"/>
                <w:sz w:val="24"/>
                <w:szCs w:val="24"/>
              </w:rPr>
            </w:pPr>
            <w:r w:rsidRPr="00037467">
              <w:rPr>
                <w:rFonts w:ascii="Times New Roman" w:hAnsi="Times New Roman"/>
                <w:sz w:val="24"/>
                <w:szCs w:val="24"/>
              </w:rPr>
              <w:t>Creating positive perception of whistleblowers among society and public officials in order to establish an atmosphere of mutual trust.</w:t>
            </w:r>
          </w:p>
        </w:tc>
      </w:tr>
      <w:tr w:rsidR="00D45664"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OGP challenge addressed by the commitment</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62EB3" w:rsidRPr="00037467" w:rsidRDefault="00962EB3" w:rsidP="00863E5E">
            <w:pPr>
              <w:spacing w:after="0" w:line="240" w:lineRule="auto"/>
              <w:rPr>
                <w:rFonts w:ascii="Times New Roman" w:hAnsi="Times New Roman"/>
                <w:sz w:val="24"/>
                <w:szCs w:val="24"/>
              </w:rPr>
            </w:pPr>
          </w:p>
        </w:tc>
      </w:tr>
      <w:tr w:rsidR="00D45664" w:rsidRPr="00037467" w:rsidTr="00B93B15">
        <w:trPr>
          <w:trHeight w:val="105"/>
        </w:trPr>
        <w:tc>
          <w:tcPr>
            <w:tcW w:w="4055"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93B15" w:rsidRPr="00037467" w:rsidRDefault="000272C2" w:rsidP="00863E5E">
            <w:pPr>
              <w:spacing w:after="0" w:line="240" w:lineRule="auto"/>
              <w:rPr>
                <w:rFonts w:ascii="Times New Roman" w:hAnsi="Times New Roman"/>
                <w:sz w:val="24"/>
                <w:szCs w:val="24"/>
              </w:rPr>
            </w:pPr>
            <w:r w:rsidRPr="00037467">
              <w:rPr>
                <w:rFonts w:ascii="Times New Roman" w:eastAsiaTheme="minorHAnsi" w:hAnsi="Times New Roman"/>
                <w:sz w:val="24"/>
                <w:szCs w:val="24"/>
              </w:rPr>
              <w:t>Is it relevant to the advancement of:</w:t>
            </w:r>
          </w:p>
        </w:tc>
        <w:tc>
          <w:tcPr>
            <w:tcW w:w="1641"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Borders>
              <w:top w:val="nil"/>
              <w:left w:val="single" w:sz="4" w:space="0" w:color="auto"/>
              <w:bottom w:val="single" w:sz="8" w:space="0" w:color="auto"/>
              <w:right w:val="single" w:sz="4"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5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D45664" w:rsidRPr="00037467" w:rsidTr="00B93B15">
        <w:trPr>
          <w:trHeight w:val="105"/>
        </w:trPr>
        <w:tc>
          <w:tcPr>
            <w:tcW w:w="0" w:type="auto"/>
            <w:gridSpan w:val="2"/>
            <w:vMerge/>
            <w:tcBorders>
              <w:top w:val="nil"/>
              <w:left w:val="single" w:sz="8" w:space="0" w:color="auto"/>
              <w:bottom w:val="single" w:sz="8" w:space="0" w:color="auto"/>
              <w:right w:val="single" w:sz="8" w:space="0" w:color="auto"/>
            </w:tcBorders>
            <w:vAlign w:val="center"/>
            <w:hideMark/>
          </w:tcPr>
          <w:p w:rsidR="00962EB3" w:rsidRPr="00037467" w:rsidRDefault="00962EB3" w:rsidP="00863E5E">
            <w:pPr>
              <w:spacing w:after="0" w:line="240" w:lineRule="auto"/>
              <w:rPr>
                <w:rFonts w:ascii="Times New Roman" w:hAnsi="Times New Roman"/>
                <w:sz w:val="24"/>
                <w:szCs w:val="24"/>
              </w:rPr>
            </w:pPr>
          </w:p>
        </w:tc>
        <w:tc>
          <w:tcPr>
            <w:tcW w:w="1641"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962EB3" w:rsidRPr="00037467" w:rsidRDefault="009A1B01" w:rsidP="00863E5E">
            <w:pPr>
              <w:spacing w:after="0" w:line="240" w:lineRule="auto"/>
              <w:rPr>
                <w:rFonts w:ascii="Times New Roman" w:eastAsia="Times New Roman" w:hAnsi="Times New Roman"/>
                <w:sz w:val="24"/>
                <w:szCs w:val="24"/>
                <w:lang w:eastAsia="lv-LV"/>
              </w:rPr>
            </w:pPr>
            <w:r w:rsidRPr="00037467">
              <w:rPr>
                <w:rFonts w:ascii="Times New Roman" w:eastAsia="Times New Roman" w:hAnsi="Times New Roman"/>
                <w:sz w:val="24"/>
                <w:szCs w:val="24"/>
                <w:lang w:eastAsia="lv-LV"/>
              </w:rPr>
              <w:t>X</w:t>
            </w:r>
          </w:p>
        </w:tc>
        <w:tc>
          <w:tcPr>
            <w:tcW w:w="164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962EB3" w:rsidRPr="00037467" w:rsidRDefault="009A1B01" w:rsidP="00863E5E">
            <w:pPr>
              <w:spacing w:after="0" w:line="240" w:lineRule="auto"/>
              <w:rPr>
                <w:rFonts w:ascii="Times New Roman" w:hAnsi="Times New Roman"/>
                <w:sz w:val="24"/>
                <w:szCs w:val="24"/>
              </w:rPr>
            </w:pPr>
            <w:r w:rsidRPr="00037467">
              <w:rPr>
                <w:rFonts w:ascii="Times New Roman" w:hAnsi="Times New Roman"/>
                <w:sz w:val="24"/>
                <w:szCs w:val="24"/>
              </w:rPr>
              <w:t>X</w:t>
            </w:r>
          </w:p>
        </w:tc>
        <w:tc>
          <w:tcPr>
            <w:tcW w:w="145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62EB3" w:rsidRPr="00037467" w:rsidRDefault="009A1B01" w:rsidP="00863E5E">
            <w:pPr>
              <w:spacing w:after="0" w:line="240" w:lineRule="auto"/>
              <w:rPr>
                <w:rFonts w:ascii="Times New Roman" w:eastAsia="Times New Roman" w:hAnsi="Times New Roman"/>
                <w:sz w:val="24"/>
                <w:szCs w:val="24"/>
                <w:lang w:eastAsia="lv-LV"/>
              </w:rPr>
            </w:pPr>
            <w:r w:rsidRPr="00037467">
              <w:rPr>
                <w:rFonts w:ascii="Times New Roman" w:eastAsia="Times New Roman" w:hAnsi="Times New Roman"/>
                <w:sz w:val="24"/>
                <w:szCs w:val="24"/>
                <w:lang w:eastAsia="lv-LV"/>
              </w:rPr>
              <w:t>X</w:t>
            </w:r>
          </w:p>
        </w:tc>
      </w:tr>
      <w:tr w:rsidR="00D45664" w:rsidRPr="00037467" w:rsidTr="00B93B15">
        <w:trPr>
          <w:trHeight w:val="585"/>
        </w:trPr>
        <w:tc>
          <w:tcPr>
            <w:tcW w:w="405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93B15" w:rsidRPr="00037467" w:rsidRDefault="00112F2E"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B93B15"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B93B15" w:rsidRPr="00037467">
              <w:rPr>
                <w:rFonts w:ascii="Times New Roman" w:hAnsi="Times New Roman" w:cs="Times New Roman"/>
                <w:sz w:val="24"/>
                <w:szCs w:val="24"/>
                <w:lang w:val="en-GB"/>
              </w:rPr>
              <w:t xml:space="preserve"> the commitment:</w:t>
            </w:r>
          </w:p>
          <w:p w:rsidR="00B93B15" w:rsidRPr="00037467" w:rsidRDefault="00B93B15" w:rsidP="00863E5E">
            <w:pPr>
              <w:pStyle w:val="NoSpacing"/>
              <w:rPr>
                <w:rFonts w:ascii="Times New Roman" w:hAnsi="Times New Roman" w:cs="Times New Roman"/>
                <w:sz w:val="24"/>
                <w:szCs w:val="24"/>
                <w:lang w:val="en-GB"/>
              </w:rPr>
            </w:pPr>
          </w:p>
        </w:tc>
        <w:tc>
          <w:tcPr>
            <w:tcW w:w="1635" w:type="dxa"/>
            <w:tcBorders>
              <w:top w:val="nil"/>
              <w:left w:val="nil"/>
              <w:bottom w:val="single" w:sz="4" w:space="0" w:color="auto"/>
              <w:right w:val="single" w:sz="4"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9" w:type="dxa"/>
            <w:gridSpan w:val="2"/>
            <w:tcBorders>
              <w:top w:val="nil"/>
              <w:left w:val="single" w:sz="4" w:space="0" w:color="auto"/>
              <w:bottom w:val="single" w:sz="4" w:space="0" w:color="auto"/>
              <w:right w:val="single" w:sz="4"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54" w:type="dxa"/>
            <w:tcBorders>
              <w:top w:val="nil"/>
              <w:left w:val="single" w:sz="4" w:space="0" w:color="auto"/>
              <w:bottom w:val="single" w:sz="4" w:space="0" w:color="auto"/>
              <w:right w:val="single" w:sz="8"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D45664" w:rsidRPr="00037467" w:rsidTr="00B93B15">
        <w:trPr>
          <w:trHeight w:val="780"/>
        </w:trPr>
        <w:tc>
          <w:tcPr>
            <w:tcW w:w="4055" w:type="dxa"/>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9A1B01" w:rsidRPr="00037467" w:rsidRDefault="009A1B01" w:rsidP="00863E5E">
            <w:pPr>
              <w:spacing w:after="0" w:line="240" w:lineRule="auto"/>
              <w:rPr>
                <w:rFonts w:ascii="Times New Roman" w:hAnsi="Times New Roman"/>
                <w:sz w:val="24"/>
                <w:szCs w:val="24"/>
              </w:rPr>
            </w:pPr>
          </w:p>
          <w:p w:rsidR="00112F2E" w:rsidRPr="00037467" w:rsidRDefault="00112F2E" w:rsidP="00863E5E">
            <w:pPr>
              <w:spacing w:after="0" w:line="240" w:lineRule="auto"/>
              <w:rPr>
                <w:rFonts w:ascii="Times New Roman" w:hAnsi="Times New Roman"/>
                <w:sz w:val="24"/>
                <w:szCs w:val="24"/>
              </w:rPr>
            </w:pPr>
            <w:r w:rsidRPr="00037467">
              <w:rPr>
                <w:rFonts w:ascii="Times New Roman" w:hAnsi="Times New Roman"/>
                <w:sz w:val="24"/>
                <w:szCs w:val="24"/>
              </w:rPr>
              <w:t>Development of legal framework and practical guidelines.</w:t>
            </w:r>
          </w:p>
        </w:tc>
        <w:tc>
          <w:tcPr>
            <w:tcW w:w="1635"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9A1B01" w:rsidRPr="00037467" w:rsidRDefault="009A1B01" w:rsidP="00863E5E">
            <w:pPr>
              <w:spacing w:after="0" w:line="240" w:lineRule="auto"/>
              <w:rPr>
                <w:rFonts w:ascii="Times New Roman" w:hAnsi="Times New Roman"/>
                <w:sz w:val="24"/>
                <w:szCs w:val="24"/>
              </w:rPr>
            </w:pPr>
          </w:p>
        </w:tc>
        <w:tc>
          <w:tcPr>
            <w:tcW w:w="1649" w:type="dxa"/>
            <w:gridSpan w:val="2"/>
            <w:tcBorders>
              <w:top w:val="single" w:sz="4" w:space="0" w:color="auto"/>
              <w:left w:val="single" w:sz="4" w:space="0" w:color="auto"/>
              <w:bottom w:val="single" w:sz="4" w:space="0" w:color="auto"/>
              <w:right w:val="single" w:sz="4" w:space="0" w:color="auto"/>
            </w:tcBorders>
          </w:tcPr>
          <w:p w:rsidR="009A1B01" w:rsidRPr="00037467" w:rsidRDefault="009A1B01" w:rsidP="00863E5E">
            <w:pPr>
              <w:spacing w:after="0" w:line="240" w:lineRule="auto"/>
              <w:rPr>
                <w:rFonts w:ascii="Times New Roman" w:hAnsi="Times New Roman"/>
                <w:sz w:val="24"/>
                <w:szCs w:val="24"/>
              </w:rPr>
            </w:pPr>
          </w:p>
        </w:tc>
        <w:tc>
          <w:tcPr>
            <w:tcW w:w="1454" w:type="dxa"/>
            <w:tcBorders>
              <w:top w:val="single" w:sz="4" w:space="0" w:color="auto"/>
              <w:left w:val="single" w:sz="4" w:space="0" w:color="auto"/>
              <w:bottom w:val="single" w:sz="4" w:space="0" w:color="auto"/>
              <w:right w:val="single" w:sz="8" w:space="0" w:color="auto"/>
            </w:tcBorders>
          </w:tcPr>
          <w:p w:rsidR="009A1B01" w:rsidRPr="00037467" w:rsidRDefault="002716CE" w:rsidP="00863E5E">
            <w:pPr>
              <w:spacing w:after="0" w:line="240" w:lineRule="auto"/>
              <w:rPr>
                <w:rFonts w:ascii="Times New Roman" w:hAnsi="Times New Roman"/>
                <w:sz w:val="24"/>
                <w:szCs w:val="24"/>
              </w:rPr>
            </w:pPr>
            <w:r>
              <w:rPr>
                <w:rFonts w:ascii="Times New Roman" w:hAnsi="Times New Roman"/>
                <w:sz w:val="24"/>
                <w:szCs w:val="24"/>
              </w:rPr>
              <w:t>December 2014</w:t>
            </w:r>
          </w:p>
        </w:tc>
      </w:tr>
    </w:tbl>
    <w:p w:rsidR="002D0B69" w:rsidRPr="00037467" w:rsidRDefault="002D0B69" w:rsidP="00863E5E">
      <w:pPr>
        <w:spacing w:after="0" w:line="240" w:lineRule="auto"/>
        <w:rPr>
          <w:rFonts w:ascii="Times New Roman" w:hAnsi="Times New Roman"/>
          <w:sz w:val="24"/>
          <w:szCs w:val="24"/>
        </w:rPr>
      </w:pPr>
    </w:p>
    <w:p w:rsidR="002D0B69" w:rsidRPr="00037467" w:rsidRDefault="002D0B69" w:rsidP="00863E5E">
      <w:pPr>
        <w:spacing w:after="0" w:line="240" w:lineRule="auto"/>
        <w:rPr>
          <w:rFonts w:ascii="Times New Roman" w:hAnsi="Times New Roman"/>
          <w:sz w:val="24"/>
          <w:szCs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916"/>
        <w:gridCol w:w="1656"/>
        <w:gridCol w:w="1643"/>
        <w:gridCol w:w="1659"/>
      </w:tblGrid>
      <w:tr w:rsidR="002D0B69" w:rsidRPr="00037467" w:rsidTr="00962EB3">
        <w:tc>
          <w:tcPr>
            <w:tcW w:w="8755" w:type="dxa"/>
            <w:gridSpan w:val="5"/>
            <w:tcBorders>
              <w:top w:val="single" w:sz="4" w:space="0" w:color="auto"/>
              <w:left w:val="single" w:sz="4" w:space="0" w:color="auto"/>
              <w:bottom w:val="single" w:sz="4" w:space="0" w:color="auto"/>
              <w:right w:val="single" w:sz="4" w:space="0" w:color="auto"/>
            </w:tcBorders>
            <w:hideMark/>
          </w:tcPr>
          <w:p w:rsidR="002D0B69" w:rsidRPr="00037467" w:rsidRDefault="00964A0D" w:rsidP="00863E5E">
            <w:pPr>
              <w:spacing w:after="0" w:line="240" w:lineRule="auto"/>
              <w:jc w:val="center"/>
              <w:rPr>
                <w:rFonts w:ascii="Times New Roman" w:hAnsi="Times New Roman"/>
                <w:sz w:val="24"/>
                <w:szCs w:val="24"/>
              </w:rPr>
            </w:pPr>
            <w:r w:rsidRPr="00037467">
              <w:rPr>
                <w:rFonts w:ascii="Times New Roman" w:hAnsi="Times New Roman"/>
                <w:sz w:val="24"/>
                <w:szCs w:val="24"/>
              </w:rPr>
              <w:t>Commitment</w:t>
            </w:r>
          </w:p>
        </w:tc>
      </w:tr>
      <w:tr w:rsidR="002D0B69" w:rsidRPr="00037467" w:rsidTr="00962EB3">
        <w:tc>
          <w:tcPr>
            <w:tcW w:w="8755" w:type="dxa"/>
            <w:gridSpan w:val="5"/>
            <w:tcBorders>
              <w:top w:val="single" w:sz="4" w:space="0" w:color="auto"/>
              <w:left w:val="single" w:sz="4" w:space="0" w:color="auto"/>
              <w:bottom w:val="single" w:sz="4" w:space="0" w:color="auto"/>
              <w:right w:val="single" w:sz="4" w:space="0" w:color="auto"/>
            </w:tcBorders>
            <w:hideMark/>
          </w:tcPr>
          <w:p w:rsidR="003D0203" w:rsidRPr="00037467" w:rsidRDefault="00A9410F" w:rsidP="00863E5E">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sz w:val="24"/>
                <w:szCs w:val="24"/>
              </w:rPr>
              <w:t>9</w:t>
            </w:r>
            <w:r w:rsidR="00964A0D" w:rsidRPr="00037467">
              <w:rPr>
                <w:rFonts w:ascii="Times New Roman" w:hAnsi="Times New Roman"/>
                <w:b/>
                <w:sz w:val="24"/>
                <w:szCs w:val="24"/>
              </w:rPr>
              <w:t xml:space="preserve">. </w:t>
            </w:r>
            <w:r w:rsidR="003D0203" w:rsidRPr="00037467">
              <w:rPr>
                <w:rFonts w:ascii="Times New Roman" w:hAnsi="Times New Roman"/>
                <w:b/>
                <w:sz w:val="24"/>
                <w:szCs w:val="24"/>
              </w:rPr>
              <w:t>Assessment of the system of the financing political parties</w:t>
            </w:r>
          </w:p>
        </w:tc>
      </w:tr>
      <w:tr w:rsidR="002D0B69" w:rsidRPr="00037467" w:rsidTr="00B93B15">
        <w:tc>
          <w:tcPr>
            <w:tcW w:w="3797" w:type="dxa"/>
            <w:gridSpan w:val="2"/>
            <w:tcBorders>
              <w:top w:val="single" w:sz="4" w:space="0" w:color="auto"/>
              <w:left w:val="single" w:sz="4" w:space="0" w:color="auto"/>
              <w:bottom w:val="single" w:sz="4" w:space="0" w:color="auto"/>
              <w:right w:val="single" w:sz="4" w:space="0" w:color="auto"/>
            </w:tcBorders>
            <w:hideMark/>
          </w:tcPr>
          <w:p w:rsidR="002D0B69"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Lead agency</w:t>
            </w:r>
          </w:p>
        </w:tc>
        <w:tc>
          <w:tcPr>
            <w:tcW w:w="4958" w:type="dxa"/>
            <w:gridSpan w:val="3"/>
            <w:tcBorders>
              <w:top w:val="single" w:sz="4" w:space="0" w:color="auto"/>
              <w:left w:val="single" w:sz="4" w:space="0" w:color="auto"/>
              <w:bottom w:val="single" w:sz="4" w:space="0" w:color="auto"/>
              <w:right w:val="single" w:sz="4" w:space="0" w:color="auto"/>
            </w:tcBorders>
          </w:tcPr>
          <w:p w:rsidR="002D0B69" w:rsidRPr="00037467" w:rsidRDefault="00964A0D" w:rsidP="00863E5E">
            <w:pPr>
              <w:spacing w:after="0" w:line="240" w:lineRule="auto"/>
              <w:rPr>
                <w:rFonts w:ascii="Times New Roman" w:hAnsi="Times New Roman"/>
                <w:color w:val="000000"/>
                <w:sz w:val="24"/>
                <w:szCs w:val="24"/>
              </w:rPr>
            </w:pPr>
            <w:r w:rsidRPr="00037467">
              <w:rPr>
                <w:rFonts w:ascii="Times New Roman" w:hAnsi="Times New Roman"/>
                <w:sz w:val="24"/>
                <w:szCs w:val="24"/>
              </w:rPr>
              <w:t>Corruption Prevention and Combating Bureau</w:t>
            </w:r>
          </w:p>
        </w:tc>
      </w:tr>
      <w:tr w:rsidR="00B93B15" w:rsidRPr="00037467" w:rsidTr="00B93B15">
        <w:trPr>
          <w:trHeight w:val="105"/>
        </w:trPr>
        <w:tc>
          <w:tcPr>
            <w:tcW w:w="1881" w:type="dxa"/>
            <w:vMerge w:val="restart"/>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1916"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958" w:type="dxa"/>
            <w:gridSpan w:val="3"/>
            <w:vMerge w:val="restart"/>
            <w:tcBorders>
              <w:top w:val="single" w:sz="4" w:space="0" w:color="auto"/>
              <w:left w:val="single" w:sz="4" w:space="0" w:color="auto"/>
              <w:bottom w:val="single" w:sz="4" w:space="0" w:color="auto"/>
              <w:right w:val="single" w:sz="4" w:space="0" w:color="auto"/>
            </w:tcBorders>
          </w:tcPr>
          <w:p w:rsidR="00B93B15" w:rsidRPr="00037467" w:rsidRDefault="00B93B15" w:rsidP="00863E5E">
            <w:pPr>
              <w:spacing w:after="0" w:line="240" w:lineRule="auto"/>
              <w:rPr>
                <w:rFonts w:ascii="Times New Roman" w:hAnsi="Times New Roman"/>
                <w:sz w:val="24"/>
                <w:szCs w:val="24"/>
              </w:rPr>
            </w:pPr>
          </w:p>
        </w:tc>
      </w:tr>
      <w:tr w:rsidR="00B93B15" w:rsidRPr="00037467" w:rsidTr="00B93B15">
        <w:trPr>
          <w:trHeight w:val="1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3B15" w:rsidRPr="00037467" w:rsidRDefault="00B93B15" w:rsidP="00863E5E">
            <w:pPr>
              <w:spacing w:after="0" w:line="240" w:lineRule="auto"/>
              <w:rPr>
                <w:rFonts w:ascii="Times New Roman" w:hAnsi="Times New Roman"/>
                <w:sz w:val="24"/>
                <w:szCs w:val="24"/>
              </w:rPr>
            </w:pPr>
          </w:p>
        </w:tc>
        <w:tc>
          <w:tcPr>
            <w:tcW w:w="1916"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Civil Society, Private Sector</w:t>
            </w:r>
          </w:p>
        </w:tc>
        <w:tc>
          <w:tcPr>
            <w:tcW w:w="4958" w:type="dxa"/>
            <w:gridSpan w:val="3"/>
            <w:vMerge/>
            <w:tcBorders>
              <w:top w:val="single" w:sz="4" w:space="0" w:color="auto"/>
              <w:left w:val="single" w:sz="4" w:space="0" w:color="auto"/>
              <w:bottom w:val="single" w:sz="4" w:space="0" w:color="auto"/>
              <w:right w:val="single" w:sz="4" w:space="0" w:color="auto"/>
            </w:tcBorders>
            <w:vAlign w:val="center"/>
          </w:tcPr>
          <w:p w:rsidR="00B93B15" w:rsidRPr="00037467" w:rsidRDefault="00B93B15" w:rsidP="00863E5E">
            <w:pPr>
              <w:spacing w:after="0" w:line="240" w:lineRule="auto"/>
              <w:rPr>
                <w:rFonts w:ascii="Times New Roman" w:hAnsi="Times New Roman"/>
                <w:sz w:val="24"/>
                <w:szCs w:val="24"/>
              </w:rPr>
            </w:pPr>
          </w:p>
        </w:tc>
      </w:tr>
      <w:tr w:rsidR="002D0B69" w:rsidRPr="00037467" w:rsidTr="00B93B15">
        <w:tc>
          <w:tcPr>
            <w:tcW w:w="3797" w:type="dxa"/>
            <w:gridSpan w:val="2"/>
            <w:tcBorders>
              <w:top w:val="single" w:sz="4" w:space="0" w:color="auto"/>
              <w:left w:val="single" w:sz="4" w:space="0" w:color="auto"/>
              <w:bottom w:val="single" w:sz="4" w:space="0" w:color="auto"/>
              <w:right w:val="single" w:sz="4" w:space="0" w:color="auto"/>
            </w:tcBorders>
            <w:hideMark/>
          </w:tcPr>
          <w:p w:rsidR="002D0B69"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Status quo or problem/issue to be addressed</w:t>
            </w:r>
          </w:p>
        </w:tc>
        <w:tc>
          <w:tcPr>
            <w:tcW w:w="4958" w:type="dxa"/>
            <w:gridSpan w:val="3"/>
            <w:tcBorders>
              <w:top w:val="single" w:sz="4" w:space="0" w:color="auto"/>
              <w:left w:val="single" w:sz="4" w:space="0" w:color="auto"/>
              <w:bottom w:val="single" w:sz="4" w:space="0" w:color="auto"/>
              <w:right w:val="single" w:sz="4" w:space="0" w:color="auto"/>
            </w:tcBorders>
          </w:tcPr>
          <w:p w:rsidR="003C0FDD" w:rsidRPr="00037467" w:rsidRDefault="003C0FDD"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Law on Financing Politcal Organisations (Parties) stipulates that political organisations may be financed by the State budget and lays down certain conditions for receiving and using the funds. </w:t>
            </w:r>
          </w:p>
          <w:p w:rsidR="003C0FDD" w:rsidRPr="00037467" w:rsidRDefault="007E674B" w:rsidP="00863E5E">
            <w:pPr>
              <w:spacing w:after="0" w:line="240" w:lineRule="auto"/>
              <w:jc w:val="both"/>
              <w:rPr>
                <w:rFonts w:ascii="Times New Roman" w:hAnsi="Times New Roman"/>
                <w:sz w:val="24"/>
                <w:szCs w:val="24"/>
              </w:rPr>
            </w:pPr>
            <w:r w:rsidRPr="00037467">
              <w:rPr>
                <w:rFonts w:ascii="Times New Roman" w:hAnsi="Times New Roman"/>
                <w:sz w:val="24"/>
                <w:szCs w:val="24"/>
              </w:rPr>
              <w:t xml:space="preserve">To establish whether the allocation of the State budget funds has achieved the primary objective – the reduction of the impact of major donors in politics, as well as identifying which types of party expenditure can be funded by the State – </w:t>
            </w:r>
            <w:r w:rsidR="00484814" w:rsidRPr="00037467">
              <w:rPr>
                <w:rFonts w:ascii="Times New Roman" w:hAnsi="Times New Roman"/>
                <w:sz w:val="24"/>
                <w:szCs w:val="24"/>
              </w:rPr>
              <w:t xml:space="preserve">the functioning of the </w:t>
            </w:r>
            <w:r w:rsidR="00D7722E" w:rsidRPr="00037467">
              <w:rPr>
                <w:rFonts w:ascii="Times New Roman" w:hAnsi="Times New Roman"/>
                <w:sz w:val="24"/>
                <w:szCs w:val="24"/>
              </w:rPr>
              <w:t>system for financing political organisations and parties</w:t>
            </w:r>
            <w:r w:rsidR="00037467" w:rsidRPr="00037467">
              <w:rPr>
                <w:rFonts w:ascii="Times New Roman" w:hAnsi="Times New Roman"/>
                <w:sz w:val="24"/>
                <w:szCs w:val="24"/>
              </w:rPr>
              <w:t xml:space="preserve"> needs to be evaluated, the existing drawbacks and problems identified, and solutions offered to remedy the situation. </w:t>
            </w:r>
          </w:p>
        </w:tc>
      </w:tr>
      <w:tr w:rsidR="002D0B69" w:rsidRPr="00037467" w:rsidTr="00B93B15">
        <w:tc>
          <w:tcPr>
            <w:tcW w:w="3797" w:type="dxa"/>
            <w:gridSpan w:val="2"/>
            <w:tcBorders>
              <w:top w:val="single" w:sz="4" w:space="0" w:color="auto"/>
              <w:left w:val="single" w:sz="4" w:space="0" w:color="auto"/>
              <w:bottom w:val="single" w:sz="4" w:space="0" w:color="auto"/>
              <w:right w:val="single" w:sz="4" w:space="0" w:color="auto"/>
            </w:tcBorders>
            <w:hideMark/>
          </w:tcPr>
          <w:p w:rsidR="002D0B69"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Main Objective</w:t>
            </w:r>
          </w:p>
        </w:tc>
        <w:tc>
          <w:tcPr>
            <w:tcW w:w="4958" w:type="dxa"/>
            <w:gridSpan w:val="3"/>
            <w:tcBorders>
              <w:top w:val="single" w:sz="4" w:space="0" w:color="auto"/>
              <w:left w:val="single" w:sz="4" w:space="0" w:color="auto"/>
              <w:bottom w:val="single" w:sz="4" w:space="0" w:color="auto"/>
              <w:right w:val="single" w:sz="4" w:space="0" w:color="auto"/>
            </w:tcBorders>
          </w:tcPr>
          <w:p w:rsidR="007E674B" w:rsidRPr="00037467" w:rsidRDefault="007E674B" w:rsidP="00863E5E">
            <w:pPr>
              <w:autoSpaceDE w:val="0"/>
              <w:autoSpaceDN w:val="0"/>
              <w:adjustRightInd w:val="0"/>
              <w:spacing w:after="0" w:line="240" w:lineRule="auto"/>
              <w:jc w:val="both"/>
              <w:rPr>
                <w:rFonts w:ascii="Times New Roman" w:hAnsi="Times New Roman"/>
                <w:sz w:val="24"/>
                <w:szCs w:val="24"/>
              </w:rPr>
            </w:pPr>
          </w:p>
          <w:p w:rsidR="003D0203" w:rsidRPr="00037467" w:rsidRDefault="007E674B"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L</w:t>
            </w:r>
            <w:r w:rsidR="00966A9F" w:rsidRPr="00037467">
              <w:rPr>
                <w:rFonts w:ascii="Times New Roman" w:hAnsi="Times New Roman"/>
                <w:sz w:val="24"/>
                <w:szCs w:val="24"/>
              </w:rPr>
              <w:t>imit</w:t>
            </w:r>
            <w:r w:rsidRPr="00037467">
              <w:rPr>
                <w:rFonts w:ascii="Times New Roman" w:hAnsi="Times New Roman"/>
                <w:sz w:val="24"/>
                <w:szCs w:val="24"/>
              </w:rPr>
              <w:t xml:space="preserve"> the</w:t>
            </w:r>
            <w:r w:rsidR="00966A9F" w:rsidRPr="00037467">
              <w:rPr>
                <w:rFonts w:ascii="Times New Roman" w:hAnsi="Times New Roman"/>
                <w:sz w:val="24"/>
                <w:szCs w:val="24"/>
              </w:rPr>
              <w:t xml:space="preserve"> power of money in politics.</w:t>
            </w:r>
          </w:p>
          <w:p w:rsidR="007E674B" w:rsidRPr="00037467" w:rsidRDefault="007E674B" w:rsidP="00863E5E">
            <w:pPr>
              <w:autoSpaceDE w:val="0"/>
              <w:autoSpaceDN w:val="0"/>
              <w:adjustRightInd w:val="0"/>
              <w:spacing w:after="0" w:line="240" w:lineRule="auto"/>
              <w:jc w:val="both"/>
              <w:rPr>
                <w:rFonts w:ascii="Times New Roman" w:hAnsi="Times New Roman"/>
                <w:sz w:val="24"/>
                <w:szCs w:val="24"/>
              </w:rPr>
            </w:pPr>
          </w:p>
          <w:p w:rsidR="001241ED" w:rsidRPr="00037467" w:rsidRDefault="00966A9F"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The work to achieve the objective will be carried out in the frame of eight measures. </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1. </w:t>
            </w:r>
            <w:r w:rsidR="00AE37BA" w:rsidRPr="00037467">
              <w:rPr>
                <w:rFonts w:ascii="Times New Roman" w:hAnsi="Times New Roman"/>
                <w:sz w:val="24"/>
                <w:szCs w:val="24"/>
              </w:rPr>
              <w:t xml:space="preserve">Assess the functioning of the system for financing political parties and political organisations in the wake of amendments to the Law on </w:t>
            </w:r>
            <w:r w:rsidR="00037467" w:rsidRPr="00037467">
              <w:rPr>
                <w:rFonts w:ascii="Times New Roman" w:hAnsi="Times New Roman"/>
                <w:sz w:val="24"/>
                <w:szCs w:val="24"/>
              </w:rPr>
              <w:t>Financing P</w:t>
            </w:r>
            <w:r w:rsidR="00AE37BA" w:rsidRPr="00037467">
              <w:rPr>
                <w:rFonts w:ascii="Times New Roman" w:hAnsi="Times New Roman"/>
                <w:sz w:val="24"/>
                <w:szCs w:val="24"/>
              </w:rPr>
              <w:t xml:space="preserve">olitical </w:t>
            </w:r>
            <w:r w:rsidR="00037467" w:rsidRPr="00037467">
              <w:rPr>
                <w:rFonts w:ascii="Times New Roman" w:hAnsi="Times New Roman"/>
                <w:sz w:val="24"/>
                <w:szCs w:val="24"/>
              </w:rPr>
              <w:t>Organisations (P</w:t>
            </w:r>
            <w:r w:rsidR="00AE37BA" w:rsidRPr="00037467">
              <w:rPr>
                <w:rFonts w:ascii="Times New Roman" w:hAnsi="Times New Roman"/>
                <w:sz w:val="24"/>
                <w:szCs w:val="24"/>
              </w:rPr>
              <w:t>arties</w:t>
            </w:r>
            <w:r w:rsidR="00037467" w:rsidRPr="00037467">
              <w:rPr>
                <w:rFonts w:ascii="Times New Roman" w:hAnsi="Times New Roman"/>
                <w:sz w:val="24"/>
                <w:szCs w:val="24"/>
              </w:rPr>
              <w:t xml:space="preserve">) regarding the allocation of the State </w:t>
            </w:r>
            <w:r w:rsidR="00037467" w:rsidRPr="00037467">
              <w:rPr>
                <w:rFonts w:ascii="Times New Roman" w:hAnsi="Times New Roman"/>
                <w:sz w:val="24"/>
                <w:szCs w:val="24"/>
              </w:rPr>
              <w:lastRenderedPageBreak/>
              <w:t>budget funds to political parties, and develop recommendations to ensure the functioning of parties in periods between elections, reduce the dependence of parties on large-scale donations, and promote the attracti</w:t>
            </w:r>
            <w:r w:rsidR="00037467">
              <w:rPr>
                <w:rFonts w:ascii="Times New Roman" w:hAnsi="Times New Roman"/>
                <w:sz w:val="24"/>
                <w:szCs w:val="24"/>
              </w:rPr>
              <w:t>on of small-scale contributions.</w:t>
            </w:r>
            <w:r w:rsidR="00037467" w:rsidRPr="00037467">
              <w:rPr>
                <w:rFonts w:ascii="Times New Roman" w:hAnsi="Times New Roman"/>
                <w:sz w:val="24"/>
                <w:szCs w:val="24"/>
              </w:rPr>
              <w:t xml:space="preserve"> </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p w:rsidR="00AE37BA"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2. </w:t>
            </w:r>
            <w:r w:rsidR="00000339" w:rsidRPr="00037467">
              <w:rPr>
                <w:rFonts w:ascii="Times New Roman" w:hAnsi="Times New Roman"/>
                <w:sz w:val="24"/>
                <w:szCs w:val="24"/>
              </w:rPr>
              <w:t xml:space="preserve">Ensure the transparency of financial activities of political organisations (parties) by </w:t>
            </w:r>
            <w:r w:rsidR="00AE37BA" w:rsidRPr="00037467">
              <w:rPr>
                <w:rFonts w:ascii="Times New Roman" w:hAnsi="Times New Roman"/>
                <w:sz w:val="24"/>
                <w:szCs w:val="24"/>
              </w:rPr>
              <w:t xml:space="preserve">raising the effectiveness of the </w:t>
            </w:r>
            <w:r w:rsidR="00000339" w:rsidRPr="00037467">
              <w:rPr>
                <w:rFonts w:ascii="Times New Roman" w:hAnsi="Times New Roman"/>
                <w:sz w:val="24"/>
                <w:szCs w:val="24"/>
              </w:rPr>
              <w:t xml:space="preserve">mechanisms </w:t>
            </w:r>
            <w:r w:rsidR="00AE37BA" w:rsidRPr="00037467">
              <w:rPr>
                <w:rFonts w:ascii="Times New Roman" w:hAnsi="Times New Roman"/>
                <w:sz w:val="24"/>
                <w:szCs w:val="24"/>
              </w:rPr>
              <w:t>of</w:t>
            </w:r>
            <w:r w:rsidR="00000339" w:rsidRPr="00037467">
              <w:rPr>
                <w:rFonts w:ascii="Times New Roman" w:hAnsi="Times New Roman"/>
                <w:sz w:val="24"/>
                <w:szCs w:val="24"/>
              </w:rPr>
              <w:t xml:space="preserve"> enforcing liability </w:t>
            </w:r>
            <w:r w:rsidR="00AE37BA" w:rsidRPr="00037467">
              <w:rPr>
                <w:rFonts w:ascii="Times New Roman" w:hAnsi="Times New Roman"/>
                <w:sz w:val="24"/>
                <w:szCs w:val="24"/>
              </w:rPr>
              <w:t>for violations and imposing less severe sanctions for lesser administrative violations in the field of political party financing, incl. considering a possibility of reducing the administrative burden</w:t>
            </w:r>
            <w:r w:rsidR="00037467">
              <w:rPr>
                <w:rFonts w:ascii="Times New Roman" w:hAnsi="Times New Roman"/>
                <w:sz w:val="24"/>
                <w:szCs w:val="24"/>
              </w:rPr>
              <w:t>.</w:t>
            </w:r>
          </w:p>
          <w:p w:rsidR="00AE37BA" w:rsidRPr="00037467" w:rsidRDefault="00AE37BA" w:rsidP="00863E5E">
            <w:pPr>
              <w:autoSpaceDE w:val="0"/>
              <w:autoSpaceDN w:val="0"/>
              <w:adjustRightInd w:val="0"/>
              <w:spacing w:after="0" w:line="240" w:lineRule="auto"/>
              <w:jc w:val="both"/>
              <w:rPr>
                <w:rFonts w:ascii="Times New Roman" w:hAnsi="Times New Roman"/>
                <w:sz w:val="24"/>
                <w:szCs w:val="24"/>
              </w:rPr>
            </w:pP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3. </w:t>
            </w:r>
            <w:r w:rsidR="00966A9F" w:rsidRPr="00037467">
              <w:rPr>
                <w:rFonts w:ascii="Times New Roman" w:hAnsi="Times New Roman"/>
                <w:sz w:val="24"/>
                <w:szCs w:val="24"/>
              </w:rPr>
              <w:t xml:space="preserve">On the basis of applications received and </w:t>
            </w:r>
            <w:r w:rsidR="00000339" w:rsidRPr="00037467">
              <w:rPr>
                <w:rFonts w:ascii="Times New Roman" w:hAnsi="Times New Roman"/>
                <w:sz w:val="24"/>
                <w:szCs w:val="24"/>
              </w:rPr>
              <w:t>checks carried out by the Corruption Prevention and Combating Bureau (</w:t>
            </w:r>
            <w:r w:rsidR="00000339" w:rsidRPr="00037467">
              <w:rPr>
                <w:rFonts w:ascii="Times New Roman" w:hAnsi="Times New Roman"/>
                <w:i/>
                <w:sz w:val="24"/>
                <w:szCs w:val="24"/>
              </w:rPr>
              <w:t>KNAB</w:t>
            </w:r>
            <w:r w:rsidR="00000339" w:rsidRPr="00037467">
              <w:rPr>
                <w:rFonts w:ascii="Times New Roman" w:hAnsi="Times New Roman"/>
                <w:sz w:val="24"/>
                <w:szCs w:val="24"/>
              </w:rPr>
              <w:t>), to analyse the manifestations of covert pre-election campaigning in the earlier pre-election periods and provide recommendations for legislative amendments aimed at preventing the risk of covert campaigning.</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p w:rsidR="00966A9F"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4. </w:t>
            </w:r>
            <w:r w:rsidR="00966A9F" w:rsidRPr="00037467">
              <w:rPr>
                <w:rFonts w:ascii="Times New Roman" w:hAnsi="Times New Roman"/>
                <w:sz w:val="24"/>
                <w:szCs w:val="24"/>
              </w:rPr>
              <w:t xml:space="preserve">Create and </w:t>
            </w:r>
            <w:r w:rsidR="00037467" w:rsidRPr="00037467">
              <w:rPr>
                <w:rFonts w:ascii="Times New Roman" w:hAnsi="Times New Roman"/>
                <w:sz w:val="24"/>
                <w:szCs w:val="24"/>
              </w:rPr>
              <w:t>put into operation</w:t>
            </w:r>
            <w:r w:rsidR="00966A9F" w:rsidRPr="00037467">
              <w:rPr>
                <w:rFonts w:ascii="Times New Roman" w:hAnsi="Times New Roman"/>
                <w:sz w:val="24"/>
                <w:szCs w:val="24"/>
              </w:rPr>
              <w:t xml:space="preserve"> an electronic declaration system of political parties</w:t>
            </w:r>
            <w:r w:rsidR="00037467">
              <w:rPr>
                <w:rFonts w:ascii="Times New Roman" w:hAnsi="Times New Roman"/>
                <w:sz w:val="24"/>
                <w:szCs w:val="24"/>
              </w:rPr>
              <w:t>.</w:t>
            </w:r>
            <w:r w:rsidR="00966A9F" w:rsidRPr="00037467">
              <w:rPr>
                <w:rFonts w:ascii="Times New Roman" w:hAnsi="Times New Roman"/>
                <w:sz w:val="24"/>
                <w:szCs w:val="24"/>
              </w:rPr>
              <w:t xml:space="preserve"> </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5. </w:t>
            </w:r>
            <w:r w:rsidR="001F0E65" w:rsidRPr="00037467">
              <w:rPr>
                <w:rFonts w:ascii="Times New Roman" w:hAnsi="Times New Roman"/>
                <w:sz w:val="24"/>
                <w:szCs w:val="24"/>
              </w:rPr>
              <w:t xml:space="preserve">On the basis of </w:t>
            </w:r>
            <w:r w:rsidR="006628F3" w:rsidRPr="00037467">
              <w:rPr>
                <w:rFonts w:ascii="Times New Roman" w:hAnsi="Times New Roman"/>
                <w:sz w:val="24"/>
                <w:szCs w:val="24"/>
              </w:rPr>
              <w:t>earlier analysis on</w:t>
            </w:r>
            <w:r w:rsidR="001F0E65" w:rsidRPr="00037467">
              <w:rPr>
                <w:rFonts w:ascii="Times New Roman" w:hAnsi="Times New Roman"/>
                <w:sz w:val="24"/>
                <w:szCs w:val="24"/>
              </w:rPr>
              <w:t xml:space="preserve"> the issues of interest for parties and other election participants in the pre-election period and on the </w:t>
            </w:r>
            <w:r w:rsidR="00037467" w:rsidRPr="00037467">
              <w:rPr>
                <w:rFonts w:ascii="Times New Roman" w:hAnsi="Times New Roman"/>
                <w:sz w:val="24"/>
                <w:szCs w:val="24"/>
              </w:rPr>
              <w:t>election</w:t>
            </w:r>
            <w:r w:rsidR="006628F3" w:rsidRPr="00037467">
              <w:rPr>
                <w:rFonts w:ascii="Times New Roman" w:hAnsi="Times New Roman"/>
                <w:sz w:val="24"/>
                <w:szCs w:val="24"/>
              </w:rPr>
              <w:t xml:space="preserve"> days, to charge the CPCB/</w:t>
            </w:r>
            <w:r w:rsidR="006628F3" w:rsidRPr="00037467">
              <w:rPr>
                <w:rFonts w:ascii="Times New Roman" w:hAnsi="Times New Roman"/>
                <w:i/>
                <w:sz w:val="24"/>
                <w:szCs w:val="24"/>
              </w:rPr>
              <w:t>KNAB</w:t>
            </w:r>
            <w:r w:rsidR="001F0E65" w:rsidRPr="00037467">
              <w:rPr>
                <w:rFonts w:ascii="Times New Roman" w:hAnsi="Times New Roman"/>
                <w:sz w:val="24"/>
                <w:szCs w:val="24"/>
              </w:rPr>
              <w:t xml:space="preserve"> </w:t>
            </w:r>
            <w:r w:rsidR="006628F3" w:rsidRPr="00037467">
              <w:rPr>
                <w:rFonts w:ascii="Times New Roman" w:hAnsi="Times New Roman"/>
                <w:sz w:val="24"/>
                <w:szCs w:val="24"/>
              </w:rPr>
              <w:t>with producing a methodological material for political parties</w:t>
            </w:r>
            <w:r w:rsidR="00037467">
              <w:rPr>
                <w:rFonts w:ascii="Times New Roman" w:hAnsi="Times New Roman"/>
                <w:sz w:val="24"/>
                <w:szCs w:val="24"/>
              </w:rPr>
              <w:t>.</w:t>
            </w:r>
          </w:p>
          <w:p w:rsidR="000362D0" w:rsidRPr="00037467" w:rsidRDefault="000362D0" w:rsidP="00863E5E">
            <w:pPr>
              <w:autoSpaceDE w:val="0"/>
              <w:autoSpaceDN w:val="0"/>
              <w:adjustRightInd w:val="0"/>
              <w:spacing w:after="0" w:line="240" w:lineRule="auto"/>
              <w:jc w:val="both"/>
              <w:rPr>
                <w:rFonts w:ascii="Times New Roman" w:hAnsi="Times New Roman"/>
                <w:sz w:val="24"/>
                <w:szCs w:val="24"/>
              </w:rPr>
            </w:pP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6. </w:t>
            </w:r>
            <w:r w:rsidR="009F635E" w:rsidRPr="00037467">
              <w:rPr>
                <w:rFonts w:ascii="Times New Roman" w:hAnsi="Times New Roman"/>
                <w:sz w:val="24"/>
                <w:szCs w:val="24"/>
              </w:rPr>
              <w:t xml:space="preserve">Produce recommendations for the reduction of </w:t>
            </w:r>
            <w:r w:rsidR="001F0E65" w:rsidRPr="00037467">
              <w:rPr>
                <w:rFonts w:ascii="Times New Roman" w:hAnsi="Times New Roman"/>
                <w:sz w:val="24"/>
                <w:szCs w:val="24"/>
              </w:rPr>
              <w:t>an</w:t>
            </w:r>
            <w:r w:rsidR="009F635E" w:rsidRPr="00037467">
              <w:rPr>
                <w:rFonts w:ascii="Times New Roman" w:hAnsi="Times New Roman"/>
                <w:sz w:val="24"/>
                <w:szCs w:val="24"/>
              </w:rPr>
              <w:t xml:space="preserve"> increasing impact of private interests on the legislative process and promotion of the transparency of lobbying, as well as publicising procedures for public officials’ (including members of the parliament) communication with lobbyists and other stakeholders who attempt </w:t>
            </w:r>
            <w:r w:rsidR="001F0E65" w:rsidRPr="00037467">
              <w:rPr>
                <w:rFonts w:ascii="Times New Roman" w:hAnsi="Times New Roman"/>
                <w:sz w:val="24"/>
                <w:szCs w:val="24"/>
              </w:rPr>
              <w:t xml:space="preserve">to </w:t>
            </w:r>
            <w:r w:rsidR="009F635E" w:rsidRPr="00037467">
              <w:rPr>
                <w:rFonts w:ascii="Times New Roman" w:hAnsi="Times New Roman"/>
                <w:sz w:val="24"/>
                <w:szCs w:val="24"/>
              </w:rPr>
              <w:t>influence the process</w:t>
            </w:r>
            <w:r w:rsidR="00037467">
              <w:rPr>
                <w:rFonts w:ascii="Times New Roman" w:hAnsi="Times New Roman"/>
                <w:sz w:val="24"/>
                <w:szCs w:val="24"/>
              </w:rPr>
              <w:t>.</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7. </w:t>
            </w:r>
            <w:r w:rsidR="009F635E" w:rsidRPr="00037467">
              <w:rPr>
                <w:rFonts w:ascii="Times New Roman" w:hAnsi="Times New Roman"/>
                <w:sz w:val="24"/>
                <w:szCs w:val="24"/>
              </w:rPr>
              <w:t>Assess the impact of lobbying on the Law on of the State Budget, the construction sector, bankruptcy procedures, and other sectors and provide recommendations for reducing the impact of disproportionate lobbying</w:t>
            </w:r>
            <w:r w:rsidR="00037467">
              <w:rPr>
                <w:rFonts w:ascii="Times New Roman" w:hAnsi="Times New Roman"/>
                <w:sz w:val="24"/>
                <w:szCs w:val="24"/>
              </w:rPr>
              <w:t>.</w:t>
            </w:r>
            <w:r w:rsidR="009F635E" w:rsidRPr="00037467">
              <w:rPr>
                <w:rFonts w:ascii="Times New Roman" w:hAnsi="Times New Roman"/>
                <w:sz w:val="24"/>
                <w:szCs w:val="24"/>
              </w:rPr>
              <w:t xml:space="preserve"> </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r w:rsidRPr="00037467">
              <w:rPr>
                <w:rFonts w:ascii="Times New Roman" w:hAnsi="Times New Roman"/>
                <w:sz w:val="24"/>
                <w:szCs w:val="24"/>
              </w:rPr>
              <w:t xml:space="preserve">8. </w:t>
            </w:r>
            <w:r w:rsidR="0090618B" w:rsidRPr="00037467">
              <w:rPr>
                <w:rFonts w:ascii="Times New Roman" w:hAnsi="Times New Roman"/>
                <w:sz w:val="24"/>
                <w:szCs w:val="24"/>
              </w:rPr>
              <w:t xml:space="preserve">Assess the legal framework related to </w:t>
            </w:r>
            <w:r w:rsidR="0090618B" w:rsidRPr="00037467">
              <w:rPr>
                <w:rFonts w:ascii="Times New Roman" w:hAnsi="Times New Roman"/>
                <w:sz w:val="24"/>
                <w:szCs w:val="24"/>
              </w:rPr>
              <w:lastRenderedPageBreak/>
              <w:t>publicising the identity of a donor and set a limit to the amount of a donation,</w:t>
            </w:r>
            <w:r w:rsidR="009F635E" w:rsidRPr="00037467">
              <w:rPr>
                <w:rFonts w:ascii="Times New Roman" w:hAnsi="Times New Roman"/>
                <w:sz w:val="24"/>
                <w:szCs w:val="24"/>
              </w:rPr>
              <w:t xml:space="preserve"> below which the donor’s information is not made public, </w:t>
            </w:r>
            <w:r w:rsidR="0090618B" w:rsidRPr="00037467">
              <w:rPr>
                <w:rFonts w:ascii="Times New Roman" w:hAnsi="Times New Roman"/>
                <w:sz w:val="24"/>
                <w:szCs w:val="24"/>
              </w:rPr>
              <w:t xml:space="preserve">thereby </w:t>
            </w:r>
            <w:r w:rsidR="009F635E" w:rsidRPr="00037467">
              <w:rPr>
                <w:rFonts w:ascii="Times New Roman" w:hAnsi="Times New Roman"/>
                <w:sz w:val="24"/>
                <w:szCs w:val="24"/>
              </w:rPr>
              <w:t xml:space="preserve">promoting the involvement of small-scale donors in providing financial assistance to political organisations. </w:t>
            </w:r>
          </w:p>
          <w:p w:rsidR="001241ED" w:rsidRPr="00037467" w:rsidRDefault="001241ED" w:rsidP="00863E5E">
            <w:pPr>
              <w:autoSpaceDE w:val="0"/>
              <w:autoSpaceDN w:val="0"/>
              <w:adjustRightInd w:val="0"/>
              <w:spacing w:after="0" w:line="240" w:lineRule="auto"/>
              <w:jc w:val="both"/>
              <w:rPr>
                <w:rFonts w:ascii="Times New Roman" w:hAnsi="Times New Roman"/>
                <w:sz w:val="24"/>
                <w:szCs w:val="24"/>
              </w:rPr>
            </w:pPr>
          </w:p>
        </w:tc>
      </w:tr>
      <w:tr w:rsidR="002D0B69" w:rsidRPr="00037467" w:rsidTr="00B93B15">
        <w:tc>
          <w:tcPr>
            <w:tcW w:w="3797" w:type="dxa"/>
            <w:gridSpan w:val="2"/>
            <w:tcBorders>
              <w:top w:val="single" w:sz="4" w:space="0" w:color="auto"/>
              <w:left w:val="single" w:sz="4" w:space="0" w:color="auto"/>
              <w:bottom w:val="single" w:sz="4" w:space="0" w:color="auto"/>
              <w:right w:val="single" w:sz="4" w:space="0" w:color="auto"/>
            </w:tcBorders>
            <w:hideMark/>
          </w:tcPr>
          <w:p w:rsidR="002D0B69"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lastRenderedPageBreak/>
              <w:t>OGP challenge addressed by the commitment</w:t>
            </w:r>
          </w:p>
        </w:tc>
        <w:tc>
          <w:tcPr>
            <w:tcW w:w="4958" w:type="dxa"/>
            <w:gridSpan w:val="3"/>
            <w:tcBorders>
              <w:top w:val="single" w:sz="4" w:space="0" w:color="auto"/>
              <w:left w:val="single" w:sz="4" w:space="0" w:color="auto"/>
              <w:bottom w:val="single" w:sz="4" w:space="0" w:color="auto"/>
              <w:right w:val="single" w:sz="4" w:space="0" w:color="auto"/>
            </w:tcBorders>
          </w:tcPr>
          <w:p w:rsidR="002D0B69" w:rsidRPr="00037467" w:rsidRDefault="002D0B69" w:rsidP="00863E5E">
            <w:pPr>
              <w:spacing w:after="0" w:line="240" w:lineRule="auto"/>
              <w:rPr>
                <w:rFonts w:ascii="Times New Roman" w:hAnsi="Times New Roman"/>
                <w:sz w:val="24"/>
                <w:szCs w:val="24"/>
              </w:rPr>
            </w:pPr>
          </w:p>
        </w:tc>
      </w:tr>
      <w:tr w:rsidR="00B93B15" w:rsidRPr="00037467" w:rsidTr="00B93B15">
        <w:trPr>
          <w:trHeight w:val="105"/>
        </w:trPr>
        <w:tc>
          <w:tcPr>
            <w:tcW w:w="3797" w:type="dxa"/>
            <w:gridSpan w:val="2"/>
            <w:vMerge w:val="restart"/>
            <w:tcBorders>
              <w:top w:val="single" w:sz="4" w:space="0" w:color="auto"/>
              <w:left w:val="single" w:sz="4" w:space="0" w:color="auto"/>
              <w:bottom w:val="single" w:sz="4" w:space="0" w:color="auto"/>
              <w:right w:val="single" w:sz="4" w:space="0" w:color="auto"/>
            </w:tcBorders>
            <w:hideMark/>
          </w:tcPr>
          <w:p w:rsidR="00B93B15" w:rsidRPr="00037467" w:rsidRDefault="000272C2" w:rsidP="00863E5E">
            <w:pPr>
              <w:spacing w:after="0" w:line="240" w:lineRule="auto"/>
              <w:rPr>
                <w:rFonts w:ascii="Times New Roman" w:hAnsi="Times New Roman"/>
                <w:sz w:val="24"/>
                <w:szCs w:val="24"/>
              </w:rPr>
            </w:pPr>
            <w:r w:rsidRPr="00037467">
              <w:rPr>
                <w:rFonts w:ascii="Times New Roman" w:eastAsiaTheme="minorHAnsi" w:hAnsi="Times New Roman"/>
                <w:sz w:val="24"/>
                <w:szCs w:val="24"/>
              </w:rPr>
              <w:t>Is it relevant to the advancement of:</w:t>
            </w:r>
          </w:p>
        </w:tc>
        <w:tc>
          <w:tcPr>
            <w:tcW w:w="1656"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659"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2D0B69" w:rsidRPr="00037467" w:rsidTr="00B93B15">
        <w:trPr>
          <w:trHeight w:val="10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2D0B69" w:rsidRPr="00037467" w:rsidRDefault="002D0B69" w:rsidP="00863E5E">
            <w:pPr>
              <w:spacing w:after="0" w:line="240" w:lineRule="auto"/>
              <w:rPr>
                <w:rFonts w:ascii="Times New Roman" w:hAnsi="Times New Roman"/>
                <w:sz w:val="24"/>
                <w:szCs w:val="24"/>
              </w:rPr>
            </w:pPr>
          </w:p>
        </w:tc>
        <w:tc>
          <w:tcPr>
            <w:tcW w:w="1656" w:type="dxa"/>
            <w:tcBorders>
              <w:top w:val="single" w:sz="4" w:space="0" w:color="auto"/>
              <w:left w:val="single" w:sz="4" w:space="0" w:color="auto"/>
              <w:bottom w:val="single" w:sz="4" w:space="0" w:color="auto"/>
              <w:right w:val="single" w:sz="4" w:space="0" w:color="auto"/>
            </w:tcBorders>
          </w:tcPr>
          <w:p w:rsidR="002D0B69" w:rsidRPr="00037467" w:rsidRDefault="00B9139B" w:rsidP="00863E5E">
            <w:pPr>
              <w:spacing w:after="0" w:line="240" w:lineRule="auto"/>
              <w:rPr>
                <w:rFonts w:ascii="Times New Roman" w:hAnsi="Times New Roman"/>
                <w:sz w:val="24"/>
                <w:szCs w:val="24"/>
              </w:rPr>
            </w:pPr>
            <w:r w:rsidRPr="00037467">
              <w:rPr>
                <w:rFonts w:ascii="Times New Roman" w:hAnsi="Times New Roman"/>
                <w:sz w:val="24"/>
                <w:szCs w:val="24"/>
              </w:rPr>
              <w:t>X</w:t>
            </w:r>
          </w:p>
        </w:tc>
        <w:tc>
          <w:tcPr>
            <w:tcW w:w="1643" w:type="dxa"/>
            <w:tcBorders>
              <w:top w:val="single" w:sz="4" w:space="0" w:color="auto"/>
              <w:left w:val="single" w:sz="4" w:space="0" w:color="auto"/>
              <w:bottom w:val="single" w:sz="4" w:space="0" w:color="auto"/>
              <w:right w:val="single" w:sz="4" w:space="0" w:color="auto"/>
            </w:tcBorders>
          </w:tcPr>
          <w:p w:rsidR="002D0B69" w:rsidRPr="00037467" w:rsidRDefault="002D0B69" w:rsidP="00863E5E">
            <w:pPr>
              <w:spacing w:after="0" w:line="240" w:lineRule="auto"/>
              <w:rPr>
                <w:rFonts w:ascii="Times New Roman" w:hAnsi="Times New Roman"/>
                <w:sz w:val="24"/>
                <w:szCs w:val="24"/>
              </w:rPr>
            </w:pPr>
          </w:p>
        </w:tc>
        <w:tc>
          <w:tcPr>
            <w:tcW w:w="1659" w:type="dxa"/>
            <w:tcBorders>
              <w:top w:val="single" w:sz="4" w:space="0" w:color="auto"/>
              <w:left w:val="single" w:sz="4" w:space="0" w:color="auto"/>
              <w:bottom w:val="single" w:sz="4" w:space="0" w:color="auto"/>
              <w:right w:val="single" w:sz="4" w:space="0" w:color="auto"/>
            </w:tcBorders>
          </w:tcPr>
          <w:p w:rsidR="002D0B69" w:rsidRPr="00037467" w:rsidRDefault="002D0B69" w:rsidP="00863E5E">
            <w:pPr>
              <w:spacing w:after="0" w:line="240" w:lineRule="auto"/>
              <w:rPr>
                <w:rFonts w:ascii="Times New Roman" w:hAnsi="Times New Roman"/>
                <w:sz w:val="24"/>
                <w:szCs w:val="24"/>
              </w:rPr>
            </w:pPr>
          </w:p>
        </w:tc>
      </w:tr>
      <w:tr w:rsidR="00B93B15" w:rsidRPr="00037467" w:rsidTr="00B93B15">
        <w:trPr>
          <w:trHeight w:val="677"/>
        </w:trPr>
        <w:tc>
          <w:tcPr>
            <w:tcW w:w="3797" w:type="dxa"/>
            <w:gridSpan w:val="2"/>
            <w:tcBorders>
              <w:top w:val="single" w:sz="4" w:space="0" w:color="auto"/>
              <w:left w:val="single" w:sz="4" w:space="0" w:color="auto"/>
              <w:bottom w:val="single" w:sz="4" w:space="0" w:color="auto"/>
              <w:right w:val="single" w:sz="4" w:space="0" w:color="auto"/>
            </w:tcBorders>
          </w:tcPr>
          <w:p w:rsidR="00B93B15" w:rsidRPr="00037467" w:rsidRDefault="00037467"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Verifiable</w:t>
            </w:r>
            <w:r w:rsidR="00B93B15" w:rsidRPr="00037467">
              <w:rPr>
                <w:rFonts w:ascii="Times New Roman" w:hAnsi="Times New Roman" w:cs="Times New Roman"/>
                <w:sz w:val="24"/>
                <w:szCs w:val="24"/>
                <w:lang w:val="en-GB"/>
              </w:rPr>
              <w:t xml:space="preserve"> and measurable milestones to </w:t>
            </w:r>
            <w:r w:rsidRPr="00037467">
              <w:rPr>
                <w:rFonts w:ascii="Times New Roman" w:hAnsi="Times New Roman" w:cs="Times New Roman"/>
                <w:sz w:val="24"/>
                <w:szCs w:val="24"/>
                <w:lang w:val="en-GB"/>
              </w:rPr>
              <w:t>fulfil</w:t>
            </w:r>
            <w:r w:rsidR="00B93B15" w:rsidRPr="00037467">
              <w:rPr>
                <w:rFonts w:ascii="Times New Roman" w:hAnsi="Times New Roman" w:cs="Times New Roman"/>
                <w:sz w:val="24"/>
                <w:szCs w:val="24"/>
                <w:lang w:val="en-GB"/>
              </w:rPr>
              <w:t xml:space="preserve"> the commitment:</w:t>
            </w:r>
          </w:p>
          <w:p w:rsidR="00B93B15" w:rsidRPr="00037467" w:rsidRDefault="00B93B15" w:rsidP="00863E5E">
            <w:pPr>
              <w:pStyle w:val="NoSpacing"/>
              <w:rPr>
                <w:rFonts w:ascii="Times New Roman" w:hAnsi="Times New Roman" w:cs="Times New Roman"/>
                <w:sz w:val="24"/>
                <w:szCs w:val="24"/>
                <w:lang w:val="en-GB"/>
              </w:rPr>
            </w:pPr>
          </w:p>
        </w:tc>
        <w:tc>
          <w:tcPr>
            <w:tcW w:w="1656" w:type="dxa"/>
            <w:tcBorders>
              <w:top w:val="single" w:sz="4" w:space="0" w:color="auto"/>
              <w:left w:val="single" w:sz="4" w:space="0" w:color="auto"/>
              <w:bottom w:val="single" w:sz="4" w:space="0" w:color="auto"/>
              <w:right w:val="single" w:sz="4"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3"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659" w:type="dxa"/>
            <w:tcBorders>
              <w:top w:val="single" w:sz="4" w:space="0" w:color="auto"/>
              <w:left w:val="single" w:sz="4" w:space="0" w:color="auto"/>
              <w:bottom w:val="single" w:sz="4" w:space="0" w:color="auto"/>
              <w:right w:val="single" w:sz="4" w:space="0" w:color="auto"/>
            </w:tcBorders>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2D0B69" w:rsidRPr="00037467" w:rsidTr="00B93B15">
        <w:trPr>
          <w:trHeight w:val="416"/>
        </w:trPr>
        <w:tc>
          <w:tcPr>
            <w:tcW w:w="3797" w:type="dxa"/>
            <w:gridSpan w:val="2"/>
            <w:tcBorders>
              <w:top w:val="single" w:sz="4" w:space="0" w:color="auto"/>
              <w:left w:val="single" w:sz="4" w:space="0" w:color="auto"/>
              <w:bottom w:val="single" w:sz="4" w:space="0" w:color="auto"/>
              <w:right w:val="single" w:sz="4" w:space="0" w:color="auto"/>
            </w:tcBorders>
          </w:tcPr>
          <w:p w:rsidR="00C3290A" w:rsidRPr="00037467" w:rsidRDefault="00262DD5" w:rsidP="00863E5E">
            <w:pPr>
              <w:spacing w:after="0" w:line="240" w:lineRule="auto"/>
              <w:rPr>
                <w:rFonts w:ascii="Times New Roman" w:hAnsi="Times New Roman"/>
                <w:sz w:val="24"/>
                <w:szCs w:val="24"/>
              </w:rPr>
            </w:pPr>
            <w:r w:rsidRPr="00037467">
              <w:rPr>
                <w:rFonts w:ascii="Times New Roman" w:hAnsi="Times New Roman"/>
                <w:b/>
                <w:sz w:val="24"/>
                <w:szCs w:val="24"/>
              </w:rPr>
              <w:t>1.</w:t>
            </w:r>
            <w:r w:rsidRPr="00037467">
              <w:rPr>
                <w:rFonts w:ascii="Times New Roman" w:hAnsi="Times New Roman"/>
                <w:sz w:val="24"/>
                <w:szCs w:val="24"/>
              </w:rPr>
              <w:t xml:space="preserve">  </w:t>
            </w:r>
            <w:r w:rsidR="00C3290A" w:rsidRPr="00037467">
              <w:rPr>
                <w:rFonts w:ascii="Times New Roman" w:hAnsi="Times New Roman"/>
                <w:b/>
                <w:sz w:val="24"/>
                <w:szCs w:val="24"/>
              </w:rPr>
              <w:t>Increased trust in the work of the Saeima and the Cabinet</w:t>
            </w:r>
          </w:p>
          <w:p w:rsidR="00262DD5" w:rsidRPr="00037467" w:rsidRDefault="00262DD5" w:rsidP="00863E5E">
            <w:pPr>
              <w:spacing w:after="0" w:line="240" w:lineRule="auto"/>
              <w:rPr>
                <w:rFonts w:ascii="Times New Roman" w:hAnsi="Times New Roman"/>
                <w:sz w:val="24"/>
                <w:szCs w:val="24"/>
              </w:rPr>
            </w:pPr>
          </w:p>
          <w:p w:rsidR="00A83206" w:rsidRPr="00037467" w:rsidRDefault="009624B9" w:rsidP="00863E5E">
            <w:pPr>
              <w:spacing w:after="0" w:line="240" w:lineRule="auto"/>
              <w:rPr>
                <w:rFonts w:ascii="Times New Roman" w:hAnsi="Times New Roman"/>
                <w:sz w:val="24"/>
                <w:szCs w:val="24"/>
              </w:rPr>
            </w:pPr>
            <w:r w:rsidRPr="00037467">
              <w:rPr>
                <w:rFonts w:ascii="Times New Roman" w:hAnsi="Times New Roman"/>
                <w:sz w:val="24"/>
                <w:szCs w:val="24"/>
              </w:rPr>
              <w:t xml:space="preserve">a) </w:t>
            </w:r>
            <w:r w:rsidR="00C3290A" w:rsidRPr="00037467">
              <w:rPr>
                <w:rFonts w:ascii="Times New Roman" w:hAnsi="Times New Roman"/>
                <w:sz w:val="24"/>
                <w:szCs w:val="24"/>
              </w:rPr>
              <w:t xml:space="preserve">Increasing numbers of respondents who trust the Saeima </w:t>
            </w:r>
            <w:r w:rsidR="00323830" w:rsidRPr="00037467">
              <w:rPr>
                <w:rFonts w:ascii="Times New Roman" w:hAnsi="Times New Roman"/>
                <w:sz w:val="24"/>
                <w:szCs w:val="24"/>
              </w:rPr>
              <w:t>in terms of resisting corruption:</w:t>
            </w:r>
          </w:p>
          <w:p w:rsidR="00323830" w:rsidRPr="00037467" w:rsidRDefault="00323830" w:rsidP="00863E5E">
            <w:pPr>
              <w:spacing w:after="0" w:line="240" w:lineRule="auto"/>
              <w:rPr>
                <w:rFonts w:ascii="Times New Roman" w:hAnsi="Times New Roman"/>
                <w:sz w:val="24"/>
                <w:szCs w:val="24"/>
              </w:rPr>
            </w:pPr>
            <w:r w:rsidRPr="00037467">
              <w:rPr>
                <w:rFonts w:ascii="Times New Roman" w:hAnsi="Times New Roman"/>
                <w:sz w:val="24"/>
                <w:szCs w:val="24"/>
              </w:rPr>
              <w:t>22.7% in 2012</w:t>
            </w:r>
          </w:p>
          <w:p w:rsidR="00323830" w:rsidRPr="00037467" w:rsidRDefault="00323830" w:rsidP="00863E5E">
            <w:pPr>
              <w:spacing w:after="0" w:line="240" w:lineRule="auto"/>
              <w:rPr>
                <w:rFonts w:ascii="Times New Roman" w:hAnsi="Times New Roman"/>
                <w:sz w:val="24"/>
                <w:szCs w:val="24"/>
              </w:rPr>
            </w:pPr>
            <w:r w:rsidRPr="00037467">
              <w:rPr>
                <w:rFonts w:ascii="Times New Roman" w:hAnsi="Times New Roman"/>
                <w:sz w:val="24"/>
                <w:szCs w:val="24"/>
              </w:rPr>
              <w:t>50% in 2020</w:t>
            </w:r>
          </w:p>
          <w:p w:rsidR="00323830" w:rsidRPr="00037467" w:rsidRDefault="009624B9" w:rsidP="00863E5E">
            <w:pPr>
              <w:spacing w:after="0" w:line="240" w:lineRule="auto"/>
              <w:rPr>
                <w:rFonts w:ascii="Times New Roman" w:hAnsi="Times New Roman"/>
                <w:sz w:val="24"/>
                <w:szCs w:val="24"/>
              </w:rPr>
            </w:pPr>
            <w:r w:rsidRPr="00037467">
              <w:rPr>
                <w:rFonts w:ascii="Times New Roman" w:hAnsi="Times New Roman"/>
                <w:sz w:val="24"/>
                <w:szCs w:val="24"/>
              </w:rPr>
              <w:t xml:space="preserve">b) </w:t>
            </w:r>
            <w:r w:rsidR="00323830" w:rsidRPr="00037467">
              <w:rPr>
                <w:rFonts w:ascii="Times New Roman" w:hAnsi="Times New Roman"/>
                <w:sz w:val="24"/>
                <w:szCs w:val="24"/>
              </w:rPr>
              <w:t>Increasing numbers of respondents who trust the Cabinet of Ministers in terms of resisting corruption:</w:t>
            </w:r>
          </w:p>
          <w:p w:rsidR="00323830" w:rsidRPr="00037467" w:rsidRDefault="004612F5" w:rsidP="00863E5E">
            <w:pPr>
              <w:spacing w:after="0" w:line="240" w:lineRule="auto"/>
              <w:rPr>
                <w:rFonts w:ascii="Times New Roman" w:hAnsi="Times New Roman"/>
                <w:sz w:val="24"/>
                <w:szCs w:val="24"/>
              </w:rPr>
            </w:pPr>
            <w:r w:rsidRPr="00037467">
              <w:rPr>
                <w:rFonts w:ascii="Times New Roman" w:hAnsi="Times New Roman"/>
                <w:sz w:val="24"/>
                <w:szCs w:val="24"/>
              </w:rPr>
              <w:t>24</w:t>
            </w:r>
            <w:r w:rsidR="00323830" w:rsidRPr="00037467">
              <w:rPr>
                <w:rFonts w:ascii="Times New Roman" w:hAnsi="Times New Roman"/>
                <w:sz w:val="24"/>
                <w:szCs w:val="24"/>
              </w:rPr>
              <w:t>.7% in 2012</w:t>
            </w:r>
          </w:p>
          <w:p w:rsidR="004612F5" w:rsidRPr="00037467" w:rsidRDefault="004612F5" w:rsidP="00863E5E">
            <w:pPr>
              <w:spacing w:after="0" w:line="240" w:lineRule="auto"/>
              <w:rPr>
                <w:rFonts w:ascii="Times New Roman" w:hAnsi="Times New Roman"/>
                <w:sz w:val="24"/>
                <w:szCs w:val="24"/>
              </w:rPr>
            </w:pPr>
            <w:r w:rsidRPr="00037467">
              <w:rPr>
                <w:rFonts w:ascii="Times New Roman" w:hAnsi="Times New Roman"/>
                <w:sz w:val="24"/>
                <w:szCs w:val="24"/>
              </w:rPr>
              <w:t>25% in 2014</w:t>
            </w:r>
          </w:p>
          <w:p w:rsidR="00323830" w:rsidRPr="00037467" w:rsidRDefault="004612F5" w:rsidP="00863E5E">
            <w:pPr>
              <w:spacing w:after="0" w:line="240" w:lineRule="auto"/>
              <w:rPr>
                <w:rFonts w:ascii="Times New Roman" w:hAnsi="Times New Roman"/>
                <w:sz w:val="24"/>
                <w:szCs w:val="24"/>
              </w:rPr>
            </w:pPr>
            <w:r w:rsidRPr="00037467">
              <w:rPr>
                <w:rFonts w:ascii="Times New Roman" w:hAnsi="Times New Roman"/>
                <w:sz w:val="24"/>
                <w:szCs w:val="24"/>
              </w:rPr>
              <w:t>48</w:t>
            </w:r>
            <w:r w:rsidR="00323830" w:rsidRPr="00037467">
              <w:rPr>
                <w:rFonts w:ascii="Times New Roman" w:hAnsi="Times New Roman"/>
                <w:sz w:val="24"/>
                <w:szCs w:val="24"/>
              </w:rPr>
              <w:t>% in 2020</w:t>
            </w:r>
          </w:p>
          <w:p w:rsidR="00323830" w:rsidRPr="00037467" w:rsidRDefault="00323830" w:rsidP="00863E5E">
            <w:pPr>
              <w:spacing w:after="0" w:line="240" w:lineRule="auto"/>
              <w:rPr>
                <w:rFonts w:ascii="Times New Roman" w:hAnsi="Times New Roman"/>
                <w:sz w:val="24"/>
                <w:szCs w:val="24"/>
              </w:rPr>
            </w:pPr>
          </w:p>
          <w:p w:rsidR="00A83206" w:rsidRPr="00037467" w:rsidRDefault="00262DD5" w:rsidP="00863E5E">
            <w:pPr>
              <w:spacing w:after="0" w:line="240" w:lineRule="auto"/>
              <w:rPr>
                <w:rFonts w:ascii="Times New Roman" w:hAnsi="Times New Roman"/>
                <w:sz w:val="24"/>
                <w:szCs w:val="24"/>
              </w:rPr>
            </w:pPr>
            <w:r w:rsidRPr="00037467">
              <w:rPr>
                <w:rFonts w:ascii="Times New Roman" w:hAnsi="Times New Roman"/>
                <w:b/>
                <w:sz w:val="24"/>
                <w:szCs w:val="24"/>
              </w:rPr>
              <w:t>2.</w:t>
            </w:r>
            <w:r w:rsidRPr="00037467">
              <w:rPr>
                <w:rFonts w:ascii="Times New Roman" w:hAnsi="Times New Roman"/>
                <w:sz w:val="24"/>
                <w:szCs w:val="24"/>
              </w:rPr>
              <w:t xml:space="preserve"> </w:t>
            </w:r>
            <w:r w:rsidR="004612F5" w:rsidRPr="00037467">
              <w:rPr>
                <w:rFonts w:ascii="Times New Roman" w:hAnsi="Times New Roman"/>
                <w:b/>
                <w:sz w:val="24"/>
                <w:szCs w:val="24"/>
              </w:rPr>
              <w:t>Lower number of violations of political party financing regulations</w:t>
            </w:r>
            <w:r w:rsidRPr="00037467">
              <w:rPr>
                <w:rFonts w:ascii="Times New Roman" w:hAnsi="Times New Roman"/>
                <w:sz w:val="24"/>
                <w:szCs w:val="24"/>
              </w:rPr>
              <w:tab/>
            </w:r>
          </w:p>
          <w:p w:rsidR="00906020" w:rsidRPr="00037467" w:rsidRDefault="009624B9" w:rsidP="00863E5E">
            <w:pPr>
              <w:spacing w:after="0" w:line="240" w:lineRule="auto"/>
              <w:rPr>
                <w:rFonts w:ascii="Times New Roman" w:hAnsi="Times New Roman"/>
                <w:sz w:val="24"/>
                <w:szCs w:val="24"/>
              </w:rPr>
            </w:pPr>
            <w:r w:rsidRPr="00037467">
              <w:rPr>
                <w:rFonts w:ascii="Times New Roman" w:hAnsi="Times New Roman"/>
                <w:sz w:val="24"/>
                <w:szCs w:val="24"/>
              </w:rPr>
              <w:t xml:space="preserve">a) </w:t>
            </w:r>
            <w:r w:rsidR="004612F5" w:rsidRPr="00037467">
              <w:rPr>
                <w:rFonts w:ascii="Times New Roman" w:hAnsi="Times New Roman"/>
                <w:sz w:val="24"/>
                <w:szCs w:val="24"/>
              </w:rPr>
              <w:t xml:space="preserve">Increasing numbers of respondents who see the financial activities of political parties as being transparent and their supervision effective: </w:t>
            </w:r>
            <w:r w:rsidR="00262DD5" w:rsidRPr="00037467">
              <w:rPr>
                <w:rFonts w:ascii="Times New Roman" w:hAnsi="Times New Roman"/>
                <w:sz w:val="24"/>
                <w:szCs w:val="24"/>
              </w:rPr>
              <w:tab/>
            </w:r>
          </w:p>
          <w:p w:rsidR="00474BC3" w:rsidRPr="00037467" w:rsidRDefault="00474BC3" w:rsidP="00863E5E">
            <w:pPr>
              <w:spacing w:after="0" w:line="240" w:lineRule="auto"/>
              <w:rPr>
                <w:rFonts w:ascii="Times New Roman" w:hAnsi="Times New Roman"/>
                <w:sz w:val="24"/>
                <w:szCs w:val="24"/>
              </w:rPr>
            </w:pPr>
            <w:r w:rsidRPr="00037467">
              <w:rPr>
                <w:rFonts w:ascii="Times New Roman" w:hAnsi="Times New Roman"/>
                <w:sz w:val="24"/>
                <w:szCs w:val="24"/>
              </w:rPr>
              <w:t>15%</w:t>
            </w:r>
            <w:r w:rsidR="004612F5" w:rsidRPr="00037467">
              <w:rPr>
                <w:rFonts w:ascii="Times New Roman" w:hAnsi="Times New Roman"/>
                <w:sz w:val="24"/>
                <w:szCs w:val="24"/>
              </w:rPr>
              <w:t xml:space="preserve"> in 2013</w:t>
            </w:r>
          </w:p>
          <w:p w:rsidR="00474BC3" w:rsidRPr="00037467" w:rsidRDefault="00262DD5" w:rsidP="00863E5E">
            <w:pPr>
              <w:spacing w:after="0" w:line="240" w:lineRule="auto"/>
              <w:rPr>
                <w:rFonts w:ascii="Times New Roman" w:hAnsi="Times New Roman"/>
                <w:sz w:val="24"/>
                <w:szCs w:val="24"/>
              </w:rPr>
            </w:pPr>
            <w:r w:rsidRPr="00037467">
              <w:rPr>
                <w:rFonts w:ascii="Times New Roman" w:hAnsi="Times New Roman"/>
                <w:sz w:val="24"/>
                <w:szCs w:val="24"/>
              </w:rPr>
              <w:t>16%</w:t>
            </w:r>
            <w:r w:rsidR="004612F5" w:rsidRPr="00037467">
              <w:rPr>
                <w:rFonts w:ascii="Times New Roman" w:hAnsi="Times New Roman"/>
                <w:sz w:val="24"/>
                <w:szCs w:val="24"/>
              </w:rPr>
              <w:t xml:space="preserve"> in 2014</w:t>
            </w:r>
            <w:r w:rsidRPr="00037467">
              <w:rPr>
                <w:rFonts w:ascii="Times New Roman" w:hAnsi="Times New Roman"/>
                <w:sz w:val="24"/>
                <w:szCs w:val="24"/>
              </w:rPr>
              <w:tab/>
            </w:r>
          </w:p>
          <w:p w:rsidR="00262DD5" w:rsidRPr="00037467" w:rsidRDefault="00262DD5" w:rsidP="00863E5E">
            <w:pPr>
              <w:spacing w:after="0" w:line="240" w:lineRule="auto"/>
              <w:rPr>
                <w:rFonts w:ascii="Times New Roman" w:hAnsi="Times New Roman"/>
                <w:sz w:val="24"/>
                <w:szCs w:val="24"/>
              </w:rPr>
            </w:pPr>
            <w:r w:rsidRPr="00037467">
              <w:rPr>
                <w:rFonts w:ascii="Times New Roman" w:hAnsi="Times New Roman"/>
                <w:sz w:val="24"/>
                <w:szCs w:val="24"/>
              </w:rPr>
              <w:t>28%</w:t>
            </w:r>
            <w:r w:rsidR="004612F5" w:rsidRPr="00037467">
              <w:rPr>
                <w:rFonts w:ascii="Times New Roman" w:hAnsi="Times New Roman"/>
                <w:sz w:val="24"/>
                <w:szCs w:val="24"/>
              </w:rPr>
              <w:t xml:space="preserve"> in 2020</w:t>
            </w:r>
          </w:p>
          <w:p w:rsidR="00A83206" w:rsidRPr="00037467" w:rsidRDefault="00A83206" w:rsidP="00863E5E">
            <w:pPr>
              <w:spacing w:after="0" w:line="240" w:lineRule="auto"/>
              <w:rPr>
                <w:rFonts w:ascii="Times New Roman" w:hAnsi="Times New Roman"/>
                <w:sz w:val="24"/>
                <w:szCs w:val="24"/>
              </w:rPr>
            </w:pPr>
          </w:p>
          <w:p w:rsidR="00474BC3" w:rsidRPr="00037467" w:rsidRDefault="009624B9" w:rsidP="00863E5E">
            <w:pPr>
              <w:spacing w:after="0" w:line="240" w:lineRule="auto"/>
              <w:rPr>
                <w:rFonts w:ascii="Times New Roman" w:hAnsi="Times New Roman"/>
                <w:sz w:val="24"/>
                <w:szCs w:val="24"/>
              </w:rPr>
            </w:pPr>
            <w:r w:rsidRPr="00037467">
              <w:rPr>
                <w:rFonts w:ascii="Times New Roman" w:hAnsi="Times New Roman"/>
                <w:sz w:val="24"/>
                <w:szCs w:val="24"/>
              </w:rPr>
              <w:t xml:space="preserve">b) </w:t>
            </w:r>
            <w:r w:rsidR="004612F5" w:rsidRPr="00037467">
              <w:rPr>
                <w:rFonts w:ascii="Times New Roman" w:hAnsi="Times New Roman"/>
                <w:sz w:val="24"/>
                <w:szCs w:val="24"/>
              </w:rPr>
              <w:t>Decreasing percentage of parties and party unions, the audits of whose annual reports and declarations of election-related revenues and expenditure</w:t>
            </w:r>
            <w:r w:rsidR="00F0729A" w:rsidRPr="00037467">
              <w:rPr>
                <w:rFonts w:ascii="Times New Roman" w:hAnsi="Times New Roman"/>
                <w:sz w:val="24"/>
                <w:szCs w:val="24"/>
              </w:rPr>
              <w:t>s</w:t>
            </w:r>
            <w:r w:rsidR="004612F5" w:rsidRPr="00037467">
              <w:rPr>
                <w:rFonts w:ascii="Times New Roman" w:hAnsi="Times New Roman"/>
                <w:sz w:val="24"/>
                <w:szCs w:val="24"/>
              </w:rPr>
              <w:t xml:space="preserve"> reveal administrative viola</w:t>
            </w:r>
            <w:r w:rsidR="00F0729A" w:rsidRPr="00037467">
              <w:rPr>
                <w:rFonts w:ascii="Times New Roman" w:hAnsi="Times New Roman"/>
                <w:sz w:val="24"/>
                <w:szCs w:val="24"/>
              </w:rPr>
              <w:t>tions:</w:t>
            </w:r>
            <w:r w:rsidR="00262DD5" w:rsidRPr="00037467">
              <w:rPr>
                <w:rFonts w:ascii="Times New Roman" w:hAnsi="Times New Roman"/>
                <w:sz w:val="24"/>
                <w:szCs w:val="24"/>
              </w:rPr>
              <w:tab/>
            </w:r>
          </w:p>
          <w:p w:rsidR="00262DD5" w:rsidRPr="00037467" w:rsidRDefault="00AE1CC8" w:rsidP="00863E5E">
            <w:pPr>
              <w:spacing w:after="0" w:line="240" w:lineRule="auto"/>
              <w:rPr>
                <w:rFonts w:ascii="Times New Roman" w:hAnsi="Times New Roman"/>
                <w:sz w:val="24"/>
                <w:szCs w:val="24"/>
              </w:rPr>
            </w:pPr>
            <w:r w:rsidRPr="00037467">
              <w:rPr>
                <w:rFonts w:ascii="Times New Roman" w:hAnsi="Times New Roman"/>
                <w:sz w:val="24"/>
                <w:szCs w:val="24"/>
              </w:rPr>
              <w:t xml:space="preserve">30% in </w:t>
            </w:r>
            <w:r w:rsidR="00474BC3" w:rsidRPr="00037467">
              <w:rPr>
                <w:rFonts w:ascii="Times New Roman" w:hAnsi="Times New Roman"/>
                <w:sz w:val="24"/>
                <w:szCs w:val="24"/>
              </w:rPr>
              <w:t>2012</w:t>
            </w:r>
            <w:r w:rsidRPr="00037467">
              <w:rPr>
                <w:rFonts w:ascii="Times New Roman" w:hAnsi="Times New Roman"/>
                <w:sz w:val="24"/>
                <w:szCs w:val="24"/>
              </w:rPr>
              <w:t xml:space="preserve"> (the year when the </w:t>
            </w:r>
            <w:r w:rsidRPr="00037467">
              <w:rPr>
                <w:rFonts w:ascii="Times New Roman" w:hAnsi="Times New Roman"/>
                <w:sz w:val="24"/>
                <w:szCs w:val="24"/>
              </w:rPr>
              <w:lastRenderedPageBreak/>
              <w:t xml:space="preserve">results of checks </w:t>
            </w:r>
            <w:r w:rsidR="00F0729A" w:rsidRPr="00037467">
              <w:rPr>
                <w:rFonts w:ascii="Times New Roman" w:hAnsi="Times New Roman"/>
                <w:sz w:val="24"/>
                <w:szCs w:val="24"/>
              </w:rPr>
              <w:t>of election declarations are made public</w:t>
            </w:r>
            <w:r w:rsidR="000362D0" w:rsidRPr="00037467">
              <w:rPr>
                <w:rFonts w:ascii="Times New Roman" w:hAnsi="Times New Roman"/>
                <w:sz w:val="24"/>
                <w:szCs w:val="24"/>
              </w:rPr>
              <w:t>)</w:t>
            </w:r>
          </w:p>
          <w:p w:rsidR="00262DD5" w:rsidRPr="00037467" w:rsidRDefault="00F0729A" w:rsidP="00863E5E">
            <w:pPr>
              <w:spacing w:after="0" w:line="240" w:lineRule="auto"/>
              <w:rPr>
                <w:rFonts w:ascii="Times New Roman" w:hAnsi="Times New Roman"/>
                <w:sz w:val="24"/>
                <w:szCs w:val="24"/>
              </w:rPr>
            </w:pPr>
            <w:r w:rsidRPr="00037467">
              <w:rPr>
                <w:rFonts w:ascii="Times New Roman" w:hAnsi="Times New Roman"/>
                <w:sz w:val="24"/>
                <w:szCs w:val="24"/>
              </w:rPr>
              <w:t>10% in 2013</w:t>
            </w:r>
          </w:p>
          <w:p w:rsidR="00F0729A" w:rsidRPr="00037467" w:rsidRDefault="00F0729A" w:rsidP="00863E5E">
            <w:pPr>
              <w:spacing w:after="0" w:line="240" w:lineRule="auto"/>
              <w:rPr>
                <w:rFonts w:ascii="Times New Roman" w:hAnsi="Times New Roman"/>
                <w:sz w:val="24"/>
                <w:szCs w:val="24"/>
              </w:rPr>
            </w:pPr>
            <w:r w:rsidRPr="00037467">
              <w:rPr>
                <w:rFonts w:ascii="Times New Roman" w:hAnsi="Times New Roman"/>
                <w:sz w:val="24"/>
                <w:szCs w:val="24"/>
              </w:rPr>
              <w:t>28% in 2014</w:t>
            </w:r>
            <w:r w:rsidR="000362D0" w:rsidRPr="00037467">
              <w:rPr>
                <w:rFonts w:ascii="Times New Roman" w:hAnsi="Times New Roman"/>
                <w:sz w:val="24"/>
                <w:szCs w:val="24"/>
              </w:rPr>
              <w:t xml:space="preserve"> </w:t>
            </w:r>
            <w:r w:rsidRPr="00037467">
              <w:rPr>
                <w:rFonts w:ascii="Times New Roman" w:hAnsi="Times New Roman"/>
                <w:sz w:val="24"/>
                <w:szCs w:val="24"/>
              </w:rPr>
              <w:t>(the year when the results of checks of election declarations are made public)</w:t>
            </w:r>
          </w:p>
          <w:p w:rsidR="002D0B69" w:rsidRPr="00037467" w:rsidRDefault="00F0729A" w:rsidP="00863E5E">
            <w:pPr>
              <w:spacing w:after="0" w:line="240" w:lineRule="auto"/>
              <w:rPr>
                <w:rFonts w:ascii="Times New Roman" w:hAnsi="Times New Roman"/>
                <w:sz w:val="24"/>
                <w:szCs w:val="24"/>
              </w:rPr>
            </w:pPr>
            <w:r w:rsidRPr="00037467">
              <w:rPr>
                <w:rFonts w:ascii="Times New Roman" w:hAnsi="Times New Roman"/>
                <w:sz w:val="24"/>
                <w:szCs w:val="24"/>
              </w:rPr>
              <w:t>10% in 2020</w:t>
            </w:r>
          </w:p>
        </w:tc>
        <w:tc>
          <w:tcPr>
            <w:tcW w:w="1656" w:type="dxa"/>
            <w:tcBorders>
              <w:top w:val="single" w:sz="4" w:space="0" w:color="auto"/>
              <w:left w:val="single" w:sz="4" w:space="0" w:color="auto"/>
              <w:bottom w:val="single" w:sz="4" w:space="0" w:color="auto"/>
              <w:right w:val="single" w:sz="4" w:space="0" w:color="auto"/>
            </w:tcBorders>
          </w:tcPr>
          <w:p w:rsidR="002D0B69" w:rsidRPr="00037467" w:rsidRDefault="002D0B69" w:rsidP="00863E5E">
            <w:pPr>
              <w:spacing w:after="0" w:line="240" w:lineRule="auto"/>
              <w:rPr>
                <w:rFonts w:ascii="Times New Roman" w:hAnsi="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2D0B69" w:rsidRPr="00037467" w:rsidRDefault="00F92D0C" w:rsidP="00863E5E">
            <w:pPr>
              <w:spacing w:after="0" w:line="240" w:lineRule="auto"/>
              <w:rPr>
                <w:rFonts w:ascii="Times New Roman" w:hAnsi="Times New Roman"/>
                <w:sz w:val="24"/>
                <w:szCs w:val="24"/>
              </w:rPr>
            </w:pPr>
            <w:r w:rsidRPr="00037467">
              <w:rPr>
                <w:rFonts w:ascii="Times New Roman" w:hAnsi="Times New Roman"/>
                <w:sz w:val="24"/>
                <w:szCs w:val="24"/>
              </w:rPr>
              <w:t>2014</w:t>
            </w:r>
          </w:p>
        </w:tc>
        <w:tc>
          <w:tcPr>
            <w:tcW w:w="1659" w:type="dxa"/>
            <w:tcBorders>
              <w:top w:val="single" w:sz="4" w:space="0" w:color="auto"/>
              <w:left w:val="single" w:sz="4" w:space="0" w:color="auto"/>
              <w:bottom w:val="single" w:sz="4" w:space="0" w:color="auto"/>
              <w:right w:val="single" w:sz="4" w:space="0" w:color="auto"/>
            </w:tcBorders>
          </w:tcPr>
          <w:p w:rsidR="002D0B69" w:rsidRPr="00037467" w:rsidRDefault="00F92D0C" w:rsidP="00863E5E">
            <w:pPr>
              <w:spacing w:after="0" w:line="240" w:lineRule="auto"/>
              <w:rPr>
                <w:rFonts w:ascii="Times New Roman" w:hAnsi="Times New Roman"/>
                <w:sz w:val="24"/>
                <w:szCs w:val="24"/>
              </w:rPr>
            </w:pPr>
            <w:r w:rsidRPr="00037467">
              <w:rPr>
                <w:rFonts w:ascii="Times New Roman" w:hAnsi="Times New Roman"/>
                <w:sz w:val="24"/>
                <w:szCs w:val="24"/>
              </w:rPr>
              <w:t>2020</w:t>
            </w:r>
          </w:p>
        </w:tc>
      </w:tr>
    </w:tbl>
    <w:p w:rsidR="002D0B69" w:rsidRPr="00037467" w:rsidRDefault="002D0B69" w:rsidP="00863E5E">
      <w:pPr>
        <w:spacing w:after="0" w:line="240" w:lineRule="auto"/>
        <w:rPr>
          <w:rFonts w:ascii="Times New Roman" w:hAnsi="Times New Roman"/>
          <w:sz w:val="24"/>
          <w:szCs w:val="24"/>
        </w:rPr>
      </w:pPr>
    </w:p>
    <w:tbl>
      <w:tblPr>
        <w:tblW w:w="8793" w:type="dxa"/>
        <w:tblCellMar>
          <w:left w:w="0" w:type="dxa"/>
          <w:right w:w="0" w:type="dxa"/>
        </w:tblCellMar>
        <w:tblLook w:val="04A0" w:firstRow="1" w:lastRow="0" w:firstColumn="1" w:lastColumn="0" w:noHBand="0" w:noVBand="1"/>
      </w:tblPr>
      <w:tblGrid>
        <w:gridCol w:w="2019"/>
        <w:gridCol w:w="2036"/>
        <w:gridCol w:w="1635"/>
        <w:gridCol w:w="6"/>
        <w:gridCol w:w="1643"/>
        <w:gridCol w:w="1454"/>
      </w:tblGrid>
      <w:tr w:rsidR="00962EB3" w:rsidRPr="00037467" w:rsidTr="00962EB3">
        <w:tc>
          <w:tcPr>
            <w:tcW w:w="8793"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C3290A" w:rsidP="00863E5E">
            <w:pPr>
              <w:spacing w:after="0" w:line="240" w:lineRule="auto"/>
              <w:jc w:val="center"/>
              <w:rPr>
                <w:rFonts w:ascii="Times New Roman" w:eastAsiaTheme="minorHAnsi" w:hAnsi="Times New Roman"/>
                <w:sz w:val="24"/>
                <w:szCs w:val="24"/>
              </w:rPr>
            </w:pPr>
            <w:r w:rsidRPr="00037467">
              <w:rPr>
                <w:rFonts w:ascii="Times New Roman" w:hAnsi="Times New Roman"/>
                <w:sz w:val="24"/>
                <w:szCs w:val="24"/>
              </w:rPr>
              <w:t>Commitment</w:t>
            </w:r>
          </w:p>
        </w:tc>
      </w:tr>
      <w:tr w:rsidR="00962EB3" w:rsidRPr="00037467" w:rsidTr="00962EB3">
        <w:tc>
          <w:tcPr>
            <w:tcW w:w="8793"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272C2" w:rsidRPr="00037467" w:rsidRDefault="00A9410F" w:rsidP="00863E5E">
            <w:pPr>
              <w:spacing w:after="0" w:line="240" w:lineRule="auto"/>
              <w:jc w:val="center"/>
              <w:rPr>
                <w:rFonts w:ascii="Times New Roman" w:hAnsi="Times New Roman"/>
                <w:b/>
                <w:bCs/>
                <w:sz w:val="24"/>
                <w:szCs w:val="24"/>
              </w:rPr>
            </w:pPr>
            <w:r>
              <w:rPr>
                <w:rFonts w:ascii="Times New Roman" w:hAnsi="Times New Roman"/>
                <w:b/>
                <w:bCs/>
                <w:sz w:val="24"/>
                <w:szCs w:val="24"/>
              </w:rPr>
              <w:t>10</w:t>
            </w:r>
            <w:r w:rsidR="000272C2" w:rsidRPr="00037467">
              <w:rPr>
                <w:rFonts w:ascii="Times New Roman" w:hAnsi="Times New Roman"/>
                <w:b/>
                <w:bCs/>
                <w:sz w:val="24"/>
                <w:szCs w:val="24"/>
              </w:rPr>
              <w:t xml:space="preserve">. </w:t>
            </w:r>
          </w:p>
          <w:p w:rsidR="000272C2" w:rsidRPr="00037467" w:rsidRDefault="000272C2" w:rsidP="00863E5E">
            <w:pPr>
              <w:spacing w:after="0" w:line="240" w:lineRule="auto"/>
              <w:jc w:val="center"/>
              <w:rPr>
                <w:rFonts w:ascii="Times New Roman" w:eastAsiaTheme="minorHAnsi" w:hAnsi="Times New Roman"/>
                <w:b/>
                <w:bCs/>
                <w:sz w:val="24"/>
                <w:szCs w:val="24"/>
              </w:rPr>
            </w:pPr>
            <w:r w:rsidRPr="00037467">
              <w:rPr>
                <w:rFonts w:ascii="Times New Roman" w:hAnsi="Times New Roman"/>
                <w:b/>
                <w:bCs/>
                <w:sz w:val="24"/>
                <w:szCs w:val="24"/>
              </w:rPr>
              <w:t>A Public Administration Employee’s Handbook including a Code of Ethics for those employed in direct public administration</w:t>
            </w:r>
          </w:p>
        </w:tc>
      </w:tr>
      <w:tr w:rsidR="00962EB3"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962EB3"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 </w:t>
            </w:r>
            <w:r w:rsidR="00B93B15" w:rsidRPr="00037467">
              <w:rPr>
                <w:rFonts w:ascii="Times New Roman" w:hAnsi="Times New Roman"/>
                <w:sz w:val="24"/>
                <w:szCs w:val="24"/>
              </w:rPr>
              <w:t>Lead agency</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62EB3" w:rsidRPr="00037467" w:rsidRDefault="000272C2"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State Chancellery</w:t>
            </w:r>
          </w:p>
        </w:tc>
      </w:tr>
      <w:tr w:rsidR="00B93B15" w:rsidRPr="00037467" w:rsidTr="00B93B15">
        <w:trPr>
          <w:trHeight w:val="105"/>
        </w:trPr>
        <w:tc>
          <w:tcPr>
            <w:tcW w:w="201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 xml:space="preserve">Other involved actors </w:t>
            </w: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Government</w:t>
            </w:r>
          </w:p>
        </w:tc>
        <w:tc>
          <w:tcPr>
            <w:tcW w:w="4738" w:type="dxa"/>
            <w:gridSpan w:val="4"/>
            <w:vMerge w:val="restart"/>
            <w:tcBorders>
              <w:top w:val="nil"/>
              <w:left w:val="nil"/>
              <w:bottom w:val="single" w:sz="8" w:space="0" w:color="auto"/>
              <w:right w:val="single" w:sz="8" w:space="0" w:color="auto"/>
            </w:tcBorders>
            <w:tcMar>
              <w:top w:w="0" w:type="dxa"/>
              <w:left w:w="108" w:type="dxa"/>
              <w:bottom w:w="0" w:type="dxa"/>
              <w:right w:w="108" w:type="dxa"/>
            </w:tcMar>
          </w:tcPr>
          <w:p w:rsidR="00B93B15" w:rsidRPr="00037467" w:rsidRDefault="00B91107"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 xml:space="preserve">Not to be </w:t>
            </w:r>
            <w:r w:rsidR="000272C2" w:rsidRPr="00037467">
              <w:rPr>
                <w:rFonts w:ascii="Times New Roman" w:hAnsi="Times New Roman"/>
                <w:sz w:val="24"/>
                <w:szCs w:val="24"/>
              </w:rPr>
              <w:t xml:space="preserve">brought before </w:t>
            </w:r>
            <w:r w:rsidRPr="00037467">
              <w:rPr>
                <w:rFonts w:ascii="Times New Roman" w:hAnsi="Times New Roman"/>
                <w:sz w:val="24"/>
                <w:szCs w:val="24"/>
              </w:rPr>
              <w:t>Government for approval</w:t>
            </w:r>
          </w:p>
          <w:p w:rsidR="00B93B15" w:rsidRPr="00037467" w:rsidRDefault="000272C2"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Experts to be involved in drafting</w:t>
            </w:r>
          </w:p>
        </w:tc>
      </w:tr>
      <w:tr w:rsidR="00B93B15" w:rsidRPr="00037467" w:rsidTr="00B93B15">
        <w:trPr>
          <w:trHeight w:val="105"/>
        </w:trPr>
        <w:tc>
          <w:tcPr>
            <w:tcW w:w="0" w:type="auto"/>
            <w:vMerge/>
            <w:tcBorders>
              <w:top w:val="nil"/>
              <w:left w:val="single" w:sz="8" w:space="0" w:color="auto"/>
              <w:bottom w:val="single" w:sz="8" w:space="0" w:color="auto"/>
              <w:right w:val="single" w:sz="8" w:space="0" w:color="auto"/>
            </w:tcBorders>
            <w:vAlign w:val="center"/>
            <w:hideMark/>
          </w:tcPr>
          <w:p w:rsidR="00B93B15" w:rsidRPr="00037467" w:rsidRDefault="00B93B15" w:rsidP="00863E5E">
            <w:pPr>
              <w:spacing w:after="0" w:line="240" w:lineRule="auto"/>
              <w:rPr>
                <w:rFonts w:ascii="Times New Roman" w:eastAsiaTheme="minorHAnsi" w:hAnsi="Times New Roman"/>
                <w:sz w:val="24"/>
                <w:szCs w:val="24"/>
              </w:rPr>
            </w:pPr>
          </w:p>
        </w:tc>
        <w:tc>
          <w:tcPr>
            <w:tcW w:w="2036"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Civil Society, Private Sector</w:t>
            </w:r>
          </w:p>
        </w:tc>
        <w:tc>
          <w:tcPr>
            <w:tcW w:w="0" w:type="auto"/>
            <w:gridSpan w:val="4"/>
            <w:vMerge/>
            <w:tcBorders>
              <w:top w:val="nil"/>
              <w:left w:val="nil"/>
              <w:bottom w:val="single" w:sz="8" w:space="0" w:color="auto"/>
              <w:right w:val="single" w:sz="8" w:space="0" w:color="auto"/>
            </w:tcBorders>
            <w:vAlign w:val="center"/>
            <w:hideMark/>
          </w:tcPr>
          <w:p w:rsidR="00B93B15" w:rsidRPr="00037467" w:rsidRDefault="00B93B15" w:rsidP="00863E5E">
            <w:pPr>
              <w:spacing w:after="0" w:line="240" w:lineRule="auto"/>
              <w:rPr>
                <w:rFonts w:ascii="Times New Roman" w:eastAsiaTheme="minorHAnsi" w:hAnsi="Times New Roman"/>
                <w:sz w:val="24"/>
                <w:szCs w:val="24"/>
              </w:rPr>
            </w:pPr>
          </w:p>
        </w:tc>
      </w:tr>
      <w:tr w:rsidR="00962EB3"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Status quo or problem/issue to be addressed</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91107" w:rsidRPr="00037467" w:rsidRDefault="00B91107"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 xml:space="preserve">A common legal framework </w:t>
            </w:r>
            <w:r w:rsidR="000272C2" w:rsidRPr="00037467">
              <w:rPr>
                <w:rFonts w:ascii="Times New Roman" w:hAnsi="Times New Roman"/>
                <w:sz w:val="24"/>
                <w:szCs w:val="24"/>
              </w:rPr>
              <w:t xml:space="preserve">needs </w:t>
            </w:r>
            <w:r w:rsidRPr="00037467">
              <w:rPr>
                <w:rFonts w:ascii="Times New Roman" w:hAnsi="Times New Roman"/>
                <w:sz w:val="24"/>
                <w:szCs w:val="24"/>
              </w:rPr>
              <w:t>to be developed</w:t>
            </w:r>
          </w:p>
        </w:tc>
      </w:tr>
      <w:tr w:rsidR="00962EB3"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Main Objective</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B91107" w:rsidRPr="00037467" w:rsidRDefault="00B91107" w:rsidP="00863E5E">
            <w:pPr>
              <w:spacing w:after="0" w:line="240" w:lineRule="auto"/>
              <w:jc w:val="both"/>
              <w:rPr>
                <w:rFonts w:ascii="Times New Roman" w:eastAsiaTheme="minorHAnsi" w:hAnsi="Times New Roman"/>
                <w:sz w:val="24"/>
                <w:szCs w:val="24"/>
              </w:rPr>
            </w:pPr>
            <w:r w:rsidRPr="00037467">
              <w:rPr>
                <w:rFonts w:ascii="Times New Roman" w:hAnsi="Times New Roman"/>
                <w:sz w:val="24"/>
                <w:szCs w:val="24"/>
              </w:rPr>
              <w:t xml:space="preserve">To produce a public administration employee’s handbook </w:t>
            </w:r>
          </w:p>
        </w:tc>
      </w:tr>
      <w:tr w:rsidR="00962EB3" w:rsidRPr="00037467" w:rsidTr="00B93B15">
        <w:tc>
          <w:tcPr>
            <w:tcW w:w="40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62EB3" w:rsidRPr="00037467" w:rsidRDefault="00B93B15" w:rsidP="00863E5E">
            <w:pPr>
              <w:spacing w:after="0" w:line="240" w:lineRule="auto"/>
              <w:rPr>
                <w:rFonts w:ascii="Times New Roman" w:eastAsiaTheme="minorHAnsi" w:hAnsi="Times New Roman"/>
                <w:sz w:val="24"/>
                <w:szCs w:val="24"/>
              </w:rPr>
            </w:pPr>
            <w:r w:rsidRPr="00037467">
              <w:rPr>
                <w:rFonts w:ascii="Times New Roman" w:hAnsi="Times New Roman"/>
                <w:sz w:val="24"/>
                <w:szCs w:val="24"/>
              </w:rPr>
              <w:t>OGP challenge addressed by the commitment</w:t>
            </w:r>
          </w:p>
        </w:tc>
        <w:tc>
          <w:tcPr>
            <w:tcW w:w="4738"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962EB3" w:rsidRPr="00037467" w:rsidRDefault="00962EB3" w:rsidP="00863E5E">
            <w:pPr>
              <w:spacing w:after="0" w:line="240" w:lineRule="auto"/>
              <w:rPr>
                <w:rFonts w:ascii="Times New Roman" w:eastAsiaTheme="minorHAnsi" w:hAnsi="Times New Roman"/>
                <w:sz w:val="24"/>
                <w:szCs w:val="24"/>
              </w:rPr>
            </w:pPr>
          </w:p>
        </w:tc>
      </w:tr>
      <w:tr w:rsidR="00B93B15" w:rsidRPr="00037467" w:rsidTr="00B93B15">
        <w:trPr>
          <w:trHeight w:val="105"/>
        </w:trPr>
        <w:tc>
          <w:tcPr>
            <w:tcW w:w="4055" w:type="dxa"/>
            <w:gridSpan w:val="2"/>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B93B15" w:rsidRPr="00037467" w:rsidRDefault="000272C2" w:rsidP="00863E5E">
            <w:pPr>
              <w:spacing w:after="0" w:line="240" w:lineRule="auto"/>
              <w:rPr>
                <w:rFonts w:ascii="Times New Roman" w:eastAsiaTheme="minorHAnsi" w:hAnsi="Times New Roman"/>
                <w:sz w:val="24"/>
                <w:szCs w:val="24"/>
              </w:rPr>
            </w:pPr>
            <w:r w:rsidRPr="00037467">
              <w:rPr>
                <w:rFonts w:ascii="Times New Roman" w:eastAsiaTheme="minorHAnsi" w:hAnsi="Times New Roman"/>
                <w:sz w:val="24"/>
                <w:szCs w:val="24"/>
              </w:rPr>
              <w:t>Is it relevant to the advancement of:</w:t>
            </w:r>
          </w:p>
        </w:tc>
        <w:tc>
          <w:tcPr>
            <w:tcW w:w="16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Transparency</w:t>
            </w:r>
          </w:p>
        </w:tc>
        <w:tc>
          <w:tcPr>
            <w:tcW w:w="1643"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Accountability</w:t>
            </w:r>
          </w:p>
        </w:tc>
        <w:tc>
          <w:tcPr>
            <w:tcW w:w="1454" w:type="dxa"/>
            <w:tcBorders>
              <w:top w:val="nil"/>
              <w:left w:val="nil"/>
              <w:bottom w:val="single" w:sz="8"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Public participation</w:t>
            </w:r>
          </w:p>
        </w:tc>
      </w:tr>
      <w:tr w:rsidR="00962EB3" w:rsidRPr="00037467" w:rsidTr="00B93B15">
        <w:trPr>
          <w:trHeight w:val="105"/>
        </w:trPr>
        <w:tc>
          <w:tcPr>
            <w:tcW w:w="0" w:type="auto"/>
            <w:gridSpan w:val="2"/>
            <w:vMerge/>
            <w:tcBorders>
              <w:top w:val="nil"/>
              <w:left w:val="single" w:sz="8" w:space="0" w:color="auto"/>
              <w:bottom w:val="single" w:sz="8" w:space="0" w:color="auto"/>
              <w:right w:val="single" w:sz="8" w:space="0" w:color="auto"/>
            </w:tcBorders>
            <w:vAlign w:val="center"/>
            <w:hideMark/>
          </w:tcPr>
          <w:p w:rsidR="00962EB3" w:rsidRPr="00037467" w:rsidRDefault="00962EB3" w:rsidP="00863E5E">
            <w:pPr>
              <w:spacing w:after="0" w:line="240" w:lineRule="auto"/>
              <w:rPr>
                <w:rFonts w:ascii="Times New Roman" w:eastAsiaTheme="minorHAnsi" w:hAnsi="Times New Roman"/>
                <w:sz w:val="24"/>
                <w:szCs w:val="24"/>
              </w:rPr>
            </w:pPr>
          </w:p>
        </w:tc>
        <w:tc>
          <w:tcPr>
            <w:tcW w:w="1641" w:type="dxa"/>
            <w:gridSpan w:val="2"/>
            <w:tcBorders>
              <w:top w:val="nil"/>
              <w:left w:val="nil"/>
              <w:bottom w:val="single" w:sz="8" w:space="0" w:color="auto"/>
              <w:right w:val="single" w:sz="4" w:space="0" w:color="auto"/>
            </w:tcBorders>
            <w:tcMar>
              <w:top w:w="0" w:type="dxa"/>
              <w:left w:w="108" w:type="dxa"/>
              <w:bottom w:w="0" w:type="dxa"/>
              <w:right w:w="108" w:type="dxa"/>
            </w:tcMar>
            <w:hideMark/>
          </w:tcPr>
          <w:p w:rsidR="00962EB3" w:rsidRPr="00037467" w:rsidRDefault="00147111" w:rsidP="00863E5E">
            <w:pPr>
              <w:spacing w:after="0" w:line="240" w:lineRule="auto"/>
              <w:rPr>
                <w:rFonts w:ascii="Times New Roman" w:eastAsia="Times New Roman" w:hAnsi="Times New Roman"/>
                <w:sz w:val="24"/>
                <w:szCs w:val="24"/>
                <w:lang w:eastAsia="lv-LV"/>
              </w:rPr>
            </w:pPr>
            <w:r w:rsidRPr="00037467">
              <w:rPr>
                <w:rFonts w:ascii="Times New Roman" w:eastAsia="Times New Roman" w:hAnsi="Times New Roman"/>
                <w:sz w:val="24"/>
                <w:szCs w:val="24"/>
                <w:lang w:eastAsia="lv-LV"/>
              </w:rPr>
              <w:t>X</w:t>
            </w:r>
          </w:p>
        </w:tc>
        <w:tc>
          <w:tcPr>
            <w:tcW w:w="1643"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962EB3" w:rsidRPr="00037467" w:rsidRDefault="00147111" w:rsidP="00863E5E">
            <w:pPr>
              <w:spacing w:after="0" w:line="240" w:lineRule="auto"/>
              <w:rPr>
                <w:rFonts w:ascii="Times New Roman" w:eastAsiaTheme="minorHAnsi" w:hAnsi="Times New Roman"/>
                <w:sz w:val="24"/>
                <w:szCs w:val="24"/>
              </w:rPr>
            </w:pPr>
            <w:r w:rsidRPr="00037467">
              <w:rPr>
                <w:rFonts w:ascii="Times New Roman" w:eastAsiaTheme="minorHAnsi" w:hAnsi="Times New Roman"/>
                <w:sz w:val="24"/>
                <w:szCs w:val="24"/>
              </w:rPr>
              <w:t>X</w:t>
            </w:r>
          </w:p>
        </w:tc>
        <w:tc>
          <w:tcPr>
            <w:tcW w:w="1454"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62EB3" w:rsidRPr="00037467" w:rsidRDefault="00962EB3" w:rsidP="00863E5E">
            <w:pPr>
              <w:spacing w:after="0" w:line="240" w:lineRule="auto"/>
              <w:rPr>
                <w:rFonts w:ascii="Times New Roman" w:eastAsia="Times New Roman" w:hAnsi="Times New Roman"/>
                <w:sz w:val="24"/>
                <w:szCs w:val="24"/>
                <w:lang w:eastAsia="lv-LV"/>
              </w:rPr>
            </w:pPr>
          </w:p>
        </w:tc>
      </w:tr>
      <w:tr w:rsidR="00B93B15" w:rsidRPr="00037467" w:rsidTr="00B93B15">
        <w:trPr>
          <w:trHeight w:val="585"/>
        </w:trPr>
        <w:tc>
          <w:tcPr>
            <w:tcW w:w="4055" w:type="dxa"/>
            <w:gridSpan w:val="2"/>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Verifyable and measurable milestones to fulfill the commitment:</w:t>
            </w:r>
          </w:p>
          <w:p w:rsidR="00B93B15" w:rsidRPr="00037467" w:rsidRDefault="00B93B15" w:rsidP="00863E5E">
            <w:pPr>
              <w:pStyle w:val="NoSpacing"/>
              <w:rPr>
                <w:rFonts w:ascii="Times New Roman" w:hAnsi="Times New Roman" w:cs="Times New Roman"/>
                <w:sz w:val="24"/>
                <w:szCs w:val="24"/>
                <w:lang w:val="en-GB"/>
              </w:rPr>
            </w:pPr>
          </w:p>
        </w:tc>
        <w:tc>
          <w:tcPr>
            <w:tcW w:w="1635" w:type="dxa"/>
            <w:tcBorders>
              <w:top w:val="nil"/>
              <w:left w:val="nil"/>
              <w:bottom w:val="single" w:sz="4" w:space="0" w:color="auto"/>
              <w:right w:val="single" w:sz="4" w:space="0" w:color="auto"/>
            </w:tcBorders>
            <w:tcMar>
              <w:top w:w="0" w:type="dxa"/>
              <w:left w:w="108" w:type="dxa"/>
              <w:bottom w:w="0" w:type="dxa"/>
              <w:right w:w="108" w:type="dxa"/>
            </w:tcMar>
            <w:hideMark/>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New or ongoing commitment</w:t>
            </w:r>
          </w:p>
        </w:tc>
        <w:tc>
          <w:tcPr>
            <w:tcW w:w="1649" w:type="dxa"/>
            <w:gridSpan w:val="2"/>
            <w:tcBorders>
              <w:top w:val="nil"/>
              <w:left w:val="single" w:sz="4" w:space="0" w:color="auto"/>
              <w:bottom w:val="single" w:sz="4" w:space="0" w:color="auto"/>
              <w:right w:val="single" w:sz="4"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Start Date:</w:t>
            </w:r>
          </w:p>
        </w:tc>
        <w:tc>
          <w:tcPr>
            <w:tcW w:w="1454" w:type="dxa"/>
            <w:tcBorders>
              <w:top w:val="nil"/>
              <w:left w:val="single" w:sz="4" w:space="0" w:color="auto"/>
              <w:bottom w:val="single" w:sz="4" w:space="0" w:color="auto"/>
              <w:right w:val="single" w:sz="8" w:space="0" w:color="auto"/>
            </w:tcBorders>
          </w:tcPr>
          <w:p w:rsidR="00B93B15" w:rsidRPr="00037467" w:rsidRDefault="00B93B15" w:rsidP="00863E5E">
            <w:pPr>
              <w:pStyle w:val="NoSpacing"/>
              <w:rPr>
                <w:rFonts w:ascii="Times New Roman" w:hAnsi="Times New Roman" w:cs="Times New Roman"/>
                <w:sz w:val="24"/>
                <w:szCs w:val="24"/>
                <w:lang w:val="en-GB"/>
              </w:rPr>
            </w:pPr>
            <w:r w:rsidRPr="00037467">
              <w:rPr>
                <w:rFonts w:ascii="Times New Roman" w:hAnsi="Times New Roman" w:cs="Times New Roman"/>
                <w:sz w:val="24"/>
                <w:szCs w:val="24"/>
                <w:lang w:val="en-GB"/>
              </w:rPr>
              <w:t>End Date:</w:t>
            </w:r>
          </w:p>
        </w:tc>
      </w:tr>
      <w:tr w:rsidR="00147111" w:rsidRPr="00037467" w:rsidTr="00B93B15">
        <w:trPr>
          <w:trHeight w:val="510"/>
        </w:trPr>
        <w:tc>
          <w:tcPr>
            <w:tcW w:w="40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147111" w:rsidRPr="00037467" w:rsidRDefault="00B93B15" w:rsidP="00863E5E">
            <w:pPr>
              <w:spacing w:after="0" w:line="240" w:lineRule="auto"/>
              <w:rPr>
                <w:rFonts w:ascii="Times New Roman" w:hAnsi="Times New Roman"/>
                <w:sz w:val="24"/>
                <w:szCs w:val="24"/>
              </w:rPr>
            </w:pPr>
            <w:r w:rsidRPr="00037467">
              <w:rPr>
                <w:rFonts w:ascii="Times New Roman" w:hAnsi="Times New Roman"/>
                <w:sz w:val="24"/>
                <w:szCs w:val="24"/>
              </w:rPr>
              <w:t>No information</w:t>
            </w:r>
          </w:p>
          <w:p w:rsidR="00147111" w:rsidRPr="00037467" w:rsidRDefault="00147111" w:rsidP="00863E5E">
            <w:pPr>
              <w:spacing w:after="0" w:line="240" w:lineRule="auto"/>
              <w:rPr>
                <w:rFonts w:ascii="Times New Roman" w:hAnsi="Times New Roman"/>
                <w:sz w:val="24"/>
                <w:szCs w:val="24"/>
              </w:rPr>
            </w:pPr>
          </w:p>
        </w:tc>
        <w:tc>
          <w:tcPr>
            <w:tcW w:w="1635"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147111" w:rsidRPr="00037467" w:rsidRDefault="00147111" w:rsidP="00863E5E">
            <w:pPr>
              <w:spacing w:after="0" w:line="240" w:lineRule="auto"/>
              <w:jc w:val="center"/>
              <w:rPr>
                <w:rFonts w:ascii="Times New Roman" w:hAnsi="Times New Roman"/>
                <w:sz w:val="24"/>
                <w:szCs w:val="24"/>
              </w:rPr>
            </w:pPr>
          </w:p>
        </w:tc>
        <w:tc>
          <w:tcPr>
            <w:tcW w:w="1649" w:type="dxa"/>
            <w:gridSpan w:val="2"/>
            <w:tcBorders>
              <w:top w:val="single" w:sz="4" w:space="0" w:color="auto"/>
              <w:left w:val="single" w:sz="4" w:space="0" w:color="auto"/>
              <w:bottom w:val="single" w:sz="8" w:space="0" w:color="auto"/>
              <w:right w:val="single" w:sz="4" w:space="0" w:color="auto"/>
            </w:tcBorders>
          </w:tcPr>
          <w:p w:rsidR="00147111" w:rsidRPr="00037467" w:rsidRDefault="00147111" w:rsidP="00863E5E">
            <w:pPr>
              <w:spacing w:after="0" w:line="240" w:lineRule="auto"/>
              <w:jc w:val="center"/>
              <w:rPr>
                <w:rFonts w:ascii="Times New Roman" w:hAnsi="Times New Roman"/>
                <w:sz w:val="24"/>
                <w:szCs w:val="24"/>
              </w:rPr>
            </w:pPr>
          </w:p>
        </w:tc>
        <w:tc>
          <w:tcPr>
            <w:tcW w:w="1454" w:type="dxa"/>
            <w:tcBorders>
              <w:top w:val="single" w:sz="4" w:space="0" w:color="auto"/>
              <w:left w:val="single" w:sz="4" w:space="0" w:color="auto"/>
              <w:bottom w:val="single" w:sz="8" w:space="0" w:color="auto"/>
              <w:right w:val="single" w:sz="8" w:space="0" w:color="auto"/>
            </w:tcBorders>
          </w:tcPr>
          <w:p w:rsidR="00147111" w:rsidRPr="00037467" w:rsidRDefault="00147111" w:rsidP="00863E5E">
            <w:pPr>
              <w:spacing w:after="0" w:line="240" w:lineRule="auto"/>
              <w:jc w:val="center"/>
              <w:rPr>
                <w:rFonts w:ascii="Times New Roman" w:hAnsi="Times New Roman"/>
                <w:sz w:val="24"/>
                <w:szCs w:val="24"/>
              </w:rPr>
            </w:pPr>
          </w:p>
        </w:tc>
      </w:tr>
    </w:tbl>
    <w:p w:rsidR="002D0B69" w:rsidRPr="00037467" w:rsidRDefault="002D0B69" w:rsidP="00863E5E">
      <w:pPr>
        <w:spacing w:after="0" w:line="240" w:lineRule="auto"/>
        <w:rPr>
          <w:rFonts w:ascii="Times New Roman" w:hAnsi="Times New Roman"/>
          <w:sz w:val="24"/>
          <w:szCs w:val="24"/>
        </w:rPr>
      </w:pPr>
    </w:p>
    <w:sectPr w:rsidR="002D0B69" w:rsidRPr="00037467" w:rsidSect="0015319D">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30C" w:rsidRDefault="0024530C" w:rsidP="00A91155">
      <w:pPr>
        <w:spacing w:after="0" w:line="240" w:lineRule="auto"/>
      </w:pPr>
      <w:r>
        <w:separator/>
      </w:r>
    </w:p>
  </w:endnote>
  <w:endnote w:type="continuationSeparator" w:id="0">
    <w:p w:rsidR="0024530C" w:rsidRDefault="0024530C" w:rsidP="00A91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72084"/>
      <w:docPartObj>
        <w:docPartGallery w:val="Page Numbers (Bottom of Page)"/>
        <w:docPartUnique/>
      </w:docPartObj>
    </w:sdtPr>
    <w:sdtEndPr>
      <w:rPr>
        <w:noProof/>
      </w:rPr>
    </w:sdtEndPr>
    <w:sdtContent>
      <w:p w:rsidR="00A76030" w:rsidRDefault="00A76030">
        <w:pPr>
          <w:pStyle w:val="Footer"/>
          <w:jc w:val="center"/>
        </w:pPr>
        <w:r>
          <w:fldChar w:fldCharType="begin"/>
        </w:r>
        <w:r>
          <w:instrText xml:space="preserve"> PAGE   \* MERGEFORMAT </w:instrText>
        </w:r>
        <w:r>
          <w:fldChar w:fldCharType="separate"/>
        </w:r>
        <w:r w:rsidR="00863E5E">
          <w:rPr>
            <w:noProof/>
          </w:rPr>
          <w:t>4</w:t>
        </w:r>
        <w:r>
          <w:rPr>
            <w:noProof/>
          </w:rPr>
          <w:fldChar w:fldCharType="end"/>
        </w:r>
      </w:p>
    </w:sdtContent>
  </w:sdt>
  <w:p w:rsidR="00A76030" w:rsidRDefault="00A760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30C" w:rsidRDefault="0024530C" w:rsidP="00A91155">
      <w:pPr>
        <w:spacing w:after="0" w:line="240" w:lineRule="auto"/>
      </w:pPr>
      <w:r>
        <w:separator/>
      </w:r>
    </w:p>
  </w:footnote>
  <w:footnote w:type="continuationSeparator" w:id="0">
    <w:p w:rsidR="0024530C" w:rsidRDefault="0024530C" w:rsidP="00A91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4198"/>
    <w:multiLevelType w:val="hybridMultilevel"/>
    <w:tmpl w:val="7E24A8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9EE0283"/>
    <w:multiLevelType w:val="hybridMultilevel"/>
    <w:tmpl w:val="8F98275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7EF396E"/>
    <w:multiLevelType w:val="hybridMultilevel"/>
    <w:tmpl w:val="75BE85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2A49673F"/>
    <w:multiLevelType w:val="multilevel"/>
    <w:tmpl w:val="0426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nsid w:val="3207036A"/>
    <w:multiLevelType w:val="hybridMultilevel"/>
    <w:tmpl w:val="2CD09BD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A3304DC"/>
    <w:multiLevelType w:val="hybridMultilevel"/>
    <w:tmpl w:val="7FB82F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460299C"/>
    <w:multiLevelType w:val="hybridMultilevel"/>
    <w:tmpl w:val="D1D44DDC"/>
    <w:lvl w:ilvl="0" w:tplc="0A9C5D54">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nsid w:val="625361A4"/>
    <w:multiLevelType w:val="hybridMultilevel"/>
    <w:tmpl w:val="382E9F88"/>
    <w:lvl w:ilvl="0" w:tplc="E312D582">
      <w:start w:val="1"/>
      <w:numFmt w:val="bullet"/>
      <w:lvlText w:val=""/>
      <w:lvlJc w:val="left"/>
      <w:pPr>
        <w:ind w:left="1440" w:hanging="360"/>
      </w:pPr>
      <w:rPr>
        <w:rFonts w:ascii="Symbol" w:hAnsi="Symbol" w:hint="default"/>
        <w:color w:val="auto"/>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69A10D25"/>
    <w:multiLevelType w:val="hybridMultilevel"/>
    <w:tmpl w:val="7F2AFD6E"/>
    <w:lvl w:ilvl="0" w:tplc="F55080F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nsid w:val="6F8B714F"/>
    <w:multiLevelType w:val="hybridMultilevel"/>
    <w:tmpl w:val="16007D96"/>
    <w:lvl w:ilvl="0" w:tplc="78CA40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4"/>
  </w:num>
  <w:num w:numId="5">
    <w:abstractNumId w:val="0"/>
  </w:num>
  <w:num w:numId="6">
    <w:abstractNumId w:val="2"/>
  </w:num>
  <w:num w:numId="7">
    <w:abstractNumId w:val="6"/>
  </w:num>
  <w:num w:numId="8">
    <w:abstractNumId w:val="5"/>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5D"/>
    <w:rsid w:val="00000339"/>
    <w:rsid w:val="00013B2C"/>
    <w:rsid w:val="000272C2"/>
    <w:rsid w:val="000362D0"/>
    <w:rsid w:val="00037467"/>
    <w:rsid w:val="00040552"/>
    <w:rsid w:val="00050B9D"/>
    <w:rsid w:val="0005766E"/>
    <w:rsid w:val="0006658E"/>
    <w:rsid w:val="000959E6"/>
    <w:rsid w:val="000A79D0"/>
    <w:rsid w:val="000C298A"/>
    <w:rsid w:val="000D1B42"/>
    <w:rsid w:val="00112F2E"/>
    <w:rsid w:val="001241ED"/>
    <w:rsid w:val="001455EF"/>
    <w:rsid w:val="0014691E"/>
    <w:rsid w:val="00147111"/>
    <w:rsid w:val="0015319D"/>
    <w:rsid w:val="001710A5"/>
    <w:rsid w:val="001C681B"/>
    <w:rsid w:val="001E345D"/>
    <w:rsid w:val="001E3509"/>
    <w:rsid w:val="001E3AEB"/>
    <w:rsid w:val="001E74A4"/>
    <w:rsid w:val="001F0E65"/>
    <w:rsid w:val="001F2405"/>
    <w:rsid w:val="00234417"/>
    <w:rsid w:val="0024530C"/>
    <w:rsid w:val="002546EF"/>
    <w:rsid w:val="00262DD5"/>
    <w:rsid w:val="00262E19"/>
    <w:rsid w:val="00264143"/>
    <w:rsid w:val="002716CE"/>
    <w:rsid w:val="002B76D6"/>
    <w:rsid w:val="002C2FB2"/>
    <w:rsid w:val="002D0B69"/>
    <w:rsid w:val="002E0D0F"/>
    <w:rsid w:val="003127DF"/>
    <w:rsid w:val="00323830"/>
    <w:rsid w:val="00327A7B"/>
    <w:rsid w:val="00334A95"/>
    <w:rsid w:val="003601F5"/>
    <w:rsid w:val="00372C69"/>
    <w:rsid w:val="003827E6"/>
    <w:rsid w:val="00384529"/>
    <w:rsid w:val="003A6EDB"/>
    <w:rsid w:val="003C0FDD"/>
    <w:rsid w:val="003D0203"/>
    <w:rsid w:val="003D6F51"/>
    <w:rsid w:val="00421B56"/>
    <w:rsid w:val="00424FBA"/>
    <w:rsid w:val="0044660E"/>
    <w:rsid w:val="0045405A"/>
    <w:rsid w:val="004612F5"/>
    <w:rsid w:val="00462959"/>
    <w:rsid w:val="00474BC3"/>
    <w:rsid w:val="00480CF5"/>
    <w:rsid w:val="00484814"/>
    <w:rsid w:val="004A140A"/>
    <w:rsid w:val="004B3407"/>
    <w:rsid w:val="004C3D17"/>
    <w:rsid w:val="004F7DB5"/>
    <w:rsid w:val="00510973"/>
    <w:rsid w:val="00521FFB"/>
    <w:rsid w:val="00525565"/>
    <w:rsid w:val="00536CAF"/>
    <w:rsid w:val="00540895"/>
    <w:rsid w:val="00547284"/>
    <w:rsid w:val="0055485A"/>
    <w:rsid w:val="0055735D"/>
    <w:rsid w:val="0056216F"/>
    <w:rsid w:val="005708E4"/>
    <w:rsid w:val="005C047B"/>
    <w:rsid w:val="005C16E0"/>
    <w:rsid w:val="005C6008"/>
    <w:rsid w:val="005F4747"/>
    <w:rsid w:val="0060609D"/>
    <w:rsid w:val="00652DFB"/>
    <w:rsid w:val="0066101B"/>
    <w:rsid w:val="006628F3"/>
    <w:rsid w:val="00685B5A"/>
    <w:rsid w:val="006A53AB"/>
    <w:rsid w:val="006B3D7C"/>
    <w:rsid w:val="006C5BAC"/>
    <w:rsid w:val="006D08D7"/>
    <w:rsid w:val="006D156B"/>
    <w:rsid w:val="007130CC"/>
    <w:rsid w:val="0072759F"/>
    <w:rsid w:val="007466AC"/>
    <w:rsid w:val="00792D5C"/>
    <w:rsid w:val="007950B1"/>
    <w:rsid w:val="0079592E"/>
    <w:rsid w:val="007A575B"/>
    <w:rsid w:val="007B63E1"/>
    <w:rsid w:val="007C68A3"/>
    <w:rsid w:val="007E64E6"/>
    <w:rsid w:val="007E674B"/>
    <w:rsid w:val="008134C1"/>
    <w:rsid w:val="00821D68"/>
    <w:rsid w:val="00842D1A"/>
    <w:rsid w:val="00851871"/>
    <w:rsid w:val="00863E5E"/>
    <w:rsid w:val="008642EC"/>
    <w:rsid w:val="00872D11"/>
    <w:rsid w:val="008801AD"/>
    <w:rsid w:val="00893FEA"/>
    <w:rsid w:val="008C1D59"/>
    <w:rsid w:val="008D2138"/>
    <w:rsid w:val="008E1DAD"/>
    <w:rsid w:val="008F3B6C"/>
    <w:rsid w:val="008F4238"/>
    <w:rsid w:val="00906020"/>
    <w:rsid w:val="0090618B"/>
    <w:rsid w:val="00932BA8"/>
    <w:rsid w:val="00943447"/>
    <w:rsid w:val="009624B9"/>
    <w:rsid w:val="00962EB3"/>
    <w:rsid w:val="00964A0D"/>
    <w:rsid w:val="00966A9F"/>
    <w:rsid w:val="009744C4"/>
    <w:rsid w:val="009806D9"/>
    <w:rsid w:val="00984AC4"/>
    <w:rsid w:val="009A0C9C"/>
    <w:rsid w:val="009A1B01"/>
    <w:rsid w:val="009E3B0D"/>
    <w:rsid w:val="009E6070"/>
    <w:rsid w:val="009F3E2F"/>
    <w:rsid w:val="009F635E"/>
    <w:rsid w:val="00A06716"/>
    <w:rsid w:val="00A13561"/>
    <w:rsid w:val="00A2091D"/>
    <w:rsid w:val="00A40476"/>
    <w:rsid w:val="00A67DE8"/>
    <w:rsid w:val="00A76030"/>
    <w:rsid w:val="00A82119"/>
    <w:rsid w:val="00A83206"/>
    <w:rsid w:val="00A91155"/>
    <w:rsid w:val="00A9410F"/>
    <w:rsid w:val="00A94321"/>
    <w:rsid w:val="00AA1991"/>
    <w:rsid w:val="00AA7B6D"/>
    <w:rsid w:val="00AD3A1E"/>
    <w:rsid w:val="00AE1CC8"/>
    <w:rsid w:val="00AE37BA"/>
    <w:rsid w:val="00B01072"/>
    <w:rsid w:val="00B03494"/>
    <w:rsid w:val="00B150C7"/>
    <w:rsid w:val="00B16007"/>
    <w:rsid w:val="00B42A81"/>
    <w:rsid w:val="00B5382C"/>
    <w:rsid w:val="00B61F20"/>
    <w:rsid w:val="00B7462E"/>
    <w:rsid w:val="00B91107"/>
    <w:rsid w:val="00B9139B"/>
    <w:rsid w:val="00B93B15"/>
    <w:rsid w:val="00BF1EAE"/>
    <w:rsid w:val="00C02F27"/>
    <w:rsid w:val="00C10D70"/>
    <w:rsid w:val="00C3094B"/>
    <w:rsid w:val="00C3290A"/>
    <w:rsid w:val="00C37084"/>
    <w:rsid w:val="00C951C9"/>
    <w:rsid w:val="00C97DFC"/>
    <w:rsid w:val="00CB6EA4"/>
    <w:rsid w:val="00CC74BF"/>
    <w:rsid w:val="00D00327"/>
    <w:rsid w:val="00D03199"/>
    <w:rsid w:val="00D27DDA"/>
    <w:rsid w:val="00D31647"/>
    <w:rsid w:val="00D44A88"/>
    <w:rsid w:val="00D45664"/>
    <w:rsid w:val="00D52CEC"/>
    <w:rsid w:val="00D7722E"/>
    <w:rsid w:val="00DD338F"/>
    <w:rsid w:val="00DE126C"/>
    <w:rsid w:val="00DE3ECB"/>
    <w:rsid w:val="00E035E6"/>
    <w:rsid w:val="00E11F51"/>
    <w:rsid w:val="00E23A00"/>
    <w:rsid w:val="00E32880"/>
    <w:rsid w:val="00E65302"/>
    <w:rsid w:val="00E6613E"/>
    <w:rsid w:val="00E762FE"/>
    <w:rsid w:val="00E86590"/>
    <w:rsid w:val="00E868C8"/>
    <w:rsid w:val="00E94BC0"/>
    <w:rsid w:val="00EA014D"/>
    <w:rsid w:val="00EB2268"/>
    <w:rsid w:val="00EC40FB"/>
    <w:rsid w:val="00EE756D"/>
    <w:rsid w:val="00F0729A"/>
    <w:rsid w:val="00F12C0F"/>
    <w:rsid w:val="00F439A9"/>
    <w:rsid w:val="00F43F9D"/>
    <w:rsid w:val="00F44B07"/>
    <w:rsid w:val="00F81BF0"/>
    <w:rsid w:val="00F86373"/>
    <w:rsid w:val="00F92D0C"/>
    <w:rsid w:val="00FB03D3"/>
    <w:rsid w:val="00FC4D22"/>
    <w:rsid w:val="00FD1725"/>
    <w:rsid w:val="00FF71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5D"/>
    <w:pPr>
      <w:spacing w:after="160"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5E6"/>
    <w:pPr>
      <w:spacing w:after="0" w:line="240" w:lineRule="auto"/>
    </w:pPr>
  </w:style>
  <w:style w:type="paragraph" w:styleId="BodyText">
    <w:name w:val="Body Text"/>
    <w:basedOn w:val="Normal"/>
    <w:link w:val="BodyTextChar"/>
    <w:rsid w:val="00E035E6"/>
    <w:pPr>
      <w:spacing w:after="120" w:line="240" w:lineRule="auto"/>
    </w:pPr>
    <w:rPr>
      <w:rFonts w:ascii="Times New Roman" w:eastAsia="Times New Roman" w:hAnsi="Times New Roman"/>
      <w:sz w:val="24"/>
      <w:szCs w:val="24"/>
      <w:lang w:val="x-none" w:eastAsia="lv-LV"/>
    </w:rPr>
  </w:style>
  <w:style w:type="character" w:customStyle="1" w:styleId="BodyTextChar">
    <w:name w:val="Body Text Char"/>
    <w:basedOn w:val="DefaultParagraphFont"/>
    <w:link w:val="BodyText"/>
    <w:rsid w:val="00E035E6"/>
    <w:rPr>
      <w:rFonts w:ascii="Times New Roman" w:eastAsia="Times New Roman" w:hAnsi="Times New Roman" w:cs="Times New Roman"/>
      <w:sz w:val="24"/>
      <w:szCs w:val="24"/>
      <w:lang w:val="x-none" w:eastAsia="lv-LV"/>
    </w:rPr>
  </w:style>
  <w:style w:type="paragraph" w:styleId="ListParagraph">
    <w:name w:val="List Paragraph"/>
    <w:basedOn w:val="Normal"/>
    <w:uiPriority w:val="34"/>
    <w:qFormat/>
    <w:rsid w:val="006A53AB"/>
    <w:pPr>
      <w:ind w:left="720"/>
      <w:contextualSpacing/>
    </w:pPr>
  </w:style>
  <w:style w:type="character" w:styleId="Hyperlink">
    <w:name w:val="Hyperlink"/>
    <w:basedOn w:val="DefaultParagraphFont"/>
    <w:uiPriority w:val="99"/>
    <w:unhideWhenUsed/>
    <w:rsid w:val="001710A5"/>
    <w:rPr>
      <w:color w:val="0000FF" w:themeColor="hyperlink"/>
      <w:u w:val="single"/>
    </w:rPr>
  </w:style>
  <w:style w:type="paragraph" w:styleId="Header">
    <w:name w:val="header"/>
    <w:basedOn w:val="Normal"/>
    <w:link w:val="HeaderChar"/>
    <w:uiPriority w:val="99"/>
    <w:unhideWhenUsed/>
    <w:rsid w:val="00A911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55"/>
    <w:rPr>
      <w:rFonts w:ascii="Calibri" w:eastAsia="Calibri" w:hAnsi="Calibri" w:cs="Times New Roman"/>
      <w:lang w:val="en-GB"/>
    </w:rPr>
  </w:style>
  <w:style w:type="paragraph" w:styleId="Footer">
    <w:name w:val="footer"/>
    <w:basedOn w:val="Normal"/>
    <w:link w:val="FooterChar"/>
    <w:uiPriority w:val="99"/>
    <w:unhideWhenUsed/>
    <w:rsid w:val="00A911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55"/>
    <w:rPr>
      <w:rFonts w:ascii="Calibri" w:eastAsia="Calibri" w:hAnsi="Calibri" w:cs="Times New Roman"/>
      <w:lang w:val="en-GB"/>
    </w:rPr>
  </w:style>
  <w:style w:type="character" w:styleId="CommentReference">
    <w:name w:val="annotation reference"/>
    <w:basedOn w:val="DefaultParagraphFont"/>
    <w:uiPriority w:val="99"/>
    <w:semiHidden/>
    <w:unhideWhenUsed/>
    <w:rsid w:val="006D08D7"/>
    <w:rPr>
      <w:sz w:val="16"/>
      <w:szCs w:val="16"/>
    </w:rPr>
  </w:style>
  <w:style w:type="paragraph" w:styleId="CommentText">
    <w:name w:val="annotation text"/>
    <w:basedOn w:val="Normal"/>
    <w:link w:val="CommentTextChar"/>
    <w:uiPriority w:val="99"/>
    <w:semiHidden/>
    <w:unhideWhenUsed/>
    <w:rsid w:val="006D08D7"/>
    <w:pPr>
      <w:spacing w:line="240" w:lineRule="auto"/>
    </w:pPr>
    <w:rPr>
      <w:sz w:val="20"/>
      <w:szCs w:val="20"/>
    </w:rPr>
  </w:style>
  <w:style w:type="character" w:customStyle="1" w:styleId="CommentTextChar">
    <w:name w:val="Comment Text Char"/>
    <w:basedOn w:val="DefaultParagraphFont"/>
    <w:link w:val="CommentText"/>
    <w:uiPriority w:val="99"/>
    <w:semiHidden/>
    <w:rsid w:val="006D08D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D08D7"/>
    <w:rPr>
      <w:b/>
      <w:bCs/>
    </w:rPr>
  </w:style>
  <w:style w:type="character" w:customStyle="1" w:styleId="CommentSubjectChar">
    <w:name w:val="Comment Subject Char"/>
    <w:basedOn w:val="CommentTextChar"/>
    <w:link w:val="CommentSubject"/>
    <w:uiPriority w:val="99"/>
    <w:semiHidden/>
    <w:rsid w:val="006D08D7"/>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D0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D7"/>
    <w:rPr>
      <w:rFonts w:ascii="Tahoma" w:eastAsia="Calibri" w:hAnsi="Tahoma" w:cs="Tahoma"/>
      <w:sz w:val="16"/>
      <w:szCs w:val="16"/>
      <w:lang w:val="en-GB"/>
    </w:rPr>
  </w:style>
  <w:style w:type="paragraph" w:customStyle="1" w:styleId="Default">
    <w:name w:val="Default"/>
    <w:rsid w:val="00234417"/>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5D"/>
    <w:pPr>
      <w:spacing w:after="160"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35E6"/>
    <w:pPr>
      <w:spacing w:after="0" w:line="240" w:lineRule="auto"/>
    </w:pPr>
  </w:style>
  <w:style w:type="paragraph" w:styleId="BodyText">
    <w:name w:val="Body Text"/>
    <w:basedOn w:val="Normal"/>
    <w:link w:val="BodyTextChar"/>
    <w:rsid w:val="00E035E6"/>
    <w:pPr>
      <w:spacing w:after="120" w:line="240" w:lineRule="auto"/>
    </w:pPr>
    <w:rPr>
      <w:rFonts w:ascii="Times New Roman" w:eastAsia="Times New Roman" w:hAnsi="Times New Roman"/>
      <w:sz w:val="24"/>
      <w:szCs w:val="24"/>
      <w:lang w:val="x-none" w:eastAsia="lv-LV"/>
    </w:rPr>
  </w:style>
  <w:style w:type="character" w:customStyle="1" w:styleId="BodyTextChar">
    <w:name w:val="Body Text Char"/>
    <w:basedOn w:val="DefaultParagraphFont"/>
    <w:link w:val="BodyText"/>
    <w:rsid w:val="00E035E6"/>
    <w:rPr>
      <w:rFonts w:ascii="Times New Roman" w:eastAsia="Times New Roman" w:hAnsi="Times New Roman" w:cs="Times New Roman"/>
      <w:sz w:val="24"/>
      <w:szCs w:val="24"/>
      <w:lang w:val="x-none" w:eastAsia="lv-LV"/>
    </w:rPr>
  </w:style>
  <w:style w:type="paragraph" w:styleId="ListParagraph">
    <w:name w:val="List Paragraph"/>
    <w:basedOn w:val="Normal"/>
    <w:uiPriority w:val="34"/>
    <w:qFormat/>
    <w:rsid w:val="006A53AB"/>
    <w:pPr>
      <w:ind w:left="720"/>
      <w:contextualSpacing/>
    </w:pPr>
  </w:style>
  <w:style w:type="character" w:styleId="Hyperlink">
    <w:name w:val="Hyperlink"/>
    <w:basedOn w:val="DefaultParagraphFont"/>
    <w:uiPriority w:val="99"/>
    <w:unhideWhenUsed/>
    <w:rsid w:val="001710A5"/>
    <w:rPr>
      <w:color w:val="0000FF" w:themeColor="hyperlink"/>
      <w:u w:val="single"/>
    </w:rPr>
  </w:style>
  <w:style w:type="paragraph" w:styleId="Header">
    <w:name w:val="header"/>
    <w:basedOn w:val="Normal"/>
    <w:link w:val="HeaderChar"/>
    <w:uiPriority w:val="99"/>
    <w:unhideWhenUsed/>
    <w:rsid w:val="00A911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1155"/>
    <w:rPr>
      <w:rFonts w:ascii="Calibri" w:eastAsia="Calibri" w:hAnsi="Calibri" w:cs="Times New Roman"/>
      <w:lang w:val="en-GB"/>
    </w:rPr>
  </w:style>
  <w:style w:type="paragraph" w:styleId="Footer">
    <w:name w:val="footer"/>
    <w:basedOn w:val="Normal"/>
    <w:link w:val="FooterChar"/>
    <w:uiPriority w:val="99"/>
    <w:unhideWhenUsed/>
    <w:rsid w:val="00A911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1155"/>
    <w:rPr>
      <w:rFonts w:ascii="Calibri" w:eastAsia="Calibri" w:hAnsi="Calibri" w:cs="Times New Roman"/>
      <w:lang w:val="en-GB"/>
    </w:rPr>
  </w:style>
  <w:style w:type="character" w:styleId="CommentReference">
    <w:name w:val="annotation reference"/>
    <w:basedOn w:val="DefaultParagraphFont"/>
    <w:uiPriority w:val="99"/>
    <w:semiHidden/>
    <w:unhideWhenUsed/>
    <w:rsid w:val="006D08D7"/>
    <w:rPr>
      <w:sz w:val="16"/>
      <w:szCs w:val="16"/>
    </w:rPr>
  </w:style>
  <w:style w:type="paragraph" w:styleId="CommentText">
    <w:name w:val="annotation text"/>
    <w:basedOn w:val="Normal"/>
    <w:link w:val="CommentTextChar"/>
    <w:uiPriority w:val="99"/>
    <w:semiHidden/>
    <w:unhideWhenUsed/>
    <w:rsid w:val="006D08D7"/>
    <w:pPr>
      <w:spacing w:line="240" w:lineRule="auto"/>
    </w:pPr>
    <w:rPr>
      <w:sz w:val="20"/>
      <w:szCs w:val="20"/>
    </w:rPr>
  </w:style>
  <w:style w:type="character" w:customStyle="1" w:styleId="CommentTextChar">
    <w:name w:val="Comment Text Char"/>
    <w:basedOn w:val="DefaultParagraphFont"/>
    <w:link w:val="CommentText"/>
    <w:uiPriority w:val="99"/>
    <w:semiHidden/>
    <w:rsid w:val="006D08D7"/>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D08D7"/>
    <w:rPr>
      <w:b/>
      <w:bCs/>
    </w:rPr>
  </w:style>
  <w:style w:type="character" w:customStyle="1" w:styleId="CommentSubjectChar">
    <w:name w:val="Comment Subject Char"/>
    <w:basedOn w:val="CommentTextChar"/>
    <w:link w:val="CommentSubject"/>
    <w:uiPriority w:val="99"/>
    <w:semiHidden/>
    <w:rsid w:val="006D08D7"/>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6D08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8D7"/>
    <w:rPr>
      <w:rFonts w:ascii="Tahoma" w:eastAsia="Calibri" w:hAnsi="Tahoma" w:cs="Tahoma"/>
      <w:sz w:val="16"/>
      <w:szCs w:val="16"/>
      <w:lang w:val="en-GB"/>
    </w:rPr>
  </w:style>
  <w:style w:type="paragraph" w:customStyle="1" w:styleId="Default">
    <w:name w:val="Default"/>
    <w:rsid w:val="00234417"/>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53735">
      <w:bodyDiv w:val="1"/>
      <w:marLeft w:val="0"/>
      <w:marRight w:val="0"/>
      <w:marTop w:val="0"/>
      <w:marBottom w:val="0"/>
      <w:divBdr>
        <w:top w:val="none" w:sz="0" w:space="0" w:color="auto"/>
        <w:left w:val="none" w:sz="0" w:space="0" w:color="auto"/>
        <w:bottom w:val="none" w:sz="0" w:space="0" w:color="auto"/>
        <w:right w:val="none" w:sz="0" w:space="0" w:color="auto"/>
      </w:divBdr>
    </w:div>
    <w:div w:id="359941750">
      <w:bodyDiv w:val="1"/>
      <w:marLeft w:val="0"/>
      <w:marRight w:val="0"/>
      <w:marTop w:val="0"/>
      <w:marBottom w:val="0"/>
      <w:divBdr>
        <w:top w:val="none" w:sz="0" w:space="0" w:color="auto"/>
        <w:left w:val="none" w:sz="0" w:space="0" w:color="auto"/>
        <w:bottom w:val="none" w:sz="0" w:space="0" w:color="auto"/>
        <w:right w:val="none" w:sz="0" w:space="0" w:color="auto"/>
      </w:divBdr>
    </w:div>
    <w:div w:id="446580857">
      <w:bodyDiv w:val="1"/>
      <w:marLeft w:val="0"/>
      <w:marRight w:val="0"/>
      <w:marTop w:val="0"/>
      <w:marBottom w:val="0"/>
      <w:divBdr>
        <w:top w:val="none" w:sz="0" w:space="0" w:color="auto"/>
        <w:left w:val="none" w:sz="0" w:space="0" w:color="auto"/>
        <w:bottom w:val="none" w:sz="0" w:space="0" w:color="auto"/>
        <w:right w:val="none" w:sz="0" w:space="0" w:color="auto"/>
      </w:divBdr>
    </w:div>
    <w:div w:id="761726885">
      <w:bodyDiv w:val="1"/>
      <w:marLeft w:val="0"/>
      <w:marRight w:val="0"/>
      <w:marTop w:val="0"/>
      <w:marBottom w:val="0"/>
      <w:divBdr>
        <w:top w:val="none" w:sz="0" w:space="0" w:color="auto"/>
        <w:left w:val="none" w:sz="0" w:space="0" w:color="auto"/>
        <w:bottom w:val="none" w:sz="0" w:space="0" w:color="auto"/>
        <w:right w:val="none" w:sz="0" w:space="0" w:color="auto"/>
      </w:divBdr>
    </w:div>
    <w:div w:id="855120322">
      <w:bodyDiv w:val="1"/>
      <w:marLeft w:val="0"/>
      <w:marRight w:val="0"/>
      <w:marTop w:val="0"/>
      <w:marBottom w:val="0"/>
      <w:divBdr>
        <w:top w:val="none" w:sz="0" w:space="0" w:color="auto"/>
        <w:left w:val="none" w:sz="0" w:space="0" w:color="auto"/>
        <w:bottom w:val="none" w:sz="0" w:space="0" w:color="auto"/>
        <w:right w:val="none" w:sz="0" w:space="0" w:color="auto"/>
      </w:divBdr>
    </w:div>
    <w:div w:id="1252741782">
      <w:bodyDiv w:val="1"/>
      <w:marLeft w:val="0"/>
      <w:marRight w:val="0"/>
      <w:marTop w:val="0"/>
      <w:marBottom w:val="0"/>
      <w:divBdr>
        <w:top w:val="none" w:sz="0" w:space="0" w:color="auto"/>
        <w:left w:val="none" w:sz="0" w:space="0" w:color="auto"/>
        <w:bottom w:val="none" w:sz="0" w:space="0" w:color="auto"/>
        <w:right w:val="none" w:sz="0" w:space="0" w:color="auto"/>
      </w:divBdr>
    </w:div>
    <w:div w:id="1576622438">
      <w:bodyDiv w:val="1"/>
      <w:marLeft w:val="0"/>
      <w:marRight w:val="0"/>
      <w:marTop w:val="0"/>
      <w:marBottom w:val="0"/>
      <w:divBdr>
        <w:top w:val="none" w:sz="0" w:space="0" w:color="auto"/>
        <w:left w:val="none" w:sz="0" w:space="0" w:color="auto"/>
        <w:bottom w:val="none" w:sz="0" w:space="0" w:color="auto"/>
        <w:right w:val="none" w:sz="0" w:space="0" w:color="auto"/>
      </w:divBdr>
    </w:div>
    <w:div w:id="1601331297">
      <w:bodyDiv w:val="1"/>
      <w:marLeft w:val="0"/>
      <w:marRight w:val="0"/>
      <w:marTop w:val="0"/>
      <w:marBottom w:val="0"/>
      <w:divBdr>
        <w:top w:val="none" w:sz="0" w:space="0" w:color="auto"/>
        <w:left w:val="none" w:sz="0" w:space="0" w:color="auto"/>
        <w:bottom w:val="none" w:sz="0" w:space="0" w:color="auto"/>
        <w:right w:val="none" w:sz="0" w:space="0" w:color="auto"/>
      </w:divBdr>
    </w:div>
    <w:div w:id="1677727899">
      <w:bodyDiv w:val="1"/>
      <w:marLeft w:val="0"/>
      <w:marRight w:val="0"/>
      <w:marTop w:val="0"/>
      <w:marBottom w:val="0"/>
      <w:divBdr>
        <w:top w:val="none" w:sz="0" w:space="0" w:color="auto"/>
        <w:left w:val="none" w:sz="0" w:space="0" w:color="auto"/>
        <w:bottom w:val="none" w:sz="0" w:space="0" w:color="auto"/>
        <w:right w:val="none" w:sz="0" w:space="0" w:color="auto"/>
      </w:divBdr>
    </w:div>
    <w:div w:id="1739474775">
      <w:bodyDiv w:val="1"/>
      <w:marLeft w:val="0"/>
      <w:marRight w:val="0"/>
      <w:marTop w:val="0"/>
      <w:marBottom w:val="0"/>
      <w:divBdr>
        <w:top w:val="none" w:sz="0" w:space="0" w:color="auto"/>
        <w:left w:val="none" w:sz="0" w:space="0" w:color="auto"/>
        <w:bottom w:val="none" w:sz="0" w:space="0" w:color="auto"/>
        <w:right w:val="none" w:sz="0" w:space="0" w:color="auto"/>
      </w:divBdr>
    </w:div>
    <w:div w:id="190363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latvija.lv" TargetMode="External"/><Relationship Id="rId4" Type="http://schemas.microsoft.com/office/2007/relationships/stylesWithEffects" Target="stylesWithEffects.xml"/><Relationship Id="rId9" Type="http://schemas.openxmlformats.org/officeDocument/2006/relationships/hyperlink" Target="http://www.latvij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70D47-410F-4C67-A3E7-13B698FBC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19063</Words>
  <Characters>10867</Characters>
  <Application>Microsoft Office Word</Application>
  <DocSecurity>0</DocSecurity>
  <Lines>90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Reinis Kalnins</dc:creator>
  <cp:lastModifiedBy>Reinis Kalnins</cp:lastModifiedBy>
  <cp:revision>2</cp:revision>
  <cp:lastPrinted>2015-01-09T07:44:00Z</cp:lastPrinted>
  <dcterms:created xsi:type="dcterms:W3CDTF">2015-01-12T10:32:00Z</dcterms:created>
  <dcterms:modified xsi:type="dcterms:W3CDTF">2015-01-12T10:32:00Z</dcterms:modified>
</cp:coreProperties>
</file>