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F9" w:rsidRPr="007E5F8C" w:rsidRDefault="0063779A" w:rsidP="00082E87">
      <w:pPr>
        <w:spacing w:after="0"/>
        <w:jc w:val="center"/>
        <w:rPr>
          <w:b/>
          <w:sz w:val="24"/>
          <w:szCs w:val="24"/>
        </w:rPr>
      </w:pPr>
      <w:r w:rsidRPr="007E5F8C">
        <w:rPr>
          <w:b/>
          <w:noProof/>
          <w:sz w:val="24"/>
          <w:szCs w:val="24"/>
          <w:lang w:eastAsia="en-PH"/>
        </w:rPr>
        <w:drawing>
          <wp:anchor distT="0" distB="0" distL="114300" distR="114300" simplePos="0" relativeHeight="251658240" behindDoc="1" locked="0" layoutInCell="1" allowOverlap="1">
            <wp:simplePos x="0" y="0"/>
            <wp:positionH relativeFrom="column">
              <wp:posOffset>2571750</wp:posOffset>
            </wp:positionH>
            <wp:positionV relativeFrom="paragraph">
              <wp:posOffset>-333375</wp:posOffset>
            </wp:positionV>
            <wp:extent cx="742950" cy="828675"/>
            <wp:effectExtent l="19050" t="0" r="0" b="0"/>
            <wp:wrapNone/>
            <wp:docPr id="2" name="Picture 0" descr="RP Coat of Arm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P Coat of Arms.tif"/>
                    <pic:cNvPicPr>
                      <a:picLocks noChangeAspect="1" noChangeArrowheads="1"/>
                    </pic:cNvPicPr>
                  </pic:nvPicPr>
                  <pic:blipFill>
                    <a:blip r:embed="rId8" cstate="print"/>
                    <a:srcRect/>
                    <a:stretch>
                      <a:fillRect/>
                    </a:stretch>
                  </pic:blipFill>
                  <pic:spPr bwMode="auto">
                    <a:xfrm>
                      <a:off x="0" y="0"/>
                      <a:ext cx="742950" cy="828675"/>
                    </a:xfrm>
                    <a:prstGeom prst="rect">
                      <a:avLst/>
                    </a:prstGeom>
                    <a:noFill/>
                    <a:ln w="9525">
                      <a:noFill/>
                      <a:miter lim="800000"/>
                      <a:headEnd/>
                      <a:tailEnd/>
                    </a:ln>
                  </pic:spPr>
                </pic:pic>
              </a:graphicData>
            </a:graphic>
          </wp:anchor>
        </w:drawing>
      </w:r>
    </w:p>
    <w:p w:rsidR="00335BF9" w:rsidRPr="007E5F8C" w:rsidRDefault="00335BF9" w:rsidP="00082E87">
      <w:pPr>
        <w:spacing w:after="0"/>
        <w:jc w:val="center"/>
        <w:rPr>
          <w:b/>
          <w:sz w:val="24"/>
          <w:szCs w:val="24"/>
        </w:rPr>
      </w:pPr>
    </w:p>
    <w:p w:rsidR="00335BF9" w:rsidRPr="007E5F8C" w:rsidRDefault="00335BF9" w:rsidP="00082E87">
      <w:pPr>
        <w:spacing w:after="0"/>
        <w:jc w:val="center"/>
        <w:rPr>
          <w:b/>
          <w:sz w:val="24"/>
          <w:szCs w:val="24"/>
        </w:rPr>
      </w:pPr>
    </w:p>
    <w:p w:rsidR="00335BF9" w:rsidRPr="007E5F8C" w:rsidRDefault="00335BF9" w:rsidP="00082E87">
      <w:pPr>
        <w:spacing w:after="0" w:line="240" w:lineRule="auto"/>
        <w:jc w:val="center"/>
        <w:rPr>
          <w:szCs w:val="24"/>
        </w:rPr>
      </w:pPr>
      <w:r w:rsidRPr="007E5F8C">
        <w:rPr>
          <w:szCs w:val="24"/>
        </w:rPr>
        <w:t xml:space="preserve">Philippine </w:t>
      </w:r>
      <w:r w:rsidR="00577D24">
        <w:rPr>
          <w:szCs w:val="24"/>
        </w:rPr>
        <w:t xml:space="preserve">OGP </w:t>
      </w:r>
      <w:r w:rsidRPr="007E5F8C">
        <w:rPr>
          <w:szCs w:val="24"/>
        </w:rPr>
        <w:t>Action Plan for 2013-2015</w:t>
      </w:r>
    </w:p>
    <w:p w:rsidR="00335BF9" w:rsidRPr="007E5F8C" w:rsidRDefault="00335BF9" w:rsidP="00082E87">
      <w:pPr>
        <w:spacing w:after="0" w:line="240" w:lineRule="auto"/>
        <w:jc w:val="center"/>
        <w:rPr>
          <w:szCs w:val="24"/>
        </w:rPr>
      </w:pPr>
    </w:p>
    <w:p w:rsidR="00082E87" w:rsidRPr="007E5F8C" w:rsidRDefault="00082E87" w:rsidP="00082E87">
      <w:pPr>
        <w:spacing w:after="0"/>
        <w:jc w:val="center"/>
        <w:rPr>
          <w:b/>
          <w:sz w:val="24"/>
          <w:szCs w:val="24"/>
        </w:rPr>
      </w:pPr>
    </w:p>
    <w:p w:rsidR="00447A3B" w:rsidRPr="007E5F8C" w:rsidRDefault="00447A3B" w:rsidP="00082E87">
      <w:pPr>
        <w:spacing w:after="0"/>
        <w:jc w:val="center"/>
        <w:rPr>
          <w:b/>
          <w:sz w:val="24"/>
          <w:szCs w:val="24"/>
        </w:rPr>
      </w:pPr>
    </w:p>
    <w:p w:rsidR="007E5F8C" w:rsidRDefault="007E5F8C" w:rsidP="00082E87">
      <w:pPr>
        <w:spacing w:after="0"/>
        <w:jc w:val="center"/>
        <w:rPr>
          <w:b/>
          <w:sz w:val="28"/>
          <w:szCs w:val="24"/>
        </w:rPr>
      </w:pPr>
      <w:r w:rsidRPr="007E5F8C">
        <w:rPr>
          <w:b/>
          <w:sz w:val="28"/>
          <w:szCs w:val="24"/>
        </w:rPr>
        <w:t xml:space="preserve">REAPING THE GAINS OF GOOD GOVERNANCE </w:t>
      </w:r>
    </w:p>
    <w:p w:rsidR="009B77A2" w:rsidRPr="007E5F8C" w:rsidRDefault="007E5F8C" w:rsidP="007E5F8C">
      <w:pPr>
        <w:spacing w:after="0"/>
        <w:jc w:val="center"/>
        <w:rPr>
          <w:b/>
          <w:sz w:val="28"/>
          <w:szCs w:val="24"/>
        </w:rPr>
      </w:pPr>
      <w:r w:rsidRPr="007E5F8C">
        <w:rPr>
          <w:b/>
          <w:sz w:val="28"/>
          <w:szCs w:val="24"/>
        </w:rPr>
        <w:t>THROUGH AN OPEN GOVERNMENT</w:t>
      </w:r>
    </w:p>
    <w:p w:rsidR="00F60733" w:rsidRPr="007E5F8C" w:rsidRDefault="00F60733" w:rsidP="00082E87">
      <w:pPr>
        <w:spacing w:after="0"/>
        <w:jc w:val="center"/>
        <w:rPr>
          <w:b/>
          <w:sz w:val="24"/>
          <w:szCs w:val="24"/>
        </w:rPr>
      </w:pPr>
      <w:r w:rsidRPr="007E5F8C">
        <w:rPr>
          <w:b/>
          <w:sz w:val="24"/>
          <w:szCs w:val="24"/>
        </w:rPr>
        <w:t>(DRAFT)</w:t>
      </w:r>
    </w:p>
    <w:p w:rsidR="00447A3B" w:rsidRPr="007E5F8C" w:rsidRDefault="00447A3B" w:rsidP="00082E87">
      <w:pPr>
        <w:spacing w:after="0"/>
        <w:rPr>
          <w:b/>
          <w:sz w:val="24"/>
          <w:szCs w:val="24"/>
        </w:rPr>
      </w:pPr>
    </w:p>
    <w:p w:rsidR="00297724" w:rsidRPr="007E5F8C" w:rsidRDefault="00297724" w:rsidP="00082E87">
      <w:pPr>
        <w:spacing w:after="0"/>
        <w:rPr>
          <w:b/>
          <w:sz w:val="24"/>
          <w:szCs w:val="24"/>
        </w:rPr>
      </w:pPr>
      <w:r w:rsidRPr="007E5F8C">
        <w:rPr>
          <w:b/>
          <w:sz w:val="24"/>
          <w:szCs w:val="24"/>
        </w:rPr>
        <w:t>I. Introduction</w:t>
      </w:r>
    </w:p>
    <w:p w:rsidR="00297724" w:rsidRPr="007E5F8C" w:rsidRDefault="00297724" w:rsidP="00082E87">
      <w:pPr>
        <w:spacing w:after="0"/>
        <w:rPr>
          <w:sz w:val="24"/>
          <w:szCs w:val="24"/>
        </w:rPr>
      </w:pPr>
    </w:p>
    <w:p w:rsidR="00BE5A21" w:rsidRPr="007E5F8C" w:rsidRDefault="00BE5A21" w:rsidP="00082E87">
      <w:pPr>
        <w:spacing w:after="0"/>
        <w:jc w:val="both"/>
        <w:rPr>
          <w:sz w:val="24"/>
          <w:szCs w:val="24"/>
        </w:rPr>
      </w:pPr>
      <w:r w:rsidRPr="007E5F8C">
        <w:rPr>
          <w:sz w:val="24"/>
          <w:szCs w:val="24"/>
        </w:rPr>
        <w:t xml:space="preserve">In 2011, the Philippines became one of the founding members of the Open Government Partnership. </w:t>
      </w:r>
      <w:r w:rsidR="000932A4" w:rsidRPr="007E5F8C">
        <w:rPr>
          <w:sz w:val="24"/>
          <w:szCs w:val="24"/>
        </w:rPr>
        <w:t>S</w:t>
      </w:r>
      <w:r w:rsidRPr="007E5F8C">
        <w:rPr>
          <w:sz w:val="24"/>
          <w:szCs w:val="24"/>
        </w:rPr>
        <w:t xml:space="preserve">ignificant gains on public transparency and accountability </w:t>
      </w:r>
      <w:r w:rsidR="000932A4" w:rsidRPr="007E5F8C">
        <w:rPr>
          <w:sz w:val="24"/>
          <w:szCs w:val="24"/>
        </w:rPr>
        <w:t>have been realized in the first year of implementing the P</w:t>
      </w:r>
      <w:r w:rsidR="0063779A" w:rsidRPr="007E5F8C">
        <w:rPr>
          <w:sz w:val="24"/>
          <w:szCs w:val="24"/>
        </w:rPr>
        <w:t>h</w:t>
      </w:r>
      <w:r w:rsidR="000932A4" w:rsidRPr="007E5F8C">
        <w:rPr>
          <w:sz w:val="24"/>
          <w:szCs w:val="24"/>
        </w:rPr>
        <w:t xml:space="preserve">ilippine's Country Action Plan. </w:t>
      </w:r>
      <w:r w:rsidRPr="007E5F8C">
        <w:rPr>
          <w:sz w:val="24"/>
          <w:szCs w:val="24"/>
        </w:rPr>
        <w:t xml:space="preserve">Efforts to disclose government plans and budgets were initiated, including </w:t>
      </w:r>
      <w:r w:rsidR="009B77A2" w:rsidRPr="007E5F8C">
        <w:rPr>
          <w:sz w:val="24"/>
          <w:szCs w:val="24"/>
        </w:rPr>
        <w:t xml:space="preserve">leveraging technology to expand the reach of these transparency efforts. Partnerships with civil society to introduce and sustain governance reforms </w:t>
      </w:r>
      <w:r w:rsidR="003A3EE2" w:rsidRPr="007E5F8C">
        <w:rPr>
          <w:sz w:val="24"/>
          <w:szCs w:val="24"/>
        </w:rPr>
        <w:t xml:space="preserve">are now </w:t>
      </w:r>
      <w:r w:rsidR="000932A4" w:rsidRPr="007E5F8C">
        <w:rPr>
          <w:sz w:val="24"/>
          <w:szCs w:val="24"/>
        </w:rPr>
        <w:t xml:space="preserve">prevalent </w:t>
      </w:r>
      <w:r w:rsidR="003A3EE2" w:rsidRPr="007E5F8C">
        <w:rPr>
          <w:sz w:val="24"/>
          <w:szCs w:val="24"/>
        </w:rPr>
        <w:t xml:space="preserve">in government processes. </w:t>
      </w:r>
    </w:p>
    <w:p w:rsidR="00BE5A21" w:rsidRPr="007E5F8C" w:rsidRDefault="00BE5A21" w:rsidP="00082E87">
      <w:pPr>
        <w:spacing w:after="0"/>
        <w:jc w:val="both"/>
        <w:rPr>
          <w:sz w:val="24"/>
          <w:szCs w:val="24"/>
        </w:rPr>
      </w:pPr>
    </w:p>
    <w:p w:rsidR="009B77A2" w:rsidRPr="007E5F8C" w:rsidRDefault="009B77A2" w:rsidP="00082E87">
      <w:pPr>
        <w:spacing w:after="0"/>
        <w:jc w:val="both"/>
        <w:rPr>
          <w:rFonts w:cs="Arial"/>
          <w:color w:val="222222"/>
          <w:sz w:val="24"/>
          <w:szCs w:val="24"/>
        </w:rPr>
      </w:pPr>
      <w:r w:rsidRPr="007E5F8C">
        <w:rPr>
          <w:rFonts w:cs="Arial"/>
          <w:color w:val="222222"/>
          <w:sz w:val="24"/>
          <w:szCs w:val="24"/>
        </w:rPr>
        <w:t xml:space="preserve">Three years into the </w:t>
      </w:r>
      <w:r w:rsidR="003A3EE2" w:rsidRPr="007E5F8C">
        <w:rPr>
          <w:rFonts w:cs="Arial"/>
          <w:color w:val="222222"/>
          <w:sz w:val="24"/>
          <w:szCs w:val="24"/>
        </w:rPr>
        <w:t xml:space="preserve">Aquino </w:t>
      </w:r>
      <w:r w:rsidRPr="007E5F8C">
        <w:rPr>
          <w:rFonts w:cs="Arial"/>
          <w:color w:val="222222"/>
          <w:sz w:val="24"/>
          <w:szCs w:val="24"/>
        </w:rPr>
        <w:t>administration, we are now beginning to reap the benefits of open government - our President enjoys an unprecedented sustained trust rating of over 70%</w:t>
      </w:r>
      <w:r w:rsidR="00C375E1" w:rsidRPr="007E5F8C">
        <w:rPr>
          <w:rStyle w:val="FootnoteReference"/>
          <w:rFonts w:cs="Arial"/>
          <w:color w:val="222222"/>
          <w:sz w:val="24"/>
          <w:szCs w:val="24"/>
        </w:rPr>
        <w:footnoteReference w:id="1"/>
      </w:r>
      <w:r w:rsidRPr="007E5F8C">
        <w:rPr>
          <w:rFonts w:cs="Arial"/>
          <w:color w:val="222222"/>
          <w:sz w:val="24"/>
          <w:szCs w:val="24"/>
        </w:rPr>
        <w:t xml:space="preserve"> and the country has received its very first investment grade.</w:t>
      </w:r>
      <w:r w:rsidR="009514B5" w:rsidRPr="007E5F8C">
        <w:rPr>
          <w:rStyle w:val="FootnoteReference"/>
          <w:rFonts w:cs="Arial"/>
          <w:color w:val="222222"/>
          <w:sz w:val="24"/>
          <w:szCs w:val="24"/>
        </w:rPr>
        <w:footnoteReference w:id="2"/>
      </w:r>
      <w:r w:rsidR="00814F27" w:rsidRPr="007E5F8C">
        <w:rPr>
          <w:rFonts w:cs="Arial"/>
          <w:color w:val="222222"/>
          <w:sz w:val="24"/>
          <w:szCs w:val="24"/>
        </w:rPr>
        <w:t xml:space="preserve"> Citizens are now able to directly participate in the budgeting process of the national government</w:t>
      </w:r>
      <w:r w:rsidR="000932A4" w:rsidRPr="007E5F8C">
        <w:rPr>
          <w:rFonts w:cs="Arial"/>
          <w:color w:val="222222"/>
          <w:sz w:val="24"/>
          <w:szCs w:val="24"/>
        </w:rPr>
        <w:t xml:space="preserve"> and</w:t>
      </w:r>
      <w:r w:rsidR="00814F27" w:rsidRPr="007E5F8C">
        <w:rPr>
          <w:rFonts w:cs="Arial"/>
          <w:color w:val="222222"/>
          <w:sz w:val="24"/>
          <w:szCs w:val="24"/>
        </w:rPr>
        <w:t xml:space="preserve"> </w:t>
      </w:r>
      <w:r w:rsidR="000932A4" w:rsidRPr="007E5F8C">
        <w:rPr>
          <w:rFonts w:cs="Arial"/>
          <w:color w:val="222222"/>
          <w:sz w:val="24"/>
          <w:szCs w:val="24"/>
        </w:rPr>
        <w:t>a</w:t>
      </w:r>
      <w:r w:rsidR="006011A5" w:rsidRPr="007E5F8C">
        <w:rPr>
          <w:rFonts w:cs="Arial"/>
          <w:color w:val="222222"/>
          <w:sz w:val="24"/>
          <w:szCs w:val="24"/>
        </w:rPr>
        <w:t xml:space="preserve">n active civil society continues to constructively engage government to promote more openness and </w:t>
      </w:r>
      <w:r w:rsidR="00534D66" w:rsidRPr="007E5F8C">
        <w:rPr>
          <w:rFonts w:cs="Arial"/>
          <w:color w:val="222222"/>
          <w:sz w:val="24"/>
          <w:szCs w:val="24"/>
        </w:rPr>
        <w:t>transparency.</w:t>
      </w:r>
    </w:p>
    <w:p w:rsidR="00304728" w:rsidRPr="007E5F8C" w:rsidRDefault="00304728" w:rsidP="00082E87">
      <w:pPr>
        <w:spacing w:after="0"/>
        <w:jc w:val="both"/>
        <w:rPr>
          <w:rFonts w:cs="Arial"/>
          <w:color w:val="222222"/>
          <w:sz w:val="24"/>
          <w:szCs w:val="24"/>
        </w:rPr>
      </w:pPr>
    </w:p>
    <w:p w:rsidR="000932A4" w:rsidRPr="007E5F8C" w:rsidRDefault="00530505"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Still, there are challenges that need</w:t>
      </w:r>
      <w:r w:rsidR="00814F27" w:rsidRPr="007E5F8C">
        <w:rPr>
          <w:rFonts w:asciiTheme="minorHAnsi" w:hAnsiTheme="minorHAnsi" w:cs="Arial"/>
          <w:color w:val="222222"/>
        </w:rPr>
        <w:t xml:space="preserve"> to be addressed to ensure irreversibility of governance reforms and that the benefits of an open government are directly felt by more citizens</w:t>
      </w:r>
      <w:r w:rsidR="00BE5A21" w:rsidRPr="007E5F8C">
        <w:rPr>
          <w:rFonts w:asciiTheme="minorHAnsi" w:hAnsiTheme="minorHAnsi" w:cs="Arial"/>
          <w:color w:val="222222"/>
        </w:rPr>
        <w:t>, especially the poor and those in the margins.</w:t>
      </w:r>
      <w:r w:rsidR="0091039D" w:rsidRPr="007E5F8C">
        <w:rPr>
          <w:rFonts w:asciiTheme="minorHAnsi" w:hAnsiTheme="minorHAnsi" w:cs="Arial"/>
          <w:color w:val="222222"/>
        </w:rPr>
        <w:t xml:space="preserve"> Th</w:t>
      </w:r>
      <w:r w:rsidR="003757AF" w:rsidRPr="007E5F8C">
        <w:rPr>
          <w:rFonts w:asciiTheme="minorHAnsi" w:hAnsiTheme="minorHAnsi" w:cs="Arial"/>
          <w:color w:val="222222"/>
        </w:rPr>
        <w:t xml:space="preserve">rough the </w:t>
      </w:r>
      <w:r w:rsidR="0091039D" w:rsidRPr="007E5F8C">
        <w:rPr>
          <w:rFonts w:asciiTheme="minorHAnsi" w:hAnsiTheme="minorHAnsi" w:cs="Arial"/>
          <w:color w:val="222222"/>
        </w:rPr>
        <w:t>Philippine g</w:t>
      </w:r>
      <w:r w:rsidR="003C6D26" w:rsidRPr="007E5F8C">
        <w:rPr>
          <w:rFonts w:asciiTheme="minorHAnsi" w:hAnsiTheme="minorHAnsi" w:cs="Arial"/>
          <w:color w:val="222222"/>
        </w:rPr>
        <w:t>overnment</w:t>
      </w:r>
      <w:r w:rsidR="003757AF" w:rsidRPr="007E5F8C">
        <w:rPr>
          <w:rFonts w:asciiTheme="minorHAnsi" w:hAnsiTheme="minorHAnsi" w:cs="Arial"/>
          <w:color w:val="222222"/>
        </w:rPr>
        <w:t xml:space="preserve">'s </w:t>
      </w:r>
      <w:r w:rsidR="003C6D26" w:rsidRPr="007E5F8C">
        <w:rPr>
          <w:rFonts w:asciiTheme="minorHAnsi" w:hAnsiTheme="minorHAnsi" w:cs="Arial"/>
          <w:color w:val="222222"/>
        </w:rPr>
        <w:t xml:space="preserve">membership </w:t>
      </w:r>
      <w:r w:rsidR="003757AF" w:rsidRPr="007E5F8C">
        <w:rPr>
          <w:rFonts w:asciiTheme="minorHAnsi" w:hAnsiTheme="minorHAnsi" w:cs="Arial"/>
          <w:color w:val="222222"/>
        </w:rPr>
        <w:t>in</w:t>
      </w:r>
      <w:r w:rsidR="003C6D26" w:rsidRPr="007E5F8C">
        <w:rPr>
          <w:rFonts w:asciiTheme="minorHAnsi" w:hAnsiTheme="minorHAnsi" w:cs="Arial"/>
          <w:color w:val="222222"/>
        </w:rPr>
        <w:t xml:space="preserve"> the Open Government Partnership</w:t>
      </w:r>
      <w:r w:rsidR="003757AF" w:rsidRPr="007E5F8C">
        <w:rPr>
          <w:rFonts w:asciiTheme="minorHAnsi" w:hAnsiTheme="minorHAnsi" w:cs="Arial"/>
          <w:color w:val="222222"/>
        </w:rPr>
        <w:t xml:space="preserve">, it continues to commit and uphold reforms for good governance. </w:t>
      </w:r>
      <w:r w:rsidR="000932A4" w:rsidRPr="007E5F8C">
        <w:rPr>
          <w:rFonts w:asciiTheme="minorHAnsi" w:hAnsiTheme="minorHAnsi" w:cs="Arial"/>
          <w:color w:val="222222"/>
        </w:rPr>
        <w:t xml:space="preserve">As part of our OGP Action Plan commitments, government will </w:t>
      </w:r>
      <w:r w:rsidR="003757AF" w:rsidRPr="007E5F8C">
        <w:rPr>
          <w:rFonts w:asciiTheme="minorHAnsi" w:hAnsiTheme="minorHAnsi" w:cs="Arial"/>
          <w:color w:val="222222"/>
        </w:rPr>
        <w:t xml:space="preserve">implement initiatives that address the grand challenges of improving public services, increasing public integrity, and more effectively managing public resources. </w:t>
      </w:r>
      <w:r w:rsidR="001764D0" w:rsidRPr="007E5F8C">
        <w:rPr>
          <w:rFonts w:asciiTheme="minorHAnsi" w:hAnsiTheme="minorHAnsi" w:cs="Arial"/>
          <w:color w:val="222222"/>
        </w:rPr>
        <w:t>These are all aligned with the Aquino administration's platform of fighting corruption and patronage</w:t>
      </w:r>
      <w:r w:rsidR="000932A4" w:rsidRPr="007E5F8C">
        <w:rPr>
          <w:rFonts w:asciiTheme="minorHAnsi" w:hAnsiTheme="minorHAnsi" w:cs="Arial"/>
          <w:color w:val="222222"/>
        </w:rPr>
        <w:t>, anchored on the core principles of Transparency, Citizens' Participation and Accountability.</w:t>
      </w:r>
      <w:r w:rsidR="001764D0" w:rsidRPr="007E5F8C">
        <w:rPr>
          <w:rFonts w:asciiTheme="minorHAnsi" w:hAnsiTheme="minorHAnsi" w:cs="Arial"/>
          <w:color w:val="222222"/>
        </w:rPr>
        <w:t xml:space="preserve"> </w:t>
      </w:r>
    </w:p>
    <w:p w:rsidR="000932A4" w:rsidRPr="007E5F8C" w:rsidRDefault="000932A4" w:rsidP="00082E87">
      <w:pPr>
        <w:pStyle w:val="NormalWeb"/>
        <w:shd w:val="clear" w:color="auto" w:fill="FFFFFF"/>
        <w:spacing w:before="0" w:beforeAutospacing="0" w:after="0" w:afterAutospacing="0"/>
        <w:jc w:val="both"/>
        <w:rPr>
          <w:rFonts w:asciiTheme="minorHAnsi" w:hAnsiTheme="minorHAnsi" w:cs="Arial"/>
          <w:color w:val="222222"/>
        </w:rPr>
      </w:pPr>
    </w:p>
    <w:p w:rsidR="00BE5A21" w:rsidRPr="007E5F8C" w:rsidRDefault="00D03198"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lastRenderedPageBreak/>
        <w:t xml:space="preserve">In crafting this Action Plan, on-line and public consultations with civil society organizations and business groups have been conducted. </w:t>
      </w:r>
      <w:r w:rsidR="001764D0" w:rsidRPr="007E5F8C">
        <w:rPr>
          <w:rFonts w:asciiTheme="minorHAnsi" w:hAnsiTheme="minorHAnsi" w:cs="Arial"/>
          <w:color w:val="222222"/>
        </w:rPr>
        <w:t>A Philippine-Open Government Partn</w:t>
      </w:r>
      <w:r w:rsidR="00C501A3" w:rsidRPr="007E5F8C">
        <w:rPr>
          <w:rFonts w:asciiTheme="minorHAnsi" w:hAnsiTheme="minorHAnsi" w:cs="Arial"/>
          <w:color w:val="222222"/>
        </w:rPr>
        <w:t>e</w:t>
      </w:r>
      <w:r w:rsidR="001764D0" w:rsidRPr="007E5F8C">
        <w:rPr>
          <w:rFonts w:asciiTheme="minorHAnsi" w:hAnsiTheme="minorHAnsi" w:cs="Arial"/>
          <w:color w:val="222222"/>
        </w:rPr>
        <w:t>rs</w:t>
      </w:r>
      <w:r w:rsidR="009514B5" w:rsidRPr="007E5F8C">
        <w:rPr>
          <w:rFonts w:asciiTheme="minorHAnsi" w:hAnsiTheme="minorHAnsi" w:cs="Arial"/>
          <w:color w:val="222222"/>
        </w:rPr>
        <w:t xml:space="preserve">hip (Phl-OGP) Steering Committee was also created, </w:t>
      </w:r>
      <w:r w:rsidR="001764D0" w:rsidRPr="007E5F8C">
        <w:rPr>
          <w:rFonts w:asciiTheme="minorHAnsi" w:hAnsiTheme="minorHAnsi" w:cs="Arial"/>
          <w:color w:val="222222"/>
        </w:rPr>
        <w:t>composed of representatives from national and local governments, civil society orga</w:t>
      </w:r>
      <w:r w:rsidR="009514B5" w:rsidRPr="007E5F8C">
        <w:rPr>
          <w:rFonts w:asciiTheme="minorHAnsi" w:hAnsiTheme="minorHAnsi" w:cs="Arial"/>
          <w:color w:val="222222"/>
        </w:rPr>
        <w:t xml:space="preserve">nizations, and business </w:t>
      </w:r>
      <w:r w:rsidR="004D0547" w:rsidRPr="007E5F8C">
        <w:rPr>
          <w:rFonts w:asciiTheme="minorHAnsi" w:hAnsiTheme="minorHAnsi" w:cs="Arial"/>
          <w:color w:val="222222"/>
        </w:rPr>
        <w:t>groups that</w:t>
      </w:r>
      <w:r w:rsidR="001764D0" w:rsidRPr="007E5F8C">
        <w:rPr>
          <w:rFonts w:asciiTheme="minorHAnsi" w:hAnsiTheme="minorHAnsi" w:cs="Arial"/>
          <w:color w:val="222222"/>
        </w:rPr>
        <w:t xml:space="preserve"> guided the crafting of this Plan.</w:t>
      </w:r>
      <w:r w:rsidR="009514B5" w:rsidRPr="007E5F8C">
        <w:rPr>
          <w:rStyle w:val="FootnoteReference"/>
          <w:rFonts w:asciiTheme="minorHAnsi" w:hAnsiTheme="minorHAnsi" w:cs="Arial"/>
          <w:color w:val="222222"/>
        </w:rPr>
        <w:footnoteReference w:id="3"/>
      </w:r>
      <w:r w:rsidR="001764D0" w:rsidRPr="007E5F8C">
        <w:rPr>
          <w:rFonts w:asciiTheme="minorHAnsi" w:hAnsiTheme="minorHAnsi" w:cs="Arial"/>
          <w:color w:val="222222"/>
        </w:rPr>
        <w:t xml:space="preserve"> </w:t>
      </w:r>
      <w:r w:rsidR="00313615" w:rsidRPr="007E5F8C">
        <w:rPr>
          <w:rFonts w:asciiTheme="minorHAnsi" w:hAnsiTheme="minorHAnsi" w:cs="Arial"/>
          <w:color w:val="222222"/>
        </w:rPr>
        <w:t>The Plan also benefitted from the recommendations provided by the Independent Reporting Mechanism (IRM)</w:t>
      </w:r>
      <w:r w:rsidR="001764D0" w:rsidRPr="007E5F8C">
        <w:rPr>
          <w:rFonts w:asciiTheme="minorHAnsi" w:hAnsiTheme="minorHAnsi" w:cs="Arial"/>
          <w:color w:val="222222"/>
        </w:rPr>
        <w:t xml:space="preserve"> </w:t>
      </w:r>
      <w:r w:rsidR="00313615" w:rsidRPr="007E5F8C">
        <w:rPr>
          <w:rFonts w:asciiTheme="minorHAnsi" w:hAnsiTheme="minorHAnsi" w:cs="Arial"/>
          <w:color w:val="222222"/>
        </w:rPr>
        <w:t>of the OGP.</w:t>
      </w:r>
      <w:r w:rsidRPr="007E5F8C">
        <w:rPr>
          <w:rFonts w:asciiTheme="minorHAnsi" w:hAnsiTheme="minorHAnsi" w:cs="Arial"/>
          <w:color w:val="222222"/>
        </w:rPr>
        <w:t xml:space="preserve"> </w:t>
      </w:r>
    </w:p>
    <w:p w:rsidR="0026015C" w:rsidRPr="007E5F8C" w:rsidRDefault="0026015C" w:rsidP="00082E87">
      <w:pPr>
        <w:pStyle w:val="NormalWeb"/>
        <w:shd w:val="clear" w:color="auto" w:fill="FFFFFF"/>
        <w:spacing w:before="0" w:beforeAutospacing="0" w:after="0" w:afterAutospacing="0"/>
        <w:jc w:val="both"/>
        <w:rPr>
          <w:rFonts w:asciiTheme="minorHAnsi" w:hAnsiTheme="minorHAnsi" w:cs="Arial"/>
          <w:color w:val="222222"/>
        </w:rPr>
      </w:pPr>
    </w:p>
    <w:p w:rsidR="0026015C" w:rsidRPr="007E5F8C" w:rsidRDefault="0026015C" w:rsidP="00082E87">
      <w:pPr>
        <w:pStyle w:val="NormalWeb"/>
        <w:shd w:val="clear" w:color="auto" w:fill="FFFFFF"/>
        <w:spacing w:before="0" w:beforeAutospacing="0" w:after="0" w:afterAutospacing="0"/>
        <w:jc w:val="both"/>
        <w:rPr>
          <w:rFonts w:asciiTheme="minorHAnsi" w:hAnsiTheme="minorHAnsi" w:cs="Arial"/>
          <w:color w:val="222222"/>
        </w:rPr>
      </w:pPr>
    </w:p>
    <w:p w:rsidR="001A18FC" w:rsidRPr="007E5F8C" w:rsidRDefault="001A18FC" w:rsidP="00082E87">
      <w:pPr>
        <w:pStyle w:val="NormalWeb"/>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II. Open Government Efforts to Date</w:t>
      </w:r>
    </w:p>
    <w:p w:rsidR="001A18FC" w:rsidRPr="007E5F8C" w:rsidRDefault="001A18FC" w:rsidP="00082E87">
      <w:pPr>
        <w:pStyle w:val="NormalWeb"/>
        <w:shd w:val="clear" w:color="auto" w:fill="FFFFFF"/>
        <w:spacing w:before="0" w:beforeAutospacing="0" w:after="0" w:afterAutospacing="0"/>
        <w:jc w:val="both"/>
        <w:rPr>
          <w:rFonts w:asciiTheme="minorHAnsi" w:hAnsiTheme="minorHAnsi" w:cs="Arial"/>
          <w:color w:val="222222"/>
        </w:rPr>
      </w:pPr>
    </w:p>
    <w:p w:rsidR="00C501A3" w:rsidRPr="007E5F8C" w:rsidRDefault="00034702"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In the </w:t>
      </w:r>
      <w:r w:rsidR="00F33FDE" w:rsidRPr="007E5F8C">
        <w:rPr>
          <w:rFonts w:asciiTheme="minorHAnsi" w:hAnsiTheme="minorHAnsi" w:cs="Arial"/>
          <w:color w:val="222222"/>
        </w:rPr>
        <w:t xml:space="preserve">implementation of the </w:t>
      </w:r>
      <w:r w:rsidRPr="007E5F8C">
        <w:rPr>
          <w:rFonts w:asciiTheme="minorHAnsi" w:hAnsiTheme="minorHAnsi" w:cs="Arial"/>
          <w:color w:val="222222"/>
        </w:rPr>
        <w:t>2012 Country Action Plan</w:t>
      </w:r>
      <w:r w:rsidR="00F33FDE" w:rsidRPr="007E5F8C">
        <w:rPr>
          <w:rFonts w:asciiTheme="minorHAnsi" w:hAnsiTheme="minorHAnsi" w:cs="Arial"/>
          <w:color w:val="222222"/>
        </w:rPr>
        <w:t xml:space="preserve"> that includes</w:t>
      </w:r>
      <w:r w:rsidRPr="007E5F8C">
        <w:rPr>
          <w:rFonts w:asciiTheme="minorHAnsi" w:hAnsiTheme="minorHAnsi" w:cs="Arial"/>
          <w:color w:val="222222"/>
        </w:rPr>
        <w:t xml:space="preserve"> initia</w:t>
      </w:r>
      <w:r w:rsidR="00F33FDE" w:rsidRPr="007E5F8C">
        <w:rPr>
          <w:rFonts w:asciiTheme="minorHAnsi" w:hAnsiTheme="minorHAnsi" w:cs="Arial"/>
          <w:color w:val="222222"/>
        </w:rPr>
        <w:t>tives</w:t>
      </w:r>
      <w:r w:rsidRPr="007E5F8C">
        <w:rPr>
          <w:rFonts w:asciiTheme="minorHAnsi" w:hAnsiTheme="minorHAnsi" w:cs="Arial"/>
          <w:color w:val="222222"/>
        </w:rPr>
        <w:t xml:space="preserve"> to promote </w:t>
      </w:r>
      <w:r w:rsidR="00F33FDE" w:rsidRPr="007E5F8C">
        <w:rPr>
          <w:rFonts w:asciiTheme="minorHAnsi" w:hAnsiTheme="minorHAnsi" w:cs="Arial"/>
          <w:color w:val="222222"/>
        </w:rPr>
        <w:t xml:space="preserve">an </w:t>
      </w:r>
      <w:r w:rsidRPr="007E5F8C">
        <w:rPr>
          <w:rFonts w:asciiTheme="minorHAnsi" w:hAnsiTheme="minorHAnsi" w:cs="Arial"/>
          <w:color w:val="222222"/>
        </w:rPr>
        <w:t>open government</w:t>
      </w:r>
      <w:r w:rsidR="00F33FDE" w:rsidRPr="007E5F8C">
        <w:rPr>
          <w:rFonts w:asciiTheme="minorHAnsi" w:hAnsiTheme="minorHAnsi" w:cs="Arial"/>
          <w:color w:val="222222"/>
        </w:rPr>
        <w:t xml:space="preserve">, </w:t>
      </w:r>
      <w:r w:rsidR="009C19CC" w:rsidRPr="007E5F8C">
        <w:rPr>
          <w:rFonts w:asciiTheme="minorHAnsi" w:hAnsiTheme="minorHAnsi" w:cs="Arial"/>
          <w:color w:val="222222"/>
        </w:rPr>
        <w:t xml:space="preserve">significant gains were realized. </w:t>
      </w:r>
    </w:p>
    <w:p w:rsidR="009C19CC" w:rsidRPr="007E5F8C" w:rsidRDefault="009C19CC" w:rsidP="00082E87">
      <w:pPr>
        <w:pStyle w:val="NormalWeb"/>
        <w:shd w:val="clear" w:color="auto" w:fill="FFFFFF"/>
        <w:spacing w:before="0" w:beforeAutospacing="0" w:after="0" w:afterAutospacing="0"/>
        <w:jc w:val="both"/>
        <w:rPr>
          <w:rFonts w:asciiTheme="minorHAnsi" w:hAnsiTheme="minorHAnsi" w:cs="Arial"/>
          <w:color w:val="222222"/>
        </w:rPr>
      </w:pPr>
    </w:p>
    <w:p w:rsidR="009C19CC" w:rsidRPr="007E5F8C" w:rsidRDefault="00357727" w:rsidP="00082E87">
      <w:pPr>
        <w:pStyle w:val="NormalWeb"/>
        <w:numPr>
          <w:ilvl w:val="0"/>
          <w:numId w:val="1"/>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Improved compliance with transparency</w:t>
      </w:r>
      <w:r w:rsidR="009C19CC" w:rsidRPr="007E5F8C">
        <w:rPr>
          <w:rFonts w:asciiTheme="minorHAnsi" w:hAnsiTheme="minorHAnsi" w:cs="Arial"/>
          <w:b/>
          <w:color w:val="222222"/>
        </w:rPr>
        <w:t xml:space="preserve"> </w:t>
      </w:r>
    </w:p>
    <w:p w:rsidR="00AC30E2" w:rsidRPr="007E5F8C" w:rsidRDefault="003562ED" w:rsidP="00082E87">
      <w:pPr>
        <w:spacing w:after="0"/>
        <w:jc w:val="both"/>
        <w:rPr>
          <w:sz w:val="24"/>
          <w:szCs w:val="24"/>
        </w:rPr>
      </w:pPr>
      <w:r w:rsidRPr="007E5F8C">
        <w:rPr>
          <w:sz w:val="24"/>
          <w:szCs w:val="24"/>
        </w:rPr>
        <w:t>National government agencies were mandated to publish major information on budgets, finance and performance indicators in their respective websites</w:t>
      </w:r>
      <w:r w:rsidR="006E353A" w:rsidRPr="007E5F8C">
        <w:rPr>
          <w:sz w:val="24"/>
          <w:szCs w:val="24"/>
        </w:rPr>
        <w:t>. As of first quarter of 2013, all departments in the Executive Branch have complied with the transparency mandate.</w:t>
      </w:r>
      <w:r w:rsidR="00881FA7" w:rsidRPr="007E5F8C">
        <w:rPr>
          <w:sz w:val="24"/>
          <w:szCs w:val="24"/>
        </w:rPr>
        <w:t xml:space="preserve"> Further, </w:t>
      </w:r>
      <w:r w:rsidR="00AC30E2" w:rsidRPr="007E5F8C">
        <w:rPr>
          <w:sz w:val="24"/>
          <w:szCs w:val="24"/>
        </w:rPr>
        <w:t xml:space="preserve">the Philippine Government Electronic Procurement System (PhilGEPS) currently include features such as an electronic bulletin board for posting of procurement activities, notices and awards, a registry of more than 70,000 suppliers, automatic bid matching of opportunities with possible suppliers, and a virtual store of common-use supplies available from the Procurement Service, the government’s bulk buyer. </w:t>
      </w:r>
    </w:p>
    <w:p w:rsidR="00C501A3" w:rsidRPr="007E5F8C" w:rsidRDefault="00C501A3" w:rsidP="00082E87">
      <w:pPr>
        <w:spacing w:after="0"/>
        <w:jc w:val="both"/>
        <w:rPr>
          <w:rFonts w:cs="Arial"/>
          <w:color w:val="222222"/>
          <w:sz w:val="24"/>
          <w:szCs w:val="24"/>
        </w:rPr>
      </w:pPr>
    </w:p>
    <w:p w:rsidR="00082E87" w:rsidRPr="007E5F8C" w:rsidRDefault="00072AB6" w:rsidP="0063779A">
      <w:pPr>
        <w:pStyle w:val="FootnoteText"/>
        <w:jc w:val="both"/>
        <w:rPr>
          <w:sz w:val="24"/>
          <w:szCs w:val="24"/>
        </w:rPr>
      </w:pPr>
      <w:r w:rsidRPr="007E5F8C">
        <w:rPr>
          <w:rFonts w:cs="Arial"/>
          <w:color w:val="222222"/>
          <w:sz w:val="24"/>
          <w:szCs w:val="24"/>
        </w:rPr>
        <w:t xml:space="preserve">In addition, transparency in local governments was institutionalized through </w:t>
      </w:r>
      <w:r w:rsidR="001F0A9F" w:rsidRPr="007E5F8C">
        <w:rPr>
          <w:rFonts w:cs="Arial"/>
          <w:color w:val="222222"/>
          <w:sz w:val="24"/>
          <w:szCs w:val="24"/>
        </w:rPr>
        <w:t xml:space="preserve">the adoption of the full disclosure policy which required local government units </w:t>
      </w:r>
      <w:r w:rsidR="001B7417" w:rsidRPr="007E5F8C">
        <w:rPr>
          <w:rFonts w:cs="Arial"/>
          <w:color w:val="222222"/>
          <w:sz w:val="24"/>
          <w:szCs w:val="24"/>
        </w:rPr>
        <w:t xml:space="preserve">(LGUs) </w:t>
      </w:r>
      <w:r w:rsidR="001F0A9F" w:rsidRPr="007E5F8C">
        <w:rPr>
          <w:rFonts w:cs="Arial"/>
          <w:color w:val="222222"/>
          <w:sz w:val="24"/>
          <w:szCs w:val="24"/>
        </w:rPr>
        <w:t xml:space="preserve">to post in a designated </w:t>
      </w:r>
      <w:r w:rsidR="000932A4" w:rsidRPr="007E5F8C">
        <w:rPr>
          <w:rFonts w:cs="Arial"/>
          <w:color w:val="222222"/>
          <w:sz w:val="24"/>
          <w:szCs w:val="24"/>
        </w:rPr>
        <w:t xml:space="preserve">web </w:t>
      </w:r>
      <w:r w:rsidR="001F0A9F" w:rsidRPr="007E5F8C">
        <w:rPr>
          <w:rFonts w:cs="Arial"/>
          <w:color w:val="222222"/>
          <w:sz w:val="24"/>
          <w:szCs w:val="24"/>
        </w:rPr>
        <w:t>portal, print media, and in conspicuous places information on their plans, budgets, and fund utilization reports.</w:t>
      </w:r>
      <w:r w:rsidR="00082E87" w:rsidRPr="007E5F8C">
        <w:rPr>
          <w:rFonts w:cs="Arial"/>
          <w:color w:val="222222"/>
          <w:sz w:val="24"/>
          <w:szCs w:val="24"/>
        </w:rPr>
        <w:t xml:space="preserve"> </w:t>
      </w:r>
      <w:r w:rsidR="00082E87" w:rsidRPr="007E5F8C">
        <w:rPr>
          <w:sz w:val="24"/>
          <w:szCs w:val="24"/>
        </w:rPr>
        <w:t>9% of LGUs have fully complied with the policy in 2012, that is, they disclosed all required documents in the web portal, print media, and in conspicuous places in their respective areas. Further, 88% of LGUs have partially complied with the</w:t>
      </w:r>
      <w:r w:rsidR="0063779A" w:rsidRPr="007E5F8C">
        <w:rPr>
          <w:sz w:val="24"/>
          <w:szCs w:val="24"/>
        </w:rPr>
        <w:t xml:space="preserve"> disclosure policy.</w:t>
      </w:r>
      <w:r w:rsidR="00082E87" w:rsidRPr="007E5F8C">
        <w:rPr>
          <w:sz w:val="24"/>
          <w:szCs w:val="24"/>
        </w:rPr>
        <w:t xml:space="preserve"> </w:t>
      </w:r>
    </w:p>
    <w:p w:rsidR="00072AB6" w:rsidRPr="007E5F8C" w:rsidRDefault="00072AB6" w:rsidP="00082E87">
      <w:pPr>
        <w:spacing w:after="0"/>
        <w:jc w:val="both"/>
        <w:rPr>
          <w:rFonts w:cs="Arial"/>
          <w:color w:val="222222"/>
          <w:sz w:val="24"/>
          <w:szCs w:val="24"/>
        </w:rPr>
      </w:pPr>
    </w:p>
    <w:p w:rsidR="00C501A3" w:rsidRPr="007E5F8C" w:rsidRDefault="00502B4D" w:rsidP="00082E87">
      <w:pPr>
        <w:pStyle w:val="ListParagraph"/>
        <w:numPr>
          <w:ilvl w:val="0"/>
          <w:numId w:val="1"/>
        </w:numPr>
        <w:spacing w:after="0"/>
        <w:jc w:val="both"/>
        <w:rPr>
          <w:rFonts w:cs="Arial"/>
          <w:b/>
          <w:color w:val="222222"/>
          <w:sz w:val="24"/>
          <w:szCs w:val="24"/>
        </w:rPr>
      </w:pPr>
      <w:r w:rsidRPr="007E5F8C">
        <w:rPr>
          <w:rFonts w:cs="Arial"/>
          <w:b/>
          <w:color w:val="222222"/>
          <w:sz w:val="24"/>
          <w:szCs w:val="24"/>
        </w:rPr>
        <w:t>Deepened citizens’ participation</w:t>
      </w:r>
    </w:p>
    <w:p w:rsidR="00502B4D" w:rsidRPr="007E5F8C" w:rsidRDefault="00F149D9" w:rsidP="00082E87">
      <w:pPr>
        <w:spacing w:after="0"/>
        <w:jc w:val="both"/>
        <w:rPr>
          <w:rFonts w:cs="Arial"/>
          <w:color w:val="222222"/>
          <w:sz w:val="24"/>
          <w:szCs w:val="24"/>
        </w:rPr>
      </w:pPr>
      <w:r w:rsidRPr="007E5F8C">
        <w:rPr>
          <w:rFonts w:cs="Arial"/>
          <w:color w:val="222222"/>
          <w:sz w:val="24"/>
          <w:szCs w:val="24"/>
        </w:rPr>
        <w:t xml:space="preserve">Civil society organizations were engaged </w:t>
      </w:r>
      <w:r w:rsidR="0027208D" w:rsidRPr="007E5F8C">
        <w:rPr>
          <w:rFonts w:cs="Arial"/>
          <w:color w:val="222222"/>
          <w:sz w:val="24"/>
          <w:szCs w:val="24"/>
        </w:rPr>
        <w:t xml:space="preserve">in crafting the national budget by forging Budget Partnership Agreements (BPAs). In 2012, six national agencies and three government-owned corporations </w:t>
      </w:r>
      <w:r w:rsidR="00520CEF" w:rsidRPr="007E5F8C">
        <w:rPr>
          <w:rFonts w:cs="Arial"/>
          <w:color w:val="222222"/>
          <w:sz w:val="24"/>
          <w:szCs w:val="24"/>
        </w:rPr>
        <w:t>were included in the participatory budgeting exercise. This was expanded to cover twelve national agencies and six government-owned corporations in 2013.</w:t>
      </w:r>
      <w:r w:rsidR="0027208D" w:rsidRPr="007E5F8C">
        <w:rPr>
          <w:rFonts w:cs="Arial"/>
          <w:color w:val="222222"/>
          <w:sz w:val="24"/>
          <w:szCs w:val="24"/>
        </w:rPr>
        <w:t xml:space="preserve"> </w:t>
      </w:r>
      <w:r w:rsidR="00DF5028" w:rsidRPr="007E5F8C">
        <w:rPr>
          <w:rFonts w:cs="Arial"/>
          <w:color w:val="222222"/>
          <w:sz w:val="24"/>
          <w:szCs w:val="24"/>
        </w:rPr>
        <w:t xml:space="preserve">In addition, </w:t>
      </w:r>
      <w:r w:rsidR="00AB27B3" w:rsidRPr="007E5F8C">
        <w:rPr>
          <w:rFonts w:cs="Arial"/>
          <w:color w:val="222222"/>
          <w:sz w:val="24"/>
          <w:szCs w:val="24"/>
        </w:rPr>
        <w:t xml:space="preserve">595 </w:t>
      </w:r>
      <w:r w:rsidR="00AB27B3" w:rsidRPr="007E5F8C">
        <w:rPr>
          <w:rFonts w:cs="Arial"/>
          <w:color w:val="222222"/>
          <w:sz w:val="24"/>
          <w:szCs w:val="24"/>
        </w:rPr>
        <w:lastRenderedPageBreak/>
        <w:t xml:space="preserve">cities and municipalities have undergone participatory </w:t>
      </w:r>
      <w:r w:rsidR="00DF7033" w:rsidRPr="007E5F8C">
        <w:rPr>
          <w:rFonts w:cs="Arial"/>
          <w:color w:val="222222"/>
          <w:sz w:val="24"/>
          <w:szCs w:val="24"/>
        </w:rPr>
        <w:t xml:space="preserve">planning and budgeting processes resulting to the identification of priority poverty reduction projects. More than US$195 million worth of </w:t>
      </w:r>
      <w:r w:rsidR="000932A4" w:rsidRPr="007E5F8C">
        <w:rPr>
          <w:rFonts w:cs="Arial"/>
          <w:color w:val="222222"/>
          <w:sz w:val="24"/>
          <w:szCs w:val="24"/>
        </w:rPr>
        <w:t xml:space="preserve">projects, identified through a grassroots participatory budgeting process, have been </w:t>
      </w:r>
      <w:r w:rsidR="00DF7033" w:rsidRPr="007E5F8C">
        <w:rPr>
          <w:rFonts w:cs="Arial"/>
          <w:color w:val="222222"/>
          <w:sz w:val="24"/>
          <w:szCs w:val="24"/>
        </w:rPr>
        <w:t xml:space="preserve">incorporated in the 2013 national budget and are currently being implemented. </w:t>
      </w:r>
    </w:p>
    <w:p w:rsidR="00502B4D" w:rsidRPr="007E5F8C" w:rsidRDefault="00502B4D" w:rsidP="00082E87">
      <w:pPr>
        <w:spacing w:after="0"/>
        <w:jc w:val="both"/>
        <w:rPr>
          <w:rFonts w:cs="Arial"/>
          <w:color w:val="222222"/>
          <w:sz w:val="24"/>
          <w:szCs w:val="24"/>
        </w:rPr>
      </w:pPr>
    </w:p>
    <w:p w:rsidR="00381DE5" w:rsidRPr="007E5F8C" w:rsidRDefault="007A07DB" w:rsidP="00082E87">
      <w:pPr>
        <w:pStyle w:val="NormalWeb"/>
        <w:numPr>
          <w:ilvl w:val="0"/>
          <w:numId w:val="1"/>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Enhanced acco</w:t>
      </w:r>
      <w:r w:rsidR="00B2053B" w:rsidRPr="007E5F8C">
        <w:rPr>
          <w:rFonts w:asciiTheme="minorHAnsi" w:hAnsiTheme="minorHAnsi" w:cs="Arial"/>
          <w:b/>
          <w:color w:val="222222"/>
        </w:rPr>
        <w:t xml:space="preserve">untability and </w:t>
      </w:r>
      <w:r w:rsidR="000C068E" w:rsidRPr="007E5F8C">
        <w:rPr>
          <w:rFonts w:asciiTheme="minorHAnsi" w:hAnsiTheme="minorHAnsi" w:cs="Arial"/>
          <w:b/>
          <w:color w:val="222222"/>
        </w:rPr>
        <w:t>performance measurement systems</w:t>
      </w:r>
      <w:r w:rsidR="002B0503" w:rsidRPr="007E5F8C">
        <w:rPr>
          <w:rFonts w:asciiTheme="minorHAnsi" w:hAnsiTheme="minorHAnsi" w:cs="Arial"/>
          <w:b/>
          <w:color w:val="222222"/>
        </w:rPr>
        <w:t xml:space="preserve"> </w:t>
      </w:r>
    </w:p>
    <w:p w:rsidR="00381DE5" w:rsidRPr="007E5F8C" w:rsidRDefault="000C2841"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A </w:t>
      </w:r>
      <w:r w:rsidR="00A50BBA" w:rsidRPr="007E5F8C">
        <w:rPr>
          <w:rFonts w:asciiTheme="minorHAnsi" w:hAnsiTheme="minorHAnsi" w:cs="Arial"/>
          <w:color w:val="222222"/>
        </w:rPr>
        <w:t xml:space="preserve">framework for a </w:t>
      </w:r>
      <w:r w:rsidRPr="007E5F8C">
        <w:rPr>
          <w:rFonts w:asciiTheme="minorHAnsi" w:hAnsiTheme="minorHAnsi" w:cs="Arial"/>
          <w:color w:val="222222"/>
        </w:rPr>
        <w:t>single results-based performance management system was developed</w:t>
      </w:r>
      <w:r w:rsidR="001D1FC3" w:rsidRPr="007E5F8C">
        <w:rPr>
          <w:rFonts w:asciiTheme="minorHAnsi" w:hAnsiTheme="minorHAnsi" w:cs="Arial"/>
          <w:color w:val="222222"/>
        </w:rPr>
        <w:t>, which includes a performance-based incentive system (PBIS) that was</w:t>
      </w:r>
      <w:r w:rsidRPr="007E5F8C">
        <w:rPr>
          <w:rFonts w:asciiTheme="minorHAnsi" w:hAnsiTheme="minorHAnsi" w:cs="Arial"/>
          <w:color w:val="222222"/>
        </w:rPr>
        <w:t xml:space="preserve"> implemented on a pilot basis in 2012. </w:t>
      </w:r>
      <w:r w:rsidR="001D1FC3" w:rsidRPr="007E5F8C">
        <w:rPr>
          <w:rFonts w:asciiTheme="minorHAnsi" w:hAnsiTheme="minorHAnsi" w:cs="Arial"/>
          <w:color w:val="222222"/>
        </w:rPr>
        <w:t>The system includes the granting of performance-based bonus to government agencies that have complied with set good governance criteria and accomplished at least 90% of the agency’s physical targets. Participation rate of national government agencies in the PBIS is at 96% with more than 945,000 government employees granted with the performance-based bonus.</w:t>
      </w:r>
      <w:r w:rsidR="00427BB2" w:rsidRPr="007E5F8C">
        <w:rPr>
          <w:rFonts w:asciiTheme="minorHAnsi" w:hAnsiTheme="minorHAnsi" w:cs="Arial"/>
          <w:color w:val="222222"/>
        </w:rPr>
        <w:t xml:space="preserve"> Moreover, activities </w:t>
      </w:r>
      <w:r w:rsidR="00630D30" w:rsidRPr="007E5F8C">
        <w:rPr>
          <w:rFonts w:asciiTheme="minorHAnsi" w:hAnsiTheme="minorHAnsi" w:cs="Arial"/>
          <w:color w:val="222222"/>
        </w:rPr>
        <w:t>to monitor the compliance of government agencies in the Anti-Red Tape Act have been conducted. In 2012, 1,881 government service offices or 70% of total target have posted their Citizen’s Charters.</w:t>
      </w:r>
      <w:r w:rsidR="001D1FC3" w:rsidRPr="007E5F8C">
        <w:rPr>
          <w:rFonts w:asciiTheme="minorHAnsi" w:hAnsiTheme="minorHAnsi" w:cs="Arial"/>
          <w:color w:val="222222"/>
        </w:rPr>
        <w:t xml:space="preserve"> </w:t>
      </w:r>
    </w:p>
    <w:p w:rsidR="000C068E" w:rsidRPr="007E5F8C" w:rsidRDefault="000C068E" w:rsidP="00082E87">
      <w:pPr>
        <w:pStyle w:val="NormalWeb"/>
        <w:shd w:val="clear" w:color="auto" w:fill="FFFFFF"/>
        <w:spacing w:before="0" w:beforeAutospacing="0" w:after="0" w:afterAutospacing="0"/>
        <w:jc w:val="both"/>
        <w:rPr>
          <w:rFonts w:asciiTheme="minorHAnsi" w:hAnsiTheme="minorHAnsi" w:cs="Arial"/>
          <w:color w:val="222222"/>
        </w:rPr>
      </w:pPr>
    </w:p>
    <w:p w:rsidR="00DD0C2C" w:rsidRPr="007E5F8C" w:rsidRDefault="00ED1846"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With regards to local governments, t</w:t>
      </w:r>
      <w:r w:rsidR="0091743B" w:rsidRPr="007E5F8C">
        <w:rPr>
          <w:rFonts w:asciiTheme="minorHAnsi" w:hAnsiTheme="minorHAnsi" w:cs="Arial"/>
          <w:color w:val="222222"/>
        </w:rPr>
        <w:t xml:space="preserve">he Seal of Good Housekeeping is conferred to LGUs that exercise </w:t>
      </w:r>
      <w:r w:rsidRPr="007E5F8C">
        <w:rPr>
          <w:rFonts w:asciiTheme="minorHAnsi" w:hAnsiTheme="minorHAnsi" w:cs="Arial"/>
          <w:color w:val="222222"/>
        </w:rPr>
        <w:t xml:space="preserve">transparency and </w:t>
      </w:r>
      <w:r w:rsidR="0091743B" w:rsidRPr="007E5F8C">
        <w:rPr>
          <w:rFonts w:asciiTheme="minorHAnsi" w:hAnsiTheme="minorHAnsi" w:cs="Arial"/>
          <w:color w:val="222222"/>
        </w:rPr>
        <w:t>sound fiscal management</w:t>
      </w:r>
      <w:r w:rsidRPr="007E5F8C">
        <w:rPr>
          <w:rFonts w:asciiTheme="minorHAnsi" w:hAnsiTheme="minorHAnsi" w:cs="Arial"/>
          <w:color w:val="222222"/>
        </w:rPr>
        <w:t>. In 2012, 1,365 LGUs were awarded with the Seal.</w:t>
      </w:r>
    </w:p>
    <w:p w:rsidR="0091743B" w:rsidRPr="007E5F8C" w:rsidRDefault="0091743B" w:rsidP="00082E87">
      <w:pPr>
        <w:pStyle w:val="NormalWeb"/>
        <w:shd w:val="clear" w:color="auto" w:fill="FFFFFF"/>
        <w:spacing w:before="0" w:beforeAutospacing="0" w:after="0" w:afterAutospacing="0"/>
        <w:jc w:val="both"/>
        <w:rPr>
          <w:rFonts w:asciiTheme="minorHAnsi" w:hAnsiTheme="minorHAnsi" w:cs="Arial"/>
          <w:color w:val="222222"/>
        </w:rPr>
      </w:pPr>
    </w:p>
    <w:p w:rsidR="0091743B" w:rsidRPr="007E5F8C" w:rsidRDefault="00A20C85" w:rsidP="00082E87">
      <w:pPr>
        <w:pStyle w:val="NormalWeb"/>
        <w:numPr>
          <w:ilvl w:val="0"/>
          <w:numId w:val="1"/>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 xml:space="preserve">Leveraged technology for </w:t>
      </w:r>
      <w:r w:rsidR="0078160F" w:rsidRPr="007E5F8C">
        <w:rPr>
          <w:rFonts w:asciiTheme="minorHAnsi" w:hAnsiTheme="minorHAnsi" w:cs="Arial"/>
          <w:b/>
          <w:color w:val="222222"/>
        </w:rPr>
        <w:t>transparency, efficiency, and accountability</w:t>
      </w:r>
    </w:p>
    <w:p w:rsidR="000C068E" w:rsidRPr="007E5F8C" w:rsidRDefault="00D119E9"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As </w:t>
      </w:r>
      <w:r w:rsidR="00860F05" w:rsidRPr="007E5F8C">
        <w:rPr>
          <w:rFonts w:asciiTheme="minorHAnsi" w:hAnsiTheme="minorHAnsi" w:cs="Arial"/>
          <w:color w:val="222222"/>
        </w:rPr>
        <w:t xml:space="preserve">one of the </w:t>
      </w:r>
      <w:r w:rsidRPr="007E5F8C">
        <w:rPr>
          <w:rFonts w:asciiTheme="minorHAnsi" w:hAnsiTheme="minorHAnsi" w:cs="Arial"/>
          <w:color w:val="222222"/>
        </w:rPr>
        <w:t xml:space="preserve">building blocks </w:t>
      </w:r>
      <w:r w:rsidR="009B6CB0" w:rsidRPr="007E5F8C">
        <w:rPr>
          <w:rFonts w:asciiTheme="minorHAnsi" w:hAnsiTheme="minorHAnsi" w:cs="Arial"/>
          <w:color w:val="222222"/>
        </w:rPr>
        <w:t>for</w:t>
      </w:r>
      <w:r w:rsidRPr="007E5F8C">
        <w:rPr>
          <w:rFonts w:asciiTheme="minorHAnsi" w:hAnsiTheme="minorHAnsi" w:cs="Arial"/>
          <w:color w:val="222222"/>
        </w:rPr>
        <w:t xml:space="preserve"> the integrated financial management information system, the account code structures of government were unified and used in the preparation of the 2014 national budget. </w:t>
      </w:r>
      <w:r w:rsidR="009B6CB0" w:rsidRPr="007E5F8C">
        <w:rPr>
          <w:rFonts w:asciiTheme="minorHAnsi" w:hAnsiTheme="minorHAnsi" w:cs="Arial"/>
          <w:color w:val="222222"/>
        </w:rPr>
        <w:t xml:space="preserve">The design and implementation plan for the integrated system was also finalized in </w:t>
      </w:r>
      <w:r w:rsidR="009E6DB2" w:rsidRPr="007E5F8C">
        <w:rPr>
          <w:rFonts w:asciiTheme="minorHAnsi" w:hAnsiTheme="minorHAnsi" w:cs="Arial"/>
          <w:color w:val="222222"/>
        </w:rPr>
        <w:t>mid</w:t>
      </w:r>
      <w:r w:rsidR="009B6CB0" w:rsidRPr="007E5F8C">
        <w:rPr>
          <w:rFonts w:asciiTheme="minorHAnsi" w:hAnsiTheme="minorHAnsi" w:cs="Arial"/>
          <w:color w:val="222222"/>
        </w:rPr>
        <w:t xml:space="preserve"> 2013. </w:t>
      </w:r>
    </w:p>
    <w:p w:rsidR="00447A3B" w:rsidRPr="007E5F8C" w:rsidRDefault="00447A3B" w:rsidP="00082E87">
      <w:pPr>
        <w:pStyle w:val="NormalWeb"/>
        <w:shd w:val="clear" w:color="auto" w:fill="FFFFFF"/>
        <w:spacing w:before="0" w:beforeAutospacing="0" w:after="0" w:afterAutospacing="0"/>
        <w:jc w:val="both"/>
        <w:rPr>
          <w:rFonts w:asciiTheme="minorHAnsi" w:hAnsiTheme="minorHAnsi" w:cs="Arial"/>
          <w:color w:val="222222"/>
        </w:rPr>
      </w:pPr>
    </w:p>
    <w:p w:rsidR="00DE1830" w:rsidRPr="007E5F8C" w:rsidRDefault="00DE1830"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Further, the Electronic Transparency and Accountability Initiative for Lump-sum Funds (e-TAILS)</w:t>
      </w:r>
      <w:r w:rsidR="00B11548" w:rsidRPr="007E5F8C">
        <w:rPr>
          <w:rFonts w:asciiTheme="minorHAnsi" w:hAnsiTheme="minorHAnsi" w:cs="Arial"/>
          <w:color w:val="222222"/>
        </w:rPr>
        <w:t>, a page in the Budget Department’s website,</w:t>
      </w:r>
      <w:r w:rsidRPr="007E5F8C">
        <w:rPr>
          <w:rFonts w:asciiTheme="minorHAnsi" w:hAnsiTheme="minorHAnsi" w:cs="Arial"/>
          <w:color w:val="222222"/>
        </w:rPr>
        <w:t xml:space="preserve"> was developed </w:t>
      </w:r>
      <w:r w:rsidR="00B11548" w:rsidRPr="007E5F8C">
        <w:rPr>
          <w:rFonts w:asciiTheme="minorHAnsi" w:hAnsiTheme="minorHAnsi" w:cs="Arial"/>
          <w:color w:val="222222"/>
        </w:rPr>
        <w:t xml:space="preserve">where citizens can access information on often-politicized lump-sum funds. An interactive website, called </w:t>
      </w:r>
      <w:r w:rsidR="00B11548" w:rsidRPr="007E5F8C">
        <w:rPr>
          <w:rFonts w:asciiTheme="minorHAnsi" w:hAnsiTheme="minorHAnsi" w:cs="Arial"/>
          <w:i/>
          <w:color w:val="222222"/>
        </w:rPr>
        <w:t>Budget ng Bayan</w:t>
      </w:r>
      <w:r w:rsidR="00232ED9" w:rsidRPr="007E5F8C">
        <w:rPr>
          <w:rStyle w:val="FootnoteReference"/>
          <w:rFonts w:asciiTheme="minorHAnsi" w:hAnsiTheme="minorHAnsi" w:cs="Arial"/>
          <w:i/>
          <w:color w:val="222222"/>
        </w:rPr>
        <w:footnoteReference w:id="4"/>
      </w:r>
      <w:r w:rsidR="00B11548" w:rsidRPr="007E5F8C">
        <w:rPr>
          <w:rFonts w:asciiTheme="minorHAnsi" w:hAnsiTheme="minorHAnsi" w:cs="Arial"/>
          <w:color w:val="222222"/>
        </w:rPr>
        <w:t xml:space="preserve">, where citizens can learn about and find information on the national budget was also developed. The site features an interactive people’s budget, budget cycle, and citizen’s portal. The People’s Budget, a less technical version of the national budget, was also published and disseminated to the public in 2012 and 2013. </w:t>
      </w:r>
    </w:p>
    <w:p w:rsidR="00DE1830" w:rsidRPr="007E5F8C" w:rsidRDefault="00DE1830" w:rsidP="00082E87">
      <w:pPr>
        <w:pStyle w:val="NormalWeb"/>
        <w:shd w:val="clear" w:color="auto" w:fill="FFFFFF"/>
        <w:spacing w:before="0" w:beforeAutospacing="0" w:after="0" w:afterAutospacing="0"/>
        <w:jc w:val="both"/>
        <w:rPr>
          <w:rFonts w:asciiTheme="minorHAnsi" w:hAnsiTheme="minorHAnsi" w:cs="Arial"/>
          <w:color w:val="222222"/>
        </w:rPr>
      </w:pPr>
    </w:p>
    <w:p w:rsidR="009B1F2C" w:rsidRDefault="009B1F2C" w:rsidP="00082E87">
      <w:pPr>
        <w:pStyle w:val="NormalWeb"/>
        <w:shd w:val="clear" w:color="auto" w:fill="FFFFFF"/>
        <w:spacing w:before="0" w:beforeAutospacing="0" w:after="0" w:afterAutospacing="0"/>
        <w:jc w:val="both"/>
        <w:rPr>
          <w:rFonts w:asciiTheme="minorHAnsi" w:hAnsiTheme="minorHAnsi" w:cs="Arial"/>
          <w:color w:val="222222"/>
        </w:rPr>
      </w:pPr>
    </w:p>
    <w:p w:rsidR="009B1F2C" w:rsidRDefault="009B1F2C" w:rsidP="00082E87">
      <w:pPr>
        <w:pStyle w:val="NormalWeb"/>
        <w:shd w:val="clear" w:color="auto" w:fill="FFFFFF"/>
        <w:spacing w:before="0" w:beforeAutospacing="0" w:after="0" w:afterAutospacing="0"/>
        <w:jc w:val="both"/>
        <w:rPr>
          <w:rFonts w:asciiTheme="minorHAnsi" w:hAnsiTheme="minorHAnsi" w:cs="Arial"/>
          <w:color w:val="222222"/>
        </w:rPr>
      </w:pPr>
    </w:p>
    <w:p w:rsidR="009B1F2C" w:rsidRDefault="009B1F2C" w:rsidP="00082E87">
      <w:pPr>
        <w:pStyle w:val="NormalWeb"/>
        <w:shd w:val="clear" w:color="auto" w:fill="FFFFFF"/>
        <w:spacing w:before="0" w:beforeAutospacing="0" w:after="0" w:afterAutospacing="0"/>
        <w:jc w:val="both"/>
        <w:rPr>
          <w:rFonts w:asciiTheme="minorHAnsi" w:hAnsiTheme="minorHAnsi" w:cs="Arial"/>
          <w:color w:val="222222"/>
        </w:rPr>
      </w:pPr>
    </w:p>
    <w:p w:rsidR="00577D24" w:rsidRDefault="00577D24" w:rsidP="00082E87">
      <w:pPr>
        <w:pStyle w:val="NormalWeb"/>
        <w:shd w:val="clear" w:color="auto" w:fill="FFFFFF"/>
        <w:spacing w:before="0" w:beforeAutospacing="0" w:after="0" w:afterAutospacing="0"/>
        <w:jc w:val="both"/>
        <w:rPr>
          <w:rFonts w:asciiTheme="minorHAnsi" w:hAnsiTheme="minorHAnsi" w:cs="Arial"/>
          <w:color w:val="222222"/>
        </w:rPr>
      </w:pPr>
    </w:p>
    <w:p w:rsidR="009B1F2C" w:rsidRDefault="009B1F2C" w:rsidP="00082E87">
      <w:pPr>
        <w:pStyle w:val="NormalWeb"/>
        <w:shd w:val="clear" w:color="auto" w:fill="FFFFFF"/>
        <w:spacing w:before="0" w:beforeAutospacing="0" w:after="0" w:afterAutospacing="0"/>
        <w:jc w:val="both"/>
        <w:rPr>
          <w:rFonts w:asciiTheme="minorHAnsi" w:hAnsiTheme="minorHAnsi" w:cs="Arial"/>
          <w:color w:val="222222"/>
        </w:rPr>
      </w:pPr>
    </w:p>
    <w:p w:rsidR="009B1F2C" w:rsidRDefault="009B1F2C" w:rsidP="00082E87">
      <w:pPr>
        <w:pStyle w:val="NormalWeb"/>
        <w:shd w:val="clear" w:color="auto" w:fill="FFFFFF"/>
        <w:spacing w:before="0" w:beforeAutospacing="0" w:after="0" w:afterAutospacing="0"/>
        <w:jc w:val="both"/>
        <w:rPr>
          <w:rFonts w:asciiTheme="minorHAnsi" w:hAnsiTheme="minorHAnsi" w:cs="Arial"/>
          <w:color w:val="222222"/>
        </w:rPr>
      </w:pPr>
    </w:p>
    <w:p w:rsidR="00447A3B" w:rsidRPr="007E5F8C" w:rsidRDefault="00DE1830"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 </w:t>
      </w:r>
    </w:p>
    <w:p w:rsidR="00C501A3" w:rsidRPr="007E5F8C" w:rsidRDefault="00C501A3" w:rsidP="00082E87">
      <w:pPr>
        <w:pStyle w:val="NormalWeb"/>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lastRenderedPageBreak/>
        <w:t>III. OGP Commitments</w:t>
      </w:r>
    </w:p>
    <w:p w:rsidR="009B1F2C" w:rsidRPr="007E5F8C" w:rsidRDefault="009B1F2C" w:rsidP="00082E87">
      <w:pPr>
        <w:pStyle w:val="NormalWeb"/>
        <w:shd w:val="clear" w:color="auto" w:fill="FFFFFF"/>
        <w:spacing w:before="0" w:beforeAutospacing="0" w:after="0" w:afterAutospacing="0"/>
        <w:jc w:val="both"/>
        <w:rPr>
          <w:rFonts w:asciiTheme="minorHAnsi" w:hAnsiTheme="minorHAnsi" w:cs="Arial"/>
          <w:color w:val="222222"/>
        </w:rPr>
      </w:pPr>
    </w:p>
    <w:p w:rsidR="00C501A3" w:rsidRPr="007E5F8C" w:rsidRDefault="00C501A3"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The 2013</w:t>
      </w:r>
      <w:r w:rsidR="00643E1A" w:rsidRPr="007E5F8C">
        <w:rPr>
          <w:rFonts w:asciiTheme="minorHAnsi" w:hAnsiTheme="minorHAnsi" w:cs="Arial"/>
          <w:color w:val="222222"/>
        </w:rPr>
        <w:t>-2015</w:t>
      </w:r>
      <w:r w:rsidRPr="007E5F8C">
        <w:rPr>
          <w:rFonts w:asciiTheme="minorHAnsi" w:hAnsiTheme="minorHAnsi" w:cs="Arial"/>
          <w:color w:val="222222"/>
        </w:rPr>
        <w:t xml:space="preserve"> Country Action Plan builds on the gains from the previous OGP commitments. It is composed of </w:t>
      </w:r>
      <w:r w:rsidR="00231138" w:rsidRPr="007E5F8C">
        <w:rPr>
          <w:rFonts w:asciiTheme="minorHAnsi" w:hAnsiTheme="minorHAnsi" w:cs="Arial"/>
          <w:color w:val="222222"/>
        </w:rPr>
        <w:t>6</w:t>
      </w:r>
      <w:r w:rsidRPr="007E5F8C">
        <w:rPr>
          <w:rFonts w:asciiTheme="minorHAnsi" w:hAnsiTheme="minorHAnsi" w:cs="Arial"/>
          <w:color w:val="222222"/>
        </w:rPr>
        <w:t xml:space="preserve"> continuing commitments and </w:t>
      </w:r>
      <w:r w:rsidR="00231138" w:rsidRPr="007E5F8C">
        <w:rPr>
          <w:rFonts w:asciiTheme="minorHAnsi" w:hAnsiTheme="minorHAnsi" w:cs="Arial"/>
          <w:color w:val="222222"/>
        </w:rPr>
        <w:t>3</w:t>
      </w:r>
      <w:r w:rsidRPr="007E5F8C">
        <w:rPr>
          <w:rFonts w:asciiTheme="minorHAnsi" w:hAnsiTheme="minorHAnsi" w:cs="Arial"/>
          <w:color w:val="222222"/>
        </w:rPr>
        <w:t xml:space="preserve"> new commitments</w:t>
      </w:r>
      <w:r w:rsidR="00231138" w:rsidRPr="007E5F8C">
        <w:rPr>
          <w:rStyle w:val="FootnoteReference"/>
          <w:rFonts w:asciiTheme="minorHAnsi" w:hAnsiTheme="minorHAnsi" w:cs="Arial"/>
          <w:color w:val="222222"/>
        </w:rPr>
        <w:footnoteReference w:id="5"/>
      </w:r>
      <w:r w:rsidRPr="007E5F8C">
        <w:rPr>
          <w:rFonts w:asciiTheme="minorHAnsi" w:hAnsiTheme="minorHAnsi" w:cs="Arial"/>
          <w:color w:val="222222"/>
        </w:rPr>
        <w:t>.</w:t>
      </w:r>
      <w:r w:rsidR="0026015C" w:rsidRPr="007E5F8C">
        <w:rPr>
          <w:rFonts w:asciiTheme="minorHAnsi" w:hAnsiTheme="minorHAnsi" w:cs="Arial"/>
          <w:color w:val="222222"/>
        </w:rPr>
        <w:t xml:space="preserve"> The </w:t>
      </w:r>
      <w:r w:rsidR="00396023" w:rsidRPr="007E5F8C">
        <w:rPr>
          <w:rFonts w:asciiTheme="minorHAnsi" w:hAnsiTheme="minorHAnsi" w:cs="Arial"/>
          <w:color w:val="222222"/>
        </w:rPr>
        <w:t xml:space="preserve">OGP Action Plan is </w:t>
      </w:r>
      <w:r w:rsidR="0026015C" w:rsidRPr="007E5F8C">
        <w:rPr>
          <w:rFonts w:asciiTheme="minorHAnsi" w:hAnsiTheme="minorHAnsi" w:cs="Arial"/>
          <w:color w:val="222222"/>
        </w:rPr>
        <w:t>aligned with the programs in the Philippine Development Plan and the Action Plan of the Cabinet Cluster on Good Governance and Anti-Corruption.</w:t>
      </w:r>
      <w:r w:rsidR="0026015C" w:rsidRPr="007E5F8C">
        <w:rPr>
          <w:rStyle w:val="FootnoteReference"/>
          <w:rFonts w:asciiTheme="minorHAnsi" w:hAnsiTheme="minorHAnsi" w:cs="Arial"/>
          <w:color w:val="222222"/>
        </w:rPr>
        <w:footnoteReference w:id="6"/>
      </w:r>
      <w:r w:rsidR="0026015C" w:rsidRPr="007E5F8C">
        <w:rPr>
          <w:rFonts w:asciiTheme="minorHAnsi" w:hAnsiTheme="minorHAnsi" w:cs="Arial"/>
          <w:color w:val="222222"/>
        </w:rPr>
        <w:t xml:space="preserve"> </w:t>
      </w:r>
      <w:r w:rsidR="00396023" w:rsidRPr="007E5F8C">
        <w:rPr>
          <w:rFonts w:asciiTheme="minorHAnsi" w:hAnsiTheme="minorHAnsi" w:cs="Arial"/>
          <w:color w:val="222222"/>
        </w:rPr>
        <w:t xml:space="preserve">The commitments under this plan and the Grand Challenges they address are summarized in </w:t>
      </w:r>
      <w:r w:rsidR="001043F2" w:rsidRPr="007E5F8C">
        <w:rPr>
          <w:rFonts w:asciiTheme="minorHAnsi" w:hAnsiTheme="minorHAnsi" w:cs="Arial"/>
          <w:color w:val="222222"/>
        </w:rPr>
        <w:t>T</w:t>
      </w:r>
      <w:r w:rsidR="00396023" w:rsidRPr="007E5F8C">
        <w:rPr>
          <w:rFonts w:asciiTheme="minorHAnsi" w:hAnsiTheme="minorHAnsi" w:cs="Arial"/>
          <w:color w:val="222222"/>
        </w:rPr>
        <w:t>able</w:t>
      </w:r>
      <w:r w:rsidR="001043F2" w:rsidRPr="007E5F8C">
        <w:rPr>
          <w:rFonts w:asciiTheme="minorHAnsi" w:hAnsiTheme="minorHAnsi" w:cs="Arial"/>
          <w:color w:val="222222"/>
        </w:rPr>
        <w:t xml:space="preserve"> 1</w:t>
      </w:r>
      <w:r w:rsidR="00396023" w:rsidRPr="007E5F8C">
        <w:rPr>
          <w:rFonts w:asciiTheme="minorHAnsi" w:hAnsiTheme="minorHAnsi" w:cs="Arial"/>
          <w:color w:val="222222"/>
        </w:rPr>
        <w:t>.</w:t>
      </w:r>
    </w:p>
    <w:p w:rsidR="00335BF9" w:rsidRPr="007E5F8C" w:rsidRDefault="00335BF9" w:rsidP="00082E87">
      <w:pPr>
        <w:pStyle w:val="NormalWeb"/>
        <w:shd w:val="clear" w:color="auto" w:fill="FFFFFF"/>
        <w:spacing w:before="0" w:beforeAutospacing="0" w:after="0" w:afterAutospacing="0"/>
        <w:jc w:val="both"/>
        <w:rPr>
          <w:rFonts w:asciiTheme="minorHAnsi" w:hAnsiTheme="minorHAnsi" w:cs="Arial"/>
          <w:color w:val="222222"/>
        </w:rPr>
      </w:pPr>
    </w:p>
    <w:p w:rsidR="0063779A" w:rsidRPr="007E5F8C" w:rsidRDefault="001043F2" w:rsidP="00082E87">
      <w:pPr>
        <w:pStyle w:val="NormalWeb"/>
        <w:shd w:val="clear" w:color="auto" w:fill="FFFFFF"/>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Table 1: Grand Challenges Addressed by Each Action Plan Commitments</w:t>
      </w:r>
    </w:p>
    <w:p w:rsidR="001043F2" w:rsidRPr="007E5F8C" w:rsidRDefault="001043F2" w:rsidP="00082E87">
      <w:pPr>
        <w:pStyle w:val="NormalWeb"/>
        <w:shd w:val="clear" w:color="auto" w:fill="FFFFFF"/>
        <w:spacing w:before="0" w:beforeAutospacing="0" w:after="0" w:afterAutospacing="0"/>
        <w:jc w:val="both"/>
        <w:rPr>
          <w:rFonts w:asciiTheme="minorHAnsi" w:hAnsiTheme="minorHAnsi" w:cs="Arial"/>
          <w:color w:val="222222"/>
        </w:rPr>
      </w:pPr>
    </w:p>
    <w:tbl>
      <w:tblPr>
        <w:tblStyle w:val="TableGrid"/>
        <w:tblW w:w="0" w:type="auto"/>
        <w:tblLook w:val="04A0"/>
      </w:tblPr>
      <w:tblGrid>
        <w:gridCol w:w="4394"/>
        <w:gridCol w:w="1582"/>
        <w:gridCol w:w="1810"/>
        <w:gridCol w:w="1790"/>
      </w:tblGrid>
      <w:tr w:rsidR="00FE70C6" w:rsidRPr="007E5F8C" w:rsidTr="0063779A">
        <w:tc>
          <w:tcPr>
            <w:tcW w:w="0" w:type="auto"/>
            <w:vAlign w:val="center"/>
          </w:tcPr>
          <w:p w:rsidR="00FE70C6" w:rsidRPr="007E5F8C" w:rsidRDefault="00FE70C6" w:rsidP="00082E87">
            <w:pPr>
              <w:jc w:val="center"/>
              <w:rPr>
                <w:b/>
              </w:rPr>
            </w:pPr>
            <w:r w:rsidRPr="007E5F8C">
              <w:rPr>
                <w:b/>
              </w:rPr>
              <w:t>COMMITMENT</w:t>
            </w:r>
          </w:p>
        </w:tc>
        <w:tc>
          <w:tcPr>
            <w:tcW w:w="0" w:type="auto"/>
            <w:vAlign w:val="center"/>
          </w:tcPr>
          <w:p w:rsidR="00FE70C6" w:rsidRPr="007E5F8C" w:rsidRDefault="00FE70C6" w:rsidP="00082E87">
            <w:pPr>
              <w:jc w:val="center"/>
              <w:rPr>
                <w:b/>
              </w:rPr>
            </w:pPr>
            <w:r w:rsidRPr="007E5F8C">
              <w:rPr>
                <w:b/>
              </w:rPr>
              <w:t>Increasing Public Integrity</w:t>
            </w:r>
          </w:p>
        </w:tc>
        <w:tc>
          <w:tcPr>
            <w:tcW w:w="0" w:type="auto"/>
            <w:vAlign w:val="center"/>
          </w:tcPr>
          <w:p w:rsidR="00FE70C6" w:rsidRPr="007E5F8C" w:rsidRDefault="00FE70C6" w:rsidP="00082E87">
            <w:pPr>
              <w:jc w:val="center"/>
              <w:rPr>
                <w:b/>
              </w:rPr>
            </w:pPr>
            <w:r w:rsidRPr="007E5F8C">
              <w:rPr>
                <w:b/>
              </w:rPr>
              <w:t>More Effectively Managing Public</w:t>
            </w:r>
          </w:p>
          <w:p w:rsidR="00FE70C6" w:rsidRPr="007E5F8C" w:rsidRDefault="00FE70C6" w:rsidP="00082E87">
            <w:pPr>
              <w:jc w:val="center"/>
              <w:rPr>
                <w:b/>
              </w:rPr>
            </w:pPr>
            <w:r w:rsidRPr="007E5F8C">
              <w:rPr>
                <w:b/>
              </w:rPr>
              <w:t>Resources</w:t>
            </w:r>
          </w:p>
        </w:tc>
        <w:tc>
          <w:tcPr>
            <w:tcW w:w="0" w:type="auto"/>
            <w:vAlign w:val="center"/>
          </w:tcPr>
          <w:p w:rsidR="00FE70C6" w:rsidRPr="007E5F8C" w:rsidRDefault="00FE70C6" w:rsidP="00082E87">
            <w:pPr>
              <w:jc w:val="center"/>
              <w:rPr>
                <w:b/>
              </w:rPr>
            </w:pPr>
            <w:r w:rsidRPr="007E5F8C">
              <w:rPr>
                <w:b/>
              </w:rPr>
              <w:t>Improving Public Service Delivery</w:t>
            </w:r>
          </w:p>
        </w:tc>
      </w:tr>
      <w:tr w:rsidR="00FE70C6" w:rsidRPr="007E5F8C" w:rsidTr="0063779A">
        <w:tc>
          <w:tcPr>
            <w:tcW w:w="0" w:type="auto"/>
            <w:gridSpan w:val="4"/>
          </w:tcPr>
          <w:p w:rsidR="00FE70C6" w:rsidRPr="007E5F8C" w:rsidRDefault="00FE70C6" w:rsidP="00082E87">
            <w:r w:rsidRPr="007E5F8C">
              <w:rPr>
                <w:rFonts w:cs="Arial"/>
                <w:i/>
                <w:color w:val="222222"/>
              </w:rPr>
              <w:t>Continuing Commitment</w:t>
            </w:r>
            <w:r w:rsidR="003E3ABC">
              <w:rPr>
                <w:rFonts w:cs="Arial"/>
                <w:i/>
                <w:color w:val="222222"/>
              </w:rPr>
              <w:t>s</w:t>
            </w:r>
          </w:p>
        </w:tc>
      </w:tr>
      <w:tr w:rsidR="00FE70C6" w:rsidRPr="007E5F8C" w:rsidTr="0063779A">
        <w:tc>
          <w:tcPr>
            <w:tcW w:w="0" w:type="auto"/>
          </w:tcPr>
          <w:p w:rsidR="00FE70C6" w:rsidRPr="007E5F8C" w:rsidRDefault="00FE70C6" w:rsidP="00082E87">
            <w:pPr>
              <w:pStyle w:val="NormalWeb"/>
              <w:numPr>
                <w:ilvl w:val="0"/>
                <w:numId w:val="5"/>
              </w:numPr>
              <w:spacing w:before="0" w:beforeAutospacing="0" w:after="0" w:afterAutospacing="0"/>
              <w:ind w:left="360"/>
              <w:rPr>
                <w:rFonts w:asciiTheme="minorHAnsi" w:hAnsiTheme="minorHAnsi" w:cs="Arial"/>
                <w:color w:val="222222"/>
              </w:rPr>
            </w:pPr>
            <w:r w:rsidRPr="007E5F8C">
              <w:rPr>
                <w:rFonts w:asciiTheme="minorHAnsi" w:hAnsiTheme="minorHAnsi" w:cs="Arial"/>
                <w:color w:val="222222"/>
              </w:rPr>
              <w:t>Sustain transparency in national government plans and budget</w:t>
            </w: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tc>
        <w:tc>
          <w:tcPr>
            <w:tcW w:w="0" w:type="auto"/>
          </w:tcPr>
          <w:p w:rsidR="00FE70C6" w:rsidRPr="007E5F8C" w:rsidRDefault="00FE70C6" w:rsidP="00082E87"/>
        </w:tc>
      </w:tr>
      <w:tr w:rsidR="00FE70C6" w:rsidRPr="007E5F8C" w:rsidTr="0063779A">
        <w:tc>
          <w:tcPr>
            <w:tcW w:w="0" w:type="auto"/>
          </w:tcPr>
          <w:p w:rsidR="00FE70C6" w:rsidRPr="007E5F8C" w:rsidRDefault="00FE70C6" w:rsidP="00082E87">
            <w:pPr>
              <w:pStyle w:val="NormalWeb"/>
              <w:numPr>
                <w:ilvl w:val="0"/>
                <w:numId w:val="5"/>
              </w:numPr>
              <w:spacing w:before="0" w:beforeAutospacing="0" w:after="0" w:afterAutospacing="0"/>
              <w:ind w:left="360"/>
              <w:rPr>
                <w:rFonts w:asciiTheme="minorHAnsi" w:hAnsiTheme="minorHAnsi" w:cs="Arial"/>
                <w:color w:val="222222"/>
              </w:rPr>
            </w:pPr>
            <w:r w:rsidRPr="007E5F8C">
              <w:rPr>
                <w:rFonts w:asciiTheme="minorHAnsi" w:hAnsiTheme="minorHAnsi" w:cs="Arial"/>
                <w:color w:val="222222"/>
              </w:rPr>
              <w:t>Support for the passage of legislations on access to information and protection of whistleblowers</w:t>
            </w: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tc>
        <w:tc>
          <w:tcPr>
            <w:tcW w:w="0" w:type="auto"/>
          </w:tcPr>
          <w:p w:rsidR="00FE70C6" w:rsidRPr="007E5F8C" w:rsidRDefault="00FE70C6" w:rsidP="00082E87"/>
        </w:tc>
      </w:tr>
      <w:tr w:rsidR="00FE70C6" w:rsidRPr="007E5F8C" w:rsidTr="0063779A">
        <w:tc>
          <w:tcPr>
            <w:tcW w:w="0" w:type="auto"/>
          </w:tcPr>
          <w:p w:rsidR="00FE70C6" w:rsidRPr="007E5F8C" w:rsidRDefault="00FE70C6" w:rsidP="00082E87">
            <w:pPr>
              <w:pStyle w:val="NormalWeb"/>
              <w:numPr>
                <w:ilvl w:val="0"/>
                <w:numId w:val="5"/>
              </w:numPr>
              <w:spacing w:before="0" w:beforeAutospacing="0" w:after="0" w:afterAutospacing="0"/>
              <w:ind w:left="360"/>
              <w:rPr>
                <w:rFonts w:asciiTheme="minorHAnsi" w:hAnsiTheme="minorHAnsi" w:cs="Arial"/>
                <w:color w:val="222222"/>
              </w:rPr>
            </w:pPr>
            <w:r w:rsidRPr="007E5F8C">
              <w:rPr>
                <w:rFonts w:asciiTheme="minorHAnsi" w:hAnsiTheme="minorHAnsi" w:cs="Arial"/>
                <w:color w:val="222222"/>
              </w:rPr>
              <w:t>Engage civil society in public audit</w:t>
            </w: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tc>
      </w:tr>
      <w:tr w:rsidR="00FE70C6" w:rsidRPr="007E5F8C" w:rsidTr="0063779A">
        <w:tc>
          <w:tcPr>
            <w:tcW w:w="0" w:type="auto"/>
          </w:tcPr>
          <w:p w:rsidR="00FE70C6" w:rsidRPr="007E5F8C" w:rsidRDefault="00FE70C6" w:rsidP="00082E87">
            <w:pPr>
              <w:pStyle w:val="NormalWeb"/>
              <w:numPr>
                <w:ilvl w:val="0"/>
                <w:numId w:val="5"/>
              </w:numPr>
              <w:spacing w:before="0" w:beforeAutospacing="0" w:after="0" w:afterAutospacing="0"/>
              <w:ind w:left="360"/>
              <w:rPr>
                <w:rFonts w:asciiTheme="minorHAnsi" w:hAnsiTheme="minorHAnsi" w:cs="Arial"/>
                <w:color w:val="222222"/>
              </w:rPr>
            </w:pPr>
            <w:r w:rsidRPr="007E5F8C">
              <w:rPr>
                <w:rFonts w:asciiTheme="minorHAnsi" w:hAnsiTheme="minorHAnsi" w:cs="Arial"/>
                <w:color w:val="222222"/>
              </w:rPr>
              <w:t>Enhance performance benchmarks for local governance</w:t>
            </w: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tc>
        <w:tc>
          <w:tcPr>
            <w:tcW w:w="0" w:type="auto"/>
          </w:tcPr>
          <w:p w:rsidR="00FE70C6" w:rsidRPr="007E5F8C" w:rsidRDefault="00FE70C6" w:rsidP="00082E87">
            <w:pPr>
              <w:jc w:val="center"/>
            </w:pPr>
            <w:r w:rsidRPr="007E5F8C">
              <w:rPr>
                <w:sz w:val="40"/>
                <w:szCs w:val="40"/>
              </w:rPr>
              <w:sym w:font="Wingdings" w:char="F0FC"/>
            </w:r>
          </w:p>
        </w:tc>
      </w:tr>
      <w:tr w:rsidR="00FE70C6" w:rsidRPr="007E5F8C" w:rsidTr="0063779A">
        <w:tc>
          <w:tcPr>
            <w:tcW w:w="0" w:type="auto"/>
          </w:tcPr>
          <w:p w:rsidR="00FE70C6" w:rsidRPr="007E5F8C" w:rsidRDefault="00FE70C6" w:rsidP="00082E87">
            <w:pPr>
              <w:pStyle w:val="NormalWeb"/>
              <w:numPr>
                <w:ilvl w:val="0"/>
                <w:numId w:val="5"/>
              </w:numPr>
              <w:spacing w:before="0" w:beforeAutospacing="0" w:after="0" w:afterAutospacing="0"/>
              <w:ind w:left="360"/>
              <w:rPr>
                <w:rFonts w:asciiTheme="minorHAnsi" w:hAnsiTheme="minorHAnsi" w:cs="Arial"/>
                <w:color w:val="222222"/>
              </w:rPr>
            </w:pPr>
            <w:r w:rsidRPr="007E5F8C">
              <w:rPr>
                <w:rFonts w:asciiTheme="minorHAnsi" w:hAnsiTheme="minorHAnsi" w:cs="Arial"/>
                <w:color w:val="222222"/>
              </w:rPr>
              <w:t>Enhance the government procurement system</w:t>
            </w: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tc>
      </w:tr>
      <w:tr w:rsidR="00FE70C6" w:rsidRPr="007E5F8C" w:rsidTr="0063779A">
        <w:tc>
          <w:tcPr>
            <w:tcW w:w="0" w:type="auto"/>
          </w:tcPr>
          <w:p w:rsidR="00FE70C6" w:rsidRPr="007E5F8C" w:rsidRDefault="00FE70C6" w:rsidP="00082E87">
            <w:pPr>
              <w:pStyle w:val="NormalWeb"/>
              <w:numPr>
                <w:ilvl w:val="0"/>
                <w:numId w:val="5"/>
              </w:numPr>
              <w:spacing w:before="0" w:beforeAutospacing="0" w:after="0" w:afterAutospacing="0"/>
              <w:ind w:left="360"/>
              <w:rPr>
                <w:rFonts w:asciiTheme="minorHAnsi" w:hAnsiTheme="minorHAnsi" w:cs="Arial"/>
                <w:color w:val="222222"/>
              </w:rPr>
            </w:pPr>
            <w:r w:rsidRPr="007E5F8C">
              <w:rPr>
                <w:rFonts w:asciiTheme="minorHAnsi" w:hAnsiTheme="minorHAnsi" w:cs="Arial"/>
                <w:color w:val="222222"/>
              </w:rPr>
              <w:t>Strengthen grassroots participation in local planning and budgeting</w:t>
            </w:r>
          </w:p>
        </w:tc>
        <w:tc>
          <w:tcPr>
            <w:tcW w:w="0" w:type="auto"/>
          </w:tcPr>
          <w:p w:rsidR="00FE70C6" w:rsidRPr="007E5F8C" w:rsidRDefault="00FE70C6" w:rsidP="00082E87">
            <w:pPr>
              <w:jc w:val="center"/>
            </w:pP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pPr>
              <w:jc w:val="center"/>
            </w:pPr>
            <w:r w:rsidRPr="007E5F8C">
              <w:rPr>
                <w:sz w:val="40"/>
                <w:szCs w:val="40"/>
              </w:rPr>
              <w:sym w:font="Wingdings" w:char="F0FC"/>
            </w:r>
          </w:p>
        </w:tc>
      </w:tr>
      <w:tr w:rsidR="00FE70C6" w:rsidRPr="007E5F8C" w:rsidTr="0063779A">
        <w:tc>
          <w:tcPr>
            <w:tcW w:w="0" w:type="auto"/>
            <w:gridSpan w:val="4"/>
          </w:tcPr>
          <w:p w:rsidR="00FE70C6" w:rsidRPr="007E5F8C" w:rsidRDefault="00FE70C6" w:rsidP="00082E87">
            <w:r w:rsidRPr="007E5F8C">
              <w:rPr>
                <w:rFonts w:cs="Arial"/>
                <w:i/>
                <w:color w:val="222222"/>
              </w:rPr>
              <w:t>New Commitment</w:t>
            </w:r>
            <w:r w:rsidR="003E3ABC">
              <w:rPr>
                <w:rFonts w:cs="Arial"/>
                <w:i/>
                <w:color w:val="222222"/>
              </w:rPr>
              <w:t>s</w:t>
            </w:r>
          </w:p>
        </w:tc>
      </w:tr>
      <w:tr w:rsidR="00FE70C6" w:rsidRPr="007E5F8C" w:rsidTr="0063779A">
        <w:tc>
          <w:tcPr>
            <w:tcW w:w="0" w:type="auto"/>
          </w:tcPr>
          <w:p w:rsidR="00FE70C6" w:rsidRPr="007E5F8C" w:rsidRDefault="00FE70C6" w:rsidP="00082E87">
            <w:pPr>
              <w:pStyle w:val="NormalWeb"/>
              <w:numPr>
                <w:ilvl w:val="0"/>
                <w:numId w:val="5"/>
              </w:numPr>
              <w:spacing w:before="0" w:beforeAutospacing="0" w:after="0" w:afterAutospacing="0"/>
              <w:ind w:left="360"/>
              <w:rPr>
                <w:rFonts w:asciiTheme="minorHAnsi" w:hAnsiTheme="minorHAnsi" w:cs="Arial"/>
                <w:color w:val="222222"/>
              </w:rPr>
            </w:pPr>
            <w:r w:rsidRPr="007E5F8C">
              <w:rPr>
                <w:rFonts w:asciiTheme="minorHAnsi" w:hAnsiTheme="minorHAnsi" w:cs="Arial"/>
                <w:color w:val="222222"/>
              </w:rPr>
              <w:t>Provide more accessible government data in a single portal and open format</w:t>
            </w: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tc>
        <w:tc>
          <w:tcPr>
            <w:tcW w:w="0" w:type="auto"/>
          </w:tcPr>
          <w:p w:rsidR="00FE70C6" w:rsidRPr="007E5F8C" w:rsidRDefault="00FE70C6" w:rsidP="00082E87">
            <w:pPr>
              <w:jc w:val="center"/>
            </w:pPr>
            <w:r w:rsidRPr="007E5F8C">
              <w:rPr>
                <w:sz w:val="40"/>
                <w:szCs w:val="40"/>
              </w:rPr>
              <w:sym w:font="Wingdings" w:char="F0FC"/>
            </w:r>
          </w:p>
        </w:tc>
      </w:tr>
      <w:tr w:rsidR="00FE70C6" w:rsidRPr="007E5F8C" w:rsidTr="0063779A">
        <w:tc>
          <w:tcPr>
            <w:tcW w:w="0" w:type="auto"/>
          </w:tcPr>
          <w:p w:rsidR="00FE70C6" w:rsidRPr="007E5F8C" w:rsidRDefault="00FE70C6" w:rsidP="00082E87">
            <w:pPr>
              <w:pStyle w:val="NormalWeb"/>
              <w:numPr>
                <w:ilvl w:val="0"/>
                <w:numId w:val="5"/>
              </w:numPr>
              <w:spacing w:before="0" w:beforeAutospacing="0" w:after="0" w:afterAutospacing="0"/>
              <w:ind w:left="360"/>
              <w:rPr>
                <w:rFonts w:asciiTheme="minorHAnsi" w:hAnsiTheme="minorHAnsi" w:cs="Arial"/>
                <w:color w:val="222222"/>
              </w:rPr>
            </w:pPr>
            <w:r w:rsidRPr="007E5F8C">
              <w:rPr>
                <w:rFonts w:asciiTheme="minorHAnsi" w:hAnsiTheme="minorHAnsi" w:cs="Arial"/>
                <w:color w:val="222222"/>
              </w:rPr>
              <w:t>Initiate fiscal transparency in the extractive industry</w:t>
            </w:r>
          </w:p>
        </w:tc>
        <w:tc>
          <w:tcPr>
            <w:tcW w:w="0" w:type="auto"/>
          </w:tcPr>
          <w:p w:rsidR="00FE70C6" w:rsidRPr="007E5F8C" w:rsidRDefault="00FE70C6" w:rsidP="00082E87">
            <w:pPr>
              <w:jc w:val="center"/>
            </w:pPr>
            <w:r w:rsidRPr="007E5F8C">
              <w:rPr>
                <w:sz w:val="40"/>
                <w:szCs w:val="40"/>
              </w:rPr>
              <w:sym w:font="Wingdings" w:char="F0FC"/>
            </w:r>
          </w:p>
        </w:tc>
        <w:tc>
          <w:tcPr>
            <w:tcW w:w="0" w:type="auto"/>
          </w:tcPr>
          <w:p w:rsidR="00FE70C6" w:rsidRPr="007E5F8C" w:rsidRDefault="00FE70C6" w:rsidP="00082E87">
            <w:pPr>
              <w:jc w:val="center"/>
            </w:pPr>
          </w:p>
        </w:tc>
        <w:tc>
          <w:tcPr>
            <w:tcW w:w="0" w:type="auto"/>
          </w:tcPr>
          <w:p w:rsidR="00FE70C6" w:rsidRPr="007E5F8C" w:rsidRDefault="00FE70C6" w:rsidP="00082E87"/>
        </w:tc>
      </w:tr>
      <w:tr w:rsidR="00FE70C6" w:rsidRPr="007E5F8C" w:rsidTr="0063779A">
        <w:tc>
          <w:tcPr>
            <w:tcW w:w="0" w:type="auto"/>
          </w:tcPr>
          <w:p w:rsidR="00FE70C6" w:rsidRPr="007E5F8C" w:rsidRDefault="00FE70C6" w:rsidP="00082E87">
            <w:pPr>
              <w:pStyle w:val="NormalWeb"/>
              <w:numPr>
                <w:ilvl w:val="0"/>
                <w:numId w:val="5"/>
              </w:numPr>
              <w:spacing w:before="0" w:beforeAutospacing="0" w:after="0" w:afterAutospacing="0"/>
              <w:ind w:left="360"/>
              <w:rPr>
                <w:rFonts w:asciiTheme="minorHAnsi" w:hAnsiTheme="minorHAnsi" w:cs="Arial"/>
                <w:color w:val="222222"/>
              </w:rPr>
            </w:pPr>
            <w:r w:rsidRPr="007E5F8C">
              <w:rPr>
                <w:rFonts w:asciiTheme="minorHAnsi" w:hAnsiTheme="minorHAnsi" w:cs="Arial"/>
                <w:color w:val="222222"/>
              </w:rPr>
              <w:t>Improve the ease of doing business</w:t>
            </w:r>
          </w:p>
        </w:tc>
        <w:tc>
          <w:tcPr>
            <w:tcW w:w="0" w:type="auto"/>
          </w:tcPr>
          <w:p w:rsidR="00FE70C6" w:rsidRPr="007E5F8C" w:rsidRDefault="00FE70C6" w:rsidP="00082E87"/>
        </w:tc>
        <w:tc>
          <w:tcPr>
            <w:tcW w:w="0" w:type="auto"/>
          </w:tcPr>
          <w:p w:rsidR="00FE70C6" w:rsidRPr="007E5F8C" w:rsidRDefault="00FE70C6" w:rsidP="00082E87"/>
        </w:tc>
        <w:tc>
          <w:tcPr>
            <w:tcW w:w="0" w:type="auto"/>
          </w:tcPr>
          <w:p w:rsidR="00FE70C6" w:rsidRPr="007E5F8C" w:rsidRDefault="00FE70C6" w:rsidP="00082E87">
            <w:pPr>
              <w:jc w:val="center"/>
            </w:pPr>
            <w:r w:rsidRPr="007E5F8C">
              <w:rPr>
                <w:sz w:val="40"/>
                <w:szCs w:val="40"/>
              </w:rPr>
              <w:sym w:font="Wingdings" w:char="F0FC"/>
            </w:r>
          </w:p>
        </w:tc>
      </w:tr>
      <w:tr w:rsidR="00FE70C6" w:rsidRPr="007E5F8C" w:rsidTr="0063779A">
        <w:tc>
          <w:tcPr>
            <w:tcW w:w="0" w:type="auto"/>
            <w:vAlign w:val="center"/>
          </w:tcPr>
          <w:p w:rsidR="00FE70C6" w:rsidRPr="007E5F8C" w:rsidRDefault="00FE70C6" w:rsidP="00082E87">
            <w:pPr>
              <w:pStyle w:val="NormalWeb"/>
              <w:spacing w:before="0" w:beforeAutospacing="0" w:after="0" w:afterAutospacing="0"/>
              <w:ind w:left="360"/>
              <w:jc w:val="center"/>
              <w:rPr>
                <w:rFonts w:asciiTheme="minorHAnsi" w:hAnsiTheme="minorHAnsi" w:cs="Arial"/>
                <w:b/>
                <w:color w:val="222222"/>
              </w:rPr>
            </w:pPr>
          </w:p>
          <w:p w:rsidR="00FE70C6" w:rsidRPr="007E5F8C" w:rsidRDefault="00FE70C6" w:rsidP="00082E87">
            <w:pPr>
              <w:pStyle w:val="NormalWeb"/>
              <w:spacing w:before="0" w:beforeAutospacing="0" w:after="0" w:afterAutospacing="0"/>
              <w:ind w:left="360"/>
              <w:jc w:val="center"/>
              <w:rPr>
                <w:rFonts w:asciiTheme="minorHAnsi" w:hAnsiTheme="minorHAnsi" w:cs="Arial"/>
                <w:b/>
                <w:color w:val="222222"/>
              </w:rPr>
            </w:pPr>
            <w:r w:rsidRPr="007E5F8C">
              <w:rPr>
                <w:rFonts w:asciiTheme="minorHAnsi" w:hAnsiTheme="minorHAnsi" w:cs="Arial"/>
                <w:b/>
                <w:color w:val="222222"/>
              </w:rPr>
              <w:t>NUMBER OF INITITIATIVES</w:t>
            </w:r>
          </w:p>
          <w:p w:rsidR="00FE70C6" w:rsidRPr="007E5F8C" w:rsidRDefault="00FE70C6" w:rsidP="00082E87">
            <w:pPr>
              <w:pStyle w:val="NormalWeb"/>
              <w:spacing w:before="0" w:beforeAutospacing="0" w:after="0" w:afterAutospacing="0"/>
              <w:ind w:left="360"/>
              <w:jc w:val="center"/>
              <w:rPr>
                <w:rFonts w:asciiTheme="minorHAnsi" w:hAnsiTheme="minorHAnsi" w:cs="Arial"/>
                <w:b/>
                <w:color w:val="222222"/>
              </w:rPr>
            </w:pPr>
          </w:p>
        </w:tc>
        <w:tc>
          <w:tcPr>
            <w:tcW w:w="0" w:type="auto"/>
            <w:vAlign w:val="center"/>
          </w:tcPr>
          <w:p w:rsidR="00FE70C6" w:rsidRPr="007E5F8C" w:rsidRDefault="00FE70C6" w:rsidP="00082E87">
            <w:pPr>
              <w:jc w:val="center"/>
              <w:rPr>
                <w:b/>
              </w:rPr>
            </w:pPr>
            <w:r w:rsidRPr="007E5F8C">
              <w:rPr>
                <w:b/>
              </w:rPr>
              <w:t>7</w:t>
            </w:r>
          </w:p>
        </w:tc>
        <w:tc>
          <w:tcPr>
            <w:tcW w:w="0" w:type="auto"/>
            <w:vAlign w:val="center"/>
          </w:tcPr>
          <w:p w:rsidR="00FE70C6" w:rsidRPr="007E5F8C" w:rsidRDefault="00FE70C6" w:rsidP="00082E87">
            <w:pPr>
              <w:jc w:val="center"/>
              <w:rPr>
                <w:b/>
              </w:rPr>
            </w:pPr>
            <w:r w:rsidRPr="007E5F8C">
              <w:rPr>
                <w:b/>
              </w:rPr>
              <w:t>3</w:t>
            </w:r>
          </w:p>
        </w:tc>
        <w:tc>
          <w:tcPr>
            <w:tcW w:w="0" w:type="auto"/>
            <w:vAlign w:val="center"/>
          </w:tcPr>
          <w:p w:rsidR="00FE70C6" w:rsidRPr="007E5F8C" w:rsidRDefault="00FE70C6" w:rsidP="00082E87">
            <w:pPr>
              <w:jc w:val="center"/>
              <w:rPr>
                <w:b/>
              </w:rPr>
            </w:pPr>
            <w:r w:rsidRPr="007E5F8C">
              <w:rPr>
                <w:b/>
              </w:rPr>
              <w:t>4</w:t>
            </w:r>
          </w:p>
        </w:tc>
      </w:tr>
    </w:tbl>
    <w:p w:rsidR="00396023" w:rsidRPr="007E5F8C" w:rsidRDefault="00396023" w:rsidP="00082E87">
      <w:pPr>
        <w:pStyle w:val="NormalWeb"/>
        <w:shd w:val="clear" w:color="auto" w:fill="FFFFFF"/>
        <w:spacing w:before="0" w:beforeAutospacing="0" w:after="0" w:afterAutospacing="0"/>
        <w:jc w:val="both"/>
        <w:rPr>
          <w:rFonts w:asciiTheme="minorHAnsi" w:hAnsiTheme="minorHAnsi" w:cs="Arial"/>
          <w:color w:val="222222"/>
        </w:rPr>
      </w:pPr>
    </w:p>
    <w:p w:rsidR="001043F2" w:rsidRPr="007E5F8C" w:rsidRDefault="001043F2"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The Philippine OGP Action P</w:t>
      </w:r>
      <w:r w:rsidR="00AF6541">
        <w:rPr>
          <w:rFonts w:asciiTheme="minorHAnsi" w:hAnsiTheme="minorHAnsi" w:cs="Arial"/>
          <w:color w:val="222222"/>
        </w:rPr>
        <w:t xml:space="preserve">lan </w:t>
      </w:r>
      <w:r w:rsidR="004D0547">
        <w:rPr>
          <w:rFonts w:asciiTheme="minorHAnsi" w:hAnsiTheme="minorHAnsi" w:cs="Arial"/>
          <w:color w:val="222222"/>
        </w:rPr>
        <w:t>c</w:t>
      </w:r>
      <w:r w:rsidR="004D0547" w:rsidRPr="007E5F8C">
        <w:rPr>
          <w:rFonts w:asciiTheme="minorHAnsi" w:hAnsiTheme="minorHAnsi" w:cs="Arial"/>
          <w:color w:val="222222"/>
        </w:rPr>
        <w:t xml:space="preserve">ommitments are described in the succeeding section. </w:t>
      </w:r>
    </w:p>
    <w:p w:rsidR="005B384F" w:rsidRPr="007E5F8C" w:rsidRDefault="005B384F" w:rsidP="00082E87">
      <w:pPr>
        <w:pStyle w:val="NormalWeb"/>
        <w:shd w:val="clear" w:color="auto" w:fill="FFFFFF"/>
        <w:spacing w:before="0" w:beforeAutospacing="0" w:after="0" w:afterAutospacing="0"/>
        <w:jc w:val="both"/>
        <w:rPr>
          <w:rFonts w:asciiTheme="minorHAnsi" w:hAnsiTheme="minorHAnsi" w:cs="Arial"/>
          <w:color w:val="222222"/>
        </w:rPr>
      </w:pPr>
    </w:p>
    <w:p w:rsidR="00396023" w:rsidRPr="007E5F8C" w:rsidRDefault="00073FB2" w:rsidP="00082E87">
      <w:pPr>
        <w:pStyle w:val="NormalWeb"/>
        <w:shd w:val="clear" w:color="auto" w:fill="FFFFFF"/>
        <w:spacing w:before="0" w:beforeAutospacing="0" w:after="0" w:afterAutospacing="0"/>
        <w:jc w:val="both"/>
        <w:rPr>
          <w:rFonts w:asciiTheme="minorHAnsi" w:hAnsiTheme="minorHAnsi" w:cs="Arial"/>
          <w:b/>
          <w:color w:val="222222"/>
          <w:u w:val="single"/>
        </w:rPr>
      </w:pPr>
      <w:r w:rsidRPr="007E5F8C">
        <w:rPr>
          <w:rFonts w:asciiTheme="minorHAnsi" w:hAnsiTheme="minorHAnsi" w:cs="Arial"/>
          <w:b/>
          <w:color w:val="222222"/>
          <w:u w:val="single"/>
        </w:rPr>
        <w:lastRenderedPageBreak/>
        <w:t>CONTINUING COMMITMENTS</w:t>
      </w:r>
    </w:p>
    <w:p w:rsidR="00396023" w:rsidRPr="007E5F8C" w:rsidRDefault="00396023" w:rsidP="00082E87">
      <w:pPr>
        <w:pStyle w:val="NormalWeb"/>
        <w:shd w:val="clear" w:color="auto" w:fill="FFFFFF"/>
        <w:spacing w:before="0" w:beforeAutospacing="0" w:after="0" w:afterAutospacing="0"/>
        <w:jc w:val="both"/>
        <w:rPr>
          <w:rFonts w:asciiTheme="minorHAnsi" w:hAnsiTheme="minorHAnsi" w:cs="Arial"/>
          <w:color w:val="222222"/>
        </w:rPr>
      </w:pPr>
    </w:p>
    <w:p w:rsidR="003A6E04" w:rsidRPr="007E5F8C" w:rsidRDefault="005B384F" w:rsidP="00082E87">
      <w:pPr>
        <w:pStyle w:val="NormalWeb"/>
        <w:numPr>
          <w:ilvl w:val="0"/>
          <w:numId w:val="3"/>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Sustain transparency in natio</w:t>
      </w:r>
      <w:r w:rsidR="003A6E04" w:rsidRPr="007E5F8C">
        <w:rPr>
          <w:rFonts w:asciiTheme="minorHAnsi" w:hAnsiTheme="minorHAnsi" w:cs="Arial"/>
          <w:b/>
          <w:color w:val="222222"/>
        </w:rPr>
        <w:t>nal government plans and budgets</w:t>
      </w:r>
    </w:p>
    <w:p w:rsidR="0063779A" w:rsidRPr="007E5F8C" w:rsidRDefault="00DD025D"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The 100% compliance rate of departments in the Executive Branch to the disclosure of their approved budgets and plans will be sustained. The disclosure is through the department's respective websites under the Transparency Seal. </w:t>
      </w:r>
    </w:p>
    <w:p w:rsidR="005B384F" w:rsidRPr="007E5F8C" w:rsidRDefault="005B384F" w:rsidP="00082E87">
      <w:pPr>
        <w:pStyle w:val="NormalWeb"/>
        <w:shd w:val="clear" w:color="auto" w:fill="FFFFFF"/>
        <w:spacing w:before="0" w:beforeAutospacing="0" w:after="0" w:afterAutospacing="0"/>
        <w:jc w:val="both"/>
        <w:rPr>
          <w:rFonts w:asciiTheme="minorHAnsi" w:hAnsiTheme="minorHAnsi" w:cs="Arial"/>
          <w:color w:val="222222"/>
        </w:rPr>
      </w:pPr>
    </w:p>
    <w:p w:rsidR="00C96A44" w:rsidRPr="007E5F8C" w:rsidRDefault="00A66E74" w:rsidP="00082E87">
      <w:pPr>
        <w:pStyle w:val="NormalWeb"/>
        <w:numPr>
          <w:ilvl w:val="0"/>
          <w:numId w:val="3"/>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Support for the passage of legislations on access to information</w:t>
      </w:r>
      <w:r w:rsidR="00231138" w:rsidRPr="007E5F8C">
        <w:rPr>
          <w:rFonts w:asciiTheme="minorHAnsi" w:hAnsiTheme="minorHAnsi" w:cs="Arial"/>
          <w:b/>
          <w:color w:val="222222"/>
        </w:rPr>
        <w:t xml:space="preserve"> </w:t>
      </w:r>
      <w:r w:rsidRPr="007E5F8C">
        <w:rPr>
          <w:rFonts w:asciiTheme="minorHAnsi" w:hAnsiTheme="minorHAnsi" w:cs="Arial"/>
          <w:b/>
          <w:color w:val="222222"/>
        </w:rPr>
        <w:t>and protection of whistleblowers</w:t>
      </w:r>
    </w:p>
    <w:p w:rsidR="00A66E74" w:rsidRPr="007E5F8C" w:rsidRDefault="00CA06DD"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The government commits to include in the priority legislation of the Executive two bills that promote access to information and protection of whistleblowers.</w:t>
      </w:r>
      <w:r w:rsidR="00463755" w:rsidRPr="007E5F8C">
        <w:rPr>
          <w:rFonts w:asciiTheme="minorHAnsi" w:hAnsiTheme="minorHAnsi" w:cs="Arial"/>
          <w:color w:val="222222"/>
        </w:rPr>
        <w:t xml:space="preserve"> Parallel activities will be conducted </w:t>
      </w:r>
      <w:r w:rsidR="00CC383B" w:rsidRPr="007E5F8C">
        <w:rPr>
          <w:rFonts w:asciiTheme="minorHAnsi" w:hAnsiTheme="minorHAnsi" w:cs="Arial"/>
          <w:color w:val="222222"/>
        </w:rPr>
        <w:t xml:space="preserve">by civil society advocates </w:t>
      </w:r>
      <w:r w:rsidR="00463755" w:rsidRPr="007E5F8C">
        <w:rPr>
          <w:rFonts w:asciiTheme="minorHAnsi" w:hAnsiTheme="minorHAnsi" w:cs="Arial"/>
          <w:color w:val="222222"/>
        </w:rPr>
        <w:t xml:space="preserve">to </w:t>
      </w:r>
      <w:r w:rsidR="00CC383B" w:rsidRPr="007E5F8C">
        <w:rPr>
          <w:rFonts w:asciiTheme="minorHAnsi" w:hAnsiTheme="minorHAnsi" w:cs="Arial"/>
          <w:color w:val="222222"/>
        </w:rPr>
        <w:t xml:space="preserve">support </w:t>
      </w:r>
      <w:r w:rsidR="00463755" w:rsidRPr="007E5F8C">
        <w:rPr>
          <w:rFonts w:asciiTheme="minorHAnsi" w:hAnsiTheme="minorHAnsi" w:cs="Arial"/>
          <w:color w:val="222222"/>
        </w:rPr>
        <w:t>the passage of the two priority bills.</w:t>
      </w:r>
      <w:r w:rsidR="0094330E" w:rsidRPr="007E5F8C">
        <w:rPr>
          <w:rFonts w:asciiTheme="minorHAnsi" w:hAnsiTheme="minorHAnsi" w:cs="Arial"/>
          <w:color w:val="222222"/>
        </w:rPr>
        <w:t xml:space="preserve"> </w:t>
      </w:r>
    </w:p>
    <w:p w:rsidR="00A66E74" w:rsidRPr="007E5F8C" w:rsidRDefault="00A66E74" w:rsidP="0063779A">
      <w:pPr>
        <w:pStyle w:val="NormalWeb"/>
        <w:numPr>
          <w:ilvl w:val="0"/>
          <w:numId w:val="3"/>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Engage civil society in public audit</w:t>
      </w:r>
    </w:p>
    <w:p w:rsidR="00A66E74" w:rsidRPr="007E5F8C" w:rsidRDefault="003E557F"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The Commission on Audit</w:t>
      </w:r>
      <w:r w:rsidR="00CF6D20" w:rsidRPr="007E5F8C">
        <w:rPr>
          <w:rFonts w:asciiTheme="minorHAnsi" w:hAnsiTheme="minorHAnsi" w:cs="Arial"/>
          <w:color w:val="222222"/>
        </w:rPr>
        <w:t xml:space="preserve"> will create an internal unit as a mode to institutionalize the engagement of civil society organizations in conducting </w:t>
      </w:r>
      <w:r w:rsidR="00CC383B" w:rsidRPr="007E5F8C">
        <w:rPr>
          <w:rFonts w:asciiTheme="minorHAnsi" w:hAnsiTheme="minorHAnsi" w:cs="Arial"/>
          <w:color w:val="222222"/>
        </w:rPr>
        <w:t xml:space="preserve">participatory </w:t>
      </w:r>
      <w:r w:rsidR="00CF6D20" w:rsidRPr="007E5F8C">
        <w:rPr>
          <w:rFonts w:asciiTheme="minorHAnsi" w:hAnsiTheme="minorHAnsi" w:cs="Arial"/>
          <w:color w:val="222222"/>
        </w:rPr>
        <w:t>audit</w:t>
      </w:r>
      <w:r w:rsidR="00CC383B" w:rsidRPr="007E5F8C">
        <w:rPr>
          <w:rFonts w:asciiTheme="minorHAnsi" w:hAnsiTheme="minorHAnsi" w:cs="Arial"/>
          <w:color w:val="222222"/>
        </w:rPr>
        <w:t>s</w:t>
      </w:r>
      <w:r w:rsidR="00CF6D20" w:rsidRPr="007E5F8C">
        <w:rPr>
          <w:rFonts w:asciiTheme="minorHAnsi" w:hAnsiTheme="minorHAnsi" w:cs="Arial"/>
          <w:color w:val="222222"/>
        </w:rPr>
        <w:t xml:space="preserve"> of government projects. For 2014, the Commission will jointly conduct four pilot audits of infrastructure projects with partner civil society organizations.   </w:t>
      </w:r>
    </w:p>
    <w:p w:rsidR="003E557F" w:rsidRPr="007E5F8C" w:rsidRDefault="003E557F" w:rsidP="00082E87">
      <w:pPr>
        <w:pStyle w:val="NormalWeb"/>
        <w:shd w:val="clear" w:color="auto" w:fill="FFFFFF"/>
        <w:spacing w:before="0" w:beforeAutospacing="0" w:after="0" w:afterAutospacing="0"/>
        <w:jc w:val="both"/>
        <w:rPr>
          <w:rFonts w:asciiTheme="minorHAnsi" w:hAnsiTheme="minorHAnsi" w:cs="Arial"/>
          <w:color w:val="222222"/>
        </w:rPr>
      </w:pPr>
    </w:p>
    <w:p w:rsidR="00A66E74" w:rsidRPr="007E5F8C" w:rsidRDefault="00A66E74" w:rsidP="00082E87">
      <w:pPr>
        <w:pStyle w:val="NormalWeb"/>
        <w:numPr>
          <w:ilvl w:val="0"/>
          <w:numId w:val="3"/>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Enhance performance benchmarks for local governance</w:t>
      </w:r>
    </w:p>
    <w:p w:rsidR="009B5D8A" w:rsidRPr="007E5F8C" w:rsidRDefault="00DE3BFD" w:rsidP="00082E87">
      <w:pPr>
        <w:pStyle w:val="NormalWeb"/>
        <w:shd w:val="clear" w:color="auto" w:fill="FFFFFF"/>
        <w:spacing w:before="0" w:beforeAutospacing="0" w:after="0" w:afterAutospacing="0"/>
        <w:jc w:val="both"/>
        <w:rPr>
          <w:rFonts w:asciiTheme="minorHAnsi" w:hAnsiTheme="minorHAnsi"/>
        </w:rPr>
      </w:pPr>
      <w:r w:rsidRPr="007E5F8C">
        <w:rPr>
          <w:rFonts w:asciiTheme="minorHAnsi" w:hAnsiTheme="minorHAnsi" w:cs="Arial"/>
          <w:color w:val="222222"/>
        </w:rPr>
        <w:t xml:space="preserve">The Department of the Interior and Local Government will </w:t>
      </w:r>
      <w:r w:rsidR="00CC383B" w:rsidRPr="007E5F8C">
        <w:rPr>
          <w:rFonts w:asciiTheme="minorHAnsi" w:hAnsiTheme="minorHAnsi" w:cs="Arial"/>
          <w:color w:val="222222"/>
        </w:rPr>
        <w:t xml:space="preserve">enhance </w:t>
      </w:r>
      <w:r w:rsidRPr="007E5F8C">
        <w:rPr>
          <w:rFonts w:asciiTheme="minorHAnsi" w:hAnsiTheme="minorHAnsi" w:cs="Arial"/>
          <w:color w:val="222222"/>
        </w:rPr>
        <w:t xml:space="preserve">the </w:t>
      </w:r>
      <w:r w:rsidR="00CC383B" w:rsidRPr="007E5F8C">
        <w:rPr>
          <w:rFonts w:asciiTheme="minorHAnsi" w:hAnsiTheme="minorHAnsi" w:cs="Arial"/>
          <w:color w:val="222222"/>
        </w:rPr>
        <w:t xml:space="preserve">existing </w:t>
      </w:r>
      <w:r w:rsidRPr="007E5F8C">
        <w:rPr>
          <w:rFonts w:asciiTheme="minorHAnsi" w:hAnsiTheme="minorHAnsi" w:cs="Arial"/>
          <w:color w:val="222222"/>
        </w:rPr>
        <w:t xml:space="preserve">performance </w:t>
      </w:r>
      <w:r w:rsidR="00CC383B" w:rsidRPr="007E5F8C">
        <w:rPr>
          <w:rFonts w:asciiTheme="minorHAnsi" w:hAnsiTheme="minorHAnsi" w:cs="Arial"/>
          <w:color w:val="222222"/>
        </w:rPr>
        <w:t xml:space="preserve">review </w:t>
      </w:r>
      <w:r w:rsidRPr="007E5F8C">
        <w:rPr>
          <w:rFonts w:asciiTheme="minorHAnsi" w:hAnsiTheme="minorHAnsi" w:cs="Arial"/>
          <w:color w:val="222222"/>
        </w:rPr>
        <w:t>of local government units</w:t>
      </w:r>
      <w:r w:rsidR="00CC383B" w:rsidRPr="007E5F8C">
        <w:rPr>
          <w:rFonts w:asciiTheme="minorHAnsi" w:hAnsiTheme="minorHAnsi" w:cs="Arial"/>
          <w:color w:val="222222"/>
        </w:rPr>
        <w:t xml:space="preserve"> and expand benchmarks beyond financial practices. </w:t>
      </w:r>
      <w:r w:rsidR="00BB6188" w:rsidRPr="007E5F8C">
        <w:rPr>
          <w:rFonts w:asciiTheme="minorHAnsi" w:hAnsiTheme="minorHAnsi" w:cs="Arial"/>
          <w:color w:val="222222"/>
        </w:rPr>
        <w:t xml:space="preserve">In </w:t>
      </w:r>
      <w:r w:rsidR="009B5D8A" w:rsidRPr="007E5F8C">
        <w:rPr>
          <w:rFonts w:asciiTheme="minorHAnsi" w:hAnsiTheme="minorHAnsi" w:cs="Arial"/>
          <w:color w:val="222222"/>
        </w:rPr>
        <w:t>2014, a</w:t>
      </w:r>
      <w:r w:rsidR="00BB6188" w:rsidRPr="007E5F8C">
        <w:rPr>
          <w:rFonts w:asciiTheme="minorHAnsi" w:hAnsiTheme="minorHAnsi" w:cs="Arial"/>
          <w:color w:val="222222"/>
        </w:rPr>
        <w:t>ll</w:t>
      </w:r>
      <w:r w:rsidR="009B5D8A" w:rsidRPr="007E5F8C">
        <w:rPr>
          <w:rFonts w:asciiTheme="minorHAnsi" w:hAnsiTheme="minorHAnsi"/>
        </w:rPr>
        <w:t xml:space="preserve"> local government</w:t>
      </w:r>
      <w:r w:rsidR="00BB6188" w:rsidRPr="007E5F8C">
        <w:rPr>
          <w:rFonts w:asciiTheme="minorHAnsi" w:hAnsiTheme="minorHAnsi"/>
        </w:rPr>
        <w:t>s</w:t>
      </w:r>
      <w:r w:rsidR="009B5D8A" w:rsidRPr="007E5F8C">
        <w:rPr>
          <w:rFonts w:asciiTheme="minorHAnsi" w:hAnsiTheme="minorHAnsi"/>
        </w:rPr>
        <w:t xml:space="preserve"> </w:t>
      </w:r>
      <w:r w:rsidR="00BB6188" w:rsidRPr="007E5F8C">
        <w:rPr>
          <w:rFonts w:asciiTheme="minorHAnsi" w:hAnsiTheme="minorHAnsi"/>
        </w:rPr>
        <w:t xml:space="preserve">will </w:t>
      </w:r>
      <w:r w:rsidR="009B5D8A" w:rsidRPr="007E5F8C">
        <w:rPr>
          <w:rFonts w:asciiTheme="minorHAnsi" w:hAnsiTheme="minorHAnsi"/>
        </w:rPr>
        <w:t xml:space="preserve">be assessed on </w:t>
      </w:r>
      <w:r w:rsidR="00BB6188" w:rsidRPr="007E5F8C">
        <w:rPr>
          <w:rFonts w:asciiTheme="minorHAnsi" w:hAnsiTheme="minorHAnsi"/>
        </w:rPr>
        <w:t xml:space="preserve">five </w:t>
      </w:r>
      <w:r w:rsidR="009B5D8A" w:rsidRPr="007E5F8C">
        <w:rPr>
          <w:rFonts w:asciiTheme="minorHAnsi" w:hAnsiTheme="minorHAnsi"/>
        </w:rPr>
        <w:t xml:space="preserve">performance areas: (1) Good Financial Housekeeping; (2) Disaster Preparedness; (3) Social Protection for the Basic Sector; (4) Business-Friendly </w:t>
      </w:r>
      <w:r w:rsidR="00BB6188" w:rsidRPr="007E5F8C">
        <w:rPr>
          <w:rFonts w:asciiTheme="minorHAnsi" w:hAnsiTheme="minorHAnsi"/>
        </w:rPr>
        <w:t xml:space="preserve">Environment </w:t>
      </w:r>
      <w:r w:rsidR="009B5D8A" w:rsidRPr="007E5F8C">
        <w:rPr>
          <w:rFonts w:asciiTheme="minorHAnsi" w:hAnsiTheme="minorHAnsi"/>
        </w:rPr>
        <w:t>and Competitiveness; (5) Environmental Compliance; and (6) Law &amp; Order and Public Safety.</w:t>
      </w:r>
      <w:r w:rsidR="009B5D8A" w:rsidRPr="007E5F8C">
        <w:rPr>
          <w:rFonts w:asciiTheme="minorHAnsi" w:hAnsiTheme="minorHAnsi" w:cs="Arial"/>
          <w:color w:val="222222"/>
        </w:rPr>
        <w:t xml:space="preserve"> </w:t>
      </w:r>
    </w:p>
    <w:p w:rsidR="009B5D8A" w:rsidRPr="007E5F8C" w:rsidRDefault="009B5D8A" w:rsidP="00082E87">
      <w:pPr>
        <w:pStyle w:val="NormalWeb"/>
        <w:shd w:val="clear" w:color="auto" w:fill="FFFFFF"/>
        <w:spacing w:before="0" w:beforeAutospacing="0" w:after="0" w:afterAutospacing="0"/>
        <w:jc w:val="both"/>
        <w:rPr>
          <w:rFonts w:asciiTheme="minorHAnsi" w:hAnsiTheme="minorHAnsi" w:cs="Arial"/>
          <w:color w:val="222222"/>
        </w:rPr>
      </w:pPr>
    </w:p>
    <w:p w:rsidR="00F778C9" w:rsidRPr="007E5F8C" w:rsidRDefault="00F778C9" w:rsidP="00082E87">
      <w:pPr>
        <w:pStyle w:val="NormalWeb"/>
        <w:numPr>
          <w:ilvl w:val="0"/>
          <w:numId w:val="3"/>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 xml:space="preserve">Enhance the </w:t>
      </w:r>
      <w:r w:rsidR="00C60309" w:rsidRPr="007E5F8C">
        <w:rPr>
          <w:rFonts w:asciiTheme="minorHAnsi" w:hAnsiTheme="minorHAnsi" w:cs="Arial"/>
          <w:b/>
          <w:color w:val="222222"/>
        </w:rPr>
        <w:t>government</w:t>
      </w:r>
      <w:r w:rsidRPr="007E5F8C">
        <w:rPr>
          <w:rFonts w:asciiTheme="minorHAnsi" w:hAnsiTheme="minorHAnsi" w:cs="Arial"/>
          <w:b/>
          <w:color w:val="222222"/>
        </w:rPr>
        <w:t xml:space="preserve"> procurement system</w:t>
      </w:r>
    </w:p>
    <w:p w:rsidR="00F778C9" w:rsidRPr="007E5F8C" w:rsidRDefault="00C60309"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The current government </w:t>
      </w:r>
      <w:r w:rsidR="00BB6188" w:rsidRPr="007E5F8C">
        <w:rPr>
          <w:rFonts w:asciiTheme="minorHAnsi" w:hAnsiTheme="minorHAnsi" w:cs="Arial"/>
          <w:color w:val="222222"/>
        </w:rPr>
        <w:t xml:space="preserve">electronic </w:t>
      </w:r>
      <w:r w:rsidRPr="007E5F8C">
        <w:rPr>
          <w:rFonts w:asciiTheme="minorHAnsi" w:hAnsiTheme="minorHAnsi" w:cs="Arial"/>
          <w:color w:val="222222"/>
        </w:rPr>
        <w:t xml:space="preserve">procurement system will be enhanced to include additional functionalities by 2014, such as facilities for uploading of bid document, electronic payment, and uploading of annual procurement plans. Registration of all national government agencies, state universities and colleges, and local government units in the government procurement system is targeted by 2014.  </w:t>
      </w:r>
    </w:p>
    <w:p w:rsidR="001F45F4" w:rsidRPr="007E5F8C" w:rsidRDefault="001F45F4" w:rsidP="00082E87">
      <w:pPr>
        <w:pStyle w:val="NormalWeb"/>
        <w:shd w:val="clear" w:color="auto" w:fill="FFFFFF"/>
        <w:spacing w:before="0" w:beforeAutospacing="0" w:after="0" w:afterAutospacing="0"/>
        <w:jc w:val="both"/>
        <w:rPr>
          <w:rFonts w:asciiTheme="minorHAnsi" w:hAnsiTheme="minorHAnsi" w:cs="Arial"/>
          <w:color w:val="222222"/>
        </w:rPr>
      </w:pPr>
    </w:p>
    <w:p w:rsidR="00F778C9" w:rsidRPr="007E5F8C" w:rsidRDefault="00F778C9" w:rsidP="00082E87">
      <w:pPr>
        <w:pStyle w:val="NormalWeb"/>
        <w:numPr>
          <w:ilvl w:val="0"/>
          <w:numId w:val="3"/>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Strengthen grassroots participation in local planning and budgeting</w:t>
      </w:r>
    </w:p>
    <w:p w:rsidR="00F778C9" w:rsidRPr="007E5F8C" w:rsidRDefault="00026736"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By 2014, 90% of all local government units have engaged grassroots organizations in the local planning and budgeting process. These local government units will have identified priority projects geared towards poverty reduction.</w:t>
      </w:r>
      <w:r w:rsidR="006A4076" w:rsidRPr="007E5F8C">
        <w:rPr>
          <w:rFonts w:asciiTheme="minorHAnsi" w:hAnsiTheme="minorHAnsi" w:cs="Arial"/>
          <w:color w:val="222222"/>
        </w:rPr>
        <w:t xml:space="preserve"> By 2015, at least </w:t>
      </w:r>
      <w:r w:rsidR="00BB6188" w:rsidRPr="007E5F8C">
        <w:rPr>
          <w:rFonts w:asciiTheme="minorHAnsi" w:hAnsiTheme="minorHAnsi" w:cs="Arial"/>
          <w:color w:val="222222"/>
        </w:rPr>
        <w:t>70</w:t>
      </w:r>
      <w:r w:rsidR="006A4076" w:rsidRPr="007E5F8C">
        <w:rPr>
          <w:rFonts w:asciiTheme="minorHAnsi" w:hAnsiTheme="minorHAnsi" w:cs="Arial"/>
          <w:color w:val="222222"/>
        </w:rPr>
        <w:t>% of these projects would have been completed.</w:t>
      </w:r>
    </w:p>
    <w:p w:rsidR="00026736" w:rsidRDefault="00026736" w:rsidP="00082E87">
      <w:pPr>
        <w:pStyle w:val="NormalWeb"/>
        <w:shd w:val="clear" w:color="auto" w:fill="FFFFFF"/>
        <w:spacing w:before="0" w:beforeAutospacing="0" w:after="0" w:afterAutospacing="0"/>
        <w:jc w:val="both"/>
        <w:rPr>
          <w:rFonts w:asciiTheme="minorHAnsi" w:hAnsiTheme="minorHAnsi" w:cs="Arial"/>
          <w:color w:val="222222"/>
        </w:rPr>
      </w:pPr>
    </w:p>
    <w:p w:rsidR="005A236D" w:rsidRDefault="005A236D" w:rsidP="00082E87">
      <w:pPr>
        <w:pStyle w:val="NormalWeb"/>
        <w:shd w:val="clear" w:color="auto" w:fill="FFFFFF"/>
        <w:spacing w:before="0" w:beforeAutospacing="0" w:after="0" w:afterAutospacing="0"/>
        <w:jc w:val="both"/>
        <w:rPr>
          <w:rFonts w:asciiTheme="minorHAnsi" w:hAnsiTheme="minorHAnsi" w:cs="Arial"/>
          <w:color w:val="222222"/>
        </w:rPr>
      </w:pPr>
    </w:p>
    <w:p w:rsidR="005A236D" w:rsidRDefault="005A236D" w:rsidP="00082E87">
      <w:pPr>
        <w:pStyle w:val="NormalWeb"/>
        <w:shd w:val="clear" w:color="auto" w:fill="FFFFFF"/>
        <w:spacing w:before="0" w:beforeAutospacing="0" w:after="0" w:afterAutospacing="0"/>
        <w:jc w:val="both"/>
        <w:rPr>
          <w:rFonts w:asciiTheme="minorHAnsi" w:hAnsiTheme="minorHAnsi" w:cs="Arial"/>
          <w:color w:val="222222"/>
        </w:rPr>
      </w:pPr>
    </w:p>
    <w:p w:rsidR="005A236D" w:rsidRDefault="005A236D" w:rsidP="00082E87">
      <w:pPr>
        <w:pStyle w:val="NormalWeb"/>
        <w:shd w:val="clear" w:color="auto" w:fill="FFFFFF"/>
        <w:spacing w:before="0" w:beforeAutospacing="0" w:after="0" w:afterAutospacing="0"/>
        <w:jc w:val="both"/>
        <w:rPr>
          <w:rFonts w:asciiTheme="minorHAnsi" w:hAnsiTheme="minorHAnsi" w:cs="Arial"/>
          <w:color w:val="222222"/>
        </w:rPr>
      </w:pPr>
    </w:p>
    <w:p w:rsidR="005A236D" w:rsidRDefault="005A236D" w:rsidP="00082E87">
      <w:pPr>
        <w:pStyle w:val="NormalWeb"/>
        <w:shd w:val="clear" w:color="auto" w:fill="FFFFFF"/>
        <w:spacing w:before="0" w:beforeAutospacing="0" w:after="0" w:afterAutospacing="0"/>
        <w:jc w:val="both"/>
        <w:rPr>
          <w:rFonts w:asciiTheme="minorHAnsi" w:hAnsiTheme="minorHAnsi" w:cs="Arial"/>
          <w:color w:val="222222"/>
        </w:rPr>
      </w:pPr>
    </w:p>
    <w:p w:rsidR="00AF6541" w:rsidRPr="007E5F8C" w:rsidRDefault="00AF6541" w:rsidP="00082E87">
      <w:pPr>
        <w:pStyle w:val="NormalWeb"/>
        <w:shd w:val="clear" w:color="auto" w:fill="FFFFFF"/>
        <w:spacing w:before="0" w:beforeAutospacing="0" w:after="0" w:afterAutospacing="0"/>
        <w:jc w:val="both"/>
        <w:rPr>
          <w:rFonts w:asciiTheme="minorHAnsi" w:hAnsiTheme="minorHAnsi" w:cs="Arial"/>
          <w:color w:val="222222"/>
        </w:rPr>
      </w:pPr>
    </w:p>
    <w:p w:rsidR="00F778C9" w:rsidRPr="007E5F8C" w:rsidRDefault="00FE70C6" w:rsidP="00082E87">
      <w:pPr>
        <w:pStyle w:val="NormalWeb"/>
        <w:shd w:val="clear" w:color="auto" w:fill="FFFFFF"/>
        <w:spacing w:before="0" w:beforeAutospacing="0" w:after="0" w:afterAutospacing="0"/>
        <w:jc w:val="both"/>
        <w:rPr>
          <w:rFonts w:asciiTheme="minorHAnsi" w:hAnsiTheme="minorHAnsi" w:cs="Arial"/>
          <w:b/>
          <w:color w:val="222222"/>
          <w:u w:val="single"/>
        </w:rPr>
      </w:pPr>
      <w:r w:rsidRPr="007E5F8C">
        <w:rPr>
          <w:rFonts w:asciiTheme="minorHAnsi" w:hAnsiTheme="minorHAnsi" w:cs="Arial"/>
          <w:b/>
          <w:color w:val="222222"/>
          <w:u w:val="single"/>
        </w:rPr>
        <w:lastRenderedPageBreak/>
        <w:t>NEW COMMITMENTS</w:t>
      </w:r>
    </w:p>
    <w:p w:rsidR="00F778C9" w:rsidRPr="007E5F8C" w:rsidRDefault="00F778C9" w:rsidP="00082E87">
      <w:pPr>
        <w:pStyle w:val="NormalWeb"/>
        <w:shd w:val="clear" w:color="auto" w:fill="FFFFFF"/>
        <w:spacing w:before="0" w:beforeAutospacing="0" w:after="0" w:afterAutospacing="0"/>
        <w:jc w:val="both"/>
        <w:rPr>
          <w:rFonts w:asciiTheme="minorHAnsi" w:hAnsiTheme="minorHAnsi" w:cs="Arial"/>
          <w:color w:val="222222"/>
        </w:rPr>
      </w:pPr>
    </w:p>
    <w:p w:rsidR="00FE70C6" w:rsidRPr="007E5F8C" w:rsidRDefault="00FE70C6" w:rsidP="00082E87">
      <w:pPr>
        <w:pStyle w:val="NormalWeb"/>
        <w:numPr>
          <w:ilvl w:val="0"/>
          <w:numId w:val="3"/>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Provide more accessible government data in a single portal and open format</w:t>
      </w:r>
    </w:p>
    <w:p w:rsidR="00FE70C6" w:rsidRPr="007E5F8C" w:rsidRDefault="00FE70C6"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An Open Data portal will be launched that will feature dashboards and visualizations on selected government data presented in a more understandable format. </w:t>
      </w:r>
      <w:r w:rsidR="00BB6188" w:rsidRPr="007E5F8C">
        <w:rPr>
          <w:rFonts w:asciiTheme="minorHAnsi" w:hAnsiTheme="minorHAnsi" w:cs="Arial"/>
          <w:color w:val="222222"/>
        </w:rPr>
        <w:t>D</w:t>
      </w:r>
      <w:r w:rsidRPr="007E5F8C">
        <w:rPr>
          <w:rFonts w:asciiTheme="minorHAnsi" w:hAnsiTheme="minorHAnsi" w:cs="Arial"/>
          <w:color w:val="222222"/>
        </w:rPr>
        <w:t xml:space="preserve">atasets </w:t>
      </w:r>
      <w:r w:rsidR="00BB6188" w:rsidRPr="007E5F8C">
        <w:rPr>
          <w:rFonts w:asciiTheme="minorHAnsi" w:hAnsiTheme="minorHAnsi" w:cs="Arial"/>
          <w:color w:val="222222"/>
        </w:rPr>
        <w:t xml:space="preserve">available </w:t>
      </w:r>
      <w:r w:rsidRPr="007E5F8C">
        <w:rPr>
          <w:rFonts w:asciiTheme="minorHAnsi" w:hAnsiTheme="minorHAnsi" w:cs="Arial"/>
          <w:color w:val="222222"/>
        </w:rPr>
        <w:t xml:space="preserve">in the portal </w:t>
      </w:r>
      <w:r w:rsidR="00BB6188" w:rsidRPr="007E5F8C">
        <w:rPr>
          <w:rFonts w:asciiTheme="minorHAnsi" w:hAnsiTheme="minorHAnsi" w:cs="Arial"/>
          <w:color w:val="222222"/>
        </w:rPr>
        <w:t>shall adopt open data standards.</w:t>
      </w:r>
      <w:r w:rsidRPr="007E5F8C">
        <w:rPr>
          <w:rFonts w:asciiTheme="minorHAnsi" w:hAnsiTheme="minorHAnsi" w:cs="Arial"/>
          <w:color w:val="222222"/>
        </w:rPr>
        <w:t xml:space="preserve"> </w:t>
      </w:r>
    </w:p>
    <w:p w:rsidR="00FE70C6" w:rsidRPr="007E5F8C" w:rsidRDefault="00FE70C6" w:rsidP="00082E87">
      <w:pPr>
        <w:pStyle w:val="NormalWeb"/>
        <w:shd w:val="clear" w:color="auto" w:fill="FFFFFF"/>
        <w:spacing w:before="0" w:beforeAutospacing="0" w:after="0" w:afterAutospacing="0"/>
        <w:jc w:val="both"/>
        <w:rPr>
          <w:rFonts w:asciiTheme="minorHAnsi" w:hAnsiTheme="minorHAnsi" w:cs="Arial"/>
          <w:color w:val="222222"/>
        </w:rPr>
      </w:pPr>
    </w:p>
    <w:p w:rsidR="00FE70C6" w:rsidRPr="007E5F8C" w:rsidRDefault="00FE70C6" w:rsidP="00082E87">
      <w:pPr>
        <w:pStyle w:val="NormalWeb"/>
        <w:numPr>
          <w:ilvl w:val="0"/>
          <w:numId w:val="3"/>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Initiate fiscal transparency in the extractive industry</w:t>
      </w:r>
    </w:p>
    <w:p w:rsidR="00FE70C6" w:rsidRPr="007E5F8C" w:rsidRDefault="0063779A"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Policies that will institutionalize fiscal transparency in the extractive industries will be enacted by 2014. </w:t>
      </w:r>
      <w:r w:rsidR="00FE70C6" w:rsidRPr="007E5F8C">
        <w:rPr>
          <w:rFonts w:asciiTheme="minorHAnsi" w:hAnsiTheme="minorHAnsi" w:cs="Arial"/>
          <w:color w:val="222222"/>
        </w:rPr>
        <w:t xml:space="preserve">The government </w:t>
      </w:r>
      <w:r w:rsidRPr="007E5F8C">
        <w:rPr>
          <w:rFonts w:asciiTheme="minorHAnsi" w:hAnsiTheme="minorHAnsi" w:cs="Arial"/>
          <w:color w:val="222222"/>
        </w:rPr>
        <w:t xml:space="preserve">also </w:t>
      </w:r>
      <w:r w:rsidR="00FE70C6" w:rsidRPr="007E5F8C">
        <w:rPr>
          <w:rFonts w:asciiTheme="minorHAnsi" w:hAnsiTheme="minorHAnsi" w:cs="Arial"/>
          <w:color w:val="222222"/>
        </w:rPr>
        <w:t xml:space="preserve">commits to publish a report disclosing the revenues of extractive industries and government revenues from these industries by </w:t>
      </w:r>
      <w:r w:rsidRPr="007E5F8C">
        <w:rPr>
          <w:rFonts w:asciiTheme="minorHAnsi" w:hAnsiTheme="minorHAnsi" w:cs="Arial"/>
          <w:color w:val="222222"/>
        </w:rPr>
        <w:t>May 2015</w:t>
      </w:r>
      <w:r w:rsidR="00FE70C6" w:rsidRPr="007E5F8C">
        <w:rPr>
          <w:rFonts w:asciiTheme="minorHAnsi" w:hAnsiTheme="minorHAnsi" w:cs="Arial"/>
          <w:color w:val="222222"/>
        </w:rPr>
        <w:t xml:space="preserve">. </w:t>
      </w:r>
    </w:p>
    <w:p w:rsidR="0063779A" w:rsidRPr="007E5F8C" w:rsidRDefault="0063779A" w:rsidP="00082E87">
      <w:pPr>
        <w:pStyle w:val="NormalWeb"/>
        <w:shd w:val="clear" w:color="auto" w:fill="FFFFFF"/>
        <w:spacing w:before="0" w:beforeAutospacing="0" w:after="0" w:afterAutospacing="0"/>
        <w:jc w:val="both"/>
        <w:rPr>
          <w:rFonts w:asciiTheme="minorHAnsi" w:hAnsiTheme="minorHAnsi" w:cs="Arial"/>
          <w:color w:val="222222"/>
        </w:rPr>
      </w:pPr>
    </w:p>
    <w:p w:rsidR="00A66E74" w:rsidRPr="007E5F8C" w:rsidRDefault="00F778C9" w:rsidP="00082E87">
      <w:pPr>
        <w:pStyle w:val="NormalWeb"/>
        <w:numPr>
          <w:ilvl w:val="0"/>
          <w:numId w:val="3"/>
        </w:numPr>
        <w:shd w:val="clear" w:color="auto" w:fill="FFFFFF"/>
        <w:spacing w:before="0" w:beforeAutospacing="0" w:after="0" w:afterAutospacing="0"/>
        <w:jc w:val="both"/>
        <w:rPr>
          <w:rFonts w:asciiTheme="minorHAnsi" w:hAnsiTheme="minorHAnsi" w:cs="Arial"/>
          <w:b/>
          <w:color w:val="222222"/>
        </w:rPr>
      </w:pPr>
      <w:r w:rsidRPr="007E5F8C">
        <w:rPr>
          <w:rFonts w:asciiTheme="minorHAnsi" w:hAnsiTheme="minorHAnsi" w:cs="Arial"/>
          <w:b/>
          <w:color w:val="222222"/>
        </w:rPr>
        <w:t>Improve the ease of doing business</w:t>
      </w:r>
    </w:p>
    <w:p w:rsidR="0050735D" w:rsidRPr="007E5F8C" w:rsidRDefault="000C61E2"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By 2014, key indicators for ease of doing business would have improved. These include reducing the number of processing steps and days for starting a business, securing construction permits, getting electricity, registering property, paying taxes, trading across borders, enforcing contracts, and resolving insolvency. </w:t>
      </w:r>
      <w:r w:rsidR="000E765F" w:rsidRPr="007E5F8C">
        <w:rPr>
          <w:rFonts w:asciiTheme="minorHAnsi" w:hAnsiTheme="minorHAnsi" w:cs="Arial"/>
          <w:color w:val="222222"/>
        </w:rPr>
        <w:t xml:space="preserve">By 2016, the target is to bring the Philippines from the bottom-third of the rankings in the Doing Business Report to the top-third rank. </w:t>
      </w:r>
    </w:p>
    <w:p w:rsidR="0063443F" w:rsidRPr="007E5F8C" w:rsidRDefault="0063443F" w:rsidP="00082E87">
      <w:pPr>
        <w:pStyle w:val="NormalWeb"/>
        <w:shd w:val="clear" w:color="auto" w:fill="FFFFFF"/>
        <w:spacing w:before="0" w:beforeAutospacing="0" w:after="0" w:afterAutospacing="0"/>
        <w:jc w:val="both"/>
        <w:rPr>
          <w:rFonts w:asciiTheme="minorHAnsi" w:hAnsiTheme="minorHAnsi" w:cs="Arial"/>
          <w:color w:val="222222"/>
        </w:rPr>
      </w:pPr>
    </w:p>
    <w:p w:rsidR="0063443F" w:rsidRPr="007E5F8C" w:rsidRDefault="001043F2" w:rsidP="00082E87">
      <w:pPr>
        <w:pStyle w:val="NormalWeb"/>
        <w:shd w:val="clear" w:color="auto" w:fill="FFFFFF"/>
        <w:spacing w:before="0" w:beforeAutospacing="0" w:after="0" w:afterAutospacing="0"/>
        <w:jc w:val="both"/>
        <w:rPr>
          <w:rFonts w:asciiTheme="minorHAnsi" w:hAnsiTheme="minorHAnsi" w:cs="Arial"/>
          <w:color w:val="222222"/>
        </w:rPr>
      </w:pPr>
      <w:r w:rsidRPr="007E5F8C">
        <w:rPr>
          <w:rFonts w:asciiTheme="minorHAnsi" w:hAnsiTheme="minorHAnsi" w:cs="Arial"/>
          <w:color w:val="222222"/>
        </w:rPr>
        <w:t xml:space="preserve">Table 2 summarizes </w:t>
      </w:r>
      <w:r w:rsidR="00B33545" w:rsidRPr="007E5F8C">
        <w:rPr>
          <w:rFonts w:asciiTheme="minorHAnsi" w:hAnsiTheme="minorHAnsi" w:cs="Arial"/>
          <w:color w:val="222222"/>
        </w:rPr>
        <w:t>t</w:t>
      </w:r>
      <w:r w:rsidR="0063443F" w:rsidRPr="007E5F8C">
        <w:rPr>
          <w:rFonts w:asciiTheme="minorHAnsi" w:hAnsiTheme="minorHAnsi" w:cs="Arial"/>
          <w:color w:val="222222"/>
        </w:rPr>
        <w:t>he nine commitments</w:t>
      </w:r>
      <w:r w:rsidRPr="007E5F8C">
        <w:rPr>
          <w:rFonts w:asciiTheme="minorHAnsi" w:hAnsiTheme="minorHAnsi" w:cs="Arial"/>
          <w:color w:val="222222"/>
        </w:rPr>
        <w:t>, their implementing agencies and</w:t>
      </w:r>
      <w:r w:rsidR="0063443F" w:rsidRPr="007E5F8C">
        <w:rPr>
          <w:rFonts w:asciiTheme="minorHAnsi" w:hAnsiTheme="minorHAnsi" w:cs="Arial"/>
          <w:color w:val="222222"/>
        </w:rPr>
        <w:t xml:space="preserve"> </w:t>
      </w:r>
      <w:r w:rsidRPr="007E5F8C">
        <w:rPr>
          <w:rFonts w:asciiTheme="minorHAnsi" w:hAnsiTheme="minorHAnsi" w:cs="Arial"/>
          <w:color w:val="222222"/>
        </w:rPr>
        <w:t xml:space="preserve">their </w:t>
      </w:r>
      <w:r w:rsidR="00B018FE" w:rsidRPr="007E5F8C">
        <w:rPr>
          <w:rFonts w:asciiTheme="minorHAnsi" w:hAnsiTheme="minorHAnsi" w:cs="Arial"/>
          <w:color w:val="222222"/>
        </w:rPr>
        <w:t>performance</w:t>
      </w:r>
      <w:r w:rsidR="0063443F" w:rsidRPr="007E5F8C">
        <w:rPr>
          <w:rFonts w:asciiTheme="minorHAnsi" w:hAnsiTheme="minorHAnsi" w:cs="Arial"/>
          <w:color w:val="222222"/>
        </w:rPr>
        <w:t xml:space="preserve"> targets.</w:t>
      </w:r>
    </w:p>
    <w:p w:rsidR="001043F2" w:rsidRPr="007E5F8C" w:rsidRDefault="001043F2" w:rsidP="00082E87">
      <w:pPr>
        <w:pStyle w:val="NormalWeb"/>
        <w:shd w:val="clear" w:color="auto" w:fill="FFFFFF"/>
        <w:spacing w:before="0" w:beforeAutospacing="0" w:after="0" w:afterAutospacing="0"/>
        <w:jc w:val="both"/>
        <w:rPr>
          <w:rFonts w:asciiTheme="minorHAnsi" w:hAnsiTheme="minorHAnsi" w:cs="Arial"/>
          <w:color w:val="222222"/>
        </w:rPr>
      </w:pPr>
    </w:p>
    <w:p w:rsidR="0063779A" w:rsidRPr="007E5F8C" w:rsidRDefault="001043F2" w:rsidP="00082E87">
      <w:pPr>
        <w:pStyle w:val="NormalWeb"/>
        <w:shd w:val="clear" w:color="auto" w:fill="FFFFFF"/>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Table 2: Summary of Commitment Performance Targets</w:t>
      </w:r>
    </w:p>
    <w:p w:rsidR="0063779A" w:rsidRPr="007E5F8C" w:rsidRDefault="0063779A" w:rsidP="00082E87">
      <w:pPr>
        <w:pStyle w:val="NormalWeb"/>
        <w:shd w:val="clear" w:color="auto" w:fill="FFFFFF"/>
        <w:spacing w:before="0" w:beforeAutospacing="0" w:after="0" w:afterAutospacing="0"/>
        <w:jc w:val="both"/>
        <w:rPr>
          <w:rFonts w:asciiTheme="minorHAnsi" w:hAnsiTheme="minorHAnsi" w:cs="Arial"/>
          <w:color w:val="222222"/>
        </w:rPr>
      </w:pPr>
    </w:p>
    <w:tbl>
      <w:tblPr>
        <w:tblStyle w:val="TableGrid"/>
        <w:tblW w:w="0" w:type="auto"/>
        <w:tblLook w:val="04A0"/>
      </w:tblPr>
      <w:tblGrid>
        <w:gridCol w:w="565"/>
        <w:gridCol w:w="3143"/>
        <w:gridCol w:w="1620"/>
        <w:gridCol w:w="4248"/>
      </w:tblGrid>
      <w:tr w:rsidR="0063443F" w:rsidRPr="007E5F8C" w:rsidTr="004266C1">
        <w:trPr>
          <w:tblHeader/>
        </w:trPr>
        <w:tc>
          <w:tcPr>
            <w:tcW w:w="565" w:type="dxa"/>
            <w:vAlign w:val="center"/>
          </w:tcPr>
          <w:p w:rsidR="0063443F" w:rsidRPr="007E5F8C" w:rsidRDefault="0063443F" w:rsidP="00082E87">
            <w:pPr>
              <w:pStyle w:val="NormalWeb"/>
              <w:spacing w:before="0" w:beforeAutospacing="0" w:after="0" w:afterAutospacing="0"/>
              <w:jc w:val="center"/>
              <w:rPr>
                <w:rFonts w:asciiTheme="minorHAnsi" w:hAnsiTheme="minorHAnsi" w:cs="Arial"/>
                <w:b/>
                <w:i/>
                <w:color w:val="222222"/>
              </w:rPr>
            </w:pPr>
            <w:r w:rsidRPr="007E5F8C">
              <w:rPr>
                <w:rFonts w:asciiTheme="minorHAnsi" w:hAnsiTheme="minorHAnsi" w:cs="Arial"/>
                <w:b/>
                <w:i/>
                <w:color w:val="222222"/>
              </w:rPr>
              <w:t>No.</w:t>
            </w:r>
          </w:p>
        </w:tc>
        <w:tc>
          <w:tcPr>
            <w:tcW w:w="3143" w:type="dxa"/>
            <w:vAlign w:val="center"/>
          </w:tcPr>
          <w:p w:rsidR="0063443F" w:rsidRPr="007E5F8C" w:rsidRDefault="00B018FE" w:rsidP="00082E87">
            <w:pPr>
              <w:pStyle w:val="NormalWeb"/>
              <w:spacing w:before="0" w:beforeAutospacing="0" w:after="0" w:afterAutospacing="0"/>
              <w:jc w:val="center"/>
              <w:rPr>
                <w:rFonts w:asciiTheme="minorHAnsi" w:hAnsiTheme="minorHAnsi" w:cs="Arial"/>
                <w:b/>
                <w:i/>
                <w:color w:val="222222"/>
              </w:rPr>
            </w:pPr>
            <w:r w:rsidRPr="007E5F8C">
              <w:rPr>
                <w:rFonts w:asciiTheme="minorHAnsi" w:hAnsiTheme="minorHAnsi" w:cs="Arial"/>
                <w:b/>
                <w:i/>
                <w:color w:val="222222"/>
              </w:rPr>
              <w:t>Commitment</w:t>
            </w:r>
          </w:p>
        </w:tc>
        <w:tc>
          <w:tcPr>
            <w:tcW w:w="1620" w:type="dxa"/>
            <w:vAlign w:val="center"/>
          </w:tcPr>
          <w:p w:rsidR="0063443F" w:rsidRPr="007E5F8C" w:rsidRDefault="00B018FE" w:rsidP="00082E87">
            <w:pPr>
              <w:pStyle w:val="NormalWeb"/>
              <w:spacing w:before="0" w:beforeAutospacing="0" w:after="0" w:afterAutospacing="0"/>
              <w:jc w:val="center"/>
              <w:rPr>
                <w:rFonts w:asciiTheme="minorHAnsi" w:hAnsiTheme="minorHAnsi" w:cs="Arial"/>
                <w:b/>
                <w:i/>
                <w:color w:val="222222"/>
              </w:rPr>
            </w:pPr>
            <w:r w:rsidRPr="007E5F8C">
              <w:rPr>
                <w:rFonts w:asciiTheme="minorHAnsi" w:hAnsiTheme="minorHAnsi" w:cs="Arial"/>
                <w:b/>
                <w:i/>
                <w:color w:val="222222"/>
              </w:rPr>
              <w:t>Implementing Agencies</w:t>
            </w:r>
            <w:r w:rsidR="00EA5E70" w:rsidRPr="007E5F8C">
              <w:rPr>
                <w:rFonts w:asciiTheme="minorHAnsi" w:hAnsiTheme="minorHAnsi" w:cs="Arial"/>
                <w:b/>
                <w:i/>
                <w:color w:val="222222"/>
              </w:rPr>
              <w:t>*</w:t>
            </w:r>
          </w:p>
        </w:tc>
        <w:tc>
          <w:tcPr>
            <w:tcW w:w="4248" w:type="dxa"/>
            <w:vAlign w:val="center"/>
          </w:tcPr>
          <w:p w:rsidR="0063443F" w:rsidRPr="007E5F8C" w:rsidRDefault="00B018FE" w:rsidP="00082E87">
            <w:pPr>
              <w:pStyle w:val="NormalWeb"/>
              <w:spacing w:before="0" w:beforeAutospacing="0" w:after="0" w:afterAutospacing="0"/>
              <w:jc w:val="center"/>
              <w:rPr>
                <w:rFonts w:asciiTheme="minorHAnsi" w:hAnsiTheme="minorHAnsi" w:cs="Arial"/>
                <w:b/>
                <w:i/>
                <w:color w:val="222222"/>
              </w:rPr>
            </w:pPr>
            <w:r w:rsidRPr="007E5F8C">
              <w:rPr>
                <w:rFonts w:asciiTheme="minorHAnsi" w:hAnsiTheme="minorHAnsi" w:cs="Arial"/>
                <w:b/>
                <w:i/>
                <w:color w:val="222222"/>
              </w:rPr>
              <w:t>Performance Targets</w:t>
            </w:r>
            <w:r w:rsidR="00DA2852" w:rsidRPr="007E5F8C">
              <w:rPr>
                <w:rFonts w:asciiTheme="minorHAnsi" w:hAnsiTheme="minorHAnsi" w:cs="Arial"/>
                <w:b/>
                <w:i/>
                <w:color w:val="222222"/>
              </w:rPr>
              <w:t xml:space="preserve"> (Year)</w:t>
            </w:r>
          </w:p>
        </w:tc>
      </w:tr>
      <w:tr w:rsidR="0063443F" w:rsidRPr="007E5F8C" w:rsidTr="00053AF7">
        <w:tc>
          <w:tcPr>
            <w:tcW w:w="565" w:type="dxa"/>
          </w:tcPr>
          <w:p w:rsidR="0063443F" w:rsidRPr="007E5F8C" w:rsidRDefault="00053AF7"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1</w:t>
            </w:r>
          </w:p>
        </w:tc>
        <w:tc>
          <w:tcPr>
            <w:tcW w:w="3143" w:type="dxa"/>
          </w:tcPr>
          <w:p w:rsidR="0063443F" w:rsidRPr="007E5F8C" w:rsidRDefault="00E14299"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Sustain transparency in national government plans and budgets</w:t>
            </w:r>
          </w:p>
          <w:p w:rsidR="003223B9" w:rsidRPr="007E5F8C" w:rsidRDefault="003223B9" w:rsidP="00082E87">
            <w:pPr>
              <w:pStyle w:val="NormalWeb"/>
              <w:spacing w:before="0" w:beforeAutospacing="0" w:after="0" w:afterAutospacing="0"/>
              <w:rPr>
                <w:rFonts w:asciiTheme="minorHAnsi" w:hAnsiTheme="minorHAnsi" w:cs="Arial"/>
                <w:color w:val="222222"/>
              </w:rPr>
            </w:pPr>
          </w:p>
          <w:p w:rsidR="003223B9" w:rsidRPr="007E5F8C" w:rsidRDefault="003223B9" w:rsidP="00082E87">
            <w:pPr>
              <w:pStyle w:val="NormalWeb"/>
              <w:spacing w:before="0" w:beforeAutospacing="0" w:after="0" w:afterAutospacing="0"/>
              <w:rPr>
                <w:rFonts w:asciiTheme="minorHAnsi" w:hAnsiTheme="minorHAnsi" w:cs="Arial"/>
                <w:i/>
                <w:color w:val="222222"/>
              </w:rPr>
            </w:pPr>
            <w:r w:rsidRPr="007E5F8C">
              <w:rPr>
                <w:rFonts w:asciiTheme="minorHAnsi" w:hAnsiTheme="minorHAnsi" w:cs="Arial"/>
                <w:i/>
                <w:color w:val="222222"/>
              </w:rPr>
              <w:t>Program: Transparency Seal</w:t>
            </w:r>
          </w:p>
          <w:p w:rsidR="003223B9" w:rsidRPr="007E5F8C" w:rsidRDefault="003223B9" w:rsidP="00082E87">
            <w:pPr>
              <w:pStyle w:val="NormalWeb"/>
              <w:spacing w:before="0" w:beforeAutospacing="0" w:after="0" w:afterAutospacing="0"/>
              <w:rPr>
                <w:rFonts w:asciiTheme="minorHAnsi" w:hAnsiTheme="minorHAnsi" w:cs="Arial"/>
                <w:color w:val="222222"/>
              </w:rPr>
            </w:pPr>
          </w:p>
        </w:tc>
        <w:tc>
          <w:tcPr>
            <w:tcW w:w="1620" w:type="dxa"/>
          </w:tcPr>
          <w:p w:rsidR="0063443F" w:rsidRPr="007E5F8C" w:rsidRDefault="00605060"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PCDSPO</w:t>
            </w:r>
          </w:p>
        </w:tc>
        <w:tc>
          <w:tcPr>
            <w:tcW w:w="4248" w:type="dxa"/>
          </w:tcPr>
          <w:p w:rsidR="001043F2" w:rsidRPr="007E5F8C" w:rsidRDefault="009573BD" w:rsidP="00DA2852">
            <w:pPr>
              <w:pStyle w:val="NormalWeb"/>
              <w:numPr>
                <w:ilvl w:val="0"/>
                <w:numId w:val="6"/>
              </w:numPr>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100% of national government </w:t>
            </w:r>
            <w:r w:rsidR="00FE70C6" w:rsidRPr="007E5F8C">
              <w:rPr>
                <w:rFonts w:asciiTheme="minorHAnsi" w:hAnsiTheme="minorHAnsi" w:cs="Arial"/>
                <w:color w:val="222222"/>
              </w:rPr>
              <w:t xml:space="preserve">departments </w:t>
            </w:r>
            <w:r w:rsidRPr="007E5F8C">
              <w:rPr>
                <w:rFonts w:asciiTheme="minorHAnsi" w:hAnsiTheme="minorHAnsi" w:cs="Arial"/>
                <w:color w:val="222222"/>
              </w:rPr>
              <w:t>fully complying with the Transparency Seal</w:t>
            </w:r>
            <w:r w:rsidR="00DA2852" w:rsidRPr="007E5F8C">
              <w:rPr>
                <w:rFonts w:asciiTheme="minorHAnsi" w:hAnsiTheme="minorHAnsi" w:cs="Arial"/>
                <w:color w:val="222222"/>
              </w:rPr>
              <w:t xml:space="preserve"> (2013-2015)</w:t>
            </w:r>
          </w:p>
        </w:tc>
      </w:tr>
      <w:tr w:rsidR="0063443F" w:rsidRPr="007E5F8C" w:rsidTr="00053AF7">
        <w:tc>
          <w:tcPr>
            <w:tcW w:w="565" w:type="dxa"/>
          </w:tcPr>
          <w:p w:rsidR="0063443F"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2</w:t>
            </w:r>
          </w:p>
        </w:tc>
        <w:tc>
          <w:tcPr>
            <w:tcW w:w="3143" w:type="dxa"/>
          </w:tcPr>
          <w:p w:rsidR="0063443F" w:rsidRPr="007E5F8C" w:rsidRDefault="00E14299"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Support for the passage of legislations on access to information and protection of whistleblowers</w:t>
            </w:r>
          </w:p>
          <w:p w:rsidR="003223B9" w:rsidRPr="007E5F8C" w:rsidRDefault="003223B9" w:rsidP="00082E87">
            <w:pPr>
              <w:pStyle w:val="NormalWeb"/>
              <w:spacing w:before="0" w:beforeAutospacing="0" w:after="0" w:afterAutospacing="0"/>
              <w:rPr>
                <w:rFonts w:asciiTheme="minorHAnsi" w:hAnsiTheme="minorHAnsi" w:cs="Arial"/>
                <w:color w:val="222222"/>
              </w:rPr>
            </w:pPr>
          </w:p>
        </w:tc>
        <w:tc>
          <w:tcPr>
            <w:tcW w:w="1620" w:type="dxa"/>
          </w:tcPr>
          <w:p w:rsidR="0063443F" w:rsidRPr="007E5F8C" w:rsidRDefault="00605060"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PCDSPO, DOJ, PLLO</w:t>
            </w:r>
          </w:p>
        </w:tc>
        <w:tc>
          <w:tcPr>
            <w:tcW w:w="4248" w:type="dxa"/>
          </w:tcPr>
          <w:p w:rsidR="001043F2" w:rsidRPr="007E5F8C" w:rsidRDefault="002634F9" w:rsidP="00DA2852">
            <w:pPr>
              <w:pStyle w:val="NormalWeb"/>
              <w:numPr>
                <w:ilvl w:val="0"/>
                <w:numId w:val="7"/>
              </w:numPr>
              <w:spacing w:before="0" w:beforeAutospacing="0" w:after="0" w:afterAutospacing="0"/>
              <w:rPr>
                <w:rFonts w:asciiTheme="minorHAnsi" w:hAnsiTheme="minorHAnsi" w:cs="Arial"/>
                <w:color w:val="222222"/>
              </w:rPr>
            </w:pPr>
            <w:r w:rsidRPr="007E5F8C">
              <w:rPr>
                <w:rFonts w:asciiTheme="minorHAnsi" w:hAnsiTheme="minorHAnsi" w:cs="Arial"/>
                <w:color w:val="222222"/>
              </w:rPr>
              <w:t>Freedom of Information and Whistleblowers Protection Bills included in the priority legislative agenda of the Executive</w:t>
            </w:r>
            <w:r w:rsidR="00DA2852" w:rsidRPr="007E5F8C">
              <w:rPr>
                <w:rFonts w:asciiTheme="minorHAnsi" w:hAnsiTheme="minorHAnsi" w:cs="Arial"/>
                <w:color w:val="222222"/>
              </w:rPr>
              <w:t xml:space="preserve"> (2015)</w:t>
            </w:r>
          </w:p>
        </w:tc>
      </w:tr>
      <w:tr w:rsidR="0063443F" w:rsidRPr="007E5F8C" w:rsidTr="00053AF7">
        <w:tc>
          <w:tcPr>
            <w:tcW w:w="565" w:type="dxa"/>
          </w:tcPr>
          <w:p w:rsidR="0063443F"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3</w:t>
            </w:r>
          </w:p>
        </w:tc>
        <w:tc>
          <w:tcPr>
            <w:tcW w:w="3143" w:type="dxa"/>
          </w:tcPr>
          <w:p w:rsidR="0063443F" w:rsidRPr="007E5F8C" w:rsidRDefault="00E14299"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Engage civil society in public audit</w:t>
            </w:r>
          </w:p>
          <w:p w:rsidR="003223B9" w:rsidRPr="007E5F8C" w:rsidRDefault="003223B9" w:rsidP="00082E87">
            <w:pPr>
              <w:pStyle w:val="NormalWeb"/>
              <w:spacing w:before="0" w:beforeAutospacing="0" w:after="0" w:afterAutospacing="0"/>
              <w:rPr>
                <w:rFonts w:asciiTheme="minorHAnsi" w:hAnsiTheme="minorHAnsi" w:cs="Arial"/>
                <w:color w:val="222222"/>
              </w:rPr>
            </w:pPr>
          </w:p>
          <w:p w:rsidR="003223B9" w:rsidRPr="007E5F8C" w:rsidRDefault="003223B9" w:rsidP="00082E87">
            <w:pPr>
              <w:pStyle w:val="NormalWeb"/>
              <w:spacing w:before="0" w:beforeAutospacing="0" w:after="0" w:afterAutospacing="0"/>
              <w:rPr>
                <w:rFonts w:asciiTheme="minorHAnsi" w:hAnsiTheme="minorHAnsi" w:cs="Arial"/>
                <w:i/>
                <w:color w:val="222222"/>
              </w:rPr>
            </w:pPr>
            <w:r w:rsidRPr="007E5F8C">
              <w:rPr>
                <w:rFonts w:asciiTheme="minorHAnsi" w:hAnsiTheme="minorHAnsi" w:cs="Arial"/>
                <w:i/>
                <w:color w:val="222222"/>
              </w:rPr>
              <w:t>Program: Citizens Participatory Audit</w:t>
            </w:r>
          </w:p>
          <w:p w:rsidR="003223B9" w:rsidRDefault="003223B9" w:rsidP="00082E87">
            <w:pPr>
              <w:pStyle w:val="NormalWeb"/>
              <w:spacing w:before="0" w:beforeAutospacing="0" w:after="0" w:afterAutospacing="0"/>
              <w:rPr>
                <w:rFonts w:asciiTheme="minorHAnsi" w:hAnsiTheme="minorHAnsi" w:cs="Arial"/>
                <w:color w:val="222222"/>
              </w:rPr>
            </w:pPr>
          </w:p>
          <w:p w:rsidR="00577D24" w:rsidRPr="007E5F8C" w:rsidRDefault="00577D24" w:rsidP="00082E87">
            <w:pPr>
              <w:pStyle w:val="NormalWeb"/>
              <w:spacing w:before="0" w:beforeAutospacing="0" w:after="0" w:afterAutospacing="0"/>
              <w:rPr>
                <w:rFonts w:asciiTheme="minorHAnsi" w:hAnsiTheme="minorHAnsi" w:cs="Arial"/>
                <w:color w:val="222222"/>
              </w:rPr>
            </w:pPr>
          </w:p>
        </w:tc>
        <w:tc>
          <w:tcPr>
            <w:tcW w:w="1620" w:type="dxa"/>
          </w:tcPr>
          <w:p w:rsidR="0063443F" w:rsidRPr="007E5F8C" w:rsidRDefault="009573BD"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COA</w:t>
            </w:r>
          </w:p>
        </w:tc>
        <w:tc>
          <w:tcPr>
            <w:tcW w:w="4248" w:type="dxa"/>
          </w:tcPr>
          <w:p w:rsidR="001043F2" w:rsidRPr="007E5F8C" w:rsidRDefault="005254F7" w:rsidP="00DA2852">
            <w:pPr>
              <w:pStyle w:val="NormalWeb"/>
              <w:numPr>
                <w:ilvl w:val="0"/>
                <w:numId w:val="8"/>
              </w:numPr>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4 participatory audits conducted and audit reports published </w:t>
            </w:r>
            <w:r w:rsidR="00DA2852" w:rsidRPr="007E5F8C">
              <w:rPr>
                <w:rFonts w:asciiTheme="minorHAnsi" w:hAnsiTheme="minorHAnsi" w:cs="Arial"/>
                <w:color w:val="222222"/>
              </w:rPr>
              <w:t>(2014)</w:t>
            </w:r>
          </w:p>
        </w:tc>
      </w:tr>
      <w:tr w:rsidR="0063443F" w:rsidRPr="007E5F8C" w:rsidTr="00053AF7">
        <w:tc>
          <w:tcPr>
            <w:tcW w:w="565" w:type="dxa"/>
          </w:tcPr>
          <w:p w:rsidR="0063443F"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lastRenderedPageBreak/>
              <w:t>4</w:t>
            </w:r>
          </w:p>
        </w:tc>
        <w:tc>
          <w:tcPr>
            <w:tcW w:w="3143" w:type="dxa"/>
          </w:tcPr>
          <w:p w:rsidR="0063443F" w:rsidRPr="007E5F8C" w:rsidRDefault="00E14299"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Enhance performance benchmarks for local governance</w:t>
            </w:r>
          </w:p>
          <w:p w:rsidR="003223B9" w:rsidRPr="007E5F8C" w:rsidRDefault="003223B9" w:rsidP="00082E87">
            <w:pPr>
              <w:pStyle w:val="NormalWeb"/>
              <w:spacing w:before="0" w:beforeAutospacing="0" w:after="0" w:afterAutospacing="0"/>
              <w:rPr>
                <w:rFonts w:asciiTheme="minorHAnsi" w:hAnsiTheme="minorHAnsi" w:cs="Arial"/>
                <w:color w:val="222222"/>
              </w:rPr>
            </w:pPr>
          </w:p>
          <w:p w:rsidR="003223B9" w:rsidRPr="007E5F8C" w:rsidRDefault="003223B9" w:rsidP="00082E87">
            <w:pPr>
              <w:pStyle w:val="NormalWeb"/>
              <w:spacing w:before="0" w:beforeAutospacing="0" w:after="0" w:afterAutospacing="0"/>
              <w:rPr>
                <w:rFonts w:asciiTheme="minorHAnsi" w:hAnsiTheme="minorHAnsi" w:cs="Arial"/>
                <w:i/>
                <w:color w:val="222222"/>
              </w:rPr>
            </w:pPr>
            <w:r w:rsidRPr="007E5F8C">
              <w:rPr>
                <w:rFonts w:asciiTheme="minorHAnsi" w:hAnsiTheme="minorHAnsi" w:cs="Arial"/>
                <w:i/>
                <w:color w:val="222222"/>
              </w:rPr>
              <w:t>Program: Seal of Good Local Governance</w:t>
            </w:r>
          </w:p>
          <w:p w:rsidR="003223B9" w:rsidRPr="007E5F8C" w:rsidRDefault="003223B9" w:rsidP="00082E87">
            <w:pPr>
              <w:pStyle w:val="NormalWeb"/>
              <w:spacing w:before="0" w:beforeAutospacing="0" w:after="0" w:afterAutospacing="0"/>
              <w:rPr>
                <w:rFonts w:asciiTheme="minorHAnsi" w:hAnsiTheme="minorHAnsi" w:cs="Arial"/>
                <w:color w:val="222222"/>
              </w:rPr>
            </w:pPr>
          </w:p>
        </w:tc>
        <w:tc>
          <w:tcPr>
            <w:tcW w:w="1620" w:type="dxa"/>
          </w:tcPr>
          <w:p w:rsidR="0063443F" w:rsidRPr="007E5F8C" w:rsidRDefault="009573BD"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DILG</w:t>
            </w:r>
          </w:p>
        </w:tc>
        <w:tc>
          <w:tcPr>
            <w:tcW w:w="4248" w:type="dxa"/>
          </w:tcPr>
          <w:p w:rsidR="001043F2" w:rsidRPr="007E5F8C" w:rsidRDefault="00DA2852" w:rsidP="00DA2852">
            <w:pPr>
              <w:pStyle w:val="NormalWeb"/>
              <w:numPr>
                <w:ilvl w:val="0"/>
                <w:numId w:val="9"/>
              </w:numPr>
              <w:spacing w:before="0" w:beforeAutospacing="0" w:after="0" w:afterAutospacing="0"/>
              <w:rPr>
                <w:rFonts w:asciiTheme="minorHAnsi" w:hAnsiTheme="minorHAnsi" w:cs="Arial"/>
                <w:color w:val="222222"/>
              </w:rPr>
            </w:pPr>
            <w:r w:rsidRPr="007E5F8C">
              <w:rPr>
                <w:rFonts w:asciiTheme="minorHAnsi" w:hAnsiTheme="minorHAnsi" w:cs="Arial"/>
                <w:color w:val="222222"/>
              </w:rPr>
              <w:t>Additional p</w:t>
            </w:r>
            <w:r w:rsidR="00C86FC2" w:rsidRPr="007E5F8C">
              <w:rPr>
                <w:rFonts w:asciiTheme="minorHAnsi" w:hAnsiTheme="minorHAnsi" w:cs="Arial"/>
                <w:color w:val="222222"/>
              </w:rPr>
              <w:t xml:space="preserve">erformance benchmarks on </w:t>
            </w:r>
            <w:r w:rsidR="00A24832" w:rsidRPr="007E5F8C">
              <w:rPr>
                <w:rFonts w:asciiTheme="minorHAnsi" w:hAnsiTheme="minorHAnsi" w:cs="Arial"/>
                <w:color w:val="222222"/>
              </w:rPr>
              <w:t xml:space="preserve">accountable, transparent, and participatory governance, and frontline service performance implemented </w:t>
            </w:r>
            <w:r w:rsidRPr="007E5F8C">
              <w:rPr>
                <w:rFonts w:asciiTheme="minorHAnsi" w:hAnsiTheme="minorHAnsi" w:cs="Arial"/>
                <w:color w:val="222222"/>
              </w:rPr>
              <w:t>(2014-2015)</w:t>
            </w:r>
          </w:p>
        </w:tc>
      </w:tr>
      <w:tr w:rsidR="00E14299" w:rsidRPr="007E5F8C" w:rsidTr="00053AF7">
        <w:tc>
          <w:tcPr>
            <w:tcW w:w="565" w:type="dxa"/>
          </w:tcPr>
          <w:p w:rsidR="00E14299"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5</w:t>
            </w:r>
          </w:p>
        </w:tc>
        <w:tc>
          <w:tcPr>
            <w:tcW w:w="3143" w:type="dxa"/>
          </w:tcPr>
          <w:p w:rsidR="00E14299" w:rsidRPr="007E5F8C" w:rsidRDefault="00E14299"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Enhance the government procurement system</w:t>
            </w:r>
          </w:p>
          <w:p w:rsidR="003223B9" w:rsidRPr="007E5F8C" w:rsidRDefault="003223B9" w:rsidP="00082E87">
            <w:pPr>
              <w:pStyle w:val="NormalWeb"/>
              <w:spacing w:before="0" w:beforeAutospacing="0" w:after="0" w:afterAutospacing="0"/>
              <w:rPr>
                <w:rFonts w:asciiTheme="minorHAnsi" w:hAnsiTheme="minorHAnsi" w:cs="Arial"/>
                <w:color w:val="222222"/>
              </w:rPr>
            </w:pPr>
          </w:p>
          <w:p w:rsidR="003223B9" w:rsidRPr="007E5F8C" w:rsidRDefault="003223B9" w:rsidP="00082E87">
            <w:pPr>
              <w:pStyle w:val="NormalWeb"/>
              <w:spacing w:before="0" w:beforeAutospacing="0" w:after="0" w:afterAutospacing="0"/>
              <w:rPr>
                <w:rFonts w:asciiTheme="minorHAnsi" w:hAnsiTheme="minorHAnsi" w:cs="Arial"/>
                <w:i/>
                <w:color w:val="222222"/>
              </w:rPr>
            </w:pPr>
            <w:r w:rsidRPr="007E5F8C">
              <w:rPr>
                <w:rFonts w:asciiTheme="minorHAnsi" w:hAnsiTheme="minorHAnsi" w:cs="Arial"/>
                <w:i/>
                <w:color w:val="222222"/>
              </w:rPr>
              <w:t xml:space="preserve">Program: </w:t>
            </w:r>
            <w:proofErr w:type="spellStart"/>
            <w:r w:rsidRPr="007E5F8C">
              <w:rPr>
                <w:rFonts w:asciiTheme="minorHAnsi" w:hAnsiTheme="minorHAnsi" w:cs="Arial"/>
                <w:i/>
                <w:color w:val="222222"/>
              </w:rPr>
              <w:t>PhilGEPS</w:t>
            </w:r>
            <w:proofErr w:type="spellEnd"/>
            <w:r w:rsidRPr="007E5F8C">
              <w:rPr>
                <w:rFonts w:asciiTheme="minorHAnsi" w:hAnsiTheme="minorHAnsi" w:cs="Arial"/>
                <w:i/>
                <w:color w:val="222222"/>
              </w:rPr>
              <w:t xml:space="preserve"> Modernization</w:t>
            </w:r>
          </w:p>
        </w:tc>
        <w:tc>
          <w:tcPr>
            <w:tcW w:w="1620" w:type="dxa"/>
          </w:tcPr>
          <w:p w:rsidR="00E14299" w:rsidRPr="007E5F8C" w:rsidRDefault="009573BD"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DBM</w:t>
            </w:r>
          </w:p>
        </w:tc>
        <w:tc>
          <w:tcPr>
            <w:tcW w:w="4248" w:type="dxa"/>
          </w:tcPr>
          <w:p w:rsidR="00DA2852" w:rsidRPr="007E5F8C" w:rsidRDefault="00D219F0" w:rsidP="00DA2852">
            <w:pPr>
              <w:pStyle w:val="NormalWeb"/>
              <w:numPr>
                <w:ilvl w:val="0"/>
                <w:numId w:val="10"/>
              </w:numPr>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100% registration of national government agencies, state universities and colleges, and LGUs in </w:t>
            </w:r>
            <w:proofErr w:type="spellStart"/>
            <w:r w:rsidRPr="007E5F8C">
              <w:rPr>
                <w:rFonts w:asciiTheme="minorHAnsi" w:hAnsiTheme="minorHAnsi" w:cs="Arial"/>
                <w:color w:val="222222"/>
              </w:rPr>
              <w:t>PhilGEPS</w:t>
            </w:r>
            <w:proofErr w:type="spellEnd"/>
            <w:r w:rsidR="00DA2852" w:rsidRPr="007E5F8C">
              <w:rPr>
                <w:rFonts w:asciiTheme="minorHAnsi" w:hAnsiTheme="minorHAnsi" w:cs="Arial"/>
                <w:color w:val="222222"/>
              </w:rPr>
              <w:t xml:space="preserve"> (2014-2015)</w:t>
            </w:r>
          </w:p>
          <w:p w:rsidR="001043F2" w:rsidRPr="007E5F8C" w:rsidRDefault="00D219F0" w:rsidP="00082E87">
            <w:pPr>
              <w:pStyle w:val="NormalWeb"/>
              <w:numPr>
                <w:ilvl w:val="0"/>
                <w:numId w:val="10"/>
              </w:numPr>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Additional functionalities such as e-payment, e-bidding, and uploading of procurement plans installed in </w:t>
            </w:r>
            <w:proofErr w:type="spellStart"/>
            <w:r w:rsidRPr="007E5F8C">
              <w:rPr>
                <w:rFonts w:asciiTheme="minorHAnsi" w:hAnsiTheme="minorHAnsi" w:cs="Arial"/>
                <w:color w:val="222222"/>
              </w:rPr>
              <w:t>PhilGEPS</w:t>
            </w:r>
            <w:proofErr w:type="spellEnd"/>
            <w:r w:rsidR="00DA2852" w:rsidRPr="007E5F8C">
              <w:rPr>
                <w:rFonts w:asciiTheme="minorHAnsi" w:hAnsiTheme="minorHAnsi" w:cs="Arial"/>
                <w:color w:val="222222"/>
              </w:rPr>
              <w:t xml:space="preserve"> (2015)</w:t>
            </w:r>
          </w:p>
        </w:tc>
      </w:tr>
      <w:tr w:rsidR="00E14299" w:rsidRPr="007E5F8C" w:rsidTr="00053AF7">
        <w:tc>
          <w:tcPr>
            <w:tcW w:w="565" w:type="dxa"/>
          </w:tcPr>
          <w:p w:rsidR="00E14299"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6</w:t>
            </w:r>
          </w:p>
        </w:tc>
        <w:tc>
          <w:tcPr>
            <w:tcW w:w="3143" w:type="dxa"/>
          </w:tcPr>
          <w:p w:rsidR="00E14299" w:rsidRPr="007E5F8C" w:rsidRDefault="00E14299"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Strengthen grassroots participation in local planning and budgeting</w:t>
            </w:r>
          </w:p>
          <w:p w:rsidR="003223B9" w:rsidRPr="007E5F8C" w:rsidRDefault="003223B9" w:rsidP="00082E87">
            <w:pPr>
              <w:pStyle w:val="NormalWeb"/>
              <w:spacing w:before="0" w:beforeAutospacing="0" w:after="0" w:afterAutospacing="0"/>
              <w:rPr>
                <w:rFonts w:asciiTheme="minorHAnsi" w:hAnsiTheme="minorHAnsi" w:cs="Arial"/>
                <w:color w:val="222222"/>
              </w:rPr>
            </w:pPr>
          </w:p>
          <w:p w:rsidR="003223B9" w:rsidRPr="007E5F8C" w:rsidRDefault="003223B9" w:rsidP="00082E87">
            <w:pPr>
              <w:pStyle w:val="NormalWeb"/>
              <w:spacing w:before="0" w:beforeAutospacing="0" w:after="0" w:afterAutospacing="0"/>
              <w:rPr>
                <w:rFonts w:asciiTheme="minorHAnsi" w:hAnsiTheme="minorHAnsi" w:cs="Arial"/>
                <w:i/>
                <w:color w:val="222222"/>
              </w:rPr>
            </w:pPr>
            <w:r w:rsidRPr="007E5F8C">
              <w:rPr>
                <w:rFonts w:asciiTheme="minorHAnsi" w:hAnsiTheme="minorHAnsi" w:cs="Arial"/>
                <w:i/>
                <w:color w:val="222222"/>
              </w:rPr>
              <w:t>Program: Grassroots Participatory Budget Process</w:t>
            </w:r>
          </w:p>
          <w:p w:rsidR="003223B9" w:rsidRPr="007E5F8C" w:rsidRDefault="003223B9" w:rsidP="00082E87">
            <w:pPr>
              <w:pStyle w:val="NormalWeb"/>
              <w:spacing w:before="0" w:beforeAutospacing="0" w:after="0" w:afterAutospacing="0"/>
              <w:rPr>
                <w:rFonts w:asciiTheme="minorHAnsi" w:hAnsiTheme="minorHAnsi" w:cs="Arial"/>
                <w:color w:val="222222"/>
              </w:rPr>
            </w:pPr>
          </w:p>
        </w:tc>
        <w:tc>
          <w:tcPr>
            <w:tcW w:w="1620" w:type="dxa"/>
          </w:tcPr>
          <w:p w:rsidR="00E14299" w:rsidRPr="007E5F8C" w:rsidRDefault="009573BD"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DILG, DBM, DSWD, NAPC</w:t>
            </w:r>
          </w:p>
        </w:tc>
        <w:tc>
          <w:tcPr>
            <w:tcW w:w="4248" w:type="dxa"/>
          </w:tcPr>
          <w:p w:rsidR="00DA2852" w:rsidRPr="007E5F8C" w:rsidRDefault="00D055D5" w:rsidP="00082E87">
            <w:pPr>
              <w:pStyle w:val="NormalWeb"/>
              <w:numPr>
                <w:ilvl w:val="0"/>
                <w:numId w:val="12"/>
              </w:numPr>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90% of total LGUs </w:t>
            </w:r>
            <w:r w:rsidR="009E23D6" w:rsidRPr="007E5F8C">
              <w:rPr>
                <w:rFonts w:asciiTheme="minorHAnsi" w:hAnsiTheme="minorHAnsi" w:cs="Arial"/>
                <w:color w:val="222222"/>
              </w:rPr>
              <w:t>with identified priority poverty reduction projects</w:t>
            </w:r>
            <w:r w:rsidR="00DA2852" w:rsidRPr="007E5F8C">
              <w:rPr>
                <w:rFonts w:asciiTheme="minorHAnsi" w:hAnsiTheme="minorHAnsi" w:cs="Arial"/>
                <w:color w:val="222222"/>
              </w:rPr>
              <w:t xml:space="preserve"> (2014-2015)</w:t>
            </w:r>
          </w:p>
          <w:p w:rsidR="001043F2" w:rsidRPr="007E5F8C" w:rsidRDefault="001043F2" w:rsidP="00082E87">
            <w:pPr>
              <w:pStyle w:val="NormalWeb"/>
              <w:numPr>
                <w:ilvl w:val="0"/>
                <w:numId w:val="12"/>
              </w:numPr>
              <w:spacing w:before="0" w:beforeAutospacing="0" w:after="0" w:afterAutospacing="0"/>
              <w:rPr>
                <w:rFonts w:asciiTheme="minorHAnsi" w:hAnsiTheme="minorHAnsi" w:cs="Arial"/>
                <w:color w:val="222222"/>
              </w:rPr>
            </w:pPr>
            <w:r w:rsidRPr="007E5F8C">
              <w:rPr>
                <w:rFonts w:asciiTheme="minorHAnsi" w:hAnsiTheme="minorHAnsi" w:cs="Arial"/>
                <w:color w:val="222222"/>
              </w:rPr>
              <w:t>7</w:t>
            </w:r>
            <w:r w:rsidR="009E23D6" w:rsidRPr="007E5F8C">
              <w:rPr>
                <w:rFonts w:asciiTheme="minorHAnsi" w:hAnsiTheme="minorHAnsi" w:cs="Arial"/>
                <w:color w:val="222222"/>
              </w:rPr>
              <w:t>0% of projects completed</w:t>
            </w:r>
            <w:r w:rsidR="00DA2852" w:rsidRPr="007E5F8C">
              <w:rPr>
                <w:rFonts w:asciiTheme="minorHAnsi" w:hAnsiTheme="minorHAnsi" w:cs="Arial"/>
                <w:color w:val="222222"/>
              </w:rPr>
              <w:t xml:space="preserve"> (2015)</w:t>
            </w:r>
          </w:p>
        </w:tc>
      </w:tr>
      <w:tr w:rsidR="001043F2" w:rsidRPr="007E5F8C" w:rsidTr="0063779A">
        <w:tc>
          <w:tcPr>
            <w:tcW w:w="565" w:type="dxa"/>
          </w:tcPr>
          <w:p w:rsidR="001043F2"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7</w:t>
            </w:r>
          </w:p>
        </w:tc>
        <w:tc>
          <w:tcPr>
            <w:tcW w:w="3143" w:type="dxa"/>
          </w:tcPr>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Provide more accessible government data in a single portal and open format</w:t>
            </w:r>
          </w:p>
          <w:p w:rsidR="00C517E1" w:rsidRPr="007E5F8C" w:rsidRDefault="00C517E1" w:rsidP="00082E87">
            <w:pPr>
              <w:pStyle w:val="NormalWeb"/>
              <w:spacing w:before="0" w:beforeAutospacing="0" w:after="0" w:afterAutospacing="0"/>
              <w:rPr>
                <w:rFonts w:asciiTheme="minorHAnsi" w:hAnsiTheme="minorHAnsi" w:cs="Arial"/>
                <w:color w:val="222222"/>
              </w:rPr>
            </w:pPr>
          </w:p>
          <w:p w:rsidR="00C517E1" w:rsidRPr="007E5F8C" w:rsidRDefault="00FD5F09" w:rsidP="00082E87">
            <w:pPr>
              <w:pStyle w:val="NormalWeb"/>
              <w:spacing w:before="0" w:beforeAutospacing="0" w:after="0" w:afterAutospacing="0"/>
              <w:rPr>
                <w:rFonts w:asciiTheme="minorHAnsi" w:hAnsiTheme="minorHAnsi" w:cs="Arial"/>
                <w:i/>
                <w:color w:val="222222"/>
              </w:rPr>
            </w:pPr>
            <w:r w:rsidRPr="007E5F8C">
              <w:rPr>
                <w:rFonts w:asciiTheme="minorHAnsi" w:hAnsiTheme="minorHAnsi" w:cs="Arial"/>
                <w:i/>
                <w:color w:val="222222"/>
              </w:rPr>
              <w:t>Program: Open Data Philippines</w:t>
            </w:r>
          </w:p>
          <w:p w:rsidR="00FD5F09" w:rsidRPr="007E5F8C" w:rsidRDefault="00FD5F09" w:rsidP="00082E87">
            <w:pPr>
              <w:pStyle w:val="NormalWeb"/>
              <w:spacing w:before="0" w:beforeAutospacing="0" w:after="0" w:afterAutospacing="0"/>
              <w:rPr>
                <w:rFonts w:asciiTheme="minorHAnsi" w:hAnsiTheme="minorHAnsi" w:cs="Arial"/>
                <w:color w:val="222222"/>
              </w:rPr>
            </w:pPr>
          </w:p>
        </w:tc>
        <w:tc>
          <w:tcPr>
            <w:tcW w:w="1620" w:type="dxa"/>
          </w:tcPr>
          <w:p w:rsidR="001043F2"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PCDSPO, DBM, OPS</w:t>
            </w:r>
          </w:p>
        </w:tc>
        <w:tc>
          <w:tcPr>
            <w:tcW w:w="4248" w:type="dxa"/>
          </w:tcPr>
          <w:p w:rsidR="00DA2852" w:rsidRPr="007E5F8C" w:rsidRDefault="001043F2" w:rsidP="00DA2852">
            <w:pPr>
              <w:pStyle w:val="NormalWeb"/>
              <w:numPr>
                <w:ilvl w:val="0"/>
                <w:numId w:val="13"/>
              </w:numPr>
              <w:spacing w:before="0" w:beforeAutospacing="0" w:after="0" w:afterAutospacing="0"/>
              <w:rPr>
                <w:rFonts w:asciiTheme="minorHAnsi" w:hAnsiTheme="minorHAnsi" w:cs="Arial"/>
                <w:color w:val="222222"/>
              </w:rPr>
            </w:pPr>
            <w:r w:rsidRPr="007E5F8C">
              <w:rPr>
                <w:rFonts w:asciiTheme="minorHAnsi" w:hAnsiTheme="minorHAnsi" w:cs="Arial"/>
                <w:color w:val="222222"/>
              </w:rPr>
              <w:t>Open Data portal launched</w:t>
            </w:r>
            <w:r w:rsidR="00DA2852" w:rsidRPr="007E5F8C">
              <w:rPr>
                <w:rFonts w:asciiTheme="minorHAnsi" w:hAnsiTheme="minorHAnsi" w:cs="Arial"/>
                <w:color w:val="222222"/>
              </w:rPr>
              <w:t xml:space="preserve"> (2013)</w:t>
            </w:r>
          </w:p>
          <w:p w:rsidR="001043F2" w:rsidRPr="007E5F8C" w:rsidRDefault="001043F2" w:rsidP="00082E87">
            <w:pPr>
              <w:pStyle w:val="NormalWeb"/>
              <w:numPr>
                <w:ilvl w:val="0"/>
                <w:numId w:val="13"/>
              </w:numPr>
              <w:spacing w:before="0" w:beforeAutospacing="0" w:after="0" w:afterAutospacing="0"/>
              <w:rPr>
                <w:rFonts w:asciiTheme="minorHAnsi" w:hAnsiTheme="minorHAnsi" w:cs="Arial"/>
                <w:color w:val="222222"/>
              </w:rPr>
            </w:pPr>
            <w:r w:rsidRPr="007E5F8C">
              <w:rPr>
                <w:rFonts w:asciiTheme="minorHAnsi" w:hAnsiTheme="minorHAnsi" w:cs="Arial"/>
                <w:color w:val="222222"/>
              </w:rPr>
              <w:t>300 data sets uploaded</w:t>
            </w:r>
            <w:r w:rsidR="00DA2852" w:rsidRPr="007E5F8C">
              <w:rPr>
                <w:rFonts w:asciiTheme="minorHAnsi" w:hAnsiTheme="minorHAnsi" w:cs="Arial"/>
                <w:color w:val="222222"/>
              </w:rPr>
              <w:t xml:space="preserve"> (2014)</w:t>
            </w:r>
          </w:p>
        </w:tc>
      </w:tr>
      <w:tr w:rsidR="001043F2" w:rsidRPr="007E5F8C" w:rsidTr="00053AF7">
        <w:tc>
          <w:tcPr>
            <w:tcW w:w="565" w:type="dxa"/>
          </w:tcPr>
          <w:p w:rsidR="001043F2"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8</w:t>
            </w:r>
          </w:p>
        </w:tc>
        <w:tc>
          <w:tcPr>
            <w:tcW w:w="3143" w:type="dxa"/>
          </w:tcPr>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Initiate fiscal transparency in the extractive industry</w:t>
            </w:r>
          </w:p>
          <w:p w:rsidR="00FD5F09" w:rsidRPr="007E5F8C" w:rsidRDefault="00FD5F09" w:rsidP="00082E87">
            <w:pPr>
              <w:pStyle w:val="NormalWeb"/>
              <w:spacing w:before="0" w:beforeAutospacing="0" w:after="0" w:afterAutospacing="0"/>
              <w:rPr>
                <w:rFonts w:asciiTheme="minorHAnsi" w:hAnsiTheme="minorHAnsi" w:cs="Arial"/>
                <w:color w:val="222222"/>
              </w:rPr>
            </w:pPr>
          </w:p>
          <w:p w:rsidR="00FD5F09" w:rsidRPr="007E5F8C" w:rsidRDefault="00FD5F09" w:rsidP="00082E87">
            <w:pPr>
              <w:pStyle w:val="NormalWeb"/>
              <w:spacing w:before="0" w:beforeAutospacing="0" w:after="0" w:afterAutospacing="0"/>
              <w:rPr>
                <w:rFonts w:asciiTheme="minorHAnsi" w:hAnsiTheme="minorHAnsi" w:cs="Arial"/>
                <w:i/>
                <w:color w:val="222222"/>
              </w:rPr>
            </w:pPr>
            <w:r w:rsidRPr="007E5F8C">
              <w:rPr>
                <w:rFonts w:asciiTheme="minorHAnsi" w:hAnsiTheme="minorHAnsi" w:cs="Arial"/>
                <w:i/>
                <w:color w:val="222222"/>
              </w:rPr>
              <w:t>Program: Philippine Extractive Industries Transparency Initiative</w:t>
            </w:r>
          </w:p>
          <w:p w:rsidR="00FD5F09" w:rsidRPr="007E5F8C" w:rsidRDefault="00FD5F09"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 </w:t>
            </w:r>
          </w:p>
        </w:tc>
        <w:tc>
          <w:tcPr>
            <w:tcW w:w="1620" w:type="dxa"/>
          </w:tcPr>
          <w:p w:rsidR="001043F2"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DOF</w:t>
            </w:r>
          </w:p>
        </w:tc>
        <w:tc>
          <w:tcPr>
            <w:tcW w:w="4248" w:type="dxa"/>
          </w:tcPr>
          <w:p w:rsidR="007E3AFA" w:rsidRPr="007E5F8C" w:rsidRDefault="001043F2" w:rsidP="007E3AFA">
            <w:pPr>
              <w:pStyle w:val="NormalWeb"/>
              <w:numPr>
                <w:ilvl w:val="0"/>
                <w:numId w:val="14"/>
              </w:numPr>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Policy to institutionalize transparency </w:t>
            </w:r>
            <w:r w:rsidR="007E3AFA" w:rsidRPr="007E5F8C">
              <w:rPr>
                <w:rFonts w:asciiTheme="minorHAnsi" w:hAnsiTheme="minorHAnsi" w:cs="Arial"/>
                <w:color w:val="222222"/>
              </w:rPr>
              <w:t>i</w:t>
            </w:r>
            <w:r w:rsidRPr="007E5F8C">
              <w:rPr>
                <w:rFonts w:asciiTheme="minorHAnsi" w:hAnsiTheme="minorHAnsi" w:cs="Arial"/>
                <w:color w:val="222222"/>
              </w:rPr>
              <w:t>n the extractive industries adopted</w:t>
            </w:r>
            <w:r w:rsidR="007E3AFA" w:rsidRPr="007E5F8C">
              <w:rPr>
                <w:rFonts w:asciiTheme="minorHAnsi" w:hAnsiTheme="minorHAnsi" w:cs="Arial"/>
                <w:color w:val="222222"/>
              </w:rPr>
              <w:t xml:space="preserve"> (2014)</w:t>
            </w:r>
          </w:p>
          <w:p w:rsidR="001043F2" w:rsidRPr="007E5F8C" w:rsidRDefault="001043F2" w:rsidP="00082E87">
            <w:pPr>
              <w:pStyle w:val="NormalWeb"/>
              <w:numPr>
                <w:ilvl w:val="0"/>
                <w:numId w:val="14"/>
              </w:numPr>
              <w:spacing w:before="0" w:beforeAutospacing="0" w:after="0" w:afterAutospacing="0"/>
              <w:rPr>
                <w:rFonts w:asciiTheme="minorHAnsi" w:hAnsiTheme="minorHAnsi" w:cs="Arial"/>
                <w:color w:val="222222"/>
              </w:rPr>
            </w:pPr>
            <w:r w:rsidRPr="007E5F8C">
              <w:rPr>
                <w:rFonts w:asciiTheme="minorHAnsi" w:hAnsiTheme="minorHAnsi" w:cs="Arial"/>
                <w:color w:val="222222"/>
              </w:rPr>
              <w:t>Extractive industries transparency report published</w:t>
            </w:r>
            <w:r w:rsidR="007E3AFA" w:rsidRPr="007E5F8C">
              <w:rPr>
                <w:rFonts w:asciiTheme="minorHAnsi" w:hAnsiTheme="minorHAnsi" w:cs="Arial"/>
                <w:color w:val="222222"/>
              </w:rPr>
              <w:t xml:space="preserve"> (2015)</w:t>
            </w:r>
          </w:p>
        </w:tc>
      </w:tr>
      <w:tr w:rsidR="001043F2" w:rsidRPr="007E5F8C" w:rsidTr="00053AF7">
        <w:tc>
          <w:tcPr>
            <w:tcW w:w="565" w:type="dxa"/>
          </w:tcPr>
          <w:p w:rsidR="001043F2"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9</w:t>
            </w:r>
          </w:p>
        </w:tc>
        <w:tc>
          <w:tcPr>
            <w:tcW w:w="3143" w:type="dxa"/>
          </w:tcPr>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Improve the ease of doing business</w:t>
            </w:r>
          </w:p>
          <w:p w:rsidR="00FD5F09" w:rsidRPr="007E5F8C" w:rsidRDefault="00FD5F09" w:rsidP="00082E87">
            <w:pPr>
              <w:pStyle w:val="NormalWeb"/>
              <w:spacing w:before="0" w:beforeAutospacing="0" w:after="0" w:afterAutospacing="0"/>
              <w:rPr>
                <w:rFonts w:asciiTheme="minorHAnsi" w:hAnsiTheme="minorHAnsi" w:cs="Arial"/>
                <w:color w:val="222222"/>
              </w:rPr>
            </w:pPr>
          </w:p>
          <w:p w:rsidR="00FD5F09" w:rsidRPr="007E5F8C" w:rsidRDefault="00FD5F09" w:rsidP="00082E87">
            <w:pPr>
              <w:pStyle w:val="NormalWeb"/>
              <w:spacing w:before="0" w:beforeAutospacing="0" w:after="0" w:afterAutospacing="0"/>
              <w:rPr>
                <w:rFonts w:asciiTheme="minorHAnsi" w:hAnsiTheme="minorHAnsi" w:cs="Arial"/>
                <w:i/>
                <w:color w:val="222222"/>
              </w:rPr>
            </w:pPr>
            <w:r w:rsidRPr="007E5F8C">
              <w:rPr>
                <w:rFonts w:asciiTheme="minorHAnsi" w:hAnsiTheme="minorHAnsi" w:cs="Arial"/>
                <w:i/>
                <w:color w:val="222222"/>
              </w:rPr>
              <w:t xml:space="preserve">Program: </w:t>
            </w:r>
            <w:proofErr w:type="spellStart"/>
            <w:r w:rsidRPr="007E5F8C">
              <w:rPr>
                <w:rFonts w:asciiTheme="minorHAnsi" w:hAnsiTheme="minorHAnsi" w:cs="Arial"/>
                <w:i/>
                <w:color w:val="222222"/>
              </w:rPr>
              <w:t>Gameplan</w:t>
            </w:r>
            <w:proofErr w:type="spellEnd"/>
            <w:r w:rsidRPr="007E5F8C">
              <w:rPr>
                <w:rFonts w:asciiTheme="minorHAnsi" w:hAnsiTheme="minorHAnsi" w:cs="Arial"/>
                <w:i/>
                <w:color w:val="222222"/>
              </w:rPr>
              <w:t xml:space="preserve"> for Competitiveness</w:t>
            </w:r>
          </w:p>
        </w:tc>
        <w:tc>
          <w:tcPr>
            <w:tcW w:w="1620" w:type="dxa"/>
          </w:tcPr>
          <w:p w:rsidR="001043F2" w:rsidRPr="007E5F8C" w:rsidRDefault="001043F2" w:rsidP="00082E87">
            <w:pPr>
              <w:pStyle w:val="NormalWeb"/>
              <w:spacing w:before="0" w:beforeAutospacing="0" w:after="0" w:afterAutospacing="0"/>
              <w:jc w:val="center"/>
              <w:rPr>
                <w:rFonts w:asciiTheme="minorHAnsi" w:hAnsiTheme="minorHAnsi" w:cs="Arial"/>
                <w:color w:val="222222"/>
              </w:rPr>
            </w:pPr>
            <w:r w:rsidRPr="007E5F8C">
              <w:rPr>
                <w:rFonts w:asciiTheme="minorHAnsi" w:hAnsiTheme="minorHAnsi" w:cs="Arial"/>
                <w:color w:val="222222"/>
              </w:rPr>
              <w:t>NCC</w:t>
            </w:r>
          </w:p>
        </w:tc>
        <w:tc>
          <w:tcPr>
            <w:tcW w:w="4248" w:type="dxa"/>
          </w:tcPr>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t>Starting a business</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steps and days reduced to 10</w:t>
            </w:r>
          </w:p>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t>Dealing with construction permits</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 No. of steps reduced to 16 </w:t>
            </w:r>
          </w:p>
          <w:p w:rsidR="001043F2"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days reduced to 71</w:t>
            </w:r>
          </w:p>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lastRenderedPageBreak/>
              <w:t>Getting electricity</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steps reduced to 4</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days reduced to 36</w:t>
            </w:r>
          </w:p>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t>Registering property</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steps reduced to 6</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days reduced to 21</w:t>
            </w:r>
          </w:p>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t>Getting credit</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Depth of credit information index increased to 6</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Strength of legal rights index increased to 10</w:t>
            </w:r>
          </w:p>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t>Protecting investors</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Extent of disclosure index increased to 7</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Extent of director liability index increased to 9</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Ease of shareholder suits index increased to 10</w:t>
            </w:r>
          </w:p>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t>Paying taxes</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payments reduced to 14</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hours to prepare and file returns and pay taxes reduced to 193</w:t>
            </w:r>
          </w:p>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t>Trading across borders</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To export: </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documents reduced to 5</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days reduced to 7</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To import: </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documents reduced to 6</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days reduced to 7</w:t>
            </w:r>
          </w:p>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t>Enforcing contracts</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steps reduced to 30</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No. of days reduced to 326</w:t>
            </w:r>
          </w:p>
          <w:p w:rsidR="001043F2" w:rsidRPr="007E5F8C" w:rsidRDefault="001043F2" w:rsidP="007E3AFA">
            <w:pPr>
              <w:pStyle w:val="NormalWeb"/>
              <w:numPr>
                <w:ilvl w:val="0"/>
                <w:numId w:val="18"/>
              </w:numPr>
              <w:spacing w:before="0" w:beforeAutospacing="0" w:after="0" w:afterAutospacing="0"/>
              <w:rPr>
                <w:rFonts w:asciiTheme="minorHAnsi" w:hAnsiTheme="minorHAnsi" w:cs="Arial"/>
                <w:color w:val="222222"/>
              </w:rPr>
            </w:pPr>
            <w:r w:rsidRPr="007E5F8C">
              <w:rPr>
                <w:rFonts w:asciiTheme="minorHAnsi" w:hAnsiTheme="minorHAnsi" w:cs="Arial"/>
                <w:color w:val="222222"/>
              </w:rPr>
              <w:t>Resolving insolvency</w:t>
            </w:r>
          </w:p>
          <w:p w:rsidR="001043F2" w:rsidRPr="007E5F8C" w:rsidRDefault="001043F2" w:rsidP="00082E87">
            <w:pPr>
              <w:pStyle w:val="NormalWeb"/>
              <w:spacing w:before="0" w:beforeAutospacing="0" w:after="0" w:afterAutospacing="0"/>
              <w:rPr>
                <w:rFonts w:asciiTheme="minorHAnsi" w:hAnsiTheme="minorHAnsi" w:cs="Arial"/>
                <w:color w:val="222222"/>
              </w:rPr>
            </w:pPr>
            <w:r w:rsidRPr="007E5F8C">
              <w:rPr>
                <w:rFonts w:asciiTheme="minorHAnsi" w:hAnsiTheme="minorHAnsi" w:cs="Arial"/>
                <w:color w:val="222222"/>
              </w:rPr>
              <w:t xml:space="preserve">- Time reduced to 2.7 years  </w:t>
            </w:r>
          </w:p>
        </w:tc>
      </w:tr>
    </w:tbl>
    <w:p w:rsidR="0063443F" w:rsidRPr="007E5F8C" w:rsidRDefault="00EA5E70" w:rsidP="00082E87">
      <w:pPr>
        <w:pStyle w:val="NormalWeb"/>
        <w:shd w:val="clear" w:color="auto" w:fill="FFFFFF"/>
        <w:spacing w:before="0" w:beforeAutospacing="0" w:after="0" w:afterAutospacing="0"/>
        <w:jc w:val="both"/>
        <w:rPr>
          <w:rFonts w:asciiTheme="minorHAnsi" w:hAnsiTheme="minorHAnsi" w:cs="Arial"/>
          <w:color w:val="222222"/>
          <w:sz w:val="20"/>
          <w:szCs w:val="20"/>
        </w:rPr>
      </w:pPr>
      <w:r w:rsidRPr="007E5F8C">
        <w:rPr>
          <w:rFonts w:asciiTheme="minorHAnsi" w:hAnsiTheme="minorHAnsi" w:cs="Arial"/>
          <w:color w:val="222222"/>
          <w:sz w:val="20"/>
          <w:szCs w:val="20"/>
        </w:rPr>
        <w:lastRenderedPageBreak/>
        <w:t>*</w:t>
      </w:r>
      <w:r w:rsidR="00053AF7" w:rsidRPr="007E5F8C">
        <w:rPr>
          <w:rFonts w:asciiTheme="minorHAnsi" w:hAnsiTheme="minorHAnsi" w:cs="Arial"/>
          <w:color w:val="222222"/>
          <w:sz w:val="20"/>
          <w:szCs w:val="20"/>
        </w:rPr>
        <w:t>Acronyms</w:t>
      </w:r>
      <w:r w:rsidRPr="007E5F8C">
        <w:rPr>
          <w:rFonts w:asciiTheme="minorHAnsi" w:hAnsiTheme="minorHAnsi" w:cs="Arial"/>
          <w:color w:val="222222"/>
          <w:sz w:val="20"/>
          <w:szCs w:val="20"/>
        </w:rPr>
        <w:t>:</w:t>
      </w:r>
    </w:p>
    <w:p w:rsidR="005A236D" w:rsidRDefault="005A236D" w:rsidP="00082E87">
      <w:pPr>
        <w:pStyle w:val="NormalWeb"/>
        <w:shd w:val="clear" w:color="auto" w:fill="FFFFFF"/>
        <w:spacing w:before="0" w:beforeAutospacing="0" w:after="0" w:afterAutospacing="0"/>
        <w:jc w:val="both"/>
        <w:rPr>
          <w:rFonts w:asciiTheme="minorHAnsi" w:hAnsiTheme="minorHAnsi" w:cs="Arial"/>
          <w:color w:val="222222"/>
          <w:sz w:val="20"/>
          <w:szCs w:val="20"/>
        </w:rPr>
        <w:sectPr w:rsidR="005A236D" w:rsidSect="001E2CBC">
          <w:headerReference w:type="default" r:id="rId9"/>
          <w:footerReference w:type="default" r:id="rId10"/>
          <w:pgSz w:w="12240" w:h="15840"/>
          <w:pgMar w:top="1440" w:right="1440" w:bottom="1440" w:left="1440" w:header="720" w:footer="720" w:gutter="0"/>
          <w:cols w:space="720"/>
          <w:docGrid w:linePitch="360"/>
        </w:sectPr>
      </w:pP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lastRenderedPageBreak/>
        <w:t>COA – Commission on Audit</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DBM – Department of Budget and Management</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DILG – Department of the Interior and Local Government</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DOF – Department of Finance</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DOF – Department of Finance</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DOJ – Department of Justice</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lastRenderedPageBreak/>
        <w:t>DSWD – Department of Social Welfare and Development</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NAPC – National Anti-Poverty Commission</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NCC – National Competitiveness Council</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OPS – Office of the Presidential Spokesperson</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PCDSPO – Presidential Communications Development and Strategic Planning Office</w:t>
      </w:r>
    </w:p>
    <w:p w:rsidR="00320B8F" w:rsidRPr="007E5F8C" w:rsidRDefault="00320B8F" w:rsidP="005A236D">
      <w:pPr>
        <w:pStyle w:val="NormalWeb"/>
        <w:shd w:val="clear" w:color="auto" w:fill="FFFFFF"/>
        <w:spacing w:before="0" w:beforeAutospacing="0" w:after="0" w:afterAutospacing="0"/>
        <w:rPr>
          <w:rFonts w:asciiTheme="minorHAnsi" w:hAnsiTheme="minorHAnsi" w:cs="Arial"/>
          <w:color w:val="222222"/>
          <w:sz w:val="20"/>
          <w:szCs w:val="20"/>
        </w:rPr>
      </w:pPr>
      <w:r w:rsidRPr="007E5F8C">
        <w:rPr>
          <w:rFonts w:asciiTheme="minorHAnsi" w:hAnsiTheme="minorHAnsi" w:cs="Arial"/>
          <w:color w:val="222222"/>
          <w:sz w:val="20"/>
          <w:szCs w:val="20"/>
        </w:rPr>
        <w:t>PLLO – Presidential Legislative Liaison Office</w:t>
      </w:r>
    </w:p>
    <w:sectPr w:rsidR="00320B8F" w:rsidRPr="007E5F8C" w:rsidSect="005A236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B3" w:rsidRDefault="007C6EB3" w:rsidP="00814F27">
      <w:pPr>
        <w:spacing w:after="0" w:line="240" w:lineRule="auto"/>
      </w:pPr>
      <w:r>
        <w:separator/>
      </w:r>
    </w:p>
  </w:endnote>
  <w:endnote w:type="continuationSeparator" w:id="0">
    <w:p w:rsidR="007C6EB3" w:rsidRDefault="007C6EB3" w:rsidP="00814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0821"/>
      <w:docPartObj>
        <w:docPartGallery w:val="Page Numbers (Bottom of Page)"/>
        <w:docPartUnique/>
      </w:docPartObj>
    </w:sdtPr>
    <w:sdtContent>
      <w:p w:rsidR="0063779A" w:rsidRDefault="008374A1" w:rsidP="00F60733">
        <w:pPr>
          <w:pStyle w:val="Footer"/>
          <w:pBdr>
            <w:top w:val="single" w:sz="4" w:space="1" w:color="auto"/>
          </w:pBdr>
          <w:jc w:val="right"/>
        </w:pPr>
        <w:fldSimple w:instr=" PAGE   \* MERGEFORMAT ">
          <w:r w:rsidR="00577D24">
            <w:rPr>
              <w:noProof/>
            </w:rPr>
            <w:t>8</w:t>
          </w:r>
        </w:fldSimple>
      </w:p>
    </w:sdtContent>
  </w:sdt>
  <w:p w:rsidR="0063779A" w:rsidRDefault="006377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B3" w:rsidRDefault="007C6EB3" w:rsidP="00814F27">
      <w:pPr>
        <w:spacing w:after="0" w:line="240" w:lineRule="auto"/>
      </w:pPr>
      <w:r>
        <w:separator/>
      </w:r>
    </w:p>
  </w:footnote>
  <w:footnote w:type="continuationSeparator" w:id="0">
    <w:p w:rsidR="007C6EB3" w:rsidRDefault="007C6EB3" w:rsidP="00814F27">
      <w:pPr>
        <w:spacing w:after="0" w:line="240" w:lineRule="auto"/>
      </w:pPr>
      <w:r>
        <w:continuationSeparator/>
      </w:r>
    </w:p>
  </w:footnote>
  <w:footnote w:id="1">
    <w:p w:rsidR="0063779A" w:rsidRDefault="0063779A">
      <w:pPr>
        <w:pStyle w:val="FootnoteText"/>
      </w:pPr>
      <w:r>
        <w:rPr>
          <w:rStyle w:val="FootnoteReference"/>
        </w:rPr>
        <w:footnoteRef/>
      </w:r>
      <w:r>
        <w:t xml:space="preserve"> Based on the 2</w:t>
      </w:r>
      <w:r w:rsidRPr="00C375E1">
        <w:rPr>
          <w:vertAlign w:val="superscript"/>
        </w:rPr>
        <w:t>nd</w:t>
      </w:r>
      <w:r>
        <w:t xml:space="preserve"> Quarter 2013 Social Weather Survey results conducted by the Social Weather Station, an independent social research institution in the Philippines  </w:t>
      </w:r>
    </w:p>
  </w:footnote>
  <w:footnote w:id="2">
    <w:p w:rsidR="0063779A" w:rsidRDefault="0063779A">
      <w:pPr>
        <w:pStyle w:val="FootnoteText"/>
      </w:pPr>
      <w:r>
        <w:rPr>
          <w:rStyle w:val="FootnoteReference"/>
        </w:rPr>
        <w:footnoteRef/>
      </w:r>
      <w:r>
        <w:t xml:space="preserve"> Investment grade rating from the three biggest credit rating agencies—</w:t>
      </w:r>
      <w:r w:rsidRPr="00C53B1A">
        <w:t>Fitch</w:t>
      </w:r>
      <w:r>
        <w:t xml:space="preserve"> </w:t>
      </w:r>
      <w:r w:rsidRPr="00C53B1A">
        <w:t>Ratings</w:t>
      </w:r>
      <w:r>
        <w:t xml:space="preserve">, </w:t>
      </w:r>
      <w:r w:rsidRPr="00C53B1A">
        <w:t>Standard &amp; Poor’s</w:t>
      </w:r>
      <w:r>
        <w:t>, and Moody’s</w:t>
      </w:r>
    </w:p>
  </w:footnote>
  <w:footnote w:id="3">
    <w:p w:rsidR="0063779A" w:rsidRDefault="0063779A">
      <w:pPr>
        <w:pStyle w:val="FootnoteText"/>
      </w:pPr>
      <w:r>
        <w:rPr>
          <w:rStyle w:val="FootnoteReference"/>
        </w:rPr>
        <w:footnoteRef/>
      </w:r>
      <w:r>
        <w:t xml:space="preserve"> Members of the Steering Committee are: </w:t>
      </w:r>
    </w:p>
    <w:p w:rsidR="0063779A" w:rsidRDefault="0063779A">
      <w:pPr>
        <w:pStyle w:val="FootnoteText"/>
      </w:pPr>
      <w:r>
        <w:t xml:space="preserve">National government-Department of Budget and Management, Department of Social Welfare and Development, and Department of the Interior and Local Government. </w:t>
      </w:r>
    </w:p>
    <w:p w:rsidR="0063779A" w:rsidRDefault="0063779A">
      <w:pPr>
        <w:pStyle w:val="FootnoteText"/>
      </w:pPr>
      <w:r>
        <w:t xml:space="preserve">Local government-Union of Local Authorities in the Philippines. </w:t>
      </w:r>
    </w:p>
    <w:p w:rsidR="0063779A" w:rsidRDefault="0063779A">
      <w:pPr>
        <w:pStyle w:val="FootnoteText"/>
      </w:pPr>
      <w:r>
        <w:t>Civil society organizations-Budget Advocacy Group, Task Force Participatory Local Governance, Right to Know-Right Now Coalition</w:t>
      </w:r>
    </w:p>
    <w:p w:rsidR="0063779A" w:rsidRDefault="0063779A">
      <w:pPr>
        <w:pStyle w:val="FootnoteText"/>
      </w:pPr>
      <w:r>
        <w:t xml:space="preserve">Business groups-National Competitiveness Council, Integrity Initiative </w:t>
      </w:r>
    </w:p>
  </w:footnote>
  <w:footnote w:id="4">
    <w:p w:rsidR="0063779A" w:rsidRDefault="0063779A">
      <w:pPr>
        <w:pStyle w:val="FootnoteText"/>
      </w:pPr>
      <w:r>
        <w:rPr>
          <w:rStyle w:val="FootnoteReference"/>
        </w:rPr>
        <w:footnoteRef/>
      </w:r>
      <w:r>
        <w:t xml:space="preserve"> Translated as people’s budget</w:t>
      </w:r>
    </w:p>
  </w:footnote>
  <w:footnote w:id="5">
    <w:p w:rsidR="0063779A" w:rsidRDefault="0063779A">
      <w:pPr>
        <w:pStyle w:val="FootnoteText"/>
      </w:pPr>
      <w:r>
        <w:rPr>
          <w:rStyle w:val="FootnoteReference"/>
        </w:rPr>
        <w:footnoteRef/>
      </w:r>
      <w:r>
        <w:t xml:space="preserve"> Continuing commitments refer to commitments that are included in the 2012 Country Action Plan. </w:t>
      </w:r>
      <w:r>
        <w:rPr>
          <w:rFonts w:cs="Arial"/>
          <w:color w:val="222222"/>
        </w:rPr>
        <w:t>New commitments may refer to new initiatives implemented by government in 2013 or already existing initiatives of government that were not included in the 2012 Country Action Plan</w:t>
      </w:r>
    </w:p>
  </w:footnote>
  <w:footnote w:id="6">
    <w:p w:rsidR="0063779A" w:rsidRDefault="0063779A">
      <w:pPr>
        <w:pStyle w:val="FootnoteText"/>
      </w:pPr>
      <w:r>
        <w:rPr>
          <w:rStyle w:val="FootnoteReference"/>
        </w:rPr>
        <w:footnoteRef/>
      </w:r>
      <w:r>
        <w:t xml:space="preserve"> By virtue of Executive Order No. 43, the Cabinet is divided into five clusters that correspond to the five Key Result Areas (KRAs) identified in President Aquino’s Social Contract.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9A" w:rsidRPr="00F60733" w:rsidRDefault="0063779A" w:rsidP="00F60733">
    <w:pPr>
      <w:pStyle w:val="Header"/>
      <w:rPr>
        <w:b/>
        <w:i/>
      </w:rPr>
    </w:pPr>
    <w:r w:rsidRPr="00F60733">
      <w:rPr>
        <w:b/>
        <w:i/>
      </w:rPr>
      <w:t>Draft, not for quotation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E82"/>
    <w:multiLevelType w:val="hybridMultilevel"/>
    <w:tmpl w:val="1BF021B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nsid w:val="04E04329"/>
    <w:multiLevelType w:val="hybridMultilevel"/>
    <w:tmpl w:val="834C6B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nsid w:val="07F60D14"/>
    <w:multiLevelType w:val="hybridMultilevel"/>
    <w:tmpl w:val="534E5C00"/>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
    <w:nsid w:val="1E0C5C2A"/>
    <w:multiLevelType w:val="hybridMultilevel"/>
    <w:tmpl w:val="0BE6EA7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2C5862C1"/>
    <w:multiLevelType w:val="hybridMultilevel"/>
    <w:tmpl w:val="5BA088B4"/>
    <w:lvl w:ilvl="0" w:tplc="34090011">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nsid w:val="3B82229C"/>
    <w:multiLevelType w:val="hybridMultilevel"/>
    <w:tmpl w:val="610C8C4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nsid w:val="41CA2EA8"/>
    <w:multiLevelType w:val="hybridMultilevel"/>
    <w:tmpl w:val="0C625A0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nsid w:val="48DE328D"/>
    <w:multiLevelType w:val="hybridMultilevel"/>
    <w:tmpl w:val="2EFE1794"/>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nsid w:val="4A5D0575"/>
    <w:multiLevelType w:val="hybridMultilevel"/>
    <w:tmpl w:val="F9A60526"/>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nsid w:val="50FE63AB"/>
    <w:multiLevelType w:val="hybridMultilevel"/>
    <w:tmpl w:val="AEA0BF5C"/>
    <w:lvl w:ilvl="0" w:tplc="E49A821A">
      <w:start w:val="2"/>
      <w:numFmt w:val="bullet"/>
      <w:lvlText w:val=""/>
      <w:lvlJc w:val="left"/>
      <w:pPr>
        <w:ind w:left="360" w:hanging="360"/>
      </w:pPr>
      <w:rPr>
        <w:rFonts w:ascii="Symbol" w:eastAsia="Times New Roman" w:hAnsi="Symbol" w:cs="Aria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0">
    <w:nsid w:val="51E212B9"/>
    <w:multiLevelType w:val="hybridMultilevel"/>
    <w:tmpl w:val="F1168114"/>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nsid w:val="5F5F0085"/>
    <w:multiLevelType w:val="hybridMultilevel"/>
    <w:tmpl w:val="57F270A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nsid w:val="62CC7F57"/>
    <w:multiLevelType w:val="hybridMultilevel"/>
    <w:tmpl w:val="27BCB728"/>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6379714F"/>
    <w:multiLevelType w:val="hybridMultilevel"/>
    <w:tmpl w:val="569276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643175D0"/>
    <w:multiLevelType w:val="hybridMultilevel"/>
    <w:tmpl w:val="FEE43E1E"/>
    <w:lvl w:ilvl="0" w:tplc="34090011">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nsid w:val="71C73211"/>
    <w:multiLevelType w:val="hybridMultilevel"/>
    <w:tmpl w:val="C162604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75174054"/>
    <w:multiLevelType w:val="hybridMultilevel"/>
    <w:tmpl w:val="4D6A561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nsid w:val="7B7A436B"/>
    <w:multiLevelType w:val="hybridMultilevel"/>
    <w:tmpl w:val="5238A2C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9"/>
  </w:num>
  <w:num w:numId="2">
    <w:abstractNumId w:val="13"/>
  </w:num>
  <w:num w:numId="3">
    <w:abstractNumId w:val="8"/>
  </w:num>
  <w:num w:numId="4">
    <w:abstractNumId w:val="14"/>
  </w:num>
  <w:num w:numId="5">
    <w:abstractNumId w:val="3"/>
  </w:num>
  <w:num w:numId="6">
    <w:abstractNumId w:val="0"/>
  </w:num>
  <w:num w:numId="7">
    <w:abstractNumId w:val="11"/>
  </w:num>
  <w:num w:numId="8">
    <w:abstractNumId w:val="6"/>
  </w:num>
  <w:num w:numId="9">
    <w:abstractNumId w:val="10"/>
  </w:num>
  <w:num w:numId="10">
    <w:abstractNumId w:val="5"/>
  </w:num>
  <w:num w:numId="11">
    <w:abstractNumId w:val="15"/>
  </w:num>
  <w:num w:numId="12">
    <w:abstractNumId w:val="16"/>
  </w:num>
  <w:num w:numId="13">
    <w:abstractNumId w:val="1"/>
  </w:num>
  <w:num w:numId="14">
    <w:abstractNumId w:val="7"/>
  </w:num>
  <w:num w:numId="15">
    <w:abstractNumId w:val="17"/>
  </w:num>
  <w:num w:numId="16">
    <w:abstractNumId w:val="4"/>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22862"/>
    <w:rsid w:val="00001BDA"/>
    <w:rsid w:val="00026736"/>
    <w:rsid w:val="00034702"/>
    <w:rsid w:val="00053AF7"/>
    <w:rsid w:val="00057A4D"/>
    <w:rsid w:val="00057DC8"/>
    <w:rsid w:val="00072AB6"/>
    <w:rsid w:val="00073FB2"/>
    <w:rsid w:val="00082E87"/>
    <w:rsid w:val="000932A4"/>
    <w:rsid w:val="00095B0F"/>
    <w:rsid w:val="000B6A45"/>
    <w:rsid w:val="000C068E"/>
    <w:rsid w:val="000C2841"/>
    <w:rsid w:val="000C61E2"/>
    <w:rsid w:val="000E0975"/>
    <w:rsid w:val="000E765F"/>
    <w:rsid w:val="001019FF"/>
    <w:rsid w:val="001043F2"/>
    <w:rsid w:val="0012190E"/>
    <w:rsid w:val="001764D0"/>
    <w:rsid w:val="00193A68"/>
    <w:rsid w:val="001A18FC"/>
    <w:rsid w:val="001B32B1"/>
    <w:rsid w:val="001B731C"/>
    <w:rsid w:val="001B7417"/>
    <w:rsid w:val="001D1FC3"/>
    <w:rsid w:val="001E2CBC"/>
    <w:rsid w:val="001E35DC"/>
    <w:rsid w:val="001F0A9F"/>
    <w:rsid w:val="001F45F4"/>
    <w:rsid w:val="00231138"/>
    <w:rsid w:val="00232460"/>
    <w:rsid w:val="00232ED9"/>
    <w:rsid w:val="0026015C"/>
    <w:rsid w:val="002634F9"/>
    <w:rsid w:val="0027208D"/>
    <w:rsid w:val="00272142"/>
    <w:rsid w:val="00290AB1"/>
    <w:rsid w:val="00297724"/>
    <w:rsid w:val="002B0503"/>
    <w:rsid w:val="002D3D65"/>
    <w:rsid w:val="002E5C0C"/>
    <w:rsid w:val="0030255A"/>
    <w:rsid w:val="00304728"/>
    <w:rsid w:val="003068EA"/>
    <w:rsid w:val="00313615"/>
    <w:rsid w:val="00320B8F"/>
    <w:rsid w:val="003223B9"/>
    <w:rsid w:val="00335BF9"/>
    <w:rsid w:val="003562ED"/>
    <w:rsid w:val="00357727"/>
    <w:rsid w:val="003650F7"/>
    <w:rsid w:val="00366319"/>
    <w:rsid w:val="003757AF"/>
    <w:rsid w:val="00377A39"/>
    <w:rsid w:val="00381DE5"/>
    <w:rsid w:val="00396023"/>
    <w:rsid w:val="003A3EE2"/>
    <w:rsid w:val="003A6E04"/>
    <w:rsid w:val="003C0964"/>
    <w:rsid w:val="003C26B7"/>
    <w:rsid w:val="003C6D26"/>
    <w:rsid w:val="003D29D9"/>
    <w:rsid w:val="003E3ABC"/>
    <w:rsid w:val="003E557F"/>
    <w:rsid w:val="004266C1"/>
    <w:rsid w:val="00427BB2"/>
    <w:rsid w:val="00437096"/>
    <w:rsid w:val="00447A3B"/>
    <w:rsid w:val="00463755"/>
    <w:rsid w:val="004C75A2"/>
    <w:rsid w:val="004D0547"/>
    <w:rsid w:val="00502B4D"/>
    <w:rsid w:val="00505E76"/>
    <w:rsid w:val="0050735D"/>
    <w:rsid w:val="00520CEF"/>
    <w:rsid w:val="005254F7"/>
    <w:rsid w:val="00530505"/>
    <w:rsid w:val="00534D66"/>
    <w:rsid w:val="00540D38"/>
    <w:rsid w:val="00577D24"/>
    <w:rsid w:val="005A236D"/>
    <w:rsid w:val="005B384F"/>
    <w:rsid w:val="00600A83"/>
    <w:rsid w:val="006011A5"/>
    <w:rsid w:val="00603CE7"/>
    <w:rsid w:val="00605060"/>
    <w:rsid w:val="00627BF2"/>
    <w:rsid w:val="00630D30"/>
    <w:rsid w:val="0063443F"/>
    <w:rsid w:val="0063779A"/>
    <w:rsid w:val="00643E1A"/>
    <w:rsid w:val="00671A13"/>
    <w:rsid w:val="00684B86"/>
    <w:rsid w:val="006A4076"/>
    <w:rsid w:val="006E353A"/>
    <w:rsid w:val="00722862"/>
    <w:rsid w:val="007440F0"/>
    <w:rsid w:val="00765C01"/>
    <w:rsid w:val="0078160F"/>
    <w:rsid w:val="007A07DB"/>
    <w:rsid w:val="007C6EB3"/>
    <w:rsid w:val="007E3AFA"/>
    <w:rsid w:val="007E5F8C"/>
    <w:rsid w:val="008148F9"/>
    <w:rsid w:val="00814F27"/>
    <w:rsid w:val="008374A1"/>
    <w:rsid w:val="00854E2B"/>
    <w:rsid w:val="00860F05"/>
    <w:rsid w:val="00881FA7"/>
    <w:rsid w:val="008F6C31"/>
    <w:rsid w:val="0091039D"/>
    <w:rsid w:val="0091743B"/>
    <w:rsid w:val="0094330E"/>
    <w:rsid w:val="009514B5"/>
    <w:rsid w:val="009573BD"/>
    <w:rsid w:val="00977B49"/>
    <w:rsid w:val="00991F9A"/>
    <w:rsid w:val="00996FE9"/>
    <w:rsid w:val="009B1F2C"/>
    <w:rsid w:val="009B5D8A"/>
    <w:rsid w:val="009B6CB0"/>
    <w:rsid w:val="009B77A2"/>
    <w:rsid w:val="009C19CC"/>
    <w:rsid w:val="009D4453"/>
    <w:rsid w:val="009D4B4D"/>
    <w:rsid w:val="009E23D6"/>
    <w:rsid w:val="009E6DB2"/>
    <w:rsid w:val="00A133CA"/>
    <w:rsid w:val="00A20C85"/>
    <w:rsid w:val="00A24832"/>
    <w:rsid w:val="00A50BBA"/>
    <w:rsid w:val="00A66E74"/>
    <w:rsid w:val="00A8325C"/>
    <w:rsid w:val="00AB27B3"/>
    <w:rsid w:val="00AC30E2"/>
    <w:rsid w:val="00AD2864"/>
    <w:rsid w:val="00AF6541"/>
    <w:rsid w:val="00B018FE"/>
    <w:rsid w:val="00B10118"/>
    <w:rsid w:val="00B11548"/>
    <w:rsid w:val="00B2053B"/>
    <w:rsid w:val="00B33545"/>
    <w:rsid w:val="00B92CFF"/>
    <w:rsid w:val="00BB6188"/>
    <w:rsid w:val="00BE5A21"/>
    <w:rsid w:val="00C375E1"/>
    <w:rsid w:val="00C410B5"/>
    <w:rsid w:val="00C501A3"/>
    <w:rsid w:val="00C517E1"/>
    <w:rsid w:val="00C60309"/>
    <w:rsid w:val="00C65A11"/>
    <w:rsid w:val="00C86FC2"/>
    <w:rsid w:val="00C96A44"/>
    <w:rsid w:val="00CA06DD"/>
    <w:rsid w:val="00CC383B"/>
    <w:rsid w:val="00CC4BB3"/>
    <w:rsid w:val="00CE70B1"/>
    <w:rsid w:val="00CF6D20"/>
    <w:rsid w:val="00D03198"/>
    <w:rsid w:val="00D055D5"/>
    <w:rsid w:val="00D119E9"/>
    <w:rsid w:val="00D219F0"/>
    <w:rsid w:val="00DA2852"/>
    <w:rsid w:val="00DA3719"/>
    <w:rsid w:val="00DD025D"/>
    <w:rsid w:val="00DD0C2C"/>
    <w:rsid w:val="00DE031A"/>
    <w:rsid w:val="00DE1830"/>
    <w:rsid w:val="00DE3BFD"/>
    <w:rsid w:val="00DE7ACA"/>
    <w:rsid w:val="00DF1F8E"/>
    <w:rsid w:val="00DF5028"/>
    <w:rsid w:val="00DF7033"/>
    <w:rsid w:val="00E14299"/>
    <w:rsid w:val="00EA3FDB"/>
    <w:rsid w:val="00EA5E70"/>
    <w:rsid w:val="00ED1846"/>
    <w:rsid w:val="00ED2B65"/>
    <w:rsid w:val="00F149D9"/>
    <w:rsid w:val="00F33FDE"/>
    <w:rsid w:val="00F60733"/>
    <w:rsid w:val="00F663A6"/>
    <w:rsid w:val="00F778C9"/>
    <w:rsid w:val="00FD5F09"/>
    <w:rsid w:val="00FE3D19"/>
    <w:rsid w:val="00FE450D"/>
    <w:rsid w:val="00FE70C6"/>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862"/>
    <w:rPr>
      <w:b/>
      <w:bCs/>
    </w:rPr>
  </w:style>
  <w:style w:type="character" w:customStyle="1" w:styleId="apple-converted-space">
    <w:name w:val="apple-converted-space"/>
    <w:basedOn w:val="DefaultParagraphFont"/>
    <w:rsid w:val="00722862"/>
  </w:style>
  <w:style w:type="paragraph" w:styleId="NormalWeb">
    <w:name w:val="Normal (Web)"/>
    <w:basedOn w:val="Normal"/>
    <w:uiPriority w:val="99"/>
    <w:unhideWhenUsed/>
    <w:rsid w:val="00BE5A21"/>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Header">
    <w:name w:val="header"/>
    <w:basedOn w:val="Normal"/>
    <w:link w:val="HeaderChar"/>
    <w:uiPriority w:val="99"/>
    <w:semiHidden/>
    <w:unhideWhenUsed/>
    <w:rsid w:val="00814F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4F27"/>
  </w:style>
  <w:style w:type="paragraph" w:styleId="Footer">
    <w:name w:val="footer"/>
    <w:basedOn w:val="Normal"/>
    <w:link w:val="FooterChar"/>
    <w:uiPriority w:val="99"/>
    <w:unhideWhenUsed/>
    <w:rsid w:val="00814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F27"/>
  </w:style>
  <w:style w:type="paragraph" w:styleId="EndnoteText">
    <w:name w:val="endnote text"/>
    <w:basedOn w:val="Normal"/>
    <w:link w:val="EndnoteTextChar"/>
    <w:uiPriority w:val="99"/>
    <w:semiHidden/>
    <w:unhideWhenUsed/>
    <w:rsid w:val="001764D0"/>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1764D0"/>
    <w:rPr>
      <w:rFonts w:ascii="Calibri" w:eastAsia="Calibri" w:hAnsi="Calibri" w:cs="Times New Roman"/>
      <w:sz w:val="20"/>
      <w:szCs w:val="20"/>
      <w:lang w:val="en-US"/>
    </w:rPr>
  </w:style>
  <w:style w:type="character" w:styleId="EndnoteReference">
    <w:name w:val="endnote reference"/>
    <w:uiPriority w:val="99"/>
    <w:semiHidden/>
    <w:unhideWhenUsed/>
    <w:rsid w:val="001764D0"/>
    <w:rPr>
      <w:vertAlign w:val="superscript"/>
    </w:rPr>
  </w:style>
  <w:style w:type="paragraph" w:styleId="FootnoteText">
    <w:name w:val="footnote text"/>
    <w:aliases w:val="Footnote Text Char Char Char Char Char Char,Char3,Char,Footnote Text Char Char3 Char,Footnote Text Char2 Char1 Char Char,Footnote Text Char Char Char1 Char Char,Footnote Text Char1 Char1 Char Char Char,Footnote Text Char1 Char1, Char3"/>
    <w:basedOn w:val="Normal"/>
    <w:link w:val="FootnoteTextChar"/>
    <w:uiPriority w:val="99"/>
    <w:unhideWhenUsed/>
    <w:qFormat/>
    <w:rsid w:val="00231138"/>
    <w:pPr>
      <w:spacing w:after="0" w:line="240" w:lineRule="auto"/>
    </w:pPr>
    <w:rPr>
      <w:sz w:val="20"/>
      <w:szCs w:val="20"/>
    </w:rPr>
  </w:style>
  <w:style w:type="character" w:customStyle="1" w:styleId="FootnoteTextChar">
    <w:name w:val="Footnote Text Char"/>
    <w:aliases w:val="Footnote Text Char Char Char Char Char Char Char,Char3 Char,Char Char,Footnote Text Char Char3 Char Char,Footnote Text Char2 Char1 Char Char Char,Footnote Text Char Char Char1 Char Char Char,Footnote Text Char1 Char1 Char, Char3 Char"/>
    <w:basedOn w:val="DefaultParagraphFont"/>
    <w:link w:val="FootnoteText"/>
    <w:uiPriority w:val="99"/>
    <w:rsid w:val="00231138"/>
    <w:rPr>
      <w:sz w:val="20"/>
      <w:szCs w:val="20"/>
    </w:rPr>
  </w:style>
  <w:style w:type="character" w:styleId="FootnoteReference">
    <w:name w:val="footnote reference"/>
    <w:aliases w:val="ftref,footnote ref,Footnotes refss,16 Point,Superscript 6 Point,Footnote Reference1,Footnote Reference11,footnote reference"/>
    <w:basedOn w:val="DefaultParagraphFont"/>
    <w:uiPriority w:val="99"/>
    <w:unhideWhenUsed/>
    <w:rsid w:val="00231138"/>
    <w:rPr>
      <w:vertAlign w:val="superscript"/>
    </w:rPr>
  </w:style>
  <w:style w:type="table" w:styleId="TableGrid">
    <w:name w:val="Table Grid"/>
    <w:basedOn w:val="TableNormal"/>
    <w:uiPriority w:val="59"/>
    <w:rsid w:val="00634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62ED"/>
    <w:pPr>
      <w:ind w:left="720"/>
      <w:contextualSpacing/>
    </w:pPr>
  </w:style>
  <w:style w:type="paragraph" w:styleId="BalloonText">
    <w:name w:val="Balloon Text"/>
    <w:basedOn w:val="Normal"/>
    <w:link w:val="BalloonTextChar"/>
    <w:uiPriority w:val="99"/>
    <w:semiHidden/>
    <w:unhideWhenUsed/>
    <w:rsid w:val="00053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AF7"/>
    <w:rPr>
      <w:rFonts w:ascii="Tahoma" w:hAnsi="Tahoma" w:cs="Tahoma"/>
      <w:sz w:val="16"/>
      <w:szCs w:val="16"/>
    </w:rPr>
  </w:style>
  <w:style w:type="character" w:styleId="CommentReference">
    <w:name w:val="annotation reference"/>
    <w:basedOn w:val="DefaultParagraphFont"/>
    <w:uiPriority w:val="99"/>
    <w:semiHidden/>
    <w:unhideWhenUsed/>
    <w:rsid w:val="000932A4"/>
    <w:rPr>
      <w:sz w:val="16"/>
      <w:szCs w:val="16"/>
    </w:rPr>
  </w:style>
  <w:style w:type="paragraph" w:styleId="CommentText">
    <w:name w:val="annotation text"/>
    <w:basedOn w:val="Normal"/>
    <w:link w:val="CommentTextChar"/>
    <w:uiPriority w:val="99"/>
    <w:semiHidden/>
    <w:unhideWhenUsed/>
    <w:rsid w:val="000932A4"/>
    <w:pPr>
      <w:spacing w:line="240" w:lineRule="auto"/>
    </w:pPr>
    <w:rPr>
      <w:sz w:val="20"/>
      <w:szCs w:val="20"/>
    </w:rPr>
  </w:style>
  <w:style w:type="character" w:customStyle="1" w:styleId="CommentTextChar">
    <w:name w:val="Comment Text Char"/>
    <w:basedOn w:val="DefaultParagraphFont"/>
    <w:link w:val="CommentText"/>
    <w:uiPriority w:val="99"/>
    <w:semiHidden/>
    <w:rsid w:val="000932A4"/>
    <w:rPr>
      <w:sz w:val="20"/>
      <w:szCs w:val="20"/>
    </w:rPr>
  </w:style>
  <w:style w:type="paragraph" w:styleId="CommentSubject">
    <w:name w:val="annotation subject"/>
    <w:basedOn w:val="CommentText"/>
    <w:next w:val="CommentText"/>
    <w:link w:val="CommentSubjectChar"/>
    <w:uiPriority w:val="99"/>
    <w:semiHidden/>
    <w:unhideWhenUsed/>
    <w:rsid w:val="000932A4"/>
    <w:rPr>
      <w:b/>
      <w:bCs/>
    </w:rPr>
  </w:style>
  <w:style w:type="character" w:customStyle="1" w:styleId="CommentSubjectChar">
    <w:name w:val="Comment Subject Char"/>
    <w:basedOn w:val="CommentTextChar"/>
    <w:link w:val="CommentSubject"/>
    <w:uiPriority w:val="99"/>
    <w:semiHidden/>
    <w:rsid w:val="000932A4"/>
    <w:rPr>
      <w:b/>
      <w:bCs/>
    </w:rPr>
  </w:style>
  <w:style w:type="paragraph" w:styleId="Revision">
    <w:name w:val="Revision"/>
    <w:hidden/>
    <w:uiPriority w:val="99"/>
    <w:semiHidden/>
    <w:rsid w:val="00BB6188"/>
    <w:pPr>
      <w:spacing w:after="0" w:line="240" w:lineRule="auto"/>
    </w:pPr>
  </w:style>
</w:styles>
</file>

<file path=word/webSettings.xml><?xml version="1.0" encoding="utf-8"?>
<w:webSettings xmlns:r="http://schemas.openxmlformats.org/officeDocument/2006/relationships" xmlns:w="http://schemas.openxmlformats.org/wordprocessingml/2006/main">
  <w:divs>
    <w:div w:id="259027797">
      <w:bodyDiv w:val="1"/>
      <w:marLeft w:val="0"/>
      <w:marRight w:val="0"/>
      <w:marTop w:val="0"/>
      <w:marBottom w:val="0"/>
      <w:divBdr>
        <w:top w:val="none" w:sz="0" w:space="0" w:color="auto"/>
        <w:left w:val="none" w:sz="0" w:space="0" w:color="auto"/>
        <w:bottom w:val="none" w:sz="0" w:space="0" w:color="auto"/>
        <w:right w:val="none" w:sz="0" w:space="0" w:color="auto"/>
      </w:divBdr>
      <w:divsChild>
        <w:div w:id="409616200">
          <w:marLeft w:val="0"/>
          <w:marRight w:val="0"/>
          <w:marTop w:val="0"/>
          <w:marBottom w:val="0"/>
          <w:divBdr>
            <w:top w:val="none" w:sz="0" w:space="0" w:color="auto"/>
            <w:left w:val="none" w:sz="0" w:space="0" w:color="auto"/>
            <w:bottom w:val="none" w:sz="0" w:space="0" w:color="auto"/>
            <w:right w:val="none" w:sz="0" w:space="0" w:color="auto"/>
          </w:divBdr>
        </w:div>
        <w:div w:id="417292676">
          <w:marLeft w:val="0"/>
          <w:marRight w:val="0"/>
          <w:marTop w:val="0"/>
          <w:marBottom w:val="0"/>
          <w:divBdr>
            <w:top w:val="none" w:sz="0" w:space="0" w:color="auto"/>
            <w:left w:val="none" w:sz="0" w:space="0" w:color="auto"/>
            <w:bottom w:val="none" w:sz="0" w:space="0" w:color="auto"/>
            <w:right w:val="none" w:sz="0" w:space="0" w:color="auto"/>
          </w:divBdr>
        </w:div>
        <w:div w:id="499200006">
          <w:marLeft w:val="0"/>
          <w:marRight w:val="0"/>
          <w:marTop w:val="0"/>
          <w:marBottom w:val="0"/>
          <w:divBdr>
            <w:top w:val="none" w:sz="0" w:space="0" w:color="auto"/>
            <w:left w:val="none" w:sz="0" w:space="0" w:color="auto"/>
            <w:bottom w:val="none" w:sz="0" w:space="0" w:color="auto"/>
            <w:right w:val="none" w:sz="0" w:space="0" w:color="auto"/>
          </w:divBdr>
        </w:div>
        <w:div w:id="1090348043">
          <w:marLeft w:val="0"/>
          <w:marRight w:val="0"/>
          <w:marTop w:val="0"/>
          <w:marBottom w:val="0"/>
          <w:divBdr>
            <w:top w:val="none" w:sz="0" w:space="0" w:color="auto"/>
            <w:left w:val="none" w:sz="0" w:space="0" w:color="auto"/>
            <w:bottom w:val="none" w:sz="0" w:space="0" w:color="auto"/>
            <w:right w:val="none" w:sz="0" w:space="0" w:color="auto"/>
          </w:divBdr>
        </w:div>
        <w:div w:id="2046245432">
          <w:marLeft w:val="0"/>
          <w:marRight w:val="0"/>
          <w:marTop w:val="0"/>
          <w:marBottom w:val="0"/>
          <w:divBdr>
            <w:top w:val="none" w:sz="0" w:space="0" w:color="auto"/>
            <w:left w:val="none" w:sz="0" w:space="0" w:color="auto"/>
            <w:bottom w:val="none" w:sz="0" w:space="0" w:color="auto"/>
            <w:right w:val="none" w:sz="0" w:space="0" w:color="auto"/>
          </w:divBdr>
        </w:div>
      </w:divsChild>
    </w:div>
    <w:div w:id="1248003304">
      <w:bodyDiv w:val="1"/>
      <w:marLeft w:val="0"/>
      <w:marRight w:val="0"/>
      <w:marTop w:val="0"/>
      <w:marBottom w:val="0"/>
      <w:divBdr>
        <w:top w:val="none" w:sz="0" w:space="0" w:color="auto"/>
        <w:left w:val="none" w:sz="0" w:space="0" w:color="auto"/>
        <w:bottom w:val="none" w:sz="0" w:space="0" w:color="auto"/>
        <w:right w:val="none" w:sz="0" w:space="0" w:color="auto"/>
      </w:divBdr>
      <w:divsChild>
        <w:div w:id="87773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5997">
              <w:marLeft w:val="0"/>
              <w:marRight w:val="0"/>
              <w:marTop w:val="0"/>
              <w:marBottom w:val="0"/>
              <w:divBdr>
                <w:top w:val="none" w:sz="0" w:space="0" w:color="auto"/>
                <w:left w:val="none" w:sz="0" w:space="0" w:color="auto"/>
                <w:bottom w:val="none" w:sz="0" w:space="0" w:color="auto"/>
                <w:right w:val="none" w:sz="0" w:space="0" w:color="auto"/>
              </w:divBdr>
              <w:divsChild>
                <w:div w:id="910387050">
                  <w:marLeft w:val="0"/>
                  <w:marRight w:val="0"/>
                  <w:marTop w:val="0"/>
                  <w:marBottom w:val="0"/>
                  <w:divBdr>
                    <w:top w:val="none" w:sz="0" w:space="0" w:color="auto"/>
                    <w:left w:val="none" w:sz="0" w:space="0" w:color="auto"/>
                    <w:bottom w:val="none" w:sz="0" w:space="0" w:color="auto"/>
                    <w:right w:val="none" w:sz="0" w:space="0" w:color="auto"/>
                  </w:divBdr>
                  <w:divsChild>
                    <w:div w:id="7752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B273C-AA92-4BB2-98F6-B835B393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8</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DBM</cp:lastModifiedBy>
  <cp:revision>5</cp:revision>
  <dcterms:created xsi:type="dcterms:W3CDTF">2013-10-12T17:09:00Z</dcterms:created>
  <dcterms:modified xsi:type="dcterms:W3CDTF">2013-10-14T16:08:00Z</dcterms:modified>
</cp:coreProperties>
</file>