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r>
        <w:rPr>
          <w:rFonts w:ascii="Cambria" w:eastAsiaTheme="minorHAnsi" w:hAnsi="Cambria" w:cs="Cambria"/>
          <w:i w:val="0"/>
          <w:iCs w:val="0"/>
          <w:noProof/>
          <w:color w:val="17365D"/>
          <w:sz w:val="45"/>
          <w:szCs w:val="45"/>
          <w:lang w:eastAsia="es-SV" w:bidi="ar-SA"/>
        </w:rPr>
        <w:drawing>
          <wp:inline distT="0" distB="0" distL="0" distR="0">
            <wp:extent cx="1124585" cy="1103630"/>
            <wp:effectExtent l="19050" t="0" r="0" b="0"/>
            <wp:docPr id="4" name="Imagen 4" descr="C:\Users\Luna\Documents\LUNA\IMAGENES\SAE\escudo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na\Documents\LUNA\IMAGENES\SAE\escudo 5.gif"/>
                    <pic:cNvPicPr>
                      <a:picLocks noChangeAspect="1" noChangeArrowheads="1"/>
                    </pic:cNvPicPr>
                  </pic:nvPicPr>
                  <pic:blipFill>
                    <a:blip r:embed="rId9" cstate="print"/>
                    <a:srcRect/>
                    <a:stretch>
                      <a:fillRect/>
                    </a:stretch>
                  </pic:blipFill>
                  <pic:spPr bwMode="auto">
                    <a:xfrm>
                      <a:off x="0" y="0"/>
                      <a:ext cx="1124585" cy="1103630"/>
                    </a:xfrm>
                    <a:prstGeom prst="rect">
                      <a:avLst/>
                    </a:prstGeom>
                    <a:noFill/>
                    <a:ln w="9525">
                      <a:noFill/>
                      <a:miter lim="800000"/>
                      <a:headEnd/>
                      <a:tailEnd/>
                    </a:ln>
                  </pic:spPr>
                </pic:pic>
              </a:graphicData>
            </a:graphic>
          </wp:inline>
        </w:drawing>
      </w:r>
    </w:p>
    <w:p w:rsidR="005D5A66" w:rsidRDefault="005D5A66" w:rsidP="005D5A66">
      <w:pPr>
        <w:autoSpaceDE w:val="0"/>
        <w:autoSpaceDN w:val="0"/>
        <w:adjustRightInd w:val="0"/>
        <w:spacing w:after="0" w:line="240" w:lineRule="auto"/>
        <w:jc w:val="left"/>
        <w:rPr>
          <w:rFonts w:ascii="Cambria" w:eastAsiaTheme="minorHAnsi" w:hAnsi="Cambria" w:cs="Cambria"/>
          <w:i w:val="0"/>
          <w:iCs w:val="0"/>
          <w:color w:val="17365D"/>
          <w:sz w:val="45"/>
          <w:szCs w:val="45"/>
          <w:lang w:bidi="ar-SA"/>
        </w:rPr>
      </w:pPr>
    </w:p>
    <w:p w:rsidR="005D5A66" w:rsidRDefault="005D5A66" w:rsidP="005D5A66">
      <w:pPr>
        <w:autoSpaceDE w:val="0"/>
        <w:autoSpaceDN w:val="0"/>
        <w:adjustRightInd w:val="0"/>
        <w:spacing w:after="0" w:line="240" w:lineRule="auto"/>
        <w:jc w:val="left"/>
        <w:rPr>
          <w:rFonts w:ascii="Cambria" w:eastAsiaTheme="minorHAnsi" w:hAnsi="Cambria" w:cs="Cambria"/>
          <w:i w:val="0"/>
          <w:iCs w:val="0"/>
          <w:color w:val="17365D"/>
          <w:sz w:val="45"/>
          <w:szCs w:val="45"/>
          <w:lang w:bidi="ar-SA"/>
        </w:rPr>
      </w:pPr>
    </w:p>
    <w:p w:rsid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r>
        <w:rPr>
          <w:rFonts w:ascii="Cambria" w:eastAsiaTheme="minorHAnsi" w:hAnsi="Cambria" w:cs="Cambria"/>
          <w:i w:val="0"/>
          <w:iCs w:val="0"/>
          <w:color w:val="17365D"/>
          <w:sz w:val="45"/>
          <w:szCs w:val="45"/>
          <w:lang w:bidi="ar-SA"/>
        </w:rPr>
        <w:t>Plan de Acción del Gobierno de</w:t>
      </w:r>
    </w:p>
    <w:p w:rsid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r>
        <w:rPr>
          <w:rFonts w:ascii="Cambria" w:eastAsiaTheme="minorHAnsi" w:hAnsi="Cambria" w:cs="Cambria"/>
          <w:i w:val="0"/>
          <w:iCs w:val="0"/>
          <w:color w:val="17365D"/>
          <w:sz w:val="45"/>
          <w:szCs w:val="45"/>
          <w:lang w:bidi="ar-SA"/>
        </w:rPr>
        <w:t>El Salvador</w:t>
      </w:r>
    </w:p>
    <w:p w:rsid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r>
        <w:rPr>
          <w:rFonts w:ascii="Cambria" w:eastAsiaTheme="minorHAnsi" w:hAnsi="Cambria" w:cs="Cambria"/>
          <w:i w:val="0"/>
          <w:iCs w:val="0"/>
          <w:color w:val="17365D"/>
          <w:sz w:val="45"/>
          <w:szCs w:val="45"/>
          <w:lang w:bidi="ar-SA"/>
        </w:rPr>
        <w:t>2013 – 201</w:t>
      </w:r>
      <w:r w:rsidR="009913DE">
        <w:rPr>
          <w:rFonts w:ascii="Cambria" w:eastAsiaTheme="minorHAnsi" w:hAnsi="Cambria" w:cs="Cambria"/>
          <w:i w:val="0"/>
          <w:iCs w:val="0"/>
          <w:color w:val="17365D"/>
          <w:sz w:val="45"/>
          <w:szCs w:val="45"/>
          <w:lang w:bidi="ar-SA"/>
        </w:rPr>
        <w:t>4</w:t>
      </w:r>
    </w:p>
    <w:p w:rsid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p>
    <w:p w:rsidR="00F55729" w:rsidRDefault="00F55729" w:rsidP="005D5A66">
      <w:pPr>
        <w:autoSpaceDE w:val="0"/>
        <w:autoSpaceDN w:val="0"/>
        <w:adjustRightInd w:val="0"/>
        <w:spacing w:after="0" w:line="240" w:lineRule="auto"/>
        <w:jc w:val="center"/>
        <w:rPr>
          <w:rFonts w:ascii="Cambria" w:eastAsiaTheme="minorHAnsi" w:hAnsi="Cambria" w:cs="Cambria"/>
          <w:i w:val="0"/>
          <w:iCs w:val="0"/>
          <w:color w:val="17365D"/>
          <w:sz w:val="45"/>
          <w:szCs w:val="45"/>
          <w:lang w:bidi="ar-SA"/>
        </w:rPr>
      </w:pPr>
    </w:p>
    <w:p w:rsidR="005D5A66" w:rsidRPr="005D5A66" w:rsidRDefault="005D5A66" w:rsidP="005D5A66">
      <w:pPr>
        <w:jc w:val="center"/>
        <w:rPr>
          <w:rFonts w:asciiTheme="majorHAnsi" w:hAnsiTheme="majorHAnsi"/>
          <w:sz w:val="44"/>
          <w:szCs w:val="44"/>
        </w:rPr>
      </w:pPr>
      <w:r w:rsidRPr="005D5A66">
        <w:rPr>
          <w:rFonts w:asciiTheme="majorHAnsi" w:eastAsiaTheme="minorHAnsi" w:hAnsiTheme="majorHAnsi"/>
          <w:sz w:val="44"/>
          <w:szCs w:val="44"/>
          <w:lang w:bidi="ar-SA"/>
        </w:rPr>
        <w:t>Alianza para el Gobierno Abierto (OGP)</w:t>
      </w:r>
    </w:p>
    <w:p w:rsidR="005D5A66" w:rsidRP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28"/>
          <w:szCs w:val="28"/>
          <w:lang w:bidi="ar-SA"/>
        </w:rPr>
      </w:pPr>
      <w:r w:rsidRPr="005D5A66">
        <w:rPr>
          <w:rFonts w:ascii="Cambria" w:eastAsiaTheme="minorHAnsi" w:hAnsi="Cambria" w:cs="Cambria"/>
          <w:i w:val="0"/>
          <w:iCs w:val="0"/>
          <w:color w:val="17365D"/>
          <w:sz w:val="28"/>
          <w:szCs w:val="28"/>
          <w:lang w:bidi="ar-SA"/>
        </w:rPr>
        <w:t>Secretaría para Asuntos Estratégicos de la Presidencia</w:t>
      </w:r>
    </w:p>
    <w:p w:rsidR="005D5A66" w:rsidRPr="005D5A66" w:rsidRDefault="005D5A66" w:rsidP="005D5A66">
      <w:pPr>
        <w:autoSpaceDE w:val="0"/>
        <w:autoSpaceDN w:val="0"/>
        <w:adjustRightInd w:val="0"/>
        <w:spacing w:after="0" w:line="240" w:lineRule="auto"/>
        <w:jc w:val="center"/>
        <w:rPr>
          <w:rFonts w:ascii="Cambria" w:eastAsiaTheme="minorHAnsi" w:hAnsi="Cambria" w:cs="Cambria"/>
          <w:i w:val="0"/>
          <w:iCs w:val="0"/>
          <w:color w:val="17365D"/>
          <w:sz w:val="28"/>
          <w:szCs w:val="28"/>
          <w:lang w:bidi="ar-SA"/>
        </w:rPr>
      </w:pPr>
      <w:r w:rsidRPr="005D5A66">
        <w:rPr>
          <w:rFonts w:ascii="Cambria" w:eastAsiaTheme="minorHAnsi" w:hAnsi="Cambria" w:cs="Cambria"/>
          <w:i w:val="0"/>
          <w:iCs w:val="0"/>
          <w:color w:val="17365D"/>
          <w:sz w:val="28"/>
          <w:szCs w:val="28"/>
          <w:lang w:bidi="ar-SA"/>
        </w:rPr>
        <w:t>Subsecretaría de Transparencia y Anticorrupción</w:t>
      </w:r>
    </w:p>
    <w:p w:rsidR="005D5A66" w:rsidRPr="005D5A66" w:rsidRDefault="005D5A66" w:rsidP="005D5A66">
      <w:pPr>
        <w:rPr>
          <w:i w:val="0"/>
          <w:sz w:val="22"/>
          <w:szCs w:val="22"/>
        </w:rPr>
      </w:pPr>
    </w:p>
    <w:p w:rsidR="005D5A66" w:rsidRPr="005D5A66" w:rsidRDefault="005D5A66" w:rsidP="005D5A66">
      <w:pPr>
        <w:rPr>
          <w:rFonts w:eastAsiaTheme="majorEastAsia" w:cstheme="majorBidi"/>
          <w:i w:val="0"/>
          <w:color w:val="002060"/>
          <w:sz w:val="22"/>
          <w:szCs w:val="22"/>
        </w:rPr>
      </w:pPr>
    </w:p>
    <w:p w:rsidR="005D5A66" w:rsidRDefault="00F55729" w:rsidP="00F55729">
      <w:pPr>
        <w:jc w:val="center"/>
        <w:rPr>
          <w:rFonts w:eastAsiaTheme="majorEastAsia" w:cstheme="majorBidi"/>
          <w:i w:val="0"/>
          <w:color w:val="002060"/>
          <w:sz w:val="22"/>
          <w:szCs w:val="22"/>
        </w:rPr>
      </w:pPr>
      <w:r>
        <w:rPr>
          <w:noProof/>
          <w:lang w:eastAsia="es-SV" w:bidi="ar-SA"/>
        </w:rPr>
        <w:drawing>
          <wp:inline distT="0" distB="0" distL="0" distR="0">
            <wp:extent cx="2774950" cy="2111472"/>
            <wp:effectExtent l="19050" t="0" r="6350" b="0"/>
            <wp:docPr id="7" name="Imagen 7" descr="Logo-gobierno-abi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gobierno-abierto"/>
                    <pic:cNvPicPr>
                      <a:picLocks noChangeAspect="1" noChangeArrowheads="1"/>
                    </pic:cNvPicPr>
                  </pic:nvPicPr>
                  <pic:blipFill>
                    <a:blip r:embed="rId10" cstate="print"/>
                    <a:srcRect/>
                    <a:stretch>
                      <a:fillRect/>
                    </a:stretch>
                  </pic:blipFill>
                  <pic:spPr bwMode="auto">
                    <a:xfrm>
                      <a:off x="0" y="0"/>
                      <a:ext cx="2779440" cy="2114889"/>
                    </a:xfrm>
                    <a:prstGeom prst="rect">
                      <a:avLst/>
                    </a:prstGeom>
                    <a:noFill/>
                    <a:ln w="9525">
                      <a:noFill/>
                      <a:miter lim="800000"/>
                      <a:headEnd/>
                      <a:tailEnd/>
                    </a:ln>
                  </pic:spPr>
                </pic:pic>
              </a:graphicData>
            </a:graphic>
          </wp:inline>
        </w:drawing>
      </w:r>
    </w:p>
    <w:p w:rsidR="00F55729" w:rsidRPr="005D5A66" w:rsidRDefault="00F55729" w:rsidP="00F55729">
      <w:pPr>
        <w:jc w:val="center"/>
        <w:rPr>
          <w:rFonts w:eastAsiaTheme="majorEastAsia"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jc w:val="center"/>
        <w:rPr>
          <w:rFonts w:ascii="Calibri" w:eastAsiaTheme="majorEastAsia" w:hAnsi="Calibri" w:cstheme="majorBidi"/>
          <w:i w:val="0"/>
          <w:color w:val="002060"/>
          <w:sz w:val="22"/>
          <w:szCs w:val="22"/>
        </w:rPr>
      </w:pPr>
      <w:r>
        <w:rPr>
          <w:rFonts w:ascii="Calibri" w:eastAsiaTheme="majorEastAsia" w:hAnsi="Calibri" w:cstheme="majorBidi"/>
          <w:i w:val="0"/>
          <w:color w:val="002060"/>
          <w:sz w:val="22"/>
          <w:szCs w:val="22"/>
        </w:rPr>
        <w:t>El Salvador, Septiembre 30 de 2013</w:t>
      </w:r>
    </w:p>
    <w:p w:rsidR="005D5A66" w:rsidRPr="005D5A66" w:rsidRDefault="005D5A66" w:rsidP="005D5A66">
      <w:pPr>
        <w:rPr>
          <w:rFonts w:ascii="Calibri" w:eastAsiaTheme="majorEastAsia" w:hAnsi="Calibri" w:cstheme="majorBidi"/>
          <w:b/>
          <w:i w:val="0"/>
          <w:color w:val="002060"/>
          <w:sz w:val="28"/>
          <w:szCs w:val="28"/>
        </w:rPr>
      </w:pPr>
      <w:r w:rsidRPr="005D5A66">
        <w:rPr>
          <w:rFonts w:ascii="Calibri" w:eastAsiaTheme="majorEastAsia" w:hAnsi="Calibri" w:cstheme="majorBidi"/>
          <w:b/>
          <w:i w:val="0"/>
          <w:color w:val="002060"/>
          <w:sz w:val="28"/>
          <w:szCs w:val="28"/>
        </w:rPr>
        <w:t>Contenido</w:t>
      </w:r>
    </w:p>
    <w:p w:rsidR="00F12DE5" w:rsidRDefault="005D5A66">
      <w:pPr>
        <w:pStyle w:val="TDC1"/>
        <w:tabs>
          <w:tab w:val="right" w:pos="8828"/>
        </w:tabs>
        <w:rPr>
          <w:b w:val="0"/>
          <w:bCs w:val="0"/>
          <w:caps w:val="0"/>
          <w:noProof/>
          <w:u w:val="none"/>
          <w:lang w:eastAsia="es-SV" w:bidi="ar-SA"/>
        </w:rPr>
      </w:pPr>
      <w:r>
        <w:rPr>
          <w:rFonts w:ascii="Calibri" w:eastAsiaTheme="majorEastAsia" w:hAnsi="Calibri" w:cstheme="majorBidi"/>
          <w:i/>
          <w:color w:val="002060"/>
        </w:rPr>
        <w:fldChar w:fldCharType="begin"/>
      </w:r>
      <w:r>
        <w:rPr>
          <w:rFonts w:ascii="Calibri" w:eastAsiaTheme="majorEastAsia" w:hAnsi="Calibri" w:cstheme="majorBidi"/>
          <w:i/>
          <w:color w:val="002060"/>
        </w:rPr>
        <w:instrText xml:space="preserve"> TOC \o "1-4" \h \z \u </w:instrText>
      </w:r>
      <w:r>
        <w:rPr>
          <w:rFonts w:ascii="Calibri" w:eastAsiaTheme="majorEastAsia" w:hAnsi="Calibri" w:cstheme="majorBidi"/>
          <w:i/>
          <w:color w:val="002060"/>
        </w:rPr>
        <w:fldChar w:fldCharType="separate"/>
      </w:r>
      <w:hyperlink w:anchor="_Toc368249578" w:history="1">
        <w:r w:rsidR="00F12DE5" w:rsidRPr="003C7400">
          <w:rPr>
            <w:rStyle w:val="Hipervnculo"/>
            <w:noProof/>
          </w:rPr>
          <w:t>Presentación</w:t>
        </w:r>
        <w:r w:rsidR="00F12DE5">
          <w:rPr>
            <w:noProof/>
            <w:webHidden/>
          </w:rPr>
          <w:tab/>
        </w:r>
        <w:r w:rsidR="00F12DE5">
          <w:rPr>
            <w:noProof/>
            <w:webHidden/>
          </w:rPr>
          <w:fldChar w:fldCharType="begin"/>
        </w:r>
        <w:r w:rsidR="00F12DE5">
          <w:rPr>
            <w:noProof/>
            <w:webHidden/>
          </w:rPr>
          <w:instrText xml:space="preserve"> PAGEREF _Toc368249578 \h </w:instrText>
        </w:r>
        <w:r w:rsidR="00F12DE5">
          <w:rPr>
            <w:noProof/>
            <w:webHidden/>
          </w:rPr>
        </w:r>
        <w:r w:rsidR="00F12DE5">
          <w:rPr>
            <w:noProof/>
            <w:webHidden/>
          </w:rPr>
          <w:fldChar w:fldCharType="separate"/>
        </w:r>
        <w:r w:rsidR="00F12DE5">
          <w:rPr>
            <w:noProof/>
            <w:webHidden/>
          </w:rPr>
          <w:t>3</w:t>
        </w:r>
        <w:r w:rsidR="00F12DE5">
          <w:rPr>
            <w:noProof/>
            <w:webHidden/>
          </w:rPr>
          <w:fldChar w:fldCharType="end"/>
        </w:r>
      </w:hyperlink>
    </w:p>
    <w:p w:rsidR="00F12DE5" w:rsidRDefault="00F12DE5">
      <w:pPr>
        <w:pStyle w:val="TDC1"/>
        <w:tabs>
          <w:tab w:val="right" w:pos="8828"/>
        </w:tabs>
        <w:rPr>
          <w:b w:val="0"/>
          <w:bCs w:val="0"/>
          <w:caps w:val="0"/>
          <w:noProof/>
          <w:u w:val="none"/>
          <w:lang w:eastAsia="es-SV" w:bidi="ar-SA"/>
        </w:rPr>
      </w:pPr>
      <w:hyperlink w:anchor="_Toc368249579" w:history="1">
        <w:r w:rsidRPr="003C7400">
          <w:rPr>
            <w:rStyle w:val="Hipervnculo"/>
            <w:noProof/>
          </w:rPr>
          <w:t>I. Antecedentes</w:t>
        </w:r>
        <w:r>
          <w:rPr>
            <w:noProof/>
            <w:webHidden/>
          </w:rPr>
          <w:tab/>
        </w:r>
        <w:r>
          <w:rPr>
            <w:noProof/>
            <w:webHidden/>
          </w:rPr>
          <w:fldChar w:fldCharType="begin"/>
        </w:r>
        <w:r>
          <w:rPr>
            <w:noProof/>
            <w:webHidden/>
          </w:rPr>
          <w:instrText xml:space="preserve"> PAGEREF _Toc368249579 \h </w:instrText>
        </w:r>
        <w:r>
          <w:rPr>
            <w:noProof/>
            <w:webHidden/>
          </w:rPr>
        </w:r>
        <w:r>
          <w:rPr>
            <w:noProof/>
            <w:webHidden/>
          </w:rPr>
          <w:fldChar w:fldCharType="separate"/>
        </w:r>
        <w:r>
          <w:rPr>
            <w:noProof/>
            <w:webHidden/>
          </w:rPr>
          <w:t>4</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80" w:history="1">
        <w:r w:rsidRPr="003C7400">
          <w:rPr>
            <w:rStyle w:val="Hipervnculo"/>
            <w:noProof/>
          </w:rPr>
          <w:t>I.1 El Plan AGA mayo 2012 – mayo 2014</w:t>
        </w:r>
        <w:r>
          <w:rPr>
            <w:noProof/>
            <w:webHidden/>
          </w:rPr>
          <w:tab/>
        </w:r>
        <w:r>
          <w:rPr>
            <w:noProof/>
            <w:webHidden/>
          </w:rPr>
          <w:fldChar w:fldCharType="begin"/>
        </w:r>
        <w:r>
          <w:rPr>
            <w:noProof/>
            <w:webHidden/>
          </w:rPr>
          <w:instrText xml:space="preserve"> PAGEREF _Toc368249580 \h </w:instrText>
        </w:r>
        <w:r>
          <w:rPr>
            <w:noProof/>
            <w:webHidden/>
          </w:rPr>
        </w:r>
        <w:r>
          <w:rPr>
            <w:noProof/>
            <w:webHidden/>
          </w:rPr>
          <w:fldChar w:fldCharType="separate"/>
        </w:r>
        <w:r>
          <w:rPr>
            <w:noProof/>
            <w:webHidden/>
          </w:rPr>
          <w:t>4</w:t>
        </w:r>
        <w:r>
          <w:rPr>
            <w:noProof/>
            <w:webHidden/>
          </w:rPr>
          <w:fldChar w:fldCharType="end"/>
        </w:r>
      </w:hyperlink>
    </w:p>
    <w:p w:rsidR="00F12DE5" w:rsidRDefault="00F12DE5">
      <w:pPr>
        <w:pStyle w:val="TDC3"/>
        <w:tabs>
          <w:tab w:val="left" w:pos="403"/>
          <w:tab w:val="right" w:pos="8828"/>
        </w:tabs>
        <w:rPr>
          <w:smallCaps w:val="0"/>
          <w:noProof/>
          <w:lang w:eastAsia="es-SV" w:bidi="ar-SA"/>
        </w:rPr>
      </w:pPr>
      <w:hyperlink w:anchor="_Toc368249581" w:history="1">
        <w:r w:rsidRPr="003C7400">
          <w:rPr>
            <w:rStyle w:val="Hipervnculo"/>
            <w:noProof/>
          </w:rPr>
          <w:t>A.</w:t>
        </w:r>
        <w:r>
          <w:rPr>
            <w:smallCaps w:val="0"/>
            <w:noProof/>
            <w:lang w:eastAsia="es-SV" w:bidi="ar-SA"/>
          </w:rPr>
          <w:tab/>
        </w:r>
        <w:r w:rsidRPr="003C7400">
          <w:rPr>
            <w:rStyle w:val="Hipervnculo"/>
            <w:noProof/>
          </w:rPr>
          <w:t>Aumentar la disponibilidad de información sobre las actividades gubernamentales</w:t>
        </w:r>
        <w:r>
          <w:rPr>
            <w:noProof/>
            <w:webHidden/>
          </w:rPr>
          <w:tab/>
        </w:r>
        <w:r>
          <w:rPr>
            <w:noProof/>
            <w:webHidden/>
          </w:rPr>
          <w:fldChar w:fldCharType="begin"/>
        </w:r>
        <w:r>
          <w:rPr>
            <w:noProof/>
            <w:webHidden/>
          </w:rPr>
          <w:instrText xml:space="preserve"> PAGEREF _Toc368249581 \h </w:instrText>
        </w:r>
        <w:r>
          <w:rPr>
            <w:noProof/>
            <w:webHidden/>
          </w:rPr>
        </w:r>
        <w:r>
          <w:rPr>
            <w:noProof/>
            <w:webHidden/>
          </w:rPr>
          <w:fldChar w:fldCharType="separate"/>
        </w:r>
        <w:r>
          <w:rPr>
            <w:noProof/>
            <w:webHidden/>
          </w:rPr>
          <w:t>4</w:t>
        </w:r>
        <w:r>
          <w:rPr>
            <w:noProof/>
            <w:webHidden/>
          </w:rPr>
          <w:fldChar w:fldCharType="end"/>
        </w:r>
      </w:hyperlink>
    </w:p>
    <w:p w:rsidR="00F12DE5" w:rsidRDefault="00F12DE5">
      <w:pPr>
        <w:pStyle w:val="TDC3"/>
        <w:tabs>
          <w:tab w:val="left" w:pos="395"/>
          <w:tab w:val="right" w:pos="8828"/>
        </w:tabs>
        <w:rPr>
          <w:smallCaps w:val="0"/>
          <w:noProof/>
          <w:lang w:eastAsia="es-SV" w:bidi="ar-SA"/>
        </w:rPr>
      </w:pPr>
      <w:hyperlink w:anchor="_Toc368249582" w:history="1">
        <w:r w:rsidRPr="003C7400">
          <w:rPr>
            <w:rStyle w:val="Hipervnculo"/>
            <w:noProof/>
          </w:rPr>
          <w:t>B.</w:t>
        </w:r>
        <w:r>
          <w:rPr>
            <w:smallCaps w:val="0"/>
            <w:noProof/>
            <w:lang w:eastAsia="es-SV" w:bidi="ar-SA"/>
          </w:rPr>
          <w:tab/>
        </w:r>
        <w:r w:rsidRPr="003C7400">
          <w:rPr>
            <w:rStyle w:val="Hipervnculo"/>
            <w:noProof/>
          </w:rPr>
          <w:t>Apoyar la participación ciudadana y las rendiciones de cuentas</w:t>
        </w:r>
        <w:r>
          <w:rPr>
            <w:noProof/>
            <w:webHidden/>
          </w:rPr>
          <w:tab/>
        </w:r>
        <w:r>
          <w:rPr>
            <w:noProof/>
            <w:webHidden/>
          </w:rPr>
          <w:fldChar w:fldCharType="begin"/>
        </w:r>
        <w:r>
          <w:rPr>
            <w:noProof/>
            <w:webHidden/>
          </w:rPr>
          <w:instrText xml:space="preserve"> PAGEREF _Toc368249582 \h </w:instrText>
        </w:r>
        <w:r>
          <w:rPr>
            <w:noProof/>
            <w:webHidden/>
          </w:rPr>
        </w:r>
        <w:r>
          <w:rPr>
            <w:noProof/>
            <w:webHidden/>
          </w:rPr>
          <w:fldChar w:fldCharType="separate"/>
        </w:r>
        <w:r>
          <w:rPr>
            <w:noProof/>
            <w:webHidden/>
          </w:rPr>
          <w:t>4</w:t>
        </w:r>
        <w:r>
          <w:rPr>
            <w:noProof/>
            <w:webHidden/>
          </w:rPr>
          <w:fldChar w:fldCharType="end"/>
        </w:r>
      </w:hyperlink>
    </w:p>
    <w:p w:rsidR="00F12DE5" w:rsidRDefault="00F12DE5">
      <w:pPr>
        <w:pStyle w:val="TDC3"/>
        <w:tabs>
          <w:tab w:val="left" w:pos="393"/>
          <w:tab w:val="right" w:pos="8828"/>
        </w:tabs>
        <w:rPr>
          <w:smallCaps w:val="0"/>
          <w:noProof/>
          <w:lang w:eastAsia="es-SV" w:bidi="ar-SA"/>
        </w:rPr>
      </w:pPr>
      <w:hyperlink w:anchor="_Toc368249583" w:history="1">
        <w:r w:rsidRPr="003C7400">
          <w:rPr>
            <w:rStyle w:val="Hipervnculo"/>
            <w:noProof/>
            <w:lang w:val="es-ES" w:eastAsia="es-SV"/>
          </w:rPr>
          <w:t>C.</w:t>
        </w:r>
        <w:r>
          <w:rPr>
            <w:smallCaps w:val="0"/>
            <w:noProof/>
            <w:lang w:eastAsia="es-SV" w:bidi="ar-SA"/>
          </w:rPr>
          <w:tab/>
        </w:r>
        <w:r w:rsidRPr="003C7400">
          <w:rPr>
            <w:rStyle w:val="Hipervnculo"/>
            <w:noProof/>
            <w:lang w:val="es-ES" w:eastAsia="es-SV"/>
          </w:rPr>
          <w:t>Fortalecimiento a la auditoría interna y a los estándares de integridad profesional</w:t>
        </w:r>
        <w:r>
          <w:rPr>
            <w:noProof/>
            <w:webHidden/>
          </w:rPr>
          <w:tab/>
        </w:r>
        <w:r>
          <w:rPr>
            <w:noProof/>
            <w:webHidden/>
          </w:rPr>
          <w:fldChar w:fldCharType="begin"/>
        </w:r>
        <w:r>
          <w:rPr>
            <w:noProof/>
            <w:webHidden/>
          </w:rPr>
          <w:instrText xml:space="preserve"> PAGEREF _Toc368249583 \h </w:instrText>
        </w:r>
        <w:r>
          <w:rPr>
            <w:noProof/>
            <w:webHidden/>
          </w:rPr>
        </w:r>
        <w:r>
          <w:rPr>
            <w:noProof/>
            <w:webHidden/>
          </w:rPr>
          <w:fldChar w:fldCharType="separate"/>
        </w:r>
        <w:r>
          <w:rPr>
            <w:noProof/>
            <w:webHidden/>
          </w:rPr>
          <w:t>5</w:t>
        </w:r>
        <w:r>
          <w:rPr>
            <w:noProof/>
            <w:webHidden/>
          </w:rPr>
          <w:fldChar w:fldCharType="end"/>
        </w:r>
      </w:hyperlink>
    </w:p>
    <w:p w:rsidR="00F12DE5" w:rsidRDefault="00F12DE5">
      <w:pPr>
        <w:pStyle w:val="TDC3"/>
        <w:tabs>
          <w:tab w:val="left" w:pos="411"/>
          <w:tab w:val="right" w:pos="8828"/>
        </w:tabs>
        <w:rPr>
          <w:smallCaps w:val="0"/>
          <w:noProof/>
          <w:lang w:eastAsia="es-SV" w:bidi="ar-SA"/>
        </w:rPr>
      </w:pPr>
      <w:hyperlink w:anchor="_Toc368249584" w:history="1">
        <w:r w:rsidRPr="003C7400">
          <w:rPr>
            <w:rStyle w:val="Hipervnculo"/>
            <w:noProof/>
            <w:lang w:val="es-ES" w:eastAsia="es-SV"/>
          </w:rPr>
          <w:t>D.</w:t>
        </w:r>
        <w:r>
          <w:rPr>
            <w:smallCaps w:val="0"/>
            <w:noProof/>
            <w:lang w:eastAsia="es-SV" w:bidi="ar-SA"/>
          </w:rPr>
          <w:tab/>
        </w:r>
        <w:r w:rsidRPr="003C7400">
          <w:rPr>
            <w:rStyle w:val="Hipervnculo"/>
            <w:noProof/>
            <w:lang w:val="es-ES" w:eastAsia="es-SV"/>
          </w:rPr>
          <w:t>Apoyar el uso de las nuevas tecnologías para la transparencia y acceso a la información</w:t>
        </w:r>
        <w:r>
          <w:rPr>
            <w:noProof/>
            <w:webHidden/>
          </w:rPr>
          <w:tab/>
        </w:r>
        <w:r>
          <w:rPr>
            <w:noProof/>
            <w:webHidden/>
          </w:rPr>
          <w:fldChar w:fldCharType="begin"/>
        </w:r>
        <w:r>
          <w:rPr>
            <w:noProof/>
            <w:webHidden/>
          </w:rPr>
          <w:instrText xml:space="preserve"> PAGEREF _Toc368249584 \h </w:instrText>
        </w:r>
        <w:r>
          <w:rPr>
            <w:noProof/>
            <w:webHidden/>
          </w:rPr>
        </w:r>
        <w:r>
          <w:rPr>
            <w:noProof/>
            <w:webHidden/>
          </w:rPr>
          <w:fldChar w:fldCharType="separate"/>
        </w:r>
        <w:r>
          <w:rPr>
            <w:noProof/>
            <w:webHidden/>
          </w:rPr>
          <w:t>5</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85" w:history="1">
        <w:r w:rsidRPr="003C7400">
          <w:rPr>
            <w:rStyle w:val="Hipervnculo"/>
            <w:noProof/>
          </w:rPr>
          <w:t>I.2 Resultados de la implementación Plan AGA mayo 2012 – mayo 2014</w:t>
        </w:r>
        <w:r>
          <w:rPr>
            <w:noProof/>
            <w:webHidden/>
          </w:rPr>
          <w:tab/>
        </w:r>
        <w:r>
          <w:rPr>
            <w:noProof/>
            <w:webHidden/>
          </w:rPr>
          <w:fldChar w:fldCharType="begin"/>
        </w:r>
        <w:r>
          <w:rPr>
            <w:noProof/>
            <w:webHidden/>
          </w:rPr>
          <w:instrText xml:space="preserve"> PAGEREF _Toc368249585 \h </w:instrText>
        </w:r>
        <w:r>
          <w:rPr>
            <w:noProof/>
            <w:webHidden/>
          </w:rPr>
        </w:r>
        <w:r>
          <w:rPr>
            <w:noProof/>
            <w:webHidden/>
          </w:rPr>
          <w:fldChar w:fldCharType="separate"/>
        </w:r>
        <w:r>
          <w:rPr>
            <w:noProof/>
            <w:webHidden/>
          </w:rPr>
          <w:t>6</w:t>
        </w:r>
        <w:r>
          <w:rPr>
            <w:noProof/>
            <w:webHidden/>
          </w:rPr>
          <w:fldChar w:fldCharType="end"/>
        </w:r>
      </w:hyperlink>
    </w:p>
    <w:p w:rsidR="00F12DE5" w:rsidRDefault="00F12DE5">
      <w:pPr>
        <w:pStyle w:val="TDC1"/>
        <w:tabs>
          <w:tab w:val="right" w:pos="8828"/>
        </w:tabs>
        <w:rPr>
          <w:b w:val="0"/>
          <w:bCs w:val="0"/>
          <w:caps w:val="0"/>
          <w:noProof/>
          <w:u w:val="none"/>
          <w:lang w:eastAsia="es-SV" w:bidi="ar-SA"/>
        </w:rPr>
      </w:pPr>
      <w:hyperlink w:anchor="_Toc368249586" w:history="1">
        <w:r w:rsidRPr="003C7400">
          <w:rPr>
            <w:rStyle w:val="Hipervnculo"/>
            <w:noProof/>
          </w:rPr>
          <w:t>II. Plan de Acción Alianza para el Gobierno Abierto. El Salvador 2013-2014</w:t>
        </w:r>
        <w:r>
          <w:rPr>
            <w:noProof/>
            <w:webHidden/>
          </w:rPr>
          <w:tab/>
        </w:r>
        <w:r>
          <w:rPr>
            <w:noProof/>
            <w:webHidden/>
          </w:rPr>
          <w:fldChar w:fldCharType="begin"/>
        </w:r>
        <w:r>
          <w:rPr>
            <w:noProof/>
            <w:webHidden/>
          </w:rPr>
          <w:instrText xml:space="preserve"> PAGEREF _Toc368249586 \h </w:instrText>
        </w:r>
        <w:r>
          <w:rPr>
            <w:noProof/>
            <w:webHidden/>
          </w:rPr>
        </w:r>
        <w:r>
          <w:rPr>
            <w:noProof/>
            <w:webHidden/>
          </w:rPr>
          <w:fldChar w:fldCharType="separate"/>
        </w:r>
        <w:r>
          <w:rPr>
            <w:noProof/>
            <w:webHidden/>
          </w:rPr>
          <w:t>13</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87" w:history="1">
        <w:r w:rsidRPr="003C7400">
          <w:rPr>
            <w:rStyle w:val="Hipervnculo"/>
            <w:noProof/>
          </w:rPr>
          <w:t>II.1 Objetivo General:</w:t>
        </w:r>
        <w:r>
          <w:rPr>
            <w:noProof/>
            <w:webHidden/>
          </w:rPr>
          <w:tab/>
        </w:r>
        <w:r>
          <w:rPr>
            <w:noProof/>
            <w:webHidden/>
          </w:rPr>
          <w:fldChar w:fldCharType="begin"/>
        </w:r>
        <w:r>
          <w:rPr>
            <w:noProof/>
            <w:webHidden/>
          </w:rPr>
          <w:instrText xml:space="preserve"> PAGEREF _Toc368249587 \h </w:instrText>
        </w:r>
        <w:r>
          <w:rPr>
            <w:noProof/>
            <w:webHidden/>
          </w:rPr>
        </w:r>
        <w:r>
          <w:rPr>
            <w:noProof/>
            <w:webHidden/>
          </w:rPr>
          <w:fldChar w:fldCharType="separate"/>
        </w:r>
        <w:r>
          <w:rPr>
            <w:noProof/>
            <w:webHidden/>
          </w:rPr>
          <w:t>13</w:t>
        </w:r>
        <w:r>
          <w:rPr>
            <w:noProof/>
            <w:webHidden/>
          </w:rPr>
          <w:fldChar w:fldCharType="end"/>
        </w:r>
      </w:hyperlink>
    </w:p>
    <w:p w:rsidR="00F12DE5" w:rsidRDefault="00F12DE5">
      <w:pPr>
        <w:pStyle w:val="TDC3"/>
        <w:tabs>
          <w:tab w:val="left" w:pos="321"/>
          <w:tab w:val="right" w:pos="8828"/>
        </w:tabs>
        <w:rPr>
          <w:smallCaps w:val="0"/>
          <w:noProof/>
          <w:lang w:eastAsia="es-SV" w:bidi="ar-SA"/>
        </w:rPr>
      </w:pPr>
      <w:hyperlink w:anchor="_Toc368249588" w:history="1">
        <w:r w:rsidRPr="003C7400">
          <w:rPr>
            <w:rStyle w:val="Hipervnculo"/>
            <w:rFonts w:ascii="Symbol" w:eastAsia="Calibri" w:hAnsi="Symbol"/>
            <w:noProof/>
            <w:lang w:eastAsia="es-SV"/>
          </w:rPr>
          <w:t></w:t>
        </w:r>
        <w:r>
          <w:rPr>
            <w:smallCaps w:val="0"/>
            <w:noProof/>
            <w:lang w:eastAsia="es-SV" w:bidi="ar-SA"/>
          </w:rPr>
          <w:tab/>
        </w:r>
        <w:r w:rsidRPr="003C7400">
          <w:rPr>
            <w:rStyle w:val="Hipervnculo"/>
            <w:rFonts w:eastAsia="Calibri"/>
            <w:noProof/>
            <w:lang w:eastAsia="es-SV"/>
          </w:rPr>
          <w:t>Lineamientos:</w:t>
        </w:r>
        <w:r>
          <w:rPr>
            <w:noProof/>
            <w:webHidden/>
          </w:rPr>
          <w:tab/>
        </w:r>
        <w:r>
          <w:rPr>
            <w:noProof/>
            <w:webHidden/>
          </w:rPr>
          <w:fldChar w:fldCharType="begin"/>
        </w:r>
        <w:r>
          <w:rPr>
            <w:noProof/>
            <w:webHidden/>
          </w:rPr>
          <w:instrText xml:space="preserve"> PAGEREF _Toc368249588 \h </w:instrText>
        </w:r>
        <w:r>
          <w:rPr>
            <w:noProof/>
            <w:webHidden/>
          </w:rPr>
        </w:r>
        <w:r>
          <w:rPr>
            <w:noProof/>
            <w:webHidden/>
          </w:rPr>
          <w:fldChar w:fldCharType="separate"/>
        </w:r>
        <w:r>
          <w:rPr>
            <w:noProof/>
            <w:webHidden/>
          </w:rPr>
          <w:t>13</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89" w:history="1">
        <w:r w:rsidRPr="003C7400">
          <w:rPr>
            <w:rStyle w:val="Hipervnculo"/>
            <w:noProof/>
          </w:rPr>
          <w:t>II.2 Participantes estatales</w:t>
        </w:r>
        <w:r>
          <w:rPr>
            <w:noProof/>
            <w:webHidden/>
          </w:rPr>
          <w:tab/>
        </w:r>
        <w:r>
          <w:rPr>
            <w:noProof/>
            <w:webHidden/>
          </w:rPr>
          <w:fldChar w:fldCharType="begin"/>
        </w:r>
        <w:r>
          <w:rPr>
            <w:noProof/>
            <w:webHidden/>
          </w:rPr>
          <w:instrText xml:space="preserve"> PAGEREF _Toc368249589 \h </w:instrText>
        </w:r>
        <w:r>
          <w:rPr>
            <w:noProof/>
            <w:webHidden/>
          </w:rPr>
        </w:r>
        <w:r>
          <w:rPr>
            <w:noProof/>
            <w:webHidden/>
          </w:rPr>
          <w:fldChar w:fldCharType="separate"/>
        </w:r>
        <w:r>
          <w:rPr>
            <w:noProof/>
            <w:webHidden/>
          </w:rPr>
          <w:t>13</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90" w:history="1">
        <w:r w:rsidRPr="003C7400">
          <w:rPr>
            <w:rStyle w:val="Hipervnculo"/>
            <w:noProof/>
          </w:rPr>
          <w:t>II.3 Las acciones y sus indicadores.  2013 – Mayo 2014.</w:t>
        </w:r>
        <w:r>
          <w:rPr>
            <w:noProof/>
            <w:webHidden/>
          </w:rPr>
          <w:tab/>
        </w:r>
        <w:r>
          <w:rPr>
            <w:noProof/>
            <w:webHidden/>
          </w:rPr>
          <w:fldChar w:fldCharType="begin"/>
        </w:r>
        <w:r>
          <w:rPr>
            <w:noProof/>
            <w:webHidden/>
          </w:rPr>
          <w:instrText xml:space="preserve"> PAGEREF _Toc368249590 \h </w:instrText>
        </w:r>
        <w:r>
          <w:rPr>
            <w:noProof/>
            <w:webHidden/>
          </w:rPr>
        </w:r>
        <w:r>
          <w:rPr>
            <w:noProof/>
            <w:webHidden/>
          </w:rPr>
          <w:fldChar w:fldCharType="separate"/>
        </w:r>
        <w:r>
          <w:rPr>
            <w:noProof/>
            <w:webHidden/>
          </w:rPr>
          <w:t>14</w:t>
        </w:r>
        <w:r>
          <w:rPr>
            <w:noProof/>
            <w:webHidden/>
          </w:rPr>
          <w:fldChar w:fldCharType="end"/>
        </w:r>
      </w:hyperlink>
    </w:p>
    <w:p w:rsidR="00F12DE5" w:rsidRDefault="00F12DE5">
      <w:pPr>
        <w:pStyle w:val="TDC1"/>
        <w:tabs>
          <w:tab w:val="right" w:pos="8828"/>
        </w:tabs>
        <w:rPr>
          <w:b w:val="0"/>
          <w:bCs w:val="0"/>
          <w:caps w:val="0"/>
          <w:noProof/>
          <w:u w:val="none"/>
          <w:lang w:eastAsia="es-SV" w:bidi="ar-SA"/>
        </w:rPr>
      </w:pPr>
      <w:hyperlink w:anchor="_Toc368249591" w:history="1">
        <w:r w:rsidRPr="003C7400">
          <w:rPr>
            <w:rStyle w:val="Hipervnculo"/>
            <w:rFonts w:eastAsia="Calibri"/>
            <w:noProof/>
          </w:rPr>
          <w:t>III. Del seguimiento y evaluación del plan</w:t>
        </w:r>
        <w:r>
          <w:rPr>
            <w:noProof/>
            <w:webHidden/>
          </w:rPr>
          <w:tab/>
        </w:r>
        <w:r>
          <w:rPr>
            <w:noProof/>
            <w:webHidden/>
          </w:rPr>
          <w:fldChar w:fldCharType="begin"/>
        </w:r>
        <w:r>
          <w:rPr>
            <w:noProof/>
            <w:webHidden/>
          </w:rPr>
          <w:instrText xml:space="preserve"> PAGEREF _Toc368249591 \h </w:instrText>
        </w:r>
        <w:r>
          <w:rPr>
            <w:noProof/>
            <w:webHidden/>
          </w:rPr>
        </w:r>
        <w:r>
          <w:rPr>
            <w:noProof/>
            <w:webHidden/>
          </w:rPr>
          <w:fldChar w:fldCharType="separate"/>
        </w:r>
        <w:r>
          <w:rPr>
            <w:noProof/>
            <w:webHidden/>
          </w:rPr>
          <w:t>19</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92" w:history="1">
        <w:r w:rsidRPr="003C7400">
          <w:rPr>
            <w:rStyle w:val="Hipervnculo"/>
            <w:rFonts w:eastAsia="Calibri"/>
            <w:noProof/>
          </w:rPr>
          <w:t>III.1 Participantes</w:t>
        </w:r>
        <w:r>
          <w:rPr>
            <w:noProof/>
            <w:webHidden/>
          </w:rPr>
          <w:tab/>
        </w:r>
        <w:r>
          <w:rPr>
            <w:noProof/>
            <w:webHidden/>
          </w:rPr>
          <w:fldChar w:fldCharType="begin"/>
        </w:r>
        <w:r>
          <w:rPr>
            <w:noProof/>
            <w:webHidden/>
          </w:rPr>
          <w:instrText xml:space="preserve"> PAGEREF _Toc368249592 \h </w:instrText>
        </w:r>
        <w:r>
          <w:rPr>
            <w:noProof/>
            <w:webHidden/>
          </w:rPr>
        </w:r>
        <w:r>
          <w:rPr>
            <w:noProof/>
            <w:webHidden/>
          </w:rPr>
          <w:fldChar w:fldCharType="separate"/>
        </w:r>
        <w:r>
          <w:rPr>
            <w:noProof/>
            <w:webHidden/>
          </w:rPr>
          <w:t>19</w:t>
        </w:r>
        <w:r>
          <w:rPr>
            <w:noProof/>
            <w:webHidden/>
          </w:rPr>
          <w:fldChar w:fldCharType="end"/>
        </w:r>
      </w:hyperlink>
    </w:p>
    <w:p w:rsidR="00F12DE5" w:rsidRDefault="00F12DE5">
      <w:pPr>
        <w:pStyle w:val="TDC2"/>
        <w:tabs>
          <w:tab w:val="right" w:pos="8828"/>
        </w:tabs>
        <w:rPr>
          <w:b w:val="0"/>
          <w:bCs w:val="0"/>
          <w:smallCaps w:val="0"/>
          <w:noProof/>
          <w:lang w:eastAsia="es-SV" w:bidi="ar-SA"/>
        </w:rPr>
      </w:pPr>
      <w:hyperlink w:anchor="_Toc368249593" w:history="1">
        <w:r w:rsidRPr="003C7400">
          <w:rPr>
            <w:rStyle w:val="Hipervnculo"/>
            <w:rFonts w:eastAsia="Calibri"/>
            <w:noProof/>
          </w:rPr>
          <w:t>III.2 Metodología</w:t>
        </w:r>
        <w:r>
          <w:rPr>
            <w:noProof/>
            <w:webHidden/>
          </w:rPr>
          <w:tab/>
        </w:r>
        <w:r>
          <w:rPr>
            <w:noProof/>
            <w:webHidden/>
          </w:rPr>
          <w:fldChar w:fldCharType="begin"/>
        </w:r>
        <w:r>
          <w:rPr>
            <w:noProof/>
            <w:webHidden/>
          </w:rPr>
          <w:instrText xml:space="preserve"> PAGEREF _Toc368249593 \h </w:instrText>
        </w:r>
        <w:r>
          <w:rPr>
            <w:noProof/>
            <w:webHidden/>
          </w:rPr>
        </w:r>
        <w:r>
          <w:rPr>
            <w:noProof/>
            <w:webHidden/>
          </w:rPr>
          <w:fldChar w:fldCharType="separate"/>
        </w:r>
        <w:r>
          <w:rPr>
            <w:noProof/>
            <w:webHidden/>
          </w:rPr>
          <w:t>20</w:t>
        </w:r>
        <w:r>
          <w:rPr>
            <w:noProof/>
            <w:webHidden/>
          </w:rPr>
          <w:fldChar w:fldCharType="end"/>
        </w:r>
      </w:hyperlink>
    </w:p>
    <w:p w:rsidR="005D5A66" w:rsidRDefault="005D5A66" w:rsidP="005D5A66">
      <w:pPr>
        <w:rPr>
          <w:rFonts w:ascii="Calibri" w:eastAsiaTheme="majorEastAsia" w:hAnsi="Calibri" w:cstheme="majorBidi"/>
          <w:i w:val="0"/>
          <w:color w:val="002060"/>
          <w:sz w:val="22"/>
          <w:szCs w:val="22"/>
        </w:rPr>
      </w:pPr>
      <w:r>
        <w:rPr>
          <w:rFonts w:ascii="Calibri" w:eastAsiaTheme="majorEastAsia" w:hAnsi="Calibri" w:cstheme="majorBidi"/>
          <w:i w:val="0"/>
          <w:color w:val="002060"/>
          <w:sz w:val="22"/>
          <w:szCs w:val="22"/>
        </w:rPr>
        <w:fldChar w:fldCharType="end"/>
      </w: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Default="005D5A66" w:rsidP="005D5A66">
      <w:pPr>
        <w:rPr>
          <w:rFonts w:ascii="Calibri" w:eastAsiaTheme="majorEastAsia" w:hAnsi="Calibri" w:cstheme="majorBidi"/>
          <w:i w:val="0"/>
          <w:color w:val="002060"/>
          <w:sz w:val="22"/>
          <w:szCs w:val="22"/>
        </w:rPr>
      </w:pPr>
    </w:p>
    <w:p w:rsidR="005D5A66" w:rsidRPr="005D5A66" w:rsidRDefault="005D5A66" w:rsidP="005D5A66">
      <w:pPr>
        <w:rPr>
          <w:rFonts w:ascii="Calibri" w:eastAsiaTheme="majorEastAsia" w:hAnsi="Calibri" w:cstheme="majorBidi"/>
          <w:i w:val="0"/>
          <w:color w:val="002060"/>
          <w:sz w:val="22"/>
          <w:szCs w:val="22"/>
        </w:rPr>
      </w:pPr>
    </w:p>
    <w:p w:rsidR="00ED4D58" w:rsidRPr="00171EF8" w:rsidRDefault="00ED4D58" w:rsidP="00344818">
      <w:pPr>
        <w:pStyle w:val="Ttulo1"/>
      </w:pPr>
      <w:bookmarkStart w:id="0" w:name="_Toc368249578"/>
      <w:r w:rsidRPr="00171EF8">
        <w:t>Presentación</w:t>
      </w:r>
      <w:bookmarkEnd w:id="0"/>
    </w:p>
    <w:p w:rsidR="00ED4D58" w:rsidRPr="00171EF8" w:rsidRDefault="00ED4D58" w:rsidP="00171EF8">
      <w:pPr>
        <w:pStyle w:val="Sinespaciado"/>
        <w:spacing w:line="276" w:lineRule="auto"/>
        <w:jc w:val="both"/>
      </w:pPr>
      <w:r w:rsidRPr="00171EF8">
        <w:rPr>
          <w:rFonts w:cs="Times New Roman"/>
        </w:rPr>
        <w:t xml:space="preserve">La participación de El Salvador en la Alianza para el Gobierno Abierto (AGA) </w:t>
      </w:r>
      <w:r w:rsidR="00CA532E" w:rsidRPr="00171EF8">
        <w:rPr>
          <w:rFonts w:cs="Times New Roman"/>
        </w:rPr>
        <w:t>obedece al compromiso que</w:t>
      </w:r>
      <w:r w:rsidRPr="00171EF8">
        <w:rPr>
          <w:rFonts w:cs="Times New Roman"/>
        </w:rPr>
        <w:t xml:space="preserve"> el Gobierno Nacional </w:t>
      </w:r>
      <w:r w:rsidR="00CA532E" w:rsidRPr="00171EF8">
        <w:rPr>
          <w:rFonts w:cs="Times New Roman"/>
        </w:rPr>
        <w:t xml:space="preserve">adquiere dentro </w:t>
      </w:r>
      <w:r w:rsidRPr="00171EF8">
        <w:rPr>
          <w:rFonts w:cs="Times New Roman"/>
        </w:rPr>
        <w:t>con la</w:t>
      </w:r>
      <w:r w:rsidRPr="00171EF8">
        <w:t xml:space="preserve"> mejora constante de la gestión gubernamental y la incorporación de la participación ciudadana como uno de los ejes principales en la formulación, implementación y evaluación de las políticas públicas que </w:t>
      </w:r>
      <w:r w:rsidR="00CA532E" w:rsidRPr="00171EF8">
        <w:t>ejecuta</w:t>
      </w:r>
      <w:r w:rsidRPr="00171EF8">
        <w:t>.</w:t>
      </w:r>
      <w:r w:rsidR="00C41B5A" w:rsidRPr="00171EF8">
        <w:t xml:space="preserve"> Su incorporación a esta alianza se hizo por mandato presidencial y su coordinación se depositó en la Secretaría para Asuntos Estratégicos, a través de la Subsecretaría de Transparencia y Anticorrupción (SSTA), cuyo ámbito de acción es, por Decreto de Creación, en el Órgano Ejecutivo.</w:t>
      </w:r>
    </w:p>
    <w:p w:rsidR="00ED4D58" w:rsidRPr="00171EF8" w:rsidRDefault="00ED4D58" w:rsidP="00171EF8">
      <w:pPr>
        <w:pStyle w:val="Sinespaciado"/>
        <w:spacing w:line="276" w:lineRule="auto"/>
        <w:jc w:val="both"/>
        <w:rPr>
          <w:rFonts w:cs="Times New Roman"/>
        </w:rPr>
      </w:pPr>
    </w:p>
    <w:p w:rsidR="00ED4D58" w:rsidRPr="00171EF8" w:rsidRDefault="00C41B5A" w:rsidP="00171EF8">
      <w:pPr>
        <w:pStyle w:val="Sinespaciado"/>
        <w:spacing w:line="276" w:lineRule="auto"/>
        <w:jc w:val="both"/>
      </w:pPr>
      <w:r w:rsidRPr="00171EF8">
        <w:rPr>
          <w:rFonts w:cs="Times New Roman"/>
        </w:rPr>
        <w:t xml:space="preserve">El </w:t>
      </w:r>
      <w:r w:rsidR="00ED4D58" w:rsidRPr="00171EF8">
        <w:rPr>
          <w:rFonts w:cs="Times New Roman"/>
        </w:rPr>
        <w:t>Plan de Acción</w:t>
      </w:r>
      <w:r w:rsidRPr="00171EF8">
        <w:rPr>
          <w:rFonts w:cs="Times New Roman"/>
        </w:rPr>
        <w:t xml:space="preserve"> que se presenta</w:t>
      </w:r>
      <w:r w:rsidR="00ED4D58" w:rsidRPr="00171EF8">
        <w:rPr>
          <w:rFonts w:cs="Times New Roman"/>
        </w:rPr>
        <w:t xml:space="preserve"> </w:t>
      </w:r>
      <w:r w:rsidR="00ED4D58" w:rsidRPr="00171EF8">
        <w:t>es el resultado de una consulta que incorporó talleres y reuniones presenciales con especialistas en los diferentes ejes de acción</w:t>
      </w:r>
      <w:r w:rsidR="00CA532E" w:rsidRPr="00171EF8">
        <w:t xml:space="preserve"> que la Alianza impulsa</w:t>
      </w:r>
      <w:r w:rsidR="00ED4D58" w:rsidRPr="00171EF8">
        <w:t xml:space="preserve">. Fueron invitados y participaron representantes de diferentes entes de la Administración Pública, entre ellos Ministerios, Entidades Autónomas, Corte Suprema de Justicia (CSJ), Corte de Cuentas de la República (CCR), Fiscalía General de la República (FGR), Tribunal de Ética Gubernamental (TEG), </w:t>
      </w:r>
      <w:r w:rsidR="00CA532E" w:rsidRPr="00171EF8">
        <w:t>Instituto de Acceso a Información Pública (IAIP), Subsecretaría de Gobernabilidad y Modernización del Estado (SSGME), Fondo Solidario para la Salud (FOSALUD), O</w:t>
      </w:r>
      <w:r w:rsidR="00ED4D58" w:rsidRPr="00171EF8">
        <w:t xml:space="preserve">rganizaciones de la Sociedad Civil, Organizaciones no Gubernamentales (Ong´s), Sindicatos, Gremiales Empresariales y universidades. Se inició en el mes de diciembre de 2012 y finalizó en septiembre de 2013. </w:t>
      </w:r>
      <w:r w:rsidR="00171EF8">
        <w:t>Las</w:t>
      </w:r>
      <w:r w:rsidR="00ED4D58" w:rsidRPr="00171EF8">
        <w:t xml:space="preserve"> propuestas</w:t>
      </w:r>
      <w:r w:rsidR="00171EF8">
        <w:t xml:space="preserve"> surgidas </w:t>
      </w:r>
      <w:r w:rsidR="00ED4D58" w:rsidRPr="00171EF8">
        <w:t xml:space="preserve">fueron consultadas en un sitio web (consulta.gobiernoabierto.gob.sv) especialmente diseñado </w:t>
      </w:r>
      <w:r w:rsidR="00171EF8">
        <w:t>para ello</w:t>
      </w:r>
      <w:r w:rsidR="00ED4D58" w:rsidRPr="00171EF8">
        <w:t>, de libre acceso público y con posibilidad de comentarse desde cualquier red soc</w:t>
      </w:r>
      <w:r w:rsidR="00CA532E" w:rsidRPr="00171EF8">
        <w:t>ial (Facebook, Twitter y otras).</w:t>
      </w:r>
    </w:p>
    <w:p w:rsidR="00ED4D58" w:rsidRPr="00171EF8" w:rsidRDefault="00ED4D58" w:rsidP="00171EF8">
      <w:pPr>
        <w:pStyle w:val="Sinespaciado"/>
        <w:spacing w:line="276" w:lineRule="auto"/>
        <w:jc w:val="both"/>
      </w:pPr>
    </w:p>
    <w:p w:rsidR="00ED4D58" w:rsidRPr="00171EF8" w:rsidRDefault="00ED4D58" w:rsidP="00171EF8">
      <w:pPr>
        <w:pStyle w:val="Sinespaciado"/>
        <w:spacing w:line="276" w:lineRule="auto"/>
        <w:jc w:val="both"/>
      </w:pPr>
      <w:r w:rsidRPr="00171EF8">
        <w:t xml:space="preserve">Dado que El Salvador presentó su primer plan AGA en febrero de 2012 en el cual se establecieron compromisos para 2013 y 2014, </w:t>
      </w:r>
      <w:r w:rsidR="00CA532E" w:rsidRPr="00171EF8">
        <w:t>se realizó</w:t>
      </w:r>
      <w:r w:rsidRPr="00171EF8">
        <w:t xml:space="preserve"> una evaluación de cumplimiento para incorporar al nuevo plan medidas de fortalecimiento o de seguimiento a lo ya ejecutado, con el fin de dar cumplimiento efectivo y mantener la visión estratégica de su origen. La evaluación se realizó con Ong´s vinculadas al tema de transparencia y anticorrupción en el país y sus aportes incorporados en el nuevo plan.</w:t>
      </w:r>
      <w:r w:rsidR="00344818">
        <w:t xml:space="preserve"> </w:t>
      </w:r>
      <w:r w:rsidRPr="00171EF8">
        <w:t xml:space="preserve">Una vez terminado se realizaron dos validaciones, la primera con las instituciones públicas encargadas de cada una de las acciones específicas propuestas para que dieran su aval y aceptaran liderar los diferentes </w:t>
      </w:r>
      <w:r w:rsidR="008160C8" w:rsidRPr="00171EF8">
        <w:t>procesos;</w:t>
      </w:r>
      <w:r w:rsidRPr="00171EF8">
        <w:t xml:space="preserve"> </w:t>
      </w:r>
      <w:r w:rsidR="008160C8" w:rsidRPr="00171EF8">
        <w:t>l</w:t>
      </w:r>
      <w:r w:rsidRPr="00171EF8">
        <w:t xml:space="preserve">a segunda fue una revisión conjunta con las organizaciones de sociedad civil </w:t>
      </w:r>
      <w:r w:rsidR="008160C8" w:rsidRPr="00171EF8">
        <w:t>entre el</w:t>
      </w:r>
      <w:r w:rsidRPr="00171EF8">
        <w:t xml:space="preserve"> 4 de septiembre al 18 de septiembre</w:t>
      </w:r>
      <w:r w:rsidR="008160C8" w:rsidRPr="00171EF8">
        <w:t xml:space="preserve"> de 2013</w:t>
      </w:r>
      <w:r w:rsidRPr="00171EF8">
        <w:t xml:space="preserve">, </w:t>
      </w:r>
      <w:r w:rsidR="008160C8" w:rsidRPr="00171EF8">
        <w:t>de ahí surge la versión final del plan que se presenta.</w:t>
      </w:r>
    </w:p>
    <w:p w:rsidR="00ED4D58" w:rsidRPr="00171EF8" w:rsidRDefault="00ED4D58" w:rsidP="00171EF8">
      <w:pPr>
        <w:pStyle w:val="Sinespaciado"/>
        <w:spacing w:line="276" w:lineRule="auto"/>
        <w:jc w:val="both"/>
      </w:pPr>
    </w:p>
    <w:p w:rsidR="00ED4D58" w:rsidRPr="00171EF8" w:rsidRDefault="00ED4D58" w:rsidP="00171EF8">
      <w:pPr>
        <w:pStyle w:val="Sinespaciado"/>
        <w:spacing w:line="276" w:lineRule="auto"/>
        <w:jc w:val="both"/>
      </w:pPr>
      <w:r w:rsidRPr="00171EF8">
        <w:t>De esta forma, e</w:t>
      </w:r>
      <w:r w:rsidRPr="00171EF8">
        <w:rPr>
          <w:rFonts w:cs="Times New Roman"/>
        </w:rPr>
        <w:t xml:space="preserve">l Gobierno de El Salvador, a través de la </w:t>
      </w:r>
      <w:r w:rsidR="00C41B5A" w:rsidRPr="00171EF8">
        <w:rPr>
          <w:rFonts w:cs="Times New Roman"/>
        </w:rPr>
        <w:t>SSTA</w:t>
      </w:r>
      <w:r w:rsidRPr="00171EF8">
        <w:rPr>
          <w:rFonts w:cs="Times New Roman"/>
        </w:rPr>
        <w:t xml:space="preserve">, </w:t>
      </w:r>
      <w:r w:rsidRPr="00171EF8">
        <w:t>incorpora en el presente</w:t>
      </w:r>
      <w:r w:rsidRPr="00171EF8">
        <w:rPr>
          <w:rFonts w:cs="Times New Roman"/>
        </w:rPr>
        <w:t xml:space="preserve"> Plan </w:t>
      </w:r>
      <w:r w:rsidRPr="00171EF8">
        <w:t xml:space="preserve">una serie de acciones destinadas al uso de las herramientas de transparencia y acceso a la información que mejoren la calidad de la participación ciudadana y añade el uso de las Tecnologías de Información y Comunicación como instrumento que produzca y facilite la información y la interacción entre los entes públicos y la ciudadanía por medio de la transformación de datos en poder de los entes estatales que hasta hoy </w:t>
      </w:r>
      <w:r w:rsidR="00171EF8">
        <w:t>son</w:t>
      </w:r>
      <w:r w:rsidRPr="00171EF8">
        <w:t xml:space="preserve"> únicamente comprens</w:t>
      </w:r>
      <w:r w:rsidR="00171EF8">
        <w:t>ibles para técnicos conocedores.</w:t>
      </w:r>
    </w:p>
    <w:p w:rsidR="00ED4D58" w:rsidRPr="00171EF8" w:rsidRDefault="00ED4D58" w:rsidP="00344818">
      <w:pPr>
        <w:pStyle w:val="Ttulo1"/>
      </w:pPr>
      <w:bookmarkStart w:id="1" w:name="_Toc368249579"/>
      <w:r w:rsidRPr="00171EF8">
        <w:t>I. Antecedentes</w:t>
      </w:r>
      <w:bookmarkEnd w:id="1"/>
    </w:p>
    <w:p w:rsidR="008160C8" w:rsidRPr="00171EF8" w:rsidRDefault="008160C8" w:rsidP="00171EF8">
      <w:pPr>
        <w:pStyle w:val="Sinespaciado"/>
        <w:spacing w:line="276" w:lineRule="auto"/>
        <w:jc w:val="both"/>
        <w:rPr>
          <w:lang w:val="es-ES"/>
        </w:rPr>
      </w:pPr>
    </w:p>
    <w:p w:rsidR="005B12E6" w:rsidRPr="00171EF8" w:rsidRDefault="005B12E6" w:rsidP="00344818">
      <w:pPr>
        <w:pStyle w:val="Ttulo2"/>
      </w:pPr>
      <w:bookmarkStart w:id="2" w:name="_Toc368249580"/>
      <w:r w:rsidRPr="00171EF8">
        <w:t>I.1 El Plan AGA mayo 2012 – mayo 2014</w:t>
      </w:r>
      <w:bookmarkEnd w:id="2"/>
    </w:p>
    <w:p w:rsidR="00344818" w:rsidRDefault="00344818" w:rsidP="00171EF8">
      <w:pPr>
        <w:pStyle w:val="Sinespaciado"/>
        <w:spacing w:line="276" w:lineRule="auto"/>
        <w:jc w:val="both"/>
        <w:rPr>
          <w:lang w:val="es-ES"/>
        </w:rPr>
      </w:pPr>
    </w:p>
    <w:p w:rsidR="00ED4D58" w:rsidRPr="00171EF8" w:rsidRDefault="00ED4D58" w:rsidP="00171EF8">
      <w:pPr>
        <w:pStyle w:val="Sinespaciado"/>
        <w:spacing w:line="276" w:lineRule="auto"/>
        <w:jc w:val="both"/>
      </w:pPr>
      <w:r w:rsidRPr="00171EF8">
        <w:rPr>
          <w:lang w:val="es-ES"/>
        </w:rPr>
        <w:t xml:space="preserve">El Salvador presentó, en la reunión de Brasilia, un Plan de Acción </w:t>
      </w:r>
      <w:r w:rsidR="005B12E6" w:rsidRPr="00171EF8">
        <w:rPr>
          <w:lang w:val="es-ES"/>
        </w:rPr>
        <w:t xml:space="preserve">para mayo 2012- mayo 2014, </w:t>
      </w:r>
      <w:r w:rsidRPr="00171EF8">
        <w:rPr>
          <w:lang w:val="es-ES"/>
        </w:rPr>
        <w:t xml:space="preserve">que se </w:t>
      </w:r>
      <w:r w:rsidRPr="00171EF8">
        <w:t xml:space="preserve">inscribía en el marco de la Política Anticorrupción y Transparencia (PAT) del Gobierno salvadoreño, </w:t>
      </w:r>
      <w:r w:rsidR="005B12E6" w:rsidRPr="00171EF8">
        <w:t>incorporando los siguientes compromisos:</w:t>
      </w:r>
      <w:r w:rsidRPr="00171EF8">
        <w:t xml:space="preserve"> </w:t>
      </w:r>
    </w:p>
    <w:p w:rsidR="008160C8" w:rsidRPr="00171EF8" w:rsidRDefault="008160C8" w:rsidP="00171EF8">
      <w:pPr>
        <w:pStyle w:val="Sinespaciado"/>
        <w:spacing w:line="276" w:lineRule="auto"/>
        <w:jc w:val="both"/>
      </w:pPr>
    </w:p>
    <w:p w:rsidR="008160C8" w:rsidRPr="00344818" w:rsidRDefault="008160C8" w:rsidP="00F55729">
      <w:pPr>
        <w:pStyle w:val="Ttulo3"/>
        <w:numPr>
          <w:ilvl w:val="0"/>
          <w:numId w:val="51"/>
        </w:numPr>
      </w:pPr>
      <w:bookmarkStart w:id="3" w:name="_Toc368249581"/>
      <w:r w:rsidRPr="00344818">
        <w:t>Aumentar la disponibilidad de información sobre las actividades gubernamentales</w:t>
      </w:r>
      <w:bookmarkEnd w:id="3"/>
    </w:p>
    <w:p w:rsidR="008160C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Apertura de Oficinas de Información y Respuesta en todas las instituciones del Órgano Ejecutivo. Implementación: hasta diciembre de 2012</w:t>
      </w:r>
      <w:r w:rsidR="00171EF8">
        <w:rPr>
          <w:i w:val="0"/>
          <w:iCs w:val="0"/>
          <w:sz w:val="22"/>
          <w:szCs w:val="22"/>
          <w:lang w:val="es-ES" w:eastAsia="es-SV" w:bidi="ar-SA"/>
        </w:rPr>
        <w:t>.</w:t>
      </w:r>
    </w:p>
    <w:p w:rsidR="008160C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Apertura de 14 Oficinas de Información y Respuesta en 14 Gobernaciones, otras en oficinas regionales y departamentales de otras carteras de Estado. Implementación: hasta diciembre de 2012.</w:t>
      </w:r>
    </w:p>
    <w:p w:rsidR="008160C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Reforma de ley para OBUDSMAN y derecho de respuesta. Implementación: hasta diciembre de 2012.</w:t>
      </w:r>
    </w:p>
    <w:p w:rsidR="008160C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Divulgación de Cartas de Derechos de los usuarios. Implementación: hasta diciembre de 2012.</w:t>
      </w:r>
    </w:p>
    <w:p w:rsidR="00171EF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Monitoreo ciudadano a los servicios públicos (“El peor trámite de mi vida”) y mejora de los principales servicios en 60 días. Implementación: hasta diciembre de 2012</w:t>
      </w:r>
      <w:r w:rsidR="00171EF8">
        <w:rPr>
          <w:i w:val="0"/>
          <w:iCs w:val="0"/>
          <w:sz w:val="22"/>
          <w:szCs w:val="22"/>
          <w:lang w:val="es-ES" w:eastAsia="es-SV" w:bidi="ar-SA"/>
        </w:rPr>
        <w:t>.</w:t>
      </w:r>
    </w:p>
    <w:p w:rsidR="008160C8" w:rsidRPr="00171EF8" w:rsidRDefault="008160C8" w:rsidP="00171EF8">
      <w:pPr>
        <w:pStyle w:val="Prrafodelista"/>
        <w:numPr>
          <w:ilvl w:val="0"/>
          <w:numId w:val="20"/>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Desarrollo de un programa de educación a distancia para aumentar la capacidad de los funcionarios públicos sobre la cuestión del acceso a la información. Implementación: hasta diciembre de 2013</w:t>
      </w:r>
      <w:r w:rsidR="00171EF8">
        <w:rPr>
          <w:i w:val="0"/>
          <w:iCs w:val="0"/>
          <w:sz w:val="22"/>
          <w:szCs w:val="22"/>
          <w:lang w:val="es-ES" w:eastAsia="es-SV" w:bidi="ar-SA"/>
        </w:rPr>
        <w:t>.</w:t>
      </w:r>
    </w:p>
    <w:p w:rsidR="008160C8" w:rsidRPr="00344818" w:rsidRDefault="008160C8" w:rsidP="00F55729">
      <w:pPr>
        <w:pStyle w:val="Ttulo3"/>
        <w:numPr>
          <w:ilvl w:val="0"/>
          <w:numId w:val="51"/>
        </w:numPr>
      </w:pPr>
      <w:bookmarkStart w:id="4" w:name="_Toc368249582"/>
      <w:r w:rsidRPr="00344818">
        <w:t>Apoyar la participación ciudadana y las rendiciones de cuentas</w:t>
      </w:r>
      <w:bookmarkEnd w:id="4"/>
    </w:p>
    <w:p w:rsidR="008160C8" w:rsidRPr="00171EF8" w:rsidRDefault="008160C8" w:rsidP="00171EF8">
      <w:pPr>
        <w:pStyle w:val="Prrafodelista"/>
        <w:numPr>
          <w:ilvl w:val="0"/>
          <w:numId w:val="21"/>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Mejorada cada año la calidad de los ejercicios de rendición de cuentas de forma que se convierta en una cultura institucional y en un compromiso irreversible de los siguientes Gobiernos. Implementación: hasta mayo de 2014</w:t>
      </w:r>
      <w:r w:rsidR="00171EF8">
        <w:rPr>
          <w:i w:val="0"/>
          <w:iCs w:val="0"/>
          <w:sz w:val="22"/>
          <w:szCs w:val="22"/>
          <w:lang w:val="es-ES" w:eastAsia="es-SV" w:bidi="ar-SA"/>
        </w:rPr>
        <w:t>.</w:t>
      </w:r>
    </w:p>
    <w:p w:rsidR="008160C8" w:rsidRPr="00171EF8" w:rsidRDefault="008160C8" w:rsidP="00171EF8">
      <w:pPr>
        <w:pStyle w:val="Prrafodelista"/>
        <w:numPr>
          <w:ilvl w:val="0"/>
          <w:numId w:val="21"/>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Ampliar los ejercicios de rendición de cuentas a los Gabinetes de Gestión Departamental. Implementación: hasta mayo de 2014</w:t>
      </w:r>
      <w:r w:rsidR="00171EF8">
        <w:rPr>
          <w:i w:val="0"/>
          <w:iCs w:val="0"/>
          <w:sz w:val="22"/>
          <w:szCs w:val="22"/>
          <w:lang w:val="es-ES" w:eastAsia="es-SV" w:bidi="ar-SA"/>
        </w:rPr>
        <w:t>.</w:t>
      </w:r>
    </w:p>
    <w:p w:rsidR="008160C8" w:rsidRPr="00171EF8" w:rsidRDefault="008160C8" w:rsidP="00171EF8">
      <w:pPr>
        <w:pStyle w:val="Prrafodelista"/>
        <w:numPr>
          <w:ilvl w:val="0"/>
          <w:numId w:val="21"/>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Implementar los Pactos de Integridad en proyectos emblemáticos del Gobierno. Implementación: hasta mayo de 2014</w:t>
      </w:r>
      <w:r w:rsidR="00171EF8">
        <w:rPr>
          <w:i w:val="0"/>
          <w:iCs w:val="0"/>
          <w:sz w:val="22"/>
          <w:szCs w:val="22"/>
          <w:lang w:val="es-ES" w:eastAsia="es-SV" w:bidi="ar-SA"/>
        </w:rPr>
        <w:t>.</w:t>
      </w:r>
    </w:p>
    <w:p w:rsidR="008160C8" w:rsidRDefault="008160C8" w:rsidP="00171EF8">
      <w:pPr>
        <w:pStyle w:val="Prrafodelista"/>
        <w:numPr>
          <w:ilvl w:val="0"/>
          <w:numId w:val="21"/>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Instalado y en funcionamiento un sistema público privado que ofrezcan asistencia legal dentro de cada institución gubernamental a los ciudadanos que deseen interponer una queja, aviso o demanda por incumplimiento de labores o servicio brindado por el Estado, cuya estructura se creará en alianza con el sector privado, el sector académico y la sociedad civil. Implementación: hasta diciembre de 2012.</w:t>
      </w:r>
    </w:p>
    <w:p w:rsidR="00F55729" w:rsidRPr="00F55729" w:rsidRDefault="00F55729" w:rsidP="00F55729">
      <w:pPr>
        <w:autoSpaceDE w:val="0"/>
        <w:autoSpaceDN w:val="0"/>
        <w:adjustRightInd w:val="0"/>
        <w:spacing w:after="0" w:line="276" w:lineRule="auto"/>
        <w:ind w:left="708"/>
        <w:rPr>
          <w:i w:val="0"/>
          <w:iCs w:val="0"/>
          <w:sz w:val="22"/>
          <w:szCs w:val="22"/>
          <w:lang w:val="es-ES" w:eastAsia="es-SV" w:bidi="ar-SA"/>
        </w:rPr>
      </w:pPr>
    </w:p>
    <w:p w:rsidR="008160C8" w:rsidRPr="00171EF8" w:rsidRDefault="008160C8" w:rsidP="00D40F96">
      <w:pPr>
        <w:pStyle w:val="Ttulo3"/>
        <w:numPr>
          <w:ilvl w:val="0"/>
          <w:numId w:val="51"/>
        </w:numPr>
        <w:rPr>
          <w:rFonts w:eastAsiaTheme="minorEastAsia"/>
          <w:lang w:val="es-ES" w:eastAsia="es-SV" w:bidi="ar-SA"/>
        </w:rPr>
      </w:pPr>
      <w:bookmarkStart w:id="5" w:name="_Toc368249583"/>
      <w:r w:rsidRPr="00171EF8">
        <w:rPr>
          <w:rFonts w:eastAsiaTheme="minorEastAsia"/>
          <w:lang w:val="es-ES" w:eastAsia="es-SV" w:bidi="ar-SA"/>
        </w:rPr>
        <w:t>Fortalecimiento a la auditoría interna y a los estándares de integridad profesional</w:t>
      </w:r>
      <w:bookmarkEnd w:id="5"/>
    </w:p>
    <w:p w:rsidR="008160C8" w:rsidRPr="00171EF8" w:rsidRDefault="008160C8" w:rsidP="00171EF8">
      <w:pPr>
        <w:pStyle w:val="Prrafodelista"/>
        <w:numPr>
          <w:ilvl w:val="0"/>
          <w:numId w:val="22"/>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Estudio y presentación pública de casos emblemáticos de corrupción. . Implementación: hasta mayo de 2014.</w:t>
      </w:r>
    </w:p>
    <w:p w:rsidR="008160C8" w:rsidRPr="00171EF8" w:rsidRDefault="008160C8" w:rsidP="00171EF8">
      <w:pPr>
        <w:pStyle w:val="Prrafodelista"/>
        <w:numPr>
          <w:ilvl w:val="0"/>
          <w:numId w:val="22"/>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Agilización y transparencia en procesos de inversión pública. Implementación: hasta mayo de 2014.</w:t>
      </w:r>
    </w:p>
    <w:p w:rsidR="008160C8" w:rsidRPr="00171EF8" w:rsidRDefault="008160C8" w:rsidP="00171EF8">
      <w:pPr>
        <w:pStyle w:val="Prrafodelista"/>
        <w:numPr>
          <w:ilvl w:val="0"/>
          <w:numId w:val="22"/>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Formación de comités de auditoría y profesionalizadas las Unidades de Auditoría Interna del Órgano Ejecutivo en temas específicos enfocados al combate a la corrupción, como son detección de fraude, auditoría forense, procesos de compras, preparación de planes de trabajo bajo el enfoque de riesgo, tipificación de un acto administrativo como delito penal, etc. Implementación: hasta diciembre de 2013.</w:t>
      </w:r>
    </w:p>
    <w:p w:rsidR="008160C8" w:rsidRPr="00171EF8" w:rsidRDefault="008160C8" w:rsidP="00171EF8">
      <w:pPr>
        <w:pStyle w:val="Prrafodelista"/>
        <w:numPr>
          <w:ilvl w:val="0"/>
          <w:numId w:val="22"/>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Promover una Ley de partidos políticos con regulación de la publicidad electoral. Implementación: hasta mayo de 2014.</w:t>
      </w:r>
    </w:p>
    <w:p w:rsidR="008160C8" w:rsidRDefault="008160C8" w:rsidP="00171EF8">
      <w:pPr>
        <w:pStyle w:val="Prrafodelista"/>
        <w:numPr>
          <w:ilvl w:val="0"/>
          <w:numId w:val="22"/>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En coordinación con el Ministerio de Trabajo, establecido un servicio de intermediación de empleo que se vuelve de obligatorio uso para todas las entidades del Órgano Ejecutivo al momento de contratar a los empleados públicos (ya sean bajo la modalidad de contrato o ley de salarios), cuyo objetivo sea transparentar y volver lo más objetivos posibles estos procesos. Implementación: hasta mayo de 2014.</w:t>
      </w:r>
    </w:p>
    <w:p w:rsidR="00F55729" w:rsidRPr="00F55729" w:rsidRDefault="00F55729" w:rsidP="00F55729">
      <w:pPr>
        <w:autoSpaceDE w:val="0"/>
        <w:autoSpaceDN w:val="0"/>
        <w:adjustRightInd w:val="0"/>
        <w:spacing w:after="0" w:line="276" w:lineRule="auto"/>
        <w:ind w:left="348"/>
        <w:rPr>
          <w:i w:val="0"/>
          <w:iCs w:val="0"/>
          <w:sz w:val="22"/>
          <w:szCs w:val="22"/>
          <w:lang w:val="es-ES" w:eastAsia="es-SV" w:bidi="ar-SA"/>
        </w:rPr>
      </w:pPr>
    </w:p>
    <w:p w:rsidR="008160C8" w:rsidRPr="00171EF8" w:rsidRDefault="008160C8" w:rsidP="00D40F96">
      <w:pPr>
        <w:pStyle w:val="Ttulo3"/>
        <w:numPr>
          <w:ilvl w:val="0"/>
          <w:numId w:val="51"/>
        </w:numPr>
        <w:rPr>
          <w:rFonts w:eastAsiaTheme="minorEastAsia"/>
          <w:lang w:val="es-ES" w:eastAsia="es-SV" w:bidi="ar-SA"/>
        </w:rPr>
      </w:pPr>
      <w:bookmarkStart w:id="6" w:name="_Toc368249584"/>
      <w:r w:rsidRPr="00171EF8">
        <w:rPr>
          <w:rFonts w:eastAsiaTheme="minorEastAsia"/>
          <w:lang w:val="es-ES" w:eastAsia="es-SV" w:bidi="ar-SA"/>
        </w:rPr>
        <w:t>Apoyar el uso de las nuevas tecnologías para la transparencia y acceso a la información</w:t>
      </w:r>
      <w:bookmarkEnd w:id="6"/>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Apertura del portal Transparencia Fiscal con información sobre ingreso y evolución de gasto. Implementación: hasta diciembre de 2012</w:t>
      </w:r>
      <w:r w:rsidR="00171EF8">
        <w:rPr>
          <w:i w:val="0"/>
          <w:iCs w:val="0"/>
          <w:sz w:val="22"/>
          <w:szCs w:val="22"/>
          <w:lang w:val="es-ES" w:eastAsia="es-SV" w:bidi="ar-SA"/>
        </w:rPr>
        <w:t>.</w:t>
      </w:r>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Publicar un Ranking de Banca Privada (con información sobre las comisiones, requisitos, intereses) para apoyar decisión razonada de la población. Implementación: hasta diciembre de 2012.</w:t>
      </w:r>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Publicación de catálogo de proyectos prioritarios del gobierno, con información consolidada en portal Gobierno Transparente. Implementación: hasta mayo de 2014</w:t>
      </w:r>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Ampliación de E-regulations que beneficie inversión internacional. Implementación: hasta diciembre de 2012</w:t>
      </w:r>
      <w:r w:rsidR="00171EF8">
        <w:rPr>
          <w:i w:val="0"/>
          <w:iCs w:val="0"/>
          <w:sz w:val="22"/>
          <w:szCs w:val="22"/>
          <w:lang w:val="es-ES" w:eastAsia="es-SV" w:bidi="ar-SA"/>
        </w:rPr>
        <w:t>.</w:t>
      </w:r>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Instalado y en funcionamiento un espacio electrónico dentro del Portal Único de Transparencia llamado “Transparencia Focalizada” a través del cual el Gobierno busca brindar información de utilidad al ciudadano para mejorar su toma de decisiones en relación a los productos, trámites, precio, calidad y servicios. Implementación: hasta diciembre de 2012.</w:t>
      </w:r>
    </w:p>
    <w:p w:rsidR="008160C8" w:rsidRPr="00171EF8" w:rsidRDefault="008160C8" w:rsidP="00171EF8">
      <w:pPr>
        <w:pStyle w:val="Prrafodelista"/>
        <w:numPr>
          <w:ilvl w:val="0"/>
          <w:numId w:val="23"/>
        </w:num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 xml:space="preserve">Instalado y en funcionamiento el periódico digital no propagandístico “Transparencia Activa” que envía información periódica a por lo menos 50,000 personas, cuyo objetivo principal es acercar la gestión del Órgano Ejecutivo a la población, facilitando la información que le es de utilidad al ciudadano, para ello contará con tres herramientas: a) Notas con información que proporcionarán las instituciones del Órgano Ejecutivo a través de sus oficinas de comunicaciones b) Notas aclaratorias para corregir distorsiones  informativas e c) Investigaciones propias sobre cualquier tema de agenda. Implementación: hasta mayo de </w:t>
      </w:r>
      <w:r w:rsidR="006A50DB" w:rsidRPr="00171EF8">
        <w:rPr>
          <w:i w:val="0"/>
          <w:iCs w:val="0"/>
          <w:sz w:val="22"/>
          <w:szCs w:val="22"/>
          <w:lang w:val="es-ES" w:eastAsia="es-SV" w:bidi="ar-SA"/>
        </w:rPr>
        <w:t>2012.</w:t>
      </w:r>
    </w:p>
    <w:p w:rsidR="005B12E6" w:rsidRPr="00344818" w:rsidRDefault="005B12E6" w:rsidP="00F12DE5">
      <w:pPr>
        <w:pStyle w:val="Ttulo2"/>
      </w:pPr>
      <w:bookmarkStart w:id="7" w:name="_Toc368249585"/>
      <w:r w:rsidRPr="00344818">
        <w:t>I.</w:t>
      </w:r>
      <w:r w:rsidR="00171EF8" w:rsidRPr="00344818">
        <w:t>2</w:t>
      </w:r>
      <w:r w:rsidRPr="00344818">
        <w:t xml:space="preserve"> Resu</w:t>
      </w:r>
      <w:r w:rsidR="008626BC" w:rsidRPr="00344818">
        <w:t>l</w:t>
      </w:r>
      <w:r w:rsidRPr="00344818">
        <w:t>tados de la implementación Plan AGA mayo 2012 – mayo 2014</w:t>
      </w:r>
      <w:bookmarkEnd w:id="7"/>
    </w:p>
    <w:p w:rsidR="008160C8" w:rsidRPr="00171EF8" w:rsidRDefault="008160C8" w:rsidP="00171EF8">
      <w:pPr>
        <w:autoSpaceDE w:val="0"/>
        <w:autoSpaceDN w:val="0"/>
        <w:adjustRightInd w:val="0"/>
        <w:spacing w:after="0" w:line="276" w:lineRule="auto"/>
        <w:rPr>
          <w:i w:val="0"/>
          <w:iCs w:val="0"/>
          <w:sz w:val="22"/>
          <w:szCs w:val="22"/>
          <w:lang w:val="es-ES" w:eastAsia="es-SV" w:bidi="ar-SA"/>
        </w:rPr>
      </w:pPr>
    </w:p>
    <w:p w:rsidR="008160C8" w:rsidRDefault="005B12E6" w:rsidP="00171EF8">
      <w:p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En conjunto con Ong´s vinculadas al tema de la transparencia y anticorrupción en El Salvador</w:t>
      </w:r>
      <w:r w:rsidRPr="00171EF8">
        <w:rPr>
          <w:rStyle w:val="Refdenotaalpie"/>
          <w:i w:val="0"/>
          <w:iCs w:val="0"/>
          <w:sz w:val="22"/>
          <w:szCs w:val="22"/>
          <w:lang w:val="es-ES" w:eastAsia="es-SV" w:bidi="ar-SA"/>
        </w:rPr>
        <w:footnoteReference w:id="1"/>
      </w:r>
      <w:r w:rsidR="008626BC" w:rsidRPr="00171EF8">
        <w:rPr>
          <w:i w:val="0"/>
          <w:iCs w:val="0"/>
          <w:sz w:val="22"/>
          <w:szCs w:val="22"/>
          <w:lang w:val="es-ES" w:eastAsia="es-SV" w:bidi="ar-SA"/>
        </w:rPr>
        <w:t xml:space="preserve"> se realizó una evaluación de los resultados presentados por la </w:t>
      </w:r>
      <w:r w:rsidR="00C41B5A" w:rsidRPr="00171EF8">
        <w:rPr>
          <w:i w:val="0"/>
          <w:iCs w:val="0"/>
          <w:sz w:val="22"/>
          <w:szCs w:val="22"/>
          <w:lang w:val="es-ES" w:eastAsia="es-SV" w:bidi="ar-SA"/>
        </w:rPr>
        <w:t>SSTA</w:t>
      </w:r>
      <w:r w:rsidR="008626BC" w:rsidRPr="00171EF8">
        <w:rPr>
          <w:i w:val="0"/>
          <w:iCs w:val="0"/>
          <w:sz w:val="22"/>
          <w:szCs w:val="22"/>
          <w:lang w:val="es-ES" w:eastAsia="es-SV" w:bidi="ar-SA"/>
        </w:rPr>
        <w:t xml:space="preserve">, </w:t>
      </w:r>
      <w:r w:rsidR="00C41B5A" w:rsidRPr="00171EF8">
        <w:rPr>
          <w:i w:val="0"/>
          <w:iCs w:val="0"/>
          <w:sz w:val="22"/>
          <w:szCs w:val="22"/>
          <w:lang w:val="es-ES" w:eastAsia="es-SV" w:bidi="ar-SA"/>
        </w:rPr>
        <w:t>los</w:t>
      </w:r>
      <w:r w:rsidR="008626BC" w:rsidRPr="00171EF8">
        <w:rPr>
          <w:i w:val="0"/>
          <w:iCs w:val="0"/>
          <w:sz w:val="22"/>
          <w:szCs w:val="22"/>
          <w:lang w:val="es-ES" w:eastAsia="es-SV" w:bidi="ar-SA"/>
        </w:rPr>
        <w:t xml:space="preserve"> aportes se presentan a continuación:</w:t>
      </w:r>
    </w:p>
    <w:p w:rsidR="00CE46E4" w:rsidRPr="00171EF8" w:rsidRDefault="00CE46E4" w:rsidP="00171EF8">
      <w:pPr>
        <w:autoSpaceDE w:val="0"/>
        <w:autoSpaceDN w:val="0"/>
        <w:adjustRightInd w:val="0"/>
        <w:spacing w:after="0" w:line="276" w:lineRule="auto"/>
        <w:rPr>
          <w:i w:val="0"/>
          <w:iCs w:val="0"/>
          <w:sz w:val="22"/>
          <w:szCs w:val="22"/>
          <w:lang w:val="es-ES" w:eastAsia="es-SV" w:bidi="ar-SA"/>
        </w:rPr>
      </w:pPr>
    </w:p>
    <w:tbl>
      <w:tblPr>
        <w:tblStyle w:val="Listaclara-nfasis3"/>
        <w:tblW w:w="4992" w:type="pct"/>
        <w:tblBorders>
          <w:left w:val="none" w:sz="0" w:space="0" w:color="auto"/>
          <w:right w:val="none" w:sz="0" w:space="0" w:color="auto"/>
          <w:insideH w:val="single" w:sz="8" w:space="0" w:color="B8CCE4" w:themeColor="accent3"/>
          <w:insideV w:val="single" w:sz="8" w:space="0" w:color="B8CCE4" w:themeColor="accent3"/>
        </w:tblBorders>
        <w:tblLayout w:type="fixed"/>
        <w:tblLook w:val="04A0"/>
      </w:tblPr>
      <w:tblGrid>
        <w:gridCol w:w="956"/>
        <w:gridCol w:w="3687"/>
        <w:gridCol w:w="4397"/>
      </w:tblGrid>
      <w:tr w:rsidR="002B710B" w:rsidRPr="00171EF8" w:rsidTr="00A1520C">
        <w:trPr>
          <w:cnfStyle w:val="100000000000"/>
          <w:trHeight w:val="574"/>
        </w:trPr>
        <w:tc>
          <w:tcPr>
            <w:cnfStyle w:val="001000000000"/>
            <w:tcW w:w="529" w:type="pct"/>
          </w:tcPr>
          <w:p w:rsidR="002B710B" w:rsidRPr="00171EF8" w:rsidRDefault="002B710B" w:rsidP="00171EF8">
            <w:pPr>
              <w:tabs>
                <w:tab w:val="left" w:pos="1725"/>
              </w:tabs>
              <w:spacing w:line="276" w:lineRule="auto"/>
              <w:jc w:val="center"/>
              <w:rPr>
                <w:rFonts w:cstheme="minorHAnsi"/>
                <w:i w:val="0"/>
                <w:color w:val="auto"/>
                <w:sz w:val="14"/>
                <w:szCs w:val="14"/>
                <w:lang w:val="es-ES"/>
              </w:rPr>
            </w:pPr>
            <w:r w:rsidRPr="00171EF8">
              <w:rPr>
                <w:rFonts w:cstheme="minorHAnsi"/>
                <w:i w:val="0"/>
                <w:color w:val="auto"/>
                <w:sz w:val="14"/>
                <w:szCs w:val="14"/>
                <w:lang w:val="es-ES"/>
              </w:rPr>
              <w:t>Porcentaje de Avance</w:t>
            </w:r>
          </w:p>
          <w:p w:rsidR="002B710B" w:rsidRPr="00171EF8" w:rsidRDefault="002B710B" w:rsidP="00171EF8">
            <w:pPr>
              <w:tabs>
                <w:tab w:val="left" w:pos="1725"/>
              </w:tabs>
              <w:spacing w:line="276" w:lineRule="auto"/>
              <w:jc w:val="center"/>
              <w:rPr>
                <w:rFonts w:cstheme="minorHAnsi"/>
                <w:i w:val="0"/>
                <w:color w:val="auto"/>
                <w:sz w:val="14"/>
                <w:szCs w:val="14"/>
                <w:lang w:val="es-ES"/>
              </w:rPr>
            </w:pPr>
            <w:r w:rsidRPr="00171EF8">
              <w:rPr>
                <w:rFonts w:cstheme="minorHAnsi"/>
                <w:i w:val="0"/>
                <w:color w:val="auto"/>
                <w:sz w:val="14"/>
                <w:szCs w:val="14"/>
                <w:lang w:val="es-ES"/>
              </w:rPr>
              <w:t>según SSTA</w:t>
            </w:r>
          </w:p>
        </w:tc>
        <w:tc>
          <w:tcPr>
            <w:tcW w:w="2039" w:type="pct"/>
          </w:tcPr>
          <w:p w:rsidR="002B710B" w:rsidRPr="00171EF8" w:rsidRDefault="002B710B" w:rsidP="00171EF8">
            <w:pPr>
              <w:tabs>
                <w:tab w:val="left" w:pos="1725"/>
              </w:tabs>
              <w:spacing w:line="276" w:lineRule="auto"/>
              <w:jc w:val="center"/>
              <w:cnfStyle w:val="100000000000"/>
              <w:rPr>
                <w:rFonts w:cstheme="minorHAnsi"/>
                <w:i w:val="0"/>
                <w:color w:val="auto"/>
                <w:sz w:val="14"/>
                <w:szCs w:val="14"/>
                <w:lang w:val="es-ES"/>
              </w:rPr>
            </w:pPr>
            <w:r w:rsidRPr="00171EF8">
              <w:rPr>
                <w:rFonts w:cstheme="minorHAnsi"/>
                <w:i w:val="0"/>
                <w:color w:val="auto"/>
                <w:sz w:val="14"/>
                <w:szCs w:val="14"/>
                <w:lang w:val="es-ES"/>
              </w:rPr>
              <w:t>Descripción del cumplimiento</w:t>
            </w:r>
          </w:p>
        </w:tc>
        <w:tc>
          <w:tcPr>
            <w:tcW w:w="2432" w:type="pct"/>
          </w:tcPr>
          <w:p w:rsidR="002B710B" w:rsidRPr="00171EF8" w:rsidRDefault="002B710B" w:rsidP="00171EF8">
            <w:pPr>
              <w:tabs>
                <w:tab w:val="left" w:pos="1725"/>
              </w:tabs>
              <w:spacing w:line="276" w:lineRule="auto"/>
              <w:jc w:val="center"/>
              <w:cnfStyle w:val="100000000000"/>
              <w:rPr>
                <w:rFonts w:cstheme="minorHAnsi"/>
                <w:i w:val="0"/>
                <w:color w:val="auto"/>
                <w:sz w:val="14"/>
                <w:szCs w:val="14"/>
                <w:lang w:val="es-ES"/>
              </w:rPr>
            </w:pPr>
            <w:r w:rsidRPr="00171EF8">
              <w:rPr>
                <w:rFonts w:cstheme="minorHAnsi"/>
                <w:i w:val="0"/>
                <w:color w:val="auto"/>
                <w:sz w:val="14"/>
                <w:szCs w:val="14"/>
                <w:lang w:val="es-ES"/>
              </w:rPr>
              <w:t>Aportaciones de las Ong´s evaluadoras</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rPr>
                <w:rFonts w:cstheme="minorHAnsi"/>
                <w:b w:val="0"/>
                <w:i w:val="0"/>
                <w:sz w:val="16"/>
                <w:szCs w:val="16"/>
                <w:lang w:val="es-ES_tradnl"/>
              </w:rPr>
            </w:pPr>
            <w:r w:rsidRPr="00171EF8">
              <w:rPr>
                <w:rFonts w:cstheme="minorHAnsi"/>
                <w:b w:val="0"/>
                <w:i w:val="0"/>
                <w:sz w:val="16"/>
                <w:szCs w:val="16"/>
              </w:rPr>
              <w:t xml:space="preserve">Apertura de Oficinas de Información y Respuesta en todas las instituciones del Órgano Ejecutivo. </w:t>
            </w:r>
            <w:r w:rsidRPr="00171EF8">
              <w:rPr>
                <w:rFonts w:cstheme="minorHAnsi"/>
                <w:b w:val="0"/>
                <w:i w:val="0"/>
                <w:sz w:val="16"/>
                <w:szCs w:val="16"/>
                <w:lang w:val="es-ES"/>
              </w:rPr>
              <w:t>Diciembre 2012</w:t>
            </w:r>
          </w:p>
          <w:p w:rsidR="002B710B" w:rsidRPr="00171EF8" w:rsidRDefault="002B710B" w:rsidP="00171EF8">
            <w:pPr>
              <w:pStyle w:val="Prrafodelista"/>
              <w:numPr>
                <w:ilvl w:val="0"/>
                <w:numId w:val="16"/>
              </w:numPr>
              <w:spacing w:line="276" w:lineRule="auto"/>
              <w:rPr>
                <w:rFonts w:cstheme="minorHAnsi"/>
                <w:b w:val="0"/>
                <w:i w:val="0"/>
                <w:sz w:val="16"/>
                <w:szCs w:val="16"/>
                <w:lang w:val="es-ES_tradnl"/>
              </w:rPr>
            </w:pPr>
            <w:r w:rsidRPr="00171EF8">
              <w:rPr>
                <w:rFonts w:cstheme="minorHAnsi"/>
                <w:b w:val="0"/>
                <w:i w:val="0"/>
                <w:sz w:val="16"/>
                <w:szCs w:val="16"/>
              </w:rPr>
              <w:t>Apertura e implementación  de 14 Oficinas de Información y Respuesta en 14 Gobernaciones Departamentales  y  en oficinas regionales y departamentales de otras carteras de Estado. Diciembre 2012.</w:t>
            </w:r>
          </w:p>
        </w:tc>
      </w:tr>
      <w:tr w:rsidR="002B710B" w:rsidRPr="00171EF8" w:rsidTr="00A1520C">
        <w:tc>
          <w:tcPr>
            <w:cnfStyle w:val="001000000000"/>
            <w:tcW w:w="529" w:type="pct"/>
          </w:tcPr>
          <w:p w:rsidR="002B710B" w:rsidRPr="00171EF8" w:rsidRDefault="002B710B" w:rsidP="00171EF8">
            <w:pPr>
              <w:spacing w:line="276" w:lineRule="auto"/>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171EF8">
            <w:pPr>
              <w:pStyle w:val="Prrafodelista"/>
              <w:numPr>
                <w:ilvl w:val="0"/>
                <w:numId w:val="15"/>
              </w:numPr>
              <w:spacing w:line="276" w:lineRule="auto"/>
              <w:ind w:left="171" w:hanging="171"/>
              <w:cnfStyle w:val="000000000000"/>
              <w:rPr>
                <w:rFonts w:cstheme="minorHAnsi"/>
                <w:i w:val="0"/>
                <w:sz w:val="16"/>
                <w:szCs w:val="16"/>
                <w:lang w:val="es-ES"/>
              </w:rPr>
            </w:pPr>
            <w:bookmarkStart w:id="8" w:name="OLE_LINK1"/>
            <w:r w:rsidRPr="00171EF8">
              <w:rPr>
                <w:rFonts w:cstheme="minorHAnsi"/>
                <w:i w:val="0"/>
                <w:sz w:val="16"/>
                <w:szCs w:val="16"/>
                <w:lang w:val="es-ES"/>
              </w:rPr>
              <w:t>Apertura de 78 Oficinas de Acceso a Información en 78 instituciones del Órgano Ejecutivo y 12 UAIP en otras instituciones públicas</w:t>
            </w:r>
            <w:r w:rsidRPr="00171EF8">
              <w:rPr>
                <w:rStyle w:val="Refdenotaalpie"/>
                <w:rFonts w:cstheme="minorHAnsi"/>
                <w:i w:val="0"/>
                <w:sz w:val="16"/>
                <w:szCs w:val="16"/>
                <w:lang w:val="es-ES"/>
              </w:rPr>
              <w:footnoteReference w:id="2"/>
            </w:r>
            <w:r w:rsidRPr="00171EF8">
              <w:rPr>
                <w:rFonts w:cstheme="minorHAnsi"/>
                <w:i w:val="0"/>
                <w:sz w:val="16"/>
                <w:szCs w:val="16"/>
                <w:lang w:val="es-ES"/>
              </w:rPr>
              <w:t xml:space="preserve">. </w:t>
            </w:r>
          </w:p>
          <w:p w:rsidR="002B710B" w:rsidRPr="00171EF8" w:rsidRDefault="002B710B" w:rsidP="00171EF8">
            <w:pPr>
              <w:pStyle w:val="Prrafodelista"/>
              <w:numPr>
                <w:ilvl w:val="0"/>
                <w:numId w:val="15"/>
              </w:numPr>
              <w:spacing w:line="276" w:lineRule="auto"/>
              <w:ind w:left="171" w:hanging="171"/>
              <w:cnfStyle w:val="000000000000"/>
              <w:rPr>
                <w:rFonts w:cstheme="minorHAnsi"/>
                <w:i w:val="0"/>
                <w:sz w:val="16"/>
                <w:szCs w:val="16"/>
                <w:lang w:val="es-ES"/>
              </w:rPr>
            </w:pPr>
            <w:r w:rsidRPr="00171EF8">
              <w:rPr>
                <w:rFonts w:cstheme="minorHAnsi"/>
                <w:i w:val="0"/>
                <w:sz w:val="16"/>
                <w:szCs w:val="16"/>
                <w:lang w:val="es-ES"/>
              </w:rPr>
              <w:t xml:space="preserve">Asesorías constantes para la mejora en la atención hacia la ciudadanía. </w:t>
            </w:r>
          </w:p>
          <w:p w:rsidR="002B710B" w:rsidRPr="00171EF8" w:rsidRDefault="002B710B" w:rsidP="00171EF8">
            <w:pPr>
              <w:pStyle w:val="Prrafodelista"/>
              <w:numPr>
                <w:ilvl w:val="0"/>
                <w:numId w:val="15"/>
              </w:numPr>
              <w:spacing w:line="276" w:lineRule="auto"/>
              <w:ind w:left="171" w:hanging="171"/>
              <w:cnfStyle w:val="000000000000"/>
              <w:rPr>
                <w:rFonts w:cstheme="minorHAnsi"/>
                <w:i w:val="0"/>
                <w:sz w:val="16"/>
                <w:szCs w:val="16"/>
                <w:u w:val="single"/>
                <w:lang w:val="es-ES"/>
              </w:rPr>
            </w:pPr>
            <w:r w:rsidRPr="00171EF8">
              <w:rPr>
                <w:rFonts w:cstheme="minorHAnsi"/>
                <w:i w:val="0"/>
                <w:sz w:val="16"/>
                <w:szCs w:val="16"/>
                <w:lang w:val="es-ES"/>
              </w:rPr>
              <w:t xml:space="preserve">Apertura de una oficina virtual que permite el envío de solicitudes de información desde el siguiente link:  </w:t>
            </w:r>
            <w:hyperlink r:id="rId11" w:history="1">
              <w:r w:rsidRPr="00171EF8">
                <w:rPr>
                  <w:rStyle w:val="Hipervnculo"/>
                  <w:rFonts w:cstheme="minorHAnsi"/>
                  <w:i w:val="0"/>
                  <w:color w:val="auto"/>
                  <w:sz w:val="16"/>
                  <w:szCs w:val="16"/>
                  <w:lang w:val="es-ES"/>
                </w:rPr>
                <w:t>http://www.gobiernoabierto.gob.sv/information_requests/new</w:t>
              </w:r>
            </w:hyperlink>
            <w:bookmarkEnd w:id="8"/>
          </w:p>
        </w:tc>
        <w:tc>
          <w:tcPr>
            <w:tcW w:w="2432" w:type="pct"/>
            <w:vMerge w:val="restart"/>
          </w:tcPr>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 xml:space="preserve">Fortalecer las campañas educativas en el ámbito nacional para que la población haga uso efectivo del derecho de acceso a </w:t>
            </w:r>
            <w:r w:rsidR="00CE46E4" w:rsidRPr="00171EF8">
              <w:rPr>
                <w:rFonts w:cstheme="minorHAnsi"/>
                <w:i w:val="0"/>
                <w:sz w:val="16"/>
                <w:szCs w:val="16"/>
                <w:lang w:val="es-ES_tradnl"/>
              </w:rPr>
              <w:t>información. El</w:t>
            </w:r>
            <w:r w:rsidRPr="00171EF8">
              <w:rPr>
                <w:rFonts w:cstheme="minorHAnsi"/>
                <w:i w:val="0"/>
                <w:sz w:val="16"/>
                <w:szCs w:val="16"/>
                <w:lang w:val="es-ES_tradnl"/>
              </w:rPr>
              <w:t xml:space="preserve"> énfasis debe ser en los territorios alejados de la ciudad, en donde se genera mayor confusión sobre roles y pasos a </w:t>
            </w:r>
            <w:r w:rsidR="00CE46E4" w:rsidRPr="00171EF8">
              <w:rPr>
                <w:rFonts w:cstheme="minorHAnsi"/>
                <w:i w:val="0"/>
                <w:sz w:val="16"/>
                <w:szCs w:val="16"/>
                <w:lang w:val="es-ES_tradnl"/>
              </w:rPr>
              <w:t>realizar</w:t>
            </w:r>
            <w:r w:rsidRPr="00171EF8">
              <w:rPr>
                <w:rFonts w:cstheme="minorHAnsi"/>
                <w:i w:val="0"/>
                <w:sz w:val="16"/>
                <w:szCs w:val="16"/>
                <w:lang w:val="es-ES_tradnl"/>
              </w:rPr>
              <w:t xml:space="preserve"> para solicitar información.</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Profundizar en la concientización de los servidores públicos para:</w:t>
            </w:r>
          </w:p>
          <w:p w:rsidR="002B710B" w:rsidRPr="00171EF8" w:rsidRDefault="002B710B" w:rsidP="00171EF8">
            <w:pPr>
              <w:pStyle w:val="Prrafodelista"/>
              <w:numPr>
                <w:ilvl w:val="2"/>
                <w:numId w:val="1"/>
              </w:numPr>
              <w:spacing w:line="276" w:lineRule="auto"/>
              <w:ind w:left="317" w:hanging="142"/>
              <w:cnfStyle w:val="000000000000"/>
              <w:rPr>
                <w:rFonts w:cstheme="minorHAnsi"/>
                <w:i w:val="0"/>
                <w:sz w:val="16"/>
                <w:szCs w:val="16"/>
                <w:lang w:val="es-ES_tradnl"/>
              </w:rPr>
            </w:pPr>
            <w:r w:rsidRPr="00171EF8">
              <w:rPr>
                <w:rFonts w:cstheme="minorHAnsi"/>
                <w:i w:val="0"/>
                <w:sz w:val="16"/>
                <w:szCs w:val="16"/>
                <w:lang w:val="es-ES_tradnl"/>
              </w:rPr>
              <w:t xml:space="preserve">Evitar desmotivaciones a la </w:t>
            </w:r>
            <w:r w:rsidR="00CE46E4" w:rsidRPr="00171EF8">
              <w:rPr>
                <w:rFonts w:cstheme="minorHAnsi"/>
                <w:i w:val="0"/>
                <w:sz w:val="16"/>
                <w:szCs w:val="16"/>
                <w:lang w:val="es-ES_tradnl"/>
              </w:rPr>
              <w:t>población</w:t>
            </w:r>
            <w:r w:rsidRPr="00171EF8">
              <w:rPr>
                <w:rFonts w:cstheme="minorHAnsi"/>
                <w:i w:val="0"/>
                <w:sz w:val="16"/>
                <w:szCs w:val="16"/>
                <w:lang w:val="es-ES_tradnl"/>
              </w:rPr>
              <w:t xml:space="preserve"> a presentar solicitudes de información (se presentaron dos casos) o presionen a llenar un formulario.</w:t>
            </w:r>
          </w:p>
          <w:p w:rsidR="002B710B" w:rsidRPr="00171EF8" w:rsidRDefault="002B710B" w:rsidP="00171EF8">
            <w:pPr>
              <w:pStyle w:val="Prrafodelista"/>
              <w:numPr>
                <w:ilvl w:val="2"/>
                <w:numId w:val="1"/>
              </w:numPr>
              <w:spacing w:line="276" w:lineRule="auto"/>
              <w:ind w:left="317" w:hanging="142"/>
              <w:cnfStyle w:val="000000000000"/>
              <w:rPr>
                <w:rFonts w:cstheme="minorHAnsi"/>
                <w:i w:val="0"/>
                <w:sz w:val="16"/>
                <w:szCs w:val="16"/>
                <w:lang w:val="es-ES_tradnl"/>
              </w:rPr>
            </w:pPr>
            <w:r w:rsidRPr="00171EF8">
              <w:rPr>
                <w:rFonts w:cstheme="minorHAnsi"/>
                <w:i w:val="0"/>
                <w:sz w:val="16"/>
                <w:szCs w:val="16"/>
                <w:lang w:val="es-ES_tradnl"/>
              </w:rPr>
              <w:t>Facilitar el trámite y disminuir barreras para solicitar información.</w:t>
            </w:r>
          </w:p>
          <w:p w:rsidR="002B710B" w:rsidRPr="00171EF8" w:rsidRDefault="002B710B" w:rsidP="00171EF8">
            <w:pPr>
              <w:pStyle w:val="Prrafodelista"/>
              <w:numPr>
                <w:ilvl w:val="2"/>
                <w:numId w:val="1"/>
              </w:numPr>
              <w:spacing w:line="276" w:lineRule="auto"/>
              <w:ind w:left="317" w:hanging="142"/>
              <w:cnfStyle w:val="000000000000"/>
              <w:rPr>
                <w:rFonts w:cstheme="minorHAnsi"/>
                <w:i w:val="0"/>
                <w:sz w:val="16"/>
                <w:szCs w:val="16"/>
                <w:lang w:val="es-ES_tradnl"/>
              </w:rPr>
            </w:pPr>
            <w:r w:rsidRPr="00171EF8">
              <w:rPr>
                <w:rFonts w:cstheme="minorHAnsi"/>
                <w:i w:val="0"/>
                <w:sz w:val="16"/>
                <w:szCs w:val="16"/>
                <w:lang w:val="es-ES_tradnl"/>
              </w:rPr>
              <w:t xml:space="preserve">Indiquen </w:t>
            </w:r>
            <w:r w:rsidR="00CE46E4" w:rsidRPr="00171EF8">
              <w:rPr>
                <w:rFonts w:cstheme="minorHAnsi"/>
                <w:i w:val="0"/>
                <w:sz w:val="16"/>
                <w:szCs w:val="16"/>
                <w:lang w:val="es-ES_tradnl"/>
              </w:rPr>
              <w:t>explícitamente</w:t>
            </w:r>
            <w:r w:rsidRPr="00171EF8">
              <w:rPr>
                <w:rFonts w:cstheme="minorHAnsi"/>
                <w:i w:val="0"/>
                <w:sz w:val="16"/>
                <w:szCs w:val="16"/>
                <w:lang w:val="es-ES_tradnl"/>
              </w:rPr>
              <w:t xml:space="preserve"> la dirección electrónica en la que la información oficiosa se encuentra en sus portales web.</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 xml:space="preserve">Mantener procesos de mejora y </w:t>
            </w:r>
            <w:r w:rsidR="00CE46E4" w:rsidRPr="00171EF8">
              <w:rPr>
                <w:rFonts w:cstheme="minorHAnsi"/>
                <w:i w:val="0"/>
                <w:sz w:val="16"/>
                <w:szCs w:val="16"/>
                <w:lang w:val="es-ES_tradnl"/>
              </w:rPr>
              <w:t>evaluación</w:t>
            </w:r>
            <w:r w:rsidRPr="00171EF8">
              <w:rPr>
                <w:rFonts w:cstheme="minorHAnsi"/>
                <w:i w:val="0"/>
                <w:sz w:val="16"/>
                <w:szCs w:val="16"/>
                <w:lang w:val="es-ES_tradnl"/>
              </w:rPr>
              <w:t xml:space="preserve"> continua al mecanismo de solicitud para evitar problemas de acceso.</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Establecer mecanismos oportunos para que los funcionarios asistan de forma obligatoria a las capacitaciones en el tema de transparencia, dado que son los tomadores de decisiones.</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Procurar que las instituciones socialicen a su interior la existencia de las oficinas de información y sus funciones.</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Diseñar los procesos efectivos de retroalimentación en cuanto a las sugerencias y denuncias que se presentan en los buzones de sugerencias institucionales.</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 xml:space="preserve">Consultar con el Instituto de Acceso a Información Pública si puede </w:t>
            </w:r>
            <w:r w:rsidR="00CE46E4" w:rsidRPr="00171EF8">
              <w:rPr>
                <w:rFonts w:cstheme="minorHAnsi"/>
                <w:i w:val="0"/>
                <w:sz w:val="16"/>
                <w:szCs w:val="16"/>
                <w:lang w:val="es-ES_tradnl"/>
              </w:rPr>
              <w:t>realizarse</w:t>
            </w:r>
            <w:r w:rsidRPr="00171EF8">
              <w:rPr>
                <w:rFonts w:cstheme="minorHAnsi"/>
                <w:i w:val="0"/>
                <w:sz w:val="16"/>
                <w:szCs w:val="16"/>
                <w:lang w:val="es-ES_tradnl"/>
              </w:rPr>
              <w:t xml:space="preserve"> una Interpretación más flexible de la ley en cuanto al requerimiento del DUI para hacer efectiva una solicitud de información, pues al ser realizada por teléfono o correo electrónico exigen DUI escaneado y muchos no tienen acceso a </w:t>
            </w:r>
            <w:r w:rsidR="00CE46E4" w:rsidRPr="00171EF8">
              <w:rPr>
                <w:rFonts w:cstheme="minorHAnsi"/>
                <w:i w:val="0"/>
                <w:sz w:val="16"/>
                <w:szCs w:val="16"/>
                <w:lang w:val="es-ES_tradnl"/>
              </w:rPr>
              <w:t>escáner</w:t>
            </w:r>
            <w:r w:rsidRPr="00171EF8">
              <w:rPr>
                <w:rFonts w:cstheme="minorHAnsi"/>
                <w:i w:val="0"/>
                <w:sz w:val="16"/>
                <w:szCs w:val="16"/>
                <w:lang w:val="es-ES_tradnl"/>
              </w:rPr>
              <w:t xml:space="preserve"> o  a internet. </w:t>
            </w:r>
          </w:p>
          <w:p w:rsidR="002B710B" w:rsidRPr="00171EF8" w:rsidRDefault="002B710B" w:rsidP="00171EF8">
            <w:pPr>
              <w:pStyle w:val="Prrafodelista"/>
              <w:numPr>
                <w:ilvl w:val="0"/>
                <w:numId w:val="1"/>
              </w:numPr>
              <w:spacing w:line="276" w:lineRule="auto"/>
              <w:ind w:left="175" w:hanging="142"/>
              <w:cnfStyle w:val="000000000000"/>
              <w:rPr>
                <w:rFonts w:cstheme="minorHAnsi"/>
                <w:i w:val="0"/>
                <w:sz w:val="16"/>
                <w:szCs w:val="16"/>
                <w:lang w:val="es-ES_tradnl"/>
              </w:rPr>
            </w:pPr>
            <w:r w:rsidRPr="00171EF8">
              <w:rPr>
                <w:rFonts w:cstheme="minorHAnsi"/>
                <w:i w:val="0"/>
                <w:sz w:val="16"/>
                <w:szCs w:val="16"/>
                <w:lang w:val="es-ES_tradnl"/>
              </w:rPr>
              <w:t>El Salvador tiene deficiencias en la cobertura del internet, los mecanismos que debe priorizar deben ser apegados a la realidad territorial.</w:t>
            </w:r>
          </w:p>
        </w:tc>
      </w:tr>
      <w:tr w:rsidR="002B710B" w:rsidRPr="00171EF8" w:rsidTr="00A1520C">
        <w:trPr>
          <w:cnfStyle w:val="000000100000"/>
          <w:trHeight w:val="4406"/>
        </w:trPr>
        <w:tc>
          <w:tcPr>
            <w:cnfStyle w:val="001000000000"/>
            <w:tcW w:w="529" w:type="pct"/>
            <w:tcBorders>
              <w:top w:val="none" w:sz="0" w:space="0" w:color="auto"/>
              <w:left w:val="none" w:sz="0" w:space="0" w:color="auto"/>
              <w:bottom w:val="none" w:sz="0" w:space="0" w:color="auto"/>
            </w:tcBorders>
          </w:tcPr>
          <w:p w:rsidR="002B710B" w:rsidRPr="00171EF8" w:rsidRDefault="002B710B" w:rsidP="00171EF8">
            <w:pPr>
              <w:spacing w:line="276" w:lineRule="auto"/>
              <w:rPr>
                <w:rFonts w:cstheme="minorHAnsi"/>
                <w:i w:val="0"/>
                <w:sz w:val="16"/>
                <w:szCs w:val="16"/>
                <w:lang w:val="es-ES"/>
              </w:rPr>
            </w:pPr>
            <w:r w:rsidRPr="00171EF8">
              <w:rPr>
                <w:rFonts w:cstheme="minorHAnsi"/>
                <w:i w:val="0"/>
                <w:sz w:val="16"/>
                <w:szCs w:val="16"/>
                <w:lang w:val="es-ES"/>
              </w:rPr>
              <w:t>100%</w:t>
            </w:r>
          </w:p>
        </w:tc>
        <w:tc>
          <w:tcPr>
            <w:tcW w:w="2039" w:type="pct"/>
            <w:tcBorders>
              <w:top w:val="none" w:sz="0" w:space="0" w:color="auto"/>
              <w:bottom w:val="none" w:sz="0" w:space="0" w:color="auto"/>
            </w:tcBorders>
          </w:tcPr>
          <w:p w:rsidR="002B710B" w:rsidRPr="00CE46E4" w:rsidRDefault="002B710B" w:rsidP="00171EF8">
            <w:pPr>
              <w:pStyle w:val="Prrafodelista"/>
              <w:numPr>
                <w:ilvl w:val="0"/>
                <w:numId w:val="18"/>
              </w:numPr>
              <w:spacing w:line="276" w:lineRule="auto"/>
              <w:ind w:left="175" w:hanging="175"/>
              <w:cnfStyle w:val="000000100000"/>
              <w:rPr>
                <w:rFonts w:cstheme="minorHAnsi"/>
                <w:i w:val="0"/>
                <w:sz w:val="16"/>
                <w:szCs w:val="16"/>
                <w:lang w:val="es-ES"/>
              </w:rPr>
            </w:pPr>
            <w:r w:rsidRPr="00171EF8">
              <w:rPr>
                <w:rFonts w:cstheme="minorHAnsi"/>
                <w:i w:val="0"/>
                <w:sz w:val="16"/>
                <w:szCs w:val="16"/>
                <w:lang w:val="es-ES"/>
              </w:rPr>
              <w:t xml:space="preserve">Apertura de 14 Oficinas de Acceso a Información </w:t>
            </w:r>
            <w:r w:rsidRPr="00CE46E4">
              <w:rPr>
                <w:rFonts w:cstheme="minorHAnsi"/>
                <w:i w:val="0"/>
                <w:sz w:val="16"/>
                <w:szCs w:val="16"/>
                <w:lang w:val="es-ES"/>
              </w:rPr>
              <w:t>en 14 gobernaciones departamentales.</w:t>
            </w:r>
          </w:p>
          <w:p w:rsidR="00CE46E4" w:rsidRDefault="002B710B" w:rsidP="00CE46E4">
            <w:pPr>
              <w:pStyle w:val="Prrafodelista"/>
              <w:numPr>
                <w:ilvl w:val="0"/>
                <w:numId w:val="18"/>
              </w:numPr>
              <w:spacing w:line="276" w:lineRule="auto"/>
              <w:ind w:left="175" w:hanging="175"/>
              <w:cnfStyle w:val="000000100000"/>
              <w:rPr>
                <w:rFonts w:cstheme="minorHAnsi"/>
                <w:i w:val="0"/>
                <w:sz w:val="16"/>
                <w:szCs w:val="16"/>
                <w:lang w:val="es-ES"/>
              </w:rPr>
            </w:pPr>
            <w:r w:rsidRPr="00CE46E4">
              <w:rPr>
                <w:rFonts w:cstheme="minorHAnsi"/>
                <w:i w:val="0"/>
                <w:sz w:val="16"/>
                <w:szCs w:val="16"/>
                <w:lang w:val="es-ES"/>
              </w:rPr>
              <w:t>Con apoyo de cooperantes internacionales se proporcionaron computadoras y material de oficina.</w:t>
            </w:r>
          </w:p>
          <w:p w:rsidR="002B710B" w:rsidRPr="00CE46E4" w:rsidRDefault="002B710B" w:rsidP="00CE46E4">
            <w:pPr>
              <w:pStyle w:val="Prrafodelista"/>
              <w:numPr>
                <w:ilvl w:val="0"/>
                <w:numId w:val="18"/>
              </w:numPr>
              <w:spacing w:line="276" w:lineRule="auto"/>
              <w:ind w:left="175" w:hanging="175"/>
              <w:cnfStyle w:val="000000100000"/>
              <w:rPr>
                <w:rFonts w:cstheme="minorHAnsi"/>
                <w:i w:val="0"/>
                <w:sz w:val="16"/>
                <w:szCs w:val="16"/>
                <w:lang w:val="es-ES"/>
              </w:rPr>
            </w:pPr>
            <w:r w:rsidRPr="00CE46E4">
              <w:rPr>
                <w:rFonts w:cstheme="minorHAnsi"/>
                <w:i w:val="0"/>
                <w:sz w:val="16"/>
                <w:szCs w:val="16"/>
                <w:lang w:val="es-ES"/>
              </w:rPr>
              <w:t xml:space="preserve">Capacitación a Oficiales de Información, en coordinación con el Ministerio de Gobernación, para que cuenten con herramientas necesarias de pronta y debida atención a la población. </w:t>
            </w:r>
          </w:p>
        </w:tc>
        <w:tc>
          <w:tcPr>
            <w:tcW w:w="2432" w:type="pct"/>
            <w:vMerge/>
            <w:tcBorders>
              <w:top w:val="none" w:sz="0" w:space="0" w:color="auto"/>
              <w:bottom w:val="none" w:sz="0" w:space="0" w:color="auto"/>
              <w:right w:val="none" w:sz="0" w:space="0" w:color="auto"/>
            </w:tcBorders>
          </w:tcPr>
          <w:p w:rsidR="002B710B" w:rsidRPr="00171EF8" w:rsidRDefault="002B710B" w:rsidP="00171EF8">
            <w:pPr>
              <w:spacing w:line="276" w:lineRule="auto"/>
              <w:cnfStyle w:val="000000100000"/>
              <w:rPr>
                <w:rFonts w:cstheme="minorHAnsi"/>
                <w:i w:val="0"/>
                <w:sz w:val="16"/>
                <w:szCs w:val="16"/>
                <w:lang w:val="es-ES"/>
              </w:rPr>
            </w:pPr>
          </w:p>
        </w:tc>
      </w:tr>
      <w:tr w:rsidR="002B710B" w:rsidRPr="00171EF8" w:rsidTr="00A1520C">
        <w:tc>
          <w:tcPr>
            <w:cnfStyle w:val="001000000000"/>
            <w:tcW w:w="5000" w:type="pct"/>
            <w:gridSpan w:val="3"/>
            <w:shd w:val="clear" w:color="auto" w:fill="DBE5F1" w:themeFill="accent1" w:themeFillTint="33"/>
          </w:tcPr>
          <w:p w:rsidR="002B710B" w:rsidRPr="00171EF8" w:rsidRDefault="002B710B" w:rsidP="00171EF8">
            <w:pPr>
              <w:pStyle w:val="Prrafodelista"/>
              <w:numPr>
                <w:ilvl w:val="0"/>
                <w:numId w:val="16"/>
              </w:numPr>
              <w:spacing w:line="276" w:lineRule="auto"/>
              <w:rPr>
                <w:rFonts w:cstheme="minorHAnsi"/>
                <w:b w:val="0"/>
                <w:i w:val="0"/>
                <w:sz w:val="16"/>
                <w:szCs w:val="16"/>
                <w:lang w:val="es-ES_tradnl"/>
              </w:rPr>
            </w:pPr>
            <w:r w:rsidRPr="00171EF8">
              <w:rPr>
                <w:rFonts w:cstheme="minorHAnsi"/>
                <w:b w:val="0"/>
                <w:i w:val="0"/>
                <w:sz w:val="16"/>
                <w:szCs w:val="16"/>
              </w:rPr>
              <w:t>Reforma de ley para OBUDSMAN y derecho de respuesta. Diciembre 2012.</w:t>
            </w:r>
          </w:p>
        </w:tc>
      </w:tr>
      <w:tr w:rsidR="002B710B" w:rsidRPr="00171EF8" w:rsidTr="00A1520C">
        <w:trPr>
          <w:cnfStyle w:val="000000100000"/>
        </w:trPr>
        <w:tc>
          <w:tcPr>
            <w:cnfStyle w:val="001000000000"/>
            <w:tcW w:w="529" w:type="pct"/>
            <w:tcBorders>
              <w:top w:val="none" w:sz="0" w:space="0" w:color="auto"/>
              <w:left w:val="none" w:sz="0" w:space="0" w:color="auto"/>
              <w:bottom w:val="none" w:sz="0" w:space="0" w:color="auto"/>
            </w:tcBorders>
          </w:tcPr>
          <w:p w:rsidR="00CE46E4" w:rsidRDefault="00CE46E4" w:rsidP="00CE46E4">
            <w:pPr>
              <w:spacing w:line="276" w:lineRule="auto"/>
              <w:jc w:val="left"/>
              <w:rPr>
                <w:rFonts w:cstheme="minorHAnsi"/>
                <w:i w:val="0"/>
                <w:sz w:val="16"/>
                <w:szCs w:val="16"/>
                <w:lang w:val="es-ES"/>
              </w:rPr>
            </w:pPr>
            <w:r>
              <w:rPr>
                <w:rFonts w:cstheme="minorHAnsi"/>
                <w:i w:val="0"/>
                <w:sz w:val="16"/>
                <w:szCs w:val="16"/>
                <w:lang w:val="es-ES"/>
              </w:rPr>
              <w:t>80%</w:t>
            </w:r>
          </w:p>
          <w:p w:rsidR="002B710B" w:rsidRPr="00171EF8" w:rsidRDefault="002B710B" w:rsidP="00CE46E4">
            <w:pPr>
              <w:spacing w:line="276" w:lineRule="auto"/>
              <w:jc w:val="left"/>
              <w:rPr>
                <w:rFonts w:cstheme="minorHAnsi"/>
                <w:i w:val="0"/>
                <w:sz w:val="16"/>
                <w:szCs w:val="16"/>
                <w:lang w:val="es-ES"/>
              </w:rPr>
            </w:pPr>
            <w:r w:rsidRPr="00171EF8">
              <w:rPr>
                <w:rFonts w:cstheme="minorHAnsi"/>
                <w:i w:val="0"/>
                <w:sz w:val="16"/>
                <w:szCs w:val="16"/>
                <w:lang w:val="es-ES"/>
              </w:rPr>
              <w:t>No se cumplió en el plazo pactado</w:t>
            </w:r>
          </w:p>
        </w:tc>
        <w:tc>
          <w:tcPr>
            <w:tcW w:w="2039" w:type="pct"/>
            <w:tcBorders>
              <w:top w:val="none" w:sz="0" w:space="0" w:color="auto"/>
              <w:bottom w:val="none" w:sz="0" w:space="0" w:color="auto"/>
            </w:tcBorders>
          </w:tcPr>
          <w:p w:rsidR="002B710B" w:rsidRPr="00171EF8" w:rsidRDefault="002B710B" w:rsidP="00171EF8">
            <w:pPr>
              <w:pStyle w:val="Prrafodelista"/>
              <w:numPr>
                <w:ilvl w:val="0"/>
                <w:numId w:val="17"/>
              </w:numPr>
              <w:spacing w:line="276" w:lineRule="auto"/>
              <w:ind w:left="175" w:hanging="175"/>
              <w:cnfStyle w:val="000000100000"/>
              <w:rPr>
                <w:rFonts w:cstheme="minorHAnsi"/>
                <w:i w:val="0"/>
                <w:sz w:val="16"/>
                <w:szCs w:val="16"/>
                <w:lang w:val="es-ES"/>
              </w:rPr>
            </w:pPr>
            <w:r w:rsidRPr="00171EF8">
              <w:rPr>
                <w:rFonts w:cstheme="minorHAnsi"/>
                <w:i w:val="0"/>
                <w:sz w:val="16"/>
                <w:szCs w:val="16"/>
                <w:lang w:val="es-ES"/>
              </w:rPr>
              <w:t>Aprobada el 11 de julio de 2013 por la Asamblea Legislativa la Ley Especial de Derecho de Rectificación y Respuesta</w:t>
            </w:r>
            <w:r w:rsidRPr="00171EF8">
              <w:rPr>
                <w:i w:val="0"/>
              </w:rPr>
              <w:t>.</w:t>
            </w:r>
          </w:p>
          <w:p w:rsidR="002B710B" w:rsidRPr="00171EF8" w:rsidRDefault="002B710B" w:rsidP="00171EF8">
            <w:pPr>
              <w:pStyle w:val="Prrafodelista"/>
              <w:numPr>
                <w:ilvl w:val="0"/>
                <w:numId w:val="17"/>
              </w:numPr>
              <w:spacing w:line="276" w:lineRule="auto"/>
              <w:ind w:left="175" w:hanging="175"/>
              <w:cnfStyle w:val="000000100000"/>
              <w:rPr>
                <w:rFonts w:cstheme="minorHAnsi"/>
                <w:i w:val="0"/>
                <w:sz w:val="16"/>
                <w:szCs w:val="16"/>
                <w:lang w:val="es-ES"/>
              </w:rPr>
            </w:pPr>
            <w:r w:rsidRPr="00171EF8">
              <w:rPr>
                <w:rFonts w:cstheme="minorHAnsi"/>
                <w:i w:val="0"/>
                <w:sz w:val="16"/>
                <w:szCs w:val="16"/>
                <w:lang w:val="es-ES"/>
              </w:rPr>
              <w:t>Observaciones recibidas por el Presidente de la República el 8 de agosto de 2013, sobre artículos 7 y 18. La reforma al artículo 7 dicta: "en ningún caso el espacio y tiempo de duración de la respuesta o la rectificación deberá ser menor al de la publicación o información difundida que haya causado el agravio". Y la reforma al artículo 18: "las solicitudes se dirigirán según la regla general contemplada en esta ley, con la salvedad que cuando uno de estos medios no tenga domicilio conocido en el territorio de la República de El Salvador, los obligados a otorgar el derecho de rectificación o respuesta serán las personas naturales o jurídicas responsables del blog o publicación de que se trate, siempre y cuando intervengan específicamente en dichos contenidos"</w:t>
            </w:r>
          </w:p>
        </w:tc>
        <w:tc>
          <w:tcPr>
            <w:tcW w:w="2432" w:type="pct"/>
            <w:tcBorders>
              <w:top w:val="none" w:sz="0" w:space="0" w:color="auto"/>
              <w:bottom w:val="none" w:sz="0" w:space="0" w:color="auto"/>
              <w:right w:val="none" w:sz="0" w:space="0" w:color="auto"/>
            </w:tcBorders>
          </w:tcPr>
          <w:p w:rsidR="002B710B" w:rsidRPr="00171EF8" w:rsidRDefault="002B710B" w:rsidP="00171EF8">
            <w:pPr>
              <w:pStyle w:val="Prrafodelista"/>
              <w:numPr>
                <w:ilvl w:val="0"/>
                <w:numId w:val="2"/>
              </w:numPr>
              <w:spacing w:line="276" w:lineRule="auto"/>
              <w:ind w:left="175" w:hanging="175"/>
              <w:cnfStyle w:val="000000100000"/>
              <w:rPr>
                <w:rFonts w:cstheme="minorHAnsi"/>
                <w:i w:val="0"/>
                <w:sz w:val="16"/>
                <w:szCs w:val="16"/>
                <w:lang w:val="es-ES_tradnl"/>
              </w:rPr>
            </w:pPr>
            <w:r w:rsidRPr="00171EF8">
              <w:rPr>
                <w:rFonts w:cstheme="minorHAnsi"/>
                <w:i w:val="0"/>
                <w:sz w:val="16"/>
                <w:szCs w:val="16"/>
                <w:lang w:val="es-ES_tradnl"/>
              </w:rPr>
              <w:t>Pendiente publicación en el Diario Oficial.</w:t>
            </w:r>
          </w:p>
          <w:p w:rsidR="002B710B" w:rsidRPr="00171EF8" w:rsidRDefault="002B710B" w:rsidP="00171EF8">
            <w:pPr>
              <w:pStyle w:val="Prrafodelista"/>
              <w:numPr>
                <w:ilvl w:val="0"/>
                <w:numId w:val="2"/>
              </w:numPr>
              <w:spacing w:line="276" w:lineRule="auto"/>
              <w:ind w:left="175" w:hanging="175"/>
              <w:cnfStyle w:val="000000100000"/>
              <w:rPr>
                <w:rFonts w:cstheme="minorHAnsi"/>
                <w:i w:val="0"/>
                <w:sz w:val="16"/>
                <w:szCs w:val="16"/>
                <w:lang w:val="es-ES_tradnl"/>
              </w:rPr>
            </w:pPr>
            <w:r w:rsidRPr="00171EF8">
              <w:rPr>
                <w:rFonts w:cstheme="minorHAnsi"/>
                <w:i w:val="0"/>
                <w:sz w:val="16"/>
                <w:szCs w:val="16"/>
                <w:lang w:val="es-ES_tradnl"/>
              </w:rPr>
              <w:t xml:space="preserve">Realizar campañas de divulgación al interior de las entidades de gobierno y población. </w:t>
            </w:r>
          </w:p>
          <w:p w:rsidR="002B710B" w:rsidRPr="00171EF8" w:rsidRDefault="002B710B" w:rsidP="00171EF8">
            <w:pPr>
              <w:pStyle w:val="Prrafodelista"/>
              <w:numPr>
                <w:ilvl w:val="0"/>
                <w:numId w:val="2"/>
              </w:numPr>
              <w:spacing w:line="276" w:lineRule="auto"/>
              <w:ind w:left="175" w:hanging="175"/>
              <w:cnfStyle w:val="000000100000"/>
              <w:rPr>
                <w:rFonts w:cstheme="minorHAnsi"/>
                <w:i w:val="0"/>
                <w:sz w:val="16"/>
                <w:szCs w:val="16"/>
                <w:lang w:val="es-ES_tradnl"/>
              </w:rPr>
            </w:pPr>
            <w:r w:rsidRPr="00171EF8">
              <w:rPr>
                <w:rFonts w:cstheme="minorHAnsi"/>
                <w:i w:val="0"/>
                <w:sz w:val="16"/>
                <w:szCs w:val="16"/>
                <w:lang w:val="es-ES_tradnl"/>
              </w:rPr>
              <w:t xml:space="preserve">No ha podido implementarse la figura de  </w:t>
            </w:r>
            <w:proofErr w:type="gramStart"/>
            <w:r w:rsidRPr="00171EF8">
              <w:rPr>
                <w:rFonts w:cstheme="minorHAnsi"/>
                <w:i w:val="0"/>
                <w:sz w:val="16"/>
                <w:szCs w:val="16"/>
                <w:lang w:val="es-ES_tradnl"/>
              </w:rPr>
              <w:t>OBUDSMAN .</w:t>
            </w:r>
            <w:proofErr w:type="gramEnd"/>
          </w:p>
          <w:p w:rsidR="002B710B" w:rsidRPr="00171EF8" w:rsidRDefault="002B710B" w:rsidP="00171EF8">
            <w:pPr>
              <w:pStyle w:val="Prrafodelista"/>
              <w:spacing w:line="276" w:lineRule="auto"/>
              <w:cnfStyle w:val="000000100000"/>
              <w:rPr>
                <w:rFonts w:cstheme="minorHAnsi"/>
                <w:i w:val="0"/>
                <w:sz w:val="16"/>
                <w:szCs w:val="16"/>
              </w:rPr>
            </w:pPr>
          </w:p>
        </w:tc>
      </w:tr>
      <w:tr w:rsidR="002B710B" w:rsidRPr="00171EF8" w:rsidTr="00A1520C">
        <w:tc>
          <w:tcPr>
            <w:cnfStyle w:val="001000000000"/>
            <w:tcW w:w="5000" w:type="pct"/>
            <w:gridSpan w:val="3"/>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Divulgación de Cartas de Derechos de los usuarios. Diciembre 2012</w:t>
            </w:r>
          </w:p>
        </w:tc>
      </w:tr>
      <w:tr w:rsidR="002B710B" w:rsidRPr="00171EF8" w:rsidTr="00A1520C">
        <w:trPr>
          <w:cnfStyle w:val="000000100000"/>
        </w:trPr>
        <w:tc>
          <w:tcPr>
            <w:cnfStyle w:val="001000000000"/>
            <w:tcW w:w="529" w:type="pct"/>
            <w:tcBorders>
              <w:top w:val="none" w:sz="0" w:space="0" w:color="auto"/>
              <w:left w:val="none" w:sz="0" w:space="0" w:color="auto"/>
              <w:bottom w:val="none" w:sz="0" w:space="0" w:color="auto"/>
            </w:tcBorders>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75%</w:t>
            </w:r>
          </w:p>
        </w:tc>
        <w:tc>
          <w:tcPr>
            <w:tcW w:w="2039" w:type="pct"/>
            <w:tcBorders>
              <w:top w:val="none" w:sz="0" w:space="0" w:color="auto"/>
              <w:bottom w:val="none" w:sz="0" w:space="0" w:color="auto"/>
            </w:tcBorders>
          </w:tcPr>
          <w:p w:rsidR="002B710B" w:rsidRPr="00171EF8" w:rsidRDefault="002B710B" w:rsidP="00171EF8">
            <w:pPr>
              <w:pStyle w:val="Prrafodelista"/>
              <w:numPr>
                <w:ilvl w:val="0"/>
                <w:numId w:val="24"/>
              </w:numPr>
              <w:spacing w:line="276" w:lineRule="auto"/>
              <w:ind w:left="175" w:hanging="175"/>
              <w:cnfStyle w:val="000000100000"/>
              <w:rPr>
                <w:rFonts w:cstheme="minorHAnsi"/>
                <w:i w:val="0"/>
                <w:sz w:val="16"/>
                <w:szCs w:val="16"/>
                <w:lang w:val="es-ES"/>
              </w:rPr>
            </w:pPr>
            <w:r w:rsidRPr="00171EF8">
              <w:rPr>
                <w:rFonts w:cstheme="minorHAnsi"/>
                <w:i w:val="0"/>
                <w:sz w:val="16"/>
                <w:szCs w:val="16"/>
                <w:lang w:val="es-ES"/>
              </w:rPr>
              <w:t>Desde la Subsecretaría de Transparencia y Anticorrupción  se acompaño en la formulación de la metodología para la elaboración y evaluación de las cartas de derechos que la Defensoría del Consumidor implementará. Destacan las cartas de derechos de: CNR, Defensoría del Consumidor, Hospitales nacionales, LAIP y OIR.</w:t>
            </w:r>
          </w:p>
          <w:p w:rsidR="002B710B" w:rsidRPr="00171EF8" w:rsidRDefault="002B710B" w:rsidP="00171EF8">
            <w:pPr>
              <w:spacing w:line="276" w:lineRule="auto"/>
              <w:cnfStyle w:val="000000100000"/>
              <w:rPr>
                <w:rFonts w:cstheme="minorHAnsi"/>
                <w:i w:val="0"/>
                <w:sz w:val="16"/>
                <w:szCs w:val="16"/>
                <w:lang w:val="es-ES"/>
              </w:rPr>
            </w:pPr>
          </w:p>
        </w:tc>
        <w:tc>
          <w:tcPr>
            <w:tcW w:w="2432" w:type="pct"/>
            <w:tcBorders>
              <w:top w:val="none" w:sz="0" w:space="0" w:color="auto"/>
              <w:bottom w:val="none" w:sz="0" w:space="0" w:color="auto"/>
              <w:right w:val="none" w:sz="0" w:space="0" w:color="auto"/>
            </w:tcBorders>
          </w:tcPr>
          <w:p w:rsidR="002B710B" w:rsidRPr="00171EF8" w:rsidRDefault="002B710B" w:rsidP="00171EF8">
            <w:pPr>
              <w:pStyle w:val="Prrafodelista"/>
              <w:numPr>
                <w:ilvl w:val="0"/>
                <w:numId w:val="6"/>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Se reconoce la publicación y colocación de banners con la carta de derechos que la Ley de Acceso a Información Pública brinda al ciudadano, implementada por la SSTA en todas las oficinas de acceso a información del Órgano Ejecutivo.</w:t>
            </w:r>
            <w:r w:rsidR="00171EF8" w:rsidRPr="00171EF8">
              <w:rPr>
                <w:rFonts w:cstheme="minorHAnsi"/>
                <w:i w:val="0"/>
                <w:sz w:val="16"/>
                <w:szCs w:val="16"/>
                <w:lang w:val="es-ES_tradnl"/>
              </w:rPr>
              <w:t xml:space="preserve"> </w:t>
            </w:r>
            <w:r w:rsidRPr="00171EF8">
              <w:rPr>
                <w:rFonts w:cstheme="minorHAnsi"/>
                <w:i w:val="0"/>
                <w:sz w:val="16"/>
                <w:szCs w:val="16"/>
                <w:lang w:val="es-ES_tradnl"/>
              </w:rPr>
              <w:t xml:space="preserve">Así mismo, la divulgación de la Carta de Derechos de la Defensoría del Consumidor. </w:t>
            </w:r>
          </w:p>
          <w:p w:rsidR="002B710B" w:rsidRPr="00171EF8" w:rsidRDefault="002B710B" w:rsidP="00171EF8">
            <w:pPr>
              <w:pStyle w:val="Prrafodelista"/>
              <w:numPr>
                <w:ilvl w:val="0"/>
                <w:numId w:val="6"/>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El resto de cartas mencionadas no han sido visibilizadas, por lo que se requiere mejorar los mecanismos de divulgación y retomar las que estén pendientes.</w:t>
            </w:r>
          </w:p>
        </w:tc>
      </w:tr>
      <w:tr w:rsidR="002B710B" w:rsidRPr="00171EF8" w:rsidTr="00A1520C">
        <w:tc>
          <w:tcPr>
            <w:cnfStyle w:val="001000000000"/>
            <w:tcW w:w="5000" w:type="pct"/>
            <w:gridSpan w:val="3"/>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rPr>
                <w:rFonts w:cstheme="minorHAnsi"/>
                <w:b w:val="0"/>
                <w:i w:val="0"/>
                <w:sz w:val="16"/>
                <w:szCs w:val="16"/>
              </w:rPr>
            </w:pPr>
            <w:r w:rsidRPr="00171EF8">
              <w:rPr>
                <w:rFonts w:cstheme="minorHAnsi"/>
                <w:b w:val="0"/>
                <w:i w:val="0"/>
                <w:sz w:val="16"/>
                <w:szCs w:val="16"/>
              </w:rPr>
              <w:t>Monitoreo ciudadano a los servicios públicos (“El peor trámite de mi vida”) y mejora de los principales servicios en 60 días. Diciembre 2012</w:t>
            </w:r>
          </w:p>
        </w:tc>
      </w:tr>
      <w:tr w:rsidR="002B710B" w:rsidRPr="00171EF8" w:rsidTr="00A1520C">
        <w:trPr>
          <w:cnfStyle w:val="000000100000"/>
        </w:trPr>
        <w:tc>
          <w:tcPr>
            <w:cnfStyle w:val="001000000000"/>
            <w:tcW w:w="529" w:type="pct"/>
            <w:tcBorders>
              <w:top w:val="none" w:sz="0" w:space="0" w:color="auto"/>
              <w:left w:val="none" w:sz="0" w:space="0" w:color="auto"/>
              <w:bottom w:val="none" w:sz="0" w:space="0" w:color="auto"/>
            </w:tcBorders>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0%</w:t>
            </w:r>
          </w:p>
        </w:tc>
        <w:tc>
          <w:tcPr>
            <w:tcW w:w="2039" w:type="pct"/>
            <w:tcBorders>
              <w:top w:val="none" w:sz="0" w:space="0" w:color="auto"/>
              <w:bottom w:val="none" w:sz="0" w:space="0" w:color="auto"/>
            </w:tcBorders>
          </w:tcPr>
          <w:p w:rsidR="002B710B" w:rsidRPr="00171EF8" w:rsidRDefault="002B710B" w:rsidP="00171EF8">
            <w:pPr>
              <w:pStyle w:val="Prrafodelista"/>
              <w:numPr>
                <w:ilvl w:val="0"/>
                <w:numId w:val="25"/>
              </w:numPr>
              <w:spacing w:line="276" w:lineRule="auto"/>
              <w:ind w:left="175" w:hanging="175"/>
              <w:cnfStyle w:val="000000100000"/>
              <w:rPr>
                <w:rFonts w:cstheme="minorHAnsi"/>
                <w:i w:val="0"/>
                <w:sz w:val="16"/>
                <w:szCs w:val="16"/>
                <w:lang w:val="es-ES"/>
              </w:rPr>
            </w:pPr>
            <w:r w:rsidRPr="00171EF8">
              <w:rPr>
                <w:rFonts w:cstheme="minorHAnsi"/>
                <w:i w:val="0"/>
                <w:sz w:val="16"/>
                <w:szCs w:val="16"/>
                <w:lang w:val="es-ES"/>
              </w:rPr>
              <w:t xml:space="preserve">Se evaluará su implementación con la Subsecretaría de Gobernabilidad y Modernización del Estado, dado que ellos desarrollan procesos de mejora en los servicios bajo la lógica de la estrategia de calidad. Si es factible, se retomará en plan AGA 2013-2014. </w:t>
            </w:r>
          </w:p>
        </w:tc>
        <w:tc>
          <w:tcPr>
            <w:tcW w:w="2432" w:type="pct"/>
            <w:tcBorders>
              <w:top w:val="none" w:sz="0" w:space="0" w:color="auto"/>
              <w:bottom w:val="none" w:sz="0" w:space="0" w:color="auto"/>
              <w:right w:val="none" w:sz="0" w:space="0" w:color="auto"/>
            </w:tcBorders>
          </w:tcPr>
          <w:p w:rsidR="002B710B" w:rsidRPr="00171EF8" w:rsidRDefault="002B710B" w:rsidP="00171EF8">
            <w:pPr>
              <w:pStyle w:val="Prrafodelista"/>
              <w:numPr>
                <w:ilvl w:val="0"/>
                <w:numId w:val="7"/>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Desarrollar procesos evaluativos de los servicios que se ofrecen, desde un nivel más básico como las sugerencias que se reciben en los buzones institucionales, esto se ha incluido además en la </w:t>
            </w:r>
            <w:r w:rsidR="00171EF8" w:rsidRPr="00171EF8">
              <w:rPr>
                <w:rFonts w:cstheme="minorHAnsi"/>
                <w:i w:val="0"/>
                <w:sz w:val="16"/>
                <w:szCs w:val="16"/>
                <w:lang w:val="es-ES_tradnl"/>
              </w:rPr>
              <w:t>evaluación</w:t>
            </w:r>
            <w:r w:rsidRPr="00171EF8">
              <w:rPr>
                <w:rFonts w:cstheme="minorHAnsi"/>
                <w:i w:val="0"/>
                <w:sz w:val="16"/>
                <w:szCs w:val="16"/>
                <w:lang w:val="es-ES_tradnl"/>
              </w:rPr>
              <w:t xml:space="preserve"> de  cumplimiento de la acción A1. </w:t>
            </w:r>
          </w:p>
        </w:tc>
      </w:tr>
      <w:tr w:rsidR="002B710B" w:rsidRPr="00171EF8" w:rsidTr="00A1520C">
        <w:tc>
          <w:tcPr>
            <w:cnfStyle w:val="001000000000"/>
            <w:tcW w:w="5000" w:type="pct"/>
            <w:gridSpan w:val="3"/>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lang w:val="es-ES_tradnl"/>
              </w:rPr>
            </w:pPr>
            <w:r w:rsidRPr="00171EF8">
              <w:rPr>
                <w:rFonts w:cstheme="minorHAnsi"/>
                <w:b w:val="0"/>
                <w:i w:val="0"/>
                <w:sz w:val="16"/>
                <w:szCs w:val="16"/>
              </w:rPr>
              <w:t>Desarrollo de  un  programa de educación a distancia para aumentar la capacidad de los servidores públicos sobre la cuestión del acceso a la información. Diciembre 2013</w:t>
            </w:r>
          </w:p>
        </w:tc>
      </w:tr>
      <w:tr w:rsidR="002B710B" w:rsidRPr="00171EF8" w:rsidTr="00A1520C">
        <w:trPr>
          <w:cnfStyle w:val="000000100000"/>
        </w:trPr>
        <w:tc>
          <w:tcPr>
            <w:cnfStyle w:val="001000000000"/>
            <w:tcW w:w="529" w:type="pct"/>
            <w:tcBorders>
              <w:top w:val="none" w:sz="0" w:space="0" w:color="auto"/>
              <w:left w:val="none" w:sz="0" w:space="0" w:color="auto"/>
              <w:bottom w:val="none" w:sz="0" w:space="0" w:color="auto"/>
            </w:tcBorders>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75%</w:t>
            </w:r>
          </w:p>
        </w:tc>
        <w:tc>
          <w:tcPr>
            <w:tcW w:w="2039" w:type="pct"/>
            <w:tcBorders>
              <w:top w:val="none" w:sz="0" w:space="0" w:color="auto"/>
              <w:bottom w:val="none" w:sz="0" w:space="0" w:color="auto"/>
            </w:tcBorders>
          </w:tcPr>
          <w:p w:rsidR="002B710B" w:rsidRPr="00171EF8" w:rsidRDefault="002B710B" w:rsidP="00171EF8">
            <w:pPr>
              <w:pStyle w:val="Prrafodelista"/>
              <w:numPr>
                <w:ilvl w:val="0"/>
                <w:numId w:val="7"/>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 xml:space="preserve">Se abrió el portal </w:t>
            </w:r>
            <w:hyperlink r:id="rId12" w:history="1">
              <w:r w:rsidRPr="00171EF8">
                <w:rPr>
                  <w:rStyle w:val="Hipervnculo"/>
                  <w:rFonts w:cstheme="minorHAnsi"/>
                  <w:i w:val="0"/>
                  <w:color w:val="auto"/>
                  <w:sz w:val="16"/>
                  <w:szCs w:val="16"/>
                  <w:lang w:val="es-ES"/>
                </w:rPr>
                <w:t>http://aula.gobiernoabierto.gob.sv/</w:t>
              </w:r>
            </w:hyperlink>
            <w:r w:rsidRPr="00171EF8">
              <w:rPr>
                <w:rFonts w:cstheme="minorHAnsi"/>
                <w:i w:val="0"/>
                <w:sz w:val="16"/>
                <w:szCs w:val="16"/>
                <w:lang w:val="es-ES"/>
              </w:rPr>
              <w:t xml:space="preserve"> </w:t>
            </w:r>
            <w:r w:rsidR="00171EF8">
              <w:rPr>
                <w:rFonts w:cstheme="minorHAnsi"/>
                <w:i w:val="0"/>
                <w:sz w:val="16"/>
                <w:szCs w:val="16"/>
                <w:lang w:val="es-ES"/>
              </w:rPr>
              <w:t>y</w:t>
            </w:r>
            <w:r w:rsidRPr="00171EF8">
              <w:rPr>
                <w:rFonts w:cstheme="minorHAnsi"/>
                <w:i w:val="0"/>
                <w:sz w:val="16"/>
                <w:szCs w:val="16"/>
                <w:lang w:val="es-ES"/>
              </w:rPr>
              <w:t xml:space="preserve"> se realizaron dos cursos que iniciaron en mayo y finalizaron en julio del 2013.</w:t>
            </w:r>
          </w:p>
          <w:p w:rsidR="002B710B" w:rsidRPr="00171EF8" w:rsidRDefault="00171EF8" w:rsidP="00171EF8">
            <w:pPr>
              <w:pStyle w:val="Prrafodelista"/>
              <w:numPr>
                <w:ilvl w:val="0"/>
                <w:numId w:val="7"/>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Se</w:t>
            </w:r>
            <w:r w:rsidR="002B710B" w:rsidRPr="00171EF8">
              <w:rPr>
                <w:rFonts w:cstheme="minorHAnsi"/>
                <w:i w:val="0"/>
                <w:sz w:val="16"/>
                <w:szCs w:val="16"/>
                <w:lang w:val="es-ES"/>
              </w:rPr>
              <w:t xml:space="preserve"> desarrollaron los temas de  “Clasificación de la Información Reservada”, dirigido a Oficiales de Información de instituciones públicas; y “Curso Transparencia Exprés”, dirigido a docentes del sector público. El resultado fue una primera promoción de 34 graduados y graduadas.</w:t>
            </w:r>
          </w:p>
          <w:p w:rsidR="00171EF8" w:rsidRPr="00171EF8" w:rsidRDefault="002B710B" w:rsidP="00171EF8">
            <w:pPr>
              <w:pStyle w:val="Prrafodelista"/>
              <w:numPr>
                <w:ilvl w:val="0"/>
                <w:numId w:val="7"/>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 xml:space="preserve">Por lanzarse en octubre tres cursos más, en línea, sobre las generalidades de la Ley de Acceso a Información, una segunda versión de clasificación de información y de transparencia </w:t>
            </w:r>
            <w:r w:rsidR="00CE46E4" w:rsidRPr="00171EF8">
              <w:rPr>
                <w:rFonts w:cstheme="minorHAnsi"/>
                <w:i w:val="0"/>
                <w:sz w:val="16"/>
                <w:szCs w:val="16"/>
                <w:lang w:val="es-ES"/>
              </w:rPr>
              <w:t>exprés</w:t>
            </w:r>
            <w:r w:rsidRPr="00171EF8">
              <w:rPr>
                <w:rFonts w:cstheme="minorHAnsi"/>
                <w:i w:val="0"/>
                <w:sz w:val="16"/>
                <w:szCs w:val="16"/>
                <w:lang w:val="es-ES"/>
              </w:rPr>
              <w:t>.</w:t>
            </w:r>
          </w:p>
        </w:tc>
        <w:tc>
          <w:tcPr>
            <w:tcW w:w="2432" w:type="pct"/>
            <w:tcBorders>
              <w:top w:val="none" w:sz="0" w:space="0" w:color="auto"/>
              <w:bottom w:val="none" w:sz="0" w:space="0" w:color="auto"/>
              <w:right w:val="none" w:sz="0" w:space="0" w:color="auto"/>
            </w:tcBorders>
          </w:tcPr>
          <w:p w:rsidR="002B710B" w:rsidRPr="00171EF8" w:rsidRDefault="002B710B" w:rsidP="00171EF8">
            <w:pPr>
              <w:pStyle w:val="Prrafodelista"/>
              <w:numPr>
                <w:ilvl w:val="0"/>
                <w:numId w:val="3"/>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Los cursos virtuales no han sido tan efectivos ni con ONG ni instituciones públicas, dado que no se tiene cultura de formación a través de esta modalidad.</w:t>
            </w:r>
          </w:p>
          <w:p w:rsidR="002B710B" w:rsidRPr="00171EF8" w:rsidRDefault="002B710B" w:rsidP="00171EF8">
            <w:pPr>
              <w:pStyle w:val="Prrafodelista"/>
              <w:numPr>
                <w:ilvl w:val="0"/>
                <w:numId w:val="3"/>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Aprovechar herramientas o materiales que han desarrollado las ong´s, sobre todo en versiones populares, que facilitan la comprensión de la Ley de Acceso a Información. ISD ha brindado una de sus versiones, la cual ha sido publicada en el Portal de Gobierno Abierto. </w:t>
            </w:r>
          </w:p>
          <w:p w:rsidR="002B710B" w:rsidRPr="00171EF8" w:rsidRDefault="002B710B" w:rsidP="00171EF8">
            <w:pPr>
              <w:pStyle w:val="Prrafodelista"/>
              <w:numPr>
                <w:ilvl w:val="0"/>
                <w:numId w:val="3"/>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No priorizar la </w:t>
            </w:r>
            <w:r w:rsidR="00171EF8" w:rsidRPr="00171EF8">
              <w:rPr>
                <w:rFonts w:cstheme="minorHAnsi"/>
                <w:i w:val="0"/>
                <w:sz w:val="16"/>
                <w:szCs w:val="16"/>
                <w:lang w:val="es-ES_tradnl"/>
              </w:rPr>
              <w:t>formación</w:t>
            </w:r>
            <w:r w:rsidRPr="00171EF8">
              <w:rPr>
                <w:rFonts w:cstheme="minorHAnsi"/>
                <w:i w:val="0"/>
                <w:sz w:val="16"/>
                <w:szCs w:val="16"/>
                <w:lang w:val="es-ES_tradnl"/>
              </w:rPr>
              <w:t xml:space="preserve"> en línea, dado que en El Salvador no existe la cultura ni la cobertura del internet necesaria para que se convierta en medio masivo de aprendizaje.</w:t>
            </w:r>
          </w:p>
          <w:p w:rsidR="002B710B" w:rsidRPr="00171EF8" w:rsidRDefault="002B710B" w:rsidP="00171EF8">
            <w:pPr>
              <w:pStyle w:val="Prrafodelista"/>
              <w:numPr>
                <w:ilvl w:val="0"/>
                <w:numId w:val="6"/>
              </w:numPr>
              <w:spacing w:line="276" w:lineRule="auto"/>
              <w:ind w:left="175" w:hanging="142"/>
              <w:cnfStyle w:val="000000100000"/>
              <w:rPr>
                <w:rFonts w:cstheme="minorHAnsi"/>
                <w:i w:val="0"/>
                <w:sz w:val="16"/>
                <w:szCs w:val="16"/>
                <w:lang w:val="es-ES_tradnl"/>
              </w:rPr>
            </w:pPr>
            <w:r w:rsidRPr="00171EF8">
              <w:rPr>
                <w:i w:val="0"/>
                <w:sz w:val="16"/>
                <w:szCs w:val="16"/>
              </w:rPr>
              <w:t>Coordinar con Cancillería que a través de la iniciativa de “Comunidad de las Democracias”</w:t>
            </w:r>
            <w:r w:rsidRPr="00171EF8">
              <w:rPr>
                <w:rStyle w:val="Refdenotaalpie"/>
                <w:i w:val="0"/>
                <w:sz w:val="16"/>
                <w:szCs w:val="16"/>
              </w:rPr>
              <w:footnoteReference w:id="3"/>
            </w:r>
            <w:r w:rsidRPr="00171EF8">
              <w:rPr>
                <w:i w:val="0"/>
                <w:sz w:val="16"/>
                <w:szCs w:val="16"/>
              </w:rPr>
              <w:t xml:space="preserve"> pueda financiarse una propuesta de currícula de educación cívica. </w:t>
            </w:r>
          </w:p>
        </w:tc>
      </w:tr>
      <w:tr w:rsidR="002B710B" w:rsidRPr="00171EF8" w:rsidTr="00A1520C">
        <w:tc>
          <w:tcPr>
            <w:cnfStyle w:val="001000000000"/>
            <w:tcW w:w="5000" w:type="pct"/>
            <w:gridSpan w:val="3"/>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lang w:val="es-ES_tradnl"/>
              </w:rPr>
            </w:pPr>
            <w:r w:rsidRPr="00171EF8">
              <w:rPr>
                <w:rFonts w:cstheme="minorHAnsi"/>
                <w:b w:val="0"/>
                <w:i w:val="0"/>
                <w:sz w:val="16"/>
                <w:szCs w:val="16"/>
              </w:rPr>
              <w:t>Mejora en cada año, la calidad de los ejercicios de rendición de cuentas, de forma que se convierta en una cultura institucional y en un compromiso irreversible de los siguientes Gobiernos. Mayo 2014</w:t>
            </w:r>
          </w:p>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lang w:val="es-ES_tradnl"/>
              </w:rPr>
            </w:pPr>
            <w:r w:rsidRPr="00171EF8">
              <w:rPr>
                <w:rFonts w:cstheme="minorHAnsi"/>
                <w:b w:val="0"/>
                <w:i w:val="0"/>
                <w:sz w:val="16"/>
                <w:szCs w:val="16"/>
              </w:rPr>
              <w:t>Ampliar  los  ejercicios  de  rendición  de  cuentas  a  los  Gabinetes  de  Gestión  Departamental.</w:t>
            </w:r>
            <w:r w:rsidR="00171EF8">
              <w:rPr>
                <w:rFonts w:cstheme="minorHAnsi"/>
                <w:b w:val="0"/>
                <w:i w:val="0"/>
                <w:sz w:val="16"/>
                <w:szCs w:val="16"/>
              </w:rPr>
              <w:t xml:space="preserve"> </w:t>
            </w:r>
            <w:r w:rsidRPr="00171EF8">
              <w:rPr>
                <w:rFonts w:cstheme="minorHAnsi"/>
                <w:b w:val="0"/>
                <w:i w:val="0"/>
                <w:sz w:val="16"/>
                <w:szCs w:val="16"/>
              </w:rPr>
              <w:t>Mayo 2014</w:t>
            </w:r>
          </w:p>
        </w:tc>
      </w:tr>
      <w:tr w:rsidR="002B710B" w:rsidRPr="00171EF8" w:rsidTr="00A1520C">
        <w:trPr>
          <w:cnfStyle w:val="000000100000"/>
        </w:trPr>
        <w:tc>
          <w:tcPr>
            <w:cnfStyle w:val="001000000000"/>
            <w:tcW w:w="529" w:type="pct"/>
            <w:tcBorders>
              <w:top w:val="none" w:sz="0" w:space="0" w:color="auto"/>
              <w:left w:val="none" w:sz="0" w:space="0" w:color="auto"/>
              <w:bottom w:val="none" w:sz="0" w:space="0" w:color="auto"/>
            </w:tcBorders>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Continuo</w:t>
            </w:r>
          </w:p>
        </w:tc>
        <w:tc>
          <w:tcPr>
            <w:tcW w:w="2039" w:type="pct"/>
            <w:tcBorders>
              <w:top w:val="none" w:sz="0" w:space="0" w:color="auto"/>
              <w:bottom w:val="none" w:sz="0" w:space="0" w:color="auto"/>
            </w:tcBorders>
          </w:tcPr>
          <w:p w:rsidR="002B710B" w:rsidRPr="00171EF8" w:rsidRDefault="002B710B" w:rsidP="00171EF8">
            <w:pPr>
              <w:pStyle w:val="Prrafodelista"/>
              <w:numPr>
                <w:ilvl w:val="0"/>
                <w:numId w:val="6"/>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Incremento en las rendiciones de cuentas de entidades del Órgano Ejecutivo: 2010 – 37 instituciones; 2011 – 64 instituciones y 14 gabinetes departamentales</w:t>
            </w:r>
            <w:proofErr w:type="gramStart"/>
            <w:r w:rsidRPr="00171EF8">
              <w:rPr>
                <w:rFonts w:cstheme="minorHAnsi"/>
                <w:i w:val="0"/>
                <w:sz w:val="16"/>
                <w:szCs w:val="16"/>
                <w:lang w:val="es-ES"/>
              </w:rPr>
              <w:t>:;</w:t>
            </w:r>
            <w:proofErr w:type="gramEnd"/>
            <w:r w:rsidRPr="00171EF8">
              <w:rPr>
                <w:rFonts w:cstheme="minorHAnsi"/>
                <w:i w:val="0"/>
                <w:sz w:val="16"/>
                <w:szCs w:val="16"/>
                <w:lang w:val="es-ES"/>
              </w:rPr>
              <w:t xml:space="preserve"> 2012 – 73 instituciones, 14 gabinetes departamentales y 5,000 escuelas.</w:t>
            </w:r>
          </w:p>
          <w:p w:rsidR="002B710B" w:rsidRPr="00171EF8" w:rsidRDefault="002B710B" w:rsidP="00171EF8">
            <w:pPr>
              <w:pStyle w:val="Prrafodelista"/>
              <w:numPr>
                <w:ilvl w:val="0"/>
                <w:numId w:val="6"/>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Para 2013, a septiembre, han rendido cuentas 80 instituciones, 14 gabinetes departamentales y en octubre inician las 5,200 escuelas. Además de audiencias nacionales se realizan regionales.</w:t>
            </w:r>
          </w:p>
          <w:p w:rsidR="002B710B" w:rsidRPr="00171EF8" w:rsidRDefault="002B710B" w:rsidP="00171EF8">
            <w:pPr>
              <w:pStyle w:val="Prrafodelista"/>
              <w:numPr>
                <w:ilvl w:val="0"/>
                <w:numId w:val="6"/>
              </w:numPr>
              <w:spacing w:line="276" w:lineRule="auto"/>
              <w:ind w:left="175" w:hanging="141"/>
              <w:cnfStyle w:val="000000100000"/>
              <w:rPr>
                <w:rFonts w:cstheme="minorHAnsi"/>
                <w:i w:val="0"/>
                <w:sz w:val="16"/>
                <w:szCs w:val="16"/>
                <w:lang w:val="es-ES"/>
              </w:rPr>
            </w:pPr>
            <w:r w:rsidRPr="00171EF8">
              <w:rPr>
                <w:rFonts w:cstheme="minorHAnsi"/>
                <w:i w:val="0"/>
                <w:sz w:val="16"/>
                <w:szCs w:val="16"/>
                <w:lang w:val="es-ES"/>
              </w:rPr>
              <w:t xml:space="preserve">El sistema incluye evaluaciones institucionales, una evaluación anual y la consecuente mejora de </w:t>
            </w:r>
            <w:r w:rsidR="00CE46E4" w:rsidRPr="00171EF8">
              <w:rPr>
                <w:rFonts w:cstheme="minorHAnsi"/>
                <w:i w:val="0"/>
                <w:sz w:val="16"/>
                <w:szCs w:val="16"/>
                <w:lang w:val="es-ES"/>
              </w:rPr>
              <w:t>los manuales</w:t>
            </w:r>
            <w:r w:rsidRPr="00171EF8">
              <w:rPr>
                <w:rFonts w:cstheme="minorHAnsi"/>
                <w:i w:val="0"/>
                <w:sz w:val="16"/>
                <w:szCs w:val="16"/>
                <w:lang w:val="es-ES"/>
              </w:rPr>
              <w:t xml:space="preserve"> y lineamientos para cada año. La evaluación final será en mayo de 2014.</w:t>
            </w:r>
          </w:p>
        </w:tc>
        <w:tc>
          <w:tcPr>
            <w:tcW w:w="2432" w:type="pct"/>
            <w:vMerge w:val="restart"/>
            <w:tcBorders>
              <w:top w:val="none" w:sz="0" w:space="0" w:color="auto"/>
              <w:bottom w:val="none" w:sz="0" w:space="0" w:color="auto"/>
              <w:right w:val="none" w:sz="0" w:space="0" w:color="auto"/>
            </w:tcBorders>
          </w:tcPr>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La modalidad actual incluye demasiada información, por lo que se vuelven difíciles de digerir para la población, se sugiere acotar temas que rindan más frutos para la mejora institucional.</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Realizar rendiciones de cuentas en lugares más accesibles a la población, procurar reducir el uso de hoteles y adecuarlas a nivel local. </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Tomar en cuenta los insumos y grado de incidencia de quienes hacen investigación, para generar políticas públicas. </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Dado que el acceso a internet es limitado, se deben promover y potenciar el uso de celulares, a través de mensajes de texto.</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Los Ministerios que tienen entidades descentralizadas deben hacer una rendición de cuentas que las integre a todas.</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 xml:space="preserve">Deben plantearse los mecanismos de seguimiento de las rendiciones de cuentas hacia la ciudadanía, es decir, ¿Cómo se puede ampliar la información? ¿Cuáles son los mecanismos que debo seguir en caso que las decisiones  o acciones desarrolladas por las instituciones haya causado daños a terceros? ¿Mecanismos de denuncia? La </w:t>
            </w:r>
            <w:r w:rsidR="00CE46E4" w:rsidRPr="00171EF8">
              <w:rPr>
                <w:rFonts w:cstheme="minorHAnsi"/>
                <w:i w:val="0"/>
                <w:sz w:val="16"/>
                <w:szCs w:val="16"/>
                <w:lang w:val="es-ES_tradnl"/>
              </w:rPr>
              <w:t>R</w:t>
            </w:r>
            <w:r w:rsidR="00CE46E4">
              <w:rPr>
                <w:rFonts w:cstheme="minorHAnsi"/>
                <w:i w:val="0"/>
                <w:sz w:val="16"/>
                <w:szCs w:val="16"/>
                <w:lang w:val="es-ES_tradnl"/>
              </w:rPr>
              <w:t xml:space="preserve">endición de </w:t>
            </w:r>
            <w:r w:rsidRPr="00171EF8">
              <w:rPr>
                <w:rFonts w:cstheme="minorHAnsi"/>
                <w:i w:val="0"/>
                <w:sz w:val="16"/>
                <w:szCs w:val="16"/>
                <w:lang w:val="es-ES_tradnl"/>
              </w:rPr>
              <w:t>C</w:t>
            </w:r>
            <w:r w:rsidR="00CE46E4">
              <w:rPr>
                <w:rFonts w:cstheme="minorHAnsi"/>
                <w:i w:val="0"/>
                <w:sz w:val="16"/>
                <w:szCs w:val="16"/>
                <w:lang w:val="es-ES_tradnl"/>
              </w:rPr>
              <w:t>uentas</w:t>
            </w:r>
            <w:r w:rsidRPr="00171EF8">
              <w:rPr>
                <w:rFonts w:cstheme="minorHAnsi"/>
                <w:i w:val="0"/>
                <w:sz w:val="16"/>
                <w:szCs w:val="16"/>
                <w:lang w:val="es-ES_tradnl"/>
              </w:rPr>
              <w:t xml:space="preserve"> implica una parte del juzgamiento respecto de acciones realizadas por las instituciones. </w:t>
            </w:r>
          </w:p>
          <w:p w:rsidR="002B710B" w:rsidRPr="00171EF8" w:rsidRDefault="002B710B" w:rsidP="00171EF8">
            <w:pPr>
              <w:pStyle w:val="Prrafodelista"/>
              <w:numPr>
                <w:ilvl w:val="0"/>
                <w:numId w:val="4"/>
              </w:numPr>
              <w:spacing w:line="276" w:lineRule="auto"/>
              <w:ind w:left="175" w:hanging="142"/>
              <w:cnfStyle w:val="000000100000"/>
              <w:rPr>
                <w:rFonts w:cstheme="minorHAnsi"/>
                <w:i w:val="0"/>
                <w:sz w:val="16"/>
                <w:szCs w:val="16"/>
                <w:lang w:val="es-ES_tradnl"/>
              </w:rPr>
            </w:pPr>
            <w:r w:rsidRPr="00171EF8">
              <w:rPr>
                <w:rFonts w:cstheme="minorHAnsi"/>
                <w:i w:val="0"/>
                <w:sz w:val="16"/>
                <w:szCs w:val="16"/>
                <w:lang w:val="es-ES_tradnl"/>
              </w:rPr>
              <w:t>Buscar e implementar la alternativa más viable para garantizar la sostenibilidad y perdurabilidad de la rendición de cuentas en administraciones futuras.</w:t>
            </w:r>
          </w:p>
          <w:p w:rsidR="002B710B" w:rsidRPr="00171EF8" w:rsidRDefault="002B710B" w:rsidP="00171EF8">
            <w:pPr>
              <w:spacing w:line="276" w:lineRule="auto"/>
              <w:cnfStyle w:val="000000100000"/>
              <w:rPr>
                <w:rFonts w:cstheme="minorHAnsi"/>
                <w:i w:val="0"/>
                <w:sz w:val="16"/>
                <w:szCs w:val="16"/>
                <w:lang w:val="es-ES_tradnl"/>
              </w:rPr>
            </w:pP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p>
          <w:p w:rsidR="002B710B" w:rsidRPr="00171EF8" w:rsidRDefault="002B710B" w:rsidP="00171EF8">
            <w:pPr>
              <w:spacing w:line="276" w:lineRule="auto"/>
              <w:jc w:val="left"/>
              <w:rPr>
                <w:rFonts w:cstheme="minorHAnsi"/>
                <w:i w:val="0"/>
                <w:sz w:val="16"/>
                <w:szCs w:val="16"/>
                <w:lang w:val="es-ES"/>
              </w:rPr>
            </w:pPr>
          </w:p>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171EF8">
            <w:pPr>
              <w:pStyle w:val="Prrafodelista"/>
              <w:numPr>
                <w:ilvl w:val="0"/>
                <w:numId w:val="26"/>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En las rendiciones de cuentas, las instituciones organizadas en los Gabinetes de Gestión Departamental,  informaron y justificaron ante la ciudadanía el trabajo realizado  y el uso de los recursos financieros asignados para cada departamento. Se realizaron en espacios públicos (plazas, parques y centros de recreación). Lograron una participación  aproximada  de  7,500 personas e incluyeron la realización de ferias en las que las distintas instituciones con presencia en  los territorios colocaron sus stands promocionando los servicios que brindan.</w:t>
            </w:r>
          </w:p>
          <w:p w:rsidR="002B710B" w:rsidRPr="00171EF8" w:rsidRDefault="002B710B" w:rsidP="00171EF8">
            <w:pPr>
              <w:pStyle w:val="Prrafodelista"/>
              <w:numPr>
                <w:ilvl w:val="0"/>
                <w:numId w:val="26"/>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 xml:space="preserve">Igualmente, el sistema incluye </w:t>
            </w:r>
            <w:r w:rsidR="00CE46E4" w:rsidRPr="00171EF8">
              <w:rPr>
                <w:rFonts w:cstheme="minorHAnsi"/>
                <w:i w:val="0"/>
                <w:sz w:val="16"/>
                <w:szCs w:val="16"/>
                <w:lang w:val="es-ES"/>
              </w:rPr>
              <w:t>evaluación por</w:t>
            </w:r>
            <w:r w:rsidRPr="00171EF8">
              <w:rPr>
                <w:rFonts w:cstheme="minorHAnsi"/>
                <w:i w:val="0"/>
                <w:sz w:val="16"/>
                <w:szCs w:val="16"/>
                <w:lang w:val="es-ES"/>
              </w:rPr>
              <w:t xml:space="preserve"> gabinete, evaluación anual y la evaluación final será en mayo de 2014</w:t>
            </w:r>
          </w:p>
        </w:tc>
        <w:tc>
          <w:tcPr>
            <w:tcW w:w="2432" w:type="pct"/>
            <w:vMerge/>
          </w:tcPr>
          <w:p w:rsidR="002B710B" w:rsidRPr="00171EF8" w:rsidRDefault="002B710B" w:rsidP="00171EF8">
            <w:pPr>
              <w:spacing w:line="276" w:lineRule="auto"/>
              <w:cnfStyle w:val="000000000000"/>
              <w:rPr>
                <w:rFonts w:cstheme="minorHAnsi"/>
                <w:i w:val="0"/>
                <w:sz w:val="16"/>
                <w:szCs w:val="16"/>
                <w:lang w:val="es-ES"/>
              </w:rPr>
            </w:pP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lang w:val="es-ES"/>
              </w:rPr>
            </w:pPr>
            <w:r w:rsidRPr="00171EF8">
              <w:rPr>
                <w:rFonts w:cstheme="minorHAnsi"/>
                <w:b w:val="0"/>
                <w:i w:val="0"/>
                <w:sz w:val="16"/>
                <w:szCs w:val="16"/>
              </w:rPr>
              <w:t>Implementar  los  Pactos de  Integridad  en  proyectos  emblemáticos  del Gobierno. Mayo 2014</w:t>
            </w: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Continuo</w:t>
            </w:r>
          </w:p>
        </w:tc>
        <w:tc>
          <w:tcPr>
            <w:tcW w:w="2039" w:type="pct"/>
          </w:tcPr>
          <w:p w:rsidR="002B710B" w:rsidRPr="00171EF8" w:rsidRDefault="002B710B" w:rsidP="00171EF8">
            <w:pPr>
              <w:pStyle w:val="Prrafodelista"/>
              <w:numPr>
                <w:ilvl w:val="0"/>
                <w:numId w:val="27"/>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 xml:space="preserve">La Subsecretaría de Transparencia y Anticorrupción junto con organizaciones de la sociedad civil trabajaron el diseño de la metodología. </w:t>
            </w:r>
          </w:p>
          <w:p w:rsidR="002B710B" w:rsidRPr="00171EF8" w:rsidRDefault="002B710B" w:rsidP="00171EF8">
            <w:pPr>
              <w:pStyle w:val="Prrafodelista"/>
              <w:numPr>
                <w:ilvl w:val="0"/>
                <w:numId w:val="27"/>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El Ministerio de Obras Públicas ha firmado 30 pactos de integridad incluyendo el desarrollo de construcción del Bulevar Monseñor Romero y el SITRAMS</w:t>
            </w:r>
            <w:r w:rsidRPr="00171EF8">
              <w:rPr>
                <w:rStyle w:val="Refdenotaalpie"/>
                <w:rFonts w:cstheme="minorHAnsi"/>
                <w:i w:val="0"/>
                <w:sz w:val="16"/>
                <w:szCs w:val="16"/>
                <w:lang w:val="es-ES"/>
              </w:rPr>
              <w:footnoteReference w:id="4"/>
            </w:r>
            <w:r w:rsidRPr="00171EF8">
              <w:rPr>
                <w:rFonts w:cstheme="minorHAnsi"/>
                <w:i w:val="0"/>
                <w:sz w:val="16"/>
                <w:szCs w:val="16"/>
                <w:lang w:val="es-ES"/>
              </w:rPr>
              <w:t>, las dos apuestas más grandes del período.</w:t>
            </w:r>
          </w:p>
          <w:p w:rsidR="002B710B" w:rsidRPr="00171EF8" w:rsidRDefault="002B710B" w:rsidP="00171EF8">
            <w:pPr>
              <w:pStyle w:val="Prrafodelista"/>
              <w:numPr>
                <w:ilvl w:val="0"/>
                <w:numId w:val="27"/>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El acceso a información sobre obras de infraestructura se ha ampliado, por iniciativa de la Secretaría Técnica de la Presidencia, en coordinación con la Cámara Salvadoreña de la Construcción (CASALCO), a través de la presentación de los planes anuales de inversión en infraestructura pública, facilitando su participación en los procesos de licitación programados.</w:t>
            </w:r>
          </w:p>
          <w:p w:rsidR="002B710B" w:rsidRPr="00171EF8" w:rsidRDefault="002B710B" w:rsidP="00171EF8">
            <w:pPr>
              <w:pStyle w:val="Prrafodelista"/>
              <w:numPr>
                <w:ilvl w:val="0"/>
                <w:numId w:val="27"/>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En agosto 2013 se inició la implementación de la iniciativa CoST, a petición del Ministro de Obras Públicas. En ella se han incorporado Iniciativa Social para la Democracia, Universidad Centroamericana UCA, Universidad Nacional, Fondo de Conservación Vial y la Subsecretaría de Transparencia y Anticorrupción.</w:t>
            </w:r>
          </w:p>
        </w:tc>
        <w:tc>
          <w:tcPr>
            <w:tcW w:w="2432" w:type="pct"/>
          </w:tcPr>
          <w:p w:rsidR="002B710B" w:rsidRPr="00171EF8" w:rsidRDefault="002B710B" w:rsidP="00171EF8">
            <w:pPr>
              <w:numPr>
                <w:ilvl w:val="0"/>
                <w:numId w:val="5"/>
              </w:numPr>
              <w:tabs>
                <w:tab w:val="clear" w:pos="720"/>
                <w:tab w:val="num" w:pos="175"/>
              </w:tabs>
              <w:spacing w:line="276" w:lineRule="auto"/>
              <w:ind w:left="175" w:hanging="142"/>
              <w:cnfStyle w:val="000000000000"/>
              <w:rPr>
                <w:rFonts w:cstheme="minorHAnsi"/>
                <w:i w:val="0"/>
                <w:sz w:val="16"/>
                <w:szCs w:val="16"/>
                <w:lang w:val="es-ES"/>
              </w:rPr>
            </w:pPr>
            <w:r w:rsidRPr="00171EF8">
              <w:rPr>
                <w:rFonts w:cstheme="minorHAnsi"/>
                <w:i w:val="0"/>
                <w:sz w:val="16"/>
                <w:szCs w:val="16"/>
                <w:lang w:val="es-ES"/>
              </w:rPr>
              <w:t>Pactos de integridad son una buena herramienta porque cuentan con un testigo social, su divulgación debe garantizarse para conocimiento general de la población y así pueda comprender su importancia y resultados.  Así mismo, deben ampliarse a las compras públicas, se puede iniciar con los medicamentos. Por otra parte, es necesario que uno de los requisitos a cumplir por parte de las empresas que participen en los pactos de integridad, es que cumplan con los derechos laborales de los trabajadores.</w:t>
            </w:r>
          </w:p>
          <w:p w:rsidR="002B710B" w:rsidRPr="00171EF8" w:rsidRDefault="002B710B" w:rsidP="00CE46E4">
            <w:pPr>
              <w:numPr>
                <w:ilvl w:val="0"/>
                <w:numId w:val="5"/>
              </w:numPr>
              <w:tabs>
                <w:tab w:val="clear" w:pos="720"/>
                <w:tab w:val="num" w:pos="175"/>
              </w:tabs>
              <w:spacing w:line="276" w:lineRule="auto"/>
              <w:ind w:left="175" w:hanging="142"/>
              <w:cnfStyle w:val="000000000000"/>
              <w:rPr>
                <w:rFonts w:cstheme="minorHAnsi"/>
                <w:i w:val="0"/>
                <w:sz w:val="16"/>
                <w:szCs w:val="16"/>
                <w:lang w:val="es-ES"/>
              </w:rPr>
            </w:pPr>
            <w:r w:rsidRPr="00171EF8">
              <w:rPr>
                <w:rFonts w:cstheme="minorHAnsi"/>
                <w:i w:val="0"/>
                <w:sz w:val="16"/>
                <w:szCs w:val="16"/>
                <w:lang w:val="es-ES_tradnl"/>
              </w:rPr>
              <w:t xml:space="preserve">Fortalecer y ampliar la INICIATIVA CoST, o multiactores, como grupo independiente y autónomo, </w:t>
            </w:r>
            <w:r w:rsidRPr="00171EF8">
              <w:rPr>
                <w:rFonts w:cstheme="minorHAnsi"/>
                <w:i w:val="0"/>
                <w:sz w:val="16"/>
                <w:szCs w:val="16"/>
              </w:rPr>
              <w:t>facilitador de la información sistematizada de la obra pública, orientado por la ética, la tran</w:t>
            </w:r>
            <w:r w:rsidR="00CE46E4">
              <w:rPr>
                <w:rFonts w:cstheme="minorHAnsi"/>
                <w:i w:val="0"/>
                <w:sz w:val="16"/>
                <w:szCs w:val="16"/>
              </w:rPr>
              <w:t>sparencia y la anticorrupción. E</w:t>
            </w:r>
            <w:r w:rsidR="00CE46E4" w:rsidRPr="00171EF8">
              <w:rPr>
                <w:rFonts w:cstheme="minorHAnsi"/>
                <w:i w:val="0"/>
                <w:sz w:val="16"/>
                <w:szCs w:val="16"/>
                <w:lang w:val="es-ES"/>
              </w:rPr>
              <w:t>stablecer</w:t>
            </w:r>
            <w:r w:rsidRPr="00171EF8">
              <w:rPr>
                <w:rFonts w:cstheme="minorHAnsi"/>
                <w:i w:val="0"/>
                <w:sz w:val="16"/>
                <w:szCs w:val="16"/>
                <w:lang w:val="es-ES"/>
              </w:rPr>
              <w:t xml:space="preserve"> y /o definir sus propios lineamientos para la fiscalización ciudadana de la obra pública. </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rPr>
                <w:rFonts w:cstheme="minorHAnsi"/>
                <w:b w:val="0"/>
                <w:i w:val="0"/>
                <w:sz w:val="16"/>
                <w:szCs w:val="16"/>
              </w:rPr>
            </w:pPr>
            <w:r w:rsidRPr="00171EF8">
              <w:rPr>
                <w:rFonts w:cstheme="minorHAnsi"/>
                <w:b w:val="0"/>
                <w:i w:val="0"/>
                <w:sz w:val="16"/>
                <w:szCs w:val="16"/>
              </w:rPr>
              <w:t>Instalado y en funcionamiento un sistema público privado que ofrezcan asistencia legal dentro de cada institución gubernamental a los ciudadanos que deseen interponer una queja, aviso o demanda por incumplimiento de labores o servicio brindado por el Estado, cuya estructura se creará en alianza con el sector privado, el sector académico y la sociedad civil. Diciembre 2012</w:t>
            </w:r>
          </w:p>
          <w:p w:rsidR="002B710B" w:rsidRPr="00171EF8" w:rsidRDefault="002B710B" w:rsidP="00171EF8">
            <w:pPr>
              <w:spacing w:line="276" w:lineRule="auto"/>
              <w:jc w:val="left"/>
              <w:rPr>
                <w:rFonts w:cstheme="minorHAnsi"/>
                <w:i w:val="0"/>
                <w:sz w:val="16"/>
                <w:szCs w:val="16"/>
                <w:lang w:val="es-ES"/>
              </w:rPr>
            </w:pP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0%</w:t>
            </w:r>
          </w:p>
        </w:tc>
        <w:tc>
          <w:tcPr>
            <w:tcW w:w="2039" w:type="pct"/>
          </w:tcPr>
          <w:p w:rsidR="002B710B" w:rsidRPr="00171EF8" w:rsidRDefault="002B710B" w:rsidP="00171EF8">
            <w:pPr>
              <w:pStyle w:val="Prrafodelista"/>
              <w:numPr>
                <w:ilvl w:val="0"/>
                <w:numId w:val="28"/>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La iniciativa ha sido implementada por la Fundación Nacional para el Desarrollo (FUNDE), que a la vez es el Capítulo Nacional de Transparencia Internacional.</w:t>
            </w:r>
          </w:p>
          <w:p w:rsidR="002B710B" w:rsidRPr="00171EF8" w:rsidRDefault="002B710B" w:rsidP="00171EF8">
            <w:pPr>
              <w:pStyle w:val="Prrafodelista"/>
              <w:numPr>
                <w:ilvl w:val="0"/>
                <w:numId w:val="28"/>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La SSTA no tuvo ninguna intervención en ello.</w:t>
            </w:r>
          </w:p>
        </w:tc>
        <w:tc>
          <w:tcPr>
            <w:tcW w:w="2432" w:type="pct"/>
          </w:tcPr>
          <w:p w:rsidR="002B710B" w:rsidRPr="00171EF8" w:rsidRDefault="002B710B" w:rsidP="00171EF8">
            <w:pPr>
              <w:pStyle w:val="Prrafodelista"/>
              <w:numPr>
                <w:ilvl w:val="0"/>
                <w:numId w:val="8"/>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La coordinación entre FUNDE y SSTA es mínima y se enmarca en la recepción de informes sobre lo actuado por la oficina de Asistencia Legal al Ciudadano y la incorporación de sus propuestas para la mejora en ámbitos como el acceso a información y mecanismos anticorrupción</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Estudio y presentación pública de casos emblemáticos de corrupción. Mayo 2014</w:t>
            </w: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Continuo</w:t>
            </w:r>
          </w:p>
        </w:tc>
        <w:tc>
          <w:tcPr>
            <w:tcW w:w="2039" w:type="pct"/>
          </w:tcPr>
          <w:p w:rsidR="002B710B" w:rsidRPr="00171EF8" w:rsidRDefault="002B710B" w:rsidP="00171EF8">
            <w:pPr>
              <w:pStyle w:val="Prrafodelista"/>
              <w:numPr>
                <w:ilvl w:val="0"/>
                <w:numId w:val="8"/>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En el periódico digital Transparencia Activa, alojado en el portal Gobierno Abierto (</w:t>
            </w:r>
            <w:hyperlink r:id="rId13" w:history="1">
              <w:r w:rsidRPr="00171EF8">
                <w:rPr>
                  <w:rStyle w:val="Hipervnculo"/>
                  <w:rFonts w:cstheme="minorHAnsi"/>
                  <w:i w:val="0"/>
                  <w:color w:val="auto"/>
                  <w:sz w:val="16"/>
                  <w:szCs w:val="16"/>
                  <w:lang w:val="es-ES"/>
                </w:rPr>
                <w:t>http://www.transparenciaactiva.gob.sv/</w:t>
              </w:r>
            </w:hyperlink>
            <w:r w:rsidRPr="00171EF8">
              <w:rPr>
                <w:rFonts w:cstheme="minorHAnsi"/>
                <w:i w:val="0"/>
                <w:sz w:val="16"/>
                <w:szCs w:val="16"/>
                <w:lang w:val="es-ES"/>
              </w:rPr>
              <w:t>) se han publicado casos de corrupción de gran envergadura, que ya han sido presentados a la FGR. Entre ellos, los más destacados son:</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RHESSA, caso de corrupción en construcción de red de hospitales nacionales luego de los terremotos del 2001.</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DIEGO DE HOLGUIN: ahora Boulevard Monseñor Romero, en el que se involucran ex ministros del Ministerio de Obras Públicas y ha significado una pérdida multimillonaria para el país.</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CENTRO NACIONAL DE REGISTROS: caso de plazas fantasmas de asesores de la dirección en administraciones anteriores.</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CORREOS: casos de malversación de fondos y soborno detectados en una red de empleados públicos.</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MINISTERIO DE TRABAJO: caso de fraude en programa de contratación canadiense, efectuado por red de empleados públicos de dicho ministerio.</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INSTITUTO DE TRANSFORMACIÓN AGRARIA: caso de malversación de fondos y entrega fraudulenta de terrenos a persona no agricultoras.</w:t>
            </w:r>
          </w:p>
          <w:p w:rsidR="002B710B" w:rsidRPr="00171EF8" w:rsidRDefault="002B710B" w:rsidP="00171EF8">
            <w:pPr>
              <w:pStyle w:val="Prrafodelista"/>
              <w:numPr>
                <w:ilvl w:val="0"/>
                <w:numId w:val="29"/>
              </w:numPr>
              <w:spacing w:line="276" w:lineRule="auto"/>
              <w:ind w:left="459" w:hanging="284"/>
              <w:cnfStyle w:val="000000000000"/>
              <w:rPr>
                <w:rFonts w:cstheme="minorHAnsi"/>
                <w:i w:val="0"/>
                <w:sz w:val="16"/>
                <w:szCs w:val="16"/>
                <w:lang w:val="es-ES"/>
              </w:rPr>
            </w:pPr>
            <w:r w:rsidRPr="00171EF8">
              <w:rPr>
                <w:rFonts w:cstheme="minorHAnsi"/>
                <w:i w:val="0"/>
                <w:sz w:val="16"/>
                <w:szCs w:val="16"/>
                <w:lang w:val="es-ES"/>
              </w:rPr>
              <w:t xml:space="preserve">COMISIÓN EJECUTIVA HIDROELÉCTRICA DEL RÍO LEMPA – GENERADORA </w:t>
            </w:r>
            <w:r w:rsidR="00171EF8" w:rsidRPr="00171EF8">
              <w:rPr>
                <w:rFonts w:cstheme="minorHAnsi"/>
                <w:i w:val="0"/>
                <w:sz w:val="16"/>
                <w:szCs w:val="16"/>
                <w:lang w:val="es-ES"/>
              </w:rPr>
              <w:t>ELÉCTRICA</w:t>
            </w:r>
            <w:r w:rsidRPr="00171EF8">
              <w:rPr>
                <w:rFonts w:cstheme="minorHAnsi"/>
                <w:i w:val="0"/>
                <w:sz w:val="16"/>
                <w:szCs w:val="16"/>
                <w:lang w:val="es-ES"/>
              </w:rPr>
              <w:t xml:space="preserve"> (GEO) Y ENEL GREEN POWER: enriquecimiento ilícito de ex funcionarios.</w:t>
            </w:r>
          </w:p>
          <w:p w:rsidR="002B710B" w:rsidRPr="00171EF8" w:rsidRDefault="002B710B" w:rsidP="00171EF8">
            <w:pPr>
              <w:spacing w:line="276" w:lineRule="auto"/>
              <w:cnfStyle w:val="000000000000"/>
              <w:rPr>
                <w:rFonts w:cstheme="minorHAnsi"/>
                <w:i w:val="0"/>
                <w:sz w:val="16"/>
                <w:szCs w:val="16"/>
                <w:lang w:val="es-ES"/>
              </w:rPr>
            </w:pPr>
            <w:r w:rsidRPr="00171EF8">
              <w:rPr>
                <w:rFonts w:cstheme="minorHAnsi"/>
                <w:i w:val="0"/>
                <w:sz w:val="16"/>
                <w:szCs w:val="16"/>
                <w:lang w:val="es-ES"/>
              </w:rPr>
              <w:t>La intención de la publicación es sentar precedentes importantes para que se procure la justicia y se prevengan futuros actos de corrupción.</w:t>
            </w:r>
          </w:p>
        </w:tc>
        <w:tc>
          <w:tcPr>
            <w:tcW w:w="2432" w:type="pct"/>
          </w:tcPr>
          <w:p w:rsidR="002B710B" w:rsidRPr="00171EF8" w:rsidRDefault="002B710B" w:rsidP="00171EF8">
            <w:pPr>
              <w:pStyle w:val="Prrafodelista"/>
              <w:numPr>
                <w:ilvl w:val="0"/>
                <w:numId w:val="9"/>
              </w:numPr>
              <w:spacing w:line="276" w:lineRule="auto"/>
              <w:ind w:left="175" w:hanging="175"/>
              <w:cnfStyle w:val="000000000000"/>
              <w:rPr>
                <w:rFonts w:cstheme="minorHAnsi"/>
                <w:i w:val="0"/>
                <w:sz w:val="16"/>
                <w:szCs w:val="16"/>
              </w:rPr>
            </w:pPr>
            <w:r w:rsidRPr="00171EF8">
              <w:rPr>
                <w:rFonts w:cstheme="minorHAnsi"/>
                <w:i w:val="0"/>
                <w:sz w:val="16"/>
                <w:szCs w:val="16"/>
              </w:rPr>
              <w:t>Hay claridad de la intención de este gobierno de terminar con los actos de corrupción, sobre todo de que los que han significado grandes pérdidas para el país, sean castigados y se recupere el patrimonio dañado. Sin embargo, Transparencia Activa solo se recibe electrónicamente, lo que impide que se masifique en otros sectores.</w:t>
            </w:r>
          </w:p>
          <w:p w:rsidR="002B710B" w:rsidRPr="00171EF8" w:rsidRDefault="002B710B" w:rsidP="00171EF8">
            <w:pPr>
              <w:pStyle w:val="Prrafodelista"/>
              <w:numPr>
                <w:ilvl w:val="0"/>
                <w:numId w:val="9"/>
              </w:numPr>
              <w:spacing w:line="276" w:lineRule="auto"/>
              <w:ind w:left="175" w:hanging="175"/>
              <w:cnfStyle w:val="000000000000"/>
              <w:rPr>
                <w:rFonts w:cstheme="minorHAnsi"/>
                <w:i w:val="0"/>
                <w:sz w:val="16"/>
                <w:szCs w:val="16"/>
              </w:rPr>
            </w:pPr>
            <w:r w:rsidRPr="00171EF8">
              <w:rPr>
                <w:rFonts w:cstheme="minorHAnsi"/>
                <w:i w:val="0"/>
                <w:sz w:val="16"/>
                <w:szCs w:val="16"/>
              </w:rPr>
              <w:t>Establecer mecanismos de seguimiento periódico sobre los avances en las investigaciones, para mantener informada a la población al respecto.</w:t>
            </w:r>
          </w:p>
          <w:p w:rsidR="002B710B" w:rsidRPr="00171EF8" w:rsidRDefault="002B710B" w:rsidP="00171EF8">
            <w:pPr>
              <w:pStyle w:val="Prrafodelista"/>
              <w:numPr>
                <w:ilvl w:val="0"/>
                <w:numId w:val="8"/>
              </w:numPr>
              <w:spacing w:line="276" w:lineRule="auto"/>
              <w:ind w:left="175" w:hanging="175"/>
              <w:cnfStyle w:val="000000000000"/>
              <w:rPr>
                <w:rFonts w:cstheme="minorHAnsi"/>
                <w:i w:val="0"/>
                <w:sz w:val="16"/>
                <w:szCs w:val="16"/>
              </w:rPr>
            </w:pPr>
            <w:r w:rsidRPr="00171EF8">
              <w:rPr>
                <w:i w:val="0"/>
                <w:sz w:val="16"/>
                <w:szCs w:val="16"/>
              </w:rPr>
              <w:t xml:space="preserve">Desde afuera se percibe que SSTA ha presentado casos a FGR y que ahí termina su papel, debe publicar posicionamientos que permitan identificar los diferentes roles que ambas instancias desempeñan en la país. </w:t>
            </w:r>
          </w:p>
          <w:p w:rsidR="002B710B" w:rsidRPr="00171EF8" w:rsidRDefault="002B710B" w:rsidP="00171EF8">
            <w:pPr>
              <w:pStyle w:val="Prrafodelista"/>
              <w:numPr>
                <w:ilvl w:val="0"/>
                <w:numId w:val="8"/>
              </w:numPr>
              <w:spacing w:line="276" w:lineRule="auto"/>
              <w:ind w:left="175" w:hanging="175"/>
              <w:cnfStyle w:val="000000000000"/>
              <w:rPr>
                <w:rFonts w:cstheme="minorHAnsi"/>
                <w:i w:val="0"/>
                <w:sz w:val="16"/>
                <w:szCs w:val="16"/>
              </w:rPr>
            </w:pPr>
            <w:r w:rsidRPr="00171EF8">
              <w:rPr>
                <w:rFonts w:cstheme="minorHAnsi"/>
                <w:i w:val="0"/>
                <w:sz w:val="16"/>
                <w:szCs w:val="16"/>
              </w:rPr>
              <w:t xml:space="preserve">Identificar casos sobre los cuales si puede haber un seguimiento. Plantearlos desde una perspectiva de coordinación que incluyan a otros sectores y no solo desde el Ejecutivo. </w:t>
            </w:r>
          </w:p>
          <w:p w:rsidR="002B710B" w:rsidRPr="00171EF8" w:rsidRDefault="002B710B" w:rsidP="00171EF8">
            <w:pPr>
              <w:pStyle w:val="Prrafodelista"/>
              <w:numPr>
                <w:ilvl w:val="0"/>
                <w:numId w:val="8"/>
              </w:numPr>
              <w:spacing w:line="276" w:lineRule="auto"/>
              <w:ind w:left="175" w:hanging="175"/>
              <w:cnfStyle w:val="000000000000"/>
              <w:rPr>
                <w:rFonts w:cstheme="minorHAnsi"/>
                <w:i w:val="0"/>
                <w:sz w:val="16"/>
                <w:szCs w:val="16"/>
              </w:rPr>
            </w:pPr>
            <w:r w:rsidRPr="00171EF8">
              <w:rPr>
                <w:rFonts w:cstheme="minorHAnsi"/>
                <w:i w:val="0"/>
                <w:sz w:val="16"/>
                <w:szCs w:val="16"/>
              </w:rPr>
              <w:t>Se debe procurar una reforma en las leyes, que no permita la prescripción de casos de corrupción.</w:t>
            </w:r>
          </w:p>
          <w:p w:rsidR="002B710B" w:rsidRPr="00171EF8" w:rsidRDefault="00171EF8" w:rsidP="00171EF8">
            <w:pPr>
              <w:pStyle w:val="Prrafodelista"/>
              <w:numPr>
                <w:ilvl w:val="0"/>
                <w:numId w:val="8"/>
              </w:numPr>
              <w:spacing w:line="276" w:lineRule="auto"/>
              <w:ind w:left="175" w:hanging="175"/>
              <w:cnfStyle w:val="000000000000"/>
              <w:rPr>
                <w:rFonts w:cstheme="minorHAnsi"/>
                <w:i w:val="0"/>
                <w:sz w:val="16"/>
                <w:szCs w:val="16"/>
              </w:rPr>
            </w:pPr>
            <w:r w:rsidRPr="00171EF8">
              <w:rPr>
                <w:rFonts w:cstheme="minorHAnsi"/>
                <w:i w:val="0"/>
                <w:sz w:val="16"/>
                <w:szCs w:val="16"/>
              </w:rPr>
              <w:t>Publicar</w:t>
            </w:r>
            <w:r w:rsidR="002B710B" w:rsidRPr="00171EF8">
              <w:rPr>
                <w:rFonts w:cstheme="minorHAnsi"/>
                <w:i w:val="0"/>
                <w:sz w:val="16"/>
                <w:szCs w:val="16"/>
              </w:rPr>
              <w:t xml:space="preserve"> una tabla síntesis de los casos presentados a la FGR, sin incluir datos que afecten la investigación, pero que permitan a la población conocer sobre qué se está trabajando o sobre qué se ha denunciado.   </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Agilización y transparencia en procesos de inversión pública. Mayo 2014</w:t>
            </w:r>
          </w:p>
        </w:tc>
      </w:tr>
      <w:tr w:rsidR="002B710B" w:rsidRPr="00171EF8" w:rsidTr="00A1520C">
        <w:tc>
          <w:tcPr>
            <w:cnfStyle w:val="001000000000"/>
            <w:tcW w:w="529" w:type="pct"/>
          </w:tcPr>
          <w:p w:rsidR="002B710B" w:rsidRPr="00CE46E4" w:rsidRDefault="002B710B" w:rsidP="00171EF8">
            <w:pPr>
              <w:spacing w:line="276" w:lineRule="auto"/>
              <w:jc w:val="left"/>
              <w:rPr>
                <w:rFonts w:cstheme="minorHAnsi"/>
                <w:i w:val="0"/>
                <w:sz w:val="16"/>
                <w:szCs w:val="16"/>
                <w:lang w:val="es-ES"/>
              </w:rPr>
            </w:pPr>
            <w:r w:rsidRPr="00CE46E4">
              <w:rPr>
                <w:rFonts w:cstheme="minorHAnsi"/>
                <w:i w:val="0"/>
                <w:sz w:val="16"/>
                <w:szCs w:val="16"/>
                <w:lang w:val="es-ES"/>
              </w:rPr>
              <w:t>Continuo</w:t>
            </w:r>
          </w:p>
        </w:tc>
        <w:tc>
          <w:tcPr>
            <w:tcW w:w="2039" w:type="pct"/>
          </w:tcPr>
          <w:p w:rsidR="002B710B" w:rsidRPr="00171EF8" w:rsidRDefault="002B710B" w:rsidP="00171EF8">
            <w:pPr>
              <w:pStyle w:val="Prrafodelista"/>
              <w:numPr>
                <w:ilvl w:val="0"/>
                <w:numId w:val="30"/>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Implementación del Proyecto “Solvencias en Línea”, el cual se promovió junto con la Unidad Normativa de Adquisiciones y Contrataciones (UNAC) del Ministerio de Hacienda. Este proyecto está beneficiando a los proveedores, quienes ahora se ahorran recursos financieros, personal y tiempo.</w:t>
            </w:r>
          </w:p>
          <w:p w:rsidR="002B710B" w:rsidRPr="00171EF8" w:rsidRDefault="002B710B" w:rsidP="00171EF8">
            <w:pPr>
              <w:pStyle w:val="Prrafodelista"/>
              <w:numPr>
                <w:ilvl w:val="0"/>
                <w:numId w:val="30"/>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 xml:space="preserve">La </w:t>
            </w:r>
            <w:r w:rsidR="00171EF8" w:rsidRPr="00171EF8">
              <w:rPr>
                <w:rFonts w:cstheme="minorHAnsi"/>
                <w:i w:val="0"/>
                <w:sz w:val="16"/>
                <w:szCs w:val="16"/>
                <w:lang w:val="es-ES"/>
              </w:rPr>
              <w:t>SSTA</w:t>
            </w:r>
            <w:r w:rsidRPr="00171EF8">
              <w:rPr>
                <w:rFonts w:cstheme="minorHAnsi"/>
                <w:i w:val="0"/>
                <w:sz w:val="16"/>
                <w:szCs w:val="16"/>
                <w:lang w:val="es-ES"/>
              </w:rPr>
              <w:t xml:space="preserve"> ha brindado apoyos institucionales para la mejora en los procesos de contratación ejecutados por las instituciones, en la elaboración de las bases de licitación y los planes de compra para evitar litigios y cerrar portillos de corrupción.</w:t>
            </w:r>
          </w:p>
          <w:p w:rsidR="002B710B" w:rsidRPr="00171EF8" w:rsidRDefault="002B710B" w:rsidP="00171EF8">
            <w:pPr>
              <w:pStyle w:val="Prrafodelista"/>
              <w:numPr>
                <w:ilvl w:val="0"/>
                <w:numId w:val="30"/>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Se hizo un estudio en FOSALUD para determinar algunas causas de la baja ejecución en las compras de bienes y servicios en el ejercicio fiscal 2012, para tal efecto se revisó las programaciones de compras de 2011 al 2013 y se realizaron las recomendaciones, que fueron incorporadas en las normas técnicas institucionales.</w:t>
            </w:r>
          </w:p>
          <w:p w:rsidR="002B710B" w:rsidRPr="00171EF8" w:rsidRDefault="002B710B" w:rsidP="00171EF8">
            <w:pPr>
              <w:pStyle w:val="Prrafodelista"/>
              <w:numPr>
                <w:ilvl w:val="0"/>
                <w:numId w:val="30"/>
              </w:numPr>
              <w:spacing w:line="276" w:lineRule="auto"/>
              <w:ind w:left="175" w:hanging="175"/>
              <w:cnfStyle w:val="000000000000"/>
              <w:rPr>
                <w:rFonts w:cstheme="minorHAnsi"/>
                <w:i w:val="0"/>
                <w:sz w:val="16"/>
                <w:szCs w:val="16"/>
                <w:lang w:val="es-ES"/>
              </w:rPr>
            </w:pPr>
            <w:r w:rsidRPr="00171EF8">
              <w:rPr>
                <w:rFonts w:cstheme="minorHAnsi"/>
                <w:i w:val="0"/>
                <w:sz w:val="16"/>
                <w:szCs w:val="16"/>
                <w:lang w:val="es-ES"/>
              </w:rPr>
              <w:t>A través de la implementación de portales web institucionales, garantizando la publicación de información oficiosa establecida en el artículo 10 de la Ley de Acceso a Información Pública, se publican todos los procesos de licitación y contratación pública, que al mismo tiempo se reflejan en el portal COMPRASAL del Ministerio de Hacienda.</w:t>
            </w:r>
          </w:p>
        </w:tc>
        <w:tc>
          <w:tcPr>
            <w:tcW w:w="2432" w:type="pct"/>
          </w:tcPr>
          <w:p w:rsidR="002B710B" w:rsidRPr="00171EF8" w:rsidRDefault="002B710B" w:rsidP="00171EF8">
            <w:pPr>
              <w:pStyle w:val="Prrafodelista"/>
              <w:numPr>
                <w:ilvl w:val="0"/>
                <w:numId w:val="13"/>
              </w:numPr>
              <w:spacing w:line="276" w:lineRule="auto"/>
              <w:ind w:left="175" w:hanging="175"/>
              <w:cnfStyle w:val="000000000000"/>
              <w:rPr>
                <w:rFonts w:cstheme="minorHAnsi"/>
                <w:i w:val="0"/>
                <w:sz w:val="16"/>
                <w:szCs w:val="16"/>
              </w:rPr>
            </w:pPr>
            <w:r w:rsidRPr="00171EF8">
              <w:rPr>
                <w:i w:val="0"/>
                <w:sz w:val="16"/>
                <w:szCs w:val="16"/>
              </w:rPr>
              <w:t>Estos procesos generan mayor confianza en los inversionistas así como también en la población en general.</w:t>
            </w:r>
          </w:p>
          <w:p w:rsidR="002B710B" w:rsidRPr="00171EF8" w:rsidRDefault="002B710B" w:rsidP="00171EF8">
            <w:pPr>
              <w:pStyle w:val="Prrafodelista"/>
              <w:numPr>
                <w:ilvl w:val="0"/>
                <w:numId w:val="13"/>
              </w:numPr>
              <w:spacing w:line="276" w:lineRule="auto"/>
              <w:ind w:left="175" w:hanging="175"/>
              <w:cnfStyle w:val="000000000000"/>
              <w:rPr>
                <w:rFonts w:cstheme="minorHAnsi"/>
                <w:i w:val="0"/>
                <w:sz w:val="16"/>
                <w:szCs w:val="16"/>
              </w:rPr>
            </w:pPr>
            <w:r w:rsidRPr="00171EF8">
              <w:rPr>
                <w:i w:val="0"/>
                <w:sz w:val="16"/>
                <w:szCs w:val="16"/>
              </w:rPr>
              <w:t>Garantizar que todas las instituciones publiquen en su portal web y en COMPRASAL.</w:t>
            </w:r>
          </w:p>
        </w:tc>
      </w:tr>
      <w:tr w:rsidR="00B8074C"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B8074C" w:rsidRPr="00171EF8" w:rsidRDefault="00B8074C" w:rsidP="00171EF8">
            <w:pPr>
              <w:pStyle w:val="Prrafodelista"/>
              <w:numPr>
                <w:ilvl w:val="0"/>
                <w:numId w:val="16"/>
              </w:numPr>
              <w:autoSpaceDE w:val="0"/>
              <w:autoSpaceDN w:val="0"/>
              <w:adjustRightInd w:val="0"/>
              <w:spacing w:line="276" w:lineRule="auto"/>
              <w:rPr>
                <w:rFonts w:eastAsiaTheme="minorHAnsi" w:cs="Calibri"/>
                <w:b w:val="0"/>
                <w:i w:val="0"/>
                <w:iCs w:val="0"/>
                <w:sz w:val="16"/>
                <w:szCs w:val="16"/>
                <w:lang w:bidi="ar-SA"/>
              </w:rPr>
            </w:pPr>
            <w:r w:rsidRPr="00171EF8">
              <w:rPr>
                <w:rFonts w:eastAsiaTheme="minorHAnsi" w:cs="Calibri"/>
                <w:b w:val="0"/>
                <w:i w:val="0"/>
                <w:iCs w:val="0"/>
                <w:sz w:val="16"/>
                <w:szCs w:val="16"/>
                <w:lang w:bidi="ar-SA"/>
              </w:rPr>
              <w:t>Formación de comités de auditoría y profesionalizadas las Unidades de Auditoría Interna del Órgano Ejecutivo en temas específicos enfocados al combate a la corrupción, como son detección de fraude, auditoría forense, procesos de compras, preparación de planes de trabajo bajo el enfoque de riesgo, tipificación de un acto administrativo como delito penal, etc. Implementación: hasta diciembre de 2013</w:t>
            </w:r>
          </w:p>
        </w:tc>
      </w:tr>
      <w:tr w:rsidR="00B8074C" w:rsidRPr="00171EF8" w:rsidTr="00A1520C">
        <w:tc>
          <w:tcPr>
            <w:cnfStyle w:val="001000000000"/>
            <w:tcW w:w="529" w:type="pct"/>
          </w:tcPr>
          <w:p w:rsidR="00B8074C" w:rsidRPr="00CE46E4" w:rsidRDefault="00B8074C" w:rsidP="00171EF8">
            <w:pPr>
              <w:spacing w:line="276" w:lineRule="auto"/>
              <w:jc w:val="left"/>
              <w:rPr>
                <w:rFonts w:cstheme="minorHAnsi"/>
                <w:i w:val="0"/>
                <w:sz w:val="16"/>
                <w:szCs w:val="16"/>
              </w:rPr>
            </w:pPr>
            <w:r w:rsidRPr="00CE46E4">
              <w:rPr>
                <w:rFonts w:cstheme="minorHAnsi"/>
                <w:i w:val="0"/>
                <w:sz w:val="16"/>
                <w:szCs w:val="16"/>
              </w:rPr>
              <w:t>70%</w:t>
            </w:r>
          </w:p>
        </w:tc>
        <w:tc>
          <w:tcPr>
            <w:tcW w:w="2039" w:type="pct"/>
          </w:tcPr>
          <w:p w:rsidR="00CE46E4" w:rsidRDefault="00B8074C" w:rsidP="00CE46E4">
            <w:pPr>
              <w:pStyle w:val="Prrafodelista"/>
              <w:numPr>
                <w:ilvl w:val="0"/>
                <w:numId w:val="35"/>
              </w:numPr>
              <w:spacing w:line="276" w:lineRule="auto"/>
              <w:ind w:left="178" w:hanging="178"/>
              <w:cnfStyle w:val="000000000000"/>
              <w:rPr>
                <w:rFonts w:cstheme="minorHAnsi"/>
                <w:bCs/>
                <w:i w:val="0"/>
                <w:sz w:val="16"/>
                <w:szCs w:val="16"/>
              </w:rPr>
            </w:pPr>
            <w:r w:rsidRPr="00171EF8">
              <w:rPr>
                <w:rFonts w:cstheme="minorHAnsi"/>
                <w:bCs/>
                <w:i w:val="0"/>
                <w:sz w:val="16"/>
                <w:szCs w:val="16"/>
              </w:rPr>
              <w:t xml:space="preserve">En proceso la </w:t>
            </w:r>
            <w:r w:rsidR="00171EF8" w:rsidRPr="00171EF8">
              <w:rPr>
                <w:rFonts w:cstheme="minorHAnsi"/>
                <w:bCs/>
                <w:i w:val="0"/>
                <w:sz w:val="16"/>
                <w:szCs w:val="16"/>
              </w:rPr>
              <w:t>realización</w:t>
            </w:r>
            <w:r w:rsidRPr="00171EF8">
              <w:rPr>
                <w:rFonts w:cstheme="minorHAnsi"/>
                <w:bCs/>
                <w:i w:val="0"/>
                <w:sz w:val="16"/>
                <w:szCs w:val="16"/>
              </w:rPr>
              <w:t xml:space="preserve"> de un curso de Certificación en Normas de Auditoría Internacional, dirigido a 460 auditores internos, entre jefes y miembros de equipos institucionales.</w:t>
            </w:r>
          </w:p>
          <w:p w:rsidR="00B8074C" w:rsidRPr="00CE46E4" w:rsidRDefault="00B8074C" w:rsidP="00CE46E4">
            <w:pPr>
              <w:pStyle w:val="Prrafodelista"/>
              <w:numPr>
                <w:ilvl w:val="0"/>
                <w:numId w:val="35"/>
              </w:numPr>
              <w:spacing w:line="276" w:lineRule="auto"/>
              <w:ind w:left="178" w:hanging="178"/>
              <w:cnfStyle w:val="000000000000"/>
              <w:rPr>
                <w:rFonts w:cstheme="minorHAnsi"/>
                <w:bCs/>
                <w:i w:val="0"/>
                <w:sz w:val="16"/>
                <w:szCs w:val="16"/>
              </w:rPr>
            </w:pPr>
            <w:r w:rsidRPr="00CE46E4">
              <w:rPr>
                <w:rFonts w:cstheme="minorHAnsi"/>
                <w:bCs/>
                <w:i w:val="0"/>
                <w:sz w:val="16"/>
                <w:szCs w:val="16"/>
              </w:rPr>
              <w:t>En desarrollo un diplomado de especialización en auditoría interna para equipos de apoyo y asistentes institucionales, para la elaboración de planes de auditoría con enfoque de riesgo.</w:t>
            </w:r>
          </w:p>
        </w:tc>
        <w:tc>
          <w:tcPr>
            <w:tcW w:w="2432" w:type="pct"/>
          </w:tcPr>
          <w:p w:rsidR="00B8074C" w:rsidRPr="00171EF8" w:rsidRDefault="00DD79E3" w:rsidP="00CE46E4">
            <w:pPr>
              <w:pStyle w:val="Prrafodelista"/>
              <w:numPr>
                <w:ilvl w:val="0"/>
                <w:numId w:val="35"/>
              </w:numPr>
              <w:spacing w:line="276" w:lineRule="auto"/>
              <w:ind w:left="177" w:hanging="177"/>
              <w:cnfStyle w:val="000000000000"/>
              <w:rPr>
                <w:rFonts w:cstheme="minorHAnsi"/>
                <w:bCs/>
                <w:i w:val="0"/>
                <w:sz w:val="16"/>
                <w:szCs w:val="16"/>
              </w:rPr>
            </w:pPr>
            <w:r w:rsidRPr="00171EF8">
              <w:rPr>
                <w:rFonts w:cstheme="minorHAnsi"/>
                <w:bCs/>
                <w:i w:val="0"/>
                <w:sz w:val="16"/>
                <w:szCs w:val="16"/>
              </w:rPr>
              <w:t>Dado que está en proceso, los resultados se verán en el año 2014, la clausura de estos programas de formación está prevista para diciembre 2013.</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Promover  una Ley  de  Partidos Políticos  con  regulación  de la  publicidad  electoral. Mayo 2014</w:t>
            </w: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CE46E4">
            <w:pPr>
              <w:pStyle w:val="Prrafodelista"/>
              <w:numPr>
                <w:ilvl w:val="0"/>
                <w:numId w:val="31"/>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 xml:space="preserve">Se aprobó ley en la que se incorporó, en el título III, un capítulo destinado a la transparencia que, entre otras cosas, incluye el deber de facilitar el acceso a la ciudadanía mediante medios electrónicos o escritos sobre temas como: Informe sobre los montos de financiamiento público y privado. </w:t>
            </w:r>
          </w:p>
          <w:p w:rsidR="002B710B" w:rsidRPr="00171EF8" w:rsidRDefault="002B710B" w:rsidP="00CE46E4">
            <w:pPr>
              <w:pStyle w:val="Prrafodelista"/>
              <w:numPr>
                <w:ilvl w:val="0"/>
                <w:numId w:val="31"/>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A pesar de que la SSTA y la SSGME hicieron amplias sugerencias de mayores elementos de transparencia, estos no fueron aprobados.</w:t>
            </w:r>
          </w:p>
        </w:tc>
        <w:tc>
          <w:tcPr>
            <w:tcW w:w="2432" w:type="pct"/>
          </w:tcPr>
          <w:p w:rsidR="002B710B" w:rsidRPr="00171EF8" w:rsidRDefault="002B710B" w:rsidP="00CE46E4">
            <w:pPr>
              <w:pStyle w:val="Prrafodelista"/>
              <w:numPr>
                <w:ilvl w:val="0"/>
                <w:numId w:val="10"/>
              </w:numPr>
              <w:spacing w:line="276" w:lineRule="auto"/>
              <w:ind w:left="175" w:hanging="175"/>
              <w:cnfStyle w:val="000000000000"/>
              <w:rPr>
                <w:rFonts w:cstheme="minorHAnsi"/>
                <w:i w:val="0"/>
                <w:sz w:val="16"/>
                <w:szCs w:val="16"/>
              </w:rPr>
            </w:pPr>
            <w:r w:rsidRPr="00171EF8">
              <w:rPr>
                <w:rFonts w:cstheme="minorHAnsi"/>
                <w:i w:val="0"/>
                <w:sz w:val="16"/>
                <w:szCs w:val="16"/>
              </w:rPr>
              <w:t xml:space="preserve">Promover que los candidatos presenten sus ideas o proyectos a través de medios digitales o debates públicos. </w:t>
            </w:r>
          </w:p>
          <w:p w:rsidR="002B710B" w:rsidRPr="00171EF8" w:rsidRDefault="002B710B" w:rsidP="00CE46E4">
            <w:pPr>
              <w:pStyle w:val="Prrafodelista"/>
              <w:numPr>
                <w:ilvl w:val="0"/>
                <w:numId w:val="10"/>
              </w:numPr>
              <w:spacing w:line="276" w:lineRule="auto"/>
              <w:ind w:left="175" w:hanging="175"/>
              <w:cnfStyle w:val="000000000000"/>
              <w:rPr>
                <w:rFonts w:cstheme="minorHAnsi"/>
                <w:i w:val="0"/>
                <w:sz w:val="16"/>
                <w:szCs w:val="16"/>
              </w:rPr>
            </w:pPr>
            <w:r w:rsidRPr="00171EF8">
              <w:rPr>
                <w:rFonts w:cstheme="minorHAnsi"/>
                <w:i w:val="0"/>
                <w:sz w:val="16"/>
                <w:szCs w:val="16"/>
              </w:rPr>
              <w:t xml:space="preserve">Se ha presentado recurso de inconstitucionalidad a esta ley, por parte de ISD. </w:t>
            </w:r>
          </w:p>
          <w:p w:rsidR="002B710B" w:rsidRPr="00171EF8" w:rsidRDefault="002B710B" w:rsidP="00CE46E4">
            <w:pPr>
              <w:pStyle w:val="Prrafodelista"/>
              <w:numPr>
                <w:ilvl w:val="0"/>
                <w:numId w:val="10"/>
              </w:numPr>
              <w:spacing w:line="276" w:lineRule="auto"/>
              <w:ind w:left="175" w:hanging="175"/>
              <w:cnfStyle w:val="000000000000"/>
              <w:rPr>
                <w:rFonts w:cstheme="minorHAnsi"/>
                <w:i w:val="0"/>
                <w:sz w:val="16"/>
                <w:szCs w:val="16"/>
              </w:rPr>
            </w:pPr>
            <w:r w:rsidRPr="00171EF8">
              <w:rPr>
                <w:rFonts w:cstheme="minorHAnsi"/>
                <w:i w:val="0"/>
                <w:sz w:val="16"/>
                <w:szCs w:val="16"/>
              </w:rPr>
              <w:t xml:space="preserve">Hay aspectos que no se garantizan por lo que es necesario buscar reformas a la misma (Origen de los recursos, administración del gasto, limites de aportaciones privadas). </w:t>
            </w:r>
          </w:p>
          <w:p w:rsidR="002B710B" w:rsidRPr="00171EF8" w:rsidRDefault="002B710B" w:rsidP="00CE46E4">
            <w:pPr>
              <w:pStyle w:val="Prrafodelista"/>
              <w:numPr>
                <w:ilvl w:val="0"/>
                <w:numId w:val="10"/>
              </w:numPr>
              <w:spacing w:line="276" w:lineRule="auto"/>
              <w:ind w:left="175" w:hanging="175"/>
              <w:cnfStyle w:val="000000000000"/>
              <w:rPr>
                <w:rFonts w:cstheme="minorHAnsi"/>
                <w:i w:val="0"/>
                <w:sz w:val="16"/>
                <w:szCs w:val="16"/>
              </w:rPr>
            </w:pPr>
            <w:r w:rsidRPr="00171EF8">
              <w:rPr>
                <w:rFonts w:cstheme="minorHAnsi"/>
                <w:i w:val="0"/>
                <w:sz w:val="16"/>
                <w:szCs w:val="16"/>
              </w:rPr>
              <w:t xml:space="preserve">No hay regulación sobre la propaganda electoral. </w:t>
            </w:r>
          </w:p>
        </w:tc>
      </w:tr>
      <w:tr w:rsidR="00DD79E3"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DD79E3" w:rsidRPr="00171EF8" w:rsidRDefault="00DD79E3"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 xml:space="preserve">En coordinación con el Ministerio de Trabajo, establecido un servicio de intermediación de empleo que se vuelve de obligatorio uso para todas la entidades del </w:t>
            </w:r>
            <w:r w:rsidR="00171EF8" w:rsidRPr="00171EF8">
              <w:rPr>
                <w:rFonts w:cstheme="minorHAnsi"/>
                <w:b w:val="0"/>
                <w:i w:val="0"/>
                <w:sz w:val="16"/>
                <w:szCs w:val="16"/>
              </w:rPr>
              <w:t>Órgano</w:t>
            </w:r>
            <w:r w:rsidRPr="00171EF8">
              <w:rPr>
                <w:rFonts w:cstheme="minorHAnsi"/>
                <w:b w:val="0"/>
                <w:i w:val="0"/>
                <w:sz w:val="16"/>
                <w:szCs w:val="16"/>
              </w:rPr>
              <w:t xml:space="preserve"> Ejecutivo al</w:t>
            </w:r>
            <w:r w:rsidR="00171EF8">
              <w:rPr>
                <w:rFonts w:cstheme="minorHAnsi"/>
                <w:b w:val="0"/>
                <w:i w:val="0"/>
                <w:sz w:val="16"/>
                <w:szCs w:val="16"/>
              </w:rPr>
              <w:t xml:space="preserve"> </w:t>
            </w:r>
            <w:r w:rsidRPr="00171EF8">
              <w:rPr>
                <w:rFonts w:cstheme="minorHAnsi"/>
                <w:b w:val="0"/>
                <w:i w:val="0"/>
                <w:sz w:val="16"/>
                <w:szCs w:val="16"/>
              </w:rPr>
              <w:t xml:space="preserve">momento de contratar a los empleados </w:t>
            </w:r>
            <w:r w:rsidR="00171EF8" w:rsidRPr="00171EF8">
              <w:rPr>
                <w:rFonts w:cstheme="minorHAnsi"/>
                <w:b w:val="0"/>
                <w:i w:val="0"/>
                <w:sz w:val="16"/>
                <w:szCs w:val="16"/>
              </w:rPr>
              <w:t>públicos</w:t>
            </w:r>
            <w:r w:rsidRPr="00171EF8">
              <w:rPr>
                <w:rFonts w:cstheme="minorHAnsi"/>
                <w:b w:val="0"/>
                <w:i w:val="0"/>
                <w:sz w:val="16"/>
                <w:szCs w:val="16"/>
              </w:rPr>
              <w:t xml:space="preserve"> (ya sea bajo la modalidad de contrato o ley de salarios), cuyo objetivo sea transparentar y </w:t>
            </w:r>
            <w:r w:rsidR="00171EF8" w:rsidRPr="00171EF8">
              <w:rPr>
                <w:rFonts w:cstheme="minorHAnsi"/>
                <w:b w:val="0"/>
                <w:i w:val="0"/>
                <w:sz w:val="16"/>
                <w:szCs w:val="16"/>
              </w:rPr>
              <w:t>volver</w:t>
            </w:r>
            <w:r w:rsidRPr="00171EF8">
              <w:rPr>
                <w:rFonts w:cstheme="minorHAnsi"/>
                <w:b w:val="0"/>
                <w:i w:val="0"/>
                <w:sz w:val="16"/>
                <w:szCs w:val="16"/>
              </w:rPr>
              <w:t xml:space="preserve"> lo más objetivos posibles estos proceso. Mayo 2014.</w:t>
            </w:r>
          </w:p>
        </w:tc>
      </w:tr>
      <w:tr w:rsidR="00DD79E3" w:rsidRPr="00171EF8" w:rsidTr="00A1520C">
        <w:tc>
          <w:tcPr>
            <w:cnfStyle w:val="001000000000"/>
            <w:tcW w:w="529" w:type="pct"/>
          </w:tcPr>
          <w:p w:rsidR="00DD79E3" w:rsidRPr="00171EF8" w:rsidRDefault="00DD79E3" w:rsidP="00171EF8">
            <w:pPr>
              <w:spacing w:line="276" w:lineRule="auto"/>
              <w:jc w:val="left"/>
              <w:rPr>
                <w:rFonts w:cstheme="minorHAnsi"/>
                <w:i w:val="0"/>
                <w:sz w:val="16"/>
                <w:szCs w:val="16"/>
                <w:lang w:val="es-ES"/>
              </w:rPr>
            </w:pPr>
            <w:r w:rsidRPr="00171EF8">
              <w:rPr>
                <w:rFonts w:cstheme="minorHAnsi"/>
                <w:i w:val="0"/>
                <w:sz w:val="16"/>
                <w:szCs w:val="16"/>
                <w:lang w:val="es-ES"/>
              </w:rPr>
              <w:t>50%</w:t>
            </w:r>
          </w:p>
        </w:tc>
        <w:tc>
          <w:tcPr>
            <w:tcW w:w="2039" w:type="pct"/>
          </w:tcPr>
          <w:p w:rsidR="00DD79E3" w:rsidRPr="00171EF8" w:rsidRDefault="00DD79E3" w:rsidP="00CE46E4">
            <w:pPr>
              <w:pStyle w:val="Prrafodelista"/>
              <w:numPr>
                <w:ilvl w:val="0"/>
                <w:numId w:val="32"/>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Hasta la fecha, el Ministerio de Trabajo cuenta con una bolsa de trabajo a nivel nacional y en las principales municipalidades de El Salvador. Sin embargo, está dirigida a la contratación para empresas privadas.</w:t>
            </w:r>
          </w:p>
          <w:p w:rsidR="00DD79E3" w:rsidRPr="00171EF8" w:rsidRDefault="00DD79E3" w:rsidP="00CE46E4">
            <w:pPr>
              <w:pStyle w:val="Prrafodelista"/>
              <w:numPr>
                <w:ilvl w:val="0"/>
                <w:numId w:val="32"/>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 xml:space="preserve">La SSGME está trabajando la Ley de la Función Pública, dentro de </w:t>
            </w:r>
            <w:r w:rsidR="00171EF8" w:rsidRPr="00171EF8">
              <w:rPr>
                <w:rFonts w:cstheme="minorHAnsi"/>
                <w:i w:val="0"/>
                <w:sz w:val="16"/>
                <w:szCs w:val="16"/>
                <w:lang w:val="es-ES"/>
              </w:rPr>
              <w:t>sus artículos</w:t>
            </w:r>
            <w:r w:rsidRPr="00171EF8">
              <w:rPr>
                <w:rFonts w:cstheme="minorHAnsi"/>
                <w:i w:val="0"/>
                <w:sz w:val="16"/>
                <w:szCs w:val="16"/>
                <w:lang w:val="es-ES"/>
              </w:rPr>
              <w:t xml:space="preserve"> se contempla la creación de una entidad dedicada a la vigilancia y control de la contratación transparencia para las entidades </w:t>
            </w:r>
            <w:r w:rsidR="00171EF8" w:rsidRPr="00171EF8">
              <w:rPr>
                <w:rFonts w:cstheme="minorHAnsi"/>
                <w:i w:val="0"/>
                <w:sz w:val="16"/>
                <w:szCs w:val="16"/>
                <w:lang w:val="es-ES"/>
              </w:rPr>
              <w:t>públicas</w:t>
            </w:r>
            <w:r w:rsidRPr="00171EF8">
              <w:rPr>
                <w:rFonts w:cstheme="minorHAnsi"/>
                <w:i w:val="0"/>
                <w:sz w:val="16"/>
                <w:szCs w:val="16"/>
                <w:lang w:val="es-ES"/>
              </w:rPr>
              <w:t>.</w:t>
            </w:r>
          </w:p>
        </w:tc>
        <w:tc>
          <w:tcPr>
            <w:tcW w:w="2432" w:type="pct"/>
          </w:tcPr>
          <w:p w:rsidR="00DD79E3" w:rsidRPr="00171EF8" w:rsidRDefault="00DD79E3"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Esperar a la aprobación de la Ley de la Función Pública que ya ha sido consultada con amplios sectores de la sociedad para continuar la propuesta de la contratación transparente en el ámbito público.</w:t>
            </w:r>
          </w:p>
        </w:tc>
      </w:tr>
      <w:tr w:rsidR="002B710B"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2B710B" w:rsidRPr="00171EF8" w:rsidRDefault="002B710B"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Apertura del portal Transparencia Fiscal con información sobre ingreso y evolución de gasto.</w:t>
            </w:r>
            <w:r w:rsidR="00C12C2A" w:rsidRPr="00171EF8">
              <w:rPr>
                <w:rFonts w:cstheme="minorHAnsi"/>
                <w:b w:val="0"/>
                <w:i w:val="0"/>
                <w:sz w:val="16"/>
                <w:szCs w:val="16"/>
              </w:rPr>
              <w:t xml:space="preserve"> </w:t>
            </w:r>
            <w:r w:rsidRPr="00171EF8">
              <w:rPr>
                <w:rFonts w:cstheme="minorHAnsi"/>
                <w:b w:val="0"/>
                <w:i w:val="0"/>
                <w:sz w:val="16"/>
                <w:szCs w:val="16"/>
              </w:rPr>
              <w:t>Diciembre 2012</w:t>
            </w: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CE46E4">
            <w:pPr>
              <w:pStyle w:val="Prrafodelista"/>
              <w:numPr>
                <w:ilvl w:val="0"/>
                <w:numId w:val="32"/>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Se encuentra completamente implementado y se está trabajando en nuevas aplicaciones que serán incorporadas en el próximo período. Lo anterior ha permitido un aumento de 37 puntos en 2008 a 43 en 2012 en el índice de presupuesto abierto.</w:t>
            </w:r>
          </w:p>
          <w:p w:rsidR="002B710B" w:rsidRPr="00171EF8" w:rsidRDefault="002B710B" w:rsidP="00CE46E4">
            <w:pPr>
              <w:spacing w:line="276" w:lineRule="auto"/>
              <w:cnfStyle w:val="000000000000"/>
              <w:rPr>
                <w:rFonts w:cstheme="minorHAnsi"/>
                <w:i w:val="0"/>
                <w:sz w:val="16"/>
                <w:szCs w:val="16"/>
                <w:lang w:val="es-ES"/>
              </w:rPr>
            </w:pPr>
          </w:p>
        </w:tc>
        <w:tc>
          <w:tcPr>
            <w:tcW w:w="2432" w:type="pct"/>
          </w:tcPr>
          <w:p w:rsidR="002B710B" w:rsidRPr="00171EF8" w:rsidRDefault="00C12C2A"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Desarrollar otras alternativas</w:t>
            </w:r>
            <w:r w:rsidR="002B710B" w:rsidRPr="00171EF8">
              <w:rPr>
                <w:rFonts w:cstheme="minorHAnsi"/>
                <w:i w:val="0"/>
                <w:sz w:val="16"/>
                <w:szCs w:val="16"/>
              </w:rPr>
              <w:t xml:space="preserve"> para las personas que no tienen acceso a internet para informarse sobre el ingreso y evolución del gasto. </w:t>
            </w:r>
          </w:p>
          <w:p w:rsidR="002B710B" w:rsidRPr="00171EF8" w:rsidRDefault="00C12C2A"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Elaborar</w:t>
            </w:r>
            <w:r w:rsidR="002B710B" w:rsidRPr="00171EF8">
              <w:rPr>
                <w:rFonts w:cstheme="minorHAnsi"/>
                <w:i w:val="0"/>
                <w:sz w:val="16"/>
                <w:szCs w:val="16"/>
              </w:rPr>
              <w:t xml:space="preserve"> un informe (trimestral) en versión popular para transmitir la información de una manera amigable.</w:t>
            </w:r>
          </w:p>
          <w:p w:rsidR="002B710B" w:rsidRPr="00171EF8" w:rsidRDefault="002B710B"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Monitorear el número de visitas de dicho portal.</w:t>
            </w:r>
          </w:p>
          <w:p w:rsidR="002B710B" w:rsidRPr="00171EF8" w:rsidRDefault="00C12C2A"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Incorporar en el portal el origen de los fondos del presupuesto nacional, dado que hasta ahora se conocen montos y ejecución únicamente.</w:t>
            </w:r>
          </w:p>
        </w:tc>
      </w:tr>
      <w:tr w:rsidR="00C12C2A"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C12C2A" w:rsidRPr="00171EF8" w:rsidRDefault="00C12C2A" w:rsidP="00171EF8">
            <w:pPr>
              <w:pStyle w:val="Prrafodelista"/>
              <w:numPr>
                <w:ilvl w:val="0"/>
                <w:numId w:val="16"/>
              </w:numPr>
              <w:spacing w:line="276" w:lineRule="auto"/>
              <w:ind w:left="284" w:hanging="284"/>
              <w:rPr>
                <w:rFonts w:cstheme="minorHAnsi"/>
                <w:b w:val="0"/>
                <w:i w:val="0"/>
                <w:sz w:val="16"/>
                <w:szCs w:val="16"/>
              </w:rPr>
            </w:pPr>
            <w:r w:rsidRPr="00171EF8">
              <w:rPr>
                <w:rFonts w:cstheme="minorHAnsi"/>
                <w:b w:val="0"/>
                <w:i w:val="0"/>
                <w:sz w:val="16"/>
                <w:szCs w:val="16"/>
              </w:rPr>
              <w:t>Publicar un Ranking de Banca Privada (con información sobre las comisiones, requisitos, intereses) para apoyar la decisión razonada de la población. Diciembre 2012</w:t>
            </w:r>
          </w:p>
        </w:tc>
      </w:tr>
      <w:tr w:rsidR="002B710B"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CE46E4">
            <w:pPr>
              <w:pStyle w:val="Prrafodelista"/>
              <w:numPr>
                <w:ilvl w:val="0"/>
                <w:numId w:val="33"/>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La Superintendencia del Sistema Financiero publica trimestralmente este ranking y se está trabajando para incorporar</w:t>
            </w:r>
            <w:r w:rsidR="00F60A45" w:rsidRPr="00171EF8">
              <w:rPr>
                <w:rFonts w:cstheme="minorHAnsi"/>
                <w:i w:val="0"/>
                <w:sz w:val="16"/>
                <w:szCs w:val="16"/>
                <w:lang w:val="es-ES"/>
              </w:rPr>
              <w:t>lo</w:t>
            </w:r>
            <w:r w:rsidRPr="00171EF8">
              <w:rPr>
                <w:rFonts w:cstheme="minorHAnsi"/>
                <w:i w:val="0"/>
                <w:sz w:val="16"/>
                <w:szCs w:val="16"/>
                <w:lang w:val="es-ES"/>
              </w:rPr>
              <w:t xml:space="preserve"> </w:t>
            </w:r>
            <w:r w:rsidR="00F60A45" w:rsidRPr="00171EF8">
              <w:rPr>
                <w:rFonts w:cstheme="minorHAnsi"/>
                <w:i w:val="0"/>
                <w:sz w:val="16"/>
                <w:szCs w:val="16"/>
                <w:lang w:val="es-ES"/>
              </w:rPr>
              <w:t>al portal de Gobierno Abierto, a través del espacio de InfoÚtil (Información Socialmente Útil para la toma de decisiones de la población; http://infoutil.gobiernoabierto.gob.sv/).</w:t>
            </w:r>
          </w:p>
        </w:tc>
        <w:tc>
          <w:tcPr>
            <w:tcW w:w="2432" w:type="pct"/>
          </w:tcPr>
          <w:p w:rsidR="002B710B" w:rsidRPr="00171EF8" w:rsidRDefault="002B710B" w:rsidP="00CE46E4">
            <w:pPr>
              <w:pStyle w:val="Prrafodelista"/>
              <w:numPr>
                <w:ilvl w:val="0"/>
                <w:numId w:val="33"/>
              </w:numPr>
              <w:spacing w:line="276" w:lineRule="auto"/>
              <w:ind w:left="175" w:hanging="175"/>
              <w:cnfStyle w:val="000000000000"/>
              <w:rPr>
                <w:rFonts w:cstheme="minorHAnsi"/>
                <w:i w:val="0"/>
                <w:sz w:val="16"/>
                <w:szCs w:val="16"/>
              </w:rPr>
            </w:pPr>
            <w:r w:rsidRPr="00171EF8">
              <w:rPr>
                <w:rFonts w:cstheme="minorHAnsi"/>
                <w:i w:val="0"/>
                <w:sz w:val="16"/>
                <w:szCs w:val="16"/>
              </w:rPr>
              <w:t>Presentar informes en versión popular para que al momento que la población opte por utilizar el servicio bancario (casas de crédito en su mayoría) conozca y tome una mejor decisión.</w:t>
            </w:r>
          </w:p>
          <w:p w:rsidR="002B710B" w:rsidRPr="00171EF8" w:rsidRDefault="002B710B" w:rsidP="00CE46E4">
            <w:pPr>
              <w:pStyle w:val="Prrafodelista"/>
              <w:numPr>
                <w:ilvl w:val="0"/>
                <w:numId w:val="12"/>
              </w:numPr>
              <w:spacing w:line="276" w:lineRule="auto"/>
              <w:ind w:left="175" w:hanging="175"/>
              <w:cnfStyle w:val="000000000000"/>
              <w:rPr>
                <w:rFonts w:cstheme="minorHAnsi"/>
                <w:i w:val="0"/>
                <w:sz w:val="16"/>
                <w:szCs w:val="16"/>
              </w:rPr>
            </w:pPr>
            <w:r w:rsidRPr="00171EF8">
              <w:rPr>
                <w:rFonts w:cstheme="minorHAnsi"/>
                <w:i w:val="0"/>
                <w:sz w:val="16"/>
                <w:szCs w:val="16"/>
              </w:rPr>
              <w:t>Crear una alianza con la SSF para que pueda forma</w:t>
            </w:r>
            <w:r w:rsidR="00F60A45" w:rsidRPr="00171EF8">
              <w:rPr>
                <w:rFonts w:cstheme="minorHAnsi"/>
                <w:i w:val="0"/>
                <w:sz w:val="16"/>
                <w:szCs w:val="16"/>
              </w:rPr>
              <w:t>r gratuitamente a la población en estos temas.</w:t>
            </w:r>
          </w:p>
          <w:p w:rsidR="002B710B" w:rsidRPr="00171EF8" w:rsidRDefault="002B710B" w:rsidP="00CE46E4">
            <w:pPr>
              <w:pStyle w:val="Prrafodelista"/>
              <w:spacing w:line="276" w:lineRule="auto"/>
              <w:cnfStyle w:val="000000000000"/>
              <w:rPr>
                <w:rFonts w:cstheme="minorHAnsi"/>
                <w:i w:val="0"/>
                <w:sz w:val="16"/>
                <w:szCs w:val="16"/>
              </w:rPr>
            </w:pPr>
          </w:p>
        </w:tc>
      </w:tr>
      <w:tr w:rsidR="00DD79E3"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DD79E3" w:rsidRPr="00171EF8" w:rsidRDefault="00DD79E3"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Publicación de un catálogo de proyectos prioritarios del gobierno, con información consolidada en portal Gobierno Abierto. Mayo 2014</w:t>
            </w:r>
          </w:p>
        </w:tc>
      </w:tr>
      <w:tr w:rsidR="00DD79E3" w:rsidRPr="00171EF8" w:rsidTr="00A1520C">
        <w:tc>
          <w:tcPr>
            <w:cnfStyle w:val="001000000000"/>
            <w:tcW w:w="529" w:type="pct"/>
          </w:tcPr>
          <w:p w:rsidR="00DD79E3" w:rsidRPr="00171EF8" w:rsidRDefault="00DD79E3" w:rsidP="00171EF8">
            <w:pPr>
              <w:spacing w:line="276" w:lineRule="auto"/>
              <w:jc w:val="left"/>
              <w:rPr>
                <w:rFonts w:cstheme="minorHAnsi"/>
                <w:i w:val="0"/>
                <w:sz w:val="16"/>
                <w:szCs w:val="16"/>
                <w:lang w:val="es-ES"/>
              </w:rPr>
            </w:pPr>
            <w:r w:rsidRPr="00171EF8">
              <w:rPr>
                <w:rFonts w:cstheme="minorHAnsi"/>
                <w:i w:val="0"/>
                <w:sz w:val="16"/>
                <w:szCs w:val="16"/>
                <w:lang w:val="es-ES"/>
              </w:rPr>
              <w:t>0%</w:t>
            </w:r>
          </w:p>
        </w:tc>
        <w:tc>
          <w:tcPr>
            <w:tcW w:w="2039" w:type="pct"/>
          </w:tcPr>
          <w:p w:rsidR="00DD79E3" w:rsidRPr="00171EF8" w:rsidRDefault="00DD79E3" w:rsidP="00CE46E4">
            <w:pPr>
              <w:pStyle w:val="Prrafodelista"/>
              <w:numPr>
                <w:ilvl w:val="0"/>
                <w:numId w:val="12"/>
              </w:numPr>
              <w:spacing w:line="276" w:lineRule="auto"/>
              <w:ind w:left="178" w:hanging="178"/>
              <w:cnfStyle w:val="000000000000"/>
              <w:rPr>
                <w:rFonts w:cstheme="minorHAnsi"/>
                <w:i w:val="0"/>
                <w:sz w:val="16"/>
                <w:szCs w:val="16"/>
                <w:lang w:val="es-ES"/>
              </w:rPr>
            </w:pPr>
            <w:r w:rsidRPr="00171EF8">
              <w:rPr>
                <w:rFonts w:cstheme="minorHAnsi"/>
                <w:i w:val="0"/>
                <w:sz w:val="16"/>
                <w:szCs w:val="16"/>
                <w:lang w:val="es-ES"/>
              </w:rPr>
              <w:t>Hasta la fecha de este informe, la información de dichos proyectos está disponible, de forma desagregada, en los portales de gobierno transparente de cada institución del Órgano Ejecutivo.</w:t>
            </w:r>
          </w:p>
          <w:p w:rsidR="00DD79E3" w:rsidRPr="00171EF8" w:rsidRDefault="00DD79E3" w:rsidP="00CE46E4">
            <w:pPr>
              <w:pStyle w:val="Prrafodelista"/>
              <w:numPr>
                <w:ilvl w:val="0"/>
                <w:numId w:val="12"/>
              </w:numPr>
              <w:spacing w:line="276" w:lineRule="auto"/>
              <w:ind w:left="178" w:hanging="178"/>
              <w:cnfStyle w:val="000000000000"/>
              <w:rPr>
                <w:rFonts w:cstheme="minorHAnsi"/>
                <w:i w:val="0"/>
                <w:sz w:val="16"/>
                <w:szCs w:val="16"/>
                <w:lang w:val="es-ES"/>
              </w:rPr>
            </w:pPr>
            <w:r w:rsidRPr="00171EF8">
              <w:rPr>
                <w:rFonts w:cstheme="minorHAnsi"/>
                <w:i w:val="0"/>
                <w:sz w:val="16"/>
                <w:szCs w:val="16"/>
                <w:lang w:val="es-ES"/>
              </w:rPr>
              <w:t>Para el próximo año se verá la posibilidad de coordinar con la Secretaría Técnica de la Presidencia la consolidación de datos en un solo portal.</w:t>
            </w:r>
          </w:p>
        </w:tc>
        <w:tc>
          <w:tcPr>
            <w:tcW w:w="2432" w:type="pct"/>
          </w:tcPr>
          <w:p w:rsidR="00DD79E3" w:rsidRPr="00171EF8" w:rsidRDefault="00DD79E3" w:rsidP="00CE46E4">
            <w:pPr>
              <w:pStyle w:val="Prrafodelista"/>
              <w:numPr>
                <w:ilvl w:val="0"/>
                <w:numId w:val="11"/>
              </w:numPr>
              <w:spacing w:line="276" w:lineRule="auto"/>
              <w:ind w:left="175" w:hanging="175"/>
              <w:cnfStyle w:val="000000000000"/>
              <w:rPr>
                <w:rFonts w:cstheme="minorHAnsi"/>
                <w:i w:val="0"/>
                <w:sz w:val="16"/>
                <w:szCs w:val="16"/>
              </w:rPr>
            </w:pPr>
            <w:r w:rsidRPr="00171EF8">
              <w:rPr>
                <w:rFonts w:cstheme="minorHAnsi"/>
                <w:i w:val="0"/>
                <w:sz w:val="16"/>
                <w:szCs w:val="16"/>
              </w:rPr>
              <w:t>Mantenerlo en el plan de Acción de Gobierno Abierto.</w:t>
            </w:r>
          </w:p>
        </w:tc>
      </w:tr>
      <w:tr w:rsidR="00F60A45"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F60A45" w:rsidRPr="00171EF8" w:rsidRDefault="00F60A45" w:rsidP="00171EF8">
            <w:pPr>
              <w:pStyle w:val="Prrafodelista"/>
              <w:numPr>
                <w:ilvl w:val="0"/>
                <w:numId w:val="16"/>
              </w:numPr>
              <w:spacing w:line="276" w:lineRule="auto"/>
              <w:ind w:left="284" w:hanging="284"/>
              <w:jc w:val="left"/>
              <w:rPr>
                <w:rFonts w:cstheme="minorHAnsi"/>
                <w:b w:val="0"/>
                <w:i w:val="0"/>
                <w:sz w:val="16"/>
                <w:szCs w:val="16"/>
              </w:rPr>
            </w:pPr>
            <w:r w:rsidRPr="00171EF8">
              <w:rPr>
                <w:rFonts w:cstheme="minorHAnsi"/>
                <w:b w:val="0"/>
                <w:i w:val="0"/>
                <w:sz w:val="16"/>
                <w:szCs w:val="16"/>
              </w:rPr>
              <w:t>Ampliación de E-regulations que beneficie inversión internacional. Diciembre 2012</w:t>
            </w:r>
          </w:p>
        </w:tc>
      </w:tr>
      <w:tr w:rsidR="00171EF8"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70%</w:t>
            </w:r>
          </w:p>
        </w:tc>
        <w:tc>
          <w:tcPr>
            <w:tcW w:w="2039" w:type="pct"/>
          </w:tcPr>
          <w:p w:rsidR="00052B71" w:rsidRPr="00171EF8" w:rsidRDefault="00F60A45" w:rsidP="00CE46E4">
            <w:pPr>
              <w:pStyle w:val="Prrafodelista"/>
              <w:numPr>
                <w:ilvl w:val="0"/>
                <w:numId w:val="12"/>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 xml:space="preserve">El </w:t>
            </w:r>
            <w:r w:rsidR="00171EF8" w:rsidRPr="00171EF8">
              <w:rPr>
                <w:rFonts w:cstheme="minorHAnsi"/>
                <w:i w:val="0"/>
                <w:sz w:val="16"/>
                <w:szCs w:val="16"/>
                <w:lang w:val="es-ES"/>
              </w:rPr>
              <w:t>portal</w:t>
            </w:r>
            <w:r w:rsidRPr="00171EF8">
              <w:rPr>
                <w:rFonts w:cstheme="minorHAnsi"/>
                <w:i w:val="0"/>
                <w:sz w:val="16"/>
                <w:szCs w:val="16"/>
                <w:lang w:val="es-ES"/>
              </w:rPr>
              <w:t xml:space="preserve"> E-regulations llena los requisitos internacionales establecidos por dicha organización, esto contribuyó a la mejora  considerable en</w:t>
            </w:r>
            <w:r w:rsidR="002B710B" w:rsidRPr="00171EF8">
              <w:rPr>
                <w:rFonts w:cstheme="minorHAnsi"/>
                <w:i w:val="0"/>
                <w:sz w:val="16"/>
                <w:szCs w:val="16"/>
                <w:lang w:val="es-ES"/>
              </w:rPr>
              <w:t xml:space="preserve"> rankings internacionales. </w:t>
            </w:r>
          </w:p>
          <w:p w:rsidR="002B710B" w:rsidRPr="00171EF8" w:rsidRDefault="00052B71" w:rsidP="00CE46E4">
            <w:pPr>
              <w:pStyle w:val="Prrafodelista"/>
              <w:numPr>
                <w:ilvl w:val="0"/>
                <w:numId w:val="12"/>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Por su parte e</w:t>
            </w:r>
            <w:r w:rsidR="002B710B" w:rsidRPr="00171EF8">
              <w:rPr>
                <w:rFonts w:cstheme="minorHAnsi"/>
                <w:i w:val="0"/>
                <w:sz w:val="16"/>
                <w:szCs w:val="16"/>
                <w:lang w:val="es-ES"/>
              </w:rPr>
              <w:t>l Min</w:t>
            </w:r>
            <w:r w:rsidRPr="00171EF8">
              <w:rPr>
                <w:rFonts w:cstheme="minorHAnsi"/>
                <w:i w:val="0"/>
                <w:sz w:val="16"/>
                <w:szCs w:val="16"/>
                <w:lang w:val="es-ES"/>
              </w:rPr>
              <w:t xml:space="preserve">isterio de Economía ha desarrollado portales que benefician la creación de nuevas empresas en el país, nacionales o internacionales, tal es el caso de </w:t>
            </w:r>
            <w:hyperlink r:id="rId14" w:history="1">
              <w:r w:rsidR="002B710B" w:rsidRPr="00171EF8">
                <w:rPr>
                  <w:rStyle w:val="Hipervnculo"/>
                  <w:rFonts w:cstheme="minorHAnsi"/>
                  <w:i w:val="0"/>
                  <w:color w:val="auto"/>
                  <w:sz w:val="16"/>
                  <w:szCs w:val="16"/>
                  <w:lang w:val="es-ES"/>
                </w:rPr>
                <w:t>https://www.miempresa.gob.sv/</w:t>
              </w:r>
            </w:hyperlink>
            <w:r w:rsidR="002B710B" w:rsidRPr="00171EF8">
              <w:rPr>
                <w:rFonts w:cstheme="minorHAnsi"/>
                <w:i w:val="0"/>
                <w:sz w:val="16"/>
                <w:szCs w:val="16"/>
                <w:lang w:val="es-ES"/>
              </w:rPr>
              <w:t xml:space="preserve"> </w:t>
            </w:r>
          </w:p>
        </w:tc>
        <w:tc>
          <w:tcPr>
            <w:tcW w:w="2432" w:type="pct"/>
          </w:tcPr>
          <w:p w:rsidR="002B710B" w:rsidRPr="00171EF8" w:rsidRDefault="002B710B" w:rsidP="00CE46E4">
            <w:pPr>
              <w:pStyle w:val="Prrafodelista"/>
              <w:numPr>
                <w:ilvl w:val="0"/>
                <w:numId w:val="12"/>
              </w:numPr>
              <w:spacing w:line="276" w:lineRule="auto"/>
              <w:ind w:left="175" w:hanging="175"/>
              <w:cnfStyle w:val="000000000000"/>
              <w:rPr>
                <w:rFonts w:cstheme="minorHAnsi"/>
                <w:i w:val="0"/>
                <w:sz w:val="16"/>
                <w:szCs w:val="16"/>
              </w:rPr>
            </w:pPr>
            <w:r w:rsidRPr="00171EF8">
              <w:rPr>
                <w:i w:val="0"/>
                <w:sz w:val="16"/>
                <w:szCs w:val="16"/>
              </w:rPr>
              <w:t>Herramienta que genera confianza y a la vez muy útil para los inversores a nivel nacional como internacional.</w:t>
            </w:r>
          </w:p>
        </w:tc>
      </w:tr>
      <w:tr w:rsidR="00052B71"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052B71" w:rsidRPr="00171EF8" w:rsidRDefault="00052B71" w:rsidP="00171EF8">
            <w:pPr>
              <w:pStyle w:val="Prrafodelista"/>
              <w:numPr>
                <w:ilvl w:val="0"/>
                <w:numId w:val="16"/>
              </w:numPr>
              <w:spacing w:line="276" w:lineRule="auto"/>
              <w:ind w:left="284" w:hanging="284"/>
              <w:rPr>
                <w:rFonts w:cstheme="minorHAnsi"/>
                <w:b w:val="0"/>
                <w:i w:val="0"/>
                <w:sz w:val="16"/>
                <w:szCs w:val="16"/>
              </w:rPr>
            </w:pPr>
            <w:r w:rsidRPr="00171EF8">
              <w:rPr>
                <w:rFonts w:cstheme="minorHAnsi"/>
                <w:b w:val="0"/>
                <w:i w:val="0"/>
                <w:sz w:val="16"/>
                <w:szCs w:val="16"/>
              </w:rPr>
              <w:t>Instalado y en funcionamiento un espacio electrónico dentro del Portal Único de Transparencia llamado “Transparencia Focalizada” a través del cual el Gobierno busca brindar información de utilidad al ciudadano para mejorar su toma de decisiones en relación a los productos, trámites, precio, calidad y servicios. Diciembre 2012</w:t>
            </w:r>
          </w:p>
        </w:tc>
      </w:tr>
      <w:tr w:rsidR="00B8074C"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100%</w:t>
            </w:r>
          </w:p>
        </w:tc>
        <w:tc>
          <w:tcPr>
            <w:tcW w:w="2039" w:type="pct"/>
          </w:tcPr>
          <w:p w:rsidR="002B710B" w:rsidRPr="00171EF8" w:rsidRDefault="002B710B" w:rsidP="00CE46E4">
            <w:pPr>
              <w:pStyle w:val="Prrafodelista"/>
              <w:numPr>
                <w:ilvl w:val="0"/>
                <w:numId w:val="34"/>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Inaugurado el 4 de diciembre de 2012  con el nombre de “InfoÚtil” y está en constante mejora.</w:t>
            </w:r>
          </w:p>
          <w:p w:rsidR="002B710B" w:rsidRPr="00171EF8" w:rsidRDefault="002B710B" w:rsidP="00CE46E4">
            <w:pPr>
              <w:pStyle w:val="Prrafodelista"/>
              <w:numPr>
                <w:ilvl w:val="0"/>
                <w:numId w:val="34"/>
              </w:numPr>
              <w:spacing w:line="276" w:lineRule="auto"/>
              <w:ind w:left="176" w:hanging="176"/>
              <w:cnfStyle w:val="000000000000"/>
              <w:rPr>
                <w:rFonts w:cstheme="minorHAnsi"/>
                <w:i w:val="0"/>
                <w:sz w:val="16"/>
                <w:szCs w:val="16"/>
                <w:lang w:val="es-ES"/>
              </w:rPr>
            </w:pPr>
            <w:r w:rsidRPr="00171EF8">
              <w:rPr>
                <w:rFonts w:cstheme="minorHAnsi"/>
                <w:i w:val="0"/>
                <w:sz w:val="16"/>
                <w:szCs w:val="16"/>
                <w:lang w:val="es-ES"/>
              </w:rPr>
              <w:t xml:space="preserve">Con </w:t>
            </w:r>
            <w:r w:rsidRPr="00171EF8">
              <w:rPr>
                <w:rFonts w:cstheme="minorHAnsi"/>
                <w:i w:val="0"/>
                <w:sz w:val="16"/>
                <w:szCs w:val="16"/>
              </w:rPr>
              <w:t>398.245 páginas vistas desde su apertura el 6 de diciembre de 2012 hasta el 16 de agosto de 2013.</w:t>
            </w:r>
          </w:p>
          <w:p w:rsidR="00052B71" w:rsidRPr="00171EF8" w:rsidRDefault="00052B71" w:rsidP="00CE46E4">
            <w:pPr>
              <w:pStyle w:val="Prrafodelista"/>
              <w:numPr>
                <w:ilvl w:val="0"/>
                <w:numId w:val="34"/>
              </w:numPr>
              <w:spacing w:line="276" w:lineRule="auto"/>
              <w:ind w:left="176" w:hanging="176"/>
              <w:cnfStyle w:val="000000000000"/>
              <w:rPr>
                <w:rFonts w:cstheme="minorHAnsi"/>
                <w:i w:val="0"/>
                <w:sz w:val="16"/>
                <w:szCs w:val="16"/>
              </w:rPr>
            </w:pPr>
            <w:r w:rsidRPr="00171EF8">
              <w:rPr>
                <w:rFonts w:cstheme="minorHAnsi"/>
                <w:i w:val="0"/>
                <w:sz w:val="16"/>
                <w:szCs w:val="16"/>
                <w:lang w:val="es-ES"/>
              </w:rPr>
              <w:t xml:space="preserve">Disponible en:  </w:t>
            </w:r>
            <w:hyperlink r:id="rId15" w:history="1">
              <w:r w:rsidRPr="00171EF8">
                <w:rPr>
                  <w:rStyle w:val="Hipervnculo"/>
                  <w:rFonts w:cstheme="minorHAnsi"/>
                  <w:i w:val="0"/>
                  <w:color w:val="auto"/>
                  <w:sz w:val="16"/>
                  <w:szCs w:val="16"/>
                  <w:lang w:val="es-ES"/>
                </w:rPr>
                <w:t>http://infoutil.gobiernoabierto.gob.sv/</w:t>
              </w:r>
            </w:hyperlink>
          </w:p>
        </w:tc>
        <w:tc>
          <w:tcPr>
            <w:tcW w:w="2432" w:type="pct"/>
          </w:tcPr>
          <w:p w:rsidR="002B710B" w:rsidRPr="00171EF8" w:rsidRDefault="00052B71" w:rsidP="00CE46E4">
            <w:pPr>
              <w:pStyle w:val="Prrafodelista"/>
              <w:numPr>
                <w:ilvl w:val="0"/>
                <w:numId w:val="14"/>
              </w:numPr>
              <w:spacing w:line="276" w:lineRule="auto"/>
              <w:ind w:left="175" w:hanging="175"/>
              <w:cnfStyle w:val="000000000000"/>
              <w:rPr>
                <w:rFonts w:cstheme="minorHAnsi"/>
                <w:i w:val="0"/>
                <w:sz w:val="16"/>
                <w:szCs w:val="16"/>
              </w:rPr>
            </w:pPr>
            <w:r w:rsidRPr="00171EF8">
              <w:rPr>
                <w:rFonts w:cstheme="minorHAnsi"/>
                <w:i w:val="0"/>
                <w:sz w:val="16"/>
                <w:szCs w:val="16"/>
                <w:lang w:val="es-ES"/>
              </w:rPr>
              <w:t>Buena iniciativa, i</w:t>
            </w:r>
            <w:r w:rsidR="00171EF8" w:rsidRPr="00171EF8">
              <w:rPr>
                <w:rFonts w:cstheme="minorHAnsi"/>
                <w:i w:val="0"/>
                <w:sz w:val="16"/>
                <w:szCs w:val="16"/>
              </w:rPr>
              <w:t>información</w:t>
            </w:r>
            <w:r w:rsidR="002B710B" w:rsidRPr="00171EF8">
              <w:rPr>
                <w:rFonts w:cstheme="minorHAnsi"/>
                <w:i w:val="0"/>
                <w:sz w:val="16"/>
                <w:szCs w:val="16"/>
              </w:rPr>
              <w:t xml:space="preserve"> útil al bolsillo de la gente. </w:t>
            </w:r>
          </w:p>
          <w:p w:rsidR="002B710B" w:rsidRPr="00171EF8" w:rsidRDefault="002B710B" w:rsidP="00CE46E4">
            <w:pPr>
              <w:pStyle w:val="Prrafodelista"/>
              <w:spacing w:line="276" w:lineRule="auto"/>
              <w:cnfStyle w:val="000000000000"/>
              <w:rPr>
                <w:rFonts w:cstheme="minorHAnsi"/>
                <w:i w:val="0"/>
                <w:sz w:val="16"/>
                <w:szCs w:val="16"/>
              </w:rPr>
            </w:pPr>
          </w:p>
        </w:tc>
      </w:tr>
      <w:tr w:rsidR="00052B71" w:rsidRPr="00171EF8" w:rsidTr="00A1520C">
        <w:trPr>
          <w:cnfStyle w:val="000000100000"/>
        </w:trPr>
        <w:tc>
          <w:tcPr>
            <w:cnfStyle w:val="001000000000"/>
            <w:tcW w:w="5000" w:type="pct"/>
            <w:gridSpan w:val="3"/>
            <w:tcBorders>
              <w:top w:val="none" w:sz="0" w:space="0" w:color="auto"/>
              <w:left w:val="none" w:sz="0" w:space="0" w:color="auto"/>
              <w:bottom w:val="none" w:sz="0" w:space="0" w:color="auto"/>
              <w:right w:val="none" w:sz="0" w:space="0" w:color="auto"/>
            </w:tcBorders>
            <w:shd w:val="clear" w:color="auto" w:fill="DBE5F1" w:themeFill="accent1" w:themeFillTint="33"/>
          </w:tcPr>
          <w:p w:rsidR="00052B71" w:rsidRPr="00171EF8" w:rsidRDefault="00052B71" w:rsidP="00171EF8">
            <w:pPr>
              <w:pStyle w:val="Prrafodelista"/>
              <w:numPr>
                <w:ilvl w:val="0"/>
                <w:numId w:val="16"/>
              </w:numPr>
              <w:tabs>
                <w:tab w:val="left" w:pos="1871"/>
              </w:tabs>
              <w:spacing w:line="276" w:lineRule="auto"/>
              <w:ind w:left="284" w:hanging="284"/>
              <w:rPr>
                <w:rFonts w:cstheme="minorHAnsi"/>
                <w:b w:val="0"/>
                <w:i w:val="0"/>
                <w:sz w:val="16"/>
                <w:szCs w:val="16"/>
              </w:rPr>
            </w:pPr>
            <w:r w:rsidRPr="00171EF8">
              <w:rPr>
                <w:rFonts w:cstheme="minorHAnsi"/>
                <w:b w:val="0"/>
                <w:i w:val="0"/>
                <w:sz w:val="16"/>
                <w:szCs w:val="16"/>
              </w:rPr>
              <w:t>Instalado y en funcionamiento el periódico digital no propagandístico “Transparencia Activa”, que envía información periódica a por lo menos 50,000 personas, cuyo objetivo principal es acercar la gestión del Órgano Ejecutivo a la población, facilitando la información que le es de utilidad al ciudadano; para ello contará con tres herramientas: a) Notas con información que proporcionarán las instituciones del Órgano Ejecutivo a través de sus oficinas de comunicaciones, b) Notas aclaratorias para corregir distorsiones informativas, y c) Investigaciones propias sobre cualquier tema de agenda. Mayo 2012</w:t>
            </w:r>
          </w:p>
        </w:tc>
      </w:tr>
      <w:tr w:rsidR="00B8074C" w:rsidRPr="00171EF8" w:rsidTr="00A1520C">
        <w:tc>
          <w:tcPr>
            <w:cnfStyle w:val="001000000000"/>
            <w:tcW w:w="529" w:type="pct"/>
          </w:tcPr>
          <w:p w:rsidR="002B710B" w:rsidRPr="00171EF8" w:rsidRDefault="002B710B" w:rsidP="00171EF8">
            <w:pPr>
              <w:spacing w:line="276" w:lineRule="auto"/>
              <w:jc w:val="left"/>
              <w:rPr>
                <w:rFonts w:cstheme="minorHAnsi"/>
                <w:i w:val="0"/>
                <w:sz w:val="16"/>
                <w:szCs w:val="16"/>
                <w:lang w:val="es-ES"/>
              </w:rPr>
            </w:pPr>
          </w:p>
          <w:p w:rsidR="002B710B" w:rsidRPr="00171EF8" w:rsidRDefault="002B710B" w:rsidP="00171EF8">
            <w:pPr>
              <w:spacing w:line="276" w:lineRule="auto"/>
              <w:jc w:val="left"/>
              <w:rPr>
                <w:rFonts w:cstheme="minorHAnsi"/>
                <w:i w:val="0"/>
                <w:sz w:val="16"/>
                <w:szCs w:val="16"/>
                <w:lang w:val="es-ES"/>
              </w:rPr>
            </w:pPr>
          </w:p>
          <w:p w:rsidR="002B710B" w:rsidRPr="00171EF8" w:rsidRDefault="002B710B" w:rsidP="00171EF8">
            <w:pPr>
              <w:spacing w:line="276" w:lineRule="auto"/>
              <w:jc w:val="left"/>
              <w:rPr>
                <w:rFonts w:cstheme="minorHAnsi"/>
                <w:i w:val="0"/>
                <w:sz w:val="16"/>
                <w:szCs w:val="16"/>
                <w:lang w:val="es-ES"/>
              </w:rPr>
            </w:pPr>
            <w:r w:rsidRPr="00171EF8">
              <w:rPr>
                <w:rFonts w:cstheme="minorHAnsi"/>
                <w:i w:val="0"/>
                <w:sz w:val="16"/>
                <w:szCs w:val="16"/>
                <w:lang w:val="es-ES"/>
              </w:rPr>
              <w:t>95%</w:t>
            </w:r>
          </w:p>
        </w:tc>
        <w:tc>
          <w:tcPr>
            <w:tcW w:w="2039" w:type="pct"/>
          </w:tcPr>
          <w:p w:rsidR="002B710B" w:rsidRPr="00171EF8" w:rsidRDefault="002B710B" w:rsidP="00CE46E4">
            <w:pPr>
              <w:pStyle w:val="Prrafodelista"/>
              <w:numPr>
                <w:ilvl w:val="0"/>
                <w:numId w:val="14"/>
              </w:numPr>
              <w:spacing w:line="276" w:lineRule="auto"/>
              <w:ind w:left="176" w:hanging="176"/>
              <w:jc w:val="left"/>
              <w:cnfStyle w:val="000000000000"/>
              <w:rPr>
                <w:rFonts w:cstheme="minorHAnsi"/>
                <w:i w:val="0"/>
                <w:sz w:val="16"/>
                <w:szCs w:val="16"/>
                <w:lang w:val="es-ES"/>
              </w:rPr>
            </w:pPr>
            <w:r w:rsidRPr="00171EF8">
              <w:rPr>
                <w:rFonts w:cstheme="minorHAnsi"/>
                <w:i w:val="0"/>
                <w:sz w:val="16"/>
                <w:szCs w:val="16"/>
                <w:lang w:val="es-ES"/>
              </w:rPr>
              <w:t>Se inauguro el 8 de mayo de 2012 llegando un bo</w:t>
            </w:r>
            <w:r w:rsidR="00052B71" w:rsidRPr="00171EF8">
              <w:rPr>
                <w:rFonts w:cstheme="minorHAnsi"/>
                <w:i w:val="0"/>
                <w:sz w:val="16"/>
                <w:szCs w:val="16"/>
                <w:lang w:val="es-ES"/>
              </w:rPr>
              <w:t>letín diario a 45,000 personas.; con presencia diaria en redes sociales.</w:t>
            </w:r>
          </w:p>
          <w:p w:rsidR="002B710B" w:rsidRPr="00171EF8" w:rsidRDefault="002B710B" w:rsidP="00CE46E4">
            <w:pPr>
              <w:pStyle w:val="Prrafodelista"/>
              <w:numPr>
                <w:ilvl w:val="0"/>
                <w:numId w:val="14"/>
              </w:numPr>
              <w:spacing w:line="276" w:lineRule="auto"/>
              <w:ind w:left="176" w:hanging="176"/>
              <w:jc w:val="left"/>
              <w:cnfStyle w:val="000000000000"/>
              <w:rPr>
                <w:rFonts w:cstheme="minorHAnsi"/>
                <w:i w:val="0"/>
                <w:sz w:val="16"/>
                <w:szCs w:val="16"/>
                <w:lang w:val="es-ES"/>
              </w:rPr>
            </w:pPr>
            <w:r w:rsidRPr="00171EF8">
              <w:rPr>
                <w:rFonts w:cstheme="minorHAnsi"/>
                <w:i w:val="0"/>
                <w:sz w:val="16"/>
                <w:szCs w:val="16"/>
                <w:lang w:val="es-ES"/>
              </w:rPr>
              <w:t>En promedio el sitio tiene entre 2,500 y 3,000 visitantes diarios con picos hasta de 5,000 y una lectura de 25,000 vistas.</w:t>
            </w:r>
          </w:p>
          <w:p w:rsidR="00052B71" w:rsidRPr="00171EF8" w:rsidRDefault="002B710B" w:rsidP="00CE46E4">
            <w:pPr>
              <w:pStyle w:val="Prrafodelista"/>
              <w:numPr>
                <w:ilvl w:val="0"/>
                <w:numId w:val="14"/>
              </w:numPr>
              <w:spacing w:line="276" w:lineRule="auto"/>
              <w:ind w:left="176" w:hanging="176"/>
              <w:jc w:val="left"/>
              <w:cnfStyle w:val="000000000000"/>
              <w:rPr>
                <w:rFonts w:cstheme="minorHAnsi"/>
                <w:i w:val="0"/>
                <w:sz w:val="16"/>
                <w:szCs w:val="16"/>
                <w:lang w:val="es-ES"/>
              </w:rPr>
            </w:pPr>
            <w:r w:rsidRPr="00171EF8">
              <w:rPr>
                <w:rFonts w:cstheme="minorHAnsi"/>
                <w:i w:val="0"/>
                <w:sz w:val="16"/>
                <w:szCs w:val="16"/>
                <w:lang w:val="es-ES"/>
              </w:rPr>
              <w:t xml:space="preserve">Por otra parte, constituye también un canal de denuncias de posibles actos de corrupción. </w:t>
            </w:r>
          </w:p>
          <w:p w:rsidR="002B710B" w:rsidRPr="00171EF8" w:rsidRDefault="002B710B" w:rsidP="00CE46E4">
            <w:pPr>
              <w:pStyle w:val="Prrafodelista"/>
              <w:numPr>
                <w:ilvl w:val="0"/>
                <w:numId w:val="14"/>
              </w:numPr>
              <w:spacing w:line="276" w:lineRule="auto"/>
              <w:ind w:left="176" w:hanging="176"/>
              <w:jc w:val="left"/>
              <w:cnfStyle w:val="000000000000"/>
              <w:rPr>
                <w:rFonts w:cstheme="minorHAnsi"/>
                <w:i w:val="0"/>
                <w:sz w:val="16"/>
                <w:szCs w:val="16"/>
                <w:lang w:val="es-ES"/>
              </w:rPr>
            </w:pPr>
            <w:r w:rsidRPr="00171EF8">
              <w:rPr>
                <w:rFonts w:cstheme="minorHAnsi"/>
                <w:i w:val="0"/>
                <w:sz w:val="16"/>
                <w:szCs w:val="16"/>
                <w:lang w:val="es-ES"/>
              </w:rPr>
              <w:t>Desde su apertura hace un año, ha sido visto 1</w:t>
            </w:r>
            <w:proofErr w:type="gramStart"/>
            <w:r w:rsidRPr="00171EF8">
              <w:rPr>
                <w:rFonts w:cstheme="minorHAnsi"/>
                <w:i w:val="0"/>
                <w:sz w:val="16"/>
                <w:szCs w:val="16"/>
                <w:lang w:val="es-ES"/>
              </w:rPr>
              <w:t>,738,294</w:t>
            </w:r>
            <w:proofErr w:type="gramEnd"/>
            <w:r w:rsidRPr="00171EF8">
              <w:rPr>
                <w:rFonts w:cstheme="minorHAnsi"/>
                <w:i w:val="0"/>
                <w:sz w:val="16"/>
                <w:szCs w:val="16"/>
                <w:lang w:val="es-ES"/>
              </w:rPr>
              <w:t xml:space="preserve"> veces y se han publicado más de 1,800 artículos.</w:t>
            </w:r>
          </w:p>
          <w:p w:rsidR="00052B71" w:rsidRPr="00171EF8" w:rsidRDefault="00052B71" w:rsidP="00CE46E4">
            <w:pPr>
              <w:pStyle w:val="Prrafodelista"/>
              <w:numPr>
                <w:ilvl w:val="0"/>
                <w:numId w:val="14"/>
              </w:numPr>
              <w:spacing w:line="276" w:lineRule="auto"/>
              <w:ind w:left="176" w:hanging="176"/>
              <w:jc w:val="left"/>
              <w:cnfStyle w:val="000000000000"/>
              <w:rPr>
                <w:rFonts w:cstheme="minorHAnsi"/>
                <w:i w:val="0"/>
                <w:sz w:val="16"/>
                <w:szCs w:val="16"/>
              </w:rPr>
            </w:pPr>
            <w:r w:rsidRPr="00171EF8">
              <w:rPr>
                <w:rFonts w:cstheme="minorHAnsi"/>
                <w:i w:val="0"/>
                <w:sz w:val="16"/>
                <w:szCs w:val="16"/>
                <w:lang w:val="es-ES"/>
              </w:rPr>
              <w:t xml:space="preserve">Disponible en </w:t>
            </w:r>
            <w:hyperlink r:id="rId16" w:history="1">
              <w:r w:rsidRPr="00171EF8">
                <w:rPr>
                  <w:rStyle w:val="Hipervnculo"/>
                  <w:rFonts w:cstheme="minorHAnsi"/>
                  <w:i w:val="0"/>
                  <w:color w:val="auto"/>
                  <w:sz w:val="16"/>
                  <w:szCs w:val="16"/>
                  <w:lang w:val="es-ES"/>
                </w:rPr>
                <w:t>http://www.transparenciaactiva.gob.sv/</w:t>
              </w:r>
            </w:hyperlink>
          </w:p>
        </w:tc>
        <w:tc>
          <w:tcPr>
            <w:tcW w:w="2432" w:type="pct"/>
          </w:tcPr>
          <w:p w:rsidR="002B710B" w:rsidRPr="00171EF8" w:rsidRDefault="002B710B" w:rsidP="00CE46E4">
            <w:pPr>
              <w:pStyle w:val="Prrafodelista"/>
              <w:numPr>
                <w:ilvl w:val="0"/>
                <w:numId w:val="12"/>
              </w:numPr>
              <w:spacing w:line="276" w:lineRule="auto"/>
              <w:ind w:left="175" w:hanging="142"/>
              <w:jc w:val="left"/>
              <w:cnfStyle w:val="000000000000"/>
              <w:rPr>
                <w:rFonts w:cstheme="minorHAnsi"/>
                <w:i w:val="0"/>
                <w:sz w:val="16"/>
                <w:szCs w:val="16"/>
              </w:rPr>
            </w:pPr>
            <w:r w:rsidRPr="00171EF8">
              <w:rPr>
                <w:rFonts w:cstheme="minorHAnsi"/>
                <w:i w:val="0"/>
                <w:sz w:val="16"/>
                <w:szCs w:val="16"/>
              </w:rPr>
              <w:t xml:space="preserve">Buen aporte por parte de las notas de transparencia activa, ya que actualiza diariamente sobre el acontecer nacional. </w:t>
            </w:r>
          </w:p>
          <w:p w:rsidR="002B710B" w:rsidRPr="00171EF8" w:rsidRDefault="002B710B" w:rsidP="00CE46E4">
            <w:pPr>
              <w:pStyle w:val="Prrafodelista"/>
              <w:numPr>
                <w:ilvl w:val="0"/>
                <w:numId w:val="12"/>
              </w:numPr>
              <w:spacing w:line="276" w:lineRule="auto"/>
              <w:ind w:left="175" w:hanging="142"/>
              <w:jc w:val="left"/>
              <w:cnfStyle w:val="000000000000"/>
              <w:rPr>
                <w:rFonts w:cstheme="minorHAnsi"/>
                <w:i w:val="0"/>
                <w:sz w:val="16"/>
                <w:szCs w:val="16"/>
              </w:rPr>
            </w:pPr>
            <w:r w:rsidRPr="00171EF8">
              <w:rPr>
                <w:rFonts w:cstheme="minorHAnsi"/>
                <w:i w:val="0"/>
                <w:sz w:val="16"/>
                <w:szCs w:val="16"/>
              </w:rPr>
              <w:t>Considerar reproducir semanal o quincenalmente, de forma escrita,  los artículos más relevantes con el  objeto de dar a conocer a las personas que no tienen acceso a internet.</w:t>
            </w:r>
          </w:p>
          <w:p w:rsidR="002B710B" w:rsidRPr="00171EF8" w:rsidRDefault="002B710B" w:rsidP="00CE46E4">
            <w:pPr>
              <w:spacing w:line="276" w:lineRule="auto"/>
              <w:jc w:val="left"/>
              <w:cnfStyle w:val="000000000000"/>
              <w:rPr>
                <w:rFonts w:cstheme="minorHAnsi"/>
                <w:i w:val="0"/>
                <w:sz w:val="16"/>
                <w:szCs w:val="16"/>
              </w:rPr>
            </w:pPr>
          </w:p>
        </w:tc>
      </w:tr>
    </w:tbl>
    <w:p w:rsidR="008626BC" w:rsidRPr="00171EF8" w:rsidRDefault="008626BC" w:rsidP="00171EF8">
      <w:pPr>
        <w:autoSpaceDE w:val="0"/>
        <w:autoSpaceDN w:val="0"/>
        <w:adjustRightInd w:val="0"/>
        <w:spacing w:after="0" w:line="276" w:lineRule="auto"/>
        <w:rPr>
          <w:i w:val="0"/>
          <w:iCs w:val="0"/>
          <w:sz w:val="22"/>
          <w:szCs w:val="22"/>
          <w:lang w:val="es-ES" w:eastAsia="es-SV" w:bidi="ar-SA"/>
        </w:rPr>
      </w:pPr>
    </w:p>
    <w:p w:rsidR="008626BC" w:rsidRPr="00171EF8" w:rsidRDefault="00CB0A9B" w:rsidP="00171EF8">
      <w:pPr>
        <w:autoSpaceDE w:val="0"/>
        <w:autoSpaceDN w:val="0"/>
        <w:adjustRightInd w:val="0"/>
        <w:spacing w:after="0" w:line="276" w:lineRule="auto"/>
        <w:rPr>
          <w:i w:val="0"/>
          <w:iCs w:val="0"/>
          <w:sz w:val="22"/>
          <w:szCs w:val="22"/>
          <w:lang w:val="es-ES" w:eastAsia="es-SV" w:bidi="ar-SA"/>
        </w:rPr>
      </w:pPr>
      <w:r w:rsidRPr="00171EF8">
        <w:rPr>
          <w:i w:val="0"/>
          <w:iCs w:val="0"/>
          <w:sz w:val="22"/>
          <w:szCs w:val="22"/>
          <w:lang w:val="es-ES" w:eastAsia="es-SV" w:bidi="ar-SA"/>
        </w:rPr>
        <w:t>Considerando todos los aportes brindados por las Ong´s consultadas y las nuevas propuestas surgidas de la consulta diciembre 2012 – septiembre 2013, se formula el plan de acción para la Alianza por el Gobierno Abierto, en los siguientes términos.</w:t>
      </w:r>
    </w:p>
    <w:p w:rsidR="008160C8" w:rsidRPr="00171EF8" w:rsidRDefault="008160C8" w:rsidP="00171EF8">
      <w:pPr>
        <w:autoSpaceDE w:val="0"/>
        <w:autoSpaceDN w:val="0"/>
        <w:adjustRightInd w:val="0"/>
        <w:spacing w:after="0" w:line="276" w:lineRule="auto"/>
        <w:rPr>
          <w:i w:val="0"/>
          <w:iCs w:val="0"/>
          <w:sz w:val="22"/>
          <w:szCs w:val="22"/>
          <w:lang w:val="es-ES" w:eastAsia="es-SV" w:bidi="ar-SA"/>
        </w:rPr>
      </w:pPr>
    </w:p>
    <w:p w:rsidR="008160C8" w:rsidRPr="00171EF8" w:rsidRDefault="008160C8" w:rsidP="00171EF8">
      <w:pPr>
        <w:autoSpaceDE w:val="0"/>
        <w:autoSpaceDN w:val="0"/>
        <w:adjustRightInd w:val="0"/>
        <w:spacing w:after="0" w:line="276" w:lineRule="auto"/>
        <w:rPr>
          <w:i w:val="0"/>
          <w:iCs w:val="0"/>
          <w:sz w:val="22"/>
          <w:szCs w:val="22"/>
          <w:lang w:val="es-ES" w:eastAsia="es-SV" w:bidi="ar-SA"/>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p w:rsidR="00CB0A9B" w:rsidRDefault="00CB0A9B" w:rsidP="00171EF8">
      <w:pPr>
        <w:autoSpaceDE w:val="0"/>
        <w:autoSpaceDN w:val="0"/>
        <w:adjustRightInd w:val="0"/>
        <w:spacing w:after="0" w:line="276" w:lineRule="auto"/>
        <w:rPr>
          <w:i w:val="0"/>
          <w:iCs w:val="0"/>
          <w:sz w:val="22"/>
          <w:szCs w:val="22"/>
          <w:lang w:val="es-ES" w:eastAsia="es-SV" w:bidi="ar-SA"/>
        </w:rPr>
      </w:pPr>
    </w:p>
    <w:p w:rsidR="00F55729" w:rsidRDefault="00F55729" w:rsidP="00171EF8">
      <w:pPr>
        <w:autoSpaceDE w:val="0"/>
        <w:autoSpaceDN w:val="0"/>
        <w:adjustRightInd w:val="0"/>
        <w:spacing w:after="0" w:line="276" w:lineRule="auto"/>
        <w:rPr>
          <w:i w:val="0"/>
          <w:iCs w:val="0"/>
          <w:sz w:val="22"/>
          <w:szCs w:val="22"/>
          <w:lang w:val="es-ES" w:eastAsia="es-SV" w:bidi="ar-SA"/>
        </w:rPr>
      </w:pPr>
    </w:p>
    <w:p w:rsidR="00F55729" w:rsidRDefault="00F55729" w:rsidP="00171EF8">
      <w:pPr>
        <w:autoSpaceDE w:val="0"/>
        <w:autoSpaceDN w:val="0"/>
        <w:adjustRightInd w:val="0"/>
        <w:spacing w:after="0" w:line="276" w:lineRule="auto"/>
        <w:rPr>
          <w:i w:val="0"/>
          <w:iCs w:val="0"/>
          <w:sz w:val="22"/>
          <w:szCs w:val="22"/>
          <w:lang w:val="es-ES" w:eastAsia="es-SV" w:bidi="ar-SA"/>
        </w:rPr>
      </w:pPr>
    </w:p>
    <w:p w:rsidR="00F55729" w:rsidRDefault="00F55729"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6A50DB" w:rsidRDefault="006A50DB" w:rsidP="00171EF8">
      <w:pPr>
        <w:autoSpaceDE w:val="0"/>
        <w:autoSpaceDN w:val="0"/>
        <w:adjustRightInd w:val="0"/>
        <w:spacing w:after="0" w:line="276" w:lineRule="auto"/>
        <w:rPr>
          <w:i w:val="0"/>
          <w:iCs w:val="0"/>
          <w:sz w:val="22"/>
          <w:szCs w:val="22"/>
          <w:lang w:val="es-ES" w:eastAsia="es-SV" w:bidi="ar-SA"/>
        </w:rPr>
      </w:pPr>
    </w:p>
    <w:p w:rsidR="00F55729" w:rsidRDefault="00F55729" w:rsidP="00171EF8">
      <w:pPr>
        <w:autoSpaceDE w:val="0"/>
        <w:autoSpaceDN w:val="0"/>
        <w:adjustRightInd w:val="0"/>
        <w:spacing w:after="0" w:line="276" w:lineRule="auto"/>
        <w:rPr>
          <w:i w:val="0"/>
          <w:iCs w:val="0"/>
          <w:sz w:val="22"/>
          <w:szCs w:val="22"/>
          <w:lang w:val="es-ES" w:eastAsia="es-SV" w:bidi="ar-SA"/>
        </w:rPr>
      </w:pPr>
    </w:p>
    <w:p w:rsidR="00F55729" w:rsidRPr="00171EF8" w:rsidRDefault="00F55729" w:rsidP="00171EF8">
      <w:pPr>
        <w:autoSpaceDE w:val="0"/>
        <w:autoSpaceDN w:val="0"/>
        <w:adjustRightInd w:val="0"/>
        <w:spacing w:after="0" w:line="276" w:lineRule="auto"/>
        <w:rPr>
          <w:i w:val="0"/>
          <w:iCs w:val="0"/>
          <w:sz w:val="22"/>
          <w:szCs w:val="22"/>
          <w:lang w:val="es-ES" w:eastAsia="es-SV" w:bidi="ar-SA"/>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p w:rsidR="00914F96" w:rsidRPr="00171EF8" w:rsidRDefault="00914F96" w:rsidP="00344818">
      <w:pPr>
        <w:pStyle w:val="Ttulo1"/>
      </w:pPr>
      <w:bookmarkStart w:id="9" w:name="_Toc368249586"/>
      <w:r w:rsidRPr="00171EF8">
        <w:t xml:space="preserve">II. Plan de Acción </w:t>
      </w:r>
      <w:r w:rsidRPr="00FB62ED">
        <w:t>Alianza</w:t>
      </w:r>
      <w:r w:rsidRPr="00171EF8">
        <w:t xml:space="preserve"> </w:t>
      </w:r>
      <w:r w:rsidRPr="00FB62ED">
        <w:t>para</w:t>
      </w:r>
      <w:r w:rsidRPr="00171EF8">
        <w:t xml:space="preserve"> el </w:t>
      </w:r>
      <w:r w:rsidRPr="00FB62ED">
        <w:t>Gobierno</w:t>
      </w:r>
      <w:r w:rsidRPr="00171EF8">
        <w:t xml:space="preserve"> </w:t>
      </w:r>
      <w:r w:rsidRPr="00FB62ED">
        <w:t>Abierto</w:t>
      </w:r>
      <w:r w:rsidRPr="00171EF8">
        <w:t>. El Salvador 2013-201</w:t>
      </w:r>
      <w:r w:rsidR="009913DE">
        <w:t>4</w:t>
      </w:r>
      <w:bookmarkEnd w:id="9"/>
    </w:p>
    <w:p w:rsidR="00914F96" w:rsidRPr="00171EF8" w:rsidRDefault="00914F96" w:rsidP="00171EF8">
      <w:pPr>
        <w:pStyle w:val="ParaAttribute2"/>
        <w:wordWrap/>
        <w:spacing w:after="0" w:line="276" w:lineRule="auto"/>
        <w:jc w:val="both"/>
        <w:rPr>
          <w:rFonts w:asciiTheme="minorHAnsi" w:eastAsia="Calibri" w:hAnsiTheme="minorHAnsi"/>
          <w:sz w:val="22"/>
          <w:szCs w:val="22"/>
        </w:rPr>
      </w:pPr>
    </w:p>
    <w:p w:rsidR="0044135F" w:rsidRDefault="0044135F" w:rsidP="00171EF8">
      <w:pPr>
        <w:pStyle w:val="ParaAttribute2"/>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Basados en nuestra Política de Anticorrupción y Transparencia, a la cual damos continuidad con todos nuestros esfuerzos nacionales, para articular eficientemente todas las iniciativas vinculadas, nuestros objetivos y lineamientos para el plan AGA son los siguientes:</w:t>
      </w:r>
    </w:p>
    <w:p w:rsidR="00FB62ED" w:rsidRPr="00171EF8" w:rsidRDefault="00FB62ED" w:rsidP="00171EF8">
      <w:pPr>
        <w:pStyle w:val="ParaAttribute2"/>
        <w:wordWrap/>
        <w:spacing w:after="0" w:line="276" w:lineRule="auto"/>
        <w:jc w:val="both"/>
        <w:rPr>
          <w:rFonts w:asciiTheme="minorHAnsi" w:eastAsia="Calibri" w:hAnsiTheme="minorHAnsi"/>
          <w:sz w:val="22"/>
          <w:szCs w:val="22"/>
        </w:rPr>
      </w:pPr>
    </w:p>
    <w:p w:rsidR="00914F96" w:rsidRPr="00344818" w:rsidRDefault="00CE46E4" w:rsidP="00F12DE5">
      <w:pPr>
        <w:pStyle w:val="Ttulo2"/>
      </w:pPr>
      <w:bookmarkStart w:id="10" w:name="_Toc368249587"/>
      <w:r>
        <w:t xml:space="preserve">II.1 </w:t>
      </w:r>
      <w:r w:rsidR="00914F96" w:rsidRPr="00344818">
        <w:t>Objetivo General:</w:t>
      </w:r>
      <w:bookmarkEnd w:id="10"/>
    </w:p>
    <w:p w:rsidR="00914F96" w:rsidRDefault="00914F96" w:rsidP="00171EF8">
      <w:pPr>
        <w:spacing w:after="0" w:line="276" w:lineRule="auto"/>
        <w:rPr>
          <w:rFonts w:eastAsia="Calibri" w:cs="Times New Roman"/>
          <w:i w:val="0"/>
          <w:iCs w:val="0"/>
          <w:sz w:val="22"/>
          <w:szCs w:val="22"/>
          <w:lang w:eastAsia="es-SV" w:bidi="ar-SA"/>
        </w:rPr>
      </w:pPr>
      <w:r w:rsidRPr="00171EF8">
        <w:rPr>
          <w:rFonts w:eastAsia="Calibri" w:cs="Times New Roman"/>
          <w:i w:val="0"/>
          <w:iCs w:val="0"/>
          <w:sz w:val="22"/>
          <w:szCs w:val="22"/>
          <w:lang w:eastAsia="es-SV" w:bidi="ar-SA"/>
        </w:rPr>
        <w:t>Contribuir a la construcción de un Sistema Nacional de Integridad, fundamentado en un pacto explícito o implícito entre Estado, ciudadanía y sector empresarial, que fortalezca la gobernabilidad democrática, favorezca el desarrollo del país y eleve la calidad de vida de la población.</w:t>
      </w:r>
    </w:p>
    <w:p w:rsidR="00FB62ED" w:rsidRPr="00171EF8" w:rsidRDefault="00FB62ED" w:rsidP="00171EF8">
      <w:pPr>
        <w:spacing w:after="0" w:line="276" w:lineRule="auto"/>
        <w:rPr>
          <w:rFonts w:eastAsia="Calibri" w:cs="Times New Roman"/>
          <w:i w:val="0"/>
          <w:iCs w:val="0"/>
          <w:sz w:val="22"/>
          <w:szCs w:val="22"/>
          <w:lang w:eastAsia="es-SV" w:bidi="ar-SA"/>
        </w:rPr>
      </w:pPr>
    </w:p>
    <w:p w:rsidR="00914F96" w:rsidRPr="00171EF8" w:rsidRDefault="00914F96" w:rsidP="00F12DE5">
      <w:pPr>
        <w:pStyle w:val="Ttulo3"/>
        <w:numPr>
          <w:ilvl w:val="0"/>
          <w:numId w:val="54"/>
        </w:numPr>
        <w:rPr>
          <w:rFonts w:eastAsia="Calibri"/>
          <w:lang w:eastAsia="es-SV" w:bidi="ar-SA"/>
        </w:rPr>
      </w:pPr>
      <w:bookmarkStart w:id="11" w:name="_Toc368249588"/>
      <w:r w:rsidRPr="00171EF8">
        <w:rPr>
          <w:rFonts w:eastAsia="Calibri"/>
          <w:lang w:eastAsia="es-SV" w:bidi="ar-SA"/>
        </w:rPr>
        <w:t>Lineamientos:</w:t>
      </w:r>
      <w:bookmarkEnd w:id="11"/>
    </w:p>
    <w:p w:rsidR="00914F96" w:rsidRPr="00171EF8" w:rsidRDefault="00914F96" w:rsidP="00E20F57">
      <w:pPr>
        <w:pStyle w:val="Prrafodelista"/>
        <w:numPr>
          <w:ilvl w:val="0"/>
          <w:numId w:val="36"/>
        </w:numPr>
        <w:tabs>
          <w:tab w:val="clear" w:pos="720"/>
          <w:tab w:val="num" w:pos="425"/>
        </w:tabs>
        <w:spacing w:after="0" w:line="276" w:lineRule="auto"/>
        <w:ind w:left="425" w:hanging="425"/>
        <w:contextualSpacing w:val="0"/>
        <w:rPr>
          <w:rFonts w:cs="Times New Roman"/>
          <w:i w:val="0"/>
          <w:sz w:val="22"/>
          <w:szCs w:val="22"/>
        </w:rPr>
      </w:pPr>
      <w:r w:rsidRPr="005D5A66">
        <w:rPr>
          <w:rFonts w:cs="Times New Roman"/>
          <w:b/>
          <w:i w:val="0"/>
          <w:color w:val="396295" w:themeColor="accent3" w:themeShade="80"/>
          <w:sz w:val="22"/>
          <w:szCs w:val="22"/>
        </w:rPr>
        <w:t>Anticorrupción.</w:t>
      </w:r>
      <w:r w:rsidRPr="00171EF8">
        <w:rPr>
          <w:rFonts w:cs="Times New Roman"/>
          <w:i w:val="0"/>
          <w:sz w:val="22"/>
          <w:szCs w:val="22"/>
        </w:rPr>
        <w:t xml:space="preserve"> Desarrollar un sistema proactivo para prevenir, detectar y promover sanciones para erradicar la corrupción en el Órgano Ejecutivo.</w:t>
      </w:r>
    </w:p>
    <w:p w:rsidR="00914F96" w:rsidRPr="00171EF8" w:rsidRDefault="00914F96" w:rsidP="00E20F57">
      <w:pPr>
        <w:numPr>
          <w:ilvl w:val="0"/>
          <w:numId w:val="36"/>
        </w:numPr>
        <w:tabs>
          <w:tab w:val="clear" w:pos="720"/>
          <w:tab w:val="num" w:pos="425"/>
        </w:tabs>
        <w:spacing w:after="0" w:line="276" w:lineRule="auto"/>
        <w:ind w:left="425" w:hanging="425"/>
        <w:rPr>
          <w:rFonts w:cs="Times New Roman"/>
          <w:i w:val="0"/>
          <w:sz w:val="22"/>
          <w:szCs w:val="22"/>
        </w:rPr>
      </w:pPr>
      <w:r w:rsidRPr="005D5A66">
        <w:rPr>
          <w:rFonts w:cs="Times New Roman"/>
          <w:b/>
          <w:i w:val="0"/>
          <w:color w:val="396295" w:themeColor="accent3" w:themeShade="80"/>
          <w:sz w:val="22"/>
          <w:szCs w:val="22"/>
        </w:rPr>
        <w:t>Contraloría social.</w:t>
      </w:r>
      <w:r w:rsidRPr="00171EF8">
        <w:rPr>
          <w:rFonts w:cs="Times New Roman"/>
          <w:i w:val="0"/>
          <w:sz w:val="22"/>
          <w:szCs w:val="22"/>
        </w:rPr>
        <w:t xml:space="preserve"> Promover mecanismos y capacidades para un involucramiento crítico y propositivo de la ciudadanía en la toma de decisiones y el control social de la gestión pública, contribuyendo a una nueva cultura en la sociedad que tenga como valores fundamentales la honestidad y la transparencia. </w:t>
      </w:r>
    </w:p>
    <w:p w:rsidR="00914F96" w:rsidRPr="00171EF8" w:rsidRDefault="00914F96" w:rsidP="00E20F57">
      <w:pPr>
        <w:numPr>
          <w:ilvl w:val="0"/>
          <w:numId w:val="36"/>
        </w:numPr>
        <w:tabs>
          <w:tab w:val="clear" w:pos="720"/>
          <w:tab w:val="num" w:pos="425"/>
        </w:tabs>
        <w:spacing w:after="0" w:line="276" w:lineRule="auto"/>
        <w:ind w:left="425" w:hanging="425"/>
        <w:rPr>
          <w:rFonts w:cs="Times New Roman"/>
          <w:i w:val="0"/>
          <w:sz w:val="22"/>
          <w:szCs w:val="22"/>
        </w:rPr>
      </w:pPr>
      <w:r w:rsidRPr="005D5A66">
        <w:rPr>
          <w:rFonts w:cs="Times New Roman"/>
          <w:b/>
          <w:i w:val="0"/>
          <w:color w:val="396295" w:themeColor="accent3" w:themeShade="80"/>
          <w:sz w:val="22"/>
          <w:szCs w:val="22"/>
        </w:rPr>
        <w:t>Acceso a la información y rendición de cuentas.</w:t>
      </w:r>
      <w:r w:rsidRPr="00171EF8">
        <w:rPr>
          <w:rFonts w:cs="Times New Roman"/>
          <w:i w:val="0"/>
          <w:sz w:val="22"/>
          <w:szCs w:val="22"/>
        </w:rPr>
        <w:t xml:space="preserve"> Asegurar el acceso de la ciudadanía a la información y la capacidad del Órgano Ejecutivo de visibilizar y rendir cuentas sobre su actuación y el uso de los recursos.</w:t>
      </w:r>
    </w:p>
    <w:p w:rsidR="00914F96" w:rsidRPr="00171EF8" w:rsidRDefault="00914F96" w:rsidP="00E20F57">
      <w:pPr>
        <w:numPr>
          <w:ilvl w:val="0"/>
          <w:numId w:val="36"/>
        </w:numPr>
        <w:tabs>
          <w:tab w:val="clear" w:pos="720"/>
          <w:tab w:val="num" w:pos="425"/>
        </w:tabs>
        <w:spacing w:after="0" w:line="276" w:lineRule="auto"/>
        <w:ind w:left="425" w:hanging="425"/>
        <w:rPr>
          <w:rFonts w:cs="Times New Roman"/>
          <w:i w:val="0"/>
          <w:sz w:val="22"/>
          <w:szCs w:val="22"/>
        </w:rPr>
      </w:pPr>
      <w:r w:rsidRPr="005D5A66">
        <w:rPr>
          <w:rFonts w:cs="Times New Roman"/>
          <w:b/>
          <w:i w:val="0"/>
          <w:color w:val="396295" w:themeColor="accent3" w:themeShade="80"/>
          <w:sz w:val="22"/>
          <w:szCs w:val="22"/>
        </w:rPr>
        <w:t>Transparencia en las contrataciones públicas.</w:t>
      </w:r>
      <w:r w:rsidRPr="00171EF8">
        <w:rPr>
          <w:rFonts w:cs="Times New Roman"/>
          <w:i w:val="0"/>
          <w:sz w:val="22"/>
          <w:szCs w:val="22"/>
        </w:rPr>
        <w:t xml:space="preserve"> Promover activamente la transparencia del mercado y de los actores privados con los que interactúa el Órgano Ejecutivo. </w:t>
      </w:r>
    </w:p>
    <w:p w:rsidR="00914F96" w:rsidRPr="00171EF8" w:rsidRDefault="00914F96" w:rsidP="00E20F57">
      <w:pPr>
        <w:numPr>
          <w:ilvl w:val="0"/>
          <w:numId w:val="36"/>
        </w:numPr>
        <w:tabs>
          <w:tab w:val="clear" w:pos="720"/>
          <w:tab w:val="num" w:pos="425"/>
        </w:tabs>
        <w:spacing w:after="0" w:line="276" w:lineRule="auto"/>
        <w:ind w:left="425" w:hanging="425"/>
        <w:rPr>
          <w:rFonts w:cs="Times New Roman"/>
          <w:i w:val="0"/>
          <w:sz w:val="22"/>
          <w:szCs w:val="22"/>
        </w:rPr>
      </w:pPr>
      <w:r w:rsidRPr="005D5A66">
        <w:rPr>
          <w:rFonts w:cs="Times New Roman"/>
          <w:b/>
          <w:i w:val="0"/>
          <w:color w:val="396295" w:themeColor="accent3" w:themeShade="80"/>
          <w:sz w:val="22"/>
          <w:szCs w:val="22"/>
        </w:rPr>
        <w:t>Fortalecimiento institucional y articulación interinstitucional.</w:t>
      </w:r>
      <w:r w:rsidRPr="00171EF8">
        <w:rPr>
          <w:rFonts w:cs="Times New Roman"/>
          <w:i w:val="0"/>
          <w:sz w:val="22"/>
          <w:szCs w:val="22"/>
        </w:rPr>
        <w:t xml:space="preserve"> Desarrollar las capacidades del Órgano Ejecutivo para implementar articulad</w:t>
      </w:r>
      <w:r w:rsidR="0044135F" w:rsidRPr="00171EF8">
        <w:rPr>
          <w:rFonts w:cs="Times New Roman"/>
          <w:i w:val="0"/>
          <w:sz w:val="22"/>
          <w:szCs w:val="22"/>
        </w:rPr>
        <w:t>o</w:t>
      </w:r>
      <w:r w:rsidRPr="00171EF8">
        <w:rPr>
          <w:rFonts w:cs="Times New Roman"/>
          <w:i w:val="0"/>
          <w:sz w:val="22"/>
          <w:szCs w:val="22"/>
        </w:rPr>
        <w:t xml:space="preserve"> y eficientemente </w:t>
      </w:r>
      <w:r w:rsidR="0044135F" w:rsidRPr="00171EF8">
        <w:rPr>
          <w:rFonts w:cs="Times New Roman"/>
          <w:i w:val="0"/>
          <w:sz w:val="22"/>
          <w:szCs w:val="22"/>
        </w:rPr>
        <w:t>el plan AGA</w:t>
      </w:r>
      <w:r w:rsidRPr="00171EF8">
        <w:rPr>
          <w:rFonts w:cs="Times New Roman"/>
          <w:i w:val="0"/>
          <w:sz w:val="22"/>
          <w:szCs w:val="22"/>
        </w:rPr>
        <w:t xml:space="preserve"> en interacción con los otros Órganos e instituciones del Estado.</w:t>
      </w:r>
    </w:p>
    <w:p w:rsidR="00914F96" w:rsidRPr="00171EF8" w:rsidRDefault="00914F96" w:rsidP="00171EF8">
      <w:pPr>
        <w:spacing w:after="0" w:line="276" w:lineRule="auto"/>
        <w:ind w:left="-709"/>
        <w:rPr>
          <w:rFonts w:eastAsia="Calibri" w:cs="Times New Roman"/>
          <w:i w:val="0"/>
          <w:iCs w:val="0"/>
          <w:sz w:val="22"/>
          <w:szCs w:val="22"/>
          <w:lang w:eastAsia="es-SV" w:bidi="ar-SA"/>
        </w:rPr>
      </w:pPr>
    </w:p>
    <w:p w:rsidR="00914F96" w:rsidRPr="00344818" w:rsidRDefault="00CE46E4" w:rsidP="00F12DE5">
      <w:pPr>
        <w:pStyle w:val="Ttulo2"/>
        <w:rPr>
          <w:szCs w:val="22"/>
        </w:rPr>
      </w:pPr>
      <w:bookmarkStart w:id="12" w:name="_Toc368249589"/>
      <w:r>
        <w:t xml:space="preserve">II.2 </w:t>
      </w:r>
      <w:r w:rsidR="008417F2" w:rsidRPr="00344818">
        <w:t>Participantes</w:t>
      </w:r>
      <w:r>
        <w:t xml:space="preserve"> estatales</w:t>
      </w:r>
      <w:bookmarkEnd w:id="12"/>
    </w:p>
    <w:p w:rsidR="0044135F" w:rsidRPr="00171EF8" w:rsidRDefault="0044135F" w:rsidP="00171EF8">
      <w:pPr>
        <w:pStyle w:val="ParaAttribute2"/>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De acuerdo a ello, el país ha definido trabajar en los cinco ejes centrales de la Alianza y participarán en su concreción las siguientes instancias nacionales</w:t>
      </w:r>
      <w:r w:rsidR="00F021BB" w:rsidRPr="00171EF8">
        <w:rPr>
          <w:rFonts w:asciiTheme="minorHAnsi" w:eastAsia="Calibri" w:hAnsiTheme="minorHAnsi"/>
          <w:sz w:val="22"/>
          <w:szCs w:val="22"/>
        </w:rPr>
        <w:t>, sin perjuicio de posteriores incorporaciones</w:t>
      </w:r>
      <w:r w:rsidRPr="00171EF8">
        <w:rPr>
          <w:rFonts w:asciiTheme="minorHAnsi" w:eastAsia="Calibri" w:hAnsiTheme="minorHAnsi"/>
          <w:sz w:val="22"/>
          <w:szCs w:val="22"/>
        </w:rPr>
        <w:t>:</w:t>
      </w:r>
    </w:p>
    <w:p w:rsidR="0044135F" w:rsidRPr="00F55729" w:rsidRDefault="0044135F" w:rsidP="00E20F57">
      <w:pPr>
        <w:pStyle w:val="ParaAttribute2"/>
        <w:numPr>
          <w:ilvl w:val="0"/>
          <w:numId w:val="37"/>
        </w:numPr>
        <w:wordWrap/>
        <w:spacing w:after="0" w:line="276" w:lineRule="auto"/>
        <w:jc w:val="both"/>
        <w:rPr>
          <w:rFonts w:asciiTheme="minorHAnsi" w:eastAsia="Calibri" w:hAnsiTheme="minorHAnsi"/>
          <w:sz w:val="22"/>
          <w:szCs w:val="22"/>
        </w:rPr>
      </w:pPr>
      <w:r w:rsidRPr="00F55729">
        <w:rPr>
          <w:rFonts w:asciiTheme="minorHAnsi" w:eastAsia="Calibri" w:hAnsiTheme="minorHAnsi"/>
          <w:sz w:val="22"/>
          <w:szCs w:val="22"/>
        </w:rPr>
        <w:t>Ministerio</w:t>
      </w:r>
      <w:r w:rsidR="00F55729" w:rsidRPr="00F55729">
        <w:rPr>
          <w:rFonts w:asciiTheme="minorHAnsi" w:eastAsia="Calibri" w:hAnsiTheme="minorHAnsi"/>
          <w:sz w:val="22"/>
          <w:szCs w:val="22"/>
        </w:rPr>
        <w:t xml:space="preserve">s </w:t>
      </w:r>
      <w:r w:rsidRPr="00F55729">
        <w:rPr>
          <w:rFonts w:asciiTheme="minorHAnsi" w:eastAsia="Calibri" w:hAnsiTheme="minorHAnsi"/>
          <w:sz w:val="22"/>
          <w:szCs w:val="22"/>
        </w:rPr>
        <w:t xml:space="preserve"> de Hacienda</w:t>
      </w:r>
      <w:r w:rsidR="00F55729" w:rsidRPr="00F55729">
        <w:rPr>
          <w:rFonts w:asciiTheme="minorHAnsi" w:eastAsia="Calibri" w:hAnsiTheme="minorHAnsi"/>
          <w:sz w:val="22"/>
          <w:szCs w:val="22"/>
        </w:rPr>
        <w:t xml:space="preserve"> y </w:t>
      </w:r>
      <w:r w:rsidRPr="00F55729">
        <w:rPr>
          <w:rFonts w:asciiTheme="minorHAnsi" w:eastAsia="Calibri" w:hAnsiTheme="minorHAnsi"/>
          <w:sz w:val="22"/>
          <w:szCs w:val="22"/>
        </w:rPr>
        <w:t xml:space="preserve"> Salud</w:t>
      </w:r>
    </w:p>
    <w:p w:rsidR="0044135F" w:rsidRPr="00F55729" w:rsidRDefault="0044135F" w:rsidP="00E20F57">
      <w:pPr>
        <w:pStyle w:val="ParaAttribute2"/>
        <w:numPr>
          <w:ilvl w:val="0"/>
          <w:numId w:val="37"/>
        </w:numPr>
        <w:wordWrap/>
        <w:spacing w:after="0" w:line="276" w:lineRule="auto"/>
        <w:jc w:val="both"/>
        <w:rPr>
          <w:rFonts w:asciiTheme="minorHAnsi" w:eastAsia="Calibri" w:hAnsiTheme="minorHAnsi"/>
          <w:sz w:val="22"/>
          <w:szCs w:val="22"/>
        </w:rPr>
      </w:pPr>
      <w:r w:rsidRPr="00F55729">
        <w:rPr>
          <w:rFonts w:asciiTheme="minorHAnsi" w:eastAsia="Calibri" w:hAnsiTheme="minorHAnsi"/>
          <w:sz w:val="22"/>
          <w:szCs w:val="22"/>
        </w:rPr>
        <w:t>Subsecretaría de Transparencia y Anticorrupción</w:t>
      </w:r>
      <w:r w:rsidR="00F55729">
        <w:rPr>
          <w:rFonts w:asciiTheme="minorHAnsi" w:eastAsia="Calibri" w:hAnsiTheme="minorHAnsi"/>
          <w:sz w:val="22"/>
          <w:szCs w:val="22"/>
        </w:rPr>
        <w:t xml:space="preserve"> y  </w:t>
      </w:r>
      <w:r w:rsidRPr="00F55729">
        <w:rPr>
          <w:rFonts w:asciiTheme="minorHAnsi" w:eastAsia="Calibri" w:hAnsiTheme="minorHAnsi"/>
          <w:sz w:val="22"/>
          <w:szCs w:val="22"/>
        </w:rPr>
        <w:t>Subsecretaría de Gobernabilidad y Modernización del Estado</w:t>
      </w:r>
    </w:p>
    <w:p w:rsidR="0044135F" w:rsidRPr="00171EF8" w:rsidRDefault="0044135F" w:rsidP="00E20F57">
      <w:pPr>
        <w:pStyle w:val="ParaAttribute2"/>
        <w:numPr>
          <w:ilvl w:val="0"/>
          <w:numId w:val="37"/>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Fiscalía General de la República</w:t>
      </w:r>
    </w:p>
    <w:p w:rsidR="0044135F" w:rsidRPr="00171EF8" w:rsidRDefault="0044135F" w:rsidP="00E20F57">
      <w:pPr>
        <w:pStyle w:val="ParaAttribute2"/>
        <w:numPr>
          <w:ilvl w:val="0"/>
          <w:numId w:val="37"/>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Corte de Cuentas de la República</w:t>
      </w:r>
    </w:p>
    <w:p w:rsidR="003A7370" w:rsidRPr="00171EF8" w:rsidRDefault="003A7370" w:rsidP="00E20F57">
      <w:pPr>
        <w:pStyle w:val="ParaAttribute2"/>
        <w:numPr>
          <w:ilvl w:val="0"/>
          <w:numId w:val="37"/>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Tribunal de Ética Gubernamental</w:t>
      </w:r>
    </w:p>
    <w:p w:rsidR="0044135F" w:rsidRPr="00171EF8" w:rsidRDefault="0044135F" w:rsidP="00E20F57">
      <w:pPr>
        <w:pStyle w:val="ParaAttribute2"/>
        <w:numPr>
          <w:ilvl w:val="0"/>
          <w:numId w:val="37"/>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Instituto de Acceso a la Información Pública</w:t>
      </w:r>
    </w:p>
    <w:p w:rsidR="008417F2" w:rsidRPr="00344818" w:rsidRDefault="00CE46E4" w:rsidP="00F12DE5">
      <w:pPr>
        <w:pStyle w:val="Ttulo2"/>
        <w:rPr>
          <w:szCs w:val="22"/>
        </w:rPr>
      </w:pPr>
      <w:bookmarkStart w:id="13" w:name="_Toc368249590"/>
      <w:r>
        <w:t xml:space="preserve">II.3 </w:t>
      </w:r>
      <w:r w:rsidR="00DA74ED" w:rsidRPr="00344818">
        <w:t>Las acciones</w:t>
      </w:r>
      <w:r w:rsidR="008417F2" w:rsidRPr="00344818">
        <w:rPr>
          <w:szCs w:val="22"/>
        </w:rPr>
        <w:t xml:space="preserve"> y sus indicadores</w:t>
      </w:r>
      <w:r w:rsidR="002011A7" w:rsidRPr="00344818">
        <w:t xml:space="preserve">.  2013 – </w:t>
      </w:r>
      <w:r w:rsidR="00F12DE5" w:rsidRPr="00344818">
        <w:t>Mayo</w:t>
      </w:r>
      <w:r w:rsidR="002011A7" w:rsidRPr="00344818">
        <w:t xml:space="preserve"> 2014.</w:t>
      </w:r>
      <w:bookmarkEnd w:id="13"/>
    </w:p>
    <w:p w:rsidR="008417F2" w:rsidRDefault="008417F2" w:rsidP="00171EF8">
      <w:pPr>
        <w:pStyle w:val="ParaAttribute2"/>
        <w:wordWrap/>
        <w:spacing w:after="0" w:line="276" w:lineRule="auto"/>
        <w:jc w:val="both"/>
        <w:rPr>
          <w:rFonts w:asciiTheme="minorHAnsi" w:eastAsia="Calibri" w:hAnsiTheme="minorHAnsi"/>
          <w:sz w:val="22"/>
          <w:szCs w:val="22"/>
        </w:rPr>
      </w:pPr>
    </w:p>
    <w:tbl>
      <w:tblPr>
        <w:tblStyle w:val="Sombreadoclaro-nfasis1"/>
        <w:tblW w:w="0" w:type="auto"/>
        <w:tblBorders>
          <w:insideH w:val="single" w:sz="8" w:space="0" w:color="4F81BD" w:themeColor="accent1"/>
          <w:insideV w:val="single" w:sz="8" w:space="0" w:color="4F81BD" w:themeColor="accent1"/>
        </w:tblBorders>
        <w:tblLook w:val="04A0"/>
      </w:tblPr>
      <w:tblGrid>
        <w:gridCol w:w="2992"/>
        <w:gridCol w:w="2993"/>
        <w:gridCol w:w="2993"/>
      </w:tblGrid>
      <w:tr w:rsidR="00DA74ED" w:rsidRPr="00F55729" w:rsidTr="00354478">
        <w:trPr>
          <w:cnfStyle w:val="100000000000"/>
          <w:tblHeader/>
        </w:trPr>
        <w:tc>
          <w:tcPr>
            <w:cnfStyle w:val="001000000000"/>
            <w:tcW w:w="2992" w:type="dxa"/>
            <w:tcBorders>
              <w:top w:val="none" w:sz="0" w:space="0" w:color="auto"/>
              <w:left w:val="none" w:sz="0" w:space="0" w:color="auto"/>
              <w:bottom w:val="none" w:sz="0" w:space="0" w:color="auto"/>
              <w:right w:val="none" w:sz="0" w:space="0" w:color="auto"/>
            </w:tcBorders>
          </w:tcPr>
          <w:p w:rsidR="00DA74ED" w:rsidRPr="00F55729" w:rsidRDefault="00DA74ED" w:rsidP="00354478">
            <w:pPr>
              <w:pStyle w:val="ParaAttribute2"/>
              <w:wordWrap/>
              <w:spacing w:line="276" w:lineRule="auto"/>
              <w:jc w:val="center"/>
              <w:rPr>
                <w:rFonts w:asciiTheme="minorHAnsi" w:eastAsia="Calibri" w:hAnsiTheme="minorHAnsi"/>
                <w:color w:val="auto"/>
                <w:sz w:val="16"/>
                <w:szCs w:val="16"/>
              </w:rPr>
            </w:pPr>
            <w:r w:rsidRPr="00F55729">
              <w:rPr>
                <w:rFonts w:asciiTheme="minorHAnsi" w:eastAsia="Calibri" w:hAnsiTheme="minorHAnsi"/>
                <w:color w:val="auto"/>
                <w:sz w:val="16"/>
                <w:szCs w:val="16"/>
              </w:rPr>
              <w:t>Acciones</w:t>
            </w:r>
          </w:p>
        </w:tc>
        <w:tc>
          <w:tcPr>
            <w:tcW w:w="2993" w:type="dxa"/>
            <w:tcBorders>
              <w:top w:val="none" w:sz="0" w:space="0" w:color="auto"/>
              <w:left w:val="none" w:sz="0" w:space="0" w:color="auto"/>
              <w:bottom w:val="none" w:sz="0" w:space="0" w:color="auto"/>
              <w:right w:val="none" w:sz="0" w:space="0" w:color="auto"/>
            </w:tcBorders>
          </w:tcPr>
          <w:p w:rsidR="00DA74ED" w:rsidRPr="00F55729" w:rsidRDefault="00DA74ED" w:rsidP="00354478">
            <w:pPr>
              <w:pStyle w:val="ParaAttribute2"/>
              <w:wordWrap/>
              <w:spacing w:line="276" w:lineRule="auto"/>
              <w:jc w:val="center"/>
              <w:cnfStyle w:val="100000000000"/>
              <w:rPr>
                <w:rFonts w:asciiTheme="minorHAnsi" w:eastAsia="Calibri" w:hAnsiTheme="minorHAnsi"/>
                <w:color w:val="auto"/>
                <w:sz w:val="16"/>
                <w:szCs w:val="16"/>
              </w:rPr>
            </w:pPr>
            <w:r w:rsidRPr="00F55729">
              <w:rPr>
                <w:rFonts w:asciiTheme="minorHAnsi" w:eastAsia="Calibri" w:hAnsiTheme="minorHAnsi"/>
                <w:color w:val="auto"/>
                <w:sz w:val="16"/>
                <w:szCs w:val="16"/>
              </w:rPr>
              <w:t>Entidades involucradas</w:t>
            </w:r>
          </w:p>
        </w:tc>
        <w:tc>
          <w:tcPr>
            <w:tcW w:w="2993" w:type="dxa"/>
            <w:tcBorders>
              <w:top w:val="none" w:sz="0" w:space="0" w:color="auto"/>
              <w:left w:val="none" w:sz="0" w:space="0" w:color="auto"/>
              <w:bottom w:val="none" w:sz="0" w:space="0" w:color="auto"/>
              <w:right w:val="none" w:sz="0" w:space="0" w:color="auto"/>
            </w:tcBorders>
          </w:tcPr>
          <w:p w:rsidR="00DA74ED" w:rsidRPr="00F55729" w:rsidRDefault="00DA74ED" w:rsidP="00354478">
            <w:pPr>
              <w:pStyle w:val="ParaAttribute2"/>
              <w:wordWrap/>
              <w:spacing w:line="276" w:lineRule="auto"/>
              <w:jc w:val="center"/>
              <w:cnfStyle w:val="100000000000"/>
              <w:rPr>
                <w:rFonts w:asciiTheme="minorHAnsi" w:eastAsia="Calibri" w:hAnsiTheme="minorHAnsi"/>
                <w:color w:val="auto"/>
                <w:sz w:val="16"/>
                <w:szCs w:val="16"/>
              </w:rPr>
            </w:pPr>
            <w:r w:rsidRPr="00F55729">
              <w:rPr>
                <w:rFonts w:asciiTheme="minorHAnsi" w:eastAsia="Calibri" w:hAnsiTheme="minorHAnsi"/>
                <w:color w:val="auto"/>
                <w:sz w:val="16"/>
                <w:szCs w:val="16"/>
              </w:rPr>
              <w:t>Indicadores de cumplimiento</w:t>
            </w:r>
          </w:p>
        </w:tc>
      </w:tr>
      <w:tr w:rsidR="00DA74ED" w:rsidRPr="00F55729" w:rsidTr="00354478">
        <w:trPr>
          <w:cnfStyle w:val="000000100000"/>
        </w:trPr>
        <w:tc>
          <w:tcPr>
            <w:cnfStyle w:val="001000000000"/>
            <w:tcW w:w="8978" w:type="dxa"/>
            <w:gridSpan w:val="3"/>
            <w:tcBorders>
              <w:left w:val="none" w:sz="0" w:space="0" w:color="auto"/>
              <w:right w:val="none" w:sz="0" w:space="0" w:color="auto"/>
            </w:tcBorders>
            <w:shd w:val="clear" w:color="auto" w:fill="DBE5F1" w:themeFill="accent1" w:themeFillTint="33"/>
          </w:tcPr>
          <w:p w:rsidR="00DA74ED" w:rsidRPr="00F55729" w:rsidRDefault="00DA74ED" w:rsidP="00171EF8">
            <w:pPr>
              <w:pStyle w:val="ParaAttribute2"/>
              <w:wordWrap/>
              <w:spacing w:line="276" w:lineRule="auto"/>
              <w:jc w:val="both"/>
              <w:rPr>
                <w:rFonts w:asciiTheme="minorHAnsi" w:eastAsia="Calibri" w:hAnsiTheme="minorHAnsi"/>
                <w:color w:val="auto"/>
                <w:sz w:val="16"/>
                <w:szCs w:val="16"/>
              </w:rPr>
            </w:pPr>
            <w:r w:rsidRPr="00F55729">
              <w:rPr>
                <w:rFonts w:asciiTheme="minorHAnsi" w:eastAsia="Calibri" w:hAnsiTheme="minorHAnsi"/>
                <w:color w:val="auto"/>
                <w:sz w:val="16"/>
                <w:szCs w:val="16"/>
              </w:rPr>
              <w:t>Eje 1: Mejorar los Servicios Púbicos</w:t>
            </w:r>
            <w:r w:rsidR="002011A7" w:rsidRPr="00F55729">
              <w:rPr>
                <w:rFonts w:asciiTheme="minorHAnsi" w:eastAsia="Calibri" w:hAnsiTheme="minorHAnsi"/>
                <w:color w:val="auto"/>
                <w:sz w:val="16"/>
                <w:szCs w:val="16"/>
              </w:rPr>
              <w:t>:</w:t>
            </w:r>
          </w:p>
          <w:p w:rsidR="002011A7" w:rsidRPr="00F55729" w:rsidRDefault="002011A7" w:rsidP="00171EF8">
            <w:pPr>
              <w:pStyle w:val="ParaAttribute2"/>
              <w:wordWrap/>
              <w:spacing w:line="276" w:lineRule="auto"/>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Desarrollar iniciativas que faciliten el acceso de la población a los servicios públicos, en tiempo y trámites, así como la colocación de denuncias y sugerencias que contribuyan a la mejora institucional continua. El principal énfasis de este eje se concentra en el sistema de salud</w:t>
            </w:r>
            <w:r w:rsidR="00C11404" w:rsidRPr="00F55729">
              <w:rPr>
                <w:rFonts w:asciiTheme="minorHAnsi" w:eastAsia="Calibri" w:hAnsiTheme="minorHAnsi"/>
                <w:b w:val="0"/>
                <w:color w:val="auto"/>
                <w:sz w:val="16"/>
                <w:szCs w:val="16"/>
              </w:rPr>
              <w:t xml:space="preserve"> y en el acceso a información pública.</w:t>
            </w:r>
          </w:p>
        </w:tc>
      </w:tr>
      <w:tr w:rsidR="00DA74ED" w:rsidRPr="00F55729" w:rsidTr="00C25352">
        <w:tc>
          <w:tcPr>
            <w:cnfStyle w:val="001000000000"/>
            <w:tcW w:w="2992" w:type="dxa"/>
          </w:tcPr>
          <w:p w:rsidR="00DA74ED" w:rsidRPr="00F55729" w:rsidRDefault="002011A7"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Desarrollar e implementar un proyecto de sistema informático en los hospitales nacionales para el manejo integral de los expedientes de los pacientes. Para facilitar la transferencia de información médica entre cualquier hospital. Este se implementará bajo los principios de software libre (copyleft).</w:t>
            </w:r>
          </w:p>
        </w:tc>
        <w:tc>
          <w:tcPr>
            <w:tcW w:w="2993" w:type="dxa"/>
          </w:tcPr>
          <w:p w:rsidR="00DA74ED" w:rsidRPr="00F55729" w:rsidRDefault="002011A7" w:rsidP="00E20F57">
            <w:pPr>
              <w:pStyle w:val="ParaAttribute2"/>
              <w:numPr>
                <w:ilvl w:val="0"/>
                <w:numId w:val="38"/>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Salud y Fondo Solidario para la Salud.</w:t>
            </w:r>
          </w:p>
        </w:tc>
        <w:tc>
          <w:tcPr>
            <w:tcW w:w="2993" w:type="dxa"/>
          </w:tcPr>
          <w:p w:rsidR="00DA74ED" w:rsidRPr="00F55729" w:rsidRDefault="002011A7" w:rsidP="00E20F57">
            <w:pPr>
              <w:pStyle w:val="ParaAttribute2"/>
              <w:numPr>
                <w:ilvl w:val="0"/>
                <w:numId w:val="38"/>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hAnsiTheme="minorHAnsi"/>
                <w:color w:val="auto"/>
                <w:sz w:val="16"/>
                <w:szCs w:val="16"/>
              </w:rPr>
              <w:t xml:space="preserve">Número de hospitales haciendo uso del sistema / número total de </w:t>
            </w:r>
            <w:r w:rsidR="00D40F96" w:rsidRPr="00F55729">
              <w:rPr>
                <w:rFonts w:asciiTheme="minorHAnsi" w:hAnsiTheme="minorHAnsi"/>
                <w:color w:val="auto"/>
                <w:sz w:val="16"/>
                <w:szCs w:val="16"/>
              </w:rPr>
              <w:t>hospitales.</w:t>
            </w:r>
          </w:p>
        </w:tc>
      </w:tr>
      <w:tr w:rsidR="00DA74ED" w:rsidRPr="00F55729" w:rsidTr="00C25352">
        <w:trPr>
          <w:cnfStyle w:val="000000100000"/>
        </w:trPr>
        <w:tc>
          <w:tcPr>
            <w:cnfStyle w:val="001000000000"/>
            <w:tcW w:w="2992" w:type="dxa"/>
            <w:tcBorders>
              <w:left w:val="none" w:sz="0" w:space="0" w:color="auto"/>
              <w:right w:val="none" w:sz="0" w:space="0" w:color="auto"/>
            </w:tcBorders>
            <w:shd w:val="clear" w:color="auto" w:fill="auto"/>
          </w:tcPr>
          <w:p w:rsidR="00DA74ED" w:rsidRPr="00F55729" w:rsidRDefault="002011A7"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Elaborar las cartas de derecho en salud, en las cuales se presente de forma clara y precisa los derechos y deberes de la ciudadanía. Colocarlas visibles en cada establecimiento y socializarlas con</w:t>
            </w:r>
            <w:r w:rsidR="00344818" w:rsidRPr="00F55729">
              <w:rPr>
                <w:rFonts w:asciiTheme="minorHAnsi" w:eastAsia="Calibri" w:hAnsiTheme="minorHAnsi"/>
                <w:b w:val="0"/>
                <w:color w:val="auto"/>
                <w:sz w:val="16"/>
                <w:szCs w:val="16"/>
              </w:rPr>
              <w:t xml:space="preserve"> el personal y con la población e incorporarlas en los lineamientos técnicos del Ministerio.</w:t>
            </w:r>
          </w:p>
        </w:tc>
        <w:tc>
          <w:tcPr>
            <w:tcW w:w="2993" w:type="dxa"/>
            <w:tcBorders>
              <w:left w:val="none" w:sz="0" w:space="0" w:color="auto"/>
              <w:right w:val="none" w:sz="0" w:space="0" w:color="auto"/>
            </w:tcBorders>
            <w:shd w:val="clear" w:color="auto" w:fill="auto"/>
          </w:tcPr>
          <w:p w:rsidR="00DA74ED" w:rsidRPr="00F55729" w:rsidRDefault="002011A7" w:rsidP="00E20F57">
            <w:pPr>
              <w:pStyle w:val="ParaAttribute2"/>
              <w:numPr>
                <w:ilvl w:val="0"/>
                <w:numId w:val="38"/>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Salud</w:t>
            </w:r>
            <w:r w:rsidR="00C25352" w:rsidRPr="00F55729">
              <w:rPr>
                <w:rFonts w:asciiTheme="minorHAnsi" w:eastAsia="Calibri" w:hAnsiTheme="minorHAnsi"/>
                <w:color w:val="auto"/>
                <w:sz w:val="16"/>
                <w:szCs w:val="16"/>
              </w:rPr>
              <w:t xml:space="preserve"> y Fondo Solidario para la Salud.</w:t>
            </w:r>
          </w:p>
        </w:tc>
        <w:tc>
          <w:tcPr>
            <w:tcW w:w="2993" w:type="dxa"/>
            <w:tcBorders>
              <w:left w:val="none" w:sz="0" w:space="0" w:color="auto"/>
              <w:right w:val="none" w:sz="0" w:space="0" w:color="auto"/>
            </w:tcBorders>
            <w:shd w:val="clear" w:color="auto" w:fill="auto"/>
          </w:tcPr>
          <w:p w:rsidR="00DA74ED" w:rsidRPr="00F55729" w:rsidRDefault="00344818" w:rsidP="00E20F57">
            <w:pPr>
              <w:pStyle w:val="ParaAttribute2"/>
              <w:numPr>
                <w:ilvl w:val="0"/>
                <w:numId w:val="38"/>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cartas a la vista de la población /número de centros de salud.</w:t>
            </w:r>
          </w:p>
          <w:p w:rsidR="00344818" w:rsidRPr="00F55729" w:rsidRDefault="00C25352" w:rsidP="00E20F57">
            <w:pPr>
              <w:pStyle w:val="ParaAttribute2"/>
              <w:numPr>
                <w:ilvl w:val="0"/>
                <w:numId w:val="38"/>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empleados del sistema salud capacitados/número de empleados del sistema de salud.</w:t>
            </w:r>
          </w:p>
        </w:tc>
      </w:tr>
      <w:tr w:rsidR="00DA74ED" w:rsidRPr="00F55729" w:rsidTr="00C25352">
        <w:tc>
          <w:tcPr>
            <w:cnfStyle w:val="001000000000"/>
            <w:tcW w:w="2992" w:type="dxa"/>
          </w:tcPr>
          <w:p w:rsidR="00DA74ED" w:rsidRPr="00F55729" w:rsidRDefault="00344818"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Desarrollar y poner en marcha un sistema de quejas y denuncias sobre malos tratos y de tomar acciones para garantizar el derecho a la salud de los usuarios del sistema público, tanto en componentes presenciales como virtuales. Se iniciará un plan piloto con 7 hospitales nacionales.</w:t>
            </w:r>
          </w:p>
        </w:tc>
        <w:tc>
          <w:tcPr>
            <w:tcW w:w="2993" w:type="dxa"/>
          </w:tcPr>
          <w:p w:rsidR="00DA74ED" w:rsidRPr="00F55729" w:rsidRDefault="00C25352" w:rsidP="00E20F57">
            <w:pPr>
              <w:pStyle w:val="ParaAttribute2"/>
              <w:numPr>
                <w:ilvl w:val="0"/>
                <w:numId w:val="41"/>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Salud</w:t>
            </w:r>
            <w:r w:rsidR="00ED3D08" w:rsidRPr="00F55729">
              <w:rPr>
                <w:rFonts w:asciiTheme="minorHAnsi" w:eastAsia="Calibri" w:hAnsiTheme="minorHAnsi"/>
                <w:color w:val="auto"/>
                <w:sz w:val="16"/>
                <w:szCs w:val="16"/>
              </w:rPr>
              <w:t>.</w:t>
            </w:r>
          </w:p>
        </w:tc>
        <w:tc>
          <w:tcPr>
            <w:tcW w:w="2993" w:type="dxa"/>
          </w:tcPr>
          <w:p w:rsidR="00DA74ED" w:rsidRPr="00F55729" w:rsidRDefault="00C25352" w:rsidP="00E20F57">
            <w:pPr>
              <w:pStyle w:val="ParaAttribute2"/>
              <w:numPr>
                <w:ilvl w:val="0"/>
                <w:numId w:val="40"/>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soluciones brindadas/número de quejas y denuncias presentadas por motivación de la carta.</w:t>
            </w:r>
          </w:p>
        </w:tc>
      </w:tr>
      <w:tr w:rsidR="00DA74ED" w:rsidRPr="00F55729" w:rsidTr="00C25352">
        <w:trPr>
          <w:cnfStyle w:val="000000100000"/>
        </w:trPr>
        <w:tc>
          <w:tcPr>
            <w:cnfStyle w:val="001000000000"/>
            <w:tcW w:w="2992" w:type="dxa"/>
            <w:tcBorders>
              <w:left w:val="none" w:sz="0" w:space="0" w:color="auto"/>
              <w:right w:val="none" w:sz="0" w:space="0" w:color="auto"/>
            </w:tcBorders>
            <w:shd w:val="clear" w:color="auto" w:fill="auto"/>
          </w:tcPr>
          <w:p w:rsidR="00DA74ED" w:rsidRPr="00F55729" w:rsidRDefault="00C25352"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Incorporar en el Portal InfoÚtil un catálogo de servicios que prestan las instituciones, los plazos, costos y requisitos que tienen cada uno de estos.</w:t>
            </w:r>
          </w:p>
        </w:tc>
        <w:tc>
          <w:tcPr>
            <w:tcW w:w="2993" w:type="dxa"/>
            <w:tcBorders>
              <w:left w:val="none" w:sz="0" w:space="0" w:color="auto"/>
              <w:right w:val="none" w:sz="0" w:space="0" w:color="auto"/>
            </w:tcBorders>
            <w:shd w:val="clear" w:color="auto" w:fill="auto"/>
          </w:tcPr>
          <w:p w:rsidR="00DA74ED" w:rsidRPr="00F55729" w:rsidRDefault="00C25352" w:rsidP="00E20F57">
            <w:pPr>
              <w:pStyle w:val="ParaAttribute2"/>
              <w:numPr>
                <w:ilvl w:val="0"/>
                <w:numId w:val="40"/>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 en coordinación con las entidades del Órgano Ejecutivo</w:t>
            </w:r>
            <w:r w:rsidR="00ED3D08" w:rsidRPr="00F55729">
              <w:rPr>
                <w:rFonts w:asciiTheme="minorHAnsi" w:eastAsia="Calibri" w:hAnsiTheme="minorHAnsi"/>
                <w:color w:val="auto"/>
                <w:sz w:val="16"/>
                <w:szCs w:val="16"/>
              </w:rPr>
              <w:t>.</w:t>
            </w:r>
          </w:p>
        </w:tc>
        <w:tc>
          <w:tcPr>
            <w:tcW w:w="2993" w:type="dxa"/>
            <w:tcBorders>
              <w:left w:val="none" w:sz="0" w:space="0" w:color="auto"/>
              <w:right w:val="none" w:sz="0" w:space="0" w:color="auto"/>
            </w:tcBorders>
            <w:shd w:val="clear" w:color="auto" w:fill="auto"/>
          </w:tcPr>
          <w:p w:rsidR="00DA74ED" w:rsidRPr="00F55729" w:rsidRDefault="00C25352" w:rsidP="00E20F57">
            <w:pPr>
              <w:pStyle w:val="ParaAttribute2"/>
              <w:numPr>
                <w:ilvl w:val="0"/>
                <w:numId w:val="40"/>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servicios publicados</w:t>
            </w:r>
            <w:r w:rsidR="00ED3D08" w:rsidRPr="00F55729">
              <w:rPr>
                <w:rFonts w:asciiTheme="minorHAnsi" w:eastAsia="Calibri" w:hAnsiTheme="minorHAnsi"/>
                <w:color w:val="auto"/>
                <w:sz w:val="16"/>
                <w:szCs w:val="16"/>
              </w:rPr>
              <w:t>.</w:t>
            </w:r>
          </w:p>
          <w:p w:rsidR="00C25352" w:rsidRPr="00F55729" w:rsidRDefault="00C25352" w:rsidP="00E20F57">
            <w:pPr>
              <w:pStyle w:val="ParaAttribute2"/>
              <w:numPr>
                <w:ilvl w:val="0"/>
                <w:numId w:val="40"/>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visitas a InfoÚtil/número de visitas generales al portal Gobierno Abierto.</w:t>
            </w:r>
          </w:p>
        </w:tc>
      </w:tr>
      <w:tr w:rsidR="00DA74ED" w:rsidRPr="00F55729" w:rsidTr="00C25352">
        <w:tc>
          <w:tcPr>
            <w:cnfStyle w:val="001000000000"/>
            <w:tcW w:w="2992" w:type="dxa"/>
          </w:tcPr>
          <w:p w:rsidR="00DA74ED" w:rsidRPr="00F55729" w:rsidRDefault="00C25352"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Diseñ</w:t>
            </w:r>
            <w:r w:rsidR="00771BB4" w:rsidRPr="00F55729">
              <w:rPr>
                <w:rFonts w:asciiTheme="minorHAnsi" w:eastAsia="Calibri" w:hAnsiTheme="minorHAnsi"/>
                <w:b w:val="0"/>
                <w:color w:val="auto"/>
                <w:sz w:val="16"/>
                <w:szCs w:val="16"/>
              </w:rPr>
              <w:t>ar e implementar</w:t>
            </w:r>
            <w:r w:rsidRPr="00F55729">
              <w:rPr>
                <w:rFonts w:asciiTheme="minorHAnsi" w:eastAsia="Calibri" w:hAnsiTheme="minorHAnsi"/>
                <w:b w:val="0"/>
                <w:color w:val="auto"/>
                <w:sz w:val="16"/>
                <w:szCs w:val="16"/>
              </w:rPr>
              <w:t xml:space="preserve"> proyectos y mecanismos de mejora constante de los servicios públicos basados en la Carta Iberoamericana de Calidad en la Gestión Pública</w:t>
            </w:r>
            <w:r w:rsidR="00C11404" w:rsidRPr="00F55729">
              <w:rPr>
                <w:rFonts w:asciiTheme="minorHAnsi" w:eastAsia="Calibri" w:hAnsiTheme="minorHAnsi"/>
                <w:b w:val="0"/>
                <w:color w:val="auto"/>
                <w:sz w:val="16"/>
                <w:szCs w:val="16"/>
              </w:rPr>
              <w:t>.</w:t>
            </w:r>
          </w:p>
        </w:tc>
        <w:tc>
          <w:tcPr>
            <w:tcW w:w="2993" w:type="dxa"/>
          </w:tcPr>
          <w:p w:rsidR="00DA74ED" w:rsidRPr="00F55729" w:rsidRDefault="00C25352" w:rsidP="00E20F57">
            <w:pPr>
              <w:pStyle w:val="ParaAttribute2"/>
              <w:numPr>
                <w:ilvl w:val="0"/>
                <w:numId w:val="47"/>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Gobernabilidad y Modernización del Estado en coordinación con los 13 Ministerios.</w:t>
            </w:r>
          </w:p>
        </w:tc>
        <w:tc>
          <w:tcPr>
            <w:tcW w:w="2993" w:type="dxa"/>
          </w:tcPr>
          <w:p w:rsidR="00DA74ED" w:rsidRPr="00F55729" w:rsidRDefault="00C25352"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instituciones aplicando planes de mejora/número de instituciones instruidas</w:t>
            </w:r>
            <w:r w:rsidR="00ED3D08" w:rsidRPr="00F55729">
              <w:rPr>
                <w:rFonts w:asciiTheme="minorHAnsi" w:eastAsia="Calibri" w:hAnsiTheme="minorHAnsi"/>
                <w:color w:val="auto"/>
                <w:sz w:val="16"/>
                <w:szCs w:val="16"/>
              </w:rPr>
              <w:t>.</w:t>
            </w:r>
          </w:p>
        </w:tc>
      </w:tr>
      <w:tr w:rsidR="00DA74ED" w:rsidRPr="00F55729" w:rsidTr="00C25352">
        <w:trPr>
          <w:cnfStyle w:val="000000100000"/>
        </w:trPr>
        <w:tc>
          <w:tcPr>
            <w:cnfStyle w:val="001000000000"/>
            <w:tcW w:w="2992" w:type="dxa"/>
            <w:tcBorders>
              <w:left w:val="none" w:sz="0" w:space="0" w:color="auto"/>
              <w:right w:val="none" w:sz="0" w:space="0" w:color="auto"/>
            </w:tcBorders>
            <w:shd w:val="clear" w:color="auto" w:fill="auto"/>
          </w:tcPr>
          <w:p w:rsidR="00DA74ED" w:rsidRPr="00F55729" w:rsidRDefault="00771BB4"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R</w:t>
            </w:r>
            <w:r w:rsidR="00F44C86">
              <w:rPr>
                <w:rFonts w:asciiTheme="minorHAnsi" w:eastAsia="Calibri" w:hAnsiTheme="minorHAnsi"/>
                <w:b w:val="0"/>
                <w:color w:val="auto"/>
                <w:sz w:val="16"/>
                <w:szCs w:val="16"/>
              </w:rPr>
              <w:t>e</w:t>
            </w:r>
            <w:r w:rsidRPr="00F55729">
              <w:rPr>
                <w:rFonts w:asciiTheme="minorHAnsi" w:eastAsia="Calibri" w:hAnsiTheme="minorHAnsi"/>
                <w:b w:val="0"/>
                <w:color w:val="auto"/>
                <w:sz w:val="16"/>
                <w:szCs w:val="16"/>
              </w:rPr>
              <w:t>a</w:t>
            </w:r>
            <w:r w:rsidR="00F44C86">
              <w:rPr>
                <w:rFonts w:asciiTheme="minorHAnsi" w:eastAsia="Calibri" w:hAnsiTheme="minorHAnsi"/>
                <w:b w:val="0"/>
                <w:color w:val="auto"/>
                <w:sz w:val="16"/>
                <w:szCs w:val="16"/>
              </w:rPr>
              <w:t>l</w:t>
            </w:r>
            <w:r w:rsidRPr="00F55729">
              <w:rPr>
                <w:rFonts w:asciiTheme="minorHAnsi" w:eastAsia="Calibri" w:hAnsiTheme="minorHAnsi"/>
                <w:b w:val="0"/>
                <w:color w:val="auto"/>
                <w:sz w:val="16"/>
                <w:szCs w:val="16"/>
              </w:rPr>
              <w:t>izar c</w:t>
            </w:r>
            <w:r w:rsidR="00C25352" w:rsidRPr="00F55729">
              <w:rPr>
                <w:rFonts w:asciiTheme="minorHAnsi" w:eastAsia="Calibri" w:hAnsiTheme="minorHAnsi"/>
                <w:b w:val="0"/>
                <w:color w:val="auto"/>
                <w:sz w:val="16"/>
                <w:szCs w:val="16"/>
              </w:rPr>
              <w:t>ampañas educativas en el ámbito nacional, para servidores públicos y población, sobre el derecho de acceso a información</w:t>
            </w:r>
            <w:r w:rsidR="00C11404" w:rsidRPr="00F55729">
              <w:rPr>
                <w:rFonts w:asciiTheme="minorHAnsi" w:eastAsia="Calibri" w:hAnsiTheme="minorHAnsi"/>
                <w:b w:val="0"/>
                <w:color w:val="auto"/>
                <w:sz w:val="16"/>
                <w:szCs w:val="16"/>
              </w:rPr>
              <w:t>.</w:t>
            </w:r>
          </w:p>
        </w:tc>
        <w:tc>
          <w:tcPr>
            <w:tcW w:w="2993" w:type="dxa"/>
            <w:tcBorders>
              <w:left w:val="none" w:sz="0" w:space="0" w:color="auto"/>
              <w:right w:val="none" w:sz="0" w:space="0" w:color="auto"/>
            </w:tcBorders>
            <w:shd w:val="clear" w:color="auto" w:fill="auto"/>
          </w:tcPr>
          <w:p w:rsidR="00DA74ED" w:rsidRPr="00F55729" w:rsidRDefault="00C25352" w:rsidP="00E20F57">
            <w:pPr>
              <w:pStyle w:val="ParaAttribute2"/>
              <w:numPr>
                <w:ilvl w:val="0"/>
                <w:numId w:val="42"/>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r w:rsidR="00ED3D08" w:rsidRPr="00F55729">
              <w:rPr>
                <w:rFonts w:asciiTheme="minorHAnsi" w:eastAsia="Calibri" w:hAnsiTheme="minorHAnsi"/>
                <w:color w:val="auto"/>
                <w:sz w:val="16"/>
                <w:szCs w:val="16"/>
              </w:rPr>
              <w:t>.</w:t>
            </w:r>
          </w:p>
        </w:tc>
        <w:tc>
          <w:tcPr>
            <w:tcW w:w="2993" w:type="dxa"/>
            <w:tcBorders>
              <w:left w:val="none" w:sz="0" w:space="0" w:color="auto"/>
              <w:right w:val="none" w:sz="0" w:space="0" w:color="auto"/>
            </w:tcBorders>
            <w:shd w:val="clear" w:color="auto" w:fill="auto"/>
          </w:tcPr>
          <w:p w:rsidR="00DA74ED" w:rsidRPr="00F55729" w:rsidRDefault="00C25352"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campañas realizadas y modalidades desarrolladas</w:t>
            </w:r>
            <w:r w:rsidR="00C11404" w:rsidRPr="00F55729">
              <w:rPr>
                <w:rFonts w:asciiTheme="minorHAnsi" w:eastAsia="Calibri" w:hAnsiTheme="minorHAnsi"/>
                <w:color w:val="auto"/>
                <w:sz w:val="16"/>
                <w:szCs w:val="16"/>
              </w:rPr>
              <w:t>.</w:t>
            </w:r>
          </w:p>
          <w:p w:rsidR="00C11404" w:rsidRPr="00F55729" w:rsidRDefault="00C11404"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Resultados de evaluación realizada por la SSTA sobre servicio de acceso a información brindado.</w:t>
            </w:r>
          </w:p>
        </w:tc>
      </w:tr>
      <w:tr w:rsidR="00C25352" w:rsidRPr="00F55729" w:rsidTr="005B45F3">
        <w:tc>
          <w:tcPr>
            <w:cnfStyle w:val="001000000000"/>
            <w:tcW w:w="2992" w:type="dxa"/>
          </w:tcPr>
          <w:p w:rsidR="00C25352" w:rsidRPr="00F55729" w:rsidRDefault="00771BB4" w:rsidP="00E20F5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Desarrollar p</w:t>
            </w:r>
            <w:r w:rsidR="00C11404" w:rsidRPr="00F55729">
              <w:rPr>
                <w:rFonts w:asciiTheme="minorHAnsi" w:eastAsia="Calibri" w:hAnsiTheme="minorHAnsi"/>
                <w:b w:val="0"/>
                <w:color w:val="auto"/>
                <w:sz w:val="16"/>
                <w:szCs w:val="16"/>
              </w:rPr>
              <w:t>rogramas de capacitación regional sobre derecho a información pública, dirigidos a población organizada en los municipios.</w:t>
            </w:r>
          </w:p>
        </w:tc>
        <w:tc>
          <w:tcPr>
            <w:tcW w:w="2993" w:type="dxa"/>
          </w:tcPr>
          <w:p w:rsidR="00C25352" w:rsidRPr="00F55729" w:rsidRDefault="00C11404" w:rsidP="00E20F57">
            <w:pPr>
              <w:pStyle w:val="ParaAttribute2"/>
              <w:numPr>
                <w:ilvl w:val="0"/>
                <w:numId w:val="46"/>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r w:rsidR="00ED3D08" w:rsidRPr="00F55729">
              <w:rPr>
                <w:rFonts w:asciiTheme="minorHAnsi" w:eastAsia="Calibri" w:hAnsiTheme="minorHAnsi"/>
                <w:color w:val="auto"/>
                <w:sz w:val="16"/>
                <w:szCs w:val="16"/>
              </w:rPr>
              <w:t>.</w:t>
            </w:r>
          </w:p>
        </w:tc>
        <w:tc>
          <w:tcPr>
            <w:tcW w:w="2993" w:type="dxa"/>
          </w:tcPr>
          <w:p w:rsidR="00C25352" w:rsidRPr="00F55729" w:rsidRDefault="00C11404"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personas capacitadas.</w:t>
            </w:r>
          </w:p>
          <w:p w:rsidR="00C11404" w:rsidRPr="00F55729" w:rsidRDefault="00C11404"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solicitudes de información tramitadas en comparación al período anterior a la capacitación.</w:t>
            </w:r>
          </w:p>
        </w:tc>
      </w:tr>
      <w:tr w:rsidR="00354478"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354478" w:rsidRPr="00F55729" w:rsidRDefault="00771BB4" w:rsidP="00BA617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 xml:space="preserve"> Desarrollar</w:t>
            </w:r>
            <w:r w:rsidR="00354478" w:rsidRPr="00F55729">
              <w:rPr>
                <w:rFonts w:asciiTheme="minorHAnsi" w:eastAsia="Calibri" w:hAnsiTheme="minorHAnsi"/>
                <w:b w:val="0"/>
                <w:color w:val="auto"/>
                <w:sz w:val="16"/>
                <w:szCs w:val="16"/>
              </w:rPr>
              <w:t xml:space="preserve"> capacitaciones </w:t>
            </w:r>
            <w:r w:rsidR="00BA6177">
              <w:rPr>
                <w:rFonts w:asciiTheme="minorHAnsi" w:eastAsia="Calibri" w:hAnsiTheme="minorHAnsi"/>
                <w:b w:val="0"/>
                <w:color w:val="auto"/>
                <w:sz w:val="16"/>
                <w:szCs w:val="16"/>
              </w:rPr>
              <w:t>a</w:t>
            </w:r>
            <w:r w:rsidRPr="00F55729">
              <w:rPr>
                <w:rFonts w:asciiTheme="minorHAnsi" w:eastAsia="Calibri" w:hAnsiTheme="minorHAnsi"/>
                <w:b w:val="0"/>
                <w:color w:val="auto"/>
                <w:sz w:val="16"/>
                <w:szCs w:val="16"/>
              </w:rPr>
              <w:t xml:space="preserve"> </w:t>
            </w:r>
            <w:r w:rsidR="00354478" w:rsidRPr="00F55729">
              <w:rPr>
                <w:rFonts w:asciiTheme="minorHAnsi" w:eastAsia="Calibri" w:hAnsiTheme="minorHAnsi"/>
                <w:b w:val="0"/>
                <w:color w:val="auto"/>
                <w:sz w:val="16"/>
                <w:szCs w:val="16"/>
              </w:rPr>
              <w:t>funcionarios públicos de alto nivel, que garanticen la mejora y evaluación interna de sus procesos de acceso a información.</w:t>
            </w:r>
            <w:r w:rsidR="004708DA" w:rsidRPr="00F55729">
              <w:rPr>
                <w:rFonts w:asciiTheme="minorHAnsi" w:eastAsia="Calibri" w:hAnsiTheme="minorHAnsi"/>
                <w:b w:val="0"/>
                <w:color w:val="auto"/>
                <w:sz w:val="16"/>
                <w:szCs w:val="16"/>
              </w:rPr>
              <w:t xml:space="preserve"> En las modalidades presencial y en línea.</w:t>
            </w:r>
          </w:p>
        </w:tc>
        <w:tc>
          <w:tcPr>
            <w:tcW w:w="2993" w:type="dxa"/>
            <w:tcBorders>
              <w:left w:val="none" w:sz="0" w:space="0" w:color="auto"/>
              <w:right w:val="none" w:sz="0" w:space="0" w:color="auto"/>
            </w:tcBorders>
            <w:shd w:val="clear" w:color="auto" w:fill="auto"/>
          </w:tcPr>
          <w:p w:rsidR="00354478" w:rsidRPr="00F55729" w:rsidRDefault="00354478" w:rsidP="00E20F57">
            <w:pPr>
              <w:pStyle w:val="ParaAttribute2"/>
              <w:numPr>
                <w:ilvl w:val="0"/>
                <w:numId w:val="46"/>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r w:rsidR="00ED3D08" w:rsidRPr="00F55729">
              <w:rPr>
                <w:rFonts w:asciiTheme="minorHAnsi" w:eastAsia="Calibri" w:hAnsiTheme="minorHAnsi"/>
                <w:color w:val="auto"/>
                <w:sz w:val="16"/>
                <w:szCs w:val="16"/>
              </w:rPr>
              <w:t>.</w:t>
            </w:r>
          </w:p>
        </w:tc>
        <w:tc>
          <w:tcPr>
            <w:tcW w:w="2993" w:type="dxa"/>
            <w:tcBorders>
              <w:left w:val="none" w:sz="0" w:space="0" w:color="auto"/>
              <w:right w:val="none" w:sz="0" w:space="0" w:color="auto"/>
            </w:tcBorders>
            <w:shd w:val="clear" w:color="auto" w:fill="auto"/>
          </w:tcPr>
          <w:p w:rsidR="00354478" w:rsidRPr="00F55729" w:rsidRDefault="00354478"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funcionarios de alto nivel capacitados/número de funcionarios de alto nivel.</w:t>
            </w:r>
          </w:p>
          <w:p w:rsidR="00354478" w:rsidRPr="00F55729" w:rsidRDefault="00354478"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y descripción de acciones implementadas/número de acciones orientadas.</w:t>
            </w:r>
          </w:p>
        </w:tc>
      </w:tr>
      <w:tr w:rsidR="00BA6177" w:rsidRPr="00F55729" w:rsidTr="005B45F3">
        <w:tc>
          <w:tcPr>
            <w:cnfStyle w:val="001000000000"/>
            <w:tcW w:w="2992" w:type="dxa"/>
            <w:shd w:val="clear" w:color="auto" w:fill="auto"/>
          </w:tcPr>
          <w:p w:rsidR="00BA6177" w:rsidRPr="00BA6177" w:rsidRDefault="00BA6177" w:rsidP="00BA6177">
            <w:pPr>
              <w:pStyle w:val="ParaAttribute2"/>
              <w:numPr>
                <w:ilvl w:val="0"/>
                <w:numId w:val="39"/>
              </w:numPr>
              <w:wordWrap/>
              <w:spacing w:line="276" w:lineRule="auto"/>
              <w:ind w:left="142" w:hanging="142"/>
              <w:jc w:val="both"/>
              <w:rPr>
                <w:rFonts w:asciiTheme="minorHAnsi" w:eastAsia="Calibri" w:hAnsiTheme="minorHAnsi"/>
                <w:b w:val="0"/>
                <w:color w:val="auto"/>
                <w:sz w:val="16"/>
                <w:szCs w:val="16"/>
              </w:rPr>
            </w:pPr>
            <w:r w:rsidRPr="00BA6177">
              <w:rPr>
                <w:rFonts w:asciiTheme="minorHAnsi" w:eastAsia="Calibri" w:hAnsiTheme="minorHAnsi"/>
                <w:b w:val="0"/>
                <w:color w:val="auto"/>
                <w:sz w:val="16"/>
                <w:szCs w:val="16"/>
              </w:rPr>
              <w:t>Mantener control y evaluación permanente sobre las herramientas de participación ciudadana, solicitudes de información y quejas y denuncias en el portal Gobierno Abierto</w:t>
            </w:r>
          </w:p>
        </w:tc>
        <w:tc>
          <w:tcPr>
            <w:tcW w:w="2993" w:type="dxa"/>
            <w:shd w:val="clear" w:color="auto" w:fill="auto"/>
          </w:tcPr>
          <w:p w:rsidR="00BA6177" w:rsidRPr="00BA6177" w:rsidRDefault="00BA6177" w:rsidP="00E20F57">
            <w:pPr>
              <w:pStyle w:val="ParaAttribute2"/>
              <w:numPr>
                <w:ilvl w:val="0"/>
                <w:numId w:val="46"/>
              </w:numPr>
              <w:wordWrap/>
              <w:spacing w:line="276" w:lineRule="auto"/>
              <w:ind w:left="269" w:hanging="269"/>
              <w:jc w:val="both"/>
              <w:cnfStyle w:val="000000000000"/>
              <w:rPr>
                <w:rFonts w:asciiTheme="minorHAnsi" w:eastAsia="Calibri" w:hAnsiTheme="minorHAnsi"/>
                <w:color w:val="auto"/>
                <w:sz w:val="16"/>
                <w:szCs w:val="16"/>
              </w:rPr>
            </w:pPr>
            <w:r w:rsidRPr="00BA6177">
              <w:rPr>
                <w:rFonts w:asciiTheme="minorHAnsi" w:eastAsia="Calibri" w:hAnsiTheme="minorHAnsi"/>
                <w:color w:val="auto"/>
                <w:sz w:val="16"/>
                <w:szCs w:val="16"/>
              </w:rPr>
              <w:t>Subsecretaría de Transparencia y Anticorrupción.</w:t>
            </w:r>
          </w:p>
        </w:tc>
        <w:tc>
          <w:tcPr>
            <w:tcW w:w="2993" w:type="dxa"/>
            <w:shd w:val="clear" w:color="auto" w:fill="auto"/>
          </w:tcPr>
          <w:p w:rsidR="00BA6177" w:rsidRPr="00BA6177" w:rsidRDefault="00BA6177"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BA6177">
              <w:rPr>
                <w:rFonts w:asciiTheme="minorHAnsi" w:eastAsia="Calibri" w:hAnsiTheme="minorHAnsi"/>
                <w:color w:val="auto"/>
                <w:sz w:val="16"/>
                <w:szCs w:val="16"/>
              </w:rPr>
              <w:t>Ítems específicos de evaluación sobre su efectividad en los informes de avances en el acceso a la información que produce semestralmente la SSTA.</w:t>
            </w:r>
          </w:p>
        </w:tc>
      </w:tr>
      <w:tr w:rsidR="00C11404" w:rsidRPr="00F55729" w:rsidTr="005B45F3">
        <w:trPr>
          <w:cnfStyle w:val="000000100000"/>
        </w:trPr>
        <w:tc>
          <w:tcPr>
            <w:cnfStyle w:val="001000000000"/>
            <w:tcW w:w="8978" w:type="dxa"/>
            <w:gridSpan w:val="3"/>
            <w:tcBorders>
              <w:left w:val="none" w:sz="0" w:space="0" w:color="auto"/>
              <w:right w:val="none" w:sz="0" w:space="0" w:color="auto"/>
            </w:tcBorders>
            <w:shd w:val="clear" w:color="auto" w:fill="DBE5F1" w:themeFill="accent1" w:themeFillTint="33"/>
          </w:tcPr>
          <w:p w:rsidR="00C11404" w:rsidRPr="00F55729" w:rsidRDefault="00C11404" w:rsidP="00ED3D08">
            <w:pPr>
              <w:pStyle w:val="ParaAttribute2"/>
              <w:wordWrap/>
              <w:spacing w:line="276" w:lineRule="auto"/>
              <w:jc w:val="both"/>
              <w:rPr>
                <w:rFonts w:asciiTheme="minorHAnsi" w:eastAsia="Calibri" w:hAnsiTheme="minorHAnsi"/>
                <w:color w:val="auto"/>
                <w:sz w:val="16"/>
                <w:szCs w:val="16"/>
              </w:rPr>
            </w:pPr>
            <w:r w:rsidRPr="00F55729">
              <w:rPr>
                <w:rFonts w:asciiTheme="minorHAnsi" w:eastAsia="Calibri" w:hAnsiTheme="minorHAnsi"/>
                <w:color w:val="auto"/>
                <w:sz w:val="16"/>
                <w:szCs w:val="16"/>
              </w:rPr>
              <w:t>Eje 2: Mejorar la integridad pública</w:t>
            </w:r>
          </w:p>
          <w:p w:rsidR="00C11404" w:rsidRPr="00F55729" w:rsidRDefault="00C11404" w:rsidP="00ED3D08">
            <w:pPr>
              <w:spacing w:line="276" w:lineRule="auto"/>
              <w:rPr>
                <w:rFonts w:eastAsia="Calibri" w:cs="Times New Roman"/>
                <w:b w:val="0"/>
                <w:i w:val="0"/>
                <w:iCs w:val="0"/>
                <w:color w:val="auto"/>
                <w:sz w:val="16"/>
                <w:szCs w:val="16"/>
                <w:lang w:eastAsia="es-SV" w:bidi="ar-SA"/>
              </w:rPr>
            </w:pPr>
            <w:r w:rsidRPr="00F55729">
              <w:rPr>
                <w:rFonts w:eastAsia="Calibri" w:cs="Times New Roman"/>
                <w:b w:val="0"/>
                <w:i w:val="0"/>
                <w:iCs w:val="0"/>
                <w:color w:val="auto"/>
                <w:sz w:val="16"/>
                <w:szCs w:val="16"/>
                <w:lang w:eastAsia="es-SV" w:bidi="ar-SA"/>
              </w:rPr>
              <w:t>El interés fundamental es que las instituciones</w:t>
            </w:r>
            <w:r w:rsidR="00354478" w:rsidRPr="00F55729">
              <w:rPr>
                <w:rFonts w:eastAsia="Calibri" w:cs="Times New Roman"/>
                <w:b w:val="0"/>
                <w:i w:val="0"/>
                <w:iCs w:val="0"/>
                <w:color w:val="auto"/>
                <w:sz w:val="16"/>
                <w:szCs w:val="16"/>
                <w:lang w:eastAsia="es-SV" w:bidi="ar-SA"/>
              </w:rPr>
              <w:t xml:space="preserve"> puedan visibilizar y rendir cuentas sobre su actuación y el uso de los recursos, así como </w:t>
            </w:r>
            <w:r w:rsidR="00354478" w:rsidRPr="00F55729">
              <w:rPr>
                <w:rFonts w:eastAsia="Calibri"/>
                <w:b w:val="0"/>
                <w:color w:val="auto"/>
                <w:sz w:val="16"/>
                <w:szCs w:val="16"/>
              </w:rPr>
              <w:t>satisfacer</w:t>
            </w:r>
            <w:r w:rsidRPr="00F55729">
              <w:rPr>
                <w:rFonts w:eastAsia="Calibri"/>
                <w:b w:val="0"/>
                <w:color w:val="auto"/>
                <w:sz w:val="16"/>
                <w:szCs w:val="16"/>
              </w:rPr>
              <w:t xml:space="preserve"> la demanda de la población en cuanto </w:t>
            </w:r>
            <w:r w:rsidR="00354478" w:rsidRPr="00F55729">
              <w:rPr>
                <w:rFonts w:eastAsia="Calibri"/>
                <w:b w:val="0"/>
                <w:color w:val="auto"/>
                <w:sz w:val="16"/>
                <w:szCs w:val="16"/>
              </w:rPr>
              <w:t>a la facilitación</w:t>
            </w:r>
            <w:r w:rsidRPr="00F55729">
              <w:rPr>
                <w:rFonts w:eastAsia="Calibri"/>
                <w:b w:val="0"/>
                <w:color w:val="auto"/>
                <w:sz w:val="16"/>
                <w:szCs w:val="16"/>
              </w:rPr>
              <w:t xml:space="preserve"> de mecanismos </w:t>
            </w:r>
            <w:r w:rsidR="00354478" w:rsidRPr="00F55729">
              <w:rPr>
                <w:rFonts w:eastAsia="Calibri"/>
                <w:b w:val="0"/>
                <w:color w:val="auto"/>
                <w:sz w:val="16"/>
                <w:szCs w:val="16"/>
              </w:rPr>
              <w:t xml:space="preserve">de denuncia, que promuevan el cumplimiento </w:t>
            </w:r>
            <w:r w:rsidRPr="00F55729">
              <w:rPr>
                <w:rFonts w:eastAsia="Calibri"/>
                <w:b w:val="0"/>
                <w:color w:val="auto"/>
                <w:sz w:val="16"/>
                <w:szCs w:val="16"/>
              </w:rPr>
              <w:t>de las leyes</w:t>
            </w:r>
            <w:r w:rsidR="00354478" w:rsidRPr="00F55729">
              <w:rPr>
                <w:rFonts w:eastAsia="Calibri"/>
                <w:b w:val="0"/>
                <w:color w:val="auto"/>
                <w:sz w:val="16"/>
                <w:szCs w:val="16"/>
              </w:rPr>
              <w:t xml:space="preserve"> relativas al buen comportamiento del servidor público.</w:t>
            </w:r>
          </w:p>
        </w:tc>
      </w:tr>
      <w:tr w:rsidR="00354478" w:rsidRPr="00F55729" w:rsidTr="005B45F3">
        <w:tc>
          <w:tcPr>
            <w:cnfStyle w:val="001000000000"/>
            <w:tcW w:w="2992" w:type="dxa"/>
            <w:shd w:val="clear" w:color="auto" w:fill="auto"/>
          </w:tcPr>
          <w:p w:rsidR="00354478" w:rsidRPr="00F55729" w:rsidRDefault="00354478"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Elaborar una guía ciudadana de fácil comprensión en la que se expliquen los pasos a seguir para la presentación de quejas y avisos a las instituciones contraloras. Esta incorporará todas las posibilidades de denuncia que existen ante todos los organismos de control.</w:t>
            </w:r>
          </w:p>
        </w:tc>
        <w:tc>
          <w:tcPr>
            <w:tcW w:w="2993" w:type="dxa"/>
            <w:shd w:val="clear" w:color="auto" w:fill="auto"/>
          </w:tcPr>
          <w:p w:rsidR="00354478" w:rsidRPr="00F55729" w:rsidRDefault="0035447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Subsecretaria de Transparencia y Anticorrupción</w:t>
            </w:r>
            <w:r w:rsidR="00ED3D08" w:rsidRPr="00F55729">
              <w:rPr>
                <w:rFonts w:asciiTheme="minorHAnsi" w:eastAsia="Calibri" w:hAnsiTheme="minorHAnsi"/>
                <w:color w:val="auto"/>
                <w:sz w:val="16"/>
                <w:szCs w:val="16"/>
              </w:rPr>
              <w:t>.</w:t>
            </w:r>
          </w:p>
          <w:p w:rsidR="00354478" w:rsidRPr="00F55729" w:rsidRDefault="0035447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Corte de Cuentas de la República</w:t>
            </w:r>
            <w:r w:rsidR="00ED3D08" w:rsidRPr="00F55729">
              <w:rPr>
                <w:rFonts w:asciiTheme="minorHAnsi" w:eastAsia="Calibri" w:hAnsiTheme="minorHAnsi"/>
                <w:color w:val="auto"/>
                <w:sz w:val="16"/>
                <w:szCs w:val="16"/>
              </w:rPr>
              <w:t>.</w:t>
            </w:r>
          </w:p>
          <w:p w:rsidR="00354478" w:rsidRPr="00F55729" w:rsidRDefault="0035447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Fiscalía General de la República</w:t>
            </w:r>
            <w:r w:rsidR="00ED3D08" w:rsidRPr="00F55729">
              <w:rPr>
                <w:rFonts w:asciiTheme="minorHAnsi" w:eastAsia="Calibri" w:hAnsiTheme="minorHAnsi"/>
                <w:color w:val="auto"/>
                <w:sz w:val="16"/>
                <w:szCs w:val="16"/>
              </w:rPr>
              <w:t>.</w:t>
            </w:r>
          </w:p>
          <w:p w:rsidR="00354478" w:rsidRPr="00F55729" w:rsidRDefault="0035447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Tribunal de Ética Gubernamental</w:t>
            </w:r>
            <w:r w:rsidR="00ED3D08" w:rsidRPr="00F55729">
              <w:rPr>
                <w:rFonts w:asciiTheme="minorHAnsi" w:eastAsia="Calibri" w:hAnsiTheme="minorHAnsi"/>
                <w:color w:val="auto"/>
                <w:sz w:val="16"/>
                <w:szCs w:val="16"/>
              </w:rPr>
              <w:t>.</w:t>
            </w:r>
          </w:p>
        </w:tc>
        <w:tc>
          <w:tcPr>
            <w:tcW w:w="2993" w:type="dxa"/>
            <w:shd w:val="clear" w:color="auto" w:fill="auto"/>
          </w:tcPr>
          <w:p w:rsidR="0035447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Guía ciudadana elaborada en versión popular.</w:t>
            </w:r>
          </w:p>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ejemplares distribuidos a nivel nacional.</w:t>
            </w:r>
          </w:p>
        </w:tc>
      </w:tr>
      <w:tr w:rsidR="00ED3D08"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ED3D08" w:rsidRPr="00F55729" w:rsidRDefault="00ED3D08" w:rsidP="005B45F3">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Mejorar la calidad de la rendición de cuentas, a través de la focalización de temas que sean de mayor interés poblacional</w:t>
            </w:r>
            <w:r w:rsidR="005B45F3">
              <w:rPr>
                <w:rFonts w:asciiTheme="minorHAnsi" w:eastAsia="Calibri" w:hAnsiTheme="minorHAnsi"/>
                <w:b w:val="0"/>
                <w:color w:val="auto"/>
                <w:sz w:val="16"/>
                <w:szCs w:val="16"/>
              </w:rPr>
              <w:t xml:space="preserve"> y de investigadores de políticas públicas,</w:t>
            </w:r>
            <w:r w:rsidRPr="00F55729">
              <w:rPr>
                <w:rFonts w:asciiTheme="minorHAnsi" w:eastAsia="Calibri" w:hAnsiTheme="minorHAnsi"/>
                <w:b w:val="0"/>
                <w:color w:val="auto"/>
                <w:sz w:val="16"/>
                <w:szCs w:val="16"/>
              </w:rPr>
              <w:t xml:space="preserve"> en las instituciones</w:t>
            </w:r>
            <w:r w:rsidR="004708DA" w:rsidRPr="00F55729">
              <w:rPr>
                <w:rFonts w:asciiTheme="minorHAnsi" w:eastAsia="Calibri" w:hAnsiTheme="minorHAnsi"/>
                <w:b w:val="0"/>
                <w:color w:val="auto"/>
                <w:sz w:val="16"/>
                <w:szCs w:val="16"/>
              </w:rPr>
              <w:t xml:space="preserve"> y el acercamiento territorial de las mismas.</w:t>
            </w:r>
          </w:p>
        </w:tc>
        <w:tc>
          <w:tcPr>
            <w:tcW w:w="2993" w:type="dxa"/>
            <w:tcBorders>
              <w:left w:val="none" w:sz="0" w:space="0" w:color="auto"/>
              <w:right w:val="none" w:sz="0" w:space="0" w:color="auto"/>
            </w:tcBorders>
            <w:shd w:val="clear" w:color="auto" w:fill="auto"/>
          </w:tcPr>
          <w:p w:rsidR="00ED3D08" w:rsidRPr="00F55729" w:rsidRDefault="00ED3D08" w:rsidP="00E20F57">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p>
        </w:tc>
        <w:tc>
          <w:tcPr>
            <w:tcW w:w="2993" w:type="dxa"/>
            <w:tcBorders>
              <w:left w:val="none" w:sz="0" w:space="0" w:color="auto"/>
              <w:right w:val="none" w:sz="0" w:space="0" w:color="auto"/>
            </w:tcBorders>
            <w:shd w:val="clear" w:color="auto" w:fill="auto"/>
          </w:tcPr>
          <w:p w:rsidR="00ED3D08" w:rsidRPr="00F55729" w:rsidRDefault="00ED3D08"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instituciones que focalizan temas/número de instituciones que realizan rendición de cuentas.</w:t>
            </w:r>
          </w:p>
          <w:p w:rsidR="004708DA" w:rsidRPr="00F55729" w:rsidRDefault="004708DA"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rendición de cuenta territoriales/número de rendición de cuentas.</w:t>
            </w:r>
          </w:p>
          <w:p w:rsidR="00ED3D08" w:rsidRPr="00F55729" w:rsidRDefault="00ED3D08"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Un documento que proponga las mejoras, a partir de la evaluación del período 2013.</w:t>
            </w:r>
          </w:p>
        </w:tc>
      </w:tr>
      <w:tr w:rsidR="00ED3D08" w:rsidRPr="00F55729" w:rsidTr="005B45F3">
        <w:tc>
          <w:tcPr>
            <w:cnfStyle w:val="001000000000"/>
            <w:tcW w:w="2992" w:type="dxa"/>
            <w:tcBorders>
              <w:bottom w:val="single" w:sz="8" w:space="0" w:color="4F81BD" w:themeColor="accent1"/>
            </w:tcBorders>
            <w:shd w:val="clear" w:color="auto" w:fill="auto"/>
          </w:tcPr>
          <w:p w:rsidR="00ED3D08" w:rsidRPr="00F55729" w:rsidRDefault="00ED3D08"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Elaborar y diseminar una Guía Ciudadana para la exigencia de la rendición de cuentas. Con los elementos mínimos a considerar para que las audiencias realizadas tengan dicha calidad.</w:t>
            </w:r>
          </w:p>
        </w:tc>
        <w:tc>
          <w:tcPr>
            <w:tcW w:w="2993" w:type="dxa"/>
            <w:tcBorders>
              <w:bottom w:val="single" w:sz="8" w:space="0" w:color="4F81BD" w:themeColor="accent1"/>
            </w:tcBorders>
            <w:shd w:val="clear" w:color="auto" w:fill="auto"/>
          </w:tcPr>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 en coordinación con organizaciones de la sociedad civil.</w:t>
            </w:r>
          </w:p>
        </w:tc>
        <w:tc>
          <w:tcPr>
            <w:tcW w:w="2993" w:type="dxa"/>
            <w:tcBorders>
              <w:bottom w:val="single" w:sz="8" w:space="0" w:color="4F81BD" w:themeColor="accent1"/>
            </w:tcBorders>
            <w:shd w:val="clear" w:color="auto" w:fill="auto"/>
          </w:tcPr>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Guía elaborada en versión popular.</w:t>
            </w:r>
          </w:p>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ejemplares distribuidos a nivel nacional.</w:t>
            </w:r>
          </w:p>
        </w:tc>
      </w:tr>
      <w:tr w:rsidR="005B45F3" w:rsidRPr="005B45F3" w:rsidTr="005B45F3">
        <w:trPr>
          <w:cnfStyle w:val="000000100000"/>
        </w:trPr>
        <w:tc>
          <w:tcPr>
            <w:cnfStyle w:val="001000000000"/>
            <w:tcW w:w="2992" w:type="dxa"/>
            <w:tcBorders>
              <w:right w:val="single" w:sz="8" w:space="0" w:color="4F81BD" w:themeColor="accent1"/>
            </w:tcBorders>
            <w:shd w:val="clear" w:color="auto" w:fill="auto"/>
          </w:tcPr>
          <w:p w:rsidR="005B45F3" w:rsidRPr="005B45F3" w:rsidRDefault="005B45F3"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5B45F3">
              <w:rPr>
                <w:rFonts w:asciiTheme="minorHAnsi" w:eastAsia="Calibri" w:hAnsiTheme="minorHAnsi"/>
                <w:b w:val="0"/>
                <w:color w:val="auto"/>
                <w:sz w:val="16"/>
                <w:szCs w:val="16"/>
              </w:rPr>
              <w:t>Diseñar mecanismos de acceso telefónico móvil, a través de mensajes de textos que desde el Portal de Gobierno  Abierto divulgue información presentada en las rendiciones de cuentas.</w:t>
            </w:r>
          </w:p>
        </w:tc>
        <w:tc>
          <w:tcPr>
            <w:tcW w:w="2993" w:type="dxa"/>
            <w:tcBorders>
              <w:left w:val="single" w:sz="8" w:space="0" w:color="4F81BD" w:themeColor="accent1"/>
              <w:right w:val="single" w:sz="8" w:space="0" w:color="4F81BD" w:themeColor="accent1"/>
            </w:tcBorders>
            <w:shd w:val="clear" w:color="auto" w:fill="auto"/>
          </w:tcPr>
          <w:p w:rsidR="005B45F3" w:rsidRPr="005B45F3" w:rsidRDefault="005B45F3" w:rsidP="00E20F57">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5B45F3">
              <w:rPr>
                <w:rFonts w:asciiTheme="minorHAnsi" w:eastAsia="Calibri" w:hAnsiTheme="minorHAnsi"/>
                <w:color w:val="auto"/>
                <w:sz w:val="16"/>
                <w:szCs w:val="16"/>
              </w:rPr>
              <w:t>Subsecretaría de Transparencia y Anticorrupción.</w:t>
            </w:r>
          </w:p>
        </w:tc>
        <w:tc>
          <w:tcPr>
            <w:tcW w:w="2993" w:type="dxa"/>
            <w:tcBorders>
              <w:left w:val="single" w:sz="8" w:space="0" w:color="4F81BD" w:themeColor="accent1"/>
            </w:tcBorders>
            <w:shd w:val="clear" w:color="auto" w:fill="auto"/>
          </w:tcPr>
          <w:p w:rsidR="005B45F3" w:rsidRPr="005B45F3" w:rsidRDefault="005B45F3"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5B45F3">
              <w:rPr>
                <w:rFonts w:asciiTheme="minorHAnsi" w:eastAsia="Calibri" w:hAnsiTheme="minorHAnsi"/>
                <w:color w:val="auto"/>
                <w:sz w:val="16"/>
                <w:szCs w:val="16"/>
              </w:rPr>
              <w:t>Aplicación diseñada.</w:t>
            </w:r>
          </w:p>
        </w:tc>
      </w:tr>
      <w:tr w:rsidR="00ED3D08" w:rsidRPr="00F55729" w:rsidTr="005B45F3">
        <w:tc>
          <w:tcPr>
            <w:cnfStyle w:val="001000000000"/>
            <w:tcW w:w="2992" w:type="dxa"/>
            <w:shd w:val="clear" w:color="auto" w:fill="auto"/>
          </w:tcPr>
          <w:p w:rsidR="00ED3D08" w:rsidRPr="00F55729" w:rsidRDefault="00771BB4"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Realizar c</w:t>
            </w:r>
            <w:r w:rsidR="00ED3D08" w:rsidRPr="00F55729">
              <w:rPr>
                <w:rFonts w:asciiTheme="minorHAnsi" w:eastAsia="Calibri" w:hAnsiTheme="minorHAnsi"/>
                <w:b w:val="0"/>
                <w:color w:val="auto"/>
                <w:sz w:val="16"/>
                <w:szCs w:val="16"/>
              </w:rPr>
              <w:t>ampañas divulgativas de transparencia e integridad pública.</w:t>
            </w:r>
          </w:p>
        </w:tc>
        <w:tc>
          <w:tcPr>
            <w:tcW w:w="2993" w:type="dxa"/>
            <w:shd w:val="clear" w:color="auto" w:fill="auto"/>
          </w:tcPr>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Subsecretaria de Transparencia y Anticorrupción.</w:t>
            </w:r>
          </w:p>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Corte de Cuentas de la República.</w:t>
            </w:r>
          </w:p>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Fiscalía General de la República.</w:t>
            </w:r>
          </w:p>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Tribunal de Ética Gubernamental.</w:t>
            </w:r>
          </w:p>
        </w:tc>
        <w:tc>
          <w:tcPr>
            <w:tcW w:w="2993" w:type="dxa"/>
            <w:shd w:val="clear" w:color="auto" w:fill="auto"/>
          </w:tcPr>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Materiales elaborados.</w:t>
            </w:r>
          </w:p>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Materiales difundidos.</w:t>
            </w:r>
          </w:p>
        </w:tc>
      </w:tr>
      <w:tr w:rsidR="002A3B3E"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2A3B3E" w:rsidRPr="002A3B3E" w:rsidRDefault="002A3B3E" w:rsidP="002A3B3E">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2A3B3E">
              <w:rPr>
                <w:rFonts w:asciiTheme="minorHAnsi" w:eastAsia="Calibri" w:hAnsiTheme="minorHAnsi"/>
                <w:b w:val="0"/>
                <w:color w:val="auto"/>
                <w:sz w:val="16"/>
                <w:szCs w:val="16"/>
              </w:rPr>
              <w:t xml:space="preserve">Coordinar con el Ministerio de Relaciones Exteriores el financiamiento </w:t>
            </w:r>
            <w:r w:rsidRPr="002A3B3E">
              <w:rPr>
                <w:rFonts w:asciiTheme="minorHAnsi" w:eastAsia="Calibri" w:hAnsiTheme="minorHAnsi"/>
                <w:b w:val="0"/>
                <w:color w:val="auto"/>
                <w:sz w:val="16"/>
                <w:szCs w:val="16"/>
              </w:rPr>
              <w:t xml:space="preserve">y asistencia técnica para proponer al Ministerio de Educación </w:t>
            </w:r>
            <w:r w:rsidRPr="002A3B3E">
              <w:rPr>
                <w:rFonts w:asciiTheme="minorHAnsi" w:eastAsia="Calibri" w:hAnsiTheme="minorHAnsi"/>
                <w:b w:val="0"/>
                <w:color w:val="auto"/>
                <w:sz w:val="16"/>
                <w:szCs w:val="16"/>
              </w:rPr>
              <w:t xml:space="preserve">una </w:t>
            </w:r>
            <w:r w:rsidR="005B45F3" w:rsidRPr="002A3B3E">
              <w:rPr>
                <w:rFonts w:asciiTheme="minorHAnsi" w:eastAsia="Calibri" w:hAnsiTheme="minorHAnsi"/>
                <w:b w:val="0"/>
                <w:color w:val="auto"/>
                <w:sz w:val="16"/>
                <w:szCs w:val="16"/>
              </w:rPr>
              <w:t>currícula</w:t>
            </w:r>
            <w:r w:rsidRPr="002A3B3E">
              <w:rPr>
                <w:rFonts w:asciiTheme="minorHAnsi" w:eastAsia="Calibri" w:hAnsiTheme="minorHAnsi"/>
                <w:b w:val="0"/>
                <w:color w:val="auto"/>
                <w:sz w:val="16"/>
                <w:szCs w:val="16"/>
              </w:rPr>
              <w:t xml:space="preserve"> de educación cívica</w:t>
            </w:r>
            <w:r w:rsidRPr="002A3B3E">
              <w:rPr>
                <w:rFonts w:asciiTheme="minorHAnsi" w:eastAsia="Calibri" w:hAnsiTheme="minorHAnsi"/>
                <w:b w:val="0"/>
                <w:color w:val="auto"/>
                <w:sz w:val="16"/>
                <w:szCs w:val="16"/>
              </w:rPr>
              <w:t>, a través de la “Comunidad de las Democracias”.</w:t>
            </w:r>
          </w:p>
        </w:tc>
        <w:tc>
          <w:tcPr>
            <w:tcW w:w="2993" w:type="dxa"/>
            <w:tcBorders>
              <w:left w:val="none" w:sz="0" w:space="0" w:color="auto"/>
              <w:right w:val="none" w:sz="0" w:space="0" w:color="auto"/>
            </w:tcBorders>
            <w:shd w:val="clear" w:color="auto" w:fill="auto"/>
          </w:tcPr>
          <w:p w:rsidR="002A3B3E" w:rsidRPr="002A3B3E" w:rsidRDefault="002A3B3E" w:rsidP="00CE72CF">
            <w:pPr>
              <w:pStyle w:val="ParaAttribute2"/>
              <w:numPr>
                <w:ilvl w:val="0"/>
                <w:numId w:val="46"/>
              </w:numPr>
              <w:wordWrap/>
              <w:spacing w:line="276" w:lineRule="auto"/>
              <w:ind w:left="269" w:hanging="269"/>
              <w:jc w:val="both"/>
              <w:cnfStyle w:val="000000100000"/>
              <w:rPr>
                <w:rFonts w:asciiTheme="minorHAnsi" w:eastAsia="Calibri" w:hAnsiTheme="minorHAnsi"/>
                <w:color w:val="auto"/>
                <w:sz w:val="16"/>
                <w:szCs w:val="16"/>
              </w:rPr>
            </w:pPr>
            <w:r w:rsidRPr="002A3B3E">
              <w:rPr>
                <w:rFonts w:asciiTheme="minorHAnsi" w:eastAsia="Calibri" w:hAnsiTheme="minorHAnsi"/>
                <w:color w:val="auto"/>
                <w:sz w:val="16"/>
                <w:szCs w:val="16"/>
              </w:rPr>
              <w:t>Subsecretaría de Transparencia y Anticorrupción en coordinación con el Ministerio de Educación.</w:t>
            </w:r>
          </w:p>
        </w:tc>
        <w:tc>
          <w:tcPr>
            <w:tcW w:w="2993" w:type="dxa"/>
            <w:tcBorders>
              <w:left w:val="none" w:sz="0" w:space="0" w:color="auto"/>
              <w:right w:val="none" w:sz="0" w:space="0" w:color="auto"/>
            </w:tcBorders>
            <w:shd w:val="clear" w:color="auto" w:fill="auto"/>
          </w:tcPr>
          <w:p w:rsidR="002A3B3E" w:rsidRPr="002A3B3E" w:rsidRDefault="002A3B3E" w:rsidP="00CE72CF">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2A3B3E">
              <w:rPr>
                <w:rFonts w:asciiTheme="minorHAnsi" w:eastAsia="Calibri" w:hAnsiTheme="minorHAnsi"/>
                <w:color w:val="auto"/>
                <w:sz w:val="16"/>
                <w:szCs w:val="16"/>
              </w:rPr>
              <w:t>Propuesta de currícula.</w:t>
            </w:r>
          </w:p>
        </w:tc>
      </w:tr>
      <w:tr w:rsidR="00ED3D08" w:rsidRPr="00F55729" w:rsidTr="005B45F3">
        <w:tc>
          <w:tcPr>
            <w:cnfStyle w:val="001000000000"/>
            <w:tcW w:w="2992" w:type="dxa"/>
            <w:shd w:val="clear" w:color="auto" w:fill="auto"/>
          </w:tcPr>
          <w:p w:rsidR="00ED3D08" w:rsidRPr="00F55729" w:rsidRDefault="00ED3D08"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Formular los lineamientos específicos de reserva de información según los parámetros establecidos por el Reglamento y la Ley de Acceso a la Información Pública para que los servidores públicos actúen de forma íntegra ante la población con respecto a su derecho y la ciudadanía comprenda los criterios según la naturaleza o especialidad de la información, por los que se le puede negar.</w:t>
            </w:r>
          </w:p>
        </w:tc>
        <w:tc>
          <w:tcPr>
            <w:tcW w:w="2993" w:type="dxa"/>
            <w:shd w:val="clear" w:color="auto" w:fill="auto"/>
          </w:tcPr>
          <w:p w:rsidR="00ED3D08" w:rsidRPr="00F55729" w:rsidRDefault="00ED3D08"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Instituto de Acceso a Información Pública</w:t>
            </w:r>
            <w:r w:rsidR="004708DA" w:rsidRPr="00F55729">
              <w:rPr>
                <w:rFonts w:asciiTheme="minorHAnsi" w:eastAsia="Calibri" w:hAnsiTheme="minorHAnsi"/>
                <w:color w:val="auto"/>
                <w:sz w:val="16"/>
                <w:szCs w:val="16"/>
              </w:rPr>
              <w:t>.</w:t>
            </w:r>
          </w:p>
        </w:tc>
        <w:tc>
          <w:tcPr>
            <w:tcW w:w="2993" w:type="dxa"/>
            <w:shd w:val="clear" w:color="auto" w:fill="auto"/>
          </w:tcPr>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Documento legal elaborado por el instituto.</w:t>
            </w:r>
          </w:p>
          <w:p w:rsidR="00ED3D08" w:rsidRPr="00F55729" w:rsidRDefault="00ED3D08"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 xml:space="preserve">Número de casos resueltos con </w:t>
            </w:r>
            <w:r w:rsidR="004708DA" w:rsidRPr="00F55729">
              <w:rPr>
                <w:rFonts w:asciiTheme="minorHAnsi" w:eastAsia="Calibri" w:hAnsiTheme="minorHAnsi"/>
                <w:color w:val="auto"/>
                <w:sz w:val="16"/>
                <w:szCs w:val="16"/>
              </w:rPr>
              <w:t>aprobación</w:t>
            </w:r>
            <w:r w:rsidRPr="00F55729">
              <w:rPr>
                <w:rFonts w:asciiTheme="minorHAnsi" w:eastAsia="Calibri" w:hAnsiTheme="minorHAnsi"/>
                <w:color w:val="auto"/>
                <w:sz w:val="16"/>
                <w:szCs w:val="16"/>
              </w:rPr>
              <w:t xml:space="preserve"> de </w:t>
            </w:r>
            <w:r w:rsidR="004708DA" w:rsidRPr="00F55729">
              <w:rPr>
                <w:rFonts w:asciiTheme="minorHAnsi" w:eastAsia="Calibri" w:hAnsiTheme="minorHAnsi"/>
                <w:color w:val="auto"/>
                <w:sz w:val="16"/>
                <w:szCs w:val="16"/>
              </w:rPr>
              <w:t xml:space="preserve">la </w:t>
            </w:r>
            <w:r w:rsidRPr="00F55729">
              <w:rPr>
                <w:rFonts w:asciiTheme="minorHAnsi" w:eastAsia="Calibri" w:hAnsiTheme="minorHAnsi"/>
                <w:color w:val="auto"/>
                <w:sz w:val="16"/>
                <w:szCs w:val="16"/>
              </w:rPr>
              <w:t>reserva</w:t>
            </w:r>
            <w:r w:rsidR="004708DA" w:rsidRPr="00F55729">
              <w:rPr>
                <w:rFonts w:asciiTheme="minorHAnsi" w:eastAsia="Calibri" w:hAnsiTheme="minorHAnsi"/>
                <w:color w:val="auto"/>
                <w:sz w:val="16"/>
                <w:szCs w:val="16"/>
              </w:rPr>
              <w:t xml:space="preserve"> establecida por el ente obligado</w:t>
            </w:r>
            <w:r w:rsidRPr="00F55729">
              <w:rPr>
                <w:rFonts w:asciiTheme="minorHAnsi" w:eastAsia="Calibri" w:hAnsiTheme="minorHAnsi"/>
                <w:color w:val="auto"/>
                <w:sz w:val="16"/>
                <w:szCs w:val="16"/>
              </w:rPr>
              <w:t>/número de casos de apelación ciudadana ante reservas de información.</w:t>
            </w:r>
          </w:p>
        </w:tc>
      </w:tr>
      <w:tr w:rsidR="004708DA"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4708DA" w:rsidRPr="00F55729" w:rsidRDefault="004708DA"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Elevar la calidad de la información que se presenta en los portales web de los entes obligados.</w:t>
            </w:r>
            <w:r w:rsidR="000E0BA0" w:rsidRPr="00F55729">
              <w:rPr>
                <w:rFonts w:asciiTheme="minorHAnsi" w:eastAsia="Calibri" w:hAnsiTheme="minorHAnsi"/>
                <w:b w:val="0"/>
                <w:color w:val="auto"/>
                <w:sz w:val="16"/>
                <w:szCs w:val="16"/>
              </w:rPr>
              <w:t xml:space="preserve"> Que denoten acceso total e íntegro de la información.</w:t>
            </w:r>
          </w:p>
        </w:tc>
        <w:tc>
          <w:tcPr>
            <w:tcW w:w="2993" w:type="dxa"/>
            <w:tcBorders>
              <w:left w:val="none" w:sz="0" w:space="0" w:color="auto"/>
              <w:right w:val="none" w:sz="0" w:space="0" w:color="auto"/>
            </w:tcBorders>
            <w:shd w:val="clear" w:color="auto" w:fill="auto"/>
          </w:tcPr>
          <w:p w:rsidR="004708DA" w:rsidRPr="00F55729" w:rsidRDefault="004708DA" w:rsidP="00E20F57">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Instituto de Acceso a Información Pública y Subsecretaría de Transparencia y Anticorrupción.</w:t>
            </w:r>
          </w:p>
        </w:tc>
        <w:tc>
          <w:tcPr>
            <w:tcW w:w="2993" w:type="dxa"/>
            <w:tcBorders>
              <w:left w:val="none" w:sz="0" w:space="0" w:color="auto"/>
              <w:right w:val="none" w:sz="0" w:space="0" w:color="auto"/>
            </w:tcBorders>
            <w:shd w:val="clear" w:color="auto" w:fill="auto"/>
          </w:tcPr>
          <w:p w:rsidR="004708DA" w:rsidRPr="00F55729" w:rsidRDefault="004708DA"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Estándares utilizados en la actualidad, modificados de acuerdo a estándares establecidos por el IAIP.</w:t>
            </w:r>
          </w:p>
        </w:tc>
      </w:tr>
      <w:tr w:rsidR="004708DA" w:rsidRPr="00F55729" w:rsidTr="005B45F3">
        <w:tc>
          <w:tcPr>
            <w:cnfStyle w:val="001000000000"/>
            <w:tcW w:w="2992" w:type="dxa"/>
            <w:shd w:val="clear" w:color="auto" w:fill="auto"/>
          </w:tcPr>
          <w:p w:rsidR="004708DA" w:rsidRPr="00F55729" w:rsidRDefault="00771BB4" w:rsidP="00E20F57">
            <w:pPr>
              <w:pStyle w:val="ParaAttribute2"/>
              <w:numPr>
                <w:ilvl w:val="0"/>
                <w:numId w:val="44"/>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Implementar</w:t>
            </w:r>
            <w:r w:rsidR="004708DA" w:rsidRPr="00F55729">
              <w:rPr>
                <w:rFonts w:asciiTheme="minorHAnsi" w:eastAsia="Calibri" w:hAnsiTheme="minorHAnsi"/>
                <w:b w:val="0"/>
                <w:color w:val="auto"/>
                <w:sz w:val="16"/>
                <w:szCs w:val="16"/>
              </w:rPr>
              <w:t xml:space="preserve"> sistemas de recepción de quejas y/o denuncias sobre posibles casos de corrupción, por las oficinas de información y su análisis por los encargados de la auditoría interna.</w:t>
            </w:r>
          </w:p>
        </w:tc>
        <w:tc>
          <w:tcPr>
            <w:tcW w:w="2993" w:type="dxa"/>
            <w:shd w:val="clear" w:color="auto" w:fill="auto"/>
          </w:tcPr>
          <w:p w:rsidR="004708DA" w:rsidRPr="00F55729" w:rsidRDefault="004708DA" w:rsidP="009913DE">
            <w:pPr>
              <w:pStyle w:val="ParaAttribute2"/>
              <w:wordWrap/>
              <w:spacing w:line="276" w:lineRule="auto"/>
              <w:jc w:val="both"/>
              <w:cnfStyle w:val="000000000000"/>
              <w:rPr>
                <w:rFonts w:asciiTheme="minorHAnsi" w:eastAsia="Calibri" w:hAnsiTheme="minorHAnsi"/>
                <w:b/>
                <w:color w:val="auto"/>
                <w:sz w:val="16"/>
                <w:szCs w:val="16"/>
              </w:rPr>
            </w:pPr>
            <w:r w:rsidRPr="00F55729">
              <w:rPr>
                <w:rFonts w:asciiTheme="minorHAnsi" w:eastAsia="Calibri" w:hAnsiTheme="minorHAnsi"/>
                <w:color w:val="auto"/>
                <w:sz w:val="16"/>
                <w:szCs w:val="16"/>
              </w:rPr>
              <w:t>Subsecretaría de Transparencia y Anticorrupción</w:t>
            </w:r>
          </w:p>
        </w:tc>
        <w:tc>
          <w:tcPr>
            <w:tcW w:w="2993" w:type="dxa"/>
            <w:shd w:val="clear" w:color="auto" w:fill="auto"/>
          </w:tcPr>
          <w:p w:rsidR="004708DA" w:rsidRPr="00F55729" w:rsidRDefault="004708DA" w:rsidP="00E20F57">
            <w:pPr>
              <w:pStyle w:val="ParaAttribute2"/>
              <w:numPr>
                <w:ilvl w:val="0"/>
                <w:numId w:val="43"/>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sistemas instalados/número de instituciones instruidas.</w:t>
            </w:r>
          </w:p>
          <w:p w:rsidR="004708DA" w:rsidRPr="00F55729" w:rsidRDefault="004708DA" w:rsidP="00E20F57">
            <w:pPr>
              <w:pStyle w:val="ParaAttribute2"/>
              <w:numPr>
                <w:ilvl w:val="0"/>
                <w:numId w:val="43"/>
              </w:numPr>
              <w:wordWrap/>
              <w:spacing w:line="276" w:lineRule="auto"/>
              <w:ind w:left="252" w:hanging="252"/>
              <w:jc w:val="both"/>
              <w:cnfStyle w:val="000000000000"/>
              <w:rPr>
                <w:rFonts w:asciiTheme="minorHAnsi" w:eastAsia="Calibri" w:hAnsiTheme="minorHAnsi"/>
                <w:b/>
                <w:color w:val="auto"/>
                <w:sz w:val="16"/>
                <w:szCs w:val="16"/>
              </w:rPr>
            </w:pPr>
            <w:r w:rsidRPr="00F55729">
              <w:rPr>
                <w:rFonts w:asciiTheme="minorHAnsi" w:eastAsia="Calibri" w:hAnsiTheme="minorHAnsi"/>
                <w:color w:val="auto"/>
                <w:sz w:val="16"/>
                <w:szCs w:val="16"/>
              </w:rPr>
              <w:t>Número de quejas y denuncias tramitadas por los Oficiales de información en coordinación con las oficinas de auditoría interna.</w:t>
            </w:r>
          </w:p>
        </w:tc>
      </w:tr>
      <w:tr w:rsidR="004708DA"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4708DA" w:rsidRPr="00F55729" w:rsidRDefault="004708DA" w:rsidP="002E131A">
            <w:pPr>
              <w:pStyle w:val="ParaAttribute2"/>
              <w:numPr>
                <w:ilvl w:val="0"/>
                <w:numId w:val="44"/>
              </w:numPr>
              <w:tabs>
                <w:tab w:val="left" w:pos="284"/>
              </w:tabs>
              <w:wordWrap/>
              <w:spacing w:line="276" w:lineRule="auto"/>
              <w:ind w:left="284" w:hanging="284"/>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Acompañar el esfuerzo de reforma a la Ley del enriquecimiento ilícito que impulsa la oficina de Probidad de la Corte Suprema de Justicia para proponer que las declaraciones patrimoniales de los funcionarios sean públicas.</w:t>
            </w:r>
          </w:p>
        </w:tc>
        <w:tc>
          <w:tcPr>
            <w:tcW w:w="2993" w:type="dxa"/>
            <w:tcBorders>
              <w:left w:val="none" w:sz="0" w:space="0" w:color="auto"/>
              <w:right w:val="none" w:sz="0" w:space="0" w:color="auto"/>
            </w:tcBorders>
            <w:shd w:val="clear" w:color="auto" w:fill="auto"/>
          </w:tcPr>
          <w:p w:rsidR="004708DA" w:rsidRPr="00F55729" w:rsidRDefault="004708DA" w:rsidP="00E20F57">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en coordinación con la oficina de probidad de la Corte Suprema de Justicia y la Unidad Técnica del Sector Justicia.</w:t>
            </w:r>
          </w:p>
        </w:tc>
        <w:tc>
          <w:tcPr>
            <w:tcW w:w="2993" w:type="dxa"/>
            <w:tcBorders>
              <w:left w:val="none" w:sz="0" w:space="0" w:color="auto"/>
              <w:right w:val="none" w:sz="0" w:space="0" w:color="auto"/>
            </w:tcBorders>
            <w:shd w:val="clear" w:color="auto" w:fill="auto"/>
          </w:tcPr>
          <w:p w:rsidR="004708DA" w:rsidRPr="00F55729" w:rsidRDefault="004708DA"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Reformas aprobadas.</w:t>
            </w:r>
          </w:p>
        </w:tc>
      </w:tr>
      <w:tr w:rsidR="000E0BA0" w:rsidRPr="00F55729" w:rsidTr="005B45F3">
        <w:tc>
          <w:tcPr>
            <w:cnfStyle w:val="001000000000"/>
            <w:tcW w:w="2992" w:type="dxa"/>
            <w:shd w:val="clear" w:color="auto" w:fill="auto"/>
          </w:tcPr>
          <w:p w:rsidR="000E0BA0" w:rsidRPr="00F55729" w:rsidRDefault="000E0BA0" w:rsidP="00E20F57">
            <w:pPr>
              <w:pStyle w:val="ParaAttribute2"/>
              <w:numPr>
                <w:ilvl w:val="0"/>
                <w:numId w:val="44"/>
              </w:numPr>
              <w:wordWrap/>
              <w:spacing w:line="276" w:lineRule="auto"/>
              <w:ind w:left="284" w:hanging="284"/>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Continuar la publicación de casos de corrupción en el periódico digital Transparencia Activa del portal de Gobierno Abierto. Indagar además sobre posibilidad de realizar una impresión física de los casos publicados.</w:t>
            </w:r>
          </w:p>
        </w:tc>
        <w:tc>
          <w:tcPr>
            <w:tcW w:w="2993" w:type="dxa"/>
            <w:shd w:val="clear" w:color="auto" w:fill="auto"/>
          </w:tcPr>
          <w:p w:rsidR="000E0BA0" w:rsidRPr="00F55729" w:rsidRDefault="000E0BA0"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w:t>
            </w:r>
          </w:p>
          <w:p w:rsidR="000E0BA0" w:rsidRPr="00F55729" w:rsidRDefault="000E0BA0" w:rsidP="000E0BA0">
            <w:pPr>
              <w:pStyle w:val="ParaAttribute2"/>
              <w:wordWrap/>
              <w:spacing w:line="276" w:lineRule="auto"/>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w:t>
            </w:r>
          </w:p>
        </w:tc>
        <w:tc>
          <w:tcPr>
            <w:tcW w:w="2993" w:type="dxa"/>
            <w:shd w:val="clear" w:color="auto" w:fill="auto"/>
          </w:tcPr>
          <w:p w:rsidR="000E0BA0" w:rsidRPr="00F55729" w:rsidRDefault="000E0BA0"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casos publicados/número de publicaciones generales.</w:t>
            </w:r>
          </w:p>
          <w:p w:rsidR="000E0BA0" w:rsidRPr="00F55729" w:rsidRDefault="000E0BA0"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Publicación física de casos publicados.</w:t>
            </w:r>
          </w:p>
        </w:tc>
      </w:tr>
      <w:tr w:rsidR="004708DA" w:rsidRPr="00F55729" w:rsidTr="005B45F3">
        <w:trPr>
          <w:cnfStyle w:val="000000100000"/>
        </w:trPr>
        <w:tc>
          <w:tcPr>
            <w:cnfStyle w:val="001000000000"/>
            <w:tcW w:w="8978" w:type="dxa"/>
            <w:gridSpan w:val="3"/>
            <w:tcBorders>
              <w:left w:val="none" w:sz="0" w:space="0" w:color="auto"/>
              <w:right w:val="none" w:sz="0" w:space="0" w:color="auto"/>
            </w:tcBorders>
            <w:shd w:val="clear" w:color="auto" w:fill="DBE5F1" w:themeFill="accent1" w:themeFillTint="33"/>
          </w:tcPr>
          <w:p w:rsidR="004708DA" w:rsidRPr="00F55729" w:rsidRDefault="004708DA" w:rsidP="009913DE">
            <w:pPr>
              <w:pStyle w:val="ParaAttribute2"/>
              <w:wordWrap/>
              <w:spacing w:line="276" w:lineRule="auto"/>
              <w:jc w:val="both"/>
              <w:rPr>
                <w:rFonts w:asciiTheme="minorHAnsi" w:eastAsia="Calibri" w:hAnsiTheme="minorHAnsi"/>
                <w:color w:val="auto"/>
                <w:sz w:val="16"/>
                <w:szCs w:val="16"/>
              </w:rPr>
            </w:pPr>
            <w:r w:rsidRPr="00F55729">
              <w:rPr>
                <w:rFonts w:asciiTheme="minorHAnsi" w:eastAsia="Calibri" w:hAnsiTheme="minorHAnsi"/>
                <w:color w:val="auto"/>
                <w:sz w:val="16"/>
                <w:szCs w:val="16"/>
              </w:rPr>
              <w:t>Eje 3: Mejorar la gestión de los recursos públicos</w:t>
            </w:r>
          </w:p>
          <w:p w:rsidR="004708DA" w:rsidRPr="00F55729" w:rsidRDefault="00771BB4" w:rsidP="00771BB4">
            <w:pPr>
              <w:spacing w:line="276" w:lineRule="auto"/>
              <w:rPr>
                <w:rFonts w:eastAsia="Calibri" w:cs="Times New Roman"/>
                <w:b w:val="0"/>
                <w:i w:val="0"/>
                <w:iCs w:val="0"/>
                <w:color w:val="auto"/>
                <w:sz w:val="16"/>
                <w:szCs w:val="16"/>
                <w:lang w:eastAsia="es-SV" w:bidi="ar-SA"/>
              </w:rPr>
            </w:pPr>
            <w:r w:rsidRPr="00F55729">
              <w:rPr>
                <w:rFonts w:eastAsia="Calibri" w:cs="Times New Roman"/>
                <w:b w:val="0"/>
                <w:i w:val="0"/>
                <w:iCs w:val="0"/>
                <w:color w:val="auto"/>
                <w:sz w:val="16"/>
                <w:szCs w:val="16"/>
                <w:lang w:eastAsia="es-SV" w:bidi="ar-SA"/>
              </w:rPr>
              <w:t>Se busca poner a la vista del púbico los ingresos nacionales y el uso de que se da a los recursos financieros en las instituciones públicas, así como promover espacios y mecanismos de control ciudadano que contribuyan a orientarlos de mejor forma.</w:t>
            </w:r>
          </w:p>
        </w:tc>
      </w:tr>
      <w:tr w:rsidR="000E0BA0" w:rsidRPr="00F55729" w:rsidTr="005B45F3">
        <w:tc>
          <w:tcPr>
            <w:cnfStyle w:val="001000000000"/>
            <w:tcW w:w="2992" w:type="dxa"/>
            <w:shd w:val="clear" w:color="auto" w:fill="auto"/>
          </w:tcPr>
          <w:p w:rsidR="000E0BA0" w:rsidRPr="00F55729" w:rsidRDefault="000E0BA0" w:rsidP="00E20F57">
            <w:pPr>
              <w:pStyle w:val="ParaAttribute2"/>
              <w:numPr>
                <w:ilvl w:val="0"/>
                <w:numId w:val="48"/>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Mejorar el portal de Transparencia Fiscal para la visualización de específica de componentes como: inversión social, subsidios, pago de deuda pública, y estimados de elusión y evasión. Garantizando así la publicación entendible y amigable de los datos fiscales</w:t>
            </w:r>
          </w:p>
        </w:tc>
        <w:tc>
          <w:tcPr>
            <w:tcW w:w="2993" w:type="dxa"/>
            <w:shd w:val="clear" w:color="auto" w:fill="auto"/>
          </w:tcPr>
          <w:p w:rsidR="000E0BA0" w:rsidRPr="00F55729" w:rsidRDefault="00771BB4"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Hacienda.</w:t>
            </w:r>
          </w:p>
        </w:tc>
        <w:tc>
          <w:tcPr>
            <w:tcW w:w="2993" w:type="dxa"/>
            <w:shd w:val="clear" w:color="auto" w:fill="auto"/>
          </w:tcPr>
          <w:p w:rsidR="000E0BA0" w:rsidRPr="00F55729" w:rsidRDefault="00771BB4"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Mejoras visibles en el portal.</w:t>
            </w:r>
          </w:p>
        </w:tc>
      </w:tr>
      <w:tr w:rsidR="00771BB4"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771BB4" w:rsidRPr="00F55729" w:rsidRDefault="00771BB4" w:rsidP="00E20F57">
            <w:pPr>
              <w:pStyle w:val="ParaAttribute2"/>
              <w:numPr>
                <w:ilvl w:val="0"/>
                <w:numId w:val="48"/>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Promover la contraloría ciudadana, que garantice la participación en la formulación de los presupuestos, presentando propuestas o necesidades de inversión, así como, participar en la vigilancia mediante observatorios u otros mecanismos del uso eficiente y destino de los recursos públicos.</w:t>
            </w:r>
          </w:p>
        </w:tc>
        <w:tc>
          <w:tcPr>
            <w:tcW w:w="2993" w:type="dxa"/>
            <w:tcBorders>
              <w:left w:val="none" w:sz="0" w:space="0" w:color="auto"/>
              <w:right w:val="none" w:sz="0" w:space="0" w:color="auto"/>
            </w:tcBorders>
            <w:shd w:val="clear" w:color="auto" w:fill="auto"/>
          </w:tcPr>
          <w:p w:rsidR="00771BB4" w:rsidRPr="00F55729" w:rsidRDefault="00771BB4" w:rsidP="00E20F57">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p>
        </w:tc>
        <w:tc>
          <w:tcPr>
            <w:tcW w:w="2993" w:type="dxa"/>
            <w:tcBorders>
              <w:left w:val="none" w:sz="0" w:space="0" w:color="auto"/>
              <w:right w:val="none" w:sz="0" w:space="0" w:color="auto"/>
            </w:tcBorders>
            <w:shd w:val="clear" w:color="auto" w:fill="auto"/>
          </w:tcPr>
          <w:p w:rsidR="00771BB4" w:rsidRPr="00F55729" w:rsidRDefault="00771BB4"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Documento propuesta de mecanismo para consultar el presupuesto.</w:t>
            </w:r>
          </w:p>
        </w:tc>
      </w:tr>
      <w:tr w:rsidR="00771BB4" w:rsidRPr="00F55729" w:rsidTr="005B45F3">
        <w:tc>
          <w:tcPr>
            <w:cnfStyle w:val="001000000000"/>
            <w:tcW w:w="2992" w:type="dxa"/>
            <w:shd w:val="clear" w:color="auto" w:fill="auto"/>
          </w:tcPr>
          <w:p w:rsidR="00771BB4" w:rsidRPr="00F55729" w:rsidRDefault="00771BB4" w:rsidP="00E20F57">
            <w:pPr>
              <w:pStyle w:val="ParaAttribute2"/>
              <w:numPr>
                <w:ilvl w:val="0"/>
                <w:numId w:val="48"/>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Formar e implementar los Comités de Auditoría en las instituciones públicas para que velen por el correcto uso de los recursos públicos.</w:t>
            </w:r>
          </w:p>
        </w:tc>
        <w:tc>
          <w:tcPr>
            <w:tcW w:w="2993" w:type="dxa"/>
            <w:shd w:val="clear" w:color="auto" w:fill="auto"/>
          </w:tcPr>
          <w:p w:rsidR="00771BB4" w:rsidRPr="00F55729" w:rsidRDefault="00771BB4"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p>
          <w:p w:rsidR="00771BB4" w:rsidRPr="00F55729" w:rsidRDefault="00771BB4"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Educación.</w:t>
            </w:r>
          </w:p>
        </w:tc>
        <w:tc>
          <w:tcPr>
            <w:tcW w:w="2993" w:type="dxa"/>
            <w:shd w:val="clear" w:color="auto" w:fill="auto"/>
          </w:tcPr>
          <w:p w:rsidR="00771BB4" w:rsidRPr="00F55729" w:rsidRDefault="00771BB4"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Diseño de guías de control ciudadano e implementación del mismo en Programa de Alimentación y Salud Escolar (PASE) del Ministerio de educación.</w:t>
            </w:r>
          </w:p>
          <w:p w:rsidR="00771BB4" w:rsidRPr="00F55729" w:rsidRDefault="00771BB4"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Sistematización de la experiencia de control ciudadano del Foro Nacional de Salud a la Reforma de Salud.</w:t>
            </w:r>
          </w:p>
        </w:tc>
      </w:tr>
      <w:tr w:rsidR="00771BB4" w:rsidRPr="00F55729" w:rsidTr="005B45F3">
        <w:trPr>
          <w:cnfStyle w:val="000000100000"/>
        </w:trPr>
        <w:tc>
          <w:tcPr>
            <w:cnfStyle w:val="001000000000"/>
            <w:tcW w:w="8978" w:type="dxa"/>
            <w:gridSpan w:val="3"/>
            <w:tcBorders>
              <w:left w:val="none" w:sz="0" w:space="0" w:color="auto"/>
              <w:right w:val="none" w:sz="0" w:space="0" w:color="auto"/>
            </w:tcBorders>
            <w:shd w:val="clear" w:color="auto" w:fill="DBE5F1" w:themeFill="accent1" w:themeFillTint="33"/>
          </w:tcPr>
          <w:p w:rsidR="00771BB4" w:rsidRPr="00F55729" w:rsidRDefault="00771BB4" w:rsidP="009913DE">
            <w:pPr>
              <w:pStyle w:val="ParaAttribute2"/>
              <w:wordWrap/>
              <w:spacing w:line="276" w:lineRule="auto"/>
              <w:jc w:val="both"/>
              <w:rPr>
                <w:rFonts w:asciiTheme="minorHAnsi" w:eastAsia="Calibri" w:hAnsiTheme="minorHAnsi"/>
                <w:color w:val="auto"/>
                <w:sz w:val="16"/>
                <w:szCs w:val="16"/>
              </w:rPr>
            </w:pPr>
            <w:r w:rsidRPr="00F55729">
              <w:rPr>
                <w:rFonts w:asciiTheme="minorHAnsi" w:eastAsia="Calibri" w:hAnsiTheme="minorHAnsi"/>
                <w:color w:val="auto"/>
                <w:sz w:val="16"/>
                <w:szCs w:val="16"/>
              </w:rPr>
              <w:t>Eje 4: Crear comunidades más seguras</w:t>
            </w:r>
          </w:p>
          <w:p w:rsidR="00771BB4" w:rsidRPr="00F55729" w:rsidRDefault="00E20F57" w:rsidP="009913DE">
            <w:pPr>
              <w:spacing w:line="276" w:lineRule="auto"/>
              <w:rPr>
                <w:rFonts w:eastAsia="Calibri" w:cs="Times New Roman"/>
                <w:b w:val="0"/>
                <w:i w:val="0"/>
                <w:iCs w:val="0"/>
                <w:color w:val="auto"/>
                <w:sz w:val="16"/>
                <w:szCs w:val="16"/>
                <w:lang w:eastAsia="es-SV" w:bidi="ar-SA"/>
              </w:rPr>
            </w:pPr>
            <w:r w:rsidRPr="00F55729">
              <w:rPr>
                <w:rFonts w:eastAsia="Calibri" w:cs="Times New Roman"/>
                <w:b w:val="0"/>
                <w:i w:val="0"/>
                <w:iCs w:val="0"/>
                <w:color w:val="auto"/>
                <w:sz w:val="16"/>
                <w:szCs w:val="16"/>
                <w:lang w:eastAsia="es-SV" w:bidi="ar-SA"/>
              </w:rPr>
              <w:t>Se orientará, fundamentalmente, a cumplir con las medidas posibles enmarcadas en la Convención sobre los Derechos de las Personas con Discapacidad</w:t>
            </w:r>
            <w:r w:rsidR="0033111B" w:rsidRPr="00F55729">
              <w:rPr>
                <w:rFonts w:eastAsia="Calibri" w:cs="Times New Roman"/>
                <w:b w:val="0"/>
                <w:i w:val="0"/>
                <w:iCs w:val="0"/>
                <w:color w:val="auto"/>
                <w:sz w:val="16"/>
                <w:szCs w:val="16"/>
                <w:lang w:eastAsia="es-SV" w:bidi="ar-SA"/>
              </w:rPr>
              <w:t>, de la cual El Salvador es parte.</w:t>
            </w:r>
          </w:p>
        </w:tc>
      </w:tr>
      <w:tr w:rsidR="00771BB4" w:rsidRPr="00F55729" w:rsidTr="005B45F3">
        <w:tc>
          <w:tcPr>
            <w:cnfStyle w:val="001000000000"/>
            <w:tcW w:w="2992" w:type="dxa"/>
            <w:shd w:val="clear" w:color="auto" w:fill="auto"/>
          </w:tcPr>
          <w:p w:rsidR="00771BB4" w:rsidRPr="00F55729" w:rsidRDefault="00E20F57" w:rsidP="00E20F57">
            <w:pPr>
              <w:pStyle w:val="ParaAttribute2"/>
              <w:numPr>
                <w:ilvl w:val="0"/>
                <w:numId w:val="4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Evaluar la infraestructura de las instituciones públicas y emitir recomendaciones para la creación de medidas que faciliten la inclusión de personas con discapacidad en la atención y servicios.</w:t>
            </w:r>
          </w:p>
        </w:tc>
        <w:tc>
          <w:tcPr>
            <w:tcW w:w="2993" w:type="dxa"/>
            <w:shd w:val="clear" w:color="auto" w:fill="auto"/>
          </w:tcPr>
          <w:p w:rsidR="00771BB4" w:rsidRPr="00F55729" w:rsidRDefault="00E20F57" w:rsidP="00E20F57">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Style w:val="st"/>
                <w:rFonts w:asciiTheme="minorHAnsi" w:hAnsiTheme="minorHAnsi"/>
                <w:color w:val="auto"/>
                <w:sz w:val="16"/>
                <w:szCs w:val="16"/>
              </w:rPr>
              <w:t>Consejo Nacional de Ayuda Integral a la Persona con Discapacidad.</w:t>
            </w:r>
          </w:p>
        </w:tc>
        <w:tc>
          <w:tcPr>
            <w:tcW w:w="2993" w:type="dxa"/>
            <w:shd w:val="clear" w:color="auto" w:fill="auto"/>
          </w:tcPr>
          <w:p w:rsidR="00771BB4" w:rsidRPr="00F55729" w:rsidRDefault="00E20F57"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recomendaciones implementadas/número de recomendaciones realizadas.</w:t>
            </w:r>
          </w:p>
        </w:tc>
      </w:tr>
      <w:tr w:rsidR="00E20F57"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E20F57" w:rsidRPr="00F55729" w:rsidRDefault="00E20F57" w:rsidP="0033111B">
            <w:pPr>
              <w:pStyle w:val="ParaAttribute2"/>
              <w:numPr>
                <w:ilvl w:val="0"/>
                <w:numId w:val="4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 xml:space="preserve">Incorporar a los portales de Gobierno Abierto, </w:t>
            </w:r>
            <w:r w:rsidR="0033111B" w:rsidRPr="00F55729">
              <w:rPr>
                <w:rFonts w:asciiTheme="minorHAnsi" w:eastAsia="Calibri" w:hAnsiTheme="minorHAnsi"/>
                <w:b w:val="0"/>
                <w:color w:val="auto"/>
                <w:sz w:val="16"/>
                <w:szCs w:val="16"/>
              </w:rPr>
              <w:t xml:space="preserve">medios de voz digitalizada </w:t>
            </w:r>
            <w:r w:rsidRPr="00F55729">
              <w:rPr>
                <w:rFonts w:asciiTheme="minorHAnsi" w:eastAsia="Calibri" w:hAnsiTheme="minorHAnsi"/>
                <w:b w:val="0"/>
                <w:color w:val="auto"/>
                <w:sz w:val="16"/>
                <w:szCs w:val="16"/>
              </w:rPr>
              <w:t>que faciliten la lectura de información pública a personas ciegas.</w:t>
            </w:r>
          </w:p>
        </w:tc>
        <w:tc>
          <w:tcPr>
            <w:tcW w:w="2993" w:type="dxa"/>
            <w:tcBorders>
              <w:left w:val="none" w:sz="0" w:space="0" w:color="auto"/>
              <w:right w:val="none" w:sz="0" w:space="0" w:color="auto"/>
            </w:tcBorders>
            <w:shd w:val="clear" w:color="auto" w:fill="auto"/>
          </w:tcPr>
          <w:p w:rsidR="00E20F57" w:rsidRPr="00F55729" w:rsidRDefault="00E20F57" w:rsidP="00E20F57">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w:t>
            </w:r>
          </w:p>
        </w:tc>
        <w:tc>
          <w:tcPr>
            <w:tcW w:w="2993" w:type="dxa"/>
            <w:tcBorders>
              <w:left w:val="none" w:sz="0" w:space="0" w:color="auto"/>
              <w:right w:val="none" w:sz="0" w:space="0" w:color="auto"/>
            </w:tcBorders>
            <w:shd w:val="clear" w:color="auto" w:fill="auto"/>
          </w:tcPr>
          <w:p w:rsidR="00E20F57" w:rsidRPr="00F55729" w:rsidRDefault="00E20F57"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Herramientas incorporadas al portal.</w:t>
            </w:r>
          </w:p>
        </w:tc>
      </w:tr>
      <w:tr w:rsidR="00E20F57" w:rsidRPr="00F55729" w:rsidTr="005B45F3">
        <w:tc>
          <w:tcPr>
            <w:cnfStyle w:val="001000000000"/>
            <w:tcW w:w="2992" w:type="dxa"/>
            <w:shd w:val="clear" w:color="auto" w:fill="auto"/>
          </w:tcPr>
          <w:p w:rsidR="00E20F57" w:rsidRPr="00F55729" w:rsidRDefault="00E20F57" w:rsidP="00E20F57">
            <w:pPr>
              <w:pStyle w:val="ParaAttribute2"/>
              <w:numPr>
                <w:ilvl w:val="0"/>
                <w:numId w:val="4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Desarrollar programas de capacitación sobre atención a personas con discapacidad, dirigidos a oficiales de información.</w:t>
            </w:r>
          </w:p>
        </w:tc>
        <w:tc>
          <w:tcPr>
            <w:tcW w:w="2993" w:type="dxa"/>
            <w:shd w:val="clear" w:color="auto" w:fill="auto"/>
          </w:tcPr>
          <w:p w:rsidR="00E20F57" w:rsidRPr="00F55729" w:rsidRDefault="00E20F57" w:rsidP="00E20F57">
            <w:pPr>
              <w:pStyle w:val="ParaAttribute2"/>
              <w:numPr>
                <w:ilvl w:val="0"/>
                <w:numId w:val="45"/>
              </w:numPr>
              <w:wordWrap/>
              <w:spacing w:line="276" w:lineRule="auto"/>
              <w:ind w:left="269" w:hanging="269"/>
              <w:jc w:val="both"/>
              <w:cnfStyle w:val="000000000000"/>
              <w:rPr>
                <w:rStyle w:val="st"/>
                <w:rFonts w:asciiTheme="minorHAnsi" w:hAnsiTheme="minorHAnsi"/>
                <w:color w:val="auto"/>
                <w:sz w:val="16"/>
                <w:szCs w:val="16"/>
              </w:rPr>
            </w:pPr>
            <w:r w:rsidRPr="00F55729">
              <w:rPr>
                <w:rStyle w:val="st"/>
                <w:rFonts w:asciiTheme="minorHAnsi" w:hAnsiTheme="minorHAnsi"/>
                <w:color w:val="auto"/>
                <w:sz w:val="16"/>
                <w:szCs w:val="16"/>
              </w:rPr>
              <w:t>Consejo Nacional de Ayuda Integral a la Persona con Discapacidad.</w:t>
            </w:r>
          </w:p>
          <w:p w:rsidR="00E20F57" w:rsidRPr="00F55729" w:rsidRDefault="00E20F57" w:rsidP="00E20F57">
            <w:pPr>
              <w:pStyle w:val="ParaAttribute2"/>
              <w:numPr>
                <w:ilvl w:val="0"/>
                <w:numId w:val="45"/>
              </w:numPr>
              <w:wordWrap/>
              <w:spacing w:line="276" w:lineRule="auto"/>
              <w:ind w:left="269" w:hanging="269"/>
              <w:jc w:val="both"/>
              <w:cnfStyle w:val="0000000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w:t>
            </w:r>
          </w:p>
        </w:tc>
        <w:tc>
          <w:tcPr>
            <w:tcW w:w="2993" w:type="dxa"/>
            <w:shd w:val="clear" w:color="auto" w:fill="auto"/>
          </w:tcPr>
          <w:p w:rsidR="00E20F57" w:rsidRPr="00F55729" w:rsidRDefault="00E20F57" w:rsidP="00E20F57">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oficiales de información capacitados/número de oficiales de información.</w:t>
            </w:r>
          </w:p>
        </w:tc>
      </w:tr>
      <w:tr w:rsidR="00E20F57"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E20F57" w:rsidRPr="00F55729" w:rsidRDefault="00E20F57" w:rsidP="00E20F57">
            <w:pPr>
              <w:pStyle w:val="ParaAttribute2"/>
              <w:numPr>
                <w:ilvl w:val="0"/>
                <w:numId w:val="49"/>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 xml:space="preserve">Ampliación de la divulgación de la Ley de Acceso a información para personas ciegas a través de su publicación en </w:t>
            </w:r>
            <w:r w:rsidR="00536858" w:rsidRPr="00F55729">
              <w:rPr>
                <w:rFonts w:asciiTheme="minorHAnsi" w:eastAsia="Calibri" w:hAnsiTheme="minorHAnsi"/>
                <w:b w:val="0"/>
                <w:color w:val="auto"/>
                <w:sz w:val="16"/>
                <w:szCs w:val="16"/>
              </w:rPr>
              <w:t>braille</w:t>
            </w:r>
            <w:r w:rsidRPr="00F55729">
              <w:rPr>
                <w:rFonts w:asciiTheme="minorHAnsi" w:eastAsia="Calibri" w:hAnsiTheme="minorHAnsi"/>
                <w:b w:val="0"/>
                <w:color w:val="auto"/>
                <w:sz w:val="16"/>
                <w:szCs w:val="16"/>
              </w:rPr>
              <w:t>.</w:t>
            </w:r>
          </w:p>
        </w:tc>
        <w:tc>
          <w:tcPr>
            <w:tcW w:w="2993" w:type="dxa"/>
            <w:tcBorders>
              <w:left w:val="none" w:sz="0" w:space="0" w:color="auto"/>
              <w:right w:val="none" w:sz="0" w:space="0" w:color="auto"/>
            </w:tcBorders>
            <w:shd w:val="clear" w:color="auto" w:fill="auto"/>
          </w:tcPr>
          <w:p w:rsidR="00E20F57" w:rsidRPr="00F55729" w:rsidRDefault="00E20F57" w:rsidP="00E20F57">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w:t>
            </w:r>
          </w:p>
          <w:p w:rsidR="00E20F57" w:rsidRPr="00F55729" w:rsidRDefault="00E20F57" w:rsidP="00E20F57">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Secretaría de la Cultura.</w:t>
            </w:r>
          </w:p>
          <w:p w:rsidR="00E20F57" w:rsidRPr="00F55729" w:rsidRDefault="00E20F57" w:rsidP="00E20F57">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Consejo Nacional de Ayuda Integral a la Persona con Discapacidad.</w:t>
            </w:r>
          </w:p>
        </w:tc>
        <w:tc>
          <w:tcPr>
            <w:tcW w:w="2993" w:type="dxa"/>
            <w:tcBorders>
              <w:left w:val="none" w:sz="0" w:space="0" w:color="auto"/>
              <w:right w:val="none" w:sz="0" w:space="0" w:color="auto"/>
            </w:tcBorders>
            <w:shd w:val="clear" w:color="auto" w:fill="auto"/>
          </w:tcPr>
          <w:p w:rsidR="00E20F57" w:rsidRPr="00F55729" w:rsidRDefault="00E20F57" w:rsidP="00E20F57">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leyes reproducidas y distribuidas en centros de capacitación para personas ciegas y en casas de la cultura.</w:t>
            </w:r>
          </w:p>
        </w:tc>
      </w:tr>
      <w:tr w:rsidR="00536858" w:rsidRPr="00F55729" w:rsidTr="005B45F3">
        <w:tc>
          <w:tcPr>
            <w:cnfStyle w:val="001000000000"/>
            <w:tcW w:w="8978" w:type="dxa"/>
            <w:gridSpan w:val="3"/>
            <w:shd w:val="clear" w:color="auto" w:fill="DBE5F1" w:themeFill="accent1" w:themeFillTint="33"/>
          </w:tcPr>
          <w:p w:rsidR="00536858" w:rsidRPr="00F55729" w:rsidRDefault="00536858" w:rsidP="009913DE">
            <w:pPr>
              <w:pStyle w:val="ParaAttribute2"/>
              <w:wordWrap/>
              <w:spacing w:line="276" w:lineRule="auto"/>
              <w:jc w:val="both"/>
              <w:rPr>
                <w:rFonts w:asciiTheme="minorHAnsi" w:eastAsia="Calibri" w:hAnsiTheme="minorHAnsi"/>
                <w:color w:val="auto"/>
                <w:sz w:val="16"/>
                <w:szCs w:val="16"/>
              </w:rPr>
            </w:pPr>
            <w:r w:rsidRPr="00F55729">
              <w:rPr>
                <w:rFonts w:asciiTheme="minorHAnsi" w:eastAsia="Calibri" w:hAnsiTheme="minorHAnsi"/>
                <w:color w:val="auto"/>
                <w:sz w:val="16"/>
                <w:szCs w:val="16"/>
              </w:rPr>
              <w:t>Eje 5: Aumento de la rendición de cuentas en la empresa privada</w:t>
            </w:r>
          </w:p>
          <w:p w:rsidR="00536858" w:rsidRPr="00F55729" w:rsidRDefault="00E13103" w:rsidP="00E13103">
            <w:pPr>
              <w:spacing w:line="276" w:lineRule="auto"/>
              <w:rPr>
                <w:rFonts w:eastAsia="Calibri" w:cs="Times New Roman"/>
                <w:b w:val="0"/>
                <w:i w:val="0"/>
                <w:iCs w:val="0"/>
                <w:color w:val="auto"/>
                <w:sz w:val="16"/>
                <w:szCs w:val="16"/>
                <w:lang w:eastAsia="es-SV" w:bidi="ar-SA"/>
              </w:rPr>
            </w:pPr>
            <w:r w:rsidRPr="00F55729">
              <w:rPr>
                <w:rFonts w:eastAsia="Calibri" w:cs="Times New Roman"/>
                <w:b w:val="0"/>
                <w:i w:val="0"/>
                <w:iCs w:val="0"/>
                <w:color w:val="auto"/>
                <w:sz w:val="16"/>
                <w:szCs w:val="16"/>
                <w:lang w:eastAsia="es-SV" w:bidi="ar-SA"/>
              </w:rPr>
              <w:t>Se promoverán acciones que posibiliten la concientización de la empresa privada sobre la obligación que la Ley de Acceso a Información Pública les asigna en la publicación de la información y en la rendición de cuentas vinculada a fondos públicos que se les otorgan y sobre las políticas de transparencia y ética que ya se implementan en la región.</w:t>
            </w:r>
          </w:p>
        </w:tc>
      </w:tr>
      <w:tr w:rsidR="00536858"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536858" w:rsidRPr="00F55729" w:rsidRDefault="00536858" w:rsidP="00536858">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Garantizar, por medio de las entidades públicas obligadas por la Ley de Acceso a Información Pública, que las empresas privadas que manejan fondos públicos hagan efectiva su obligación de brindar información sobre los mismos.</w:t>
            </w:r>
          </w:p>
        </w:tc>
        <w:tc>
          <w:tcPr>
            <w:tcW w:w="2993" w:type="dxa"/>
            <w:tcBorders>
              <w:left w:val="none" w:sz="0" w:space="0" w:color="auto"/>
              <w:right w:val="none" w:sz="0" w:space="0" w:color="auto"/>
            </w:tcBorders>
            <w:shd w:val="clear" w:color="auto" w:fill="auto"/>
          </w:tcPr>
          <w:p w:rsidR="00536858" w:rsidRPr="00F55729" w:rsidRDefault="00536858" w:rsidP="009913DE">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w:t>
            </w:r>
          </w:p>
        </w:tc>
        <w:tc>
          <w:tcPr>
            <w:tcW w:w="2993" w:type="dxa"/>
            <w:tcBorders>
              <w:left w:val="none" w:sz="0" w:space="0" w:color="auto"/>
              <w:right w:val="none" w:sz="0" w:space="0" w:color="auto"/>
            </w:tcBorders>
            <w:shd w:val="clear" w:color="auto" w:fill="auto"/>
          </w:tcPr>
          <w:p w:rsidR="00536858" w:rsidRPr="00F55729" w:rsidRDefault="00536858" w:rsidP="009913DE">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solicitudes de información resueltas por la empresa privada que maneja fondos públicos/número de solicitudes de información recibidas por la institución.</w:t>
            </w:r>
          </w:p>
        </w:tc>
      </w:tr>
      <w:tr w:rsidR="00536858" w:rsidRPr="00F55729" w:rsidTr="005B45F3">
        <w:tc>
          <w:tcPr>
            <w:cnfStyle w:val="001000000000"/>
            <w:tcW w:w="2992" w:type="dxa"/>
            <w:shd w:val="clear" w:color="auto" w:fill="auto"/>
          </w:tcPr>
          <w:p w:rsidR="00536858" w:rsidRPr="00F55729" w:rsidRDefault="00536858" w:rsidP="00536858">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Publicar en el portal Gobierno Abierto un listado general de todas las instituciones privadas que reciban fondos estatales.</w:t>
            </w:r>
          </w:p>
        </w:tc>
        <w:tc>
          <w:tcPr>
            <w:tcW w:w="2993" w:type="dxa"/>
            <w:shd w:val="clear" w:color="auto" w:fill="auto"/>
          </w:tcPr>
          <w:p w:rsidR="00536858" w:rsidRPr="00F55729" w:rsidRDefault="00536858" w:rsidP="009913DE">
            <w:pPr>
              <w:pStyle w:val="ParaAttribute2"/>
              <w:numPr>
                <w:ilvl w:val="0"/>
                <w:numId w:val="45"/>
              </w:numPr>
              <w:wordWrap/>
              <w:spacing w:line="276" w:lineRule="auto"/>
              <w:ind w:left="269" w:hanging="269"/>
              <w:jc w:val="both"/>
              <w:cnfStyle w:val="0000000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 en coordinación con instituciones del Órgano Ejecutivo.</w:t>
            </w:r>
          </w:p>
        </w:tc>
        <w:tc>
          <w:tcPr>
            <w:tcW w:w="2993" w:type="dxa"/>
            <w:shd w:val="clear" w:color="auto" w:fill="auto"/>
          </w:tcPr>
          <w:p w:rsidR="00536858" w:rsidRPr="00F55729" w:rsidRDefault="00536858" w:rsidP="009913DE">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Listado y generales de los proyectos para los cuales los fondos han sido destinados.</w:t>
            </w:r>
          </w:p>
        </w:tc>
      </w:tr>
      <w:tr w:rsidR="00536858"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536858" w:rsidRPr="00F55729" w:rsidRDefault="00536858" w:rsidP="00536858">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Incorporar mecanismos de rendición de cuentas en las instituciones privadas que reciben fondos públicos y ejecutan funciones públicas, capacitándolos en el uso de estas herramientas y concientizándolos que son Entes Obligados según la LAIP.</w:t>
            </w:r>
          </w:p>
        </w:tc>
        <w:tc>
          <w:tcPr>
            <w:tcW w:w="2993" w:type="dxa"/>
            <w:tcBorders>
              <w:left w:val="none" w:sz="0" w:space="0" w:color="auto"/>
              <w:right w:val="none" w:sz="0" w:space="0" w:color="auto"/>
            </w:tcBorders>
            <w:shd w:val="clear" w:color="auto" w:fill="auto"/>
          </w:tcPr>
          <w:p w:rsidR="00536858" w:rsidRPr="00F55729" w:rsidRDefault="00536858" w:rsidP="009913DE">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Subsecretaría de Transparencia y Anticorrupción en coordinación con instituciones del Órgano Ejecutivo que asignen fondos a entes privados.</w:t>
            </w:r>
          </w:p>
        </w:tc>
        <w:tc>
          <w:tcPr>
            <w:tcW w:w="2993" w:type="dxa"/>
            <w:tcBorders>
              <w:left w:val="none" w:sz="0" w:space="0" w:color="auto"/>
              <w:right w:val="none" w:sz="0" w:space="0" w:color="auto"/>
            </w:tcBorders>
            <w:shd w:val="clear" w:color="auto" w:fill="auto"/>
          </w:tcPr>
          <w:p w:rsidR="00536858" w:rsidRPr="00F55729" w:rsidRDefault="00536858" w:rsidP="00536858">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Guía elaborada y socializada.</w:t>
            </w:r>
          </w:p>
          <w:p w:rsidR="00536858" w:rsidRPr="00F55729" w:rsidRDefault="00536858" w:rsidP="00536858">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empresas privadas que rinden cuentas de los fondos públicos otorgados.</w:t>
            </w:r>
          </w:p>
        </w:tc>
      </w:tr>
      <w:tr w:rsidR="00E13103" w:rsidRPr="00F55729" w:rsidTr="005B45F3">
        <w:tc>
          <w:tcPr>
            <w:cnfStyle w:val="001000000000"/>
            <w:tcW w:w="2992" w:type="dxa"/>
            <w:shd w:val="clear" w:color="auto" w:fill="auto"/>
          </w:tcPr>
          <w:p w:rsidR="00E13103" w:rsidRPr="00F55729" w:rsidRDefault="00E13103" w:rsidP="00E13103">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Creación de un grupo multisectorial independiente y autónomo, facilitador de la información sistematizada de la obra pública, orientado por la ética, la transparencia y la anticorrupción en el sector privado como parte de la iniciativa CoST.</w:t>
            </w:r>
          </w:p>
        </w:tc>
        <w:tc>
          <w:tcPr>
            <w:tcW w:w="2993" w:type="dxa"/>
            <w:shd w:val="clear" w:color="auto" w:fill="auto"/>
          </w:tcPr>
          <w:p w:rsidR="00E13103" w:rsidRPr="00F55729" w:rsidRDefault="00E13103" w:rsidP="00E13103">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 y Anticorrupción.</w:t>
            </w:r>
          </w:p>
          <w:p w:rsidR="00E13103" w:rsidRPr="00F55729" w:rsidRDefault="00E13103" w:rsidP="00E13103">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Ministerio de Obras Públicas.</w:t>
            </w:r>
          </w:p>
          <w:p w:rsidR="00E13103" w:rsidRPr="00F55729" w:rsidRDefault="00E13103" w:rsidP="00E13103">
            <w:pPr>
              <w:pStyle w:val="ParaAttribute2"/>
              <w:numPr>
                <w:ilvl w:val="0"/>
                <w:numId w:val="45"/>
              </w:numPr>
              <w:wordWrap/>
              <w:spacing w:line="276" w:lineRule="auto"/>
              <w:ind w:left="269" w:hanging="269"/>
              <w:jc w:val="both"/>
              <w:cnfStyle w:val="000000000000"/>
              <w:rPr>
                <w:rStyle w:val="st"/>
                <w:rFonts w:asciiTheme="minorHAnsi" w:hAnsiTheme="minorHAnsi"/>
                <w:color w:val="auto"/>
                <w:sz w:val="16"/>
                <w:szCs w:val="16"/>
              </w:rPr>
            </w:pPr>
            <w:r w:rsidRPr="00F55729">
              <w:rPr>
                <w:rFonts w:asciiTheme="minorHAnsi" w:eastAsia="Calibri" w:hAnsiTheme="minorHAnsi"/>
                <w:color w:val="auto"/>
                <w:sz w:val="16"/>
                <w:szCs w:val="16"/>
              </w:rPr>
              <w:t>Fondo de Conservación Vial.</w:t>
            </w:r>
          </w:p>
        </w:tc>
        <w:tc>
          <w:tcPr>
            <w:tcW w:w="2993" w:type="dxa"/>
            <w:shd w:val="clear" w:color="auto" w:fill="auto"/>
          </w:tcPr>
          <w:p w:rsidR="00E13103" w:rsidRPr="00F55729" w:rsidRDefault="00E13103" w:rsidP="00E13103">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Grupo Cost El Salvador consolidado.</w:t>
            </w:r>
          </w:p>
          <w:p w:rsidR="00E13103" w:rsidRPr="00F55729" w:rsidRDefault="00E13103" w:rsidP="00E13103">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Plan de trabajo CoST elaborado.</w:t>
            </w:r>
          </w:p>
          <w:p w:rsidR="00E13103" w:rsidRPr="00F55729" w:rsidRDefault="00E13103" w:rsidP="00E13103">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F55729">
              <w:rPr>
                <w:rFonts w:asciiTheme="minorHAnsi" w:eastAsia="Calibri" w:hAnsiTheme="minorHAnsi"/>
                <w:color w:val="auto"/>
                <w:sz w:val="16"/>
                <w:szCs w:val="16"/>
              </w:rPr>
              <w:t>Portales de MOP y FOVIAL con información íntegra de los proyectos seleccionados.</w:t>
            </w:r>
          </w:p>
        </w:tc>
      </w:tr>
      <w:tr w:rsidR="00536858" w:rsidRPr="00F55729" w:rsidTr="005B45F3">
        <w:trPr>
          <w:cnfStyle w:val="000000100000"/>
        </w:trPr>
        <w:tc>
          <w:tcPr>
            <w:cnfStyle w:val="001000000000"/>
            <w:tcW w:w="2992" w:type="dxa"/>
            <w:tcBorders>
              <w:left w:val="none" w:sz="0" w:space="0" w:color="auto"/>
              <w:right w:val="none" w:sz="0" w:space="0" w:color="auto"/>
            </w:tcBorders>
            <w:shd w:val="clear" w:color="auto" w:fill="auto"/>
          </w:tcPr>
          <w:p w:rsidR="00536858" w:rsidRPr="00F55729" w:rsidRDefault="00536858" w:rsidP="00E13103">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Divulgar con la Iniciativa CoST, los pactos de integr</w:t>
            </w:r>
            <w:r w:rsidR="00E13103" w:rsidRPr="00F55729">
              <w:rPr>
                <w:rFonts w:asciiTheme="minorHAnsi" w:eastAsia="Calibri" w:hAnsiTheme="minorHAnsi"/>
                <w:b w:val="0"/>
                <w:color w:val="auto"/>
                <w:sz w:val="16"/>
                <w:szCs w:val="16"/>
              </w:rPr>
              <w:t xml:space="preserve">idad en las empresas privadas, </w:t>
            </w:r>
            <w:r w:rsidRPr="00F55729">
              <w:rPr>
                <w:rFonts w:asciiTheme="minorHAnsi" w:eastAsia="Calibri" w:hAnsiTheme="minorHAnsi"/>
                <w:b w:val="0"/>
                <w:color w:val="auto"/>
                <w:sz w:val="16"/>
                <w:szCs w:val="16"/>
              </w:rPr>
              <w:t>la implementación de la acción mult</w:t>
            </w:r>
            <w:r w:rsidR="00E13103" w:rsidRPr="00F55729">
              <w:rPr>
                <w:rFonts w:asciiTheme="minorHAnsi" w:eastAsia="Calibri" w:hAnsiTheme="minorHAnsi"/>
                <w:b w:val="0"/>
                <w:color w:val="auto"/>
                <w:sz w:val="16"/>
                <w:szCs w:val="16"/>
              </w:rPr>
              <w:t xml:space="preserve">i </w:t>
            </w:r>
            <w:r w:rsidRPr="00F55729">
              <w:rPr>
                <w:rFonts w:asciiTheme="minorHAnsi" w:eastAsia="Calibri" w:hAnsiTheme="minorHAnsi"/>
                <w:b w:val="0"/>
                <w:color w:val="auto"/>
                <w:sz w:val="16"/>
                <w:szCs w:val="16"/>
              </w:rPr>
              <w:t>a</w:t>
            </w:r>
            <w:r w:rsidR="00E13103" w:rsidRPr="00F55729">
              <w:rPr>
                <w:rFonts w:asciiTheme="minorHAnsi" w:eastAsia="Calibri" w:hAnsiTheme="minorHAnsi"/>
                <w:b w:val="0"/>
                <w:color w:val="auto"/>
                <w:sz w:val="16"/>
                <w:szCs w:val="16"/>
              </w:rPr>
              <w:t>c</w:t>
            </w:r>
            <w:r w:rsidRPr="00F55729">
              <w:rPr>
                <w:rFonts w:asciiTheme="minorHAnsi" w:eastAsia="Calibri" w:hAnsiTheme="minorHAnsi"/>
                <w:b w:val="0"/>
                <w:color w:val="auto"/>
                <w:sz w:val="16"/>
                <w:szCs w:val="16"/>
              </w:rPr>
              <w:t>tores</w:t>
            </w:r>
            <w:r w:rsidR="00E13103" w:rsidRPr="00F55729">
              <w:rPr>
                <w:rFonts w:asciiTheme="minorHAnsi" w:eastAsia="Calibri" w:hAnsiTheme="minorHAnsi"/>
                <w:b w:val="0"/>
                <w:color w:val="auto"/>
                <w:sz w:val="16"/>
                <w:szCs w:val="16"/>
              </w:rPr>
              <w:t xml:space="preserve"> y la creación de códigos de ética</w:t>
            </w:r>
            <w:r w:rsidRPr="00F55729">
              <w:rPr>
                <w:rFonts w:asciiTheme="minorHAnsi" w:eastAsia="Calibri" w:hAnsiTheme="minorHAnsi"/>
                <w:b w:val="0"/>
                <w:color w:val="auto"/>
                <w:sz w:val="16"/>
                <w:szCs w:val="16"/>
              </w:rPr>
              <w:t>.</w:t>
            </w:r>
          </w:p>
        </w:tc>
        <w:tc>
          <w:tcPr>
            <w:tcW w:w="2993" w:type="dxa"/>
            <w:tcBorders>
              <w:left w:val="none" w:sz="0" w:space="0" w:color="auto"/>
              <w:right w:val="none" w:sz="0" w:space="0" w:color="auto"/>
            </w:tcBorders>
            <w:shd w:val="clear" w:color="auto" w:fill="auto"/>
          </w:tcPr>
          <w:p w:rsidR="00536858" w:rsidRPr="00F55729" w:rsidRDefault="00536858" w:rsidP="009913DE">
            <w:pPr>
              <w:pStyle w:val="ParaAttribute2"/>
              <w:numPr>
                <w:ilvl w:val="0"/>
                <w:numId w:val="45"/>
              </w:numPr>
              <w:wordWrap/>
              <w:spacing w:line="276" w:lineRule="auto"/>
              <w:ind w:left="269" w:hanging="269"/>
              <w:jc w:val="both"/>
              <w:cnfStyle w:val="000000100000"/>
              <w:rPr>
                <w:rStyle w:val="st"/>
                <w:rFonts w:asciiTheme="minorHAnsi" w:hAnsiTheme="minorHAnsi"/>
                <w:color w:val="auto"/>
                <w:sz w:val="16"/>
                <w:szCs w:val="16"/>
              </w:rPr>
            </w:pPr>
            <w:r w:rsidRPr="00F55729">
              <w:rPr>
                <w:rStyle w:val="st"/>
                <w:rFonts w:asciiTheme="minorHAnsi" w:hAnsiTheme="minorHAnsi"/>
                <w:color w:val="auto"/>
                <w:sz w:val="16"/>
                <w:szCs w:val="16"/>
              </w:rPr>
              <w:t>Iniciativa CoST</w:t>
            </w:r>
          </w:p>
        </w:tc>
        <w:tc>
          <w:tcPr>
            <w:tcW w:w="2993" w:type="dxa"/>
            <w:tcBorders>
              <w:left w:val="none" w:sz="0" w:space="0" w:color="auto"/>
              <w:right w:val="none" w:sz="0" w:space="0" w:color="auto"/>
            </w:tcBorders>
            <w:shd w:val="clear" w:color="auto" w:fill="auto"/>
          </w:tcPr>
          <w:p w:rsidR="00536858" w:rsidRPr="00F55729" w:rsidRDefault="00E13103" w:rsidP="00536858">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 xml:space="preserve">Número de empresas privadas que se incorporan a </w:t>
            </w:r>
            <w:r w:rsidR="00CE46E4" w:rsidRPr="00F55729">
              <w:rPr>
                <w:rFonts w:asciiTheme="minorHAnsi" w:eastAsia="Calibri" w:hAnsiTheme="minorHAnsi"/>
                <w:color w:val="auto"/>
                <w:sz w:val="16"/>
                <w:szCs w:val="16"/>
              </w:rPr>
              <w:t>iniciativa</w:t>
            </w:r>
            <w:r w:rsidRPr="00F55729">
              <w:rPr>
                <w:rFonts w:asciiTheme="minorHAnsi" w:eastAsia="Calibri" w:hAnsiTheme="minorHAnsi"/>
                <w:color w:val="auto"/>
                <w:sz w:val="16"/>
                <w:szCs w:val="16"/>
              </w:rPr>
              <w:t xml:space="preserve"> CoST en otros proyectos de infraestructura.</w:t>
            </w:r>
          </w:p>
          <w:p w:rsidR="00E13103" w:rsidRPr="00F55729" w:rsidRDefault="00E13103" w:rsidP="00536858">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Número de empresas privadas que asumen Códigos de Ética.</w:t>
            </w:r>
          </w:p>
        </w:tc>
      </w:tr>
      <w:tr w:rsidR="00BD26E0" w:rsidRPr="00F55729" w:rsidTr="00C26FE9">
        <w:tc>
          <w:tcPr>
            <w:cnfStyle w:val="001000000000"/>
            <w:tcW w:w="2992" w:type="dxa"/>
            <w:tcBorders>
              <w:bottom w:val="single" w:sz="8" w:space="0" w:color="4F81BD" w:themeColor="accent1"/>
            </w:tcBorders>
            <w:shd w:val="clear" w:color="auto" w:fill="auto"/>
          </w:tcPr>
          <w:p w:rsidR="00BD26E0" w:rsidRPr="00BD26E0" w:rsidRDefault="00BD26E0" w:rsidP="00BD26E0">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BD26E0">
              <w:rPr>
                <w:rFonts w:asciiTheme="minorHAnsi" w:eastAsia="Calibri" w:hAnsiTheme="minorHAnsi"/>
                <w:b w:val="0"/>
                <w:color w:val="auto"/>
                <w:sz w:val="16"/>
                <w:szCs w:val="16"/>
              </w:rPr>
              <w:t>Promover la publicación de un “catálogo” de proyectos de infraestructura prioritarios para el Gobierno, con información consolidada</w:t>
            </w:r>
            <w:r>
              <w:rPr>
                <w:rFonts w:asciiTheme="minorHAnsi" w:eastAsia="Calibri" w:hAnsiTheme="minorHAnsi"/>
                <w:b w:val="0"/>
                <w:color w:val="auto"/>
                <w:sz w:val="16"/>
                <w:szCs w:val="16"/>
              </w:rPr>
              <w:t xml:space="preserve"> y con requisitos establecidos por Ley de Acceso a Información Pública</w:t>
            </w:r>
            <w:r w:rsidRPr="00BD26E0">
              <w:rPr>
                <w:rFonts w:asciiTheme="minorHAnsi" w:eastAsia="Calibri" w:hAnsiTheme="minorHAnsi"/>
                <w:b w:val="0"/>
                <w:color w:val="auto"/>
                <w:sz w:val="16"/>
                <w:szCs w:val="16"/>
              </w:rPr>
              <w:t>.</w:t>
            </w:r>
          </w:p>
        </w:tc>
        <w:tc>
          <w:tcPr>
            <w:tcW w:w="2993" w:type="dxa"/>
            <w:tcBorders>
              <w:bottom w:val="single" w:sz="8" w:space="0" w:color="4F81BD" w:themeColor="accent1"/>
            </w:tcBorders>
            <w:shd w:val="clear" w:color="auto" w:fill="auto"/>
          </w:tcPr>
          <w:p w:rsidR="00BD26E0" w:rsidRPr="00BD26E0" w:rsidRDefault="00BD26E0" w:rsidP="009913DE">
            <w:pPr>
              <w:pStyle w:val="ParaAttribute2"/>
              <w:numPr>
                <w:ilvl w:val="0"/>
                <w:numId w:val="45"/>
              </w:numPr>
              <w:wordWrap/>
              <w:spacing w:line="276" w:lineRule="auto"/>
              <w:ind w:left="269" w:hanging="269"/>
              <w:jc w:val="both"/>
              <w:cnfStyle w:val="000000000000"/>
              <w:rPr>
                <w:rStyle w:val="st"/>
                <w:rFonts w:asciiTheme="minorHAnsi" w:hAnsiTheme="minorHAnsi"/>
                <w:color w:val="auto"/>
                <w:sz w:val="16"/>
                <w:szCs w:val="16"/>
              </w:rPr>
            </w:pPr>
            <w:r w:rsidRPr="00BD26E0">
              <w:rPr>
                <w:rStyle w:val="st"/>
                <w:rFonts w:asciiTheme="minorHAnsi" w:hAnsiTheme="minorHAnsi"/>
                <w:color w:val="auto"/>
                <w:sz w:val="16"/>
                <w:szCs w:val="16"/>
              </w:rPr>
              <w:t>Iniciativa CoST</w:t>
            </w:r>
          </w:p>
        </w:tc>
        <w:tc>
          <w:tcPr>
            <w:tcW w:w="2993" w:type="dxa"/>
            <w:tcBorders>
              <w:bottom w:val="single" w:sz="8" w:space="0" w:color="4F81BD" w:themeColor="accent1"/>
            </w:tcBorders>
            <w:shd w:val="clear" w:color="auto" w:fill="auto"/>
          </w:tcPr>
          <w:p w:rsidR="00BD26E0" w:rsidRPr="00BD26E0" w:rsidRDefault="00BD26E0" w:rsidP="00536858">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BD26E0">
              <w:rPr>
                <w:rFonts w:asciiTheme="minorHAnsi" w:eastAsia="Calibri" w:hAnsiTheme="minorHAnsi"/>
                <w:color w:val="auto"/>
                <w:sz w:val="16"/>
                <w:szCs w:val="16"/>
              </w:rPr>
              <w:t>Información consolidada en portal Gobierno Abierto y sitio web de iniciativa CoST.</w:t>
            </w:r>
          </w:p>
        </w:tc>
      </w:tr>
      <w:tr w:rsidR="005B45F3" w:rsidRPr="00F55729" w:rsidTr="00C26FE9">
        <w:trPr>
          <w:cnfStyle w:val="000000100000"/>
        </w:trPr>
        <w:tc>
          <w:tcPr>
            <w:cnfStyle w:val="001000000000"/>
            <w:tcW w:w="2992" w:type="dxa"/>
            <w:tcBorders>
              <w:right w:val="single" w:sz="8" w:space="0" w:color="4F81BD" w:themeColor="accent1"/>
            </w:tcBorders>
            <w:shd w:val="clear" w:color="auto" w:fill="auto"/>
          </w:tcPr>
          <w:p w:rsidR="00BA6177" w:rsidRPr="00F55729" w:rsidRDefault="00BA6177" w:rsidP="00BA6177">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F55729">
              <w:rPr>
                <w:rFonts w:asciiTheme="minorHAnsi" w:eastAsia="Calibri" w:hAnsiTheme="minorHAnsi"/>
                <w:b w:val="0"/>
                <w:color w:val="auto"/>
                <w:sz w:val="16"/>
                <w:szCs w:val="16"/>
              </w:rPr>
              <w:t>Proponer pactos de integridad en la compra de Medicamentos.</w:t>
            </w:r>
          </w:p>
        </w:tc>
        <w:tc>
          <w:tcPr>
            <w:tcW w:w="2993" w:type="dxa"/>
            <w:tcBorders>
              <w:left w:val="single" w:sz="8" w:space="0" w:color="4F81BD" w:themeColor="accent1"/>
              <w:right w:val="single" w:sz="8" w:space="0" w:color="4F81BD" w:themeColor="accent1"/>
            </w:tcBorders>
            <w:shd w:val="clear" w:color="auto" w:fill="auto"/>
          </w:tcPr>
          <w:p w:rsidR="00BA6177" w:rsidRPr="00F55729" w:rsidRDefault="00BA6177" w:rsidP="00CE72CF">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Subsecretaría de Transparencia.</w:t>
            </w:r>
          </w:p>
          <w:p w:rsidR="00BA6177" w:rsidRPr="00F55729" w:rsidRDefault="00BA6177" w:rsidP="00CE72CF">
            <w:pPr>
              <w:pStyle w:val="ParaAttribute2"/>
              <w:numPr>
                <w:ilvl w:val="0"/>
                <w:numId w:val="45"/>
              </w:numPr>
              <w:wordWrap/>
              <w:spacing w:line="276" w:lineRule="auto"/>
              <w:ind w:left="269" w:hanging="269"/>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Propone a Dirección Nacional de Medicamentos y Ministerio de Salud.</w:t>
            </w:r>
          </w:p>
        </w:tc>
        <w:tc>
          <w:tcPr>
            <w:tcW w:w="2993" w:type="dxa"/>
            <w:tcBorders>
              <w:left w:val="single" w:sz="8" w:space="0" w:color="4F81BD" w:themeColor="accent1"/>
            </w:tcBorders>
            <w:shd w:val="clear" w:color="auto" w:fill="auto"/>
          </w:tcPr>
          <w:p w:rsidR="00BA6177" w:rsidRPr="00F55729" w:rsidRDefault="00BA6177" w:rsidP="00CE72CF">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Pactos impulsados.</w:t>
            </w:r>
          </w:p>
          <w:p w:rsidR="00BA6177" w:rsidRPr="00F55729" w:rsidRDefault="00BA6177" w:rsidP="00CE72CF">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Testigo social establecido.</w:t>
            </w:r>
          </w:p>
          <w:p w:rsidR="00BA6177" w:rsidRPr="00F55729" w:rsidRDefault="00BA6177" w:rsidP="00CE72CF">
            <w:pPr>
              <w:pStyle w:val="ParaAttribute2"/>
              <w:numPr>
                <w:ilvl w:val="0"/>
                <w:numId w:val="42"/>
              </w:numPr>
              <w:wordWrap/>
              <w:spacing w:line="276" w:lineRule="auto"/>
              <w:ind w:left="252" w:hanging="252"/>
              <w:jc w:val="both"/>
              <w:cnfStyle w:val="000000100000"/>
              <w:rPr>
                <w:rFonts w:asciiTheme="minorHAnsi" w:eastAsia="Calibri" w:hAnsiTheme="minorHAnsi"/>
                <w:color w:val="auto"/>
                <w:sz w:val="16"/>
                <w:szCs w:val="16"/>
              </w:rPr>
            </w:pPr>
            <w:r w:rsidRPr="00F55729">
              <w:rPr>
                <w:rFonts w:asciiTheme="minorHAnsi" w:eastAsia="Calibri" w:hAnsiTheme="minorHAnsi"/>
                <w:color w:val="auto"/>
                <w:sz w:val="16"/>
                <w:szCs w:val="16"/>
              </w:rPr>
              <w:t>Informes publicados.</w:t>
            </w:r>
          </w:p>
        </w:tc>
      </w:tr>
      <w:tr w:rsidR="00C26FE9" w:rsidRPr="00F55729" w:rsidTr="00C26FE9">
        <w:tc>
          <w:tcPr>
            <w:cnfStyle w:val="001000000000"/>
            <w:tcW w:w="2992" w:type="dxa"/>
            <w:tcBorders>
              <w:right w:val="single" w:sz="8" w:space="0" w:color="4F81BD" w:themeColor="accent1"/>
            </w:tcBorders>
            <w:shd w:val="clear" w:color="auto" w:fill="auto"/>
          </w:tcPr>
          <w:p w:rsidR="00C26FE9" w:rsidRPr="00C26FE9" w:rsidRDefault="00C26FE9" w:rsidP="00BA6177">
            <w:pPr>
              <w:pStyle w:val="ParaAttribute2"/>
              <w:numPr>
                <w:ilvl w:val="0"/>
                <w:numId w:val="50"/>
              </w:numPr>
              <w:wordWrap/>
              <w:spacing w:line="276" w:lineRule="auto"/>
              <w:ind w:left="142" w:hanging="142"/>
              <w:jc w:val="both"/>
              <w:rPr>
                <w:rFonts w:asciiTheme="minorHAnsi" w:eastAsia="Calibri" w:hAnsiTheme="minorHAnsi"/>
                <w:b w:val="0"/>
                <w:color w:val="auto"/>
                <w:sz w:val="16"/>
                <w:szCs w:val="16"/>
              </w:rPr>
            </w:pPr>
            <w:r w:rsidRPr="00C26FE9">
              <w:rPr>
                <w:rFonts w:asciiTheme="minorHAnsi" w:eastAsia="Calibri" w:hAnsiTheme="minorHAnsi"/>
                <w:b w:val="0"/>
                <w:color w:val="auto"/>
                <w:sz w:val="16"/>
                <w:szCs w:val="16"/>
              </w:rPr>
              <w:t>Crear una alianza con la Superintendencia del Sistema Financiero para incorporar al portal InfoÚtil el ranking que publica trimestralmente sobre información de comisiones y requisitos e intereses de los préstamos bancarios.</w:t>
            </w:r>
          </w:p>
        </w:tc>
        <w:tc>
          <w:tcPr>
            <w:tcW w:w="2993" w:type="dxa"/>
            <w:tcBorders>
              <w:left w:val="single" w:sz="8" w:space="0" w:color="4F81BD" w:themeColor="accent1"/>
              <w:right w:val="single" w:sz="8" w:space="0" w:color="4F81BD" w:themeColor="accent1"/>
            </w:tcBorders>
            <w:shd w:val="clear" w:color="auto" w:fill="auto"/>
          </w:tcPr>
          <w:p w:rsidR="00C26FE9" w:rsidRPr="00C26FE9" w:rsidRDefault="00C26FE9" w:rsidP="00CE72CF">
            <w:pPr>
              <w:pStyle w:val="ParaAttribute2"/>
              <w:numPr>
                <w:ilvl w:val="0"/>
                <w:numId w:val="45"/>
              </w:numPr>
              <w:wordWrap/>
              <w:spacing w:line="276" w:lineRule="auto"/>
              <w:ind w:left="269" w:hanging="269"/>
              <w:jc w:val="both"/>
              <w:cnfStyle w:val="000000000000"/>
              <w:rPr>
                <w:rFonts w:asciiTheme="minorHAnsi" w:eastAsia="Calibri" w:hAnsiTheme="minorHAnsi"/>
                <w:color w:val="auto"/>
                <w:sz w:val="16"/>
                <w:szCs w:val="16"/>
              </w:rPr>
            </w:pPr>
            <w:r w:rsidRPr="00C26FE9">
              <w:rPr>
                <w:rFonts w:asciiTheme="minorHAnsi" w:eastAsia="Calibri" w:hAnsiTheme="minorHAnsi"/>
                <w:color w:val="auto"/>
                <w:sz w:val="16"/>
                <w:szCs w:val="16"/>
              </w:rPr>
              <w:t>Subsecretaría de Transparencia y Anticorrupción.</w:t>
            </w:r>
          </w:p>
        </w:tc>
        <w:tc>
          <w:tcPr>
            <w:tcW w:w="2993" w:type="dxa"/>
            <w:tcBorders>
              <w:left w:val="single" w:sz="8" w:space="0" w:color="4F81BD" w:themeColor="accent1"/>
            </w:tcBorders>
            <w:shd w:val="clear" w:color="auto" w:fill="auto"/>
          </w:tcPr>
          <w:p w:rsidR="00C26FE9" w:rsidRPr="00C26FE9" w:rsidRDefault="00C26FE9" w:rsidP="00CE72CF">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C26FE9">
              <w:rPr>
                <w:rFonts w:asciiTheme="minorHAnsi" w:eastAsia="Calibri" w:hAnsiTheme="minorHAnsi"/>
                <w:color w:val="auto"/>
                <w:sz w:val="16"/>
                <w:szCs w:val="16"/>
              </w:rPr>
              <w:t>Información publicada en InfoÚtil.</w:t>
            </w:r>
          </w:p>
          <w:p w:rsidR="00C26FE9" w:rsidRPr="00C26FE9" w:rsidRDefault="00C26FE9" w:rsidP="00CE72CF">
            <w:pPr>
              <w:pStyle w:val="ParaAttribute2"/>
              <w:numPr>
                <w:ilvl w:val="0"/>
                <w:numId w:val="42"/>
              </w:numPr>
              <w:wordWrap/>
              <w:spacing w:line="276" w:lineRule="auto"/>
              <w:ind w:left="252" w:hanging="252"/>
              <w:jc w:val="both"/>
              <w:cnfStyle w:val="000000000000"/>
              <w:rPr>
                <w:rFonts w:asciiTheme="minorHAnsi" w:eastAsia="Calibri" w:hAnsiTheme="minorHAnsi"/>
                <w:color w:val="auto"/>
                <w:sz w:val="16"/>
                <w:szCs w:val="16"/>
              </w:rPr>
            </w:pPr>
            <w:r w:rsidRPr="00C26FE9">
              <w:rPr>
                <w:rFonts w:asciiTheme="minorHAnsi" w:eastAsia="Calibri" w:hAnsiTheme="minorHAnsi"/>
                <w:color w:val="auto"/>
                <w:sz w:val="16"/>
                <w:szCs w:val="16"/>
              </w:rPr>
              <w:t>Herramientas de acceso para personas que no cuentan con internet, en formato de lectura fácil.</w:t>
            </w:r>
          </w:p>
        </w:tc>
      </w:tr>
    </w:tbl>
    <w:p w:rsidR="00546D96" w:rsidRDefault="00546D96" w:rsidP="00171EF8">
      <w:pPr>
        <w:pStyle w:val="ParaAttribute2"/>
        <w:wordWrap/>
        <w:spacing w:after="0" w:line="276" w:lineRule="auto"/>
        <w:jc w:val="both"/>
        <w:rPr>
          <w:rFonts w:asciiTheme="minorHAnsi" w:eastAsia="Calibri" w:hAnsiTheme="minorHAnsi"/>
          <w:sz w:val="22"/>
          <w:szCs w:val="22"/>
        </w:rPr>
      </w:pPr>
    </w:p>
    <w:p w:rsidR="00F55729" w:rsidRDefault="00F55729" w:rsidP="00171EF8">
      <w:pPr>
        <w:pStyle w:val="ParaAttribute2"/>
        <w:wordWrap/>
        <w:spacing w:after="0" w:line="276" w:lineRule="auto"/>
        <w:jc w:val="both"/>
        <w:rPr>
          <w:rFonts w:asciiTheme="minorHAnsi" w:eastAsia="Calibri" w:hAnsiTheme="minorHAnsi"/>
          <w:sz w:val="22"/>
          <w:szCs w:val="22"/>
        </w:rPr>
      </w:pPr>
    </w:p>
    <w:p w:rsidR="00F55729" w:rsidRDefault="00F55729" w:rsidP="00171EF8">
      <w:pPr>
        <w:pStyle w:val="ParaAttribute2"/>
        <w:wordWrap/>
        <w:spacing w:after="0" w:line="276" w:lineRule="auto"/>
        <w:jc w:val="both"/>
        <w:rPr>
          <w:rFonts w:asciiTheme="minorHAnsi" w:eastAsia="Calibri" w:hAnsiTheme="minorHAnsi"/>
          <w:sz w:val="22"/>
          <w:szCs w:val="22"/>
        </w:rPr>
      </w:pPr>
    </w:p>
    <w:p w:rsidR="00F55729" w:rsidRDefault="00F55729"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BA6177" w:rsidRDefault="00BA6177"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D40F96" w:rsidRDefault="00D40F96" w:rsidP="00171EF8">
      <w:pPr>
        <w:pStyle w:val="ParaAttribute2"/>
        <w:wordWrap/>
        <w:spacing w:after="0" w:line="276" w:lineRule="auto"/>
        <w:jc w:val="both"/>
        <w:rPr>
          <w:rFonts w:asciiTheme="minorHAnsi" w:eastAsia="Calibri" w:hAnsiTheme="minorHAnsi"/>
          <w:sz w:val="22"/>
          <w:szCs w:val="22"/>
        </w:rPr>
      </w:pPr>
    </w:p>
    <w:p w:rsidR="00F55729" w:rsidRDefault="00F55729" w:rsidP="00171EF8">
      <w:pPr>
        <w:pStyle w:val="ParaAttribute2"/>
        <w:wordWrap/>
        <w:spacing w:after="0" w:line="276" w:lineRule="auto"/>
        <w:jc w:val="both"/>
        <w:rPr>
          <w:rFonts w:asciiTheme="minorHAnsi" w:eastAsia="Calibri" w:hAnsiTheme="minorHAnsi"/>
          <w:sz w:val="22"/>
          <w:szCs w:val="22"/>
        </w:rPr>
      </w:pPr>
    </w:p>
    <w:p w:rsidR="00546D96" w:rsidRDefault="00CE46E4" w:rsidP="00546D96">
      <w:pPr>
        <w:pStyle w:val="Ttulo1"/>
        <w:rPr>
          <w:rFonts w:eastAsia="Calibri"/>
        </w:rPr>
      </w:pPr>
      <w:bookmarkStart w:id="14" w:name="_Toc368249591"/>
      <w:r>
        <w:rPr>
          <w:rFonts w:eastAsia="Calibri"/>
        </w:rPr>
        <w:t xml:space="preserve">III. </w:t>
      </w:r>
      <w:r w:rsidR="00546D96">
        <w:rPr>
          <w:rFonts w:eastAsia="Calibri"/>
        </w:rPr>
        <w:t>Del seguimiento y evaluación del plan</w:t>
      </w:r>
      <w:bookmarkEnd w:id="14"/>
    </w:p>
    <w:p w:rsidR="00DA74ED" w:rsidRDefault="00DA74ED" w:rsidP="00171EF8">
      <w:pPr>
        <w:pStyle w:val="ParaAttribute2"/>
        <w:wordWrap/>
        <w:spacing w:after="0" w:line="276" w:lineRule="auto"/>
        <w:jc w:val="both"/>
        <w:rPr>
          <w:rFonts w:asciiTheme="minorHAnsi" w:eastAsia="Calibri" w:hAnsiTheme="minorHAnsi"/>
          <w:sz w:val="22"/>
          <w:szCs w:val="22"/>
        </w:rPr>
      </w:pPr>
    </w:p>
    <w:p w:rsidR="00546D96" w:rsidRDefault="00F12DE5" w:rsidP="00546D96">
      <w:pPr>
        <w:pStyle w:val="Ttulo2"/>
        <w:rPr>
          <w:rFonts w:eastAsia="Calibri"/>
        </w:rPr>
      </w:pPr>
      <w:bookmarkStart w:id="15" w:name="_Toc368249592"/>
      <w:r>
        <w:rPr>
          <w:rFonts w:eastAsia="Calibri"/>
        </w:rPr>
        <w:t xml:space="preserve">III.1 </w:t>
      </w:r>
      <w:proofErr w:type="spellStart"/>
      <w:r w:rsidR="00546D96">
        <w:rPr>
          <w:rFonts w:eastAsia="Calibri"/>
        </w:rPr>
        <w:t>Participantes</w:t>
      </w:r>
      <w:bookmarkEnd w:id="15"/>
      <w:proofErr w:type="spellEnd"/>
    </w:p>
    <w:p w:rsidR="00546D96" w:rsidRDefault="00546D96" w:rsidP="00546D96">
      <w:pPr>
        <w:pStyle w:val="ParaAttribute2"/>
        <w:wordWrap/>
        <w:spacing w:after="0" w:line="276" w:lineRule="auto"/>
        <w:jc w:val="both"/>
        <w:rPr>
          <w:rFonts w:asciiTheme="minorHAnsi" w:eastAsia="Calibri" w:hAnsiTheme="minorHAnsi"/>
          <w:sz w:val="22"/>
          <w:szCs w:val="22"/>
        </w:rPr>
      </w:pPr>
    </w:p>
    <w:p w:rsidR="00BA6177" w:rsidRDefault="00BA6177" w:rsidP="00546D96">
      <w:pPr>
        <w:pStyle w:val="ParaAttribute2"/>
        <w:wordWrap/>
        <w:spacing w:after="0" w:line="276" w:lineRule="auto"/>
        <w:jc w:val="both"/>
        <w:rPr>
          <w:rFonts w:asciiTheme="minorHAnsi" w:eastAsia="Calibri" w:hAnsiTheme="minorHAnsi"/>
          <w:sz w:val="22"/>
          <w:szCs w:val="22"/>
        </w:rPr>
      </w:pPr>
      <w:r>
        <w:rPr>
          <w:rFonts w:asciiTheme="minorHAnsi" w:eastAsia="Calibri" w:hAnsiTheme="minorHAnsi"/>
          <w:sz w:val="22"/>
          <w:szCs w:val="22"/>
        </w:rPr>
        <w:t xml:space="preserve">Los entes estatales involucrados en el plan se convertirán en el </w:t>
      </w:r>
      <w:r w:rsidR="00D40F96">
        <w:rPr>
          <w:rFonts w:asciiTheme="minorHAnsi" w:eastAsia="Calibri" w:hAnsiTheme="minorHAnsi"/>
          <w:sz w:val="22"/>
          <w:szCs w:val="22"/>
        </w:rPr>
        <w:t>agente</w:t>
      </w:r>
      <w:r>
        <w:rPr>
          <w:rFonts w:asciiTheme="minorHAnsi" w:eastAsia="Calibri" w:hAnsiTheme="minorHAnsi"/>
          <w:sz w:val="22"/>
          <w:szCs w:val="22"/>
        </w:rPr>
        <w:t xml:space="preserve"> promotor de la Alianza por el Gobierno Abierto, diseñando para ello sus propios acuerdos de funcionamiento, los cuales determinarán periodicidad de reuniones de seguimiento y evaluación de avances.</w:t>
      </w:r>
    </w:p>
    <w:p w:rsidR="00BA6177" w:rsidRDefault="00BA6177" w:rsidP="00546D96">
      <w:pPr>
        <w:pStyle w:val="ParaAttribute2"/>
        <w:wordWrap/>
        <w:spacing w:after="0" w:line="276" w:lineRule="auto"/>
        <w:jc w:val="both"/>
        <w:rPr>
          <w:rFonts w:asciiTheme="minorHAnsi" w:eastAsia="Calibri" w:hAnsiTheme="minorHAnsi"/>
          <w:sz w:val="22"/>
          <w:szCs w:val="22"/>
        </w:rPr>
      </w:pPr>
    </w:p>
    <w:p w:rsidR="00546D96" w:rsidRPr="00171EF8" w:rsidRDefault="00546D96" w:rsidP="00546D96">
      <w:pPr>
        <w:pStyle w:val="ParaAttribute2"/>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Como entes de seguimiento y evaluación, externa a las entidades del Estado, participarán las siguientes organizaciones no gubernamentales, sin perjuicio de posteriores incorporaciones:</w:t>
      </w:r>
    </w:p>
    <w:p w:rsidR="00546D96" w:rsidRPr="00171EF8" w:rsidRDefault="00546D96" w:rsidP="00546D96">
      <w:pPr>
        <w:pStyle w:val="ParaAttribute2"/>
        <w:wordWrap/>
        <w:spacing w:after="0" w:line="276" w:lineRule="auto"/>
        <w:jc w:val="both"/>
        <w:rPr>
          <w:rFonts w:asciiTheme="minorHAnsi" w:eastAsia="Calibri" w:hAnsiTheme="minorHAnsi"/>
          <w:sz w:val="22"/>
          <w:szCs w:val="22"/>
        </w:rPr>
      </w:pPr>
    </w:p>
    <w:p w:rsidR="00546D96" w:rsidRPr="00171EF8" w:rsidRDefault="00546D96" w:rsidP="00F55729">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Iniciativa Social para la Democracia</w:t>
      </w:r>
      <w:r>
        <w:rPr>
          <w:rFonts w:asciiTheme="minorHAnsi" w:eastAsia="Calibri" w:hAnsiTheme="minorHAnsi"/>
          <w:sz w:val="22"/>
          <w:szCs w:val="22"/>
        </w:rPr>
        <w:t xml:space="preserve"> (ISD) – </w:t>
      </w:r>
      <w:hyperlink r:id="rId17" w:history="1">
        <w:r w:rsidRPr="00447458">
          <w:rPr>
            <w:rStyle w:val="Hipervnculo"/>
            <w:rFonts w:asciiTheme="minorHAnsi" w:eastAsia="Calibri" w:hAnsiTheme="minorHAnsi"/>
            <w:sz w:val="22"/>
            <w:szCs w:val="22"/>
          </w:rPr>
          <w:t>www.isd.org.sv</w:t>
        </w:r>
      </w:hyperlink>
      <w:r>
        <w:rPr>
          <w:rFonts w:asciiTheme="minorHAnsi" w:eastAsia="Calibri" w:hAnsiTheme="minorHAnsi"/>
          <w:sz w:val="22"/>
          <w:szCs w:val="22"/>
        </w:rPr>
        <w:t xml:space="preserve"> </w:t>
      </w:r>
    </w:p>
    <w:p w:rsidR="00546D96" w:rsidRPr="00FB62ED" w:rsidRDefault="00546D96" w:rsidP="00546D96">
      <w:pPr>
        <w:pStyle w:val="ParaAttribute2"/>
        <w:wordWrap/>
        <w:spacing w:after="0" w:line="276" w:lineRule="auto"/>
        <w:jc w:val="both"/>
        <w:rPr>
          <w:rFonts w:asciiTheme="minorHAnsi" w:hAnsiTheme="minorHAnsi"/>
          <w:sz w:val="22"/>
          <w:szCs w:val="22"/>
        </w:rPr>
      </w:pPr>
      <w:r w:rsidRPr="00FB62ED">
        <w:rPr>
          <w:rFonts w:asciiTheme="minorHAnsi" w:eastAsia="Calibri" w:hAnsiTheme="minorHAnsi"/>
          <w:sz w:val="22"/>
          <w:szCs w:val="22"/>
        </w:rPr>
        <w:t>Asociación cívico política, cuya misión es p</w:t>
      </w:r>
      <w:r w:rsidRPr="00FB62ED">
        <w:rPr>
          <w:rFonts w:asciiTheme="minorHAnsi" w:hAnsiTheme="minorHAnsi"/>
          <w:sz w:val="22"/>
          <w:szCs w:val="22"/>
        </w:rPr>
        <w:t>romover procesos de participación social y ciudadana, de transparencia pública, e incidencia política a través de la educación cívica, la organización, el control social y la generación de propuestas que  eleven las capacidades de la sociedad civil y las instituciones gubernamentales locales y nacionales.</w:t>
      </w:r>
    </w:p>
    <w:p w:rsidR="00546D96" w:rsidRPr="00171EF8" w:rsidRDefault="00546D96" w:rsidP="00546D96">
      <w:pPr>
        <w:pStyle w:val="ParaAttribute2"/>
        <w:wordWrap/>
        <w:spacing w:after="0" w:line="276" w:lineRule="auto"/>
        <w:jc w:val="both"/>
        <w:rPr>
          <w:rFonts w:asciiTheme="minorHAnsi" w:eastAsia="Calibr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Fundación Nacional para el Desarrollo</w:t>
      </w:r>
      <w:r>
        <w:rPr>
          <w:rFonts w:asciiTheme="minorHAnsi" w:eastAsia="Calibri" w:hAnsiTheme="minorHAnsi"/>
          <w:sz w:val="22"/>
          <w:szCs w:val="22"/>
        </w:rPr>
        <w:t xml:space="preserve"> (FUNDE) – </w:t>
      </w:r>
      <w:hyperlink r:id="rId18" w:history="1">
        <w:r w:rsidRPr="00447458">
          <w:rPr>
            <w:rStyle w:val="Hipervnculo"/>
            <w:rFonts w:asciiTheme="minorHAnsi" w:eastAsia="Calibri" w:hAnsiTheme="minorHAnsi"/>
            <w:sz w:val="22"/>
            <w:szCs w:val="22"/>
          </w:rPr>
          <w:t>www.funde.org</w:t>
        </w:r>
      </w:hyperlink>
      <w:r>
        <w:rPr>
          <w:rFonts w:asciiTheme="minorHAnsi" w:eastAsia="Calibri" w:hAnsiTheme="minorHAnsi"/>
          <w:sz w:val="22"/>
          <w:szCs w:val="22"/>
        </w:rPr>
        <w:t xml:space="preserve"> </w:t>
      </w:r>
    </w:p>
    <w:p w:rsidR="00546D96" w:rsidRPr="00FB62ED" w:rsidRDefault="00546D96" w:rsidP="00546D96">
      <w:pPr>
        <w:pStyle w:val="ParaAttribute2"/>
        <w:wordWrap/>
        <w:spacing w:after="0" w:line="276" w:lineRule="auto"/>
        <w:jc w:val="both"/>
        <w:rPr>
          <w:rFonts w:asciiTheme="minorHAnsi" w:hAnsiTheme="minorHAnsi"/>
          <w:sz w:val="22"/>
          <w:szCs w:val="22"/>
        </w:rPr>
      </w:pPr>
      <w:r w:rsidRPr="00FB62ED">
        <w:rPr>
          <w:rFonts w:asciiTheme="minorHAnsi" w:hAnsiTheme="minorHAnsi"/>
          <w:sz w:val="22"/>
          <w:szCs w:val="22"/>
        </w:rPr>
        <w:t>Institución de investigación, formulación de políticas socioeconómicas, cabildeo y promoción del desarrollo, teniendo como principal destinatario los sectores más desfavorecidos de la población.</w:t>
      </w:r>
    </w:p>
    <w:p w:rsidR="00546D96" w:rsidRPr="00FB62ED" w:rsidRDefault="00546D96" w:rsidP="00546D96">
      <w:pPr>
        <w:pStyle w:val="ParaAttribute2"/>
        <w:wordWrap/>
        <w:spacing w:after="0" w:line="276" w:lineRule="auto"/>
        <w:jc w:val="both"/>
        <w:rPr>
          <w:rFonts w:asciiTheme="minorHAnsi" w:eastAsia="Calibr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Fundación Salvadoreña para el Desarrollo Económico y Social</w:t>
      </w:r>
      <w:r>
        <w:rPr>
          <w:rFonts w:asciiTheme="minorHAnsi" w:eastAsia="Calibri" w:hAnsiTheme="minorHAnsi"/>
          <w:sz w:val="22"/>
          <w:szCs w:val="22"/>
        </w:rPr>
        <w:t xml:space="preserve"> (FUSADES) - </w:t>
      </w:r>
      <w:hyperlink r:id="rId19" w:history="1">
        <w:r w:rsidRPr="00447458">
          <w:rPr>
            <w:rStyle w:val="Hipervnculo"/>
            <w:rFonts w:asciiTheme="minorHAnsi" w:eastAsia="Calibri" w:hAnsiTheme="minorHAnsi"/>
            <w:sz w:val="22"/>
            <w:szCs w:val="22"/>
          </w:rPr>
          <w:t>http://www.fusades.com.sv</w:t>
        </w:r>
      </w:hyperlink>
      <w:r>
        <w:rPr>
          <w:rFonts w:asciiTheme="minorHAnsi" w:eastAsia="Calibri" w:hAnsiTheme="minorHAnsi"/>
          <w:sz w:val="22"/>
          <w:szCs w:val="22"/>
        </w:rPr>
        <w:t xml:space="preserve"> </w:t>
      </w:r>
    </w:p>
    <w:p w:rsidR="00546D96" w:rsidRDefault="00546D96" w:rsidP="00546D96">
      <w:pPr>
        <w:pStyle w:val="ParaAttribute2"/>
        <w:wordWrap/>
        <w:spacing w:after="0" w:line="276" w:lineRule="auto"/>
        <w:jc w:val="both"/>
        <w:rPr>
          <w:rFonts w:asciiTheme="minorHAnsi" w:hAnsiTheme="minorHAnsi"/>
          <w:sz w:val="22"/>
          <w:szCs w:val="22"/>
        </w:rPr>
      </w:pPr>
      <w:r>
        <w:rPr>
          <w:rFonts w:asciiTheme="minorHAnsi" w:hAnsiTheme="minorHAnsi"/>
          <w:sz w:val="22"/>
          <w:szCs w:val="22"/>
        </w:rPr>
        <w:t>O</w:t>
      </w:r>
      <w:r w:rsidRPr="00FB62ED">
        <w:rPr>
          <w:rFonts w:asciiTheme="minorHAnsi" w:hAnsiTheme="minorHAnsi"/>
          <w:sz w:val="22"/>
          <w:szCs w:val="22"/>
        </w:rPr>
        <w:t>rganización privada de desarrollo, sin fines de lucro, se dedica a la búsqueda permanente del bien común, teniendo como razón de ser y de gestión a la persona humana. Su estrategia de trabajo consiste en promover propuestas de políticas públicas en los campos económico, social, legal e institucional, las cuales se presentan a la sociedad salvadoreña.</w:t>
      </w:r>
    </w:p>
    <w:p w:rsidR="00546D96" w:rsidRPr="00FB62ED" w:rsidRDefault="00546D96" w:rsidP="00546D96">
      <w:pPr>
        <w:pStyle w:val="ParaAttribute2"/>
        <w:wordWrap/>
        <w:spacing w:after="0" w:line="276" w:lineRule="auto"/>
        <w:jc w:val="both"/>
        <w:rPr>
          <w:rFonts w:asciiTheme="minorHAnsi" w:eastAsia="Calibr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Asociación de Periodistas del El Salvador</w:t>
      </w:r>
      <w:r>
        <w:rPr>
          <w:rFonts w:asciiTheme="minorHAnsi" w:eastAsia="Calibri" w:hAnsiTheme="minorHAnsi"/>
          <w:sz w:val="22"/>
          <w:szCs w:val="22"/>
        </w:rPr>
        <w:t xml:space="preserve"> (APES) – </w:t>
      </w:r>
      <w:hyperlink r:id="rId20" w:history="1">
        <w:r w:rsidRPr="00DA74ED">
          <w:rPr>
            <w:rStyle w:val="Hipervnculo"/>
            <w:rFonts w:asciiTheme="minorHAnsi" w:eastAsia="Calibri" w:hAnsiTheme="minorHAnsi"/>
            <w:sz w:val="22"/>
            <w:szCs w:val="22"/>
          </w:rPr>
          <w:t>www.</w:t>
        </w:r>
        <w:r w:rsidRPr="00DA74ED">
          <w:rPr>
            <w:rStyle w:val="Hipervnculo"/>
            <w:rFonts w:asciiTheme="minorHAnsi" w:hAnsiTheme="minorHAnsi"/>
            <w:sz w:val="22"/>
            <w:szCs w:val="22"/>
          </w:rPr>
          <w:t>apes.org.sv</w:t>
        </w:r>
      </w:hyperlink>
      <w:r>
        <w:rPr>
          <w:rStyle w:val="resulturl"/>
        </w:rPr>
        <w:t xml:space="preserve">  </w:t>
      </w:r>
    </w:p>
    <w:p w:rsidR="00546D96" w:rsidRPr="00FB62ED" w:rsidRDefault="00546D96" w:rsidP="00546D96">
      <w:pPr>
        <w:pStyle w:val="ParaAttribute2"/>
        <w:wordWrap/>
        <w:spacing w:after="0" w:line="276" w:lineRule="auto"/>
        <w:jc w:val="both"/>
        <w:rPr>
          <w:rFonts w:asciiTheme="minorHAnsi" w:hAnsiTheme="minorHAnsi"/>
          <w:sz w:val="22"/>
          <w:szCs w:val="22"/>
        </w:rPr>
      </w:pPr>
      <w:r w:rsidRPr="00FB62ED">
        <w:rPr>
          <w:rFonts w:asciiTheme="minorHAnsi" w:hAnsiTheme="minorHAnsi"/>
          <w:sz w:val="22"/>
          <w:szCs w:val="22"/>
        </w:rPr>
        <w:t>Institución apolítica, no lucrativa ni religiosa, que agremia a periodistas de diversos medios de comunicación y de instituciones públicas y privadas, así como a académicos del área.</w:t>
      </w:r>
    </w:p>
    <w:p w:rsidR="00546D96" w:rsidRPr="00171EF8" w:rsidRDefault="00546D96" w:rsidP="00546D96">
      <w:pPr>
        <w:pStyle w:val="ParaAttribute2"/>
        <w:wordWrap/>
        <w:spacing w:after="0" w:line="276" w:lineRule="auto"/>
        <w:jc w:val="both"/>
        <w:rPr>
          <w:rFonts w:asciiTheme="minorHAnsi" w:eastAsia="Calibr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Fundación Maquilishuat</w:t>
      </w:r>
      <w:r>
        <w:rPr>
          <w:rFonts w:asciiTheme="minorHAnsi" w:eastAsia="Calibri" w:hAnsiTheme="minorHAnsi"/>
          <w:sz w:val="22"/>
          <w:szCs w:val="22"/>
        </w:rPr>
        <w:t xml:space="preserve"> (FUMA) - </w:t>
      </w:r>
      <w:hyperlink r:id="rId21" w:history="1">
        <w:r w:rsidRPr="00447458">
          <w:rPr>
            <w:rStyle w:val="Hipervnculo"/>
            <w:rFonts w:asciiTheme="minorHAnsi" w:hAnsiTheme="minorHAnsi"/>
            <w:sz w:val="22"/>
            <w:szCs w:val="22"/>
          </w:rPr>
          <w:t>www.fuma.org.sv</w:t>
        </w:r>
      </w:hyperlink>
      <w:r>
        <w:rPr>
          <w:rStyle w:val="resulturl"/>
          <w:rFonts w:asciiTheme="minorHAnsi" w:hAnsiTheme="minorHAnsi"/>
          <w:sz w:val="22"/>
          <w:szCs w:val="22"/>
        </w:rPr>
        <w:t xml:space="preserve"> </w:t>
      </w:r>
    </w:p>
    <w:p w:rsidR="00546D96" w:rsidRDefault="00546D96" w:rsidP="00546D96">
      <w:pPr>
        <w:pStyle w:val="ParaAttribute2"/>
        <w:wordWrap/>
        <w:spacing w:after="0" w:line="276" w:lineRule="auto"/>
        <w:jc w:val="both"/>
        <w:rPr>
          <w:rFonts w:asciiTheme="minorHAnsi" w:hAnsiTheme="minorHAnsi"/>
          <w:sz w:val="22"/>
          <w:szCs w:val="22"/>
        </w:rPr>
      </w:pPr>
      <w:r w:rsidRPr="00FB62ED">
        <w:rPr>
          <w:rFonts w:asciiTheme="minorHAnsi" w:hAnsiTheme="minorHAnsi"/>
          <w:sz w:val="22"/>
          <w:szCs w:val="22"/>
        </w:rPr>
        <w:t>Institución apolítica, sin ninguna filiación religiosa; su accionar se basa en el principio de solidaridad humana y reconoce como parte de su misión la incidencia en las políticas sociales del país en general y de la política sanitaria en particular.</w:t>
      </w:r>
    </w:p>
    <w:p w:rsidR="00546D96" w:rsidRDefault="00546D96" w:rsidP="00546D96">
      <w:pPr>
        <w:pStyle w:val="ParaAttribute2"/>
        <w:wordWrap/>
        <w:spacing w:after="0" w:line="276" w:lineRule="auto"/>
        <w:jc w:val="both"/>
        <w:rPr>
          <w:rFonts w:asciiTheme="minorHAns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Foro Nacional de la Salud</w:t>
      </w:r>
      <w:r>
        <w:rPr>
          <w:rFonts w:asciiTheme="minorHAnsi" w:eastAsia="Calibri" w:hAnsiTheme="minorHAnsi"/>
          <w:sz w:val="22"/>
          <w:szCs w:val="22"/>
        </w:rPr>
        <w:t xml:space="preserve"> (FNS)  - </w:t>
      </w:r>
      <w:hyperlink r:id="rId22" w:history="1">
        <w:r w:rsidRPr="00DA74ED">
          <w:rPr>
            <w:rStyle w:val="Hipervnculo"/>
            <w:rFonts w:asciiTheme="minorHAnsi" w:hAnsiTheme="minorHAnsi"/>
            <w:sz w:val="22"/>
            <w:szCs w:val="22"/>
          </w:rPr>
          <w:t>www.</w:t>
        </w:r>
        <w:r w:rsidRPr="00DA74ED">
          <w:rPr>
            <w:rStyle w:val="Hipervnculo"/>
            <w:rFonts w:asciiTheme="minorHAnsi" w:hAnsiTheme="minorHAnsi"/>
            <w:b/>
            <w:bCs/>
            <w:sz w:val="22"/>
            <w:szCs w:val="22"/>
          </w:rPr>
          <w:t>foronacionaldesalud</w:t>
        </w:r>
        <w:r w:rsidRPr="00DA74ED">
          <w:rPr>
            <w:rStyle w:val="Hipervnculo"/>
            <w:rFonts w:asciiTheme="minorHAnsi" w:hAnsiTheme="minorHAnsi"/>
            <w:sz w:val="22"/>
            <w:szCs w:val="22"/>
          </w:rPr>
          <w:t>.org.sv</w:t>
        </w:r>
      </w:hyperlink>
      <w:r>
        <w:rPr>
          <w:rStyle w:val="resulturl"/>
        </w:rPr>
        <w:t xml:space="preserve"> </w:t>
      </w:r>
    </w:p>
    <w:p w:rsidR="00546D96" w:rsidRDefault="00546D96" w:rsidP="00546D96">
      <w:pPr>
        <w:pStyle w:val="ParaAttribute2"/>
        <w:wordWrap/>
        <w:spacing w:after="0" w:line="276" w:lineRule="auto"/>
        <w:jc w:val="both"/>
        <w:rPr>
          <w:rFonts w:asciiTheme="minorHAnsi" w:hAnsiTheme="minorHAnsi"/>
          <w:sz w:val="22"/>
          <w:szCs w:val="22"/>
        </w:rPr>
      </w:pPr>
      <w:r w:rsidRPr="00DA74ED">
        <w:rPr>
          <w:rFonts w:asciiTheme="minorHAnsi" w:hAnsiTheme="minorHAnsi"/>
          <w:sz w:val="22"/>
          <w:szCs w:val="22"/>
        </w:rPr>
        <w:t>Espacio de participación ciudadana en salud. Busca la toma de decisiones consensuadas para la construcción del nuevo sistema nacional de salud basado en el derecho a la salud, la universalidad, la inclusión, la calidad y el protagonismo ciudadano. Uno de sus principales esfuerzos es la contraloría social a la reforma de salud.</w:t>
      </w:r>
    </w:p>
    <w:p w:rsidR="009913DE" w:rsidRPr="00DA74ED" w:rsidRDefault="009913DE" w:rsidP="00546D96">
      <w:pPr>
        <w:pStyle w:val="ParaAttribute2"/>
        <w:wordWrap/>
        <w:spacing w:after="0" w:line="276" w:lineRule="auto"/>
        <w:jc w:val="both"/>
        <w:rPr>
          <w:rFonts w:asciiTheme="minorHAns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Red de Contraloría Ciudadana</w:t>
      </w:r>
    </w:p>
    <w:p w:rsidR="00546D96" w:rsidRDefault="00546D96" w:rsidP="00546D96">
      <w:pPr>
        <w:pStyle w:val="ParaAttribute2"/>
        <w:wordWrap/>
        <w:spacing w:after="0" w:line="276" w:lineRule="auto"/>
        <w:jc w:val="both"/>
        <w:rPr>
          <w:rFonts w:asciiTheme="minorHAnsi" w:eastAsia="Calibri" w:hAnsiTheme="minorHAnsi"/>
          <w:sz w:val="22"/>
          <w:szCs w:val="22"/>
        </w:rPr>
      </w:pPr>
      <w:r>
        <w:rPr>
          <w:rFonts w:asciiTheme="minorHAnsi" w:eastAsia="Calibri" w:hAnsiTheme="minorHAnsi"/>
          <w:sz w:val="22"/>
          <w:szCs w:val="22"/>
        </w:rPr>
        <w:t>Organización ciudadana local, surgió en el municipio de San Salvador y ha creado filiales en otros municipios. Su principal rol es el control ciudadano a presupuestos municipales, para lo cual desarrollan socialización de la Ley de Acceso a Información Pública.</w:t>
      </w:r>
    </w:p>
    <w:p w:rsidR="00546D96" w:rsidRPr="00171EF8" w:rsidRDefault="00546D96" w:rsidP="00546D96">
      <w:pPr>
        <w:pStyle w:val="ParaAttribute2"/>
        <w:wordWrap/>
        <w:spacing w:after="0" w:line="276" w:lineRule="auto"/>
        <w:jc w:val="both"/>
        <w:rPr>
          <w:rFonts w:asciiTheme="minorHAnsi" w:eastAsia="Calibri" w:hAnsiTheme="minorHAnsi"/>
          <w:sz w:val="22"/>
          <w:szCs w:val="22"/>
        </w:rPr>
      </w:pPr>
    </w:p>
    <w:p w:rsidR="00546D96"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Sistema de Asesoría y Capacitación para el Desarrollo Local (SACDEL)</w:t>
      </w:r>
      <w:r>
        <w:rPr>
          <w:rFonts w:asciiTheme="minorHAnsi" w:eastAsia="Calibri" w:hAnsiTheme="minorHAnsi"/>
          <w:sz w:val="22"/>
          <w:szCs w:val="22"/>
        </w:rPr>
        <w:t xml:space="preserve"> </w:t>
      </w:r>
      <w:hyperlink r:id="rId23" w:history="1">
        <w:r w:rsidRPr="00447458">
          <w:rPr>
            <w:rStyle w:val="Hipervnculo"/>
            <w:rFonts w:asciiTheme="minorHAnsi" w:eastAsia="Calibri" w:hAnsiTheme="minorHAnsi"/>
            <w:sz w:val="22"/>
            <w:szCs w:val="22"/>
          </w:rPr>
          <w:t>http://sacdel.org/</w:t>
        </w:r>
      </w:hyperlink>
      <w:r>
        <w:rPr>
          <w:rFonts w:asciiTheme="minorHAnsi" w:eastAsia="Calibri" w:hAnsiTheme="minorHAnsi"/>
          <w:sz w:val="22"/>
          <w:szCs w:val="22"/>
        </w:rPr>
        <w:t xml:space="preserve"> </w:t>
      </w:r>
    </w:p>
    <w:p w:rsidR="00546D96" w:rsidRDefault="00546D96" w:rsidP="00546D96">
      <w:pPr>
        <w:pStyle w:val="ParaAttribute2"/>
        <w:wordWrap/>
        <w:spacing w:after="0" w:line="276" w:lineRule="auto"/>
        <w:jc w:val="both"/>
        <w:rPr>
          <w:rFonts w:asciiTheme="minorHAnsi" w:hAnsiTheme="minorHAnsi"/>
          <w:sz w:val="22"/>
          <w:szCs w:val="22"/>
        </w:rPr>
      </w:pPr>
      <w:r w:rsidRPr="00DA74ED">
        <w:rPr>
          <w:rFonts w:asciiTheme="minorHAnsi" w:hAnsiTheme="minorHAnsi"/>
          <w:sz w:val="22"/>
          <w:szCs w:val="22"/>
        </w:rPr>
        <w:t>Organización privada, apolítica, no lucrativa, creada en septiembre de 1996, con la función básica de promover la democracia participativa y el desarrollo humano sostenible.</w:t>
      </w:r>
    </w:p>
    <w:p w:rsidR="00546D96" w:rsidRPr="00DA74ED" w:rsidRDefault="00546D96" w:rsidP="00546D96">
      <w:pPr>
        <w:pStyle w:val="ParaAttribute2"/>
        <w:wordWrap/>
        <w:spacing w:after="0" w:line="276" w:lineRule="auto"/>
        <w:jc w:val="both"/>
        <w:rPr>
          <w:rFonts w:asciiTheme="minorHAnsi" w:eastAsia="Calibri" w:hAnsiTheme="minorHAnsi"/>
          <w:sz w:val="22"/>
          <w:szCs w:val="22"/>
        </w:rPr>
      </w:pPr>
    </w:p>
    <w:p w:rsidR="00546D96" w:rsidRPr="00171EF8" w:rsidRDefault="00546D96" w:rsidP="00546D96">
      <w:pPr>
        <w:pStyle w:val="ParaAttribute2"/>
        <w:numPr>
          <w:ilvl w:val="0"/>
          <w:numId w:val="38"/>
        </w:numPr>
        <w:wordWrap/>
        <w:spacing w:after="0" w:line="276" w:lineRule="auto"/>
        <w:jc w:val="both"/>
        <w:rPr>
          <w:rFonts w:asciiTheme="minorHAnsi" w:eastAsia="Calibri" w:hAnsiTheme="minorHAnsi"/>
          <w:sz w:val="22"/>
          <w:szCs w:val="22"/>
        </w:rPr>
      </w:pPr>
      <w:r w:rsidRPr="00171EF8">
        <w:rPr>
          <w:rFonts w:asciiTheme="minorHAnsi" w:eastAsia="Calibri" w:hAnsiTheme="minorHAnsi"/>
          <w:sz w:val="22"/>
          <w:szCs w:val="22"/>
        </w:rPr>
        <w:t>Líderes Solidarios</w:t>
      </w:r>
      <w:r>
        <w:rPr>
          <w:rFonts w:asciiTheme="minorHAnsi" w:eastAsia="Calibri" w:hAnsiTheme="minorHAnsi"/>
          <w:sz w:val="22"/>
          <w:szCs w:val="22"/>
        </w:rPr>
        <w:t xml:space="preserve"> - </w:t>
      </w:r>
      <w:hyperlink r:id="rId24" w:history="1">
        <w:r w:rsidRPr="00447458">
          <w:rPr>
            <w:rStyle w:val="Hipervnculo"/>
            <w:rFonts w:asciiTheme="minorHAnsi" w:eastAsia="Calibri" w:hAnsiTheme="minorHAnsi"/>
            <w:sz w:val="22"/>
            <w:szCs w:val="22"/>
          </w:rPr>
          <w:t>http://lideressolidarios.org/</w:t>
        </w:r>
      </w:hyperlink>
      <w:r>
        <w:rPr>
          <w:rFonts w:asciiTheme="minorHAnsi" w:eastAsia="Calibri" w:hAnsiTheme="minorHAnsi"/>
          <w:sz w:val="22"/>
          <w:szCs w:val="22"/>
        </w:rPr>
        <w:t xml:space="preserve"> </w:t>
      </w:r>
    </w:p>
    <w:p w:rsidR="00546D96" w:rsidRPr="00DA74ED" w:rsidRDefault="00546D96" w:rsidP="00546D96">
      <w:pPr>
        <w:pStyle w:val="ParaAttribute2"/>
        <w:wordWrap/>
        <w:spacing w:after="0" w:line="276" w:lineRule="auto"/>
        <w:jc w:val="both"/>
        <w:rPr>
          <w:rFonts w:asciiTheme="minorHAnsi" w:eastAsia="Calibri" w:hAnsiTheme="minorHAnsi"/>
          <w:b/>
          <w:sz w:val="22"/>
          <w:szCs w:val="22"/>
        </w:rPr>
      </w:pPr>
      <w:r w:rsidRPr="00DA74ED">
        <w:rPr>
          <w:rFonts w:asciiTheme="minorHAnsi" w:eastAsia="Calibri" w:hAnsiTheme="minorHAnsi"/>
          <w:sz w:val="22"/>
          <w:szCs w:val="22"/>
        </w:rPr>
        <w:t xml:space="preserve">Organización que </w:t>
      </w:r>
      <w:r w:rsidRPr="00DA74ED">
        <w:rPr>
          <w:rStyle w:val="Textoennegrita"/>
          <w:rFonts w:asciiTheme="minorHAnsi" w:hAnsiTheme="minorHAnsi"/>
          <w:b w:val="0"/>
          <w:sz w:val="22"/>
          <w:szCs w:val="22"/>
        </w:rPr>
        <w:t>fomenta el voluntariado social transformador entre los jóvenes de los diferentes niveles académicos y estratos sociales, por medio del servicio social, la solidaridad, la incidencia política en beneficio de los sectores más vulnerables de nuestra sociedad.</w:t>
      </w:r>
    </w:p>
    <w:p w:rsidR="00DA74ED" w:rsidRDefault="00DA74ED" w:rsidP="00171EF8">
      <w:pPr>
        <w:pStyle w:val="ParaAttribute2"/>
        <w:wordWrap/>
        <w:spacing w:after="0" w:line="276" w:lineRule="auto"/>
        <w:jc w:val="both"/>
        <w:rPr>
          <w:rFonts w:asciiTheme="minorHAnsi" w:eastAsia="Calibri" w:hAnsiTheme="minorHAnsi"/>
          <w:sz w:val="22"/>
          <w:szCs w:val="22"/>
        </w:rPr>
      </w:pPr>
    </w:p>
    <w:p w:rsidR="00DA74ED" w:rsidRDefault="00F12DE5" w:rsidP="00546D96">
      <w:pPr>
        <w:pStyle w:val="Ttulo2"/>
        <w:rPr>
          <w:rFonts w:eastAsia="Calibri"/>
        </w:rPr>
      </w:pPr>
      <w:bookmarkStart w:id="16" w:name="_Toc368249593"/>
      <w:r>
        <w:rPr>
          <w:rFonts w:eastAsia="Calibri"/>
        </w:rPr>
        <w:t xml:space="preserve">III.2 </w:t>
      </w:r>
      <w:proofErr w:type="spellStart"/>
      <w:r w:rsidR="00546D96">
        <w:rPr>
          <w:rFonts w:eastAsia="Calibri"/>
        </w:rPr>
        <w:t>Metodología</w:t>
      </w:r>
      <w:bookmarkEnd w:id="16"/>
      <w:proofErr w:type="spellEnd"/>
    </w:p>
    <w:p w:rsidR="00DA74ED" w:rsidRDefault="00DA74ED" w:rsidP="00171EF8">
      <w:pPr>
        <w:pStyle w:val="ParaAttribute2"/>
        <w:wordWrap/>
        <w:spacing w:after="0" w:line="276" w:lineRule="auto"/>
        <w:jc w:val="both"/>
        <w:rPr>
          <w:rFonts w:asciiTheme="minorHAnsi" w:eastAsia="Calibri" w:hAnsiTheme="minorHAnsi"/>
          <w:sz w:val="22"/>
          <w:szCs w:val="22"/>
        </w:rPr>
      </w:pPr>
    </w:p>
    <w:p w:rsidR="00DA74ED" w:rsidRDefault="00546D96" w:rsidP="00171EF8">
      <w:pPr>
        <w:pStyle w:val="ParaAttribute2"/>
        <w:wordWrap/>
        <w:spacing w:after="0" w:line="276" w:lineRule="auto"/>
        <w:jc w:val="both"/>
        <w:rPr>
          <w:rFonts w:asciiTheme="minorHAnsi" w:eastAsia="Calibri" w:hAnsiTheme="minorHAnsi"/>
          <w:sz w:val="22"/>
          <w:szCs w:val="22"/>
        </w:rPr>
      </w:pPr>
      <w:r>
        <w:rPr>
          <w:rFonts w:asciiTheme="minorHAnsi" w:eastAsia="Calibri" w:hAnsiTheme="minorHAnsi"/>
          <w:sz w:val="22"/>
          <w:szCs w:val="22"/>
        </w:rPr>
        <w:t>Las Ong´s involucradas han determinado realizar la evaluación de este plan en dos niveles:</w:t>
      </w:r>
    </w:p>
    <w:p w:rsidR="00546D96" w:rsidRDefault="00546D96" w:rsidP="00171EF8">
      <w:pPr>
        <w:pStyle w:val="ParaAttribute2"/>
        <w:wordWrap/>
        <w:spacing w:after="0" w:line="276" w:lineRule="auto"/>
        <w:jc w:val="both"/>
        <w:rPr>
          <w:rFonts w:asciiTheme="minorHAnsi" w:eastAsia="Calibri" w:hAnsiTheme="minorHAnsi"/>
          <w:sz w:val="22"/>
          <w:szCs w:val="22"/>
        </w:rPr>
      </w:pPr>
    </w:p>
    <w:p w:rsidR="00546D96" w:rsidRDefault="00546D96" w:rsidP="00171EF8">
      <w:pPr>
        <w:pStyle w:val="ParaAttribute2"/>
        <w:wordWrap/>
        <w:spacing w:after="0" w:line="276" w:lineRule="auto"/>
        <w:jc w:val="both"/>
        <w:rPr>
          <w:rFonts w:asciiTheme="minorHAnsi" w:eastAsia="Calibri" w:hAnsiTheme="minorHAnsi"/>
          <w:sz w:val="22"/>
          <w:szCs w:val="22"/>
        </w:rPr>
      </w:pPr>
      <w:r>
        <w:rPr>
          <w:rFonts w:asciiTheme="minorHAnsi" w:eastAsia="Calibri" w:hAnsiTheme="minorHAnsi"/>
          <w:sz w:val="22"/>
          <w:szCs w:val="22"/>
        </w:rPr>
        <w:t>El primero, evaluaciones independientes, de acuerdo a su propia naturaleza y visión, que serán presentadas públicamente</w:t>
      </w:r>
      <w:r w:rsidR="00CE46E4">
        <w:rPr>
          <w:rFonts w:asciiTheme="minorHAnsi" w:eastAsia="Calibri" w:hAnsiTheme="minorHAnsi"/>
          <w:sz w:val="22"/>
          <w:szCs w:val="22"/>
        </w:rPr>
        <w:t xml:space="preserve"> a través de sus informes</w:t>
      </w:r>
      <w:r>
        <w:rPr>
          <w:rFonts w:asciiTheme="minorHAnsi" w:eastAsia="Calibri" w:hAnsiTheme="minorHAnsi"/>
          <w:sz w:val="22"/>
          <w:szCs w:val="22"/>
        </w:rPr>
        <w:t>, por los medios que estimen convenientes y que servirán de insumos para la realización de evaluaciones conjuntas con el resto de ong´s involucradas.</w:t>
      </w:r>
    </w:p>
    <w:p w:rsidR="00546D96" w:rsidRDefault="00546D96" w:rsidP="00171EF8">
      <w:pPr>
        <w:pStyle w:val="ParaAttribute2"/>
        <w:wordWrap/>
        <w:spacing w:after="0" w:line="276" w:lineRule="auto"/>
        <w:jc w:val="both"/>
        <w:rPr>
          <w:rFonts w:asciiTheme="minorHAnsi" w:eastAsia="Calibri" w:hAnsiTheme="minorHAnsi"/>
          <w:sz w:val="22"/>
          <w:szCs w:val="22"/>
        </w:rPr>
      </w:pPr>
    </w:p>
    <w:p w:rsidR="00546D96" w:rsidRPr="00171EF8" w:rsidRDefault="00546D96" w:rsidP="00171EF8">
      <w:pPr>
        <w:pStyle w:val="ParaAttribute2"/>
        <w:wordWrap/>
        <w:spacing w:after="0" w:line="276" w:lineRule="auto"/>
        <w:jc w:val="both"/>
        <w:rPr>
          <w:rFonts w:asciiTheme="minorHAnsi" w:eastAsia="Calibri" w:hAnsiTheme="minorHAnsi"/>
          <w:sz w:val="22"/>
          <w:szCs w:val="22"/>
        </w:rPr>
      </w:pPr>
      <w:r>
        <w:rPr>
          <w:rFonts w:asciiTheme="minorHAnsi" w:eastAsia="Calibri" w:hAnsiTheme="minorHAnsi"/>
          <w:sz w:val="22"/>
          <w:szCs w:val="22"/>
        </w:rPr>
        <w:t>El segundo, participación en las evaluaciones generadas por la Subsecretaría de Transparencia, en espacios de intercambio conjunto</w:t>
      </w:r>
      <w:r w:rsidR="00CE46E4">
        <w:rPr>
          <w:rFonts w:asciiTheme="minorHAnsi" w:eastAsia="Calibri" w:hAnsiTheme="minorHAnsi"/>
          <w:sz w:val="22"/>
          <w:szCs w:val="22"/>
        </w:rPr>
        <w:t xml:space="preserve"> que permitan incorporar observaciones y propuestas de mejora constante. Dichas evaluaciones se han previsto de forma trimestral y contará con la participación de las entidades públicas involucradas en la ejecución del plan.</w:t>
      </w:r>
    </w:p>
    <w:p w:rsidR="008417F2" w:rsidRPr="00171EF8" w:rsidRDefault="008417F2" w:rsidP="00171EF8">
      <w:pPr>
        <w:pStyle w:val="ParaAttribute2"/>
        <w:wordWrap/>
        <w:spacing w:after="0" w:line="276" w:lineRule="auto"/>
        <w:jc w:val="both"/>
        <w:rPr>
          <w:rFonts w:asciiTheme="minorHAnsi" w:eastAsia="Calibri" w:hAnsiTheme="minorHAnsi"/>
          <w:sz w:val="22"/>
          <w:szCs w:val="22"/>
        </w:rPr>
      </w:pPr>
    </w:p>
    <w:p w:rsidR="00087F4B" w:rsidRDefault="00087F4B" w:rsidP="00C11404">
      <w:pPr>
        <w:pStyle w:val="ParaAttribute2"/>
        <w:wordWrap/>
        <w:spacing w:after="0" w:line="276" w:lineRule="auto"/>
        <w:jc w:val="both"/>
        <w:rPr>
          <w:rFonts w:asciiTheme="minorHAnsi" w:eastAsia="Calibri" w:hAnsiTheme="minorHAnsi"/>
          <w:sz w:val="22"/>
          <w:szCs w:val="22"/>
        </w:rPr>
      </w:pPr>
    </w:p>
    <w:p w:rsidR="00CB0A9B" w:rsidRPr="00171EF8" w:rsidRDefault="00CB0A9B" w:rsidP="00171EF8">
      <w:pPr>
        <w:autoSpaceDE w:val="0"/>
        <w:autoSpaceDN w:val="0"/>
        <w:adjustRightInd w:val="0"/>
        <w:spacing w:after="0" w:line="276" w:lineRule="auto"/>
        <w:rPr>
          <w:i w:val="0"/>
          <w:iCs w:val="0"/>
          <w:sz w:val="22"/>
          <w:szCs w:val="22"/>
          <w:lang w:val="es-ES" w:eastAsia="es-SV" w:bidi="ar-SA"/>
        </w:rPr>
      </w:pPr>
    </w:p>
    <w:sectPr w:rsidR="00CB0A9B" w:rsidRPr="00171EF8" w:rsidSect="00655F94">
      <w:footerReference w:type="default" r:id="rId25"/>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DE" w:rsidRDefault="009913DE" w:rsidP="00ED4D58">
      <w:pPr>
        <w:spacing w:after="0" w:line="240" w:lineRule="auto"/>
      </w:pPr>
      <w:r>
        <w:separator/>
      </w:r>
    </w:p>
  </w:endnote>
  <w:endnote w:type="continuationSeparator" w:id="0">
    <w:p w:rsidR="009913DE" w:rsidRDefault="009913DE" w:rsidP="00ED4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85792"/>
      <w:docPartObj>
        <w:docPartGallery w:val="Page Numbers (Bottom of Page)"/>
        <w:docPartUnique/>
      </w:docPartObj>
    </w:sdtPr>
    <w:sdtContent>
      <w:p w:rsidR="009913DE" w:rsidRDefault="009913DE">
        <w:pPr>
          <w:pStyle w:val="Piedepgina"/>
        </w:pPr>
        <w:r w:rsidRPr="00ED6AF3">
          <w:rPr>
            <w:noProof/>
            <w:lang w:val="es-ES" w:eastAsia="zh-TW"/>
          </w:rPr>
          <w:pict>
            <v:group id="_x0000_s2049" style="position:absolute;left:0;text-align:left;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v-text-anchor:top" filled="f" strokecolor="#0070c0">
                <v:textbox style="mso-next-textbox:#_x0000_s2050" inset="0,0,0,0">
                  <w:txbxContent>
                    <w:p w:rsidR="009913DE" w:rsidRPr="00F55729" w:rsidRDefault="009913DE">
                      <w:pPr>
                        <w:jc w:val="center"/>
                        <w:rPr>
                          <w:color w:val="002060"/>
                          <w:lang w:val="es-ES"/>
                        </w:rPr>
                      </w:pPr>
                      <w:r w:rsidRPr="00F55729">
                        <w:rPr>
                          <w:color w:val="002060"/>
                          <w:lang w:val="es-ES"/>
                        </w:rPr>
                        <w:fldChar w:fldCharType="begin"/>
                      </w:r>
                      <w:r w:rsidRPr="00F55729">
                        <w:rPr>
                          <w:color w:val="002060"/>
                          <w:lang w:val="es-ES"/>
                        </w:rPr>
                        <w:instrText xml:space="preserve"> PAGE    \* MERGEFORMAT </w:instrText>
                      </w:r>
                      <w:r w:rsidRPr="00F55729">
                        <w:rPr>
                          <w:color w:val="002060"/>
                          <w:lang w:val="es-ES"/>
                        </w:rPr>
                        <w:fldChar w:fldCharType="separate"/>
                      </w:r>
                      <w:r w:rsidR="006A50DB" w:rsidRPr="006A50DB">
                        <w:rPr>
                          <w:noProof/>
                          <w:color w:val="002060"/>
                        </w:rPr>
                        <w:t>18</w:t>
                      </w:r>
                      <w:r w:rsidRPr="00F55729">
                        <w:rPr>
                          <w:color w:val="002060"/>
                          <w:lang w:val="es-ES"/>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0070c0"/>
                <v:shape id="_x0000_s2053" type="#_x0000_t34" style="position:absolute;left:1252;top:14978;width:10995;height:230;rotation:180" o:connectortype="elbow" adj="20904,-1024457,-24046" strokecolor="#0070c0"/>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DE" w:rsidRDefault="009913DE" w:rsidP="00ED4D58">
      <w:pPr>
        <w:spacing w:after="0" w:line="240" w:lineRule="auto"/>
      </w:pPr>
      <w:r>
        <w:separator/>
      </w:r>
    </w:p>
  </w:footnote>
  <w:footnote w:type="continuationSeparator" w:id="0">
    <w:p w:rsidR="009913DE" w:rsidRDefault="009913DE" w:rsidP="00ED4D58">
      <w:pPr>
        <w:spacing w:after="0" w:line="240" w:lineRule="auto"/>
      </w:pPr>
      <w:r>
        <w:continuationSeparator/>
      </w:r>
    </w:p>
  </w:footnote>
  <w:footnote w:id="1">
    <w:p w:rsidR="009913DE" w:rsidRPr="006A50DB" w:rsidRDefault="009913DE" w:rsidP="006A50DB">
      <w:pPr>
        <w:spacing w:after="0" w:line="240" w:lineRule="auto"/>
        <w:rPr>
          <w:sz w:val="18"/>
          <w:szCs w:val="18"/>
        </w:rPr>
      </w:pPr>
      <w:r w:rsidRPr="006A50DB">
        <w:rPr>
          <w:rStyle w:val="Refdenotaalpie"/>
          <w:sz w:val="18"/>
          <w:szCs w:val="18"/>
        </w:rPr>
        <w:footnoteRef/>
      </w:r>
      <w:r w:rsidRPr="006A50DB">
        <w:rPr>
          <w:sz w:val="18"/>
          <w:szCs w:val="18"/>
        </w:rPr>
        <w:t xml:space="preserve"> </w:t>
      </w:r>
      <w:r w:rsidRPr="006A50DB">
        <w:rPr>
          <w:i w:val="0"/>
          <w:sz w:val="18"/>
          <w:szCs w:val="18"/>
        </w:rPr>
        <w:t xml:space="preserve">Iniciativa Social para la Democracia (ISD), Fundación Nacional para el Desarrollo (FUNDE), Fundación Salvadoreña para el Desarrollo Económico y Social (FUSADES), Universidad Centroamericana “José Simeón Cañas” (UCA), Fundación Maqulishuat (FUMA), Foro Nacional de Salud (FNS), Asociación de Periodistas del El Salvador (APES), Asociación </w:t>
      </w:r>
      <w:r w:rsidRPr="006A50DB">
        <w:rPr>
          <w:rStyle w:val="Refdenotaalpie"/>
          <w:i w:val="0"/>
          <w:sz w:val="18"/>
          <w:szCs w:val="18"/>
          <w:vertAlign w:val="baseline"/>
        </w:rPr>
        <w:t>Sistema de Asesoría y Capacitación para el Desarrollo Local (SACDEL), Fundación de Estudios para la Aplicación del Derecho (FESPAD),</w:t>
      </w:r>
      <w:r w:rsidRPr="006A50DB">
        <w:rPr>
          <w:rStyle w:val="Refdenotaalpie"/>
          <w:i w:val="0"/>
          <w:sz w:val="18"/>
          <w:szCs w:val="18"/>
        </w:rPr>
        <w:t xml:space="preserve"> </w:t>
      </w:r>
      <w:r w:rsidRPr="006A50DB">
        <w:rPr>
          <w:i w:val="0"/>
          <w:sz w:val="18"/>
          <w:szCs w:val="18"/>
        </w:rPr>
        <w:t>Fundación Salvadoreña para el Desarrollo Local y la Democracia (FUNDASPAD), Red de Contraloría Ciudadana, Líderes Solidarios, Vota JOVEN, JovenES.</w:t>
      </w:r>
    </w:p>
  </w:footnote>
  <w:footnote w:id="2">
    <w:p w:rsidR="009913DE" w:rsidRPr="00C41B5A" w:rsidRDefault="009913DE" w:rsidP="006A50DB">
      <w:pPr>
        <w:pStyle w:val="Textonotapie"/>
        <w:wordWrap/>
        <w:rPr>
          <w:lang w:val="es-SV"/>
        </w:rPr>
      </w:pPr>
      <w:r w:rsidRPr="006A50DB">
        <w:rPr>
          <w:rStyle w:val="Refdenotaalpie"/>
          <w:sz w:val="18"/>
          <w:szCs w:val="18"/>
        </w:rPr>
        <w:footnoteRef/>
      </w:r>
      <w:r w:rsidRPr="006A50DB">
        <w:rPr>
          <w:sz w:val="18"/>
          <w:szCs w:val="18"/>
        </w:rPr>
        <w:t xml:space="preserve"> </w:t>
      </w:r>
      <w:r w:rsidRPr="006A50DB">
        <w:rPr>
          <w:rFonts w:asciiTheme="minorHAnsi" w:hAnsiTheme="minorHAnsi"/>
          <w:sz w:val="18"/>
          <w:szCs w:val="18"/>
          <w:lang w:val="es-SV"/>
        </w:rPr>
        <w:t>Con apoyo de la SSTA</w:t>
      </w:r>
    </w:p>
  </w:footnote>
  <w:footnote w:id="3">
    <w:p w:rsidR="009913DE" w:rsidRPr="006A50DB" w:rsidRDefault="009913DE" w:rsidP="006A50DB">
      <w:pPr>
        <w:pStyle w:val="NormalWeb"/>
        <w:spacing w:before="0" w:beforeAutospacing="0" w:after="0" w:afterAutospacing="0"/>
        <w:jc w:val="both"/>
        <w:rPr>
          <w:rFonts w:asciiTheme="minorHAnsi" w:hAnsiTheme="minorHAnsi"/>
          <w:sz w:val="18"/>
          <w:szCs w:val="18"/>
        </w:rPr>
      </w:pPr>
      <w:r w:rsidRPr="006A50DB">
        <w:rPr>
          <w:rStyle w:val="Refdenotaalpie"/>
          <w:sz w:val="18"/>
          <w:szCs w:val="18"/>
        </w:rPr>
        <w:footnoteRef/>
      </w:r>
      <w:r w:rsidRPr="006A50DB">
        <w:rPr>
          <w:sz w:val="18"/>
          <w:szCs w:val="18"/>
        </w:rPr>
        <w:t xml:space="preserve"> </w:t>
      </w:r>
      <w:r w:rsidRPr="00F5692B">
        <w:rPr>
          <w:rFonts w:asciiTheme="minorHAnsi" w:hAnsiTheme="minorHAnsi"/>
          <w:sz w:val="18"/>
          <w:szCs w:val="18"/>
        </w:rPr>
        <w:t xml:space="preserve">Coalición global intergubernamental de países democráticos, con el objetivo de promover el fortalecimiento de las normas democráticas en todo el mundo. Fue establecida en el año 2000, en una conferencia ministerial celebrada en </w:t>
      </w:r>
      <w:r w:rsidRPr="006A50DB">
        <w:rPr>
          <w:rFonts w:asciiTheme="minorHAnsi" w:hAnsiTheme="minorHAnsi"/>
          <w:sz w:val="18"/>
          <w:szCs w:val="18"/>
        </w:rPr>
        <w:t>Varsovia, donde asistieron 106 países que se adhirieron a la Declaración de este encuentro que sentó los principios de esta iniciativa en beneficio de la democracia a nivel global. El Salvador forma parte de la CoD desde el año 2005 y es el tercer país de América Latina junto a México y Chile que la conforman. Para este año El Salvador tiene la presidencia.</w:t>
      </w:r>
    </w:p>
  </w:footnote>
  <w:footnote w:id="4">
    <w:p w:rsidR="009913DE" w:rsidRPr="00EC0177" w:rsidRDefault="009913DE" w:rsidP="006A50DB">
      <w:pPr>
        <w:pStyle w:val="Textonotapie"/>
        <w:wordWrap/>
        <w:rPr>
          <w:lang w:val="es-SV"/>
        </w:rPr>
      </w:pPr>
      <w:r w:rsidRPr="006A50DB">
        <w:rPr>
          <w:rStyle w:val="Refdenotaalpie"/>
          <w:sz w:val="18"/>
          <w:szCs w:val="18"/>
        </w:rPr>
        <w:footnoteRef/>
      </w:r>
      <w:r w:rsidRPr="006A50DB">
        <w:rPr>
          <w:sz w:val="18"/>
          <w:szCs w:val="18"/>
        </w:rPr>
        <w:t xml:space="preserve"> </w:t>
      </w:r>
      <w:r w:rsidRPr="006A50DB">
        <w:rPr>
          <w:rFonts w:asciiTheme="minorHAnsi" w:hAnsiTheme="minorHAnsi"/>
          <w:sz w:val="18"/>
          <w:szCs w:val="18"/>
          <w:lang w:val="es-SV"/>
        </w:rPr>
        <w:t>SITRAMSS: Sistema integrado de Transporte del Área Metropolitana de San Salvador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E08"/>
    <w:multiLevelType w:val="hybridMultilevel"/>
    <w:tmpl w:val="1992466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AD06D3"/>
    <w:multiLevelType w:val="hybridMultilevel"/>
    <w:tmpl w:val="EAAC4C7E"/>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D17BE4"/>
    <w:multiLevelType w:val="hybridMultilevel"/>
    <w:tmpl w:val="4790BD4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9535C1D"/>
    <w:multiLevelType w:val="hybridMultilevel"/>
    <w:tmpl w:val="0F4C46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9D739A4"/>
    <w:multiLevelType w:val="hybridMultilevel"/>
    <w:tmpl w:val="4C2A3E1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0AA34DE6"/>
    <w:multiLevelType w:val="hybridMultilevel"/>
    <w:tmpl w:val="50B82342"/>
    <w:lvl w:ilvl="0" w:tplc="24202ED4">
      <w:start w:val="1"/>
      <w:numFmt w:val="decimal"/>
      <w:lvlText w:val="%1."/>
      <w:lvlJc w:val="left"/>
      <w:pPr>
        <w:ind w:left="360" w:hanging="360"/>
      </w:pPr>
      <w:rPr>
        <w:rFonts w:asciiTheme="minorHAnsi" w:eastAsiaTheme="minorEastAsia" w:hAnsiTheme="minorHAnsi" w:cstheme="minorHAnsi"/>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E5329AC"/>
    <w:multiLevelType w:val="hybridMultilevel"/>
    <w:tmpl w:val="B91AA9E0"/>
    <w:lvl w:ilvl="0" w:tplc="440A000F">
      <w:start w:val="1"/>
      <w:numFmt w:val="decimal"/>
      <w:lvlText w:val="%1."/>
      <w:lvlJc w:val="left"/>
      <w:pPr>
        <w:ind w:left="1068" w:hanging="360"/>
      </w:pPr>
      <w:rPr>
        <w:rFonts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nsid w:val="0F0B4FD1"/>
    <w:multiLevelType w:val="hybridMultilevel"/>
    <w:tmpl w:val="8B20DC7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0F6E1F71"/>
    <w:multiLevelType w:val="hybridMultilevel"/>
    <w:tmpl w:val="EC808FEE"/>
    <w:lvl w:ilvl="0" w:tplc="7110E844">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0F24216"/>
    <w:multiLevelType w:val="hybridMultilevel"/>
    <w:tmpl w:val="09EE6D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2754BC7"/>
    <w:multiLevelType w:val="hybridMultilevel"/>
    <w:tmpl w:val="429837DA"/>
    <w:lvl w:ilvl="0" w:tplc="440A0001">
      <w:start w:val="1"/>
      <w:numFmt w:val="bullet"/>
      <w:lvlText w:val=""/>
      <w:lvlJc w:val="left"/>
      <w:pPr>
        <w:ind w:left="104" w:hanging="360"/>
      </w:pPr>
      <w:rPr>
        <w:rFonts w:ascii="Symbol" w:hAnsi="Symbol" w:hint="default"/>
      </w:rPr>
    </w:lvl>
    <w:lvl w:ilvl="1" w:tplc="440A0003" w:tentative="1">
      <w:start w:val="1"/>
      <w:numFmt w:val="bullet"/>
      <w:lvlText w:val="o"/>
      <w:lvlJc w:val="left"/>
      <w:pPr>
        <w:ind w:left="824" w:hanging="360"/>
      </w:pPr>
      <w:rPr>
        <w:rFonts w:ascii="Courier New" w:hAnsi="Courier New" w:cs="Courier New" w:hint="default"/>
      </w:rPr>
    </w:lvl>
    <w:lvl w:ilvl="2" w:tplc="440A0005" w:tentative="1">
      <w:start w:val="1"/>
      <w:numFmt w:val="bullet"/>
      <w:lvlText w:val=""/>
      <w:lvlJc w:val="left"/>
      <w:pPr>
        <w:ind w:left="1544" w:hanging="360"/>
      </w:pPr>
      <w:rPr>
        <w:rFonts w:ascii="Wingdings" w:hAnsi="Wingdings" w:hint="default"/>
      </w:rPr>
    </w:lvl>
    <w:lvl w:ilvl="3" w:tplc="440A0001" w:tentative="1">
      <w:start w:val="1"/>
      <w:numFmt w:val="bullet"/>
      <w:lvlText w:val=""/>
      <w:lvlJc w:val="left"/>
      <w:pPr>
        <w:ind w:left="2264" w:hanging="360"/>
      </w:pPr>
      <w:rPr>
        <w:rFonts w:ascii="Symbol" w:hAnsi="Symbol" w:hint="default"/>
      </w:rPr>
    </w:lvl>
    <w:lvl w:ilvl="4" w:tplc="440A0003" w:tentative="1">
      <w:start w:val="1"/>
      <w:numFmt w:val="bullet"/>
      <w:lvlText w:val="o"/>
      <w:lvlJc w:val="left"/>
      <w:pPr>
        <w:ind w:left="2984" w:hanging="360"/>
      </w:pPr>
      <w:rPr>
        <w:rFonts w:ascii="Courier New" w:hAnsi="Courier New" w:cs="Courier New" w:hint="default"/>
      </w:rPr>
    </w:lvl>
    <w:lvl w:ilvl="5" w:tplc="440A0005" w:tentative="1">
      <w:start w:val="1"/>
      <w:numFmt w:val="bullet"/>
      <w:lvlText w:val=""/>
      <w:lvlJc w:val="left"/>
      <w:pPr>
        <w:ind w:left="3704" w:hanging="360"/>
      </w:pPr>
      <w:rPr>
        <w:rFonts w:ascii="Wingdings" w:hAnsi="Wingdings" w:hint="default"/>
      </w:rPr>
    </w:lvl>
    <w:lvl w:ilvl="6" w:tplc="440A0001" w:tentative="1">
      <w:start w:val="1"/>
      <w:numFmt w:val="bullet"/>
      <w:lvlText w:val=""/>
      <w:lvlJc w:val="left"/>
      <w:pPr>
        <w:ind w:left="4424" w:hanging="360"/>
      </w:pPr>
      <w:rPr>
        <w:rFonts w:ascii="Symbol" w:hAnsi="Symbol" w:hint="default"/>
      </w:rPr>
    </w:lvl>
    <w:lvl w:ilvl="7" w:tplc="440A0003" w:tentative="1">
      <w:start w:val="1"/>
      <w:numFmt w:val="bullet"/>
      <w:lvlText w:val="o"/>
      <w:lvlJc w:val="left"/>
      <w:pPr>
        <w:ind w:left="5144" w:hanging="360"/>
      </w:pPr>
      <w:rPr>
        <w:rFonts w:ascii="Courier New" w:hAnsi="Courier New" w:cs="Courier New" w:hint="default"/>
      </w:rPr>
    </w:lvl>
    <w:lvl w:ilvl="8" w:tplc="440A0005" w:tentative="1">
      <w:start w:val="1"/>
      <w:numFmt w:val="bullet"/>
      <w:lvlText w:val=""/>
      <w:lvlJc w:val="left"/>
      <w:pPr>
        <w:ind w:left="5864" w:hanging="360"/>
      </w:pPr>
      <w:rPr>
        <w:rFonts w:ascii="Wingdings" w:hAnsi="Wingdings" w:hint="default"/>
      </w:rPr>
    </w:lvl>
  </w:abstractNum>
  <w:abstractNum w:abstractNumId="11">
    <w:nsid w:val="15E10D36"/>
    <w:multiLevelType w:val="hybridMultilevel"/>
    <w:tmpl w:val="6B30A1F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15F47029"/>
    <w:multiLevelType w:val="hybridMultilevel"/>
    <w:tmpl w:val="6C34A040"/>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AA308C5"/>
    <w:multiLevelType w:val="hybridMultilevel"/>
    <w:tmpl w:val="32F402AC"/>
    <w:lvl w:ilvl="0" w:tplc="A97EEF12">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E82057B"/>
    <w:multiLevelType w:val="hybridMultilevel"/>
    <w:tmpl w:val="E0BC4D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22D57A4F"/>
    <w:multiLevelType w:val="hybridMultilevel"/>
    <w:tmpl w:val="D31C7D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32621D4"/>
    <w:multiLevelType w:val="hybridMultilevel"/>
    <w:tmpl w:val="04D0D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5AA1E8C"/>
    <w:multiLevelType w:val="hybridMultilevel"/>
    <w:tmpl w:val="2754196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27760C8B"/>
    <w:multiLevelType w:val="hybridMultilevel"/>
    <w:tmpl w:val="A47CC80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27CA3A16"/>
    <w:multiLevelType w:val="hybridMultilevel"/>
    <w:tmpl w:val="2D740B5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2B052909"/>
    <w:multiLevelType w:val="hybridMultilevel"/>
    <w:tmpl w:val="598E126A"/>
    <w:lvl w:ilvl="0" w:tplc="440A0001">
      <w:start w:val="1"/>
      <w:numFmt w:val="bullet"/>
      <w:lvlText w:val=""/>
      <w:lvlJc w:val="left"/>
      <w:pPr>
        <w:ind w:left="380" w:hanging="360"/>
      </w:pPr>
      <w:rPr>
        <w:rFonts w:ascii="Symbol" w:hAnsi="Symbol" w:hint="default"/>
      </w:rPr>
    </w:lvl>
    <w:lvl w:ilvl="1" w:tplc="440A0003">
      <w:start w:val="1"/>
      <w:numFmt w:val="bullet"/>
      <w:lvlText w:val="o"/>
      <w:lvlJc w:val="left"/>
      <w:pPr>
        <w:ind w:left="1100" w:hanging="360"/>
      </w:pPr>
      <w:rPr>
        <w:rFonts w:ascii="Courier New" w:hAnsi="Courier New" w:cs="Courier New" w:hint="default"/>
      </w:rPr>
    </w:lvl>
    <w:lvl w:ilvl="2" w:tplc="440A0005">
      <w:start w:val="1"/>
      <w:numFmt w:val="bullet"/>
      <w:lvlText w:val=""/>
      <w:lvlJc w:val="left"/>
      <w:pPr>
        <w:ind w:left="1820" w:hanging="360"/>
      </w:pPr>
      <w:rPr>
        <w:rFonts w:ascii="Wingdings" w:hAnsi="Wingdings" w:hint="default"/>
      </w:rPr>
    </w:lvl>
    <w:lvl w:ilvl="3" w:tplc="440A0001">
      <w:start w:val="1"/>
      <w:numFmt w:val="bullet"/>
      <w:lvlText w:val=""/>
      <w:lvlJc w:val="left"/>
      <w:pPr>
        <w:ind w:left="2540" w:hanging="360"/>
      </w:pPr>
      <w:rPr>
        <w:rFonts w:ascii="Symbol" w:hAnsi="Symbol" w:hint="default"/>
      </w:rPr>
    </w:lvl>
    <w:lvl w:ilvl="4" w:tplc="440A0003" w:tentative="1">
      <w:start w:val="1"/>
      <w:numFmt w:val="bullet"/>
      <w:lvlText w:val="o"/>
      <w:lvlJc w:val="left"/>
      <w:pPr>
        <w:ind w:left="3260" w:hanging="360"/>
      </w:pPr>
      <w:rPr>
        <w:rFonts w:ascii="Courier New" w:hAnsi="Courier New" w:cs="Courier New" w:hint="default"/>
      </w:rPr>
    </w:lvl>
    <w:lvl w:ilvl="5" w:tplc="440A0005" w:tentative="1">
      <w:start w:val="1"/>
      <w:numFmt w:val="bullet"/>
      <w:lvlText w:val=""/>
      <w:lvlJc w:val="left"/>
      <w:pPr>
        <w:ind w:left="3980" w:hanging="360"/>
      </w:pPr>
      <w:rPr>
        <w:rFonts w:ascii="Wingdings" w:hAnsi="Wingdings" w:hint="default"/>
      </w:rPr>
    </w:lvl>
    <w:lvl w:ilvl="6" w:tplc="440A0001" w:tentative="1">
      <w:start w:val="1"/>
      <w:numFmt w:val="bullet"/>
      <w:lvlText w:val=""/>
      <w:lvlJc w:val="left"/>
      <w:pPr>
        <w:ind w:left="4700" w:hanging="360"/>
      </w:pPr>
      <w:rPr>
        <w:rFonts w:ascii="Symbol" w:hAnsi="Symbol" w:hint="default"/>
      </w:rPr>
    </w:lvl>
    <w:lvl w:ilvl="7" w:tplc="440A0003" w:tentative="1">
      <w:start w:val="1"/>
      <w:numFmt w:val="bullet"/>
      <w:lvlText w:val="o"/>
      <w:lvlJc w:val="left"/>
      <w:pPr>
        <w:ind w:left="5420" w:hanging="360"/>
      </w:pPr>
      <w:rPr>
        <w:rFonts w:ascii="Courier New" w:hAnsi="Courier New" w:cs="Courier New" w:hint="default"/>
      </w:rPr>
    </w:lvl>
    <w:lvl w:ilvl="8" w:tplc="440A0005" w:tentative="1">
      <w:start w:val="1"/>
      <w:numFmt w:val="bullet"/>
      <w:lvlText w:val=""/>
      <w:lvlJc w:val="left"/>
      <w:pPr>
        <w:ind w:left="6140" w:hanging="360"/>
      </w:pPr>
      <w:rPr>
        <w:rFonts w:ascii="Wingdings" w:hAnsi="Wingdings" w:hint="default"/>
      </w:rPr>
    </w:lvl>
  </w:abstractNum>
  <w:abstractNum w:abstractNumId="21">
    <w:nsid w:val="2D5428B4"/>
    <w:multiLevelType w:val="hybridMultilevel"/>
    <w:tmpl w:val="8F1821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2DB9414E"/>
    <w:multiLevelType w:val="hybridMultilevel"/>
    <w:tmpl w:val="26FAA706"/>
    <w:lvl w:ilvl="0" w:tplc="2C12F8CC">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2E4C4CBB"/>
    <w:multiLevelType w:val="hybridMultilevel"/>
    <w:tmpl w:val="DAB02FE8"/>
    <w:lvl w:ilvl="0" w:tplc="39D29D5C">
      <w:start w:val="1"/>
      <w:numFmt w:val="bullet"/>
      <w:lvlText w:val="•"/>
      <w:lvlJc w:val="left"/>
      <w:pPr>
        <w:tabs>
          <w:tab w:val="num" w:pos="720"/>
        </w:tabs>
        <w:ind w:left="720" w:hanging="360"/>
      </w:pPr>
      <w:rPr>
        <w:rFonts w:ascii="Arial" w:hAnsi="Arial" w:hint="default"/>
      </w:rPr>
    </w:lvl>
    <w:lvl w:ilvl="1" w:tplc="83109A2A" w:tentative="1">
      <w:start w:val="1"/>
      <w:numFmt w:val="bullet"/>
      <w:lvlText w:val="•"/>
      <w:lvlJc w:val="left"/>
      <w:pPr>
        <w:tabs>
          <w:tab w:val="num" w:pos="1440"/>
        </w:tabs>
        <w:ind w:left="1440" w:hanging="360"/>
      </w:pPr>
      <w:rPr>
        <w:rFonts w:ascii="Arial" w:hAnsi="Arial" w:hint="default"/>
      </w:rPr>
    </w:lvl>
    <w:lvl w:ilvl="2" w:tplc="EA8A4A2C" w:tentative="1">
      <w:start w:val="1"/>
      <w:numFmt w:val="bullet"/>
      <w:lvlText w:val="•"/>
      <w:lvlJc w:val="left"/>
      <w:pPr>
        <w:tabs>
          <w:tab w:val="num" w:pos="2160"/>
        </w:tabs>
        <w:ind w:left="2160" w:hanging="360"/>
      </w:pPr>
      <w:rPr>
        <w:rFonts w:ascii="Arial" w:hAnsi="Arial" w:hint="default"/>
      </w:rPr>
    </w:lvl>
    <w:lvl w:ilvl="3" w:tplc="DABE5B92" w:tentative="1">
      <w:start w:val="1"/>
      <w:numFmt w:val="bullet"/>
      <w:lvlText w:val="•"/>
      <w:lvlJc w:val="left"/>
      <w:pPr>
        <w:tabs>
          <w:tab w:val="num" w:pos="2880"/>
        </w:tabs>
        <w:ind w:left="2880" w:hanging="360"/>
      </w:pPr>
      <w:rPr>
        <w:rFonts w:ascii="Arial" w:hAnsi="Arial" w:hint="default"/>
      </w:rPr>
    </w:lvl>
    <w:lvl w:ilvl="4" w:tplc="6D04BE6E" w:tentative="1">
      <w:start w:val="1"/>
      <w:numFmt w:val="bullet"/>
      <w:lvlText w:val="•"/>
      <w:lvlJc w:val="left"/>
      <w:pPr>
        <w:tabs>
          <w:tab w:val="num" w:pos="3600"/>
        </w:tabs>
        <w:ind w:left="3600" w:hanging="360"/>
      </w:pPr>
      <w:rPr>
        <w:rFonts w:ascii="Arial" w:hAnsi="Arial" w:hint="default"/>
      </w:rPr>
    </w:lvl>
    <w:lvl w:ilvl="5" w:tplc="010EF578" w:tentative="1">
      <w:start w:val="1"/>
      <w:numFmt w:val="bullet"/>
      <w:lvlText w:val="•"/>
      <w:lvlJc w:val="left"/>
      <w:pPr>
        <w:tabs>
          <w:tab w:val="num" w:pos="4320"/>
        </w:tabs>
        <w:ind w:left="4320" w:hanging="360"/>
      </w:pPr>
      <w:rPr>
        <w:rFonts w:ascii="Arial" w:hAnsi="Arial" w:hint="default"/>
      </w:rPr>
    </w:lvl>
    <w:lvl w:ilvl="6" w:tplc="91D2CF5E" w:tentative="1">
      <w:start w:val="1"/>
      <w:numFmt w:val="bullet"/>
      <w:lvlText w:val="•"/>
      <w:lvlJc w:val="left"/>
      <w:pPr>
        <w:tabs>
          <w:tab w:val="num" w:pos="5040"/>
        </w:tabs>
        <w:ind w:left="5040" w:hanging="360"/>
      </w:pPr>
      <w:rPr>
        <w:rFonts w:ascii="Arial" w:hAnsi="Arial" w:hint="default"/>
      </w:rPr>
    </w:lvl>
    <w:lvl w:ilvl="7" w:tplc="E54C2438" w:tentative="1">
      <w:start w:val="1"/>
      <w:numFmt w:val="bullet"/>
      <w:lvlText w:val="•"/>
      <w:lvlJc w:val="left"/>
      <w:pPr>
        <w:tabs>
          <w:tab w:val="num" w:pos="5760"/>
        </w:tabs>
        <w:ind w:left="5760" w:hanging="360"/>
      </w:pPr>
      <w:rPr>
        <w:rFonts w:ascii="Arial" w:hAnsi="Arial" w:hint="default"/>
      </w:rPr>
    </w:lvl>
    <w:lvl w:ilvl="8" w:tplc="D69A5356" w:tentative="1">
      <w:start w:val="1"/>
      <w:numFmt w:val="bullet"/>
      <w:lvlText w:val="•"/>
      <w:lvlJc w:val="left"/>
      <w:pPr>
        <w:tabs>
          <w:tab w:val="num" w:pos="6480"/>
        </w:tabs>
        <w:ind w:left="6480" w:hanging="360"/>
      </w:pPr>
      <w:rPr>
        <w:rFonts w:ascii="Arial" w:hAnsi="Arial" w:hint="default"/>
      </w:rPr>
    </w:lvl>
  </w:abstractNum>
  <w:abstractNum w:abstractNumId="24">
    <w:nsid w:val="352F7CAF"/>
    <w:multiLevelType w:val="hybridMultilevel"/>
    <w:tmpl w:val="3B70C1D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3C1002A2"/>
    <w:multiLevelType w:val="hybridMultilevel"/>
    <w:tmpl w:val="C69A9B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3E8E0D0B"/>
    <w:multiLevelType w:val="hybridMultilevel"/>
    <w:tmpl w:val="0AA0EB82"/>
    <w:lvl w:ilvl="0" w:tplc="0706DDC6">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F032776"/>
    <w:multiLevelType w:val="hybridMultilevel"/>
    <w:tmpl w:val="36026A5A"/>
    <w:lvl w:ilvl="0" w:tplc="440A000F">
      <w:start w:val="1"/>
      <w:numFmt w:val="decimal"/>
      <w:lvlText w:val="%1."/>
      <w:lvlJc w:val="left"/>
      <w:pPr>
        <w:ind w:left="1068" w:hanging="360"/>
      </w:pPr>
      <w:rPr>
        <w:rFonts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nsid w:val="43030B38"/>
    <w:multiLevelType w:val="hybridMultilevel"/>
    <w:tmpl w:val="1BB2E4C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489A7D60"/>
    <w:multiLevelType w:val="hybridMultilevel"/>
    <w:tmpl w:val="1E4C8B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9B5623F"/>
    <w:multiLevelType w:val="hybridMultilevel"/>
    <w:tmpl w:val="D25E084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4B467CC6"/>
    <w:multiLevelType w:val="hybridMultilevel"/>
    <w:tmpl w:val="43E07E6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B843E90"/>
    <w:multiLevelType w:val="hybridMultilevel"/>
    <w:tmpl w:val="D83AD3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DFA23E1"/>
    <w:multiLevelType w:val="hybridMultilevel"/>
    <w:tmpl w:val="3BAA4F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0046711"/>
    <w:multiLevelType w:val="hybridMultilevel"/>
    <w:tmpl w:val="C0784E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nsid w:val="51544327"/>
    <w:multiLevelType w:val="hybridMultilevel"/>
    <w:tmpl w:val="F4D05C2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57B3339B"/>
    <w:multiLevelType w:val="hybridMultilevel"/>
    <w:tmpl w:val="EF1ED30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7">
    <w:nsid w:val="58EC1924"/>
    <w:multiLevelType w:val="hybridMultilevel"/>
    <w:tmpl w:val="386260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5E6E77EE"/>
    <w:multiLevelType w:val="hybridMultilevel"/>
    <w:tmpl w:val="8F00912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9">
    <w:nsid w:val="5E790C3B"/>
    <w:multiLevelType w:val="multilevel"/>
    <w:tmpl w:val="9B741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68374A0"/>
    <w:multiLevelType w:val="hybridMultilevel"/>
    <w:tmpl w:val="52CA6F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1">
    <w:nsid w:val="67422744"/>
    <w:multiLevelType w:val="hybridMultilevel"/>
    <w:tmpl w:val="2DE8A8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7992706"/>
    <w:multiLevelType w:val="hybridMultilevel"/>
    <w:tmpl w:val="8D6AC2EE"/>
    <w:lvl w:ilvl="0" w:tplc="440A000F">
      <w:start w:val="1"/>
      <w:numFmt w:val="decimal"/>
      <w:lvlText w:val="%1."/>
      <w:lvlJc w:val="left"/>
      <w:pPr>
        <w:ind w:left="1068" w:hanging="360"/>
      </w:pPr>
      <w:rPr>
        <w:rFont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nsid w:val="68652E5D"/>
    <w:multiLevelType w:val="hybridMultilevel"/>
    <w:tmpl w:val="D85CE3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nsid w:val="6C4B4C40"/>
    <w:multiLevelType w:val="hybridMultilevel"/>
    <w:tmpl w:val="13C27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6F973AE8"/>
    <w:multiLevelType w:val="hybridMultilevel"/>
    <w:tmpl w:val="3C34FC0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nsid w:val="70EC526B"/>
    <w:multiLevelType w:val="hybridMultilevel"/>
    <w:tmpl w:val="DD3AA87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3AE2150"/>
    <w:multiLevelType w:val="hybridMultilevel"/>
    <w:tmpl w:val="4DC28F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764326F6"/>
    <w:multiLevelType w:val="hybridMultilevel"/>
    <w:tmpl w:val="BD0ABDE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9">
    <w:nsid w:val="793D6E72"/>
    <w:multiLevelType w:val="hybridMultilevel"/>
    <w:tmpl w:val="C4240C08"/>
    <w:lvl w:ilvl="0" w:tplc="3BC8CA00">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7940589E"/>
    <w:multiLevelType w:val="hybridMultilevel"/>
    <w:tmpl w:val="39B41D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1">
    <w:nsid w:val="7ACF2AA9"/>
    <w:multiLevelType w:val="hybridMultilevel"/>
    <w:tmpl w:val="AB14C538"/>
    <w:lvl w:ilvl="0" w:tplc="DFE0199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2">
    <w:nsid w:val="7D2724B4"/>
    <w:multiLevelType w:val="hybridMultilevel"/>
    <w:tmpl w:val="A1F0EB2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3">
    <w:nsid w:val="7FDD04C3"/>
    <w:multiLevelType w:val="hybridMultilevel"/>
    <w:tmpl w:val="9EFEF4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7"/>
  </w:num>
  <w:num w:numId="4">
    <w:abstractNumId w:val="29"/>
  </w:num>
  <w:num w:numId="5">
    <w:abstractNumId w:val="23"/>
  </w:num>
  <w:num w:numId="6">
    <w:abstractNumId w:val="10"/>
  </w:num>
  <w:num w:numId="7">
    <w:abstractNumId w:val="34"/>
  </w:num>
  <w:num w:numId="8">
    <w:abstractNumId w:val="11"/>
  </w:num>
  <w:num w:numId="9">
    <w:abstractNumId w:val="30"/>
  </w:num>
  <w:num w:numId="10">
    <w:abstractNumId w:val="44"/>
  </w:num>
  <w:num w:numId="11">
    <w:abstractNumId w:val="18"/>
  </w:num>
  <w:num w:numId="12">
    <w:abstractNumId w:val="4"/>
  </w:num>
  <w:num w:numId="13">
    <w:abstractNumId w:val="19"/>
  </w:num>
  <w:num w:numId="14">
    <w:abstractNumId w:val="40"/>
  </w:num>
  <w:num w:numId="15">
    <w:abstractNumId w:val="2"/>
  </w:num>
  <w:num w:numId="16">
    <w:abstractNumId w:val="5"/>
  </w:num>
  <w:num w:numId="17">
    <w:abstractNumId w:val="14"/>
  </w:num>
  <w:num w:numId="18">
    <w:abstractNumId w:val="51"/>
  </w:num>
  <w:num w:numId="19">
    <w:abstractNumId w:val="22"/>
  </w:num>
  <w:num w:numId="20">
    <w:abstractNumId w:val="12"/>
  </w:num>
  <w:num w:numId="21">
    <w:abstractNumId w:val="27"/>
  </w:num>
  <w:num w:numId="22">
    <w:abstractNumId w:val="6"/>
  </w:num>
  <w:num w:numId="23">
    <w:abstractNumId w:val="42"/>
  </w:num>
  <w:num w:numId="24">
    <w:abstractNumId w:val="28"/>
  </w:num>
  <w:num w:numId="25">
    <w:abstractNumId w:val="38"/>
  </w:num>
  <w:num w:numId="26">
    <w:abstractNumId w:val="45"/>
  </w:num>
  <w:num w:numId="27">
    <w:abstractNumId w:val="15"/>
  </w:num>
  <w:num w:numId="28">
    <w:abstractNumId w:val="36"/>
  </w:num>
  <w:num w:numId="29">
    <w:abstractNumId w:val="0"/>
  </w:num>
  <w:num w:numId="30">
    <w:abstractNumId w:val="50"/>
  </w:num>
  <w:num w:numId="31">
    <w:abstractNumId w:val="43"/>
  </w:num>
  <w:num w:numId="32">
    <w:abstractNumId w:val="48"/>
  </w:num>
  <w:num w:numId="33">
    <w:abstractNumId w:val="31"/>
  </w:num>
  <w:num w:numId="34">
    <w:abstractNumId w:val="25"/>
  </w:num>
  <w:num w:numId="35">
    <w:abstractNumId w:val="21"/>
  </w:num>
  <w:num w:numId="36">
    <w:abstractNumId w:val="39"/>
  </w:num>
  <w:num w:numId="37">
    <w:abstractNumId w:val="32"/>
  </w:num>
  <w:num w:numId="38">
    <w:abstractNumId w:val="9"/>
  </w:num>
  <w:num w:numId="39">
    <w:abstractNumId w:val="35"/>
  </w:num>
  <w:num w:numId="40">
    <w:abstractNumId w:val="37"/>
  </w:num>
  <w:num w:numId="41">
    <w:abstractNumId w:val="47"/>
  </w:num>
  <w:num w:numId="42">
    <w:abstractNumId w:val="16"/>
  </w:num>
  <w:num w:numId="43">
    <w:abstractNumId w:val="24"/>
  </w:num>
  <w:num w:numId="44">
    <w:abstractNumId w:val="26"/>
  </w:num>
  <w:num w:numId="45">
    <w:abstractNumId w:val="53"/>
  </w:num>
  <w:num w:numId="46">
    <w:abstractNumId w:val="33"/>
  </w:num>
  <w:num w:numId="47">
    <w:abstractNumId w:val="3"/>
  </w:num>
  <w:num w:numId="48">
    <w:abstractNumId w:val="8"/>
  </w:num>
  <w:num w:numId="49">
    <w:abstractNumId w:val="13"/>
  </w:num>
  <w:num w:numId="50">
    <w:abstractNumId w:val="49"/>
  </w:num>
  <w:num w:numId="51">
    <w:abstractNumId w:val="46"/>
  </w:num>
  <w:num w:numId="52">
    <w:abstractNumId w:val="41"/>
  </w:num>
  <w:num w:numId="53">
    <w:abstractNumId w:val="1"/>
  </w:num>
  <w:num w:numId="54">
    <w:abstractNumId w:val="52"/>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revisionView w:markup="0"/>
  <w:defaultTabStop w:val="708"/>
  <w:hyphenationZone w:val="425"/>
  <w:drawingGridHorizontalSpacing w:val="100"/>
  <w:displayHorizontalDrawingGridEvery w:val="2"/>
  <w:characterSpacingControl w:val="doNotCompress"/>
  <w:hdrShapeDefaults>
    <o:shapedefaults v:ext="edit" spidmax="2054">
      <o:colormenu v:ext="edit" strokecolor="#0070c0"/>
    </o:shapedefaults>
    <o:shapelayout v:ext="edit">
      <o:idmap v:ext="edit" data="2"/>
      <o:rules v:ext="edit">
        <o:r id="V:Rule1" type="connector" idref="#_x0000_s2052"/>
        <o:r id="V:Rule2" type="connector" idref="#_x0000_s2053"/>
      </o:rules>
    </o:shapelayout>
  </w:hdrShapeDefaults>
  <w:footnotePr>
    <w:footnote w:id="-1"/>
    <w:footnote w:id="0"/>
  </w:footnotePr>
  <w:endnotePr>
    <w:endnote w:id="-1"/>
    <w:endnote w:id="0"/>
  </w:endnotePr>
  <w:compat/>
  <w:rsids>
    <w:rsidRoot w:val="00ED4D58"/>
    <w:rsid w:val="00000469"/>
    <w:rsid w:val="00002665"/>
    <w:rsid w:val="000058DD"/>
    <w:rsid w:val="000063F3"/>
    <w:rsid w:val="0001566A"/>
    <w:rsid w:val="00021E7E"/>
    <w:rsid w:val="00021FB2"/>
    <w:rsid w:val="000225E1"/>
    <w:rsid w:val="00022EEB"/>
    <w:rsid w:val="00026741"/>
    <w:rsid w:val="0003260D"/>
    <w:rsid w:val="0003310E"/>
    <w:rsid w:val="00034196"/>
    <w:rsid w:val="00035175"/>
    <w:rsid w:val="00036011"/>
    <w:rsid w:val="00051BB7"/>
    <w:rsid w:val="00052B71"/>
    <w:rsid w:val="00052D0E"/>
    <w:rsid w:val="00053CE7"/>
    <w:rsid w:val="000577E0"/>
    <w:rsid w:val="00062DDA"/>
    <w:rsid w:val="00066F80"/>
    <w:rsid w:val="00066FF7"/>
    <w:rsid w:val="0008157D"/>
    <w:rsid w:val="00087F4B"/>
    <w:rsid w:val="000945B8"/>
    <w:rsid w:val="000A1767"/>
    <w:rsid w:val="000A22DC"/>
    <w:rsid w:val="000A2D11"/>
    <w:rsid w:val="000A69E9"/>
    <w:rsid w:val="000A6B9F"/>
    <w:rsid w:val="000B0996"/>
    <w:rsid w:val="000B2A97"/>
    <w:rsid w:val="000B336A"/>
    <w:rsid w:val="000C14F8"/>
    <w:rsid w:val="000C28EC"/>
    <w:rsid w:val="000C3DD8"/>
    <w:rsid w:val="000C5533"/>
    <w:rsid w:val="000C5D7F"/>
    <w:rsid w:val="000C6F66"/>
    <w:rsid w:val="000D6825"/>
    <w:rsid w:val="000D7047"/>
    <w:rsid w:val="000E0644"/>
    <w:rsid w:val="000E0985"/>
    <w:rsid w:val="000E0BA0"/>
    <w:rsid w:val="000E452F"/>
    <w:rsid w:val="000E4E27"/>
    <w:rsid w:val="000E599D"/>
    <w:rsid w:val="000E72B0"/>
    <w:rsid w:val="000F2390"/>
    <w:rsid w:val="000F2D1C"/>
    <w:rsid w:val="000F3B7C"/>
    <w:rsid w:val="000F4E65"/>
    <w:rsid w:val="000F71C2"/>
    <w:rsid w:val="00103AE3"/>
    <w:rsid w:val="00103BD0"/>
    <w:rsid w:val="00106189"/>
    <w:rsid w:val="0010727F"/>
    <w:rsid w:val="0010768D"/>
    <w:rsid w:val="00107A34"/>
    <w:rsid w:val="00107D97"/>
    <w:rsid w:val="001145D3"/>
    <w:rsid w:val="00117F70"/>
    <w:rsid w:val="001203EE"/>
    <w:rsid w:val="0012125C"/>
    <w:rsid w:val="00123CFF"/>
    <w:rsid w:val="001253EA"/>
    <w:rsid w:val="00125687"/>
    <w:rsid w:val="0012748E"/>
    <w:rsid w:val="00127C43"/>
    <w:rsid w:val="001303B8"/>
    <w:rsid w:val="0013083F"/>
    <w:rsid w:val="001350C8"/>
    <w:rsid w:val="001403DF"/>
    <w:rsid w:val="00142766"/>
    <w:rsid w:val="00144AF3"/>
    <w:rsid w:val="0014767F"/>
    <w:rsid w:val="001533F2"/>
    <w:rsid w:val="00154EB3"/>
    <w:rsid w:val="001557E4"/>
    <w:rsid w:val="00160B65"/>
    <w:rsid w:val="00160C48"/>
    <w:rsid w:val="00161F97"/>
    <w:rsid w:val="0016490C"/>
    <w:rsid w:val="00165274"/>
    <w:rsid w:val="00165D36"/>
    <w:rsid w:val="00166017"/>
    <w:rsid w:val="001718F7"/>
    <w:rsid w:val="00171EF8"/>
    <w:rsid w:val="00173DF3"/>
    <w:rsid w:val="00175420"/>
    <w:rsid w:val="001759F8"/>
    <w:rsid w:val="001804B5"/>
    <w:rsid w:val="001839DD"/>
    <w:rsid w:val="001845E1"/>
    <w:rsid w:val="00184C1A"/>
    <w:rsid w:val="00190F1E"/>
    <w:rsid w:val="00191297"/>
    <w:rsid w:val="001A40A7"/>
    <w:rsid w:val="001A4465"/>
    <w:rsid w:val="001A5F69"/>
    <w:rsid w:val="001B3D02"/>
    <w:rsid w:val="001B4DCB"/>
    <w:rsid w:val="001B6DE1"/>
    <w:rsid w:val="001C1D02"/>
    <w:rsid w:val="001C2A95"/>
    <w:rsid w:val="001C365E"/>
    <w:rsid w:val="001C6F0D"/>
    <w:rsid w:val="001D17B4"/>
    <w:rsid w:val="001D20AA"/>
    <w:rsid w:val="001D24FF"/>
    <w:rsid w:val="001D4983"/>
    <w:rsid w:val="001D4EE1"/>
    <w:rsid w:val="001D5DF0"/>
    <w:rsid w:val="001D7A27"/>
    <w:rsid w:val="001D7D73"/>
    <w:rsid w:val="001E1B50"/>
    <w:rsid w:val="001E402C"/>
    <w:rsid w:val="001E4941"/>
    <w:rsid w:val="001E4B61"/>
    <w:rsid w:val="001E5EF4"/>
    <w:rsid w:val="001E736B"/>
    <w:rsid w:val="001E7E6B"/>
    <w:rsid w:val="001F0865"/>
    <w:rsid w:val="001F10A9"/>
    <w:rsid w:val="001F2EF8"/>
    <w:rsid w:val="001F3704"/>
    <w:rsid w:val="001F4D07"/>
    <w:rsid w:val="001F52D3"/>
    <w:rsid w:val="001F6380"/>
    <w:rsid w:val="001F668E"/>
    <w:rsid w:val="001F7171"/>
    <w:rsid w:val="001F7BF1"/>
    <w:rsid w:val="002011A7"/>
    <w:rsid w:val="00202744"/>
    <w:rsid w:val="00203005"/>
    <w:rsid w:val="00203354"/>
    <w:rsid w:val="002052B3"/>
    <w:rsid w:val="00205988"/>
    <w:rsid w:val="0021118D"/>
    <w:rsid w:val="00215484"/>
    <w:rsid w:val="00216458"/>
    <w:rsid w:val="00217DEE"/>
    <w:rsid w:val="00221B98"/>
    <w:rsid w:val="0022361C"/>
    <w:rsid w:val="00225387"/>
    <w:rsid w:val="00230110"/>
    <w:rsid w:val="00230D12"/>
    <w:rsid w:val="00230FCA"/>
    <w:rsid w:val="00231249"/>
    <w:rsid w:val="002371E1"/>
    <w:rsid w:val="00237E8F"/>
    <w:rsid w:val="00240431"/>
    <w:rsid w:val="00242870"/>
    <w:rsid w:val="002465E2"/>
    <w:rsid w:val="00246654"/>
    <w:rsid w:val="00247FEC"/>
    <w:rsid w:val="002505B5"/>
    <w:rsid w:val="002515B2"/>
    <w:rsid w:val="00252502"/>
    <w:rsid w:val="002552AB"/>
    <w:rsid w:val="0025685C"/>
    <w:rsid w:val="002619D0"/>
    <w:rsid w:val="00262BFB"/>
    <w:rsid w:val="002642C6"/>
    <w:rsid w:val="00270601"/>
    <w:rsid w:val="002763DE"/>
    <w:rsid w:val="00276AF8"/>
    <w:rsid w:val="002802A5"/>
    <w:rsid w:val="00281616"/>
    <w:rsid w:val="002819D4"/>
    <w:rsid w:val="00282D03"/>
    <w:rsid w:val="00282DC4"/>
    <w:rsid w:val="00284466"/>
    <w:rsid w:val="00285DEC"/>
    <w:rsid w:val="00286981"/>
    <w:rsid w:val="00287759"/>
    <w:rsid w:val="00290FA7"/>
    <w:rsid w:val="00290FD7"/>
    <w:rsid w:val="00291D2A"/>
    <w:rsid w:val="002929F2"/>
    <w:rsid w:val="002943C0"/>
    <w:rsid w:val="002959A7"/>
    <w:rsid w:val="0029654E"/>
    <w:rsid w:val="002A0F85"/>
    <w:rsid w:val="002A3B3E"/>
    <w:rsid w:val="002A5520"/>
    <w:rsid w:val="002A55AC"/>
    <w:rsid w:val="002A6E1A"/>
    <w:rsid w:val="002A7F1A"/>
    <w:rsid w:val="002B552C"/>
    <w:rsid w:val="002B6256"/>
    <w:rsid w:val="002B710B"/>
    <w:rsid w:val="002C0EC5"/>
    <w:rsid w:val="002C30A8"/>
    <w:rsid w:val="002C36A9"/>
    <w:rsid w:val="002C4BD9"/>
    <w:rsid w:val="002C4FC4"/>
    <w:rsid w:val="002D2007"/>
    <w:rsid w:val="002D3454"/>
    <w:rsid w:val="002D520C"/>
    <w:rsid w:val="002D74CA"/>
    <w:rsid w:val="002E102D"/>
    <w:rsid w:val="002E131A"/>
    <w:rsid w:val="002E38DD"/>
    <w:rsid w:val="002E73C1"/>
    <w:rsid w:val="002F370C"/>
    <w:rsid w:val="002F44F9"/>
    <w:rsid w:val="002F74DD"/>
    <w:rsid w:val="002F7FBC"/>
    <w:rsid w:val="0030061A"/>
    <w:rsid w:val="00300693"/>
    <w:rsid w:val="00301F7D"/>
    <w:rsid w:val="003032DE"/>
    <w:rsid w:val="003051F3"/>
    <w:rsid w:val="003063FE"/>
    <w:rsid w:val="00311987"/>
    <w:rsid w:val="00312162"/>
    <w:rsid w:val="0031333B"/>
    <w:rsid w:val="0031366C"/>
    <w:rsid w:val="0031614C"/>
    <w:rsid w:val="0032361F"/>
    <w:rsid w:val="00330A22"/>
    <w:rsid w:val="0033111B"/>
    <w:rsid w:val="0033157A"/>
    <w:rsid w:val="00331F87"/>
    <w:rsid w:val="00334B38"/>
    <w:rsid w:val="003422E2"/>
    <w:rsid w:val="00344818"/>
    <w:rsid w:val="00346035"/>
    <w:rsid w:val="00346650"/>
    <w:rsid w:val="003507B8"/>
    <w:rsid w:val="00351315"/>
    <w:rsid w:val="003520CB"/>
    <w:rsid w:val="00354478"/>
    <w:rsid w:val="00362BAD"/>
    <w:rsid w:val="003630EE"/>
    <w:rsid w:val="00364489"/>
    <w:rsid w:val="003663B4"/>
    <w:rsid w:val="00367E9B"/>
    <w:rsid w:val="00376E65"/>
    <w:rsid w:val="00380F19"/>
    <w:rsid w:val="003811CE"/>
    <w:rsid w:val="003853CC"/>
    <w:rsid w:val="00387863"/>
    <w:rsid w:val="00391EE1"/>
    <w:rsid w:val="0039612F"/>
    <w:rsid w:val="003963EC"/>
    <w:rsid w:val="003A1B10"/>
    <w:rsid w:val="003A2441"/>
    <w:rsid w:val="003A6BBB"/>
    <w:rsid w:val="003A7370"/>
    <w:rsid w:val="003B017B"/>
    <w:rsid w:val="003B35E0"/>
    <w:rsid w:val="003B67FC"/>
    <w:rsid w:val="003B7553"/>
    <w:rsid w:val="003C0694"/>
    <w:rsid w:val="003C235C"/>
    <w:rsid w:val="003C3B3F"/>
    <w:rsid w:val="003C72B7"/>
    <w:rsid w:val="003D4ABF"/>
    <w:rsid w:val="003D572E"/>
    <w:rsid w:val="003D748D"/>
    <w:rsid w:val="003D7F60"/>
    <w:rsid w:val="003E0CA8"/>
    <w:rsid w:val="003E14B5"/>
    <w:rsid w:val="003E3C92"/>
    <w:rsid w:val="003E4B9C"/>
    <w:rsid w:val="003E56A7"/>
    <w:rsid w:val="003E618F"/>
    <w:rsid w:val="003E6507"/>
    <w:rsid w:val="003E67F5"/>
    <w:rsid w:val="003E72AE"/>
    <w:rsid w:val="003F0605"/>
    <w:rsid w:val="003F111B"/>
    <w:rsid w:val="003F1800"/>
    <w:rsid w:val="003F3A68"/>
    <w:rsid w:val="003F3A82"/>
    <w:rsid w:val="003F4C59"/>
    <w:rsid w:val="003F534D"/>
    <w:rsid w:val="003F57C6"/>
    <w:rsid w:val="00401BA6"/>
    <w:rsid w:val="0040209E"/>
    <w:rsid w:val="00406D3A"/>
    <w:rsid w:val="00412909"/>
    <w:rsid w:val="0041336C"/>
    <w:rsid w:val="0041385B"/>
    <w:rsid w:val="00416D65"/>
    <w:rsid w:val="00427060"/>
    <w:rsid w:val="004325F8"/>
    <w:rsid w:val="00433D10"/>
    <w:rsid w:val="00434616"/>
    <w:rsid w:val="00436D78"/>
    <w:rsid w:val="0044135F"/>
    <w:rsid w:val="004421CB"/>
    <w:rsid w:val="0044350C"/>
    <w:rsid w:val="004443A1"/>
    <w:rsid w:val="0044572B"/>
    <w:rsid w:val="00446D51"/>
    <w:rsid w:val="004517FE"/>
    <w:rsid w:val="00451F8A"/>
    <w:rsid w:val="004621F9"/>
    <w:rsid w:val="00465D27"/>
    <w:rsid w:val="004661D8"/>
    <w:rsid w:val="00466D6E"/>
    <w:rsid w:val="004708DA"/>
    <w:rsid w:val="00471951"/>
    <w:rsid w:val="00473DA0"/>
    <w:rsid w:val="00476DFA"/>
    <w:rsid w:val="004840AE"/>
    <w:rsid w:val="004862B1"/>
    <w:rsid w:val="00486F10"/>
    <w:rsid w:val="0049090E"/>
    <w:rsid w:val="00494371"/>
    <w:rsid w:val="00494A98"/>
    <w:rsid w:val="004A2C0A"/>
    <w:rsid w:val="004A3BBB"/>
    <w:rsid w:val="004B0411"/>
    <w:rsid w:val="004B10F6"/>
    <w:rsid w:val="004B4954"/>
    <w:rsid w:val="004B57F4"/>
    <w:rsid w:val="004B7477"/>
    <w:rsid w:val="004C1A4D"/>
    <w:rsid w:val="004C2CE0"/>
    <w:rsid w:val="004C6B06"/>
    <w:rsid w:val="004C79AE"/>
    <w:rsid w:val="004D37ED"/>
    <w:rsid w:val="004D4024"/>
    <w:rsid w:val="004D5956"/>
    <w:rsid w:val="004D5A2C"/>
    <w:rsid w:val="004D6D80"/>
    <w:rsid w:val="004D7AAC"/>
    <w:rsid w:val="004E1411"/>
    <w:rsid w:val="004E1E18"/>
    <w:rsid w:val="004E6610"/>
    <w:rsid w:val="004E71B8"/>
    <w:rsid w:val="004F17C9"/>
    <w:rsid w:val="004F1A75"/>
    <w:rsid w:val="004F4805"/>
    <w:rsid w:val="004F5DE2"/>
    <w:rsid w:val="00500758"/>
    <w:rsid w:val="00502CE8"/>
    <w:rsid w:val="005031B0"/>
    <w:rsid w:val="005046B8"/>
    <w:rsid w:val="00506FA2"/>
    <w:rsid w:val="005103EB"/>
    <w:rsid w:val="00510679"/>
    <w:rsid w:val="00511F48"/>
    <w:rsid w:val="005132C5"/>
    <w:rsid w:val="00520701"/>
    <w:rsid w:val="0052141A"/>
    <w:rsid w:val="0052158F"/>
    <w:rsid w:val="005246D9"/>
    <w:rsid w:val="00526ED7"/>
    <w:rsid w:val="005352C0"/>
    <w:rsid w:val="00536858"/>
    <w:rsid w:val="00536F57"/>
    <w:rsid w:val="00540817"/>
    <w:rsid w:val="005415D3"/>
    <w:rsid w:val="00542D45"/>
    <w:rsid w:val="0054315D"/>
    <w:rsid w:val="0054475B"/>
    <w:rsid w:val="0054487E"/>
    <w:rsid w:val="0054619C"/>
    <w:rsid w:val="00546723"/>
    <w:rsid w:val="00546D96"/>
    <w:rsid w:val="00546FFC"/>
    <w:rsid w:val="005501FE"/>
    <w:rsid w:val="00551DD0"/>
    <w:rsid w:val="00554459"/>
    <w:rsid w:val="005610A4"/>
    <w:rsid w:val="005633B3"/>
    <w:rsid w:val="00563791"/>
    <w:rsid w:val="005646BB"/>
    <w:rsid w:val="0056474C"/>
    <w:rsid w:val="0057327E"/>
    <w:rsid w:val="005742B4"/>
    <w:rsid w:val="00577E9D"/>
    <w:rsid w:val="0058313B"/>
    <w:rsid w:val="00591951"/>
    <w:rsid w:val="00591B93"/>
    <w:rsid w:val="00591F0D"/>
    <w:rsid w:val="00593595"/>
    <w:rsid w:val="00594F70"/>
    <w:rsid w:val="00595794"/>
    <w:rsid w:val="005A0CB0"/>
    <w:rsid w:val="005A1031"/>
    <w:rsid w:val="005A13E6"/>
    <w:rsid w:val="005A18F3"/>
    <w:rsid w:val="005A5C66"/>
    <w:rsid w:val="005A5C82"/>
    <w:rsid w:val="005B105C"/>
    <w:rsid w:val="005B12E6"/>
    <w:rsid w:val="005B43D9"/>
    <w:rsid w:val="005B45F3"/>
    <w:rsid w:val="005B534F"/>
    <w:rsid w:val="005B606C"/>
    <w:rsid w:val="005C07CF"/>
    <w:rsid w:val="005C2440"/>
    <w:rsid w:val="005C2598"/>
    <w:rsid w:val="005C339F"/>
    <w:rsid w:val="005C3B7C"/>
    <w:rsid w:val="005C6217"/>
    <w:rsid w:val="005D0234"/>
    <w:rsid w:val="005D27A2"/>
    <w:rsid w:val="005D3B5A"/>
    <w:rsid w:val="005D4388"/>
    <w:rsid w:val="005D4D17"/>
    <w:rsid w:val="005D5A66"/>
    <w:rsid w:val="005E463A"/>
    <w:rsid w:val="005E5275"/>
    <w:rsid w:val="005E5890"/>
    <w:rsid w:val="005E73EE"/>
    <w:rsid w:val="005E7BB7"/>
    <w:rsid w:val="005F0417"/>
    <w:rsid w:val="005F1A90"/>
    <w:rsid w:val="005F3815"/>
    <w:rsid w:val="005F4FE2"/>
    <w:rsid w:val="005F5E40"/>
    <w:rsid w:val="005F5F81"/>
    <w:rsid w:val="00602434"/>
    <w:rsid w:val="0060455A"/>
    <w:rsid w:val="006076F6"/>
    <w:rsid w:val="00610CFA"/>
    <w:rsid w:val="00612581"/>
    <w:rsid w:val="00617E88"/>
    <w:rsid w:val="0062065D"/>
    <w:rsid w:val="006301C8"/>
    <w:rsid w:val="006322AF"/>
    <w:rsid w:val="006324C9"/>
    <w:rsid w:val="00632D2A"/>
    <w:rsid w:val="006359A8"/>
    <w:rsid w:val="00637AA3"/>
    <w:rsid w:val="006406A0"/>
    <w:rsid w:val="00640DE9"/>
    <w:rsid w:val="00640EFD"/>
    <w:rsid w:val="00641444"/>
    <w:rsid w:val="0064295B"/>
    <w:rsid w:val="0065307B"/>
    <w:rsid w:val="00653476"/>
    <w:rsid w:val="00655F94"/>
    <w:rsid w:val="00656501"/>
    <w:rsid w:val="00663307"/>
    <w:rsid w:val="00664616"/>
    <w:rsid w:val="00666244"/>
    <w:rsid w:val="00671901"/>
    <w:rsid w:val="00673084"/>
    <w:rsid w:val="00673D2F"/>
    <w:rsid w:val="0067517C"/>
    <w:rsid w:val="0067612D"/>
    <w:rsid w:val="006761C4"/>
    <w:rsid w:val="0068053C"/>
    <w:rsid w:val="006852D1"/>
    <w:rsid w:val="00691F5B"/>
    <w:rsid w:val="00692A83"/>
    <w:rsid w:val="00693758"/>
    <w:rsid w:val="00693D42"/>
    <w:rsid w:val="00696956"/>
    <w:rsid w:val="00697772"/>
    <w:rsid w:val="006A0713"/>
    <w:rsid w:val="006A2720"/>
    <w:rsid w:val="006A4076"/>
    <w:rsid w:val="006A50DB"/>
    <w:rsid w:val="006A5427"/>
    <w:rsid w:val="006B2745"/>
    <w:rsid w:val="006B3126"/>
    <w:rsid w:val="006B53D4"/>
    <w:rsid w:val="006B7171"/>
    <w:rsid w:val="006C2B9A"/>
    <w:rsid w:val="006C38BF"/>
    <w:rsid w:val="006C5232"/>
    <w:rsid w:val="006C5E70"/>
    <w:rsid w:val="006D2E2F"/>
    <w:rsid w:val="006D3173"/>
    <w:rsid w:val="006D78EB"/>
    <w:rsid w:val="006F7F47"/>
    <w:rsid w:val="00701425"/>
    <w:rsid w:val="007038E2"/>
    <w:rsid w:val="00706F6F"/>
    <w:rsid w:val="0071165B"/>
    <w:rsid w:val="007123FA"/>
    <w:rsid w:val="00712D34"/>
    <w:rsid w:val="00712EBE"/>
    <w:rsid w:val="00715930"/>
    <w:rsid w:val="007174CA"/>
    <w:rsid w:val="00720165"/>
    <w:rsid w:val="00721425"/>
    <w:rsid w:val="00721EA3"/>
    <w:rsid w:val="00722461"/>
    <w:rsid w:val="0072268C"/>
    <w:rsid w:val="007245B7"/>
    <w:rsid w:val="00724BDF"/>
    <w:rsid w:val="00725B0B"/>
    <w:rsid w:val="0072602E"/>
    <w:rsid w:val="00726944"/>
    <w:rsid w:val="00727003"/>
    <w:rsid w:val="00732681"/>
    <w:rsid w:val="007341E6"/>
    <w:rsid w:val="00735803"/>
    <w:rsid w:val="00735DBE"/>
    <w:rsid w:val="0073693C"/>
    <w:rsid w:val="00751530"/>
    <w:rsid w:val="00752F03"/>
    <w:rsid w:val="007545A4"/>
    <w:rsid w:val="0075496E"/>
    <w:rsid w:val="007564F9"/>
    <w:rsid w:val="00756604"/>
    <w:rsid w:val="00757DAB"/>
    <w:rsid w:val="00762000"/>
    <w:rsid w:val="00762FAB"/>
    <w:rsid w:val="007639A6"/>
    <w:rsid w:val="0076434F"/>
    <w:rsid w:val="007645C8"/>
    <w:rsid w:val="0077035F"/>
    <w:rsid w:val="00771BB4"/>
    <w:rsid w:val="00772343"/>
    <w:rsid w:val="00773ACC"/>
    <w:rsid w:val="00780A04"/>
    <w:rsid w:val="007825ED"/>
    <w:rsid w:val="00782E75"/>
    <w:rsid w:val="00783740"/>
    <w:rsid w:val="00785718"/>
    <w:rsid w:val="007930AE"/>
    <w:rsid w:val="00794C16"/>
    <w:rsid w:val="007A0467"/>
    <w:rsid w:val="007A1E15"/>
    <w:rsid w:val="007A5BED"/>
    <w:rsid w:val="007A7D4B"/>
    <w:rsid w:val="007A7F84"/>
    <w:rsid w:val="007B2BB7"/>
    <w:rsid w:val="007B3741"/>
    <w:rsid w:val="007B5389"/>
    <w:rsid w:val="007B614A"/>
    <w:rsid w:val="007B6E7E"/>
    <w:rsid w:val="007C0856"/>
    <w:rsid w:val="007C2D25"/>
    <w:rsid w:val="007C3DB1"/>
    <w:rsid w:val="007D0B01"/>
    <w:rsid w:val="007D14C9"/>
    <w:rsid w:val="007D3BA0"/>
    <w:rsid w:val="007E0579"/>
    <w:rsid w:val="007E06E1"/>
    <w:rsid w:val="007E113C"/>
    <w:rsid w:val="007E1596"/>
    <w:rsid w:val="007E2138"/>
    <w:rsid w:val="007E2238"/>
    <w:rsid w:val="007E3385"/>
    <w:rsid w:val="007E482E"/>
    <w:rsid w:val="007E78BE"/>
    <w:rsid w:val="007F2225"/>
    <w:rsid w:val="007F29DB"/>
    <w:rsid w:val="007F309A"/>
    <w:rsid w:val="007F4BFC"/>
    <w:rsid w:val="007F76AF"/>
    <w:rsid w:val="00801D6D"/>
    <w:rsid w:val="008023D8"/>
    <w:rsid w:val="008042E3"/>
    <w:rsid w:val="00806EE8"/>
    <w:rsid w:val="0080732C"/>
    <w:rsid w:val="00811065"/>
    <w:rsid w:val="008133EB"/>
    <w:rsid w:val="0081609E"/>
    <w:rsid w:val="008160C8"/>
    <w:rsid w:val="00832C36"/>
    <w:rsid w:val="00832F51"/>
    <w:rsid w:val="00834C24"/>
    <w:rsid w:val="00835983"/>
    <w:rsid w:val="00835C74"/>
    <w:rsid w:val="0083610D"/>
    <w:rsid w:val="00841414"/>
    <w:rsid w:val="008417F2"/>
    <w:rsid w:val="00841CFA"/>
    <w:rsid w:val="00842F2B"/>
    <w:rsid w:val="00844253"/>
    <w:rsid w:val="00844EEA"/>
    <w:rsid w:val="008451F9"/>
    <w:rsid w:val="008511B4"/>
    <w:rsid w:val="00857735"/>
    <w:rsid w:val="008626BC"/>
    <w:rsid w:val="00862E1F"/>
    <w:rsid w:val="008645B3"/>
    <w:rsid w:val="00864D1A"/>
    <w:rsid w:val="00867A17"/>
    <w:rsid w:val="00867C58"/>
    <w:rsid w:val="00874403"/>
    <w:rsid w:val="0087522A"/>
    <w:rsid w:val="008755A4"/>
    <w:rsid w:val="00876305"/>
    <w:rsid w:val="0088151A"/>
    <w:rsid w:val="00881847"/>
    <w:rsid w:val="00882784"/>
    <w:rsid w:val="00882CC2"/>
    <w:rsid w:val="0088431C"/>
    <w:rsid w:val="00887136"/>
    <w:rsid w:val="00887662"/>
    <w:rsid w:val="00892130"/>
    <w:rsid w:val="00896322"/>
    <w:rsid w:val="008A025F"/>
    <w:rsid w:val="008A3A96"/>
    <w:rsid w:val="008A7E3A"/>
    <w:rsid w:val="008B1373"/>
    <w:rsid w:val="008B21EB"/>
    <w:rsid w:val="008B453C"/>
    <w:rsid w:val="008B5230"/>
    <w:rsid w:val="008D7C72"/>
    <w:rsid w:val="008D7D36"/>
    <w:rsid w:val="008D7D90"/>
    <w:rsid w:val="008D7FD6"/>
    <w:rsid w:val="008E18E5"/>
    <w:rsid w:val="008E6F7D"/>
    <w:rsid w:val="008F00C0"/>
    <w:rsid w:val="00905652"/>
    <w:rsid w:val="00910E9B"/>
    <w:rsid w:val="00911560"/>
    <w:rsid w:val="009121BE"/>
    <w:rsid w:val="00912A19"/>
    <w:rsid w:val="00912C28"/>
    <w:rsid w:val="0091481C"/>
    <w:rsid w:val="00914F96"/>
    <w:rsid w:val="009150C4"/>
    <w:rsid w:val="009170C2"/>
    <w:rsid w:val="00917434"/>
    <w:rsid w:val="009203E4"/>
    <w:rsid w:val="00920E84"/>
    <w:rsid w:val="0092213E"/>
    <w:rsid w:val="009224F8"/>
    <w:rsid w:val="009234A3"/>
    <w:rsid w:val="009235BB"/>
    <w:rsid w:val="00924710"/>
    <w:rsid w:val="00925169"/>
    <w:rsid w:val="00925D1C"/>
    <w:rsid w:val="00926F33"/>
    <w:rsid w:val="009305D0"/>
    <w:rsid w:val="0093473E"/>
    <w:rsid w:val="009452CF"/>
    <w:rsid w:val="00947396"/>
    <w:rsid w:val="0095093E"/>
    <w:rsid w:val="0095619D"/>
    <w:rsid w:val="00957D99"/>
    <w:rsid w:val="0096162C"/>
    <w:rsid w:val="00964831"/>
    <w:rsid w:val="00964EDD"/>
    <w:rsid w:val="00965138"/>
    <w:rsid w:val="00967223"/>
    <w:rsid w:val="009760CA"/>
    <w:rsid w:val="00980EEA"/>
    <w:rsid w:val="00984D3F"/>
    <w:rsid w:val="009861B7"/>
    <w:rsid w:val="00986B96"/>
    <w:rsid w:val="009906BB"/>
    <w:rsid w:val="0099084F"/>
    <w:rsid w:val="009913DE"/>
    <w:rsid w:val="00994D41"/>
    <w:rsid w:val="00994D62"/>
    <w:rsid w:val="0099608E"/>
    <w:rsid w:val="00997BBE"/>
    <w:rsid w:val="00997FBF"/>
    <w:rsid w:val="009A5CA0"/>
    <w:rsid w:val="009A5F74"/>
    <w:rsid w:val="009A758F"/>
    <w:rsid w:val="009B0247"/>
    <w:rsid w:val="009B0E39"/>
    <w:rsid w:val="009B127A"/>
    <w:rsid w:val="009B22C7"/>
    <w:rsid w:val="009B48F7"/>
    <w:rsid w:val="009B57EF"/>
    <w:rsid w:val="009B6F77"/>
    <w:rsid w:val="009B7D84"/>
    <w:rsid w:val="009C0AB0"/>
    <w:rsid w:val="009C5BAF"/>
    <w:rsid w:val="009D1155"/>
    <w:rsid w:val="009D1BA5"/>
    <w:rsid w:val="009D6D6F"/>
    <w:rsid w:val="009D7732"/>
    <w:rsid w:val="009D7ACD"/>
    <w:rsid w:val="009E026E"/>
    <w:rsid w:val="009E0377"/>
    <w:rsid w:val="009E3509"/>
    <w:rsid w:val="009E3E4D"/>
    <w:rsid w:val="009E65CD"/>
    <w:rsid w:val="009F339D"/>
    <w:rsid w:val="009F532E"/>
    <w:rsid w:val="009F64A6"/>
    <w:rsid w:val="00A019D7"/>
    <w:rsid w:val="00A033C9"/>
    <w:rsid w:val="00A0604A"/>
    <w:rsid w:val="00A06A5D"/>
    <w:rsid w:val="00A1520C"/>
    <w:rsid w:val="00A156EA"/>
    <w:rsid w:val="00A17AFA"/>
    <w:rsid w:val="00A22632"/>
    <w:rsid w:val="00A229AB"/>
    <w:rsid w:val="00A23EC8"/>
    <w:rsid w:val="00A26180"/>
    <w:rsid w:val="00A300B8"/>
    <w:rsid w:val="00A31629"/>
    <w:rsid w:val="00A374E2"/>
    <w:rsid w:val="00A41C0D"/>
    <w:rsid w:val="00A41E30"/>
    <w:rsid w:val="00A427FD"/>
    <w:rsid w:val="00A53BCD"/>
    <w:rsid w:val="00A54610"/>
    <w:rsid w:val="00A54EAE"/>
    <w:rsid w:val="00A57420"/>
    <w:rsid w:val="00A57C44"/>
    <w:rsid w:val="00A60220"/>
    <w:rsid w:val="00A6224D"/>
    <w:rsid w:val="00A62827"/>
    <w:rsid w:val="00A63814"/>
    <w:rsid w:val="00A63ED5"/>
    <w:rsid w:val="00A6590C"/>
    <w:rsid w:val="00A73447"/>
    <w:rsid w:val="00A81615"/>
    <w:rsid w:val="00A828FD"/>
    <w:rsid w:val="00A82FF4"/>
    <w:rsid w:val="00A83F84"/>
    <w:rsid w:val="00A8405A"/>
    <w:rsid w:val="00A84B78"/>
    <w:rsid w:val="00A864A9"/>
    <w:rsid w:val="00A86E9D"/>
    <w:rsid w:val="00A87C8D"/>
    <w:rsid w:val="00A87CEC"/>
    <w:rsid w:val="00A91467"/>
    <w:rsid w:val="00A916D2"/>
    <w:rsid w:val="00A91742"/>
    <w:rsid w:val="00A91962"/>
    <w:rsid w:val="00A9407A"/>
    <w:rsid w:val="00A9543B"/>
    <w:rsid w:val="00A96596"/>
    <w:rsid w:val="00A97148"/>
    <w:rsid w:val="00A97214"/>
    <w:rsid w:val="00AA2DE1"/>
    <w:rsid w:val="00AA35CA"/>
    <w:rsid w:val="00AA3DD4"/>
    <w:rsid w:val="00AA5021"/>
    <w:rsid w:val="00AA59C3"/>
    <w:rsid w:val="00AA7610"/>
    <w:rsid w:val="00AB2C07"/>
    <w:rsid w:val="00AB3D9F"/>
    <w:rsid w:val="00AB483E"/>
    <w:rsid w:val="00AB533E"/>
    <w:rsid w:val="00AC27E9"/>
    <w:rsid w:val="00AC343B"/>
    <w:rsid w:val="00AC5E1C"/>
    <w:rsid w:val="00AD01D5"/>
    <w:rsid w:val="00AD3191"/>
    <w:rsid w:val="00AD35E8"/>
    <w:rsid w:val="00AD5B27"/>
    <w:rsid w:val="00AE0D7B"/>
    <w:rsid w:val="00AE1B43"/>
    <w:rsid w:val="00AE3AF3"/>
    <w:rsid w:val="00AE6FE2"/>
    <w:rsid w:val="00AF0115"/>
    <w:rsid w:val="00AF1601"/>
    <w:rsid w:val="00AF2BF1"/>
    <w:rsid w:val="00AF4CBD"/>
    <w:rsid w:val="00B014A2"/>
    <w:rsid w:val="00B024B9"/>
    <w:rsid w:val="00B15ED9"/>
    <w:rsid w:val="00B22E41"/>
    <w:rsid w:val="00B23D3D"/>
    <w:rsid w:val="00B3104D"/>
    <w:rsid w:val="00B3109F"/>
    <w:rsid w:val="00B33679"/>
    <w:rsid w:val="00B35FE7"/>
    <w:rsid w:val="00B367EF"/>
    <w:rsid w:val="00B3686F"/>
    <w:rsid w:val="00B36EF3"/>
    <w:rsid w:val="00B40CB1"/>
    <w:rsid w:val="00B41D88"/>
    <w:rsid w:val="00B420B2"/>
    <w:rsid w:val="00B50A32"/>
    <w:rsid w:val="00B524D7"/>
    <w:rsid w:val="00B5293A"/>
    <w:rsid w:val="00B5341F"/>
    <w:rsid w:val="00B60FD0"/>
    <w:rsid w:val="00B647E8"/>
    <w:rsid w:val="00B76430"/>
    <w:rsid w:val="00B77D3F"/>
    <w:rsid w:val="00B80130"/>
    <w:rsid w:val="00B8074C"/>
    <w:rsid w:val="00B827DE"/>
    <w:rsid w:val="00B829B2"/>
    <w:rsid w:val="00B83D8B"/>
    <w:rsid w:val="00B84AC0"/>
    <w:rsid w:val="00B91034"/>
    <w:rsid w:val="00B91040"/>
    <w:rsid w:val="00B92027"/>
    <w:rsid w:val="00B93C02"/>
    <w:rsid w:val="00B94C0C"/>
    <w:rsid w:val="00B96E4C"/>
    <w:rsid w:val="00BA3102"/>
    <w:rsid w:val="00BA6177"/>
    <w:rsid w:val="00BA6D59"/>
    <w:rsid w:val="00BA77FC"/>
    <w:rsid w:val="00BB0EA0"/>
    <w:rsid w:val="00BB1798"/>
    <w:rsid w:val="00BB1B08"/>
    <w:rsid w:val="00BB22E1"/>
    <w:rsid w:val="00BB51F6"/>
    <w:rsid w:val="00BB6BEA"/>
    <w:rsid w:val="00BC31D4"/>
    <w:rsid w:val="00BC4611"/>
    <w:rsid w:val="00BD26E0"/>
    <w:rsid w:val="00BE1EC6"/>
    <w:rsid w:val="00BE2BC3"/>
    <w:rsid w:val="00BE2D0C"/>
    <w:rsid w:val="00BE5960"/>
    <w:rsid w:val="00BE5D17"/>
    <w:rsid w:val="00BF01BB"/>
    <w:rsid w:val="00BF7E82"/>
    <w:rsid w:val="00C0532F"/>
    <w:rsid w:val="00C05CDA"/>
    <w:rsid w:val="00C07004"/>
    <w:rsid w:val="00C07F9E"/>
    <w:rsid w:val="00C11404"/>
    <w:rsid w:val="00C11543"/>
    <w:rsid w:val="00C12827"/>
    <w:rsid w:val="00C12C2A"/>
    <w:rsid w:val="00C13ACE"/>
    <w:rsid w:val="00C15A03"/>
    <w:rsid w:val="00C17521"/>
    <w:rsid w:val="00C24BD0"/>
    <w:rsid w:val="00C24D96"/>
    <w:rsid w:val="00C25352"/>
    <w:rsid w:val="00C26398"/>
    <w:rsid w:val="00C266FF"/>
    <w:rsid w:val="00C26FE9"/>
    <w:rsid w:val="00C27E14"/>
    <w:rsid w:val="00C32916"/>
    <w:rsid w:val="00C3482C"/>
    <w:rsid w:val="00C35B1C"/>
    <w:rsid w:val="00C4106A"/>
    <w:rsid w:val="00C41998"/>
    <w:rsid w:val="00C41B5A"/>
    <w:rsid w:val="00C43CA4"/>
    <w:rsid w:val="00C44ED9"/>
    <w:rsid w:val="00C45944"/>
    <w:rsid w:val="00C46B21"/>
    <w:rsid w:val="00C47AB6"/>
    <w:rsid w:val="00C509E1"/>
    <w:rsid w:val="00C523E2"/>
    <w:rsid w:val="00C5302E"/>
    <w:rsid w:val="00C54DEA"/>
    <w:rsid w:val="00C55ED9"/>
    <w:rsid w:val="00C565C0"/>
    <w:rsid w:val="00C6055D"/>
    <w:rsid w:val="00C615A0"/>
    <w:rsid w:val="00C6200A"/>
    <w:rsid w:val="00C66895"/>
    <w:rsid w:val="00C70040"/>
    <w:rsid w:val="00C716B6"/>
    <w:rsid w:val="00C72112"/>
    <w:rsid w:val="00C73997"/>
    <w:rsid w:val="00C760D9"/>
    <w:rsid w:val="00C80183"/>
    <w:rsid w:val="00C84373"/>
    <w:rsid w:val="00C859C6"/>
    <w:rsid w:val="00C9067E"/>
    <w:rsid w:val="00C92EA3"/>
    <w:rsid w:val="00C946FC"/>
    <w:rsid w:val="00C97497"/>
    <w:rsid w:val="00CA2F7E"/>
    <w:rsid w:val="00CA532E"/>
    <w:rsid w:val="00CA607D"/>
    <w:rsid w:val="00CB0004"/>
    <w:rsid w:val="00CB0121"/>
    <w:rsid w:val="00CB0A9B"/>
    <w:rsid w:val="00CB1234"/>
    <w:rsid w:val="00CB213C"/>
    <w:rsid w:val="00CC04F9"/>
    <w:rsid w:val="00CC1C55"/>
    <w:rsid w:val="00CC22AB"/>
    <w:rsid w:val="00CC68FE"/>
    <w:rsid w:val="00CC69DE"/>
    <w:rsid w:val="00CC76EB"/>
    <w:rsid w:val="00CD0FCF"/>
    <w:rsid w:val="00CD3271"/>
    <w:rsid w:val="00CD33A6"/>
    <w:rsid w:val="00CD49F6"/>
    <w:rsid w:val="00CD6719"/>
    <w:rsid w:val="00CE03C2"/>
    <w:rsid w:val="00CE46E4"/>
    <w:rsid w:val="00CE5836"/>
    <w:rsid w:val="00CF0BDD"/>
    <w:rsid w:val="00CF451F"/>
    <w:rsid w:val="00CF4F29"/>
    <w:rsid w:val="00CF6519"/>
    <w:rsid w:val="00CF70DD"/>
    <w:rsid w:val="00CF7D8B"/>
    <w:rsid w:val="00D02D95"/>
    <w:rsid w:val="00D047CA"/>
    <w:rsid w:val="00D05AA1"/>
    <w:rsid w:val="00D07607"/>
    <w:rsid w:val="00D111CE"/>
    <w:rsid w:val="00D11D06"/>
    <w:rsid w:val="00D12D82"/>
    <w:rsid w:val="00D168E8"/>
    <w:rsid w:val="00D169A2"/>
    <w:rsid w:val="00D2200D"/>
    <w:rsid w:val="00D228C8"/>
    <w:rsid w:val="00D22DF8"/>
    <w:rsid w:val="00D23BC5"/>
    <w:rsid w:val="00D27615"/>
    <w:rsid w:val="00D3085F"/>
    <w:rsid w:val="00D318B0"/>
    <w:rsid w:val="00D337CD"/>
    <w:rsid w:val="00D34CFC"/>
    <w:rsid w:val="00D353D2"/>
    <w:rsid w:val="00D377AB"/>
    <w:rsid w:val="00D40F96"/>
    <w:rsid w:val="00D410B3"/>
    <w:rsid w:val="00D469AC"/>
    <w:rsid w:val="00D470DD"/>
    <w:rsid w:val="00D50C9E"/>
    <w:rsid w:val="00D50DC7"/>
    <w:rsid w:val="00D53AEA"/>
    <w:rsid w:val="00D53F05"/>
    <w:rsid w:val="00D55924"/>
    <w:rsid w:val="00D66590"/>
    <w:rsid w:val="00D66866"/>
    <w:rsid w:val="00D73580"/>
    <w:rsid w:val="00D7655C"/>
    <w:rsid w:val="00D76770"/>
    <w:rsid w:val="00D76888"/>
    <w:rsid w:val="00D83A25"/>
    <w:rsid w:val="00D84045"/>
    <w:rsid w:val="00D87338"/>
    <w:rsid w:val="00DA2379"/>
    <w:rsid w:val="00DA28C4"/>
    <w:rsid w:val="00DA3B14"/>
    <w:rsid w:val="00DA3C52"/>
    <w:rsid w:val="00DA453D"/>
    <w:rsid w:val="00DA74ED"/>
    <w:rsid w:val="00DB2BC6"/>
    <w:rsid w:val="00DB4110"/>
    <w:rsid w:val="00DB76EE"/>
    <w:rsid w:val="00DC1AD5"/>
    <w:rsid w:val="00DC2FB1"/>
    <w:rsid w:val="00DC4903"/>
    <w:rsid w:val="00DC5321"/>
    <w:rsid w:val="00DC5937"/>
    <w:rsid w:val="00DC5CCD"/>
    <w:rsid w:val="00DC74CE"/>
    <w:rsid w:val="00DC7850"/>
    <w:rsid w:val="00DC7924"/>
    <w:rsid w:val="00DC7BF1"/>
    <w:rsid w:val="00DC7E77"/>
    <w:rsid w:val="00DD0C1B"/>
    <w:rsid w:val="00DD25C6"/>
    <w:rsid w:val="00DD28F0"/>
    <w:rsid w:val="00DD2F66"/>
    <w:rsid w:val="00DD3238"/>
    <w:rsid w:val="00DD44F4"/>
    <w:rsid w:val="00DD5A4F"/>
    <w:rsid w:val="00DD6CDF"/>
    <w:rsid w:val="00DD79E3"/>
    <w:rsid w:val="00DD7B7A"/>
    <w:rsid w:val="00DE2528"/>
    <w:rsid w:val="00DE42C9"/>
    <w:rsid w:val="00DF1AD2"/>
    <w:rsid w:val="00DF2509"/>
    <w:rsid w:val="00DF284A"/>
    <w:rsid w:val="00DF2DA1"/>
    <w:rsid w:val="00DF590B"/>
    <w:rsid w:val="00E01F61"/>
    <w:rsid w:val="00E03793"/>
    <w:rsid w:val="00E03CA2"/>
    <w:rsid w:val="00E050A9"/>
    <w:rsid w:val="00E066CF"/>
    <w:rsid w:val="00E06762"/>
    <w:rsid w:val="00E117B9"/>
    <w:rsid w:val="00E13103"/>
    <w:rsid w:val="00E155AE"/>
    <w:rsid w:val="00E179D2"/>
    <w:rsid w:val="00E20F57"/>
    <w:rsid w:val="00E21368"/>
    <w:rsid w:val="00E2175F"/>
    <w:rsid w:val="00E219E6"/>
    <w:rsid w:val="00E21A9E"/>
    <w:rsid w:val="00E21F0C"/>
    <w:rsid w:val="00E222D4"/>
    <w:rsid w:val="00E22605"/>
    <w:rsid w:val="00E22F6A"/>
    <w:rsid w:val="00E250F5"/>
    <w:rsid w:val="00E26C5C"/>
    <w:rsid w:val="00E26E67"/>
    <w:rsid w:val="00E26F73"/>
    <w:rsid w:val="00E2722F"/>
    <w:rsid w:val="00E27506"/>
    <w:rsid w:val="00E30237"/>
    <w:rsid w:val="00E30A1F"/>
    <w:rsid w:val="00E3534C"/>
    <w:rsid w:val="00E36E90"/>
    <w:rsid w:val="00E40793"/>
    <w:rsid w:val="00E52372"/>
    <w:rsid w:val="00E55124"/>
    <w:rsid w:val="00E57CDB"/>
    <w:rsid w:val="00E6003A"/>
    <w:rsid w:val="00E62F8E"/>
    <w:rsid w:val="00E643C2"/>
    <w:rsid w:val="00E64A91"/>
    <w:rsid w:val="00E65516"/>
    <w:rsid w:val="00E70711"/>
    <w:rsid w:val="00E71EA7"/>
    <w:rsid w:val="00E748A7"/>
    <w:rsid w:val="00E76EBB"/>
    <w:rsid w:val="00E77FCE"/>
    <w:rsid w:val="00E930F1"/>
    <w:rsid w:val="00E93B2B"/>
    <w:rsid w:val="00E97701"/>
    <w:rsid w:val="00EA27B6"/>
    <w:rsid w:val="00EA50E7"/>
    <w:rsid w:val="00EA5D81"/>
    <w:rsid w:val="00EA6903"/>
    <w:rsid w:val="00EA6BE4"/>
    <w:rsid w:val="00EB1BD3"/>
    <w:rsid w:val="00EB1F2A"/>
    <w:rsid w:val="00EB2916"/>
    <w:rsid w:val="00EB2F56"/>
    <w:rsid w:val="00EB64C0"/>
    <w:rsid w:val="00EB66F1"/>
    <w:rsid w:val="00EC0177"/>
    <w:rsid w:val="00EC02E9"/>
    <w:rsid w:val="00EC3933"/>
    <w:rsid w:val="00EC59CD"/>
    <w:rsid w:val="00EC7A78"/>
    <w:rsid w:val="00ED3D08"/>
    <w:rsid w:val="00ED4D58"/>
    <w:rsid w:val="00ED65C3"/>
    <w:rsid w:val="00EE0473"/>
    <w:rsid w:val="00EE62B1"/>
    <w:rsid w:val="00EE7918"/>
    <w:rsid w:val="00EF193F"/>
    <w:rsid w:val="00EF53A2"/>
    <w:rsid w:val="00EF5C85"/>
    <w:rsid w:val="00EF6E80"/>
    <w:rsid w:val="00EF7D90"/>
    <w:rsid w:val="00EF7F64"/>
    <w:rsid w:val="00F021BB"/>
    <w:rsid w:val="00F04D89"/>
    <w:rsid w:val="00F0502F"/>
    <w:rsid w:val="00F06787"/>
    <w:rsid w:val="00F06970"/>
    <w:rsid w:val="00F101A3"/>
    <w:rsid w:val="00F11D69"/>
    <w:rsid w:val="00F12DE5"/>
    <w:rsid w:val="00F20F11"/>
    <w:rsid w:val="00F23EDD"/>
    <w:rsid w:val="00F27506"/>
    <w:rsid w:val="00F2756B"/>
    <w:rsid w:val="00F3212E"/>
    <w:rsid w:val="00F3306D"/>
    <w:rsid w:val="00F34DB8"/>
    <w:rsid w:val="00F44306"/>
    <w:rsid w:val="00F44C86"/>
    <w:rsid w:val="00F50F1D"/>
    <w:rsid w:val="00F52FE3"/>
    <w:rsid w:val="00F55729"/>
    <w:rsid w:val="00F5692B"/>
    <w:rsid w:val="00F608B9"/>
    <w:rsid w:val="00F60A45"/>
    <w:rsid w:val="00F62023"/>
    <w:rsid w:val="00F62B07"/>
    <w:rsid w:val="00F63E29"/>
    <w:rsid w:val="00F6462F"/>
    <w:rsid w:val="00F666E5"/>
    <w:rsid w:val="00F67D7B"/>
    <w:rsid w:val="00F7462A"/>
    <w:rsid w:val="00F749D4"/>
    <w:rsid w:val="00F766CB"/>
    <w:rsid w:val="00F7774D"/>
    <w:rsid w:val="00F86055"/>
    <w:rsid w:val="00F86B74"/>
    <w:rsid w:val="00F87826"/>
    <w:rsid w:val="00F95692"/>
    <w:rsid w:val="00FA2446"/>
    <w:rsid w:val="00FA479A"/>
    <w:rsid w:val="00FA5785"/>
    <w:rsid w:val="00FB1CB8"/>
    <w:rsid w:val="00FB33CE"/>
    <w:rsid w:val="00FB45A9"/>
    <w:rsid w:val="00FB62ED"/>
    <w:rsid w:val="00FC11C7"/>
    <w:rsid w:val="00FC16AC"/>
    <w:rsid w:val="00FC6308"/>
    <w:rsid w:val="00FD26F8"/>
    <w:rsid w:val="00FE1D05"/>
    <w:rsid w:val="00FE75B2"/>
    <w:rsid w:val="00FE76A4"/>
    <w:rsid w:val="00FF556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stroke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FB"/>
    <w:pPr>
      <w:spacing w:line="288" w:lineRule="auto"/>
      <w:jc w:val="both"/>
    </w:pPr>
    <w:rPr>
      <w:rFonts w:eastAsiaTheme="minorEastAsia"/>
      <w:i/>
      <w:iCs/>
      <w:sz w:val="20"/>
      <w:szCs w:val="20"/>
      <w:lang w:bidi="en-US"/>
    </w:rPr>
  </w:style>
  <w:style w:type="paragraph" w:styleId="Ttulo1">
    <w:name w:val="heading 1"/>
    <w:basedOn w:val="Normal"/>
    <w:next w:val="Normal"/>
    <w:link w:val="Ttulo1Car"/>
    <w:autoRedefine/>
    <w:uiPriority w:val="9"/>
    <w:qFormat/>
    <w:rsid w:val="00344818"/>
    <w:pPr>
      <w:pBdr>
        <w:bottom w:val="single" w:sz="8" w:space="0" w:color="0070C0"/>
      </w:pBdr>
      <w:spacing w:before="480" w:after="100" w:line="269" w:lineRule="auto"/>
      <w:contextualSpacing/>
      <w:outlineLvl w:val="0"/>
    </w:pPr>
    <w:rPr>
      <w:rFonts w:ascii="Calibri" w:eastAsiaTheme="majorEastAsia" w:hAnsi="Calibri" w:cstheme="majorBidi"/>
      <w:b/>
      <w:bCs/>
      <w:i w:val="0"/>
      <w:iCs w:val="0"/>
      <w:color w:val="002060"/>
      <w:sz w:val="28"/>
    </w:rPr>
  </w:style>
  <w:style w:type="paragraph" w:styleId="Ttulo2">
    <w:name w:val="heading 2"/>
    <w:basedOn w:val="Normal"/>
    <w:next w:val="Normal"/>
    <w:link w:val="Ttulo2Car"/>
    <w:uiPriority w:val="9"/>
    <w:unhideWhenUsed/>
    <w:qFormat/>
    <w:rsid w:val="00344818"/>
    <w:pPr>
      <w:keepNext/>
      <w:keepLines/>
      <w:widowControl w:val="0"/>
      <w:pBdr>
        <w:bottom w:val="single" w:sz="8" w:space="1" w:color="0070C0"/>
      </w:pBdr>
      <w:wordWrap w:val="0"/>
      <w:autoSpaceDE w:val="0"/>
      <w:autoSpaceDN w:val="0"/>
      <w:spacing w:before="200" w:after="0" w:line="240" w:lineRule="auto"/>
      <w:outlineLvl w:val="1"/>
    </w:pPr>
    <w:rPr>
      <w:rFonts w:ascii="Calibri" w:eastAsiaTheme="majorEastAsia" w:hAnsi="Calibri" w:cstheme="majorBidi"/>
      <w:b/>
      <w:bCs/>
      <w:i w:val="0"/>
      <w:iCs w:val="0"/>
      <w:color w:val="0070C0"/>
      <w:kern w:val="2"/>
      <w:sz w:val="24"/>
      <w:szCs w:val="26"/>
      <w:lang w:val="en-US" w:eastAsia="ko-KR" w:bidi="ar-SA"/>
    </w:rPr>
  </w:style>
  <w:style w:type="paragraph" w:styleId="Ttulo3">
    <w:name w:val="heading 3"/>
    <w:basedOn w:val="Normal"/>
    <w:next w:val="Normal"/>
    <w:link w:val="Ttulo3Car"/>
    <w:uiPriority w:val="9"/>
    <w:unhideWhenUsed/>
    <w:qFormat/>
    <w:rsid w:val="00344818"/>
    <w:pPr>
      <w:keepNext/>
      <w:keepLines/>
      <w:spacing w:before="200" w:after="0"/>
      <w:outlineLvl w:val="2"/>
    </w:pPr>
    <w:rPr>
      <w:rFonts w:ascii="Calibri" w:eastAsiaTheme="majorEastAsia" w:hAnsi="Calibri" w:cstheme="majorBidi"/>
      <w:b/>
      <w:bCs/>
      <w:i w:val="0"/>
      <w:color w:val="0070C0"/>
      <w:sz w:val="22"/>
    </w:rPr>
  </w:style>
  <w:style w:type="paragraph" w:styleId="Ttulo4">
    <w:name w:val="heading 4"/>
    <w:basedOn w:val="Normal"/>
    <w:next w:val="Normal"/>
    <w:link w:val="Ttulo4Car"/>
    <w:uiPriority w:val="9"/>
    <w:unhideWhenUsed/>
    <w:qFormat/>
    <w:rsid w:val="005B12E6"/>
    <w:pPr>
      <w:keepNext/>
      <w:keepLines/>
      <w:spacing w:before="200" w:after="0"/>
      <w:outlineLvl w:val="3"/>
    </w:pPr>
    <w:rPr>
      <w:rFonts w:asciiTheme="majorHAnsi" w:eastAsiaTheme="majorEastAsia" w:hAnsiTheme="majorHAnsi" w:cstheme="majorBidi"/>
      <w:b/>
      <w:bCs/>
      <w:i w:val="0"/>
      <w:iCs w:val="0"/>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4818"/>
    <w:rPr>
      <w:rFonts w:ascii="Calibri" w:eastAsiaTheme="majorEastAsia" w:hAnsi="Calibri" w:cstheme="majorBidi"/>
      <w:b/>
      <w:bCs/>
      <w:color w:val="002060"/>
      <w:sz w:val="28"/>
      <w:szCs w:val="20"/>
      <w:lang w:bidi="en-US"/>
    </w:rPr>
  </w:style>
  <w:style w:type="character" w:customStyle="1" w:styleId="Ttulo2Car">
    <w:name w:val="Título 2 Car"/>
    <w:basedOn w:val="Fuentedeprrafopredeter"/>
    <w:link w:val="Ttulo2"/>
    <w:uiPriority w:val="9"/>
    <w:rsid w:val="00344818"/>
    <w:rPr>
      <w:rFonts w:ascii="Calibri" w:eastAsiaTheme="majorEastAsia" w:hAnsi="Calibri" w:cstheme="majorBidi"/>
      <w:b/>
      <w:bCs/>
      <w:color w:val="0070C0"/>
      <w:kern w:val="2"/>
      <w:sz w:val="24"/>
      <w:szCs w:val="26"/>
      <w:lang w:val="en-US" w:eastAsia="ko-KR"/>
    </w:rPr>
  </w:style>
  <w:style w:type="paragraph" w:styleId="Ttulo">
    <w:name w:val="Title"/>
    <w:basedOn w:val="Normal"/>
    <w:next w:val="Normal"/>
    <w:link w:val="TtuloCar"/>
    <w:uiPriority w:val="10"/>
    <w:qFormat/>
    <w:rsid w:val="00ED4D58"/>
    <w:pPr>
      <w:widowControl w:val="0"/>
      <w:pBdr>
        <w:bottom w:val="single" w:sz="8" w:space="4" w:color="4F81BD" w:themeColor="accent1"/>
      </w:pBdr>
      <w:wordWrap w:val="0"/>
      <w:autoSpaceDE w:val="0"/>
      <w:autoSpaceDN w:val="0"/>
      <w:spacing w:after="300" w:line="240" w:lineRule="auto"/>
      <w:contextualSpacing/>
    </w:pPr>
    <w:rPr>
      <w:rFonts w:asciiTheme="majorHAnsi" w:eastAsiaTheme="majorEastAsia" w:hAnsiTheme="majorHAnsi" w:cstheme="majorBidi"/>
      <w:i w:val="0"/>
      <w:iCs w:val="0"/>
      <w:color w:val="17365D" w:themeColor="text2" w:themeShade="BF"/>
      <w:spacing w:val="5"/>
      <w:kern w:val="28"/>
      <w:sz w:val="52"/>
      <w:szCs w:val="52"/>
      <w:lang w:val="en-US" w:eastAsia="ko-KR" w:bidi="ar-SA"/>
    </w:rPr>
  </w:style>
  <w:style w:type="character" w:customStyle="1" w:styleId="TtuloCar">
    <w:name w:val="Título Car"/>
    <w:basedOn w:val="Fuentedeprrafopredeter"/>
    <w:link w:val="Ttulo"/>
    <w:uiPriority w:val="10"/>
    <w:rsid w:val="00ED4D58"/>
    <w:rPr>
      <w:rFonts w:asciiTheme="majorHAnsi" w:eastAsiaTheme="majorEastAsia" w:hAnsiTheme="majorHAnsi" w:cstheme="majorBidi"/>
      <w:color w:val="17365D" w:themeColor="text2" w:themeShade="BF"/>
      <w:spacing w:val="5"/>
      <w:kern w:val="28"/>
      <w:sz w:val="52"/>
      <w:szCs w:val="52"/>
      <w:lang w:val="en-US" w:eastAsia="ko-KR"/>
    </w:rPr>
  </w:style>
  <w:style w:type="paragraph" w:styleId="Sinespaciado">
    <w:name w:val="No Spacing"/>
    <w:link w:val="SinespaciadoCar"/>
    <w:uiPriority w:val="1"/>
    <w:qFormat/>
    <w:rsid w:val="00ED4D58"/>
    <w:pPr>
      <w:spacing w:after="0" w:line="240" w:lineRule="auto"/>
    </w:pPr>
    <w:rPr>
      <w:rFonts w:eastAsiaTheme="minorEastAsia"/>
      <w:lang w:eastAsia="es-SV"/>
    </w:rPr>
  </w:style>
  <w:style w:type="paragraph" w:styleId="Textonotapie">
    <w:name w:val="footnote text"/>
    <w:basedOn w:val="Normal"/>
    <w:link w:val="TextonotapieCar"/>
    <w:uiPriority w:val="99"/>
    <w:semiHidden/>
    <w:unhideWhenUsed/>
    <w:rsid w:val="00ED4D58"/>
    <w:pPr>
      <w:widowControl w:val="0"/>
      <w:wordWrap w:val="0"/>
      <w:autoSpaceDE w:val="0"/>
      <w:autoSpaceDN w:val="0"/>
      <w:spacing w:after="0" w:line="240" w:lineRule="auto"/>
    </w:pPr>
    <w:rPr>
      <w:rFonts w:ascii="Batang" w:eastAsia="Batang" w:hAnsi="Times New Roman" w:cs="Times New Roman"/>
      <w:i w:val="0"/>
      <w:iCs w:val="0"/>
      <w:kern w:val="2"/>
      <w:lang w:val="en-US" w:eastAsia="ko-KR" w:bidi="ar-SA"/>
    </w:rPr>
  </w:style>
  <w:style w:type="character" w:customStyle="1" w:styleId="TextonotapieCar">
    <w:name w:val="Texto nota pie Car"/>
    <w:basedOn w:val="Fuentedeprrafopredeter"/>
    <w:link w:val="Textonotapie"/>
    <w:uiPriority w:val="99"/>
    <w:semiHidden/>
    <w:rsid w:val="00ED4D58"/>
    <w:rPr>
      <w:rFonts w:ascii="Batang" w:eastAsia="Batang" w:hAnsi="Times New Roman" w:cs="Times New Roman"/>
      <w:kern w:val="2"/>
      <w:sz w:val="20"/>
      <w:szCs w:val="20"/>
      <w:lang w:val="en-US" w:eastAsia="ko-KR"/>
    </w:rPr>
  </w:style>
  <w:style w:type="character" w:styleId="Refdenotaalpie">
    <w:name w:val="footnote reference"/>
    <w:basedOn w:val="Fuentedeprrafopredeter"/>
    <w:uiPriority w:val="99"/>
    <w:semiHidden/>
    <w:unhideWhenUsed/>
    <w:rsid w:val="00ED4D58"/>
    <w:rPr>
      <w:vertAlign w:val="superscript"/>
    </w:rPr>
  </w:style>
  <w:style w:type="character" w:styleId="Hipervnculo">
    <w:name w:val="Hyperlink"/>
    <w:basedOn w:val="Fuentedeprrafopredeter"/>
    <w:uiPriority w:val="99"/>
    <w:unhideWhenUsed/>
    <w:rsid w:val="00ED4D58"/>
    <w:rPr>
      <w:color w:val="31859B" w:themeColor="hyperlink"/>
      <w:u w:val="single"/>
    </w:rPr>
  </w:style>
  <w:style w:type="paragraph" w:styleId="Prrafodelista">
    <w:name w:val="List Paragraph"/>
    <w:basedOn w:val="Normal"/>
    <w:uiPriority w:val="34"/>
    <w:qFormat/>
    <w:rsid w:val="008160C8"/>
    <w:pPr>
      <w:ind w:left="720"/>
      <w:contextualSpacing/>
    </w:pPr>
  </w:style>
  <w:style w:type="character" w:customStyle="1" w:styleId="Ttulo3Car">
    <w:name w:val="Título 3 Car"/>
    <w:basedOn w:val="Fuentedeprrafopredeter"/>
    <w:link w:val="Ttulo3"/>
    <w:uiPriority w:val="9"/>
    <w:rsid w:val="00344818"/>
    <w:rPr>
      <w:rFonts w:ascii="Calibri" w:eastAsiaTheme="majorEastAsia" w:hAnsi="Calibri" w:cstheme="majorBidi"/>
      <w:b/>
      <w:bCs/>
      <w:iCs/>
      <w:color w:val="0070C0"/>
      <w:szCs w:val="20"/>
      <w:lang w:bidi="en-US"/>
    </w:rPr>
  </w:style>
  <w:style w:type="character" w:customStyle="1" w:styleId="Ttulo4Car">
    <w:name w:val="Título 4 Car"/>
    <w:basedOn w:val="Fuentedeprrafopredeter"/>
    <w:link w:val="Ttulo4"/>
    <w:uiPriority w:val="9"/>
    <w:rsid w:val="005B12E6"/>
    <w:rPr>
      <w:rFonts w:asciiTheme="majorHAnsi" w:eastAsiaTheme="majorEastAsia" w:hAnsiTheme="majorHAnsi" w:cstheme="majorBidi"/>
      <w:b/>
      <w:bCs/>
      <w:noProof/>
      <w:color w:val="4F81BD" w:themeColor="accent1"/>
      <w:sz w:val="20"/>
      <w:szCs w:val="20"/>
      <w:lang w:bidi="en-US"/>
    </w:rPr>
  </w:style>
  <w:style w:type="character" w:customStyle="1" w:styleId="srsatxt">
    <w:name w:val="srsatxt"/>
    <w:basedOn w:val="Fuentedeprrafopredeter"/>
    <w:rsid w:val="005B12E6"/>
  </w:style>
  <w:style w:type="table" w:customStyle="1" w:styleId="Sombreadomedio2-nfasis11">
    <w:name w:val="Sombreado medio 2 - Énfasis 11"/>
    <w:basedOn w:val="Tablanormal"/>
    <w:uiPriority w:val="64"/>
    <w:rsid w:val="008626B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3">
    <w:name w:val="Light Shading Accent 3"/>
    <w:basedOn w:val="Tablanormal"/>
    <w:uiPriority w:val="60"/>
    <w:rsid w:val="008626BC"/>
    <w:pPr>
      <w:spacing w:after="0" w:line="240" w:lineRule="auto"/>
    </w:pPr>
    <w:rPr>
      <w:color w:val="6C95C7" w:themeColor="accent3" w:themeShade="BF"/>
    </w:rPr>
    <w:tblPr>
      <w:tblStyleRowBandSize w:val="1"/>
      <w:tblStyleColBandSize w:val="1"/>
      <w:tblInd w:w="0" w:type="dxa"/>
      <w:tblBorders>
        <w:top w:val="single" w:sz="8" w:space="0" w:color="B8CCE4" w:themeColor="accent3"/>
        <w:bottom w:val="single" w:sz="8" w:space="0" w:color="B8CCE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8CCE4" w:themeColor="accent3"/>
          <w:left w:val="nil"/>
          <w:bottom w:val="single" w:sz="8" w:space="0" w:color="B8CCE4" w:themeColor="accent3"/>
          <w:right w:val="nil"/>
          <w:insideH w:val="nil"/>
          <w:insideV w:val="nil"/>
        </w:tcBorders>
      </w:tcPr>
    </w:tblStylePr>
    <w:tblStylePr w:type="lastRow">
      <w:pPr>
        <w:spacing w:before="0" w:after="0" w:line="240" w:lineRule="auto"/>
      </w:pPr>
      <w:rPr>
        <w:b/>
        <w:bCs/>
      </w:rPr>
      <w:tblPr/>
      <w:tcPr>
        <w:tcBorders>
          <w:top w:val="single" w:sz="8" w:space="0" w:color="B8CCE4" w:themeColor="accent3"/>
          <w:left w:val="nil"/>
          <w:bottom w:val="single" w:sz="8" w:space="0" w:color="B8CCE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8" w:themeFill="accent3" w:themeFillTint="3F"/>
      </w:tcPr>
    </w:tblStylePr>
    <w:tblStylePr w:type="band1Horz">
      <w:tblPr/>
      <w:tcPr>
        <w:tcBorders>
          <w:left w:val="nil"/>
          <w:right w:val="nil"/>
          <w:insideH w:val="nil"/>
          <w:insideV w:val="nil"/>
        </w:tcBorders>
        <w:shd w:val="clear" w:color="auto" w:fill="EDF2F8" w:themeFill="accent3" w:themeFillTint="3F"/>
      </w:tcPr>
    </w:tblStylePr>
  </w:style>
  <w:style w:type="table" w:styleId="Sombreadoclaro-nfasis2">
    <w:name w:val="Light Shading Accent 2"/>
    <w:basedOn w:val="Tablanormal"/>
    <w:uiPriority w:val="60"/>
    <w:rsid w:val="00DF2509"/>
    <w:pPr>
      <w:spacing w:after="0" w:line="240" w:lineRule="auto"/>
    </w:pPr>
    <w:rPr>
      <w:color w:val="4381CF" w:themeColor="accent2" w:themeShade="BF"/>
    </w:rPr>
    <w:tblPr>
      <w:tblStyleRowBandSize w:val="1"/>
      <w:tblStyleColBandSize w:val="1"/>
      <w:tblInd w:w="0" w:type="dxa"/>
      <w:tblBorders>
        <w:top w:val="single" w:sz="8" w:space="0" w:color="8DB3E2" w:themeColor="accent2"/>
        <w:bottom w:val="single" w:sz="8" w:space="0" w:color="8DB3E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DB3E2" w:themeColor="accent2"/>
          <w:left w:val="nil"/>
          <w:bottom w:val="single" w:sz="8" w:space="0" w:color="8DB3E2" w:themeColor="accent2"/>
          <w:right w:val="nil"/>
          <w:insideH w:val="nil"/>
          <w:insideV w:val="nil"/>
        </w:tcBorders>
      </w:tcPr>
    </w:tblStylePr>
    <w:tblStylePr w:type="lastRow">
      <w:pPr>
        <w:spacing w:before="0" w:after="0" w:line="240" w:lineRule="auto"/>
      </w:pPr>
      <w:rPr>
        <w:b/>
        <w:bCs/>
      </w:rPr>
      <w:tblPr/>
      <w:tcPr>
        <w:tcBorders>
          <w:top w:val="single" w:sz="8" w:space="0" w:color="8DB3E2" w:themeColor="accent2"/>
          <w:left w:val="nil"/>
          <w:bottom w:val="single" w:sz="8" w:space="0" w:color="8DB3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CF7" w:themeFill="accent2" w:themeFillTint="3F"/>
      </w:tcPr>
    </w:tblStylePr>
    <w:tblStylePr w:type="band1Horz">
      <w:tblPr/>
      <w:tcPr>
        <w:tcBorders>
          <w:left w:val="nil"/>
          <w:right w:val="nil"/>
          <w:insideH w:val="nil"/>
          <w:insideV w:val="nil"/>
        </w:tcBorders>
        <w:shd w:val="clear" w:color="auto" w:fill="E2ECF7" w:themeFill="accent2" w:themeFillTint="3F"/>
      </w:tcPr>
    </w:tblStylePr>
  </w:style>
  <w:style w:type="table" w:styleId="Sombreadoclaro-nfasis5">
    <w:name w:val="Light Shading Accent 5"/>
    <w:basedOn w:val="Tablanormal"/>
    <w:uiPriority w:val="60"/>
    <w:rsid w:val="00DF250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odeglobo">
    <w:name w:val="Balloon Text"/>
    <w:basedOn w:val="Normal"/>
    <w:link w:val="TextodegloboCar"/>
    <w:uiPriority w:val="99"/>
    <w:semiHidden/>
    <w:unhideWhenUsed/>
    <w:rsid w:val="007E22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238"/>
    <w:rPr>
      <w:rFonts w:ascii="Tahoma" w:eastAsiaTheme="minorEastAsia" w:hAnsi="Tahoma" w:cs="Tahoma"/>
      <w:i/>
      <w:iCs/>
      <w:noProof/>
      <w:sz w:val="16"/>
      <w:szCs w:val="16"/>
      <w:lang w:bidi="en-US"/>
    </w:rPr>
  </w:style>
  <w:style w:type="paragraph" w:styleId="NormalWeb">
    <w:name w:val="Normal (Web)"/>
    <w:basedOn w:val="Normal"/>
    <w:uiPriority w:val="99"/>
    <w:unhideWhenUsed/>
    <w:rsid w:val="00F5692B"/>
    <w:pPr>
      <w:spacing w:before="100" w:beforeAutospacing="1" w:after="100" w:afterAutospacing="1" w:line="240" w:lineRule="auto"/>
      <w:jc w:val="left"/>
    </w:pPr>
    <w:rPr>
      <w:rFonts w:ascii="Times New Roman" w:eastAsia="Times New Roman" w:hAnsi="Times New Roman" w:cs="Times New Roman"/>
      <w:i w:val="0"/>
      <w:iCs w:val="0"/>
      <w:sz w:val="24"/>
      <w:szCs w:val="24"/>
      <w:lang w:eastAsia="es-SV" w:bidi="ar-SA"/>
    </w:rPr>
  </w:style>
  <w:style w:type="paragraph" w:customStyle="1" w:styleId="ParaAttribute2">
    <w:name w:val="ParaAttribute2"/>
    <w:rsid w:val="00087F4B"/>
    <w:pPr>
      <w:widowControl w:val="0"/>
      <w:wordWrap w:val="0"/>
      <w:spacing w:line="240" w:lineRule="auto"/>
    </w:pPr>
    <w:rPr>
      <w:rFonts w:ascii="Times New Roman" w:eastAsia="Batang" w:hAnsi="Times New Roman" w:cs="Times New Roman"/>
      <w:sz w:val="20"/>
      <w:szCs w:val="20"/>
      <w:lang w:eastAsia="es-SV"/>
    </w:rPr>
  </w:style>
  <w:style w:type="paragraph" w:styleId="Subttulo">
    <w:name w:val="Subtitle"/>
    <w:basedOn w:val="Normal"/>
    <w:next w:val="Normal"/>
    <w:link w:val="SubttuloCar"/>
    <w:uiPriority w:val="11"/>
    <w:qFormat/>
    <w:rsid w:val="00087F4B"/>
    <w:pPr>
      <w:widowControl w:val="0"/>
      <w:numPr>
        <w:ilvl w:val="1"/>
      </w:numPr>
      <w:wordWrap w:val="0"/>
      <w:autoSpaceDE w:val="0"/>
      <w:autoSpaceDN w:val="0"/>
      <w:spacing w:after="0" w:line="240" w:lineRule="auto"/>
    </w:pPr>
    <w:rPr>
      <w:rFonts w:asciiTheme="majorHAnsi" w:eastAsiaTheme="majorEastAsia" w:hAnsiTheme="majorHAnsi" w:cstheme="majorBidi"/>
      <w:color w:val="4F81BD" w:themeColor="accent1"/>
      <w:spacing w:val="15"/>
      <w:kern w:val="2"/>
      <w:sz w:val="24"/>
      <w:szCs w:val="24"/>
      <w:lang w:val="en-US" w:eastAsia="ko-KR" w:bidi="ar-SA"/>
    </w:rPr>
  </w:style>
  <w:style w:type="character" w:customStyle="1" w:styleId="SubttuloCar">
    <w:name w:val="Subtítulo Car"/>
    <w:basedOn w:val="Fuentedeprrafopredeter"/>
    <w:link w:val="Subttulo"/>
    <w:uiPriority w:val="11"/>
    <w:rsid w:val="00087F4B"/>
    <w:rPr>
      <w:rFonts w:asciiTheme="majorHAnsi" w:eastAsiaTheme="majorEastAsia" w:hAnsiTheme="majorHAnsi" w:cstheme="majorBidi"/>
      <w:i/>
      <w:iCs/>
      <w:color w:val="4F81BD" w:themeColor="accent1"/>
      <w:spacing w:val="15"/>
      <w:kern w:val="2"/>
      <w:sz w:val="24"/>
      <w:szCs w:val="24"/>
      <w:lang w:val="en-US" w:eastAsia="ko-KR"/>
    </w:rPr>
  </w:style>
  <w:style w:type="character" w:styleId="Refdecomentario">
    <w:name w:val="annotation reference"/>
    <w:basedOn w:val="Fuentedeprrafopredeter"/>
    <w:uiPriority w:val="99"/>
    <w:semiHidden/>
    <w:unhideWhenUsed/>
    <w:rsid w:val="00087F4B"/>
    <w:rPr>
      <w:sz w:val="16"/>
      <w:szCs w:val="16"/>
    </w:rPr>
  </w:style>
  <w:style w:type="paragraph" w:styleId="Textocomentario">
    <w:name w:val="annotation text"/>
    <w:basedOn w:val="Normal"/>
    <w:link w:val="TextocomentarioCar"/>
    <w:uiPriority w:val="99"/>
    <w:semiHidden/>
    <w:unhideWhenUsed/>
    <w:rsid w:val="00087F4B"/>
    <w:pPr>
      <w:widowControl w:val="0"/>
      <w:wordWrap w:val="0"/>
      <w:autoSpaceDE w:val="0"/>
      <w:autoSpaceDN w:val="0"/>
      <w:spacing w:after="0" w:line="240" w:lineRule="auto"/>
    </w:pPr>
    <w:rPr>
      <w:rFonts w:ascii="Batang" w:eastAsia="Batang" w:hAnsi="Times New Roman" w:cs="Times New Roman"/>
      <w:i w:val="0"/>
      <w:iCs w:val="0"/>
      <w:kern w:val="2"/>
      <w:lang w:val="en-US" w:eastAsia="ko-KR" w:bidi="ar-SA"/>
    </w:rPr>
  </w:style>
  <w:style w:type="character" w:customStyle="1" w:styleId="TextocomentarioCar">
    <w:name w:val="Texto comentario Car"/>
    <w:basedOn w:val="Fuentedeprrafopredeter"/>
    <w:link w:val="Textocomentario"/>
    <w:uiPriority w:val="99"/>
    <w:semiHidden/>
    <w:rsid w:val="00087F4B"/>
    <w:rPr>
      <w:rFonts w:ascii="Batang" w:eastAsia="Batang" w:hAnsi="Times New Roman" w:cs="Times New Roman"/>
      <w:kern w:val="2"/>
      <w:sz w:val="20"/>
      <w:szCs w:val="20"/>
      <w:lang w:val="en-US" w:eastAsia="ko-KR"/>
    </w:rPr>
  </w:style>
  <w:style w:type="character" w:styleId="Textoennegrita">
    <w:name w:val="Strong"/>
    <w:basedOn w:val="Fuentedeprrafopredeter"/>
    <w:uiPriority w:val="22"/>
    <w:qFormat/>
    <w:rsid w:val="00DA74ED"/>
    <w:rPr>
      <w:b/>
      <w:bCs/>
    </w:rPr>
  </w:style>
  <w:style w:type="character" w:customStyle="1" w:styleId="resulturl">
    <w:name w:val="resulturl"/>
    <w:basedOn w:val="Fuentedeprrafopredeter"/>
    <w:rsid w:val="00DA74ED"/>
  </w:style>
  <w:style w:type="table" w:styleId="Tablaconcuadrcula">
    <w:name w:val="Table Grid"/>
    <w:basedOn w:val="Tablanormal"/>
    <w:uiPriority w:val="59"/>
    <w:rsid w:val="00DA7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DA74E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
    <w:name w:val="st"/>
    <w:basedOn w:val="Fuentedeprrafopredeter"/>
    <w:rsid w:val="00E20F57"/>
  </w:style>
  <w:style w:type="character" w:customStyle="1" w:styleId="SinespaciadoCar">
    <w:name w:val="Sin espaciado Car"/>
    <w:basedOn w:val="Fuentedeprrafopredeter"/>
    <w:link w:val="Sinespaciado"/>
    <w:uiPriority w:val="1"/>
    <w:rsid w:val="00655F94"/>
    <w:rPr>
      <w:rFonts w:eastAsiaTheme="minorEastAsia"/>
      <w:lang w:eastAsia="es-SV"/>
    </w:rPr>
  </w:style>
  <w:style w:type="table" w:styleId="Listaclara-nfasis3">
    <w:name w:val="Light List Accent 3"/>
    <w:basedOn w:val="Tablanormal"/>
    <w:uiPriority w:val="61"/>
    <w:rsid w:val="00A1520C"/>
    <w:pPr>
      <w:spacing w:after="0" w:line="240" w:lineRule="auto"/>
    </w:pPr>
    <w:tblPr>
      <w:tblStyleRowBandSize w:val="1"/>
      <w:tblStyleColBandSize w:val="1"/>
      <w:tblInd w:w="0" w:type="dxa"/>
      <w:tblBorders>
        <w:top w:val="single" w:sz="8" w:space="0" w:color="B8CCE4" w:themeColor="accent3"/>
        <w:left w:val="single" w:sz="8" w:space="0" w:color="B8CCE4" w:themeColor="accent3"/>
        <w:bottom w:val="single" w:sz="8" w:space="0" w:color="B8CCE4" w:themeColor="accent3"/>
        <w:right w:val="single" w:sz="8" w:space="0" w:color="B8CCE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8CCE4" w:themeFill="accent3"/>
      </w:tcPr>
    </w:tblStylePr>
    <w:tblStylePr w:type="lastRow">
      <w:pPr>
        <w:spacing w:before="0" w:after="0" w:line="240" w:lineRule="auto"/>
      </w:pPr>
      <w:rPr>
        <w:b/>
        <w:bCs/>
      </w:rPr>
      <w:tblPr/>
      <w:tcPr>
        <w:tcBorders>
          <w:top w:val="double" w:sz="6" w:space="0" w:color="B8CCE4" w:themeColor="accent3"/>
          <w:left w:val="single" w:sz="8" w:space="0" w:color="B8CCE4" w:themeColor="accent3"/>
          <w:bottom w:val="single" w:sz="8" w:space="0" w:color="B8CCE4" w:themeColor="accent3"/>
          <w:right w:val="single" w:sz="8" w:space="0" w:color="B8CCE4" w:themeColor="accent3"/>
        </w:tcBorders>
      </w:tcPr>
    </w:tblStylePr>
    <w:tblStylePr w:type="firstCol">
      <w:rPr>
        <w:b/>
        <w:bCs/>
      </w:rPr>
    </w:tblStylePr>
    <w:tblStylePr w:type="lastCol">
      <w:rPr>
        <w:b/>
        <w:bCs/>
      </w:rPr>
    </w:tblStylePr>
    <w:tblStylePr w:type="band1Vert">
      <w:tblPr/>
      <w:tcPr>
        <w:tcBorders>
          <w:top w:val="single" w:sz="8" w:space="0" w:color="B8CCE4" w:themeColor="accent3"/>
          <w:left w:val="single" w:sz="8" w:space="0" w:color="B8CCE4" w:themeColor="accent3"/>
          <w:bottom w:val="single" w:sz="8" w:space="0" w:color="B8CCE4" w:themeColor="accent3"/>
          <w:right w:val="single" w:sz="8" w:space="0" w:color="B8CCE4" w:themeColor="accent3"/>
        </w:tcBorders>
      </w:tcPr>
    </w:tblStylePr>
    <w:tblStylePr w:type="band1Horz">
      <w:tblPr/>
      <w:tcPr>
        <w:tcBorders>
          <w:top w:val="single" w:sz="8" w:space="0" w:color="B8CCE4" w:themeColor="accent3"/>
          <w:left w:val="single" w:sz="8" w:space="0" w:color="B8CCE4" w:themeColor="accent3"/>
          <w:bottom w:val="single" w:sz="8" w:space="0" w:color="B8CCE4" w:themeColor="accent3"/>
          <w:right w:val="single" w:sz="8" w:space="0" w:color="B8CCE4" w:themeColor="accent3"/>
        </w:tcBorders>
      </w:tcPr>
    </w:tblStylePr>
  </w:style>
  <w:style w:type="paragraph" w:styleId="TDC1">
    <w:name w:val="toc 1"/>
    <w:basedOn w:val="Normal"/>
    <w:next w:val="Normal"/>
    <w:autoRedefine/>
    <w:uiPriority w:val="39"/>
    <w:unhideWhenUsed/>
    <w:rsid w:val="005D5A66"/>
    <w:pPr>
      <w:spacing w:before="360" w:after="360"/>
      <w:jc w:val="left"/>
    </w:pPr>
    <w:rPr>
      <w:b/>
      <w:bCs/>
      <w:i w:val="0"/>
      <w:iCs w:val="0"/>
      <w:caps/>
      <w:sz w:val="22"/>
      <w:szCs w:val="22"/>
      <w:u w:val="single"/>
    </w:rPr>
  </w:style>
  <w:style w:type="paragraph" w:styleId="TDC2">
    <w:name w:val="toc 2"/>
    <w:basedOn w:val="Normal"/>
    <w:next w:val="Normal"/>
    <w:autoRedefine/>
    <w:uiPriority w:val="39"/>
    <w:unhideWhenUsed/>
    <w:rsid w:val="005D5A66"/>
    <w:pPr>
      <w:spacing w:after="0"/>
      <w:jc w:val="left"/>
    </w:pPr>
    <w:rPr>
      <w:b/>
      <w:bCs/>
      <w:i w:val="0"/>
      <w:iCs w:val="0"/>
      <w:smallCaps/>
      <w:sz w:val="22"/>
      <w:szCs w:val="22"/>
    </w:rPr>
  </w:style>
  <w:style w:type="paragraph" w:styleId="TDC3">
    <w:name w:val="toc 3"/>
    <w:basedOn w:val="Normal"/>
    <w:next w:val="Normal"/>
    <w:autoRedefine/>
    <w:uiPriority w:val="39"/>
    <w:unhideWhenUsed/>
    <w:rsid w:val="005D5A66"/>
    <w:pPr>
      <w:spacing w:after="0"/>
      <w:jc w:val="left"/>
    </w:pPr>
    <w:rPr>
      <w:i w:val="0"/>
      <w:iCs w:val="0"/>
      <w:smallCaps/>
      <w:sz w:val="22"/>
      <w:szCs w:val="22"/>
    </w:rPr>
  </w:style>
  <w:style w:type="paragraph" w:styleId="TDC4">
    <w:name w:val="toc 4"/>
    <w:basedOn w:val="Normal"/>
    <w:next w:val="Normal"/>
    <w:autoRedefine/>
    <w:uiPriority w:val="39"/>
    <w:unhideWhenUsed/>
    <w:rsid w:val="005D5A66"/>
    <w:pPr>
      <w:spacing w:after="0"/>
      <w:jc w:val="left"/>
    </w:pPr>
    <w:rPr>
      <w:i w:val="0"/>
      <w:iCs w:val="0"/>
      <w:sz w:val="22"/>
      <w:szCs w:val="22"/>
    </w:rPr>
  </w:style>
  <w:style w:type="paragraph" w:styleId="TDC5">
    <w:name w:val="toc 5"/>
    <w:basedOn w:val="Normal"/>
    <w:next w:val="Normal"/>
    <w:autoRedefine/>
    <w:uiPriority w:val="39"/>
    <w:unhideWhenUsed/>
    <w:rsid w:val="005D5A66"/>
    <w:pPr>
      <w:spacing w:after="0"/>
      <w:jc w:val="left"/>
    </w:pPr>
    <w:rPr>
      <w:i w:val="0"/>
      <w:iCs w:val="0"/>
      <w:sz w:val="22"/>
      <w:szCs w:val="22"/>
    </w:rPr>
  </w:style>
  <w:style w:type="paragraph" w:styleId="TDC6">
    <w:name w:val="toc 6"/>
    <w:basedOn w:val="Normal"/>
    <w:next w:val="Normal"/>
    <w:autoRedefine/>
    <w:uiPriority w:val="39"/>
    <w:unhideWhenUsed/>
    <w:rsid w:val="005D5A66"/>
    <w:pPr>
      <w:spacing w:after="0"/>
      <w:jc w:val="left"/>
    </w:pPr>
    <w:rPr>
      <w:i w:val="0"/>
      <w:iCs w:val="0"/>
      <w:sz w:val="22"/>
      <w:szCs w:val="22"/>
    </w:rPr>
  </w:style>
  <w:style w:type="paragraph" w:styleId="TDC7">
    <w:name w:val="toc 7"/>
    <w:basedOn w:val="Normal"/>
    <w:next w:val="Normal"/>
    <w:autoRedefine/>
    <w:uiPriority w:val="39"/>
    <w:unhideWhenUsed/>
    <w:rsid w:val="005D5A66"/>
    <w:pPr>
      <w:spacing w:after="0"/>
      <w:jc w:val="left"/>
    </w:pPr>
    <w:rPr>
      <w:i w:val="0"/>
      <w:iCs w:val="0"/>
      <w:sz w:val="22"/>
      <w:szCs w:val="22"/>
    </w:rPr>
  </w:style>
  <w:style w:type="paragraph" w:styleId="TDC8">
    <w:name w:val="toc 8"/>
    <w:basedOn w:val="Normal"/>
    <w:next w:val="Normal"/>
    <w:autoRedefine/>
    <w:uiPriority w:val="39"/>
    <w:unhideWhenUsed/>
    <w:rsid w:val="005D5A66"/>
    <w:pPr>
      <w:spacing w:after="0"/>
      <w:jc w:val="left"/>
    </w:pPr>
    <w:rPr>
      <w:i w:val="0"/>
      <w:iCs w:val="0"/>
      <w:sz w:val="22"/>
      <w:szCs w:val="22"/>
    </w:rPr>
  </w:style>
  <w:style w:type="paragraph" w:styleId="TDC9">
    <w:name w:val="toc 9"/>
    <w:basedOn w:val="Normal"/>
    <w:next w:val="Normal"/>
    <w:autoRedefine/>
    <w:uiPriority w:val="39"/>
    <w:unhideWhenUsed/>
    <w:rsid w:val="005D5A66"/>
    <w:pPr>
      <w:spacing w:after="0"/>
      <w:jc w:val="left"/>
    </w:pPr>
    <w:rPr>
      <w:i w:val="0"/>
      <w:iCs w:val="0"/>
      <w:sz w:val="22"/>
      <w:szCs w:val="22"/>
    </w:rPr>
  </w:style>
  <w:style w:type="paragraph" w:styleId="Encabezado">
    <w:name w:val="header"/>
    <w:basedOn w:val="Normal"/>
    <w:link w:val="EncabezadoCar"/>
    <w:uiPriority w:val="99"/>
    <w:semiHidden/>
    <w:unhideWhenUsed/>
    <w:rsid w:val="00F557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5729"/>
    <w:rPr>
      <w:rFonts w:eastAsiaTheme="minorEastAsia"/>
      <w:i/>
      <w:iCs/>
      <w:sz w:val="20"/>
      <w:szCs w:val="20"/>
      <w:lang w:bidi="en-US"/>
    </w:rPr>
  </w:style>
  <w:style w:type="paragraph" w:styleId="Piedepgina">
    <w:name w:val="footer"/>
    <w:basedOn w:val="Normal"/>
    <w:link w:val="PiedepginaCar"/>
    <w:uiPriority w:val="99"/>
    <w:semiHidden/>
    <w:unhideWhenUsed/>
    <w:rsid w:val="00F557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55729"/>
    <w:rPr>
      <w:rFonts w:eastAsiaTheme="minorEastAsia"/>
      <w:i/>
      <w:iCs/>
      <w:sz w:val="20"/>
      <w:szCs w:val="20"/>
      <w:lang w:bidi="en-US"/>
    </w:rPr>
  </w:style>
</w:styles>
</file>

<file path=word/webSettings.xml><?xml version="1.0" encoding="utf-8"?>
<w:webSettings xmlns:r="http://schemas.openxmlformats.org/officeDocument/2006/relationships" xmlns:w="http://schemas.openxmlformats.org/wordprocessingml/2006/main">
  <w:divs>
    <w:div w:id="19330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parenciaactiva.gob.sv/" TargetMode="External"/><Relationship Id="rId18" Type="http://schemas.openxmlformats.org/officeDocument/2006/relationships/hyperlink" Target="http://www.funde.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fuma.org.sv" TargetMode="External"/><Relationship Id="rId7" Type="http://schemas.openxmlformats.org/officeDocument/2006/relationships/footnotes" Target="footnotes.xml"/><Relationship Id="rId12" Type="http://schemas.openxmlformats.org/officeDocument/2006/relationships/hyperlink" Target="http://aula.gobiernoabierto.gob.sv/" TargetMode="External"/><Relationship Id="rId17" Type="http://schemas.openxmlformats.org/officeDocument/2006/relationships/hyperlink" Target="http://www.isd.org.s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ransparenciaactiva.gob.sv/" TargetMode="External"/><Relationship Id="rId20" Type="http://schemas.openxmlformats.org/officeDocument/2006/relationships/hyperlink" Target="http://www.apes.org.s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iernoabierto.gob.sv/information_requests/new" TargetMode="External"/><Relationship Id="rId24" Type="http://schemas.openxmlformats.org/officeDocument/2006/relationships/hyperlink" Target="http://lideressolidarios.org/" TargetMode="External"/><Relationship Id="rId5" Type="http://schemas.openxmlformats.org/officeDocument/2006/relationships/settings" Target="settings.xml"/><Relationship Id="rId15" Type="http://schemas.openxmlformats.org/officeDocument/2006/relationships/hyperlink" Target="http://infoutil.gobiernoabierto.gob.sv/" TargetMode="External"/><Relationship Id="rId23" Type="http://schemas.openxmlformats.org/officeDocument/2006/relationships/hyperlink" Target="http://sacdel.or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fusades.com.sv"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s://www.miempresa.gob.sv/" TargetMode="External"/><Relationship Id="rId22" Type="http://schemas.openxmlformats.org/officeDocument/2006/relationships/hyperlink" Target="http://www.foronacionaldesalud.org.sv"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35811"/>
    <w:rsid w:val="00D3581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3A44AEECDEB42C99C3CBB3FCF99E1B1">
    <w:name w:val="C3A44AEECDEB42C99C3CBB3FCF99E1B1"/>
    <w:rsid w:val="00D35811"/>
  </w:style>
  <w:style w:type="paragraph" w:customStyle="1" w:styleId="C94B85CEA25941B7B4EFEBE00C6B1EAC">
    <w:name w:val="C94B85CEA25941B7B4EFEBE00C6B1EAC"/>
    <w:rsid w:val="00D35811"/>
  </w:style>
  <w:style w:type="paragraph" w:customStyle="1" w:styleId="97097E76966548D6A934F74398694DD5">
    <w:name w:val="97097E76966548D6A934F74398694DD5"/>
    <w:rsid w:val="00D35811"/>
  </w:style>
  <w:style w:type="paragraph" w:customStyle="1" w:styleId="2CD92B72CAED44278FE60E231CEF7C7C">
    <w:name w:val="2CD92B72CAED44278FE60E231CEF7C7C"/>
    <w:rsid w:val="00D35811"/>
  </w:style>
  <w:style w:type="paragraph" w:customStyle="1" w:styleId="E4D9103F924C42DDB47FC2C87D199DFD">
    <w:name w:val="E4D9103F924C42DDB47FC2C87D199DFD"/>
    <w:rsid w:val="00D35811"/>
  </w:style>
  <w:style w:type="paragraph" w:customStyle="1" w:styleId="A7A88B944C6F4BFA99B27B279947B4F8">
    <w:name w:val="A7A88B944C6F4BFA99B27B279947B4F8"/>
    <w:rsid w:val="00D35811"/>
  </w:style>
  <w:style w:type="paragraph" w:customStyle="1" w:styleId="6E538902B585495FA22E23D869EFAB12">
    <w:name w:val="6E538902B585495FA22E23D869EFAB12"/>
    <w:rsid w:val="00D35811"/>
  </w:style>
  <w:style w:type="paragraph" w:customStyle="1" w:styleId="03716AC59D0F42FE899270AFC740C6A4">
    <w:name w:val="03716AC59D0F42FE899270AFC740C6A4"/>
    <w:rsid w:val="00D35811"/>
  </w:style>
  <w:style w:type="paragraph" w:customStyle="1" w:styleId="C1240C23F5AB49C1A63F3B091EFFDE42">
    <w:name w:val="C1240C23F5AB49C1A63F3B091EFFDE42"/>
    <w:rsid w:val="00D35811"/>
  </w:style>
  <w:style w:type="paragraph" w:customStyle="1" w:styleId="3BCE604BC80641CEB6BA8B10A7A9DAB5">
    <w:name w:val="3BCE604BC80641CEB6BA8B10A7A9DAB5"/>
    <w:rsid w:val="00D35811"/>
  </w:style>
  <w:style w:type="paragraph" w:customStyle="1" w:styleId="A9EDCA89911344D3A821C5C85D496104">
    <w:name w:val="A9EDCA89911344D3A821C5C85D496104"/>
    <w:rsid w:val="00D35811"/>
  </w:style>
  <w:style w:type="paragraph" w:customStyle="1" w:styleId="314EEDA50D044D6292C0E4AC2004231A">
    <w:name w:val="314EEDA50D044D6292C0E4AC2004231A"/>
    <w:rsid w:val="00D3581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4F81BD"/>
      </a:accent1>
      <a:accent2>
        <a:srgbClr val="8DB3E2"/>
      </a:accent2>
      <a:accent3>
        <a:srgbClr val="B8CCE4"/>
      </a:accent3>
      <a:accent4>
        <a:srgbClr val="17365D"/>
      </a:accent4>
      <a:accent5>
        <a:srgbClr val="4BACC6"/>
      </a:accent5>
      <a:accent6>
        <a:srgbClr val="6565FF"/>
      </a:accent6>
      <a:hlink>
        <a:srgbClr val="31859B"/>
      </a:hlink>
      <a:folHlink>
        <a:srgbClr val="92CDD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A47D9-5B56-480C-8422-D3CF59DC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20</Pages>
  <Words>8867</Words>
  <Characters>48770</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Plan de acción  para el cumplimiento d</vt:lpstr>
    </vt:vector>
  </TitlesOfParts>
  <Company>Secretaría para Asuntos Estratégicos a través de la Subsecretaría de Transparencia y Anticorrupción de la República de El Salvador</Company>
  <LinksUpToDate>false</LinksUpToDate>
  <CharactersWithSpaces>57522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acción  para el cumplimiento d</dc:title>
  <dc:creator>Luna</dc:creator>
  <cp:lastModifiedBy>Luna</cp:lastModifiedBy>
  <cp:revision>21</cp:revision>
  <cp:lastPrinted>2013-09-29T21:26:00Z</cp:lastPrinted>
  <dcterms:created xsi:type="dcterms:W3CDTF">2013-09-29T16:37:00Z</dcterms:created>
  <dcterms:modified xsi:type="dcterms:W3CDTF">2013-09-30T02:26:00Z</dcterms:modified>
</cp:coreProperties>
</file>