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OGP SECRETARIAT BOARD MEETING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Via Phone - Tuesday September 13,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Board Members in attendance: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Mark Robinson (phone)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Claire-Marie Foulquier-Gazagnes (phone)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Nathaniel Heller (phone)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Victoria Ayer (phone)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OGP SU staff in attendance: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Sangita Sigdyal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Sanjay Pradhan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Sandy Arce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45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Welcome and Agenda Overview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Quick update on location: Board member Victory Ayer is now based in Nairobi, but her contact details have not changed.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45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 on Plans for One OGP’s/Spin-off from the Tides Center (fiscal sponsor)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9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Timeframe for spin-off is Fall 2017 to take necessary time to address the following issues below: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This is a complex process with high risks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It’s imperative that OGP get this right including the issue surrounding international hires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OGP will hire a Project Manager to lead the spin-off project ASAP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501(c)3 IRS Determination Letter was issued to OGP in June (copy attached to the email going out with these minutes)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9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Below are the workstreams/buckets included as part of One OGP including spin-off: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Tax and Compliance and Activities – to ensure compliance with various federal legal requirements within HR and fiscal areas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Building One OGP Team/Human Resources – hiring, benefits, payroll and employment policies; performance management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Finance and Accounting Systems – Establish finance/accounting policies and procedures, and build internal systems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Governance Policies – Board of Directors – including conflict of interest and whistleblower policies, and establishing ethics and business conduct codes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System Integration: Building a Holistic System for the Long Term – build/integrate systems to be up-to-date, reduce inefficiencies and improve knowledge management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450" w:hanging="360"/>
        <w:contextualSpacing w:val="1"/>
        <w:rPr/>
      </w:pPr>
      <w:r w:rsidDel="00000000" w:rsidR="00000000" w:rsidRPr="00000000">
        <w:rPr>
          <w:rtl w:val="0"/>
        </w:rPr>
        <w:t xml:space="preserve">December Meeting at the Paris Summit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9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Board decided to not hold a half-day meeting after the Paris summit. Instead, it will meet for lunch or in the early afternoon (60-90 minutes) on Friday December </w:t>
      </w:r>
      <w:r w:rsidDel="00000000" w:rsidR="00000000" w:rsidRPr="00000000">
        <w:rPr>
          <w:rtl w:val="0"/>
        </w:rPr>
        <w:t xml:space="preserve">9th as most will attend the Global Summit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900" w:hanging="360"/>
        <w:contextualSpacing w:val="1"/>
        <w:rPr/>
      </w:pPr>
      <w:r w:rsidDel="00000000" w:rsidR="00000000" w:rsidRPr="00000000">
        <w:rPr>
          <w:rtl w:val="0"/>
        </w:rPr>
        <w:t xml:space="preserve">There is also an option for a Board meeting at the time of the Ministerial Steering Committee Meeting (Spring 2017)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450" w:hanging="360"/>
        <w:contextualSpacing w:val="1"/>
        <w:rPr/>
      </w:pPr>
      <w:r w:rsidDel="00000000" w:rsidR="00000000" w:rsidRPr="00000000">
        <w:rPr>
          <w:highlight w:val="white"/>
          <w:rtl w:val="0"/>
        </w:rPr>
        <w:t xml:space="preserve">Process and planning for CEO Annual Review (minus SU staff)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90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Board Chair will confer with incoming GL co-chair, Manish Bapna on the process and plans for his review in 2017. This was an executive session, so notes were not taken.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