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7E" w:rsidRPr="00CF3127" w:rsidRDefault="00A8427D" w:rsidP="006A38F8">
      <w:pPr>
        <w:pStyle w:val="IntenseQuote"/>
        <w:spacing w:before="0" w:after="0"/>
        <w:ind w:left="862" w:right="862"/>
        <w:outlineLvl w:val="0"/>
        <w:rPr>
          <w:rFonts w:cstheme="minorHAnsi"/>
          <w:b/>
          <w:i w:val="0"/>
          <w:noProof/>
          <w:sz w:val="22"/>
          <w:szCs w:val="22"/>
        </w:rPr>
      </w:pPr>
      <w:r w:rsidRPr="00CF3127">
        <w:rPr>
          <w:b/>
          <w:i w:val="0"/>
          <w:sz w:val="22"/>
          <w:szCs w:val="22"/>
        </w:rPr>
        <w:t xml:space="preserve">SELF-ASSESSMENT REPORT ON THE IMPLEMENTATION OF </w:t>
      </w:r>
    </w:p>
    <w:p w:rsidR="00C60B13" w:rsidRPr="00CF3127" w:rsidRDefault="00A8427D" w:rsidP="006A38F8">
      <w:pPr>
        <w:pStyle w:val="IntenseQuote"/>
        <w:spacing w:before="0" w:after="0"/>
        <w:ind w:left="862" w:right="862"/>
        <w:outlineLvl w:val="0"/>
        <w:rPr>
          <w:rFonts w:cstheme="minorHAnsi"/>
          <w:b/>
          <w:i w:val="0"/>
          <w:noProof/>
          <w:sz w:val="22"/>
          <w:szCs w:val="22"/>
        </w:rPr>
      </w:pPr>
      <w:r w:rsidRPr="00CF3127">
        <w:rPr>
          <w:b/>
          <w:i w:val="0"/>
          <w:sz w:val="22"/>
          <w:szCs w:val="22"/>
        </w:rPr>
        <w:t xml:space="preserve">2018-2020 ACTION PLAN FOR LITHUANIA’S PARTICIPATION IN </w:t>
      </w:r>
    </w:p>
    <w:p w:rsidR="009719D8" w:rsidRPr="00CF3127" w:rsidRDefault="00793EB6" w:rsidP="006A38F8">
      <w:pPr>
        <w:pStyle w:val="IntenseQuote"/>
        <w:spacing w:before="0" w:after="0"/>
        <w:ind w:left="862" w:right="862"/>
        <w:outlineLvl w:val="0"/>
        <w:rPr>
          <w:rFonts w:cstheme="minorHAnsi"/>
          <w:b/>
          <w:i w:val="0"/>
          <w:noProof/>
          <w:sz w:val="22"/>
          <w:szCs w:val="22"/>
        </w:rPr>
      </w:pPr>
      <w:r w:rsidRPr="00CF3127">
        <w:rPr>
          <w:b/>
          <w:i w:val="0"/>
          <w:sz w:val="22"/>
          <w:szCs w:val="22"/>
        </w:rPr>
        <w:t xml:space="preserve">THE INTERNATIONAL INITIATIVE </w:t>
      </w:r>
    </w:p>
    <w:p w:rsidR="0090377E" w:rsidRPr="00CF3127" w:rsidRDefault="00754384" w:rsidP="006A38F8">
      <w:pPr>
        <w:pStyle w:val="IntenseQuote"/>
        <w:spacing w:before="0" w:after="0"/>
        <w:ind w:left="862" w:right="862"/>
        <w:outlineLvl w:val="0"/>
        <w:rPr>
          <w:rFonts w:cstheme="minorHAnsi"/>
          <w:b/>
          <w:i w:val="0"/>
          <w:noProof/>
          <w:sz w:val="22"/>
          <w:szCs w:val="22"/>
        </w:rPr>
      </w:pPr>
      <w:r w:rsidRPr="00CF3127">
        <w:rPr>
          <w:b/>
          <w:i w:val="0"/>
          <w:sz w:val="22"/>
          <w:szCs w:val="22"/>
        </w:rPr>
        <w:t>‘OPEN GOVERNMENT PARTNERSHIP’</w:t>
      </w:r>
    </w:p>
    <w:p w:rsidR="00C60B13" w:rsidRPr="00CF3127" w:rsidRDefault="00C60B13" w:rsidP="006A38F8">
      <w:pPr>
        <w:ind w:firstLine="142"/>
        <w:jc w:val="center"/>
        <w:rPr>
          <w:rFonts w:cstheme="minorHAnsi"/>
          <w:b/>
          <w:noProof/>
          <w:sz w:val="22"/>
          <w:szCs w:val="22"/>
          <w:lang w:bidi="km-KH"/>
        </w:rPr>
      </w:pPr>
    </w:p>
    <w:p w:rsidR="00A8427D" w:rsidRPr="00CF3127" w:rsidRDefault="00A8427D" w:rsidP="006A38F8">
      <w:pPr>
        <w:jc w:val="center"/>
        <w:outlineLvl w:val="0"/>
        <w:rPr>
          <w:rFonts w:cstheme="minorHAnsi"/>
          <w:noProof/>
          <w:sz w:val="22"/>
          <w:szCs w:val="22"/>
        </w:rPr>
      </w:pPr>
      <w:r w:rsidRPr="00CF3127">
        <w:rPr>
          <w:sz w:val="22"/>
          <w:szCs w:val="22"/>
        </w:rPr>
        <w:t xml:space="preserve">Vilnius </w:t>
      </w:r>
    </w:p>
    <w:p w:rsidR="00A8427D" w:rsidRPr="00CF3127" w:rsidRDefault="00A8427D" w:rsidP="006A38F8">
      <w:pPr>
        <w:jc w:val="center"/>
        <w:outlineLvl w:val="0"/>
        <w:rPr>
          <w:rFonts w:cstheme="minorHAnsi"/>
          <w:noProof/>
          <w:sz w:val="22"/>
          <w:szCs w:val="22"/>
        </w:rPr>
      </w:pPr>
      <w:r w:rsidRPr="00CF3127">
        <w:rPr>
          <w:sz w:val="22"/>
          <w:szCs w:val="22"/>
        </w:rPr>
        <w:t>19-11-2019</w:t>
      </w:r>
    </w:p>
    <w:p w:rsidR="00A8427D" w:rsidRPr="00CF3127" w:rsidRDefault="00A8427D" w:rsidP="006A38F8">
      <w:pPr>
        <w:rPr>
          <w:rFonts w:cstheme="minorHAnsi"/>
          <w:color w:val="FF0000"/>
          <w:sz w:val="22"/>
          <w:szCs w:val="22"/>
        </w:rPr>
      </w:pPr>
    </w:p>
    <w:p w:rsidR="004B1BE3" w:rsidRPr="00CF3127" w:rsidRDefault="004B1BE3" w:rsidP="00EE53B2">
      <w:pPr>
        <w:ind w:firstLine="720"/>
        <w:jc w:val="both"/>
        <w:rPr>
          <w:rFonts w:cstheme="minorHAnsi"/>
          <w:bCs/>
          <w:sz w:val="22"/>
          <w:szCs w:val="22"/>
        </w:rPr>
      </w:pPr>
      <w:r w:rsidRPr="00CF3127">
        <w:rPr>
          <w:sz w:val="22"/>
          <w:szCs w:val="22"/>
        </w:rPr>
        <w:t xml:space="preserve">On 23 January 2019, the Government of the Republic of Lithuania approved the fourth Action Plan for Lithuania’s participation in the international initiative ‘Open Government Partnership’ for the next </w:t>
      </w:r>
      <w:r w:rsidR="0030520B" w:rsidRPr="00CF3127">
        <w:rPr>
          <w:sz w:val="22"/>
          <w:szCs w:val="22"/>
        </w:rPr>
        <w:t>two</w:t>
      </w:r>
      <w:r w:rsidRPr="00CF3127">
        <w:rPr>
          <w:sz w:val="22"/>
          <w:szCs w:val="22"/>
        </w:rPr>
        <w:t xml:space="preserve"> years’ period (hereinafter ‘the Action Plan’). </w:t>
      </w:r>
      <w:r w:rsidRPr="00CF3127">
        <w:rPr>
          <w:bCs/>
          <w:sz w:val="22"/>
          <w:szCs w:val="22"/>
        </w:rPr>
        <w:t xml:space="preserve">The Action Plan provides for the main initiatives of the Open Government, the guidelines for their implementation, actions, implementing bodies and </w:t>
      </w:r>
      <w:r w:rsidR="0030520B" w:rsidRPr="00CF3127">
        <w:rPr>
          <w:bCs/>
          <w:sz w:val="22"/>
          <w:szCs w:val="22"/>
        </w:rPr>
        <w:t>the deliverables.</w:t>
      </w:r>
    </w:p>
    <w:p w:rsidR="000F3EA9" w:rsidRPr="00CF3127" w:rsidRDefault="000F3EA9" w:rsidP="00EE53B2">
      <w:pPr>
        <w:ind w:firstLine="720"/>
        <w:jc w:val="both"/>
        <w:rPr>
          <w:rFonts w:cstheme="minorHAnsi"/>
          <w:bCs/>
          <w:sz w:val="22"/>
          <w:szCs w:val="22"/>
          <w:lang w:bidi="lt-LT"/>
        </w:rPr>
      </w:pPr>
    </w:p>
    <w:p w:rsidR="000F3EA9" w:rsidRPr="00CF3127" w:rsidRDefault="000F3EA9" w:rsidP="000F3EA9">
      <w:pPr>
        <w:ind w:firstLine="709"/>
        <w:jc w:val="both"/>
        <w:rPr>
          <w:rFonts w:cstheme="minorHAnsi"/>
          <w:bCs/>
          <w:sz w:val="22"/>
          <w:szCs w:val="22"/>
        </w:rPr>
      </w:pPr>
      <w:r w:rsidRPr="00CF3127">
        <w:rPr>
          <w:bCs/>
          <w:sz w:val="22"/>
          <w:szCs w:val="22"/>
        </w:rPr>
        <w:t xml:space="preserve">The Action Plan provides for </w:t>
      </w:r>
      <w:r w:rsidR="0030520B" w:rsidRPr="00CF3127">
        <w:rPr>
          <w:bCs/>
          <w:sz w:val="22"/>
          <w:szCs w:val="22"/>
        </w:rPr>
        <w:t>six</w:t>
      </w:r>
      <w:r w:rsidRPr="00CF3127">
        <w:rPr>
          <w:bCs/>
          <w:sz w:val="22"/>
          <w:szCs w:val="22"/>
        </w:rPr>
        <w:t xml:space="preserve"> commitments:</w:t>
      </w:r>
    </w:p>
    <w:p w:rsidR="000F3EA9" w:rsidRPr="00CF3127" w:rsidRDefault="000F3EA9" w:rsidP="003728DF">
      <w:pPr>
        <w:pStyle w:val="ListParagraph"/>
        <w:numPr>
          <w:ilvl w:val="0"/>
          <w:numId w:val="28"/>
        </w:numPr>
        <w:ind w:left="851"/>
        <w:jc w:val="both"/>
        <w:textAlignment w:val="baseline"/>
        <w:rPr>
          <w:rFonts w:cstheme="minorHAnsi"/>
          <w:bCs/>
          <w:sz w:val="22"/>
          <w:szCs w:val="22"/>
        </w:rPr>
      </w:pPr>
      <w:r w:rsidRPr="00CF3127">
        <w:rPr>
          <w:bCs/>
          <w:sz w:val="22"/>
          <w:szCs w:val="22"/>
        </w:rPr>
        <w:t>Develop an Open Data Portal and integrate it into the European digital single market;</w:t>
      </w:r>
    </w:p>
    <w:p w:rsidR="000F3EA9" w:rsidRPr="00CF3127" w:rsidRDefault="000F3EA9" w:rsidP="003728DF">
      <w:pPr>
        <w:pStyle w:val="ListParagraph"/>
        <w:numPr>
          <w:ilvl w:val="0"/>
          <w:numId w:val="28"/>
        </w:numPr>
        <w:ind w:left="851"/>
        <w:jc w:val="both"/>
        <w:textAlignment w:val="baseline"/>
        <w:rPr>
          <w:rFonts w:cstheme="minorHAnsi"/>
          <w:bCs/>
          <w:sz w:val="22"/>
          <w:szCs w:val="22"/>
        </w:rPr>
      </w:pPr>
      <w:r w:rsidRPr="00CF3127">
        <w:rPr>
          <w:bCs/>
          <w:sz w:val="22"/>
          <w:szCs w:val="22"/>
        </w:rPr>
        <w:t>Strengthen civil society through the non-governmental organisations’ database and NGO fund;</w:t>
      </w:r>
    </w:p>
    <w:p w:rsidR="000F3EA9" w:rsidRPr="00CF3127" w:rsidRDefault="000F3EA9" w:rsidP="003728DF">
      <w:pPr>
        <w:pStyle w:val="ListParagraph"/>
        <w:numPr>
          <w:ilvl w:val="0"/>
          <w:numId w:val="28"/>
        </w:numPr>
        <w:ind w:left="851"/>
        <w:jc w:val="both"/>
        <w:textAlignment w:val="baseline"/>
        <w:rPr>
          <w:rFonts w:cstheme="minorHAnsi"/>
          <w:bCs/>
          <w:sz w:val="22"/>
          <w:szCs w:val="22"/>
        </w:rPr>
      </w:pPr>
      <w:r w:rsidRPr="00CF3127">
        <w:rPr>
          <w:bCs/>
          <w:sz w:val="22"/>
          <w:szCs w:val="22"/>
        </w:rPr>
        <w:t>Publicise information on revenue and expenditure of state and municipal institutions in the electronic environment;</w:t>
      </w:r>
    </w:p>
    <w:p w:rsidR="000F3EA9" w:rsidRPr="00CF3127" w:rsidRDefault="000F3EA9" w:rsidP="003728DF">
      <w:pPr>
        <w:pStyle w:val="ListParagraph"/>
        <w:numPr>
          <w:ilvl w:val="0"/>
          <w:numId w:val="28"/>
        </w:numPr>
        <w:ind w:left="851"/>
        <w:jc w:val="both"/>
        <w:textAlignment w:val="baseline"/>
        <w:rPr>
          <w:rFonts w:cstheme="minorHAnsi"/>
          <w:bCs/>
          <w:sz w:val="22"/>
          <w:szCs w:val="22"/>
        </w:rPr>
      </w:pPr>
      <w:r w:rsidRPr="00CF3127">
        <w:rPr>
          <w:bCs/>
          <w:sz w:val="22"/>
          <w:szCs w:val="22"/>
        </w:rPr>
        <w:t>Develop a model for transferring public services to non-governmental organisations (hereinafter ‘NGOs’) and communities, and encourage its implementation;</w:t>
      </w:r>
    </w:p>
    <w:p w:rsidR="000F3EA9" w:rsidRPr="00CF3127" w:rsidRDefault="000F3EA9" w:rsidP="003728DF">
      <w:pPr>
        <w:pStyle w:val="ListParagraph"/>
        <w:numPr>
          <w:ilvl w:val="0"/>
          <w:numId w:val="28"/>
        </w:numPr>
        <w:ind w:left="851"/>
        <w:jc w:val="both"/>
        <w:textAlignment w:val="baseline"/>
        <w:rPr>
          <w:rFonts w:cstheme="minorHAnsi"/>
          <w:bCs/>
          <w:sz w:val="22"/>
          <w:szCs w:val="22"/>
        </w:rPr>
      </w:pPr>
      <w:r w:rsidRPr="00CF3127">
        <w:rPr>
          <w:bCs/>
          <w:sz w:val="22"/>
          <w:szCs w:val="22"/>
        </w:rPr>
        <w:t>Carry out consistent monitoring and evaluation of public participation in governance;</w:t>
      </w:r>
    </w:p>
    <w:p w:rsidR="000F3EA9" w:rsidRPr="00CF3127" w:rsidRDefault="000F3EA9" w:rsidP="003728DF">
      <w:pPr>
        <w:pStyle w:val="ListParagraph"/>
        <w:numPr>
          <w:ilvl w:val="0"/>
          <w:numId w:val="28"/>
        </w:numPr>
        <w:ind w:left="851"/>
        <w:jc w:val="both"/>
        <w:textAlignment w:val="baseline"/>
        <w:rPr>
          <w:rFonts w:cstheme="minorHAnsi"/>
          <w:bCs/>
          <w:sz w:val="22"/>
          <w:szCs w:val="22"/>
        </w:rPr>
      </w:pPr>
      <w:r w:rsidRPr="00CF3127">
        <w:rPr>
          <w:bCs/>
          <w:sz w:val="22"/>
          <w:szCs w:val="22"/>
        </w:rPr>
        <w:t>Introduce ex-post evaluation in a legislative process cycle.</w:t>
      </w:r>
    </w:p>
    <w:p w:rsidR="000F3EA9" w:rsidRPr="00CF3127" w:rsidRDefault="000F3EA9" w:rsidP="000F3EA9">
      <w:pPr>
        <w:ind w:firstLine="709"/>
        <w:jc w:val="both"/>
        <w:rPr>
          <w:rFonts w:cstheme="minorHAnsi"/>
          <w:bCs/>
          <w:sz w:val="22"/>
          <w:szCs w:val="22"/>
          <w:lang w:bidi="lt-LT"/>
        </w:rPr>
      </w:pPr>
    </w:p>
    <w:p w:rsidR="00883011" w:rsidRPr="00CF3127" w:rsidRDefault="009A2315" w:rsidP="00161804">
      <w:pPr>
        <w:ind w:firstLine="709"/>
        <w:jc w:val="both"/>
        <w:rPr>
          <w:rFonts w:cstheme="minorHAnsi"/>
          <w:bCs/>
          <w:sz w:val="22"/>
          <w:szCs w:val="22"/>
        </w:rPr>
      </w:pPr>
      <w:r w:rsidRPr="00CF3127">
        <w:rPr>
          <w:bCs/>
          <w:sz w:val="22"/>
          <w:szCs w:val="22"/>
        </w:rPr>
        <w:t>These commitments are in line with the values of transparency, public involvement and accountability, and they cover the following guidelines for development:</w:t>
      </w:r>
    </w:p>
    <w:p w:rsidR="00F26C9A" w:rsidRPr="00CF3127" w:rsidRDefault="007A2959" w:rsidP="00161804">
      <w:pPr>
        <w:ind w:firstLine="709"/>
        <w:jc w:val="both"/>
        <w:rPr>
          <w:rFonts w:cstheme="minorHAnsi"/>
          <w:bCs/>
          <w:sz w:val="22"/>
          <w:szCs w:val="22"/>
        </w:rPr>
      </w:pPr>
      <w:r w:rsidRPr="00CF3127">
        <w:rPr>
          <w:bCs/>
          <w:sz w:val="22"/>
          <w:szCs w:val="22"/>
        </w:rPr>
        <w:t xml:space="preserve">1. Openness to the public of the activities of governance institutions. </w:t>
      </w:r>
    </w:p>
    <w:p w:rsidR="00F26C9A" w:rsidRPr="00CF3127" w:rsidRDefault="0030520B" w:rsidP="00161804">
      <w:pPr>
        <w:ind w:firstLine="709"/>
        <w:jc w:val="both"/>
        <w:rPr>
          <w:rFonts w:cstheme="minorHAnsi"/>
          <w:bCs/>
          <w:sz w:val="22"/>
          <w:szCs w:val="22"/>
        </w:rPr>
      </w:pPr>
      <w:r w:rsidRPr="00CF3127">
        <w:rPr>
          <w:bCs/>
          <w:sz w:val="22"/>
          <w:szCs w:val="22"/>
        </w:rPr>
        <w:t>2. Improving NGO environment.</w:t>
      </w:r>
    </w:p>
    <w:p w:rsidR="00F26C9A" w:rsidRPr="00CF3127" w:rsidRDefault="007A2959" w:rsidP="00161804">
      <w:pPr>
        <w:ind w:firstLine="709"/>
        <w:jc w:val="both"/>
        <w:rPr>
          <w:rFonts w:cstheme="minorHAnsi"/>
          <w:bCs/>
          <w:sz w:val="22"/>
          <w:szCs w:val="22"/>
        </w:rPr>
      </w:pPr>
      <w:r w:rsidRPr="00CF3127">
        <w:rPr>
          <w:bCs/>
          <w:sz w:val="22"/>
          <w:szCs w:val="22"/>
        </w:rPr>
        <w:t>3. Public services.</w:t>
      </w:r>
    </w:p>
    <w:p w:rsidR="00F26C9A" w:rsidRPr="00CF3127" w:rsidRDefault="007A2959" w:rsidP="00161804">
      <w:pPr>
        <w:ind w:firstLine="709"/>
        <w:jc w:val="both"/>
        <w:rPr>
          <w:rFonts w:cstheme="minorHAnsi"/>
          <w:bCs/>
          <w:sz w:val="22"/>
          <w:szCs w:val="22"/>
        </w:rPr>
      </w:pPr>
      <w:r w:rsidRPr="00CF3127">
        <w:rPr>
          <w:bCs/>
          <w:sz w:val="22"/>
          <w:szCs w:val="22"/>
        </w:rPr>
        <w:t xml:space="preserve">4. Citizens’ involvement in </w:t>
      </w:r>
      <w:r w:rsidR="0030520B" w:rsidRPr="00CF3127">
        <w:rPr>
          <w:bCs/>
          <w:sz w:val="22"/>
          <w:szCs w:val="22"/>
        </w:rPr>
        <w:t>decision-making</w:t>
      </w:r>
      <w:r w:rsidRPr="00CF3127">
        <w:rPr>
          <w:bCs/>
          <w:sz w:val="22"/>
          <w:szCs w:val="22"/>
        </w:rPr>
        <w:t>.</w:t>
      </w:r>
    </w:p>
    <w:p w:rsidR="00F26C9A" w:rsidRPr="00CF3127" w:rsidRDefault="007A2959" w:rsidP="00161804">
      <w:pPr>
        <w:ind w:firstLine="709"/>
        <w:jc w:val="both"/>
        <w:rPr>
          <w:rFonts w:cstheme="minorHAnsi"/>
          <w:bCs/>
          <w:sz w:val="22"/>
          <w:szCs w:val="22"/>
        </w:rPr>
      </w:pPr>
      <w:r w:rsidRPr="00CF3127">
        <w:rPr>
          <w:bCs/>
          <w:sz w:val="22"/>
          <w:szCs w:val="22"/>
        </w:rPr>
        <w:t>5. Accountability.</w:t>
      </w:r>
    </w:p>
    <w:p w:rsidR="009A2315" w:rsidRPr="00CF3127" w:rsidRDefault="009A2315" w:rsidP="00161804">
      <w:pPr>
        <w:ind w:firstLine="709"/>
        <w:jc w:val="both"/>
        <w:rPr>
          <w:rFonts w:cstheme="minorHAnsi"/>
          <w:bCs/>
          <w:sz w:val="22"/>
          <w:szCs w:val="22"/>
          <w:lang w:bidi="lt-LT"/>
        </w:rPr>
      </w:pPr>
    </w:p>
    <w:p w:rsidR="0064023C" w:rsidRPr="00CF3127" w:rsidRDefault="0064023C" w:rsidP="00747BEF">
      <w:pPr>
        <w:tabs>
          <w:tab w:val="left" w:pos="993"/>
        </w:tabs>
        <w:ind w:firstLine="709"/>
        <w:jc w:val="both"/>
        <w:rPr>
          <w:rFonts w:cstheme="minorHAnsi"/>
          <w:bCs/>
          <w:sz w:val="22"/>
          <w:szCs w:val="22"/>
        </w:rPr>
      </w:pPr>
      <w:r w:rsidRPr="00CF3127">
        <w:t xml:space="preserve">The Action Plan </w:t>
      </w:r>
      <w:r w:rsidR="000E0017" w:rsidRPr="00CF3127">
        <w:t xml:space="preserve">has been </w:t>
      </w:r>
      <w:r w:rsidRPr="00CF3127">
        <w:t>worked out by the Working Group</w:t>
      </w:r>
      <w:r w:rsidR="000E0017" w:rsidRPr="00CF3127">
        <w:t xml:space="preserve"> that was</w:t>
      </w:r>
      <w:r w:rsidRPr="00CF3127">
        <w:t xml:space="preserve"> set up under Order No V-34 of the Chancellor of the Government of 7 March 2016.</w:t>
      </w:r>
    </w:p>
    <w:p w:rsidR="009A2315" w:rsidRPr="00CF3127" w:rsidRDefault="009A2315" w:rsidP="00747BEF">
      <w:pPr>
        <w:tabs>
          <w:tab w:val="left" w:pos="993"/>
        </w:tabs>
        <w:ind w:firstLine="709"/>
        <w:jc w:val="both"/>
        <w:rPr>
          <w:rFonts w:cstheme="minorHAnsi"/>
          <w:bCs/>
          <w:sz w:val="22"/>
          <w:szCs w:val="22"/>
          <w:lang w:bidi="lt-LT"/>
        </w:rPr>
      </w:pPr>
    </w:p>
    <w:p w:rsidR="00FA0701" w:rsidRPr="00CF3127" w:rsidRDefault="00220E6F" w:rsidP="00747BEF">
      <w:pPr>
        <w:tabs>
          <w:tab w:val="left" w:pos="993"/>
        </w:tabs>
        <w:ind w:firstLine="709"/>
        <w:jc w:val="both"/>
        <w:rPr>
          <w:rFonts w:cstheme="minorHAnsi"/>
          <w:bCs/>
          <w:sz w:val="22"/>
          <w:szCs w:val="22"/>
        </w:rPr>
      </w:pPr>
      <w:r w:rsidRPr="00CF3127">
        <w:rPr>
          <w:bCs/>
          <w:sz w:val="22"/>
          <w:szCs w:val="22"/>
        </w:rPr>
        <w:t>The Action Plan builds on the following strategic documents: Lithuania’s Progress Strategy ‘Lithuania 2030’, 2014-2020 National Progress Programme, Public Governance Improvement Programme for 2012-2020, the Information Society Development Programme for 2014-2020 ‘Digital Agenda for the Republic of Lithuania’, and it is in line with the requirements of the Open Government Partnership initiative, i.e. it has been drawn up together with the citizens by way of public consultations and discussions regarding the ideas for the Plan and ways to put them to practice.</w:t>
      </w:r>
    </w:p>
    <w:p w:rsidR="00D52EFB" w:rsidRPr="00CF3127" w:rsidRDefault="00D52EFB" w:rsidP="00D52EFB">
      <w:pPr>
        <w:spacing w:before="100" w:beforeAutospacing="1" w:after="100" w:afterAutospacing="1"/>
        <w:ind w:firstLine="709"/>
        <w:jc w:val="both"/>
        <w:rPr>
          <w:rFonts w:cstheme="minorHAnsi"/>
          <w:bCs/>
          <w:sz w:val="22"/>
          <w:szCs w:val="22"/>
        </w:rPr>
      </w:pPr>
      <w:bookmarkStart w:id="0" w:name="_Hlk24979527"/>
      <w:r w:rsidRPr="00CF3127">
        <w:rPr>
          <w:bCs/>
          <w:sz w:val="22"/>
          <w:szCs w:val="22"/>
        </w:rPr>
        <w:t xml:space="preserve">The progress of the Action Plan is currently under assessment. Interim results of the Action Plan will be presented to the public and discussed at the meeting of the Working Group on 5 December 2019. The results of the public consultation and the decisions taken by the Working Group will be available at: </w:t>
      </w:r>
      <w:hyperlink r:id="rId8" w:history="1">
        <w:r w:rsidRPr="00CF3127">
          <w:rPr>
            <w:bCs/>
            <w:sz w:val="22"/>
            <w:szCs w:val="22"/>
          </w:rPr>
          <w:t>http://epilietis.lrv.lt/lt/dalyvauk-priimant-ir-keiciant-sprendimus/isitrauk-i-atviros-vyriausybes-veiklas/ketvirtasis-veiksmu-planas</w:t>
        </w:r>
      </w:hyperlink>
      <w:r w:rsidRPr="00CF3127">
        <w:rPr>
          <w:bCs/>
          <w:sz w:val="22"/>
          <w:szCs w:val="22"/>
        </w:rPr>
        <w:t>).</w:t>
      </w:r>
    </w:p>
    <w:p w:rsidR="00946B3D" w:rsidRPr="00CF3127" w:rsidRDefault="00D52EFB" w:rsidP="006A38F8">
      <w:pPr>
        <w:jc w:val="both"/>
        <w:rPr>
          <w:rFonts w:cstheme="minorHAnsi"/>
          <w:sz w:val="22"/>
          <w:szCs w:val="22"/>
        </w:rPr>
      </w:pPr>
      <w:r w:rsidRPr="00CF3127">
        <w:rPr>
          <w:bCs/>
          <w:sz w:val="22"/>
          <w:szCs w:val="22"/>
        </w:rPr>
        <w:t xml:space="preserve"> </w:t>
      </w:r>
      <w:bookmarkEnd w:id="0"/>
    </w:p>
    <w:p w:rsidR="00D3187E" w:rsidRPr="00CF3127" w:rsidRDefault="0077267C" w:rsidP="006A38F8">
      <w:pPr>
        <w:pStyle w:val="IntenseQuote"/>
        <w:spacing w:before="0" w:after="0"/>
        <w:ind w:left="851" w:right="862" w:firstLine="11"/>
        <w:rPr>
          <w:rFonts w:cstheme="minorHAnsi"/>
          <w:sz w:val="22"/>
          <w:szCs w:val="22"/>
        </w:rPr>
      </w:pPr>
      <w:r w:rsidRPr="00CF3127">
        <w:rPr>
          <w:sz w:val="22"/>
          <w:szCs w:val="22"/>
        </w:rPr>
        <w:t>Implementation results</w:t>
      </w:r>
    </w:p>
    <w:p w:rsidR="00D3187E" w:rsidRPr="00CF3127" w:rsidRDefault="00D3187E" w:rsidP="00D3187E">
      <w:pPr>
        <w:pStyle w:val="IntenseQuote"/>
        <w:spacing w:before="0" w:after="0"/>
        <w:ind w:left="851" w:right="862" w:firstLine="11"/>
        <w:rPr>
          <w:rFonts w:cstheme="minorHAnsi"/>
          <w:sz w:val="22"/>
          <w:szCs w:val="22"/>
        </w:rPr>
      </w:pPr>
      <w:r w:rsidRPr="00CF3127">
        <w:rPr>
          <w:sz w:val="22"/>
          <w:szCs w:val="22"/>
        </w:rPr>
        <w:t>of the 201</w:t>
      </w:r>
      <w:r w:rsidR="000E0017" w:rsidRPr="00CF3127">
        <w:rPr>
          <w:sz w:val="22"/>
          <w:szCs w:val="22"/>
        </w:rPr>
        <w:t>8</w:t>
      </w:r>
      <w:r w:rsidRPr="00CF3127">
        <w:rPr>
          <w:sz w:val="22"/>
          <w:szCs w:val="22"/>
        </w:rPr>
        <w:t>-20</w:t>
      </w:r>
      <w:r w:rsidR="000E0017" w:rsidRPr="00CF3127">
        <w:rPr>
          <w:sz w:val="22"/>
          <w:szCs w:val="22"/>
        </w:rPr>
        <w:t>20</w:t>
      </w:r>
      <w:r w:rsidRPr="00CF3127">
        <w:rPr>
          <w:sz w:val="22"/>
          <w:szCs w:val="22"/>
        </w:rPr>
        <w:t xml:space="preserve"> Action Plan for Lithuania’s Participation in the International Initiative ‘Open Government Partnership’</w:t>
      </w:r>
      <w:r w:rsidRPr="00CF3127">
        <w:rPr>
          <w:rFonts w:cstheme="minorHAnsi"/>
          <w:sz w:val="22"/>
          <w:szCs w:val="22"/>
          <w:vertAlign w:val="superscript"/>
          <w:lang w:bidi="km-KH"/>
        </w:rPr>
        <w:footnoteReference w:id="1"/>
      </w:r>
    </w:p>
    <w:p w:rsidR="006D72BA" w:rsidRPr="00CF3127" w:rsidRDefault="006D72BA"/>
    <w:p w:rsidR="006D72BA" w:rsidRPr="00CF3127" w:rsidRDefault="006D72BA"/>
    <w:tbl>
      <w:tblPr>
        <w:tblpPr w:leftFromText="180" w:rightFromText="180" w:vertAnchor="page" w:horzAnchor="margin" w:tblpY="2814"/>
        <w:tblW w:w="10046" w:type="dxa"/>
        <w:tblLook w:val="04A0" w:firstRow="1" w:lastRow="0" w:firstColumn="1" w:lastColumn="0" w:noHBand="0" w:noVBand="1"/>
      </w:tblPr>
      <w:tblGrid>
        <w:gridCol w:w="425"/>
        <w:gridCol w:w="4957"/>
        <w:gridCol w:w="1170"/>
        <w:gridCol w:w="872"/>
        <w:gridCol w:w="1134"/>
        <w:gridCol w:w="1522"/>
      </w:tblGrid>
      <w:tr w:rsidR="008411D8" w:rsidRPr="00CF3127" w:rsidTr="008411D8">
        <w:trPr>
          <w:trHeight w:val="416"/>
        </w:trPr>
        <w:tc>
          <w:tcPr>
            <w:tcW w:w="10046" w:type="dxa"/>
            <w:gridSpan w:val="6"/>
            <w:tcBorders>
              <w:top w:val="single" w:sz="4" w:space="0" w:color="auto"/>
              <w:left w:val="single" w:sz="4" w:space="0" w:color="auto"/>
              <w:bottom w:val="nil"/>
              <w:right w:val="single" w:sz="4" w:space="0" w:color="auto"/>
            </w:tcBorders>
            <w:shd w:val="clear" w:color="auto" w:fill="5B9BD5" w:themeFill="accent1"/>
            <w:noWrap/>
            <w:vAlign w:val="center"/>
          </w:tcPr>
          <w:p w:rsidR="008411D8" w:rsidRPr="00CF3127" w:rsidRDefault="008411D8" w:rsidP="008411D8">
            <w:pPr>
              <w:ind w:left="731" w:hanging="425"/>
              <w:jc w:val="center"/>
              <w:rPr>
                <w:rFonts w:cstheme="minorHAnsi"/>
                <w:b/>
                <w:color w:val="FFFFFF" w:themeColor="background1"/>
                <w:sz w:val="22"/>
                <w:szCs w:val="22"/>
                <w:shd w:val="clear" w:color="auto" w:fill="000000"/>
              </w:rPr>
            </w:pPr>
            <w:r w:rsidRPr="00CF3127">
              <w:rPr>
                <w:b/>
                <w:bCs/>
                <w:color w:val="FFFFFF" w:themeColor="background1"/>
                <w:sz w:val="22"/>
                <w:szCs w:val="22"/>
              </w:rPr>
              <w:t>Overall progress achieved in the implementation of the 2018-2020 Action Plan</w:t>
            </w:r>
          </w:p>
        </w:tc>
      </w:tr>
      <w:tr w:rsidR="008411D8" w:rsidRPr="00CF3127" w:rsidTr="008411D8">
        <w:trPr>
          <w:trHeight w:val="554"/>
        </w:trPr>
        <w:tc>
          <w:tcPr>
            <w:tcW w:w="425" w:type="dxa"/>
            <w:tcBorders>
              <w:top w:val="single" w:sz="4" w:space="0" w:color="auto"/>
              <w:left w:val="single" w:sz="4" w:space="0" w:color="auto"/>
              <w:bottom w:val="nil"/>
              <w:right w:val="nil"/>
            </w:tcBorders>
            <w:shd w:val="clear" w:color="auto" w:fill="C9C9C9" w:themeFill="accent3" w:themeFillTint="99"/>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 </w:t>
            </w:r>
          </w:p>
        </w:tc>
        <w:tc>
          <w:tcPr>
            <w:tcW w:w="4957"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8411D8" w:rsidRPr="00CF3127" w:rsidRDefault="008411D8" w:rsidP="008411D8">
            <w:pPr>
              <w:ind w:left="1333"/>
              <w:jc w:val="center"/>
              <w:rPr>
                <w:rFonts w:eastAsia="Times New Roman" w:cstheme="minorHAnsi"/>
                <w:color w:val="000000"/>
                <w:sz w:val="22"/>
                <w:szCs w:val="22"/>
              </w:rPr>
            </w:pPr>
            <w:r w:rsidRPr="00CF3127">
              <w:rPr>
                <w:color w:val="000000"/>
                <w:sz w:val="22"/>
                <w:szCs w:val="22"/>
              </w:rPr>
              <w:t> </w:t>
            </w:r>
          </w:p>
        </w:tc>
        <w:tc>
          <w:tcPr>
            <w:tcW w:w="1170"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Not started</w:t>
            </w:r>
          </w:p>
        </w:tc>
        <w:tc>
          <w:tcPr>
            <w:tcW w:w="124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Started</w:t>
            </w:r>
          </w:p>
        </w:tc>
        <w:tc>
          <w:tcPr>
            <w:tcW w:w="1134"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Half-way through</w:t>
            </w:r>
          </w:p>
        </w:tc>
        <w:tc>
          <w:tcPr>
            <w:tcW w:w="1120"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8411D8" w:rsidRPr="00CF3127" w:rsidRDefault="008411D8" w:rsidP="008411D8">
            <w:pPr>
              <w:ind w:right="322"/>
              <w:jc w:val="center"/>
              <w:rPr>
                <w:rFonts w:eastAsia="Times New Roman" w:cstheme="minorHAnsi"/>
                <w:color w:val="000000"/>
                <w:sz w:val="22"/>
                <w:szCs w:val="22"/>
              </w:rPr>
            </w:pPr>
            <w:r w:rsidRPr="00CF3127">
              <w:rPr>
                <w:color w:val="000000"/>
                <w:sz w:val="22"/>
                <w:szCs w:val="22"/>
              </w:rPr>
              <w:t>Completed</w:t>
            </w:r>
          </w:p>
        </w:tc>
      </w:tr>
      <w:tr w:rsidR="008411D8" w:rsidRPr="00CF3127" w:rsidTr="008411D8">
        <w:trPr>
          <w:trHeight w:val="51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1.</w:t>
            </w:r>
          </w:p>
        </w:tc>
        <w:tc>
          <w:tcPr>
            <w:tcW w:w="4957"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rPr>
                <w:rFonts w:eastAsia="Times New Roman" w:cstheme="minorHAnsi"/>
                <w:color w:val="000000"/>
                <w:sz w:val="22"/>
                <w:szCs w:val="22"/>
                <w:highlight w:val="yellow"/>
              </w:rPr>
            </w:pPr>
            <w:r w:rsidRPr="00CF3127">
              <w:rPr>
                <w:color w:val="000000"/>
                <w:sz w:val="22"/>
                <w:szCs w:val="22"/>
              </w:rPr>
              <w:t>Develop an Open Data Portal and integrate it into the European digital single market</w:t>
            </w:r>
          </w:p>
        </w:tc>
        <w:tc>
          <w:tcPr>
            <w:tcW w:w="1170" w:type="dxa"/>
            <w:tcBorders>
              <w:top w:val="nil"/>
              <w:left w:val="nil"/>
              <w:bottom w:val="single" w:sz="4" w:space="0" w:color="auto"/>
              <w:right w:val="single" w:sz="4" w:space="0" w:color="auto"/>
            </w:tcBorders>
            <w:shd w:val="clear" w:color="auto" w:fill="auto"/>
            <w:noWrap/>
            <w:vAlign w:val="bottom"/>
            <w:hideMark/>
          </w:tcPr>
          <w:p w:rsidR="008411D8" w:rsidRPr="00CF3127" w:rsidRDefault="008411D8" w:rsidP="008411D8">
            <w:pPr>
              <w:rPr>
                <w:rFonts w:eastAsia="Times New Roman" w:cstheme="minorHAnsi"/>
                <w:color w:val="000000"/>
                <w:sz w:val="22"/>
                <w:szCs w:val="22"/>
              </w:rPr>
            </w:pPr>
            <w:r w:rsidRPr="00CF3127">
              <w:rPr>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jc w:val="center"/>
              <w:rPr>
                <w:rFonts w:eastAsia="Times New Roman" w:cstheme="minorHAnsi"/>
                <w:color w:val="000000"/>
                <w:sz w:val="22"/>
                <w:szCs w:val="22"/>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rFonts w:ascii="Calibri" w:hAnsi="Calibri"/>
                <w:color w:val="000000"/>
                <w:sz w:val="22"/>
                <w:szCs w:val="22"/>
              </w:rPr>
              <w:t>x</w:t>
            </w:r>
          </w:p>
        </w:tc>
        <w:tc>
          <w:tcPr>
            <w:tcW w:w="1120"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lang w:eastAsia="lt-LT"/>
              </w:rPr>
            </w:pPr>
          </w:p>
        </w:tc>
      </w:tr>
      <w:tr w:rsidR="008411D8" w:rsidRPr="00CF3127" w:rsidTr="008411D8">
        <w:trPr>
          <w:trHeight w:val="49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2.</w:t>
            </w:r>
          </w:p>
        </w:tc>
        <w:tc>
          <w:tcPr>
            <w:tcW w:w="4957"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ind w:right="-72"/>
              <w:rPr>
                <w:rFonts w:eastAsia="Times New Roman" w:cstheme="minorHAnsi"/>
                <w:color w:val="000000"/>
                <w:sz w:val="22"/>
                <w:szCs w:val="22"/>
              </w:rPr>
            </w:pPr>
            <w:r w:rsidRPr="00CF3127">
              <w:rPr>
                <w:sz w:val="22"/>
                <w:szCs w:val="22"/>
              </w:rPr>
              <w:t>Strengthen civil society through the NGO database and NGO fund</w:t>
            </w:r>
          </w:p>
        </w:tc>
        <w:tc>
          <w:tcPr>
            <w:tcW w:w="1170" w:type="dxa"/>
            <w:tcBorders>
              <w:top w:val="nil"/>
              <w:left w:val="nil"/>
              <w:bottom w:val="single" w:sz="4" w:space="0" w:color="auto"/>
              <w:right w:val="single" w:sz="4" w:space="0" w:color="auto"/>
            </w:tcBorders>
            <w:shd w:val="clear" w:color="auto" w:fill="auto"/>
            <w:noWrap/>
            <w:vAlign w:val="bottom"/>
            <w:hideMark/>
          </w:tcPr>
          <w:p w:rsidR="008411D8" w:rsidRPr="00CF3127" w:rsidRDefault="008411D8" w:rsidP="008411D8">
            <w:pPr>
              <w:rPr>
                <w:rFonts w:eastAsia="Times New Roman" w:cstheme="minorHAnsi"/>
                <w:color w:val="000000"/>
                <w:sz w:val="22"/>
                <w:szCs w:val="22"/>
              </w:rPr>
            </w:pPr>
            <w:r w:rsidRPr="00CF3127">
              <w:rPr>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jc w:val="center"/>
              <w:rPr>
                <w:rFonts w:eastAsia="Times New Roman" w:cstheme="minorHAnsi"/>
                <w:color w:val="000000"/>
                <w:sz w:val="22"/>
                <w:szCs w:val="22"/>
              </w:rPr>
            </w:pPr>
            <w:r w:rsidRPr="00CF3127">
              <w:rPr>
                <w:rFonts w:ascii="Calibri" w:hAnsi="Calibri"/>
                <w:color w:val="000000"/>
                <w:sz w:val="22"/>
                <w:szCs w:val="22"/>
              </w:rPr>
              <w:t>x</w:t>
            </w:r>
          </w:p>
        </w:tc>
        <w:tc>
          <w:tcPr>
            <w:tcW w:w="1134"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jc w:val="center"/>
              <w:rPr>
                <w:rFonts w:eastAsia="Times New Roman" w:cstheme="minorHAnsi"/>
                <w:color w:val="000000"/>
                <w:sz w:val="22"/>
                <w:szCs w:val="22"/>
                <w:lang w:eastAsia="lt-LT"/>
              </w:rPr>
            </w:pPr>
          </w:p>
        </w:tc>
        <w:tc>
          <w:tcPr>
            <w:tcW w:w="1120"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lang w:eastAsia="lt-LT"/>
              </w:rPr>
            </w:pPr>
          </w:p>
        </w:tc>
      </w:tr>
      <w:tr w:rsidR="008411D8" w:rsidRPr="00CF3127" w:rsidTr="008411D8">
        <w:trPr>
          <w:trHeight w:val="44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3.</w:t>
            </w:r>
          </w:p>
        </w:tc>
        <w:tc>
          <w:tcPr>
            <w:tcW w:w="4957"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rPr>
                <w:rFonts w:eastAsia="Times New Roman" w:cstheme="minorHAnsi"/>
                <w:color w:val="000000"/>
                <w:sz w:val="22"/>
                <w:szCs w:val="22"/>
              </w:rPr>
            </w:pPr>
            <w:r w:rsidRPr="00CF3127">
              <w:rPr>
                <w:sz w:val="22"/>
                <w:szCs w:val="22"/>
              </w:rPr>
              <w:t>Publicise information on revenue and expenditure of state and municipal institutions in the electronic environment</w:t>
            </w:r>
          </w:p>
        </w:tc>
        <w:tc>
          <w:tcPr>
            <w:tcW w:w="1170" w:type="dxa"/>
            <w:tcBorders>
              <w:top w:val="nil"/>
              <w:left w:val="nil"/>
              <w:bottom w:val="single" w:sz="4" w:space="0" w:color="auto"/>
              <w:right w:val="single" w:sz="4" w:space="0" w:color="auto"/>
            </w:tcBorders>
            <w:shd w:val="clear" w:color="auto" w:fill="auto"/>
            <w:noWrap/>
            <w:vAlign w:val="bottom"/>
            <w:hideMark/>
          </w:tcPr>
          <w:p w:rsidR="008411D8" w:rsidRPr="00CF3127" w:rsidRDefault="008411D8" w:rsidP="008411D8">
            <w:pPr>
              <w:rPr>
                <w:rFonts w:eastAsia="Times New Roman" w:cstheme="minorHAnsi"/>
                <w:color w:val="000000"/>
                <w:sz w:val="22"/>
                <w:szCs w:val="22"/>
              </w:rPr>
            </w:pPr>
            <w:r w:rsidRPr="00CF3127">
              <w:rPr>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jc w:val="center"/>
              <w:rPr>
                <w:rFonts w:eastAsia="Times New Roman" w:cstheme="minorHAnsi"/>
                <w:color w:val="000000"/>
                <w:sz w:val="22"/>
                <w:szCs w:val="22"/>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rFonts w:ascii="Calibri" w:hAnsi="Calibri"/>
                <w:color w:val="000000"/>
                <w:sz w:val="22"/>
                <w:szCs w:val="22"/>
              </w:rPr>
              <w:t>x</w:t>
            </w:r>
          </w:p>
        </w:tc>
        <w:tc>
          <w:tcPr>
            <w:tcW w:w="1120"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ind w:right="518"/>
              <w:jc w:val="center"/>
              <w:rPr>
                <w:rFonts w:eastAsia="Times New Roman" w:cstheme="minorHAnsi"/>
                <w:color w:val="000000"/>
                <w:sz w:val="22"/>
                <w:szCs w:val="22"/>
                <w:lang w:eastAsia="lt-LT"/>
              </w:rPr>
            </w:pPr>
          </w:p>
        </w:tc>
      </w:tr>
      <w:tr w:rsidR="008411D8" w:rsidRPr="00CF3127" w:rsidTr="008411D8">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4.</w:t>
            </w:r>
          </w:p>
        </w:tc>
        <w:tc>
          <w:tcPr>
            <w:tcW w:w="4957"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rPr>
                <w:rFonts w:eastAsia="Times New Roman" w:cstheme="minorHAnsi"/>
                <w:color w:val="000000"/>
                <w:sz w:val="22"/>
                <w:szCs w:val="22"/>
              </w:rPr>
            </w:pPr>
            <w:r w:rsidRPr="00CF3127">
              <w:rPr>
                <w:sz w:val="22"/>
                <w:szCs w:val="22"/>
              </w:rPr>
              <w:t>Develop a model for transferring public services to NGOs and communities and encouraging its implementation.</w:t>
            </w:r>
          </w:p>
        </w:tc>
        <w:tc>
          <w:tcPr>
            <w:tcW w:w="1170" w:type="dxa"/>
            <w:tcBorders>
              <w:top w:val="nil"/>
              <w:left w:val="nil"/>
              <w:bottom w:val="single" w:sz="4" w:space="0" w:color="auto"/>
              <w:right w:val="single" w:sz="4" w:space="0" w:color="auto"/>
            </w:tcBorders>
            <w:shd w:val="clear" w:color="auto" w:fill="auto"/>
            <w:noWrap/>
            <w:vAlign w:val="center"/>
            <w:hideMark/>
          </w:tcPr>
          <w:p w:rsidR="008411D8" w:rsidRPr="00CF3127" w:rsidRDefault="0030520B" w:rsidP="0030520B">
            <w:pPr>
              <w:rPr>
                <w:rFonts w:eastAsia="Times New Roman" w:cstheme="minorHAnsi"/>
                <w:color w:val="000000"/>
                <w:sz w:val="22"/>
                <w:szCs w:val="22"/>
              </w:rPr>
            </w:pPr>
            <w:r w:rsidRPr="00CF3127">
              <w:rPr>
                <w:rFonts w:eastAsia="Times New Roman" w:cstheme="minorHAnsi"/>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8411D8" w:rsidRPr="00CF3127" w:rsidRDefault="0030520B" w:rsidP="008411D8">
            <w:pPr>
              <w:jc w:val="center"/>
              <w:rPr>
                <w:rFonts w:eastAsia="Times New Roman" w:cstheme="minorHAnsi"/>
                <w:color w:val="000000"/>
                <w:sz w:val="22"/>
                <w:szCs w:val="22"/>
                <w:lang w:eastAsia="lt-LT"/>
              </w:rPr>
            </w:pPr>
            <w:r w:rsidRPr="00CF3127">
              <w:rPr>
                <w:rFonts w:eastAsia="Times New Roman" w:cstheme="minorHAnsi"/>
                <w:color w:val="000000"/>
                <w:sz w:val="22"/>
                <w:szCs w:val="22"/>
                <w:lang w:eastAsia="lt-LT"/>
              </w:rPr>
              <w:t>x</w:t>
            </w:r>
          </w:p>
        </w:tc>
        <w:tc>
          <w:tcPr>
            <w:tcW w:w="1134"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lang w:eastAsia="lt-LT"/>
              </w:rPr>
            </w:pPr>
          </w:p>
        </w:tc>
        <w:tc>
          <w:tcPr>
            <w:tcW w:w="1120"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lang w:eastAsia="lt-LT"/>
              </w:rPr>
            </w:pPr>
          </w:p>
        </w:tc>
      </w:tr>
      <w:tr w:rsidR="008411D8" w:rsidRPr="00CF3127" w:rsidTr="008411D8">
        <w:trPr>
          <w:trHeight w:val="59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5.</w:t>
            </w:r>
          </w:p>
        </w:tc>
        <w:tc>
          <w:tcPr>
            <w:tcW w:w="4957"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rPr>
                <w:rFonts w:eastAsia="Times New Roman" w:cstheme="minorHAnsi"/>
                <w:color w:val="000000"/>
                <w:sz w:val="22"/>
                <w:szCs w:val="22"/>
                <w:highlight w:val="yellow"/>
              </w:rPr>
            </w:pPr>
            <w:r w:rsidRPr="00CF3127">
              <w:rPr>
                <w:sz w:val="22"/>
                <w:szCs w:val="22"/>
              </w:rPr>
              <w:t>Carry out consistent monitoring and evaluation of public participation in governance</w:t>
            </w:r>
          </w:p>
        </w:tc>
        <w:tc>
          <w:tcPr>
            <w:tcW w:w="1170" w:type="dxa"/>
            <w:tcBorders>
              <w:top w:val="nil"/>
              <w:left w:val="nil"/>
              <w:bottom w:val="single" w:sz="4" w:space="0" w:color="auto"/>
              <w:right w:val="single" w:sz="4" w:space="0" w:color="auto"/>
            </w:tcBorders>
            <w:shd w:val="clear" w:color="auto" w:fill="auto"/>
            <w:noWrap/>
            <w:vAlign w:val="bottom"/>
            <w:hideMark/>
          </w:tcPr>
          <w:p w:rsidR="008411D8" w:rsidRPr="00CF3127" w:rsidRDefault="008411D8" w:rsidP="008411D8">
            <w:pPr>
              <w:rPr>
                <w:rFonts w:eastAsia="Times New Roman" w:cstheme="minorHAnsi"/>
                <w:color w:val="000000"/>
                <w:sz w:val="22"/>
                <w:szCs w:val="22"/>
                <w:lang w:eastAsia="lt-LT"/>
              </w:rPr>
            </w:pPr>
          </w:p>
        </w:tc>
        <w:tc>
          <w:tcPr>
            <w:tcW w:w="1240"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jc w:val="center"/>
              <w:rPr>
                <w:rFonts w:eastAsia="Times New Roman" w:cstheme="minorHAnsi"/>
                <w:color w:val="000000"/>
                <w:sz w:val="22"/>
                <w:szCs w:val="22"/>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lang w:eastAsia="lt-LT"/>
              </w:rPr>
            </w:pPr>
          </w:p>
        </w:tc>
        <w:tc>
          <w:tcPr>
            <w:tcW w:w="1120"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rFonts w:ascii="Calibri" w:hAnsi="Calibri"/>
                <w:color w:val="000000"/>
                <w:sz w:val="22"/>
                <w:szCs w:val="22"/>
              </w:rPr>
              <w:t>x</w:t>
            </w:r>
          </w:p>
        </w:tc>
      </w:tr>
      <w:tr w:rsidR="008411D8" w:rsidRPr="00CF3127" w:rsidTr="008411D8">
        <w:trPr>
          <w:trHeight w:val="47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rPr>
            </w:pPr>
            <w:r w:rsidRPr="00CF3127">
              <w:rPr>
                <w:color w:val="000000"/>
                <w:sz w:val="22"/>
                <w:szCs w:val="22"/>
              </w:rPr>
              <w:t>6.</w:t>
            </w:r>
          </w:p>
        </w:tc>
        <w:tc>
          <w:tcPr>
            <w:tcW w:w="4957"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rPr>
                <w:rFonts w:eastAsia="Times New Roman" w:cstheme="minorHAnsi"/>
                <w:color w:val="000000"/>
                <w:sz w:val="22"/>
                <w:szCs w:val="22"/>
              </w:rPr>
            </w:pPr>
            <w:r w:rsidRPr="00CF3127">
              <w:rPr>
                <w:sz w:val="22"/>
                <w:szCs w:val="22"/>
              </w:rPr>
              <w:t xml:space="preserve">Introduction of </w:t>
            </w:r>
            <w:r w:rsidRPr="00CF3127">
              <w:rPr>
                <w:i/>
                <w:sz w:val="22"/>
                <w:szCs w:val="22"/>
              </w:rPr>
              <w:t>ex post</w:t>
            </w:r>
            <w:r w:rsidRPr="00CF3127">
              <w:rPr>
                <w:sz w:val="22"/>
                <w:szCs w:val="22"/>
              </w:rPr>
              <w:t xml:space="preserve"> evaluation in a legislative process cycle</w:t>
            </w:r>
          </w:p>
        </w:tc>
        <w:tc>
          <w:tcPr>
            <w:tcW w:w="1170" w:type="dxa"/>
            <w:tcBorders>
              <w:top w:val="nil"/>
              <w:left w:val="nil"/>
              <w:bottom w:val="single" w:sz="4" w:space="0" w:color="auto"/>
              <w:right w:val="single" w:sz="4" w:space="0" w:color="auto"/>
            </w:tcBorders>
            <w:shd w:val="clear" w:color="auto" w:fill="auto"/>
            <w:noWrap/>
            <w:vAlign w:val="bottom"/>
            <w:hideMark/>
          </w:tcPr>
          <w:p w:rsidR="008411D8" w:rsidRPr="00CF3127" w:rsidRDefault="008411D8" w:rsidP="008411D8">
            <w:pPr>
              <w:rPr>
                <w:rFonts w:eastAsia="Times New Roman" w:cstheme="minorHAnsi"/>
                <w:color w:val="000000"/>
                <w:sz w:val="22"/>
                <w:szCs w:val="22"/>
              </w:rPr>
            </w:pPr>
            <w:r w:rsidRPr="00CF3127">
              <w:rPr>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8411D8" w:rsidRPr="00CF3127" w:rsidRDefault="008411D8" w:rsidP="008411D8">
            <w:pPr>
              <w:jc w:val="center"/>
              <w:rPr>
                <w:rFonts w:eastAsia="Times New Roman" w:cstheme="minorHAnsi"/>
                <w:color w:val="000000"/>
                <w:sz w:val="22"/>
                <w:szCs w:val="22"/>
              </w:rPr>
            </w:pPr>
            <w:r w:rsidRPr="00CF3127">
              <w:rPr>
                <w:rFonts w:ascii="Calibri" w:hAnsi="Calibri"/>
                <w:color w:val="000000"/>
                <w:sz w:val="22"/>
                <w:szCs w:val="22"/>
              </w:rPr>
              <w:t>x</w:t>
            </w:r>
          </w:p>
        </w:tc>
        <w:tc>
          <w:tcPr>
            <w:tcW w:w="1134"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lang w:eastAsia="lt-LT"/>
              </w:rPr>
            </w:pPr>
          </w:p>
        </w:tc>
        <w:tc>
          <w:tcPr>
            <w:tcW w:w="1120" w:type="dxa"/>
            <w:tcBorders>
              <w:top w:val="nil"/>
              <w:left w:val="nil"/>
              <w:bottom w:val="single" w:sz="4" w:space="0" w:color="auto"/>
              <w:right w:val="single" w:sz="4" w:space="0" w:color="auto"/>
            </w:tcBorders>
            <w:shd w:val="clear" w:color="auto" w:fill="auto"/>
            <w:noWrap/>
            <w:vAlign w:val="center"/>
            <w:hideMark/>
          </w:tcPr>
          <w:p w:rsidR="008411D8" w:rsidRPr="00CF3127" w:rsidRDefault="008411D8" w:rsidP="008411D8">
            <w:pPr>
              <w:jc w:val="center"/>
              <w:rPr>
                <w:rFonts w:eastAsia="Times New Roman" w:cstheme="minorHAnsi"/>
                <w:color w:val="000000"/>
                <w:sz w:val="22"/>
                <w:szCs w:val="22"/>
                <w:lang w:eastAsia="lt-LT"/>
              </w:rPr>
            </w:pPr>
          </w:p>
        </w:tc>
      </w:tr>
    </w:tbl>
    <w:p w:rsidR="003851C9" w:rsidRPr="00CF3127" w:rsidRDefault="003851C9"/>
    <w:p w:rsidR="003851C9" w:rsidRPr="00CF3127" w:rsidRDefault="003851C9"/>
    <w:p w:rsidR="003851C9" w:rsidRPr="00CF3127" w:rsidRDefault="003851C9"/>
    <w:p w:rsidR="003851C9" w:rsidRPr="00CF3127" w:rsidRDefault="003851C9"/>
    <w:p w:rsidR="003851C9" w:rsidRPr="00CF3127" w:rsidRDefault="003851C9"/>
    <w:p w:rsidR="003851C9" w:rsidRPr="00CF3127" w:rsidRDefault="003851C9"/>
    <w:p w:rsidR="003851C9" w:rsidRPr="00CF3127" w:rsidRDefault="003851C9"/>
    <w:p w:rsidR="003851C9" w:rsidRPr="00CF3127" w:rsidRDefault="003851C9"/>
    <w:p w:rsidR="008411D8" w:rsidRPr="00CF3127" w:rsidRDefault="008411D8"/>
    <w:p w:rsidR="008411D8" w:rsidRPr="00CF3127" w:rsidRDefault="008411D8"/>
    <w:p w:rsidR="008411D8" w:rsidRPr="00CF3127" w:rsidRDefault="008411D8"/>
    <w:p w:rsidR="008411D8" w:rsidRPr="00CF3127" w:rsidRDefault="008411D8"/>
    <w:p w:rsidR="003851C9" w:rsidRPr="00CF3127" w:rsidRDefault="003851C9"/>
    <w:p w:rsidR="003851C9" w:rsidRPr="00CF3127" w:rsidRDefault="003851C9"/>
    <w:p w:rsidR="003851C9" w:rsidRPr="00CF3127" w:rsidRDefault="003851C9"/>
    <w:p w:rsidR="006D72BA" w:rsidRPr="00CF3127" w:rsidRDefault="006D72BA"/>
    <w:p w:rsidR="00754384" w:rsidRPr="00CF3127" w:rsidRDefault="00754384"/>
    <w:p w:rsidR="00754384" w:rsidRPr="00CF3127" w:rsidRDefault="00754384"/>
    <w:p w:rsidR="00754384" w:rsidRPr="00CF3127" w:rsidRDefault="00754384"/>
    <w:p w:rsidR="008411D8" w:rsidRPr="00CF3127" w:rsidRDefault="008411D8"/>
    <w:tbl>
      <w:tblPr>
        <w:tblW w:w="10552" w:type="dxa"/>
        <w:tblLayout w:type="fixed"/>
        <w:tblCellMar>
          <w:top w:w="15" w:type="dxa"/>
          <w:left w:w="15" w:type="dxa"/>
          <w:bottom w:w="15" w:type="dxa"/>
          <w:right w:w="15" w:type="dxa"/>
        </w:tblCellMar>
        <w:tblLook w:val="04A0" w:firstRow="1" w:lastRow="0" w:firstColumn="1" w:lastColumn="0" w:noHBand="0" w:noVBand="1"/>
      </w:tblPr>
      <w:tblGrid>
        <w:gridCol w:w="3135"/>
        <w:gridCol w:w="59"/>
        <w:gridCol w:w="30"/>
        <w:gridCol w:w="12"/>
        <w:gridCol w:w="685"/>
        <w:gridCol w:w="155"/>
        <w:gridCol w:w="450"/>
        <w:gridCol w:w="1134"/>
        <w:gridCol w:w="284"/>
        <w:gridCol w:w="13"/>
        <w:gridCol w:w="266"/>
        <w:gridCol w:w="997"/>
        <w:gridCol w:w="878"/>
        <w:gridCol w:w="397"/>
        <w:gridCol w:w="284"/>
        <w:gridCol w:w="1417"/>
        <w:gridCol w:w="22"/>
        <w:gridCol w:w="280"/>
        <w:gridCol w:w="54"/>
      </w:tblGrid>
      <w:tr w:rsidR="00A7795C" w:rsidRPr="00CF3127" w:rsidTr="005922CD">
        <w:trPr>
          <w:gridAfter w:val="3"/>
          <w:wAfter w:w="356" w:type="dxa"/>
        </w:trPr>
        <w:tc>
          <w:tcPr>
            <w:tcW w:w="10196" w:type="dxa"/>
            <w:gridSpan w:val="16"/>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A7795C" w:rsidRPr="00CF3127" w:rsidRDefault="009E10DF" w:rsidP="009E10DF">
            <w:pPr>
              <w:jc w:val="center"/>
              <w:rPr>
                <w:rFonts w:cstheme="minorHAnsi"/>
                <w:b/>
                <w:color w:val="FFFFFF"/>
                <w:shd w:val="clear" w:color="auto" w:fill="000000"/>
              </w:rPr>
            </w:pPr>
            <w:r w:rsidRPr="00CF3127">
              <w:rPr>
                <w:b/>
                <w:bCs/>
                <w:color w:val="FFFFFF" w:themeColor="background1"/>
              </w:rPr>
              <w:t>I. Openness to the public of the activities of public governance institutions (open data)</w:t>
            </w:r>
          </w:p>
        </w:tc>
      </w:tr>
      <w:tr w:rsidR="00A7795C" w:rsidRPr="00CF3127" w:rsidTr="005922CD">
        <w:trPr>
          <w:gridAfter w:val="3"/>
          <w:wAfter w:w="356" w:type="dxa"/>
        </w:trPr>
        <w:tc>
          <w:tcPr>
            <w:tcW w:w="10196" w:type="dxa"/>
            <w:gridSpan w:val="1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rPr>
              <w:t>1. Develop a Lithuanian open data portal and integrate it into the European digital single market.</w:t>
            </w:r>
          </w:p>
        </w:tc>
      </w:tr>
      <w:tr w:rsidR="00A7795C" w:rsidRPr="00CF3127" w:rsidTr="005922CD">
        <w:trPr>
          <w:gridAfter w:val="3"/>
          <w:wAfter w:w="356" w:type="dxa"/>
          <w:trHeight w:val="420"/>
        </w:trPr>
        <w:tc>
          <w:tcPr>
            <w:tcW w:w="10196" w:type="dxa"/>
            <w:gridSpan w:val="1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A7795C" w:rsidRPr="00CF3127" w:rsidRDefault="00EF7F45" w:rsidP="006A38F8">
            <w:pPr>
              <w:jc w:val="center"/>
              <w:rPr>
                <w:rFonts w:cstheme="minorHAnsi"/>
                <w:i/>
                <w:color w:val="000000"/>
                <w:sz w:val="22"/>
                <w:szCs w:val="22"/>
              </w:rPr>
            </w:pPr>
            <w:r w:rsidRPr="00CF3127">
              <w:rPr>
                <w:i/>
                <w:color w:val="000000"/>
                <w:sz w:val="22"/>
                <w:szCs w:val="22"/>
              </w:rPr>
              <w:t>1 September 2018 – 31 December 2020</w:t>
            </w:r>
          </w:p>
        </w:tc>
      </w:tr>
      <w:tr w:rsidR="00A7795C" w:rsidRPr="00CF3127" w:rsidTr="00B46071">
        <w:trPr>
          <w:gridAfter w:val="3"/>
          <w:wAfter w:w="356" w:type="dxa"/>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Lead implementing agency</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D73191" w:rsidP="00DF27C6">
            <w:pPr>
              <w:rPr>
                <w:rFonts w:cstheme="minorHAnsi"/>
                <w:sz w:val="22"/>
                <w:szCs w:val="22"/>
              </w:rPr>
            </w:pPr>
            <w:r w:rsidRPr="00CF3127">
              <w:rPr>
                <w:sz w:val="22"/>
                <w:szCs w:val="22"/>
              </w:rPr>
              <w:t>Information Society Development Committee (hereinafter ‘the ISDC’)</w:t>
            </w:r>
          </w:p>
        </w:tc>
      </w:tr>
      <w:tr w:rsidR="00A7795C" w:rsidRPr="00CF3127" w:rsidTr="005922CD">
        <w:trPr>
          <w:gridAfter w:val="3"/>
          <w:wAfter w:w="356" w:type="dxa"/>
          <w:trHeight w:val="420"/>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b/>
                <w:bCs/>
                <w:color w:val="000000"/>
                <w:sz w:val="22"/>
                <w:szCs w:val="22"/>
                <w:shd w:val="clear" w:color="auto" w:fill="D9D9D9"/>
              </w:rPr>
              <w:t xml:space="preserve">Description of the commitment </w:t>
            </w:r>
          </w:p>
        </w:tc>
      </w:tr>
      <w:tr w:rsidR="00A7795C" w:rsidRPr="00CF3127" w:rsidTr="00B46071">
        <w:trPr>
          <w:gridAfter w:val="3"/>
          <w:wAfter w:w="356" w:type="dxa"/>
          <w:trHeight w:val="420"/>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Key problem addressed </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067C8" w:rsidP="001B56F5">
            <w:pPr>
              <w:jc w:val="both"/>
              <w:textAlignment w:val="baseline"/>
              <w:rPr>
                <w:rFonts w:eastAsia="Times New Roman" w:cstheme="minorHAnsi"/>
                <w:sz w:val="22"/>
                <w:szCs w:val="22"/>
              </w:rPr>
            </w:pPr>
            <w:r w:rsidRPr="00CF3127">
              <w:rPr>
                <w:sz w:val="22"/>
                <w:szCs w:val="22"/>
              </w:rPr>
              <w:t>Public sector institutions have accumulated a wealth of valuable information that is not readily and freely available to be re-used for business development, promotion of economic growth, greater public sector transparency, addressing social issues, and for greater social and civic engagement.</w:t>
            </w:r>
          </w:p>
        </w:tc>
      </w:tr>
      <w:tr w:rsidR="00A7795C" w:rsidRPr="00CF3127" w:rsidTr="00B46071">
        <w:trPr>
          <w:gridAfter w:val="3"/>
          <w:wAfter w:w="356" w:type="dxa"/>
          <w:trHeight w:val="440"/>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Commitment</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67C8" w:rsidRPr="00CF3127" w:rsidRDefault="00A067C8" w:rsidP="006A38F8">
            <w:pPr>
              <w:jc w:val="both"/>
              <w:rPr>
                <w:rFonts w:eastAsia="Times New Roman" w:cstheme="minorHAnsi"/>
                <w:sz w:val="22"/>
                <w:szCs w:val="22"/>
              </w:rPr>
            </w:pPr>
            <w:r w:rsidRPr="00CF3127">
              <w:rPr>
                <w:sz w:val="22"/>
                <w:szCs w:val="22"/>
              </w:rPr>
              <w:t xml:space="preserve">The problem will be addressed through newly-developed methodological tools and technological capabilities for opening up of public sector-owned data: </w:t>
            </w:r>
          </w:p>
          <w:p w:rsidR="00A067C8" w:rsidRPr="00CF3127" w:rsidRDefault="00A067C8" w:rsidP="006A38F8">
            <w:pPr>
              <w:pStyle w:val="ListParagraph"/>
              <w:numPr>
                <w:ilvl w:val="0"/>
                <w:numId w:val="10"/>
              </w:numPr>
              <w:jc w:val="both"/>
              <w:rPr>
                <w:rFonts w:eastAsia="Times New Roman" w:cstheme="minorHAnsi"/>
                <w:sz w:val="22"/>
                <w:szCs w:val="22"/>
              </w:rPr>
            </w:pPr>
            <w:r w:rsidRPr="00CF3127">
              <w:rPr>
                <w:sz w:val="22"/>
                <w:szCs w:val="22"/>
              </w:rPr>
              <w:t>Development of a methodological legal framework aimed to provide for preconditions for the Lithuanian public authorities to form open data sets and their metadata and to publish them on the Lithuanian Open Data Portal.</w:t>
            </w:r>
          </w:p>
          <w:p w:rsidR="00A067C8" w:rsidRPr="00CF3127" w:rsidRDefault="00A067C8" w:rsidP="006A38F8">
            <w:pPr>
              <w:pStyle w:val="ListParagraph"/>
              <w:numPr>
                <w:ilvl w:val="0"/>
                <w:numId w:val="10"/>
              </w:numPr>
              <w:jc w:val="both"/>
              <w:rPr>
                <w:rFonts w:eastAsia="Times New Roman" w:cstheme="minorHAnsi"/>
                <w:sz w:val="22"/>
                <w:szCs w:val="22"/>
              </w:rPr>
            </w:pPr>
            <w:r w:rsidRPr="00CF3127">
              <w:rPr>
                <w:sz w:val="22"/>
                <w:szCs w:val="22"/>
              </w:rPr>
              <w:t>Development of information technology infrastructure, integrated into the European Open Data Infrastructure, aimed at publication of public sector data and metadata and provision of information to domestic users (businesses, public organisations and citizens).</w:t>
            </w:r>
          </w:p>
          <w:p w:rsidR="00A7795C" w:rsidRPr="00CF3127" w:rsidRDefault="00A067C8" w:rsidP="006A38F8">
            <w:pPr>
              <w:pStyle w:val="ListParagraph"/>
              <w:numPr>
                <w:ilvl w:val="0"/>
                <w:numId w:val="10"/>
              </w:numPr>
              <w:jc w:val="both"/>
              <w:textAlignment w:val="baseline"/>
              <w:rPr>
                <w:rFonts w:cstheme="minorHAnsi"/>
                <w:sz w:val="22"/>
                <w:szCs w:val="22"/>
              </w:rPr>
            </w:pPr>
            <w:r w:rsidRPr="00CF3127">
              <w:rPr>
                <w:sz w:val="22"/>
                <w:szCs w:val="22"/>
              </w:rPr>
              <w:t>Implementation of organisational structure for the planning, financing and implementation of open data operations.</w:t>
            </w:r>
          </w:p>
        </w:tc>
      </w:tr>
      <w:tr w:rsidR="00A7795C" w:rsidRPr="00CF3127" w:rsidTr="00B46071">
        <w:trPr>
          <w:gridAfter w:val="3"/>
          <w:wAfter w:w="356" w:type="dxa"/>
          <w:trHeight w:val="704"/>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How will the commitment contribute to address the public problem? </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2127" w:rsidRPr="00CF3127" w:rsidRDefault="00592127" w:rsidP="006A38F8">
            <w:pPr>
              <w:pStyle w:val="ListParagraph"/>
              <w:numPr>
                <w:ilvl w:val="0"/>
                <w:numId w:val="11"/>
              </w:numPr>
              <w:jc w:val="both"/>
              <w:rPr>
                <w:rFonts w:eastAsia="Times New Roman" w:cstheme="minorHAnsi"/>
                <w:sz w:val="22"/>
                <w:szCs w:val="22"/>
              </w:rPr>
            </w:pPr>
            <w:r w:rsidRPr="00CF3127">
              <w:rPr>
                <w:sz w:val="22"/>
                <w:szCs w:val="22"/>
              </w:rPr>
              <w:t>The creation of the Lithuanian Open Data Portal will provide business representatives, NGOs and active citizens with access to information resources accumulated and opened up by institutions, while public sector institutions will have a greater possibility of making information more accessible and transparent.</w:t>
            </w:r>
          </w:p>
          <w:p w:rsidR="00592127" w:rsidRPr="00CF3127" w:rsidRDefault="00592127" w:rsidP="006A38F8">
            <w:pPr>
              <w:pStyle w:val="ListParagraph"/>
              <w:numPr>
                <w:ilvl w:val="0"/>
                <w:numId w:val="11"/>
              </w:numPr>
              <w:jc w:val="both"/>
              <w:textAlignment w:val="baseline"/>
              <w:rPr>
                <w:rFonts w:eastAsia="Times New Roman" w:cstheme="minorHAnsi"/>
                <w:sz w:val="22"/>
                <w:szCs w:val="22"/>
              </w:rPr>
            </w:pPr>
            <w:r w:rsidRPr="00CF3127">
              <w:rPr>
                <w:sz w:val="22"/>
                <w:szCs w:val="22"/>
              </w:rPr>
              <w:t xml:space="preserve">The opening of public sector data will enable active members of the public to make reasoned proposals and have an impact on decision making, while at the same time developing citizens’ confidence in government and their civic engagement. </w:t>
            </w:r>
          </w:p>
          <w:p w:rsidR="006D7140" w:rsidRPr="00CF3127" w:rsidRDefault="00592127" w:rsidP="006A38F8">
            <w:pPr>
              <w:pStyle w:val="ListParagraph"/>
              <w:numPr>
                <w:ilvl w:val="0"/>
                <w:numId w:val="11"/>
              </w:numPr>
              <w:jc w:val="both"/>
              <w:textAlignment w:val="baseline"/>
              <w:rPr>
                <w:rFonts w:eastAsia="Times New Roman" w:cstheme="minorHAnsi"/>
                <w:sz w:val="22"/>
                <w:szCs w:val="22"/>
              </w:rPr>
            </w:pPr>
            <w:r w:rsidRPr="00CF3127">
              <w:rPr>
                <w:sz w:val="22"/>
                <w:szCs w:val="22"/>
              </w:rPr>
              <w:t>The adoption and implementation of the decisions on the organisational structure of open data will create prerequisites for smooth opening of public sector data and will enable citizens to evaluate the effectiveness of public sector decisions and the accountability thereof.</w:t>
            </w:r>
          </w:p>
        </w:tc>
      </w:tr>
      <w:tr w:rsidR="00A7795C" w:rsidRPr="00CF3127" w:rsidTr="00B46071">
        <w:trPr>
          <w:gridAfter w:val="3"/>
          <w:wAfter w:w="356" w:type="dxa"/>
          <w:trHeight w:val="420"/>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How does the commitment relate to OGP values?</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3435" w:rsidRPr="00CF3127" w:rsidRDefault="00A7795C" w:rsidP="006A38F8">
            <w:pPr>
              <w:pStyle w:val="ListParagraph"/>
              <w:numPr>
                <w:ilvl w:val="0"/>
                <w:numId w:val="3"/>
              </w:numPr>
              <w:tabs>
                <w:tab w:val="left" w:pos="767"/>
              </w:tabs>
              <w:ind w:left="625" w:hanging="283"/>
              <w:jc w:val="both"/>
              <w:textAlignment w:val="baseline"/>
              <w:rPr>
                <w:rFonts w:cstheme="minorHAnsi"/>
                <w:iCs/>
                <w:color w:val="000000"/>
                <w:sz w:val="22"/>
                <w:szCs w:val="22"/>
              </w:rPr>
            </w:pPr>
            <w:r w:rsidRPr="00CF3127">
              <w:rPr>
                <w:iCs/>
                <w:color w:val="000000"/>
                <w:sz w:val="22"/>
                <w:szCs w:val="22"/>
              </w:rPr>
              <w:t>The commitment serves directly to the opening of the data, it improves the quality of the open data or of information, increases public access to information or grants the public with real possibility of implementing its right to access information, which is a guarantor of the value of transparency.</w:t>
            </w:r>
          </w:p>
          <w:p w:rsidR="00A7795C" w:rsidRPr="00CF3127" w:rsidRDefault="00EB3435" w:rsidP="006A38F8">
            <w:pPr>
              <w:pStyle w:val="ListParagraph"/>
              <w:numPr>
                <w:ilvl w:val="0"/>
                <w:numId w:val="3"/>
              </w:numPr>
              <w:ind w:left="625" w:hanging="283"/>
              <w:jc w:val="both"/>
              <w:textAlignment w:val="baseline"/>
              <w:rPr>
                <w:rFonts w:cstheme="minorHAnsi"/>
                <w:iCs/>
                <w:color w:val="000000"/>
                <w:sz w:val="22"/>
                <w:szCs w:val="22"/>
              </w:rPr>
            </w:pPr>
            <w:r w:rsidRPr="00CF3127">
              <w:rPr>
                <w:iCs/>
                <w:color w:val="000000"/>
                <w:sz w:val="22"/>
                <w:szCs w:val="22"/>
              </w:rPr>
              <w:t xml:space="preserve">The commitment creates a basis and prerequisites for people not only to participate in </w:t>
            </w:r>
            <w:r w:rsidR="000E0017" w:rsidRPr="00CF3127">
              <w:rPr>
                <w:iCs/>
                <w:color w:val="000000"/>
                <w:sz w:val="22"/>
                <w:szCs w:val="22"/>
              </w:rPr>
              <w:t>decision-making</w:t>
            </w:r>
            <w:r w:rsidRPr="00CF3127">
              <w:rPr>
                <w:iCs/>
                <w:color w:val="000000"/>
                <w:sz w:val="22"/>
                <w:szCs w:val="22"/>
              </w:rPr>
              <w:t xml:space="preserve"> but also to make an impact and put forward their own proposals. It is a direct catalyst that serves in building self-confident, soundly critical and proactive society. </w:t>
            </w:r>
          </w:p>
          <w:p w:rsidR="00A7795C" w:rsidRPr="00CF3127" w:rsidRDefault="00EB3435" w:rsidP="001B56F5">
            <w:pPr>
              <w:pStyle w:val="ListParagraph"/>
              <w:numPr>
                <w:ilvl w:val="0"/>
                <w:numId w:val="3"/>
              </w:numPr>
              <w:ind w:left="625" w:hanging="283"/>
              <w:jc w:val="both"/>
              <w:textAlignment w:val="baseline"/>
              <w:rPr>
                <w:rFonts w:eastAsia="Times New Roman" w:cstheme="minorHAnsi"/>
                <w:sz w:val="22"/>
                <w:szCs w:val="22"/>
              </w:rPr>
            </w:pPr>
            <w:r w:rsidRPr="00CF3127">
              <w:rPr>
                <w:iCs/>
                <w:color w:val="000000"/>
                <w:sz w:val="22"/>
                <w:szCs w:val="22"/>
              </w:rPr>
              <w:t xml:space="preserve">The commitment helps create an information basis to objectively judge the work of public servants and public institutions and their results and also to demand accountability in the case of </w:t>
            </w:r>
            <w:r w:rsidR="000E0017" w:rsidRPr="00CF3127">
              <w:rPr>
                <w:iCs/>
                <w:color w:val="000000"/>
                <w:sz w:val="22"/>
                <w:szCs w:val="22"/>
              </w:rPr>
              <w:t>decisions</w:t>
            </w:r>
            <w:r w:rsidRPr="00CF3127">
              <w:rPr>
                <w:iCs/>
                <w:color w:val="000000"/>
                <w:sz w:val="22"/>
                <w:szCs w:val="22"/>
              </w:rPr>
              <w:t xml:space="preserve"> that are inappropriate, unreasonable or not useful for the society.</w:t>
            </w:r>
          </w:p>
        </w:tc>
      </w:tr>
      <w:tr w:rsidR="00A7795C" w:rsidRPr="00CF3127" w:rsidTr="00B46071">
        <w:trPr>
          <w:gridAfter w:val="3"/>
          <w:wAfter w:w="356" w:type="dxa"/>
          <w:trHeight w:val="1361"/>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Additional information </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73B" w:rsidRPr="00CF3127" w:rsidRDefault="00D9773B" w:rsidP="006A38F8">
            <w:pPr>
              <w:pStyle w:val="ListParagraph"/>
              <w:numPr>
                <w:ilvl w:val="0"/>
                <w:numId w:val="13"/>
              </w:numPr>
              <w:tabs>
                <w:tab w:val="left" w:pos="625"/>
              </w:tabs>
              <w:ind w:left="625" w:hanging="283"/>
              <w:jc w:val="both"/>
              <w:rPr>
                <w:rFonts w:cstheme="minorHAnsi"/>
                <w:iCs/>
                <w:color w:val="000000"/>
                <w:sz w:val="22"/>
                <w:szCs w:val="22"/>
              </w:rPr>
            </w:pPr>
            <w:r w:rsidRPr="00CF3127">
              <w:rPr>
                <w:iCs/>
                <w:color w:val="000000"/>
                <w:sz w:val="22"/>
                <w:szCs w:val="22"/>
              </w:rPr>
              <w:t>The measure is financed from the funds administered by the European Social Fund Agency and the Central Project Management Agency.</w:t>
            </w:r>
          </w:p>
          <w:p w:rsidR="003D75AD" w:rsidRPr="00CF3127" w:rsidRDefault="00D9773B" w:rsidP="006A38F8">
            <w:pPr>
              <w:pStyle w:val="ListParagraph"/>
              <w:numPr>
                <w:ilvl w:val="0"/>
                <w:numId w:val="13"/>
              </w:numPr>
              <w:tabs>
                <w:tab w:val="left" w:pos="625"/>
              </w:tabs>
              <w:ind w:left="200" w:firstLine="142"/>
              <w:jc w:val="both"/>
              <w:rPr>
                <w:rFonts w:cstheme="minorHAnsi"/>
                <w:iCs/>
                <w:color w:val="000000"/>
                <w:sz w:val="22"/>
                <w:szCs w:val="22"/>
              </w:rPr>
            </w:pPr>
            <w:r w:rsidRPr="00CF3127">
              <w:rPr>
                <w:iCs/>
                <w:color w:val="000000"/>
                <w:sz w:val="22"/>
                <w:szCs w:val="22"/>
              </w:rPr>
              <w:t xml:space="preserve">The projects are part of the Digital Agenda programme. </w:t>
            </w:r>
          </w:p>
          <w:p w:rsidR="00D9773B" w:rsidRPr="00CF3127" w:rsidRDefault="003D75AD" w:rsidP="006A38F8">
            <w:pPr>
              <w:pStyle w:val="ListParagraph"/>
              <w:tabs>
                <w:tab w:val="left" w:pos="625"/>
              </w:tabs>
              <w:ind w:left="342"/>
              <w:jc w:val="both"/>
              <w:rPr>
                <w:rFonts w:cstheme="minorHAnsi"/>
                <w:iCs/>
                <w:color w:val="000000"/>
                <w:sz w:val="22"/>
                <w:szCs w:val="22"/>
              </w:rPr>
            </w:pPr>
            <w:r w:rsidRPr="00CF3127">
              <w:rPr>
                <w:iCs/>
                <w:color w:val="000000"/>
                <w:sz w:val="22"/>
                <w:szCs w:val="22"/>
              </w:rPr>
              <w:t xml:space="preserve">      They also contribute to the sustainable development goals. </w:t>
            </w:r>
          </w:p>
          <w:p w:rsidR="00A7795C" w:rsidRPr="00CF3127" w:rsidRDefault="00D9773B" w:rsidP="006A38F8">
            <w:pPr>
              <w:pStyle w:val="ListParagraph"/>
              <w:numPr>
                <w:ilvl w:val="0"/>
                <w:numId w:val="12"/>
              </w:numPr>
              <w:tabs>
                <w:tab w:val="left" w:pos="625"/>
              </w:tabs>
              <w:ind w:left="200" w:firstLine="142"/>
              <w:jc w:val="both"/>
              <w:textAlignment w:val="baseline"/>
              <w:rPr>
                <w:rFonts w:cstheme="minorHAnsi"/>
                <w:iCs/>
                <w:color w:val="000000"/>
                <w:sz w:val="22"/>
                <w:szCs w:val="22"/>
              </w:rPr>
            </w:pPr>
            <w:r w:rsidRPr="00CF3127">
              <w:rPr>
                <w:iCs/>
                <w:color w:val="000000"/>
                <w:sz w:val="22"/>
                <w:szCs w:val="22"/>
              </w:rPr>
              <w:t>Both projects are in progress.</w:t>
            </w:r>
          </w:p>
        </w:tc>
      </w:tr>
      <w:tr w:rsidR="00A7795C" w:rsidRPr="00CF3127" w:rsidTr="00161804">
        <w:trPr>
          <w:gridAfter w:val="3"/>
          <w:wAfter w:w="356" w:type="dxa"/>
        </w:trPr>
        <w:tc>
          <w:tcPr>
            <w:tcW w:w="3224" w:type="dxa"/>
            <w:gridSpan w:val="3"/>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Completion stage</w:t>
            </w:r>
          </w:p>
        </w:tc>
        <w:tc>
          <w:tcPr>
            <w:tcW w:w="1302"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Not started</w:t>
            </w: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Started</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C6370A" w:rsidP="006A38F8">
            <w:pPr>
              <w:jc w:val="center"/>
              <w:rPr>
                <w:rFonts w:cstheme="minorHAnsi"/>
                <w:sz w:val="22"/>
                <w:szCs w:val="22"/>
              </w:rPr>
            </w:pPr>
            <w:r w:rsidRPr="00CF3127">
              <w:rPr>
                <w:color w:val="000000"/>
                <w:sz w:val="22"/>
                <w:szCs w:val="22"/>
                <w:shd w:val="clear" w:color="auto" w:fill="D9D9D9"/>
              </w:rPr>
              <w:t xml:space="preserve">Half-way through </w:t>
            </w:r>
          </w:p>
        </w:tc>
        <w:tc>
          <w:tcPr>
            <w:tcW w:w="297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Completed</w:t>
            </w:r>
          </w:p>
        </w:tc>
      </w:tr>
      <w:tr w:rsidR="00A7795C" w:rsidRPr="00CF3127" w:rsidTr="00161804">
        <w:trPr>
          <w:gridAfter w:val="3"/>
          <w:wAfter w:w="356" w:type="dxa"/>
        </w:trPr>
        <w:tc>
          <w:tcPr>
            <w:tcW w:w="3224" w:type="dxa"/>
            <w:gridSpan w:val="3"/>
            <w:vMerge/>
            <w:tcBorders>
              <w:top w:val="single" w:sz="8" w:space="0" w:color="000000"/>
              <w:left w:val="single" w:sz="8" w:space="0" w:color="000000"/>
              <w:bottom w:val="single" w:sz="8" w:space="0" w:color="000000"/>
              <w:right w:val="single" w:sz="8" w:space="0" w:color="000000"/>
            </w:tcBorders>
            <w:vAlign w:val="center"/>
            <w:hideMark/>
          </w:tcPr>
          <w:p w:rsidR="00A7795C" w:rsidRPr="00CF3127" w:rsidRDefault="00A7795C" w:rsidP="006A38F8">
            <w:pPr>
              <w:rPr>
                <w:rFonts w:cstheme="minorHAnsi"/>
                <w:sz w:val="22"/>
                <w:szCs w:val="22"/>
              </w:rPr>
            </w:pPr>
          </w:p>
        </w:tc>
        <w:tc>
          <w:tcPr>
            <w:tcW w:w="130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rPr>
                <w:rFonts w:cstheme="minorHAnsi"/>
                <w:sz w:val="22"/>
                <w:szCs w:val="22"/>
              </w:rPr>
            </w:pPr>
          </w:p>
        </w:tc>
        <w:tc>
          <w:tcPr>
            <w:tcW w:w="14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jc w:val="center"/>
              <w:rPr>
                <w:rFonts w:eastAsia="Times New Roman" w:cstheme="minorHAnsi"/>
                <w:i/>
                <w:sz w:val="22"/>
                <w:szCs w:val="22"/>
              </w:rPr>
            </w:pPr>
          </w:p>
        </w:tc>
        <w:tc>
          <w:tcPr>
            <w:tcW w:w="12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3938D1" w:rsidP="006A38F8">
            <w:pPr>
              <w:jc w:val="center"/>
              <w:rPr>
                <w:rFonts w:eastAsia="Times New Roman" w:cstheme="minorHAnsi"/>
                <w:sz w:val="22"/>
                <w:szCs w:val="22"/>
              </w:rPr>
            </w:pPr>
            <w:r w:rsidRPr="00CF3127">
              <w:rPr>
                <w:sz w:val="22"/>
                <w:szCs w:val="22"/>
              </w:rPr>
              <w:t>X</w:t>
            </w:r>
          </w:p>
        </w:tc>
        <w:tc>
          <w:tcPr>
            <w:tcW w:w="29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rPr>
                <w:rFonts w:eastAsia="Times New Roman" w:cstheme="minorHAnsi"/>
                <w:sz w:val="22"/>
                <w:szCs w:val="22"/>
              </w:rPr>
            </w:pPr>
          </w:p>
        </w:tc>
      </w:tr>
      <w:tr w:rsidR="00A7795C" w:rsidRPr="00CF3127" w:rsidTr="00B46071">
        <w:trPr>
          <w:gridAfter w:val="3"/>
          <w:wAfter w:w="356" w:type="dxa"/>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Description of concrete results</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5FD0" w:rsidRPr="00CF3127" w:rsidRDefault="00975FD0" w:rsidP="006A38F8">
            <w:pPr>
              <w:jc w:val="both"/>
              <w:rPr>
                <w:rFonts w:eastAsia="Times New Roman" w:cstheme="minorHAnsi"/>
                <w:sz w:val="22"/>
                <w:szCs w:val="22"/>
              </w:rPr>
            </w:pPr>
            <w:r w:rsidRPr="00CF3127">
              <w:rPr>
                <w:sz w:val="22"/>
                <w:szCs w:val="22"/>
              </w:rPr>
              <w:t>The following draft methodological legislation has been submitted to competent authorities for agreement/approval:</w:t>
            </w:r>
          </w:p>
          <w:p w:rsidR="00975FD0" w:rsidRPr="00CF3127" w:rsidRDefault="00975FD0" w:rsidP="006A38F8">
            <w:pPr>
              <w:pStyle w:val="ListParagraph"/>
              <w:numPr>
                <w:ilvl w:val="0"/>
                <w:numId w:val="12"/>
              </w:numPr>
              <w:jc w:val="both"/>
              <w:rPr>
                <w:rFonts w:eastAsia="Times New Roman" w:cstheme="minorHAnsi"/>
                <w:sz w:val="22"/>
                <w:szCs w:val="22"/>
              </w:rPr>
            </w:pPr>
            <w:r w:rsidRPr="00CF3127">
              <w:rPr>
                <w:sz w:val="22"/>
                <w:szCs w:val="22"/>
              </w:rPr>
              <w:t xml:space="preserve">Draft order of the Minister for Economy and Innovation regarding recommendations for the opening of public sector data and the Recommendations for the opening of public sector data;  </w:t>
            </w:r>
          </w:p>
          <w:p w:rsidR="00975FD0" w:rsidRPr="00CF3127" w:rsidRDefault="007A6EDF" w:rsidP="006A38F8">
            <w:pPr>
              <w:pStyle w:val="ListParagraph"/>
              <w:numPr>
                <w:ilvl w:val="0"/>
                <w:numId w:val="12"/>
              </w:numPr>
              <w:jc w:val="both"/>
              <w:rPr>
                <w:rFonts w:eastAsia="Times New Roman" w:cstheme="minorHAnsi"/>
                <w:sz w:val="22"/>
                <w:szCs w:val="22"/>
              </w:rPr>
            </w:pPr>
            <w:r w:rsidRPr="00CF3127">
              <w:rPr>
                <w:sz w:val="22"/>
                <w:szCs w:val="22"/>
              </w:rPr>
              <w:t xml:space="preserve">Draft order of the ISDC Director regarding the approval of the methodological descriptions of the open data of the state information resources, and annexes thereof: </w:t>
            </w:r>
          </w:p>
          <w:p w:rsidR="00975FD0" w:rsidRPr="00CF3127" w:rsidRDefault="00975FD0" w:rsidP="006A38F8">
            <w:pPr>
              <w:pStyle w:val="ListParagraph"/>
              <w:numPr>
                <w:ilvl w:val="0"/>
                <w:numId w:val="12"/>
              </w:numPr>
              <w:ind w:left="1200" w:hanging="425"/>
              <w:jc w:val="both"/>
              <w:rPr>
                <w:rFonts w:eastAsia="Times New Roman" w:cstheme="minorHAnsi"/>
                <w:sz w:val="22"/>
                <w:szCs w:val="22"/>
              </w:rPr>
            </w:pPr>
            <w:r w:rsidRPr="00CF3127">
              <w:rPr>
                <w:sz w:val="22"/>
                <w:szCs w:val="22"/>
              </w:rPr>
              <w:t xml:space="preserve">Description of the application of the classes and properties of the metadata of open data sets; </w:t>
            </w:r>
          </w:p>
          <w:p w:rsidR="00975FD0" w:rsidRPr="00CF3127" w:rsidRDefault="00975FD0" w:rsidP="006A38F8">
            <w:pPr>
              <w:pStyle w:val="ListParagraph"/>
              <w:numPr>
                <w:ilvl w:val="0"/>
                <w:numId w:val="12"/>
              </w:numPr>
              <w:ind w:left="1200" w:hanging="425"/>
              <w:jc w:val="both"/>
              <w:rPr>
                <w:rFonts w:eastAsia="Times New Roman" w:cstheme="minorHAnsi"/>
                <w:sz w:val="22"/>
                <w:szCs w:val="22"/>
              </w:rPr>
            </w:pPr>
            <w:r w:rsidRPr="00CF3127">
              <w:rPr>
                <w:sz w:val="22"/>
                <w:szCs w:val="22"/>
              </w:rPr>
              <w:t>Description of recommended formats for publishing open data and metadata;</w:t>
            </w:r>
          </w:p>
          <w:p w:rsidR="00975FD0" w:rsidRPr="00CF3127" w:rsidRDefault="00975FD0" w:rsidP="006A38F8">
            <w:pPr>
              <w:pStyle w:val="ListParagraph"/>
              <w:numPr>
                <w:ilvl w:val="0"/>
                <w:numId w:val="12"/>
              </w:numPr>
              <w:ind w:left="1200" w:hanging="425"/>
              <w:jc w:val="both"/>
              <w:rPr>
                <w:rFonts w:eastAsia="Times New Roman" w:cstheme="minorHAnsi"/>
                <w:sz w:val="22"/>
                <w:szCs w:val="22"/>
              </w:rPr>
            </w:pPr>
            <w:r w:rsidRPr="00CF3127">
              <w:rPr>
                <w:sz w:val="22"/>
                <w:szCs w:val="22"/>
              </w:rPr>
              <w:t xml:space="preserve">Description of dataset inventory, prioritisation, and of the assessment of the needs of open data users. </w:t>
            </w:r>
          </w:p>
          <w:p w:rsidR="00975FD0" w:rsidRPr="00CF3127" w:rsidRDefault="00975FD0" w:rsidP="006A38F8">
            <w:pPr>
              <w:tabs>
                <w:tab w:val="left" w:pos="350"/>
              </w:tabs>
              <w:jc w:val="both"/>
              <w:rPr>
                <w:rFonts w:eastAsia="Times New Roman" w:cstheme="minorHAnsi"/>
                <w:sz w:val="22"/>
                <w:szCs w:val="22"/>
              </w:rPr>
            </w:pPr>
            <w:r w:rsidRPr="00CF3127">
              <w:rPr>
                <w:sz w:val="22"/>
                <w:szCs w:val="22"/>
              </w:rPr>
              <w:t xml:space="preserve">Draft methodological documents, as approved by order of ISDC Director, have been drawn up and submitted for agreement: </w:t>
            </w:r>
          </w:p>
          <w:p w:rsidR="00975FD0" w:rsidRPr="00CF3127" w:rsidRDefault="00975FD0" w:rsidP="006A38F8">
            <w:pPr>
              <w:pStyle w:val="ListParagraph"/>
              <w:numPr>
                <w:ilvl w:val="0"/>
                <w:numId w:val="12"/>
              </w:numPr>
              <w:jc w:val="both"/>
              <w:rPr>
                <w:rFonts w:eastAsia="Times New Roman" w:cstheme="minorHAnsi"/>
                <w:sz w:val="22"/>
                <w:szCs w:val="22"/>
              </w:rPr>
            </w:pPr>
            <w:r w:rsidRPr="00CF3127">
              <w:rPr>
                <w:sz w:val="22"/>
                <w:szCs w:val="22"/>
              </w:rPr>
              <w:t>Open data progress assessment methodology;</w:t>
            </w:r>
          </w:p>
          <w:p w:rsidR="00975FD0" w:rsidRPr="00CF3127" w:rsidRDefault="00975FD0" w:rsidP="006A38F8">
            <w:pPr>
              <w:pStyle w:val="ListParagraph"/>
              <w:numPr>
                <w:ilvl w:val="0"/>
                <w:numId w:val="12"/>
              </w:numPr>
              <w:jc w:val="both"/>
              <w:rPr>
                <w:rFonts w:eastAsia="Times New Roman" w:cstheme="minorHAnsi"/>
                <w:sz w:val="22"/>
                <w:szCs w:val="22"/>
              </w:rPr>
            </w:pPr>
            <w:r w:rsidRPr="00CF3127">
              <w:rPr>
                <w:sz w:val="22"/>
                <w:szCs w:val="22"/>
              </w:rPr>
              <w:t>Open data</w:t>
            </w:r>
            <w:r w:rsidR="000E0017" w:rsidRPr="00CF3127">
              <w:rPr>
                <w:sz w:val="22"/>
                <w:szCs w:val="22"/>
              </w:rPr>
              <w:t xml:space="preserve"> impact assessment methodology.</w:t>
            </w:r>
          </w:p>
          <w:p w:rsidR="00975FD0" w:rsidRPr="00CF3127" w:rsidRDefault="00975FD0" w:rsidP="006A38F8">
            <w:pPr>
              <w:jc w:val="both"/>
              <w:rPr>
                <w:rFonts w:eastAsia="Times New Roman" w:cstheme="minorHAnsi"/>
                <w:sz w:val="22"/>
                <w:szCs w:val="22"/>
              </w:rPr>
            </w:pPr>
            <w:r w:rsidRPr="00CF3127">
              <w:rPr>
                <w:sz w:val="22"/>
                <w:szCs w:val="22"/>
              </w:rPr>
              <w:t>Second iteration of the creation of an Open Data Portal (Document Dataset Portal) has been completed.</w:t>
            </w:r>
          </w:p>
          <w:p w:rsidR="00C62B14" w:rsidRPr="00CF3127" w:rsidRDefault="00975FD0" w:rsidP="001B56F5">
            <w:pPr>
              <w:jc w:val="both"/>
              <w:rPr>
                <w:rFonts w:cstheme="minorHAnsi"/>
                <w:sz w:val="22"/>
                <w:szCs w:val="22"/>
              </w:rPr>
            </w:pPr>
            <w:r w:rsidRPr="00CF3127">
              <w:rPr>
                <w:sz w:val="22"/>
                <w:szCs w:val="22"/>
              </w:rPr>
              <w:t xml:space="preserve">The metadata of data sets of the partners (State Labour Inspectorate, Centre of Information Technologies in Education, National Paying Agency, Business Information Centre and Employment Service) have been uploaded to the Document Dataset Portal, and some datasets have been prepared to be opened during the first </w:t>
            </w:r>
            <w:r w:rsidR="00CE2C8F" w:rsidRPr="00CF3127">
              <w:rPr>
                <w:sz w:val="22"/>
                <w:szCs w:val="22"/>
              </w:rPr>
              <w:t>data-opening</w:t>
            </w:r>
            <w:r w:rsidRPr="00CF3127">
              <w:rPr>
                <w:sz w:val="22"/>
                <w:szCs w:val="22"/>
              </w:rPr>
              <w:t xml:space="preserve"> phase. </w:t>
            </w:r>
          </w:p>
        </w:tc>
      </w:tr>
      <w:tr w:rsidR="00A7795C" w:rsidRPr="00CF3127" w:rsidTr="00B46071">
        <w:trPr>
          <w:gridAfter w:val="3"/>
          <w:wAfter w:w="356" w:type="dxa"/>
          <w:trHeight w:val="966"/>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Next steps</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61AB" w:rsidRPr="00CF3127" w:rsidRDefault="002661AB" w:rsidP="00161804">
            <w:pPr>
              <w:pStyle w:val="ListParagraph"/>
              <w:numPr>
                <w:ilvl w:val="0"/>
                <w:numId w:val="15"/>
              </w:numPr>
              <w:jc w:val="both"/>
              <w:textAlignment w:val="baseline"/>
              <w:rPr>
                <w:rFonts w:eastAsia="Times New Roman" w:cstheme="minorHAnsi"/>
                <w:sz w:val="22"/>
                <w:szCs w:val="22"/>
              </w:rPr>
            </w:pPr>
            <w:r w:rsidRPr="00CF3127">
              <w:rPr>
                <w:sz w:val="22"/>
                <w:szCs w:val="22"/>
              </w:rPr>
              <w:t>Finalisation and approval of methodological legislation;</w:t>
            </w:r>
          </w:p>
          <w:p w:rsidR="002661AB" w:rsidRPr="00CF3127" w:rsidRDefault="007E5E85" w:rsidP="00161804">
            <w:pPr>
              <w:pStyle w:val="ListParagraph"/>
              <w:numPr>
                <w:ilvl w:val="0"/>
                <w:numId w:val="15"/>
              </w:numPr>
              <w:jc w:val="both"/>
              <w:textAlignment w:val="baseline"/>
              <w:rPr>
                <w:rFonts w:eastAsia="Times New Roman" w:cstheme="minorHAnsi"/>
                <w:sz w:val="22"/>
                <w:szCs w:val="22"/>
              </w:rPr>
            </w:pPr>
            <w:r w:rsidRPr="00CF3127">
              <w:rPr>
                <w:sz w:val="22"/>
                <w:szCs w:val="22"/>
              </w:rPr>
              <w:t>implementation of Portal’s third and fourth iterations;</w:t>
            </w:r>
          </w:p>
          <w:p w:rsidR="00A7795C" w:rsidRPr="00CF3127" w:rsidRDefault="007E5E85" w:rsidP="00161804">
            <w:pPr>
              <w:pStyle w:val="ListParagraph"/>
              <w:numPr>
                <w:ilvl w:val="0"/>
                <w:numId w:val="15"/>
              </w:numPr>
              <w:jc w:val="both"/>
              <w:textAlignment w:val="baseline"/>
              <w:rPr>
                <w:rFonts w:eastAsia="Times New Roman" w:cstheme="minorHAnsi"/>
                <w:color w:val="000000"/>
                <w:sz w:val="22"/>
                <w:szCs w:val="22"/>
              </w:rPr>
            </w:pPr>
            <w:r w:rsidRPr="00CF3127">
              <w:rPr>
                <w:sz w:val="22"/>
                <w:szCs w:val="22"/>
              </w:rPr>
              <w:t>development and actual implementation of the legal framework for an organisational structure for the opening of public sector data.</w:t>
            </w:r>
          </w:p>
        </w:tc>
      </w:tr>
      <w:tr w:rsidR="00A7795C"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Milestone status</w:t>
            </w: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Start date</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End date</w:t>
            </w:r>
          </w:p>
        </w:tc>
        <w:tc>
          <w:tcPr>
            <w:tcW w:w="297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rPr>
              <w:t>Completion stage</w:t>
            </w:r>
          </w:p>
        </w:tc>
      </w:tr>
      <w:tr w:rsidR="00CE0714"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714" w:rsidRPr="00CF3127" w:rsidRDefault="00CE0714" w:rsidP="00161804">
            <w:pPr>
              <w:jc w:val="both"/>
              <w:rPr>
                <w:rFonts w:eastAsia="Times New Roman" w:cstheme="minorHAnsi"/>
                <w:sz w:val="22"/>
                <w:szCs w:val="22"/>
              </w:rPr>
            </w:pPr>
            <w:r w:rsidRPr="00CF3127">
              <w:rPr>
                <w:sz w:val="22"/>
                <w:szCs w:val="22"/>
              </w:rPr>
              <w:t>Preparation of draft methodological documents for the formation of open data:</w:t>
            </w:r>
          </w:p>
          <w:p w:rsidR="00CE0714" w:rsidRPr="00CF3127" w:rsidRDefault="00CE0714" w:rsidP="006A38F8">
            <w:pPr>
              <w:pStyle w:val="ListParagraph"/>
              <w:numPr>
                <w:ilvl w:val="0"/>
                <w:numId w:val="16"/>
              </w:numPr>
              <w:rPr>
                <w:rFonts w:eastAsia="Times New Roman" w:cstheme="minorHAnsi"/>
                <w:sz w:val="22"/>
                <w:szCs w:val="22"/>
              </w:rPr>
            </w:pPr>
            <w:r w:rsidRPr="00CF3127">
              <w:rPr>
                <w:sz w:val="22"/>
                <w:szCs w:val="22"/>
              </w:rPr>
              <w:t xml:space="preserve">Draft model for the opening of public sector data operations; </w:t>
            </w:r>
          </w:p>
          <w:p w:rsidR="00CE0714" w:rsidRPr="00CF3127" w:rsidRDefault="00CE0714" w:rsidP="006A38F8">
            <w:pPr>
              <w:pStyle w:val="ListParagraph"/>
              <w:numPr>
                <w:ilvl w:val="0"/>
                <w:numId w:val="16"/>
              </w:numPr>
              <w:rPr>
                <w:rFonts w:eastAsia="Times New Roman" w:cstheme="minorHAnsi"/>
                <w:sz w:val="22"/>
                <w:szCs w:val="22"/>
              </w:rPr>
            </w:pPr>
            <w:r w:rsidRPr="00CF3127">
              <w:rPr>
                <w:sz w:val="22"/>
                <w:szCs w:val="22"/>
              </w:rPr>
              <w:t>Draft recommendations for the opening of public sector data;</w:t>
            </w:r>
          </w:p>
          <w:p w:rsidR="00CE0714" w:rsidRPr="00CF3127" w:rsidRDefault="00CE0714" w:rsidP="006A38F8">
            <w:pPr>
              <w:pStyle w:val="paragraph"/>
              <w:numPr>
                <w:ilvl w:val="0"/>
                <w:numId w:val="16"/>
              </w:numPr>
              <w:jc w:val="both"/>
              <w:textAlignment w:val="baseline"/>
              <w:rPr>
                <w:rFonts w:asciiTheme="minorHAnsi" w:hAnsiTheme="minorHAnsi" w:cstheme="minorHAnsi"/>
                <w:sz w:val="22"/>
                <w:szCs w:val="22"/>
              </w:rPr>
            </w:pPr>
            <w:r w:rsidRPr="00CF3127">
              <w:rPr>
                <w:rFonts w:asciiTheme="minorHAnsi" w:hAnsiTheme="minorHAnsi"/>
                <w:sz w:val="22"/>
                <w:szCs w:val="22"/>
              </w:rPr>
              <w:t>Draft description of the application of the classes and properties of the metadata of open data sets;</w:t>
            </w:r>
          </w:p>
          <w:p w:rsidR="00CE0714" w:rsidRPr="00CF3127" w:rsidRDefault="00CE0714" w:rsidP="006A38F8">
            <w:pPr>
              <w:pStyle w:val="paragraph"/>
              <w:numPr>
                <w:ilvl w:val="0"/>
                <w:numId w:val="16"/>
              </w:numPr>
              <w:jc w:val="both"/>
              <w:textAlignment w:val="baseline"/>
              <w:rPr>
                <w:rFonts w:asciiTheme="minorHAnsi" w:hAnsiTheme="minorHAnsi" w:cstheme="minorHAnsi"/>
                <w:sz w:val="22"/>
                <w:szCs w:val="22"/>
              </w:rPr>
            </w:pPr>
            <w:r w:rsidRPr="00CF3127">
              <w:rPr>
                <w:rFonts w:asciiTheme="minorHAnsi" w:hAnsiTheme="minorHAnsi"/>
                <w:sz w:val="22"/>
                <w:szCs w:val="22"/>
              </w:rPr>
              <w:t>Description of recommended formats for the publication of open data and metadata; </w:t>
            </w:r>
          </w:p>
          <w:p w:rsidR="00CE0714" w:rsidRPr="00CF3127" w:rsidRDefault="00CE0714" w:rsidP="006A38F8">
            <w:pPr>
              <w:pStyle w:val="paragraph"/>
              <w:numPr>
                <w:ilvl w:val="0"/>
                <w:numId w:val="16"/>
              </w:numPr>
              <w:jc w:val="both"/>
              <w:textAlignment w:val="baseline"/>
              <w:rPr>
                <w:rFonts w:asciiTheme="minorHAnsi" w:hAnsiTheme="minorHAnsi" w:cstheme="minorHAnsi"/>
                <w:sz w:val="22"/>
                <w:szCs w:val="22"/>
              </w:rPr>
            </w:pPr>
            <w:r w:rsidRPr="00CF3127">
              <w:rPr>
                <w:rFonts w:asciiTheme="minorHAnsi" w:hAnsiTheme="minorHAnsi"/>
                <w:sz w:val="22"/>
                <w:szCs w:val="22"/>
              </w:rPr>
              <w:t>Draft description of dataset inventory, prioritisation, and of the assessment of the needs of the open data users;</w:t>
            </w:r>
          </w:p>
          <w:p w:rsidR="00CE0714" w:rsidRPr="00CF3127" w:rsidRDefault="00CE0714" w:rsidP="006A38F8">
            <w:pPr>
              <w:pStyle w:val="paragraph"/>
              <w:numPr>
                <w:ilvl w:val="0"/>
                <w:numId w:val="16"/>
              </w:numPr>
              <w:jc w:val="both"/>
              <w:textAlignment w:val="baseline"/>
              <w:rPr>
                <w:rFonts w:asciiTheme="minorHAnsi" w:hAnsiTheme="minorHAnsi" w:cstheme="minorHAnsi"/>
                <w:sz w:val="22"/>
                <w:szCs w:val="22"/>
              </w:rPr>
            </w:pPr>
            <w:r w:rsidRPr="00CF3127">
              <w:rPr>
                <w:rFonts w:asciiTheme="minorHAnsi" w:hAnsiTheme="minorHAnsi"/>
                <w:sz w:val="22"/>
                <w:szCs w:val="22"/>
              </w:rPr>
              <w:t>Draft open data progress assessment methodology;</w:t>
            </w:r>
          </w:p>
          <w:p w:rsidR="00CE0714" w:rsidRPr="00CF3127" w:rsidRDefault="00CE0714" w:rsidP="006A38F8">
            <w:pPr>
              <w:jc w:val="both"/>
              <w:rPr>
                <w:rFonts w:eastAsia="Times New Roman" w:cstheme="minorHAnsi"/>
                <w:sz w:val="22"/>
                <w:szCs w:val="22"/>
              </w:rPr>
            </w:pPr>
            <w:r w:rsidRPr="00CF3127">
              <w:rPr>
                <w:sz w:val="22"/>
                <w:szCs w:val="22"/>
              </w:rPr>
              <w:t>Draft open data impact assessment methodology;</w:t>
            </w:r>
          </w:p>
        </w:tc>
        <w:tc>
          <w:tcPr>
            <w:tcW w:w="14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714" w:rsidRPr="00CF3127" w:rsidRDefault="00CE0714" w:rsidP="006A38F8">
            <w:pPr>
              <w:rPr>
                <w:rFonts w:eastAsia="Times New Roman" w:cstheme="minorHAnsi"/>
                <w:sz w:val="22"/>
                <w:szCs w:val="22"/>
              </w:rPr>
            </w:pPr>
            <w:r w:rsidRPr="00CF3127">
              <w:rPr>
                <w:sz w:val="22"/>
                <w:szCs w:val="22"/>
              </w:rPr>
              <w:t xml:space="preserve">28-02-2018 </w:t>
            </w:r>
          </w:p>
        </w:tc>
        <w:tc>
          <w:tcPr>
            <w:tcW w:w="12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714" w:rsidRPr="00CF3127" w:rsidRDefault="00CE0714" w:rsidP="006A38F8">
            <w:pPr>
              <w:rPr>
                <w:rFonts w:eastAsia="Times New Roman" w:cstheme="minorHAnsi"/>
                <w:sz w:val="22"/>
                <w:szCs w:val="22"/>
              </w:rPr>
            </w:pPr>
            <w:r w:rsidRPr="00CF3127">
              <w:rPr>
                <w:sz w:val="22"/>
                <w:szCs w:val="22"/>
              </w:rPr>
              <w:t>30-04-2019</w:t>
            </w:r>
          </w:p>
        </w:tc>
        <w:tc>
          <w:tcPr>
            <w:tcW w:w="29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714" w:rsidRPr="00CF3127" w:rsidRDefault="00CE0714" w:rsidP="006A38F8">
            <w:pPr>
              <w:rPr>
                <w:rFonts w:eastAsia="Times New Roman" w:cstheme="minorHAnsi"/>
                <w:sz w:val="22"/>
                <w:szCs w:val="22"/>
              </w:rPr>
            </w:pPr>
            <w:r w:rsidRPr="00CF3127">
              <w:rPr>
                <w:sz w:val="22"/>
                <w:szCs w:val="22"/>
              </w:rPr>
              <w:t>Draft methodological documents prepared</w:t>
            </w:r>
          </w:p>
        </w:tc>
      </w:tr>
      <w:tr w:rsidR="00CE0714"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Preparation of legal environment for open data operations:</w:t>
            </w:r>
          </w:p>
          <w:p w:rsidR="00CE0714" w:rsidRPr="00CF3127" w:rsidRDefault="00CE0714" w:rsidP="006A38F8">
            <w:pPr>
              <w:pStyle w:val="ListParagraph"/>
              <w:numPr>
                <w:ilvl w:val="0"/>
                <w:numId w:val="16"/>
              </w:numPr>
              <w:rPr>
                <w:rFonts w:eastAsia="Times New Roman" w:cstheme="minorHAnsi"/>
                <w:sz w:val="22"/>
                <w:szCs w:val="22"/>
              </w:rPr>
            </w:pPr>
            <w:r w:rsidRPr="00CF3127">
              <w:rPr>
                <w:sz w:val="22"/>
                <w:szCs w:val="22"/>
              </w:rPr>
              <w:t>Draft Government resolution on the approval of the regulations for the Document Dataset Portal;</w:t>
            </w:r>
          </w:p>
          <w:p w:rsidR="00CE0714" w:rsidRPr="00CF3127" w:rsidRDefault="003F19FA" w:rsidP="006A38F8">
            <w:pPr>
              <w:pStyle w:val="ListParagraph"/>
              <w:numPr>
                <w:ilvl w:val="0"/>
                <w:numId w:val="16"/>
              </w:numPr>
              <w:rPr>
                <w:rFonts w:eastAsia="Times New Roman" w:cstheme="minorHAnsi"/>
                <w:sz w:val="22"/>
                <w:szCs w:val="22"/>
              </w:rPr>
            </w:pPr>
            <w:r w:rsidRPr="00CF3127">
              <w:rPr>
                <w:sz w:val="22"/>
                <w:szCs w:val="22"/>
              </w:rPr>
              <w:t>Draft order of the Minister for Economy and Innovation regarding recommendations for the opening of public sector data;</w:t>
            </w:r>
          </w:p>
          <w:p w:rsidR="00CE0714" w:rsidRPr="00CF3127" w:rsidRDefault="00295DA7" w:rsidP="006A38F8">
            <w:pPr>
              <w:jc w:val="both"/>
              <w:textAlignment w:val="baseline"/>
              <w:rPr>
                <w:rFonts w:eastAsia="Times New Roman" w:cstheme="minorHAnsi"/>
                <w:sz w:val="22"/>
                <w:szCs w:val="22"/>
              </w:rPr>
            </w:pPr>
            <w:r w:rsidRPr="00CF3127">
              <w:rPr>
                <w:sz w:val="22"/>
                <w:szCs w:val="22"/>
              </w:rPr>
              <w:t xml:space="preserve">Draft order(s) of the ISDC Director regarding the open data inventory, impact assessment, metadata generation, use of formats and progress in data opening and impact assessment. </w:t>
            </w:r>
          </w:p>
        </w:tc>
        <w:tc>
          <w:tcPr>
            <w:tcW w:w="14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30-03-2019</w:t>
            </w:r>
          </w:p>
        </w:tc>
        <w:tc>
          <w:tcPr>
            <w:tcW w:w="12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31-10-2019</w:t>
            </w:r>
          </w:p>
        </w:tc>
        <w:tc>
          <w:tcPr>
            <w:tcW w:w="29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0E0017" w:rsidP="006A38F8">
            <w:pPr>
              <w:rPr>
                <w:rFonts w:eastAsia="Times New Roman" w:cstheme="minorHAnsi"/>
                <w:sz w:val="22"/>
                <w:szCs w:val="22"/>
              </w:rPr>
            </w:pPr>
            <w:r w:rsidRPr="00CF3127">
              <w:rPr>
                <w:sz w:val="22"/>
                <w:szCs w:val="22"/>
              </w:rPr>
              <w:t>D</w:t>
            </w:r>
            <w:r w:rsidR="00CE0714" w:rsidRPr="00CF3127">
              <w:rPr>
                <w:sz w:val="22"/>
                <w:szCs w:val="22"/>
              </w:rPr>
              <w:t>raft legislation (its amendments)</w:t>
            </w:r>
            <w:r w:rsidRPr="00CF3127">
              <w:rPr>
                <w:sz w:val="22"/>
                <w:szCs w:val="22"/>
              </w:rPr>
              <w:t xml:space="preserve"> prepared</w:t>
            </w:r>
          </w:p>
        </w:tc>
      </w:tr>
      <w:tr w:rsidR="00CE0714"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Implementation of the organisational structure for open data operations:</w:t>
            </w:r>
          </w:p>
          <w:p w:rsidR="00CE0714" w:rsidRPr="00CF3127" w:rsidRDefault="00CE0714" w:rsidP="00161804">
            <w:pPr>
              <w:pStyle w:val="ListParagraph"/>
              <w:numPr>
                <w:ilvl w:val="0"/>
                <w:numId w:val="30"/>
              </w:numPr>
              <w:jc w:val="both"/>
              <w:rPr>
                <w:rFonts w:eastAsia="Times New Roman" w:cstheme="minorHAnsi"/>
                <w:sz w:val="22"/>
                <w:szCs w:val="22"/>
              </w:rPr>
            </w:pPr>
            <w:r w:rsidRPr="00CF3127">
              <w:rPr>
                <w:sz w:val="22"/>
                <w:szCs w:val="22"/>
              </w:rPr>
              <w:t>Draft legislative provisions regarding the implementation of the organisational structure of the public sector;</w:t>
            </w:r>
          </w:p>
          <w:p w:rsidR="00CE0714" w:rsidRPr="00CF3127" w:rsidRDefault="00CE0714" w:rsidP="006A38F8">
            <w:pPr>
              <w:jc w:val="both"/>
              <w:rPr>
                <w:rFonts w:eastAsia="Times New Roman" w:cstheme="minorHAnsi"/>
                <w:sz w:val="22"/>
                <w:szCs w:val="22"/>
              </w:rPr>
            </w:pPr>
            <w:r w:rsidRPr="00CF3127">
              <w:rPr>
                <w:sz w:val="22"/>
                <w:szCs w:val="22"/>
              </w:rPr>
              <w:t>Implementation of structural and institutional changes to ensure the implementation of the opening of the public sector data operations.</w:t>
            </w:r>
          </w:p>
        </w:tc>
        <w:tc>
          <w:tcPr>
            <w:tcW w:w="14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6A2494" w:rsidP="006A38F8">
            <w:pPr>
              <w:rPr>
                <w:rFonts w:eastAsia="Times New Roman" w:cstheme="minorHAnsi"/>
                <w:sz w:val="22"/>
                <w:szCs w:val="22"/>
              </w:rPr>
            </w:pPr>
            <w:r w:rsidRPr="00CF3127">
              <w:rPr>
                <w:sz w:val="22"/>
                <w:szCs w:val="22"/>
              </w:rPr>
              <w:t>30-06-2019</w:t>
            </w:r>
          </w:p>
        </w:tc>
        <w:tc>
          <w:tcPr>
            <w:tcW w:w="12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31-12-2019</w:t>
            </w:r>
          </w:p>
        </w:tc>
        <w:tc>
          <w:tcPr>
            <w:tcW w:w="29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Proposals are under preparation to amend the Law on Management of State Information Resources and the Law on the Right to Obtain Information from State and Municipal Institutions.</w:t>
            </w:r>
          </w:p>
        </w:tc>
      </w:tr>
      <w:tr w:rsidR="00CE0714"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jc w:val="both"/>
              <w:rPr>
                <w:rFonts w:eastAsia="Times New Roman" w:cstheme="minorHAnsi"/>
                <w:sz w:val="22"/>
                <w:szCs w:val="22"/>
              </w:rPr>
            </w:pPr>
            <w:r w:rsidRPr="00CF3127">
              <w:rPr>
                <w:sz w:val="22"/>
                <w:szCs w:val="22"/>
              </w:rPr>
              <w:t>Creation and introduction of technological tools required for the Open Data Portal and the formation and use of other open data</w:t>
            </w:r>
          </w:p>
        </w:tc>
        <w:tc>
          <w:tcPr>
            <w:tcW w:w="14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10-04-2019</w:t>
            </w:r>
          </w:p>
        </w:tc>
        <w:tc>
          <w:tcPr>
            <w:tcW w:w="12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30-04-2020</w:t>
            </w:r>
          </w:p>
        </w:tc>
        <w:tc>
          <w:tcPr>
            <w:tcW w:w="29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0714" w:rsidRPr="00CF3127" w:rsidRDefault="00CE0714" w:rsidP="006A38F8">
            <w:pPr>
              <w:rPr>
                <w:rFonts w:eastAsia="Times New Roman" w:cstheme="minorHAnsi"/>
                <w:sz w:val="22"/>
                <w:szCs w:val="22"/>
              </w:rPr>
            </w:pPr>
            <w:r w:rsidRPr="00CF3127">
              <w:rPr>
                <w:sz w:val="22"/>
                <w:szCs w:val="22"/>
              </w:rPr>
              <w:t>Project in progress</w:t>
            </w:r>
          </w:p>
        </w:tc>
      </w:tr>
      <w:tr w:rsidR="00A7795C" w:rsidRPr="00CF3127" w:rsidTr="00161804">
        <w:trPr>
          <w:gridAfter w:val="3"/>
          <w:wAfter w:w="356" w:type="dxa"/>
          <w:trHeight w:val="311"/>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Contact information </w:t>
            </w:r>
          </w:p>
        </w:tc>
      </w:tr>
      <w:tr w:rsidR="00A7795C" w:rsidRPr="00CF3127" w:rsidTr="00B46071">
        <w:trPr>
          <w:gridAfter w:val="3"/>
          <w:wAfter w:w="356" w:type="dxa"/>
          <w:trHeight w:val="420"/>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Lead implementing agency</w:t>
            </w:r>
          </w:p>
        </w:tc>
        <w:tc>
          <w:tcPr>
            <w:tcW w:w="6972" w:type="dxa"/>
            <w:gridSpan w:val="1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295DA7" w:rsidP="001B56F5">
            <w:pPr>
              <w:rPr>
                <w:rFonts w:cstheme="minorHAnsi"/>
                <w:sz w:val="22"/>
                <w:szCs w:val="22"/>
              </w:rPr>
            </w:pPr>
            <w:r w:rsidRPr="00CF3127">
              <w:rPr>
                <w:sz w:val="22"/>
                <w:szCs w:val="22"/>
              </w:rPr>
              <w:t xml:space="preserve">ISDC </w:t>
            </w:r>
          </w:p>
        </w:tc>
      </w:tr>
      <w:tr w:rsidR="00A7795C" w:rsidRPr="00CF3127" w:rsidTr="00161804">
        <w:trPr>
          <w:gridAfter w:val="3"/>
          <w:wAfter w:w="356" w:type="dxa"/>
          <w:trHeight w:val="203"/>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Persons in charge</w:t>
            </w:r>
          </w:p>
        </w:tc>
        <w:tc>
          <w:tcPr>
            <w:tcW w:w="6972" w:type="dxa"/>
            <w:gridSpan w:val="1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rPr>
                <w:rFonts w:cstheme="minorHAnsi"/>
                <w:sz w:val="22"/>
                <w:szCs w:val="22"/>
              </w:rPr>
            </w:pPr>
            <w:r w:rsidRPr="00CF3127">
              <w:rPr>
                <w:sz w:val="22"/>
                <w:szCs w:val="22"/>
              </w:rPr>
              <w:t>Julius Belickas</w:t>
            </w:r>
          </w:p>
        </w:tc>
      </w:tr>
      <w:tr w:rsidR="00A7795C" w:rsidRPr="00CF3127" w:rsidTr="00161804">
        <w:trPr>
          <w:gridAfter w:val="3"/>
          <w:wAfter w:w="356" w:type="dxa"/>
          <w:trHeight w:val="281"/>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Title, department</w:t>
            </w:r>
          </w:p>
        </w:tc>
        <w:tc>
          <w:tcPr>
            <w:tcW w:w="6972" w:type="dxa"/>
            <w:gridSpan w:val="1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B64BC9" w:rsidP="006A38F8">
            <w:pPr>
              <w:rPr>
                <w:rFonts w:cstheme="minorHAnsi"/>
                <w:sz w:val="22"/>
                <w:szCs w:val="22"/>
              </w:rPr>
            </w:pPr>
            <w:r w:rsidRPr="00CF3127">
              <w:rPr>
                <w:sz w:val="22"/>
                <w:szCs w:val="22"/>
              </w:rPr>
              <w:t>Project Promoter, Adviser, Information Resources Division</w:t>
            </w:r>
          </w:p>
        </w:tc>
      </w:tr>
      <w:tr w:rsidR="00A7795C" w:rsidRPr="00CF3127" w:rsidTr="00B46071">
        <w:trPr>
          <w:gridAfter w:val="3"/>
          <w:wAfter w:w="356" w:type="dxa"/>
          <w:trHeight w:val="420"/>
        </w:trPr>
        <w:tc>
          <w:tcPr>
            <w:tcW w:w="322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email and phone</w:t>
            </w:r>
          </w:p>
        </w:tc>
        <w:tc>
          <w:tcPr>
            <w:tcW w:w="6972" w:type="dxa"/>
            <w:gridSpan w:val="1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087D7C" w:rsidP="006A38F8">
            <w:pPr>
              <w:rPr>
                <w:rFonts w:cstheme="minorHAnsi"/>
                <w:sz w:val="22"/>
                <w:szCs w:val="22"/>
              </w:rPr>
            </w:pPr>
            <w:hyperlink r:id="rId9" w:history="1">
              <w:r w:rsidR="00095403" w:rsidRPr="00CF3127">
                <w:rPr>
                  <w:rStyle w:val="Hyperlink"/>
                  <w:sz w:val="22"/>
                  <w:szCs w:val="22"/>
                </w:rPr>
                <w:t>julius.belickas@ivpk.lt</w:t>
              </w:r>
            </w:hyperlink>
            <w:r w:rsidR="00095403" w:rsidRPr="00CF3127">
              <w:rPr>
                <w:sz w:val="22"/>
                <w:szCs w:val="22"/>
              </w:rPr>
              <w:t xml:space="preserve">, </w:t>
            </w:r>
            <w:r w:rsidR="00095403" w:rsidRPr="00CF3127">
              <w:rPr>
                <w:rStyle w:val="phonetxt"/>
                <w:sz w:val="22"/>
                <w:szCs w:val="22"/>
              </w:rPr>
              <w:t>+370 618 72 994</w:t>
            </w:r>
          </w:p>
        </w:tc>
      </w:tr>
      <w:tr w:rsidR="007D1BD6" w:rsidRPr="00CF3127" w:rsidTr="00161804">
        <w:trPr>
          <w:gridAfter w:val="3"/>
          <w:wAfter w:w="356" w:type="dxa"/>
          <w:trHeight w:val="300"/>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D1BD6" w:rsidRPr="00CF3127" w:rsidRDefault="007D1BD6" w:rsidP="006A38F8">
            <w:pPr>
              <w:jc w:val="center"/>
              <w:rPr>
                <w:rFonts w:cstheme="minorHAnsi"/>
                <w:sz w:val="22"/>
                <w:szCs w:val="22"/>
              </w:rPr>
            </w:pPr>
            <w:r w:rsidRPr="00CF3127">
              <w:rPr>
                <w:color w:val="000000"/>
                <w:sz w:val="22"/>
                <w:szCs w:val="22"/>
                <w:shd w:val="clear" w:color="auto" w:fill="D9D9D9"/>
              </w:rPr>
              <w:t>Other actors involved</w:t>
            </w:r>
          </w:p>
        </w:tc>
      </w:tr>
      <w:tr w:rsidR="007D1BD6" w:rsidRPr="00CF3127" w:rsidTr="00B46071">
        <w:trPr>
          <w:gridAfter w:val="3"/>
          <w:wAfter w:w="356" w:type="dxa"/>
          <w:trHeight w:val="525"/>
        </w:trPr>
        <w:tc>
          <w:tcPr>
            <w:tcW w:w="3224" w:type="dxa"/>
            <w:gridSpan w:val="3"/>
            <w:tcBorders>
              <w:top w:val="single" w:sz="8" w:space="0" w:color="000000"/>
              <w:left w:val="single" w:sz="8" w:space="0" w:color="000000"/>
              <w:right w:val="single" w:sz="8" w:space="0" w:color="000000"/>
            </w:tcBorders>
            <w:shd w:val="clear" w:color="auto" w:fill="D9D9D9"/>
            <w:tcMar>
              <w:top w:w="100" w:type="dxa"/>
              <w:left w:w="100" w:type="dxa"/>
              <w:bottom w:w="100" w:type="dxa"/>
              <w:right w:w="100" w:type="dxa"/>
            </w:tcMar>
            <w:hideMark/>
          </w:tcPr>
          <w:p w:rsidR="007D1BD6" w:rsidRPr="00CF3127" w:rsidRDefault="007D1BD6" w:rsidP="006A38F8">
            <w:pPr>
              <w:jc w:val="center"/>
              <w:rPr>
                <w:rFonts w:cstheme="minorHAnsi"/>
                <w:sz w:val="22"/>
                <w:szCs w:val="22"/>
              </w:rPr>
            </w:pPr>
            <w:r w:rsidRPr="00CF3127">
              <w:rPr>
                <w:color w:val="000000"/>
                <w:sz w:val="22"/>
                <w:szCs w:val="22"/>
                <w:shd w:val="clear" w:color="auto" w:fill="D9D9D9"/>
              </w:rPr>
              <w:t xml:space="preserve">Ministries, departments/agencies </w:t>
            </w:r>
          </w:p>
        </w:tc>
        <w:tc>
          <w:tcPr>
            <w:tcW w:w="697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65F7" w:rsidRPr="00CF3127" w:rsidRDefault="00295DA7" w:rsidP="00161804">
            <w:pPr>
              <w:jc w:val="both"/>
              <w:rPr>
                <w:rFonts w:cstheme="minorHAnsi"/>
                <w:sz w:val="22"/>
                <w:szCs w:val="22"/>
              </w:rPr>
            </w:pPr>
            <w:r w:rsidRPr="00CF3127">
              <w:rPr>
                <w:sz w:val="22"/>
                <w:szCs w:val="22"/>
              </w:rPr>
              <w:t xml:space="preserve">Ministry of Economy and Innovation: </w:t>
            </w:r>
          </w:p>
          <w:p w:rsidR="003F65F7" w:rsidRPr="00CF3127" w:rsidRDefault="003F65F7" w:rsidP="00161804">
            <w:pPr>
              <w:pStyle w:val="ListParagraph"/>
              <w:numPr>
                <w:ilvl w:val="0"/>
                <w:numId w:val="14"/>
              </w:numPr>
              <w:jc w:val="both"/>
              <w:rPr>
                <w:rFonts w:cstheme="minorHAnsi"/>
                <w:sz w:val="22"/>
                <w:szCs w:val="22"/>
              </w:rPr>
            </w:pPr>
            <w:r w:rsidRPr="00CF3127">
              <w:rPr>
                <w:sz w:val="22"/>
                <w:szCs w:val="22"/>
              </w:rPr>
              <w:t>Elijus Čivilis, Vice-Minister;</w:t>
            </w:r>
          </w:p>
          <w:p w:rsidR="003F65F7" w:rsidRPr="00CF3127" w:rsidRDefault="003F65F7" w:rsidP="00161804">
            <w:pPr>
              <w:pStyle w:val="ListParagraph"/>
              <w:numPr>
                <w:ilvl w:val="0"/>
                <w:numId w:val="14"/>
              </w:numPr>
              <w:jc w:val="both"/>
              <w:rPr>
                <w:rFonts w:cstheme="minorHAnsi"/>
                <w:sz w:val="22"/>
                <w:szCs w:val="22"/>
              </w:rPr>
            </w:pPr>
            <w:r w:rsidRPr="00CF3127">
              <w:rPr>
                <w:sz w:val="22"/>
                <w:szCs w:val="22"/>
              </w:rPr>
              <w:t>Arūnas Cijūnaitis,</w:t>
            </w:r>
            <w:r w:rsidR="00CE2C8F" w:rsidRPr="00CF3127">
              <w:rPr>
                <w:sz w:val="22"/>
                <w:szCs w:val="22"/>
              </w:rPr>
              <w:t xml:space="preserve"> </w:t>
            </w:r>
            <w:r w:rsidRPr="00CF3127">
              <w:rPr>
                <w:sz w:val="22"/>
                <w:szCs w:val="22"/>
              </w:rPr>
              <w:t>Director of the Digital Agenda Department</w:t>
            </w:r>
          </w:p>
          <w:p w:rsidR="003F65F7" w:rsidRPr="00CF3127" w:rsidRDefault="00295DA7" w:rsidP="00161804">
            <w:pPr>
              <w:jc w:val="both"/>
              <w:rPr>
                <w:rFonts w:cstheme="minorHAnsi"/>
                <w:sz w:val="22"/>
                <w:szCs w:val="22"/>
              </w:rPr>
            </w:pPr>
            <w:r w:rsidRPr="00CF3127">
              <w:rPr>
                <w:sz w:val="22"/>
                <w:szCs w:val="22"/>
              </w:rPr>
              <w:t xml:space="preserve">Ministry of the Interior: </w:t>
            </w:r>
          </w:p>
          <w:p w:rsidR="003F65F7" w:rsidRPr="00CF3127" w:rsidRDefault="003F65F7" w:rsidP="00161804">
            <w:pPr>
              <w:pStyle w:val="ListParagraph"/>
              <w:numPr>
                <w:ilvl w:val="0"/>
                <w:numId w:val="14"/>
              </w:numPr>
              <w:jc w:val="both"/>
              <w:rPr>
                <w:rFonts w:cstheme="minorHAnsi"/>
                <w:sz w:val="22"/>
                <w:szCs w:val="22"/>
              </w:rPr>
            </w:pPr>
            <w:r w:rsidRPr="00CF3127">
              <w:rPr>
                <w:sz w:val="22"/>
                <w:szCs w:val="22"/>
              </w:rPr>
              <w:t>Laimonas Gailius, Head of European Social Fund Division</w:t>
            </w:r>
          </w:p>
          <w:p w:rsidR="003F65F7" w:rsidRPr="00CF3127" w:rsidRDefault="00295DA7" w:rsidP="00161804">
            <w:pPr>
              <w:jc w:val="both"/>
              <w:rPr>
                <w:rFonts w:cstheme="minorHAnsi"/>
                <w:sz w:val="22"/>
                <w:szCs w:val="22"/>
              </w:rPr>
            </w:pPr>
            <w:r w:rsidRPr="00CF3127">
              <w:rPr>
                <w:sz w:val="22"/>
                <w:szCs w:val="22"/>
              </w:rPr>
              <w:t>Ministry of Transport and Communications:</w:t>
            </w:r>
          </w:p>
          <w:p w:rsidR="007D1BD6" w:rsidRPr="00CF3127" w:rsidRDefault="003F65F7" w:rsidP="00161804">
            <w:pPr>
              <w:pStyle w:val="ListParagraph"/>
              <w:numPr>
                <w:ilvl w:val="0"/>
                <w:numId w:val="14"/>
              </w:numPr>
              <w:jc w:val="both"/>
              <w:rPr>
                <w:rFonts w:cstheme="minorHAnsi"/>
                <w:sz w:val="22"/>
                <w:szCs w:val="22"/>
              </w:rPr>
            </w:pPr>
            <w:r w:rsidRPr="00CF3127">
              <w:rPr>
                <w:sz w:val="22"/>
                <w:szCs w:val="22"/>
              </w:rPr>
              <w:t>Eugenijus Ramaškevičius, Chief Specialist, Strategic Planning Division</w:t>
            </w:r>
          </w:p>
        </w:tc>
      </w:tr>
      <w:tr w:rsidR="007D1BD6" w:rsidRPr="00CF3127" w:rsidTr="00B46071">
        <w:trPr>
          <w:gridAfter w:val="3"/>
          <w:wAfter w:w="356" w:type="dxa"/>
          <w:trHeight w:val="875"/>
        </w:trPr>
        <w:tc>
          <w:tcPr>
            <w:tcW w:w="3224" w:type="dxa"/>
            <w:gridSpan w:val="3"/>
            <w:tcBorders>
              <w:top w:val="single" w:sz="8" w:space="0" w:color="000000"/>
              <w:left w:val="single" w:sz="8" w:space="0" w:color="000000"/>
              <w:bottom w:val="single" w:sz="4" w:space="0" w:color="auto"/>
              <w:right w:val="single" w:sz="8" w:space="0" w:color="000000"/>
            </w:tcBorders>
            <w:shd w:val="clear" w:color="auto" w:fill="D9D9D9"/>
            <w:vAlign w:val="center"/>
            <w:hideMark/>
          </w:tcPr>
          <w:p w:rsidR="007D1BD6" w:rsidRPr="00CF3127" w:rsidRDefault="007D1BD6" w:rsidP="006A38F8">
            <w:pPr>
              <w:jc w:val="center"/>
              <w:rPr>
                <w:rFonts w:cstheme="minorHAnsi"/>
                <w:sz w:val="22"/>
                <w:szCs w:val="22"/>
              </w:rPr>
            </w:pPr>
            <w:r w:rsidRPr="00CF3127">
              <w:rPr>
                <w:color w:val="000000"/>
                <w:sz w:val="22"/>
                <w:szCs w:val="22"/>
                <w:shd w:val="clear" w:color="auto" w:fill="D9D9D9"/>
              </w:rPr>
              <w:t>Civil society organisations, private sector, multilaterals, working groups</w:t>
            </w:r>
          </w:p>
        </w:tc>
        <w:tc>
          <w:tcPr>
            <w:tcW w:w="6972" w:type="dxa"/>
            <w:gridSpan w:val="1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7D1BD6" w:rsidRPr="00CF3127" w:rsidRDefault="00AC09CF" w:rsidP="001B56F5">
            <w:pPr>
              <w:jc w:val="both"/>
              <w:rPr>
                <w:rFonts w:cstheme="minorHAnsi"/>
                <w:sz w:val="22"/>
                <w:szCs w:val="22"/>
              </w:rPr>
            </w:pPr>
            <w:r w:rsidRPr="00CF3127">
              <w:t>Discussions on project progress and results involves a working group of public sector and NGO representatives under the Ministry of Economy and Innovation, which includes representatives of business and academic communities, association Open Source for Lithuania, Open Data Group</w:t>
            </w:r>
            <w:r w:rsidRPr="00CF3127">
              <w:rPr>
                <w:sz w:val="22"/>
                <w:szCs w:val="22"/>
              </w:rPr>
              <w:t xml:space="preserve"> </w:t>
            </w:r>
            <w:hyperlink r:id="rId10" w:history="1">
              <w:r w:rsidRPr="00CF3127">
                <w:rPr>
                  <w:sz w:val="22"/>
                  <w:szCs w:val="22"/>
                </w:rPr>
                <w:t>info@akl.lt</w:t>
              </w:r>
            </w:hyperlink>
            <w:r w:rsidRPr="00CF3127">
              <w:rPr>
                <w:sz w:val="22"/>
                <w:szCs w:val="22"/>
              </w:rPr>
              <w:t xml:space="preserve"> and other representatives. </w:t>
            </w:r>
          </w:p>
        </w:tc>
      </w:tr>
      <w:tr w:rsidR="00145BCC" w:rsidRPr="00CF3127" w:rsidTr="00B46071">
        <w:trPr>
          <w:gridAfter w:val="2"/>
          <w:wAfter w:w="334" w:type="dxa"/>
        </w:trPr>
        <w:tc>
          <w:tcPr>
            <w:tcW w:w="10218" w:type="dxa"/>
            <w:gridSpan w:val="17"/>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vAlign w:val="bottom"/>
            <w:hideMark/>
          </w:tcPr>
          <w:p w:rsidR="00145BCC" w:rsidRPr="00CF3127" w:rsidRDefault="004B44C2" w:rsidP="001B56F5">
            <w:pPr>
              <w:tabs>
                <w:tab w:val="left" w:pos="4571"/>
              </w:tabs>
              <w:jc w:val="center"/>
              <w:rPr>
                <w:rFonts w:cstheme="minorHAnsi"/>
                <w:b/>
                <w:bCs/>
                <w:color w:val="F2F2F2" w:themeColor="background1" w:themeShade="F2"/>
              </w:rPr>
            </w:pPr>
            <w:r w:rsidRPr="00CF3127">
              <w:rPr>
                <w:b/>
                <w:bCs/>
                <w:color w:val="F2F2F2" w:themeColor="background1" w:themeShade="F2"/>
              </w:rPr>
              <w:t xml:space="preserve">II. </w:t>
            </w:r>
            <w:r w:rsidRPr="00CF3127">
              <w:rPr>
                <w:b/>
                <w:color w:val="FFFFFF" w:themeColor="background1"/>
              </w:rPr>
              <w:t>Improving NGO environment</w:t>
            </w:r>
          </w:p>
        </w:tc>
      </w:tr>
      <w:tr w:rsidR="00145BCC" w:rsidRPr="00CF3127" w:rsidTr="00161804">
        <w:trPr>
          <w:gridAfter w:val="2"/>
          <w:wAfter w:w="334" w:type="dxa"/>
          <w:trHeight w:val="310"/>
        </w:trPr>
        <w:tc>
          <w:tcPr>
            <w:tcW w:w="10218" w:type="dxa"/>
            <w:gridSpan w:val="17"/>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vAlign w:val="bottom"/>
            <w:hideMark/>
          </w:tcPr>
          <w:p w:rsidR="00145BCC" w:rsidRPr="00CF3127" w:rsidRDefault="00145BCC" w:rsidP="001B56F5">
            <w:pPr>
              <w:jc w:val="center"/>
              <w:rPr>
                <w:rFonts w:cstheme="minorHAnsi"/>
                <w:sz w:val="22"/>
                <w:szCs w:val="22"/>
              </w:rPr>
            </w:pPr>
            <w:r w:rsidRPr="00CF3127">
              <w:rPr>
                <w:rStyle w:val="CharStyle26"/>
                <w:rFonts w:asciiTheme="minorHAnsi" w:eastAsiaTheme="minorHAnsi" w:hAnsiTheme="minorHAnsi"/>
                <w:sz w:val="22"/>
                <w:szCs w:val="22"/>
              </w:rPr>
              <w:t>2. Strengthen civil society through the NGO database and NGO fund</w:t>
            </w:r>
          </w:p>
        </w:tc>
      </w:tr>
      <w:tr w:rsidR="00145BCC" w:rsidRPr="00CF3127" w:rsidTr="00B46071">
        <w:trPr>
          <w:gridAfter w:val="2"/>
          <w:wAfter w:w="334" w:type="dxa"/>
          <w:trHeight w:val="420"/>
        </w:trPr>
        <w:tc>
          <w:tcPr>
            <w:tcW w:w="10218" w:type="dxa"/>
            <w:gridSpan w:val="17"/>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145BCC" w:rsidRPr="00CF3127" w:rsidRDefault="0009516F" w:rsidP="006A38F8">
            <w:pPr>
              <w:jc w:val="center"/>
              <w:rPr>
                <w:rStyle w:val="CharStyle26"/>
                <w:rFonts w:asciiTheme="minorHAnsi" w:eastAsiaTheme="minorHAnsi" w:hAnsiTheme="minorHAnsi" w:cstheme="minorHAnsi"/>
                <w:i/>
                <w:sz w:val="22"/>
                <w:szCs w:val="22"/>
              </w:rPr>
            </w:pPr>
            <w:r w:rsidRPr="00CF3127">
              <w:rPr>
                <w:rStyle w:val="CharStyle26"/>
                <w:rFonts w:asciiTheme="minorHAnsi" w:eastAsiaTheme="minorHAnsi" w:hAnsiTheme="minorHAnsi"/>
                <w:i/>
                <w:sz w:val="22"/>
                <w:szCs w:val="22"/>
              </w:rPr>
              <w:t>1 December 2018 – 31 December 2019</w:t>
            </w:r>
          </w:p>
        </w:tc>
      </w:tr>
      <w:tr w:rsidR="00145BCC" w:rsidRPr="00CF3127" w:rsidTr="00B46071">
        <w:trPr>
          <w:gridAfter w:val="2"/>
          <w:wAfter w:w="334" w:type="dxa"/>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Lead implementing agency</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950121" w:rsidP="006A38F8">
            <w:pPr>
              <w:rPr>
                <w:rFonts w:cstheme="minorHAnsi"/>
                <w:sz w:val="22"/>
                <w:szCs w:val="22"/>
              </w:rPr>
            </w:pPr>
            <w:r w:rsidRPr="00CF3127">
              <w:rPr>
                <w:rStyle w:val="CharStyle26"/>
                <w:rFonts w:asciiTheme="minorHAnsi" w:eastAsiaTheme="minorHAnsi" w:hAnsiTheme="minorHAnsi"/>
                <w:sz w:val="22"/>
                <w:szCs w:val="22"/>
              </w:rPr>
              <w:t>Ministry of Social Security and Labour</w:t>
            </w:r>
          </w:p>
        </w:tc>
      </w:tr>
      <w:tr w:rsidR="00145BCC" w:rsidRPr="00CF3127" w:rsidTr="00B46071">
        <w:trPr>
          <w:gridAfter w:val="2"/>
          <w:wAfter w:w="334" w:type="dxa"/>
          <w:trHeight w:val="420"/>
        </w:trPr>
        <w:tc>
          <w:tcPr>
            <w:tcW w:w="10218" w:type="dxa"/>
            <w:gridSpan w:val="1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b/>
                <w:bCs/>
                <w:color w:val="000000"/>
                <w:sz w:val="22"/>
                <w:szCs w:val="22"/>
                <w:shd w:val="clear" w:color="auto" w:fill="D9D9D9"/>
              </w:rPr>
              <w:t xml:space="preserve">Description of the commitment </w:t>
            </w:r>
          </w:p>
        </w:tc>
      </w:tr>
      <w:tr w:rsidR="00145BCC" w:rsidRPr="00CF3127" w:rsidTr="00B46071">
        <w:trPr>
          <w:gridAfter w:val="2"/>
          <w:wAfter w:w="334" w:type="dxa"/>
          <w:trHeight w:val="420"/>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 xml:space="preserve">Key problem addressed </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145BCC" w:rsidRPr="00CF3127" w:rsidRDefault="00241170" w:rsidP="001B56F5">
            <w:pPr>
              <w:jc w:val="both"/>
              <w:rPr>
                <w:rFonts w:cstheme="minorHAnsi"/>
                <w:color w:val="000000"/>
                <w:sz w:val="22"/>
                <w:szCs w:val="22"/>
              </w:rPr>
            </w:pPr>
            <w:r w:rsidRPr="00CF3127">
              <w:rPr>
                <w:rStyle w:val="CharStyle26"/>
                <w:rFonts w:asciiTheme="minorHAnsi" w:eastAsiaTheme="minorHAnsi" w:hAnsiTheme="minorHAnsi"/>
                <w:sz w:val="22"/>
                <w:szCs w:val="22"/>
              </w:rPr>
              <w:t>Part of the financial resources allocated by the state to strengthen civil society have failed to reach the intended recipient. As legal entities are not clearly classified (it not clear which of them are to be regarded as NGOs), part of the resources intended for strengthening of civil society eventually end up in the hands of public authorities, associations of business entities, etc. This poses challenges for the sustainable development of the civil society sector.</w:t>
            </w:r>
          </w:p>
        </w:tc>
      </w:tr>
      <w:tr w:rsidR="00145BCC" w:rsidRPr="00CF3127" w:rsidTr="00B46071">
        <w:trPr>
          <w:gridAfter w:val="2"/>
          <w:wAfter w:w="334" w:type="dxa"/>
          <w:trHeight w:val="440"/>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Commitment</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1170" w:rsidRPr="00CF3127" w:rsidRDefault="00241170" w:rsidP="006A38F8">
            <w:pPr>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The problem will be addressed by legally requiring that not only public bodies but also legal entities, whose legal form is charity, support fund and association, should send information about their shareholders (members) to the system of the legal entities participants. Once these data have been properly processed, it will be possible to create a tool that will facilitate easier recognition of NGOs.</w:t>
            </w:r>
          </w:p>
          <w:p w:rsidR="00241170" w:rsidRPr="00CF3127" w:rsidRDefault="00241170" w:rsidP="006A38F8">
            <w:pPr>
              <w:jc w:val="both"/>
              <w:rPr>
                <w:rStyle w:val="CharStyle26"/>
                <w:rFonts w:asciiTheme="minorHAnsi" w:eastAsiaTheme="minorHAnsi" w:hAnsiTheme="minorHAnsi" w:cstheme="minorHAnsi"/>
                <w:sz w:val="22"/>
                <w:szCs w:val="22"/>
              </w:rPr>
            </w:pPr>
          </w:p>
          <w:p w:rsidR="00145BCC" w:rsidRPr="00CF3127" w:rsidRDefault="00241170" w:rsidP="006A38F8">
            <w:pPr>
              <w:jc w:val="both"/>
              <w:textAlignment w:val="baseline"/>
              <w:rPr>
                <w:rFonts w:eastAsia="Times New Roman" w:cstheme="minorHAnsi"/>
                <w:sz w:val="22"/>
                <w:szCs w:val="22"/>
              </w:rPr>
            </w:pPr>
            <w:r w:rsidRPr="00CF3127">
              <w:rPr>
                <w:rStyle w:val="CharStyle26"/>
                <w:rFonts w:asciiTheme="minorHAnsi" w:eastAsiaTheme="minorHAnsi" w:hAnsiTheme="minorHAnsi"/>
                <w:sz w:val="22"/>
                <w:szCs w:val="22"/>
              </w:rPr>
              <w:t>The problem will be addressed through financial means, i.e. by setting up an NGO fund, which will operate as a programme administered by the Ministry of Social Security and Labour, intended to strengthen NGO capacities to participate in public policy and decision-making processes.</w:t>
            </w:r>
          </w:p>
        </w:tc>
      </w:tr>
      <w:tr w:rsidR="00145BCC" w:rsidRPr="00CF3127" w:rsidTr="00B46071">
        <w:trPr>
          <w:gridAfter w:val="2"/>
          <w:wAfter w:w="334" w:type="dxa"/>
          <w:trHeight w:val="440"/>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 xml:space="preserve">How will the commitment contribute to address the public problem? </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95856" w:rsidRPr="00CF3127" w:rsidRDefault="00D95856" w:rsidP="006A38F8">
            <w:pPr>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 xml:space="preserve">With the NGO database in place, public authorities and the public will be able to easily and clearly see whether a legal entity is classifiable as an NGO and to take this into account in deciding about the funding of the activities, projects, etc. of such a legal entity. Currently, there are no sustainable mechanisms to help strengthen NGO capacities to participate in decision-making processes. </w:t>
            </w:r>
          </w:p>
          <w:p w:rsidR="00D95856" w:rsidRPr="00CF3127" w:rsidRDefault="00D95856" w:rsidP="006A38F8">
            <w:pPr>
              <w:rPr>
                <w:rStyle w:val="CharStyle26"/>
                <w:rFonts w:asciiTheme="minorHAnsi" w:eastAsiaTheme="minorHAnsi" w:hAnsiTheme="minorHAnsi" w:cstheme="minorHAnsi"/>
                <w:sz w:val="22"/>
                <w:szCs w:val="22"/>
              </w:rPr>
            </w:pPr>
          </w:p>
          <w:p w:rsidR="00145BCC" w:rsidRPr="00CF3127" w:rsidRDefault="00D95856" w:rsidP="006A38F8">
            <w:pPr>
              <w:pStyle w:val="Style16"/>
              <w:shd w:val="clear" w:color="auto" w:fill="auto"/>
              <w:spacing w:before="0" w:after="0" w:line="240" w:lineRule="auto"/>
              <w:ind w:firstLine="0"/>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The creation of an NGO fund will provide a mechanism that will enable strengthening of such capacities; the NGO fund, as a sustainable entity, will carry out regular monitoring (on changes in citizens participation in public policy and decision-making processes) and use the results to improve the fund’s strategy and activities.</w:t>
            </w:r>
          </w:p>
        </w:tc>
      </w:tr>
      <w:tr w:rsidR="00145BCC" w:rsidRPr="00CF3127" w:rsidTr="00B46071">
        <w:trPr>
          <w:gridAfter w:val="2"/>
          <w:wAfter w:w="334" w:type="dxa"/>
          <w:trHeight w:val="420"/>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How does the commitment relate to OGP values?</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B91150" w:rsidP="006A38F8">
            <w:pPr>
              <w:pStyle w:val="Style16"/>
              <w:shd w:val="clear" w:color="auto" w:fill="auto"/>
              <w:spacing w:before="0" w:after="0" w:line="240" w:lineRule="auto"/>
              <w:ind w:firstLine="0"/>
              <w:jc w:val="both"/>
              <w:rPr>
                <w:rFonts w:cstheme="minorHAnsi"/>
                <w:iCs/>
                <w:color w:val="000000"/>
                <w:sz w:val="22"/>
                <w:szCs w:val="22"/>
              </w:rPr>
            </w:pPr>
            <w:r w:rsidRPr="00CF3127">
              <w:rPr>
                <w:rStyle w:val="CharStyle26"/>
                <w:rFonts w:asciiTheme="minorHAnsi" w:eastAsiaTheme="minorHAnsi" w:hAnsiTheme="minorHAnsi"/>
                <w:sz w:val="22"/>
                <w:szCs w:val="22"/>
              </w:rPr>
              <w:t>The commitment will open up data about NGOs operating in Lithuania, improve the quality of the open data and information, and increase the accessibility of information about NGOs to the public and authorities. The commitment will increase civil society’s access to public funding. The commitment will strengthen the capacity of NGOs to participate in decision-making processes (linked to the value of civic engagement).</w:t>
            </w:r>
          </w:p>
        </w:tc>
      </w:tr>
      <w:tr w:rsidR="00AD5C66" w:rsidRPr="00CF3127" w:rsidTr="00B46071">
        <w:trPr>
          <w:gridAfter w:val="2"/>
          <w:wAfter w:w="334" w:type="dxa"/>
          <w:trHeight w:val="420"/>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D5C66" w:rsidRPr="00CF3127" w:rsidRDefault="00AD5C66" w:rsidP="006A38F8">
            <w:pPr>
              <w:jc w:val="center"/>
              <w:rPr>
                <w:rFonts w:cstheme="minorHAnsi"/>
                <w:color w:val="000000"/>
                <w:sz w:val="22"/>
                <w:szCs w:val="22"/>
                <w:shd w:val="clear" w:color="auto" w:fill="D9D9D9"/>
              </w:rPr>
            </w:pPr>
            <w:r w:rsidRPr="00CF3127">
              <w:rPr>
                <w:color w:val="000000"/>
                <w:sz w:val="22"/>
                <w:szCs w:val="22"/>
                <w:shd w:val="clear" w:color="auto" w:fill="D9D9D9"/>
              </w:rPr>
              <w:t>Additional information</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5C66" w:rsidRPr="00CF3127" w:rsidRDefault="00AD5C66" w:rsidP="000E0017">
            <w:pPr>
              <w:pStyle w:val="Style16"/>
              <w:shd w:val="clear" w:color="auto" w:fill="auto"/>
              <w:spacing w:before="0" w:after="0" w:line="240" w:lineRule="auto"/>
              <w:ind w:firstLine="0"/>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The provisions related to the prerequisites for the establishment of the NGO database are included in the draft law amending the Law on Development of NGOs and its accompanying instruments). A concept of the NGO database has been worked out too. There is an ongoing discussion with the state enterprise (‘SE’) Centre of Registers and the Ministry of Justice. The budget estimate for the part of the commitment related to the establishment of the NGO database is EUR 3 million. As regards the part of the commitment related to the establishment of the NGO fund, there is an ongoing negotiation with the Ministry of Finance about the funding. The provisions consolidating the NGO fund are included in the draft law amending the Law on Development of NGOs. The commitment is part of the Plan for the implementation of the Programme of the 17th Government.</w:t>
            </w:r>
          </w:p>
        </w:tc>
      </w:tr>
      <w:tr w:rsidR="00145BCC" w:rsidRPr="00CF3127" w:rsidTr="00161804">
        <w:trPr>
          <w:gridAfter w:val="2"/>
          <w:wAfter w:w="334" w:type="dxa"/>
        </w:trPr>
        <w:tc>
          <w:tcPr>
            <w:tcW w:w="3236" w:type="dxa"/>
            <w:gridSpan w:val="4"/>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Completion stage</w:t>
            </w:r>
          </w:p>
        </w:tc>
        <w:tc>
          <w:tcPr>
            <w:tcW w:w="129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Not started</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tabs>
                <w:tab w:val="left" w:pos="997"/>
                <w:tab w:val="left" w:pos="1253"/>
              </w:tabs>
              <w:jc w:val="center"/>
              <w:rPr>
                <w:rFonts w:cstheme="minorHAnsi"/>
                <w:sz w:val="22"/>
                <w:szCs w:val="22"/>
              </w:rPr>
            </w:pPr>
            <w:r w:rsidRPr="00CF3127">
              <w:rPr>
                <w:color w:val="000000"/>
                <w:sz w:val="22"/>
                <w:szCs w:val="22"/>
                <w:shd w:val="clear" w:color="auto" w:fill="D9D9D9"/>
              </w:rPr>
              <w:t>Started</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C6370A" w:rsidP="006A38F8">
            <w:pPr>
              <w:jc w:val="center"/>
              <w:rPr>
                <w:rFonts w:cstheme="minorHAnsi"/>
                <w:sz w:val="22"/>
                <w:szCs w:val="22"/>
              </w:rPr>
            </w:pPr>
            <w:r w:rsidRPr="00CF3127">
              <w:rPr>
                <w:color w:val="000000"/>
                <w:sz w:val="22"/>
                <w:szCs w:val="22"/>
                <w:shd w:val="clear" w:color="auto" w:fill="D9D9D9"/>
              </w:rPr>
              <w:t xml:space="preserve">Half-way through </w:t>
            </w:r>
          </w:p>
        </w:tc>
        <w:tc>
          <w:tcPr>
            <w:tcW w:w="299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Completed</w:t>
            </w:r>
          </w:p>
        </w:tc>
      </w:tr>
      <w:tr w:rsidR="00145BCC" w:rsidRPr="00CF3127" w:rsidTr="00161804">
        <w:trPr>
          <w:gridAfter w:val="2"/>
          <w:wAfter w:w="334" w:type="dxa"/>
        </w:trPr>
        <w:tc>
          <w:tcPr>
            <w:tcW w:w="3236" w:type="dxa"/>
            <w:gridSpan w:val="4"/>
            <w:vMerge/>
            <w:tcBorders>
              <w:top w:val="single" w:sz="8" w:space="0" w:color="000000"/>
              <w:left w:val="single" w:sz="8" w:space="0" w:color="000000"/>
              <w:bottom w:val="single" w:sz="8" w:space="0" w:color="000000"/>
              <w:right w:val="single" w:sz="8" w:space="0" w:color="000000"/>
            </w:tcBorders>
            <w:vAlign w:val="center"/>
            <w:hideMark/>
          </w:tcPr>
          <w:p w:rsidR="00145BCC" w:rsidRPr="00CF3127" w:rsidRDefault="00145BCC" w:rsidP="006A38F8">
            <w:pPr>
              <w:rPr>
                <w:rFonts w:cstheme="minorHAnsi"/>
                <w:sz w:val="22"/>
                <w:szCs w:val="22"/>
              </w:rPr>
            </w:pPr>
          </w:p>
        </w:tc>
        <w:tc>
          <w:tcPr>
            <w:tcW w:w="12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145BCC" w:rsidP="006A38F8">
            <w:pPr>
              <w:rPr>
                <w:rFonts w:cstheme="minorHAnsi"/>
                <w:sz w:val="22"/>
                <w:szCs w:val="22"/>
              </w:rPr>
            </w:pPr>
          </w:p>
        </w:tc>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241170" w:rsidP="006A38F8">
            <w:pPr>
              <w:jc w:val="center"/>
              <w:rPr>
                <w:rFonts w:eastAsia="Times New Roman" w:cstheme="minorHAnsi"/>
                <w:sz w:val="22"/>
                <w:szCs w:val="22"/>
              </w:rPr>
            </w:pPr>
            <w:r w:rsidRPr="00CF3127">
              <w:rPr>
                <w:sz w:val="22"/>
                <w:szCs w:val="22"/>
              </w:rPr>
              <w:t>X</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145BCC" w:rsidP="006A38F8">
            <w:pPr>
              <w:jc w:val="center"/>
              <w:rPr>
                <w:rFonts w:eastAsia="Times New Roman" w:cstheme="minorHAnsi"/>
                <w:sz w:val="22"/>
                <w:szCs w:val="22"/>
              </w:rPr>
            </w:pPr>
          </w:p>
        </w:tc>
        <w:tc>
          <w:tcPr>
            <w:tcW w:w="29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145BCC" w:rsidP="006A38F8">
            <w:pPr>
              <w:jc w:val="center"/>
              <w:rPr>
                <w:rFonts w:eastAsia="Times New Roman" w:cstheme="minorHAnsi"/>
                <w:sz w:val="22"/>
                <w:szCs w:val="22"/>
              </w:rPr>
            </w:pPr>
          </w:p>
        </w:tc>
      </w:tr>
      <w:tr w:rsidR="00145BCC" w:rsidRPr="00CF3127" w:rsidTr="00B46071">
        <w:trPr>
          <w:gridAfter w:val="2"/>
          <w:wAfter w:w="334" w:type="dxa"/>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Description of concrete results</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4493" w:rsidRPr="00CF3127" w:rsidRDefault="005F4493" w:rsidP="006A38F8">
            <w:pPr>
              <w:pStyle w:val="ListParagraph"/>
              <w:numPr>
                <w:ilvl w:val="0"/>
                <w:numId w:val="17"/>
              </w:num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Draft laws submitted to Seimas</w:t>
            </w:r>
            <w:r w:rsidR="000E0017" w:rsidRPr="00CF3127">
              <w:rPr>
                <w:rStyle w:val="CharStyle26"/>
                <w:rFonts w:asciiTheme="minorHAnsi" w:eastAsiaTheme="minorHAnsi" w:hAnsiTheme="minorHAnsi"/>
                <w:sz w:val="22"/>
                <w:szCs w:val="22"/>
              </w:rPr>
              <w:t>;</w:t>
            </w:r>
          </w:p>
          <w:p w:rsidR="005F4493" w:rsidRPr="00CF3127" w:rsidRDefault="004B6EC2" w:rsidP="006A38F8">
            <w:pPr>
              <w:pStyle w:val="ListParagraph"/>
              <w:numPr>
                <w:ilvl w:val="0"/>
                <w:numId w:val="17"/>
              </w:num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compiled and analysed experience of other countries in the field of the operation of the NGO fund;</w:t>
            </w:r>
          </w:p>
          <w:p w:rsidR="00145BCC" w:rsidRPr="00CF3127" w:rsidRDefault="004B6EC2" w:rsidP="006A38F8">
            <w:pPr>
              <w:pStyle w:val="ListParagraph"/>
              <w:numPr>
                <w:ilvl w:val="0"/>
                <w:numId w:val="17"/>
              </w:numPr>
              <w:jc w:val="both"/>
              <w:rPr>
                <w:rFonts w:cstheme="minorHAnsi"/>
                <w:sz w:val="22"/>
                <w:szCs w:val="22"/>
              </w:rPr>
            </w:pPr>
            <w:r w:rsidRPr="00CF3127">
              <w:rPr>
                <w:rStyle w:val="CharStyle26"/>
                <w:rFonts w:asciiTheme="minorHAnsi" w:eastAsiaTheme="minorHAnsi" w:hAnsiTheme="minorHAnsi"/>
                <w:sz w:val="22"/>
                <w:szCs w:val="22"/>
              </w:rPr>
              <w:t>drawn up draft NGO fund regulations.</w:t>
            </w:r>
          </w:p>
        </w:tc>
      </w:tr>
      <w:tr w:rsidR="00145BCC" w:rsidRPr="00CF3127" w:rsidTr="00B46071">
        <w:trPr>
          <w:gridAfter w:val="2"/>
          <w:wAfter w:w="334" w:type="dxa"/>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Next steps</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2E21" w:rsidRPr="00CF3127" w:rsidRDefault="00BE2E21" w:rsidP="006A38F8">
            <w:pPr>
              <w:pStyle w:val="ListParagraph"/>
              <w:numPr>
                <w:ilvl w:val="0"/>
                <w:numId w:val="18"/>
              </w:numPr>
              <w:textAlignment w:val="baseline"/>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Preparation of technical actions necessary for the establishment of the base</w:t>
            </w:r>
            <w:r w:rsidR="000E0017" w:rsidRPr="00CF3127">
              <w:rPr>
                <w:rStyle w:val="CharStyle26"/>
                <w:rFonts w:asciiTheme="minorHAnsi" w:eastAsiaTheme="minorHAnsi" w:hAnsiTheme="minorHAnsi"/>
                <w:sz w:val="22"/>
                <w:szCs w:val="22"/>
              </w:rPr>
              <w:t>,</w:t>
            </w:r>
            <w:r w:rsidRPr="00CF3127">
              <w:rPr>
                <w:rStyle w:val="CharStyle26"/>
                <w:rFonts w:asciiTheme="minorHAnsi" w:eastAsiaTheme="minorHAnsi" w:hAnsiTheme="minorHAnsi"/>
                <w:sz w:val="22"/>
                <w:szCs w:val="22"/>
              </w:rPr>
              <w:t xml:space="preserve"> together </w:t>
            </w:r>
            <w:r w:rsidR="000E0017" w:rsidRPr="00CF3127">
              <w:rPr>
                <w:rStyle w:val="CharStyle26"/>
                <w:rFonts w:asciiTheme="minorHAnsi" w:eastAsiaTheme="minorHAnsi" w:hAnsiTheme="minorHAnsi"/>
                <w:sz w:val="22"/>
                <w:szCs w:val="22"/>
              </w:rPr>
              <w:t>with the SE Centre of Registers;</w:t>
            </w:r>
          </w:p>
          <w:p w:rsidR="00BE2E21" w:rsidRPr="00CF3127" w:rsidRDefault="004B6EC2" w:rsidP="006A38F8">
            <w:pPr>
              <w:pStyle w:val="ListParagraph"/>
              <w:numPr>
                <w:ilvl w:val="0"/>
                <w:numId w:val="18"/>
              </w:numPr>
              <w:textAlignment w:val="baseline"/>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setting up an NGO fund board;</w:t>
            </w:r>
          </w:p>
          <w:p w:rsidR="00145BCC" w:rsidRPr="00CF3127" w:rsidRDefault="004B6EC2" w:rsidP="006A38F8">
            <w:pPr>
              <w:pStyle w:val="ListParagraph"/>
              <w:numPr>
                <w:ilvl w:val="0"/>
                <w:numId w:val="18"/>
              </w:numPr>
              <w:jc w:val="both"/>
              <w:rPr>
                <w:rFonts w:cstheme="minorHAnsi"/>
                <w:color w:val="0D0D0D" w:themeColor="text1" w:themeTint="F2"/>
                <w:sz w:val="22"/>
                <w:szCs w:val="22"/>
              </w:rPr>
            </w:pPr>
            <w:r w:rsidRPr="00CF3127">
              <w:rPr>
                <w:rStyle w:val="CharStyle26"/>
                <w:rFonts w:asciiTheme="minorHAnsi" w:eastAsiaTheme="minorHAnsi" w:hAnsiTheme="minorHAnsi"/>
                <w:sz w:val="22"/>
                <w:szCs w:val="22"/>
              </w:rPr>
              <w:t>preparation of the NGO database publicity plan.</w:t>
            </w:r>
          </w:p>
        </w:tc>
      </w:tr>
      <w:tr w:rsidR="00145BCC" w:rsidRPr="00CF3127" w:rsidTr="00161804">
        <w:trPr>
          <w:gridAfter w:val="2"/>
          <w:wAfter w:w="334" w:type="dxa"/>
          <w:trHeight w:val="484"/>
        </w:trPr>
        <w:tc>
          <w:tcPr>
            <w:tcW w:w="4526"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Milestone status</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Start date:</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End date:</w:t>
            </w:r>
          </w:p>
        </w:tc>
        <w:tc>
          <w:tcPr>
            <w:tcW w:w="299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rPr>
              <w:t>Completion stage</w:t>
            </w:r>
          </w:p>
        </w:tc>
      </w:tr>
      <w:tr w:rsidR="00587403" w:rsidRPr="00CF3127" w:rsidTr="00161804">
        <w:trPr>
          <w:gridAfter w:val="2"/>
          <w:wAfter w:w="334"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1B56F5">
            <w:pPr>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Creation of a legal framework for the operation of the NGO database</w:t>
            </w:r>
          </w:p>
        </w:tc>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01-12-2018</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31-03-2019</w:t>
            </w:r>
          </w:p>
        </w:tc>
        <w:tc>
          <w:tcPr>
            <w:tcW w:w="29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Started</w:t>
            </w:r>
          </w:p>
        </w:tc>
      </w:tr>
      <w:tr w:rsidR="00587403" w:rsidRPr="00CF3127" w:rsidTr="00161804">
        <w:trPr>
          <w:gridAfter w:val="2"/>
          <w:wAfter w:w="334"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A1133C">
            <w:pPr>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Preparation of technical actions for the establishment of the base</w:t>
            </w:r>
            <w:r w:rsidR="00A1133C" w:rsidRPr="00CF3127">
              <w:rPr>
                <w:rStyle w:val="CharStyle26"/>
                <w:rFonts w:asciiTheme="minorHAnsi" w:eastAsiaTheme="minorHAnsi" w:hAnsiTheme="minorHAnsi"/>
                <w:sz w:val="22"/>
                <w:szCs w:val="22"/>
              </w:rPr>
              <w:t>,</w:t>
            </w:r>
            <w:r w:rsidRPr="00CF3127">
              <w:rPr>
                <w:rStyle w:val="CharStyle26"/>
                <w:rFonts w:asciiTheme="minorHAnsi" w:eastAsiaTheme="minorHAnsi" w:hAnsiTheme="minorHAnsi"/>
                <w:sz w:val="22"/>
                <w:szCs w:val="22"/>
              </w:rPr>
              <w:t xml:space="preserve"> together </w:t>
            </w:r>
            <w:r w:rsidR="00A1133C" w:rsidRPr="00CF3127">
              <w:rPr>
                <w:rStyle w:val="CharStyle26"/>
                <w:rFonts w:asciiTheme="minorHAnsi" w:eastAsiaTheme="minorHAnsi" w:hAnsiTheme="minorHAnsi"/>
                <w:sz w:val="22"/>
                <w:szCs w:val="22"/>
              </w:rPr>
              <w:t>with the Centre of Registers</w:t>
            </w:r>
          </w:p>
        </w:tc>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01-02-2019</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p>
        </w:tc>
        <w:tc>
          <w:tcPr>
            <w:tcW w:w="29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Started</w:t>
            </w:r>
          </w:p>
        </w:tc>
      </w:tr>
      <w:tr w:rsidR="00587403" w:rsidRPr="00CF3127" w:rsidTr="00161804">
        <w:trPr>
          <w:gridAfter w:val="2"/>
          <w:wAfter w:w="334"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4B6EC2" w:rsidP="00161804">
            <w:pPr>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Preparation of the NGO database publicity strategy</w:t>
            </w:r>
          </w:p>
        </w:tc>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31-12-2019</w:t>
            </w:r>
          </w:p>
        </w:tc>
        <w:tc>
          <w:tcPr>
            <w:tcW w:w="29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Not started</w:t>
            </w:r>
          </w:p>
        </w:tc>
      </w:tr>
      <w:tr w:rsidR="00587403" w:rsidRPr="00CF3127" w:rsidTr="00161804">
        <w:trPr>
          <w:gridAfter w:val="2"/>
          <w:wAfter w:w="334"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A1133C">
            <w:pPr>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 xml:space="preserve">Compilation and analysis of information on the practical experience of </w:t>
            </w:r>
            <w:r w:rsidR="00A1133C" w:rsidRPr="00CF3127">
              <w:rPr>
                <w:rStyle w:val="CharStyle26"/>
                <w:rFonts w:asciiTheme="minorHAnsi" w:eastAsiaTheme="minorHAnsi" w:hAnsiTheme="minorHAnsi"/>
                <w:sz w:val="22"/>
                <w:szCs w:val="22"/>
              </w:rPr>
              <w:t>foreign peer</w:t>
            </w:r>
            <w:r w:rsidRPr="00CF3127">
              <w:rPr>
                <w:rStyle w:val="CharStyle26"/>
                <w:rFonts w:asciiTheme="minorHAnsi" w:eastAsiaTheme="minorHAnsi" w:hAnsiTheme="minorHAnsi"/>
                <w:sz w:val="22"/>
                <w:szCs w:val="22"/>
              </w:rPr>
              <w:t xml:space="preserve"> NGO funds and on the activities carried out by such fund</w:t>
            </w:r>
            <w:r w:rsidR="00A1133C" w:rsidRPr="00CF3127">
              <w:rPr>
                <w:rStyle w:val="CharStyle26"/>
                <w:rFonts w:asciiTheme="minorHAnsi" w:eastAsiaTheme="minorHAnsi" w:hAnsiTheme="minorHAnsi"/>
                <w:sz w:val="22"/>
                <w:szCs w:val="22"/>
              </w:rPr>
              <w:t>s</w:t>
            </w:r>
          </w:p>
        </w:tc>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01-12-2018</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28-02-2019</w:t>
            </w:r>
          </w:p>
        </w:tc>
        <w:tc>
          <w:tcPr>
            <w:tcW w:w="29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FD5301"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Completed</w:t>
            </w:r>
          </w:p>
        </w:tc>
      </w:tr>
      <w:tr w:rsidR="00587403" w:rsidRPr="00CF3127" w:rsidTr="00161804">
        <w:trPr>
          <w:gridAfter w:val="2"/>
          <w:wAfter w:w="334"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1B56F5">
            <w:pPr>
              <w:jc w:val="both"/>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Preparing and agreeing NGO fund regulations with stakeholders and submitting them to the Minister for approval</w:t>
            </w:r>
          </w:p>
        </w:tc>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01-03-2019</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p>
        </w:tc>
        <w:tc>
          <w:tcPr>
            <w:tcW w:w="29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403" w:rsidRPr="00CF3127" w:rsidRDefault="00587403" w:rsidP="006A38F8">
            <w:pP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Started</w:t>
            </w:r>
          </w:p>
        </w:tc>
      </w:tr>
      <w:tr w:rsidR="00145BCC" w:rsidRPr="00CF3127" w:rsidTr="00B46071">
        <w:trPr>
          <w:gridAfter w:val="2"/>
          <w:wAfter w:w="334" w:type="dxa"/>
          <w:trHeight w:val="420"/>
        </w:trPr>
        <w:tc>
          <w:tcPr>
            <w:tcW w:w="10218" w:type="dxa"/>
            <w:gridSpan w:val="1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 xml:space="preserve">Contact information </w:t>
            </w:r>
          </w:p>
        </w:tc>
      </w:tr>
      <w:tr w:rsidR="00145BCC" w:rsidRPr="00CF3127" w:rsidTr="00B46071">
        <w:trPr>
          <w:gridAfter w:val="2"/>
          <w:wAfter w:w="334" w:type="dxa"/>
          <w:trHeight w:val="420"/>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Lead implementing agency</w:t>
            </w:r>
          </w:p>
        </w:tc>
        <w:tc>
          <w:tcPr>
            <w:tcW w:w="6982" w:type="dxa"/>
            <w:gridSpan w:val="1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4B6EC2" w:rsidP="006A38F8">
            <w:pPr>
              <w:rPr>
                <w:rFonts w:cstheme="minorHAnsi"/>
                <w:sz w:val="22"/>
                <w:szCs w:val="22"/>
              </w:rPr>
            </w:pPr>
            <w:r w:rsidRPr="00CF3127">
              <w:rPr>
                <w:rStyle w:val="CharStyle26"/>
                <w:rFonts w:asciiTheme="minorHAnsi" w:eastAsiaTheme="minorHAnsi" w:hAnsiTheme="minorHAnsi"/>
                <w:sz w:val="22"/>
                <w:szCs w:val="22"/>
              </w:rPr>
              <w:t>Ministry of Social Security and Labour</w:t>
            </w:r>
          </w:p>
        </w:tc>
      </w:tr>
      <w:tr w:rsidR="00145BCC" w:rsidRPr="00CF3127" w:rsidTr="00161804">
        <w:trPr>
          <w:gridAfter w:val="2"/>
          <w:wAfter w:w="334" w:type="dxa"/>
          <w:trHeight w:val="262"/>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Persons in charge</w:t>
            </w:r>
          </w:p>
        </w:tc>
        <w:tc>
          <w:tcPr>
            <w:tcW w:w="6982" w:type="dxa"/>
            <w:gridSpan w:val="1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5E53C4" w:rsidP="006A38F8">
            <w:pPr>
              <w:rPr>
                <w:rFonts w:cstheme="minorHAnsi"/>
                <w:sz w:val="22"/>
                <w:szCs w:val="22"/>
              </w:rPr>
            </w:pPr>
            <w:r w:rsidRPr="00CF3127">
              <w:rPr>
                <w:rStyle w:val="CharStyle26"/>
                <w:rFonts w:asciiTheme="minorHAnsi" w:eastAsiaTheme="minorHAnsi" w:hAnsiTheme="minorHAnsi"/>
                <w:sz w:val="22"/>
                <w:szCs w:val="22"/>
              </w:rPr>
              <w:t>Aurelija Olendraitė</w:t>
            </w:r>
          </w:p>
        </w:tc>
      </w:tr>
      <w:tr w:rsidR="00145BCC" w:rsidRPr="00CF3127" w:rsidTr="00B46071">
        <w:trPr>
          <w:gridAfter w:val="2"/>
          <w:wAfter w:w="334" w:type="dxa"/>
          <w:trHeight w:val="420"/>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Title, department</w:t>
            </w:r>
          </w:p>
        </w:tc>
        <w:tc>
          <w:tcPr>
            <w:tcW w:w="6982" w:type="dxa"/>
            <w:gridSpan w:val="1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5E53C4" w:rsidP="001B56F5">
            <w:pPr>
              <w:rPr>
                <w:rFonts w:cstheme="minorHAnsi"/>
                <w:sz w:val="22"/>
                <w:szCs w:val="22"/>
              </w:rPr>
            </w:pPr>
            <w:r w:rsidRPr="00CF3127">
              <w:rPr>
                <w:rStyle w:val="CharStyle26"/>
                <w:rFonts w:asciiTheme="minorHAnsi" w:eastAsiaTheme="minorHAnsi" w:hAnsiTheme="minorHAnsi"/>
                <w:sz w:val="22"/>
                <w:szCs w:val="22"/>
              </w:rPr>
              <w:t>Chief Adviser for NGOs and Community Development</w:t>
            </w:r>
          </w:p>
        </w:tc>
      </w:tr>
      <w:tr w:rsidR="00145BCC" w:rsidRPr="00CF3127" w:rsidTr="00B46071">
        <w:trPr>
          <w:gridAfter w:val="2"/>
          <w:wAfter w:w="334" w:type="dxa"/>
          <w:trHeight w:val="420"/>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CF3127" w:rsidRDefault="00145BCC" w:rsidP="006A38F8">
            <w:pPr>
              <w:jc w:val="center"/>
              <w:rPr>
                <w:rFonts w:cstheme="minorHAnsi"/>
                <w:sz w:val="22"/>
                <w:szCs w:val="22"/>
              </w:rPr>
            </w:pPr>
            <w:r w:rsidRPr="00CF3127">
              <w:rPr>
                <w:color w:val="000000"/>
                <w:sz w:val="22"/>
                <w:szCs w:val="22"/>
                <w:shd w:val="clear" w:color="auto" w:fill="D9D9D9"/>
              </w:rPr>
              <w:t>email and phone</w:t>
            </w:r>
          </w:p>
        </w:tc>
        <w:tc>
          <w:tcPr>
            <w:tcW w:w="6982" w:type="dxa"/>
            <w:gridSpan w:val="1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145BCC" w:rsidRPr="00CF3127" w:rsidRDefault="00087D7C" w:rsidP="006A38F8">
            <w:pPr>
              <w:rPr>
                <w:rFonts w:cstheme="minorHAnsi"/>
                <w:sz w:val="22"/>
                <w:szCs w:val="22"/>
              </w:rPr>
            </w:pPr>
            <w:hyperlink r:id="rId11" w:history="1">
              <w:r w:rsidR="00095403" w:rsidRPr="00CF3127">
                <w:rPr>
                  <w:rStyle w:val="Hyperlink"/>
                  <w:sz w:val="22"/>
                  <w:szCs w:val="22"/>
                </w:rPr>
                <w:t>aurelija.olendraite@socmin.lt</w:t>
              </w:r>
            </w:hyperlink>
            <w:r w:rsidR="00095403" w:rsidRPr="00CF3127">
              <w:rPr>
                <w:rStyle w:val="CharStyle26"/>
                <w:rFonts w:asciiTheme="minorHAnsi" w:eastAsiaTheme="minorHAnsi" w:hAnsiTheme="minorHAnsi"/>
                <w:sz w:val="22"/>
                <w:szCs w:val="22"/>
              </w:rPr>
              <w:t>, 8 706 68 248</w:t>
            </w:r>
          </w:p>
        </w:tc>
      </w:tr>
      <w:tr w:rsidR="007D1BD6" w:rsidRPr="00CF3127" w:rsidTr="00B46071">
        <w:trPr>
          <w:gridAfter w:val="2"/>
          <w:wAfter w:w="334" w:type="dxa"/>
          <w:trHeight w:val="420"/>
        </w:trPr>
        <w:tc>
          <w:tcPr>
            <w:tcW w:w="10218" w:type="dxa"/>
            <w:gridSpan w:val="1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D1BD6" w:rsidRPr="00CF3127" w:rsidRDefault="007D1BD6" w:rsidP="006A38F8">
            <w:pPr>
              <w:jc w:val="center"/>
              <w:rPr>
                <w:rFonts w:cstheme="minorHAnsi"/>
                <w:sz w:val="22"/>
                <w:szCs w:val="22"/>
              </w:rPr>
            </w:pPr>
            <w:r w:rsidRPr="00CF3127">
              <w:rPr>
                <w:color w:val="000000"/>
                <w:sz w:val="22"/>
                <w:szCs w:val="22"/>
                <w:shd w:val="clear" w:color="auto" w:fill="D9D9D9"/>
              </w:rPr>
              <w:t>Other actors involved</w:t>
            </w:r>
          </w:p>
        </w:tc>
      </w:tr>
      <w:tr w:rsidR="007D1BD6" w:rsidRPr="00CF3127" w:rsidTr="00B46071">
        <w:trPr>
          <w:gridAfter w:val="2"/>
          <w:wAfter w:w="334" w:type="dxa"/>
          <w:trHeight w:val="327"/>
        </w:trPr>
        <w:tc>
          <w:tcPr>
            <w:tcW w:w="3236" w:type="dxa"/>
            <w:gridSpan w:val="4"/>
            <w:tcBorders>
              <w:top w:val="single" w:sz="8" w:space="0" w:color="000000"/>
              <w:left w:val="single" w:sz="8" w:space="0" w:color="000000"/>
              <w:right w:val="single" w:sz="8" w:space="0" w:color="000000"/>
            </w:tcBorders>
            <w:shd w:val="clear" w:color="auto" w:fill="D9D9D9"/>
            <w:tcMar>
              <w:top w:w="100" w:type="dxa"/>
              <w:left w:w="100" w:type="dxa"/>
              <w:bottom w:w="100" w:type="dxa"/>
              <w:right w:w="100" w:type="dxa"/>
            </w:tcMar>
            <w:hideMark/>
          </w:tcPr>
          <w:p w:rsidR="007D1BD6" w:rsidRPr="00CF3127" w:rsidRDefault="007D1BD6" w:rsidP="006A38F8">
            <w:pPr>
              <w:jc w:val="center"/>
              <w:rPr>
                <w:rFonts w:cstheme="minorHAnsi"/>
                <w:sz w:val="22"/>
                <w:szCs w:val="22"/>
              </w:rPr>
            </w:pPr>
            <w:r w:rsidRPr="00CF3127">
              <w:rPr>
                <w:color w:val="000000"/>
                <w:sz w:val="22"/>
                <w:szCs w:val="22"/>
                <w:shd w:val="clear" w:color="auto" w:fill="D9D9D9"/>
              </w:rPr>
              <w:t xml:space="preserve">Ministries, departments/agencies </w:t>
            </w:r>
          </w:p>
        </w:tc>
        <w:tc>
          <w:tcPr>
            <w:tcW w:w="6982" w:type="dxa"/>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1BD6" w:rsidRPr="00CF3127" w:rsidRDefault="004B6EC2" w:rsidP="00A1133C">
            <w:pPr>
              <w:rPr>
                <w:rFonts w:cstheme="minorHAnsi"/>
                <w:sz w:val="22"/>
                <w:szCs w:val="22"/>
              </w:rPr>
            </w:pPr>
            <w:r w:rsidRPr="00CF3127">
              <w:rPr>
                <w:rStyle w:val="CharStyle26"/>
                <w:rFonts w:asciiTheme="minorHAnsi" w:eastAsiaTheme="minorHAnsi" w:hAnsiTheme="minorHAnsi"/>
                <w:sz w:val="22"/>
                <w:szCs w:val="22"/>
              </w:rPr>
              <w:t xml:space="preserve">Ministry of Justice (‘The Ministry of Justice has presented a budget allocation request for 2020 for the modifications in the Information System of Legal Entities Participants (hereinafter ‘JADIS’) needed </w:t>
            </w:r>
            <w:r w:rsidR="00A1133C" w:rsidRPr="00CF3127">
              <w:rPr>
                <w:rStyle w:val="CharStyle26"/>
                <w:rFonts w:asciiTheme="minorHAnsi" w:eastAsiaTheme="minorHAnsi" w:hAnsiTheme="minorHAnsi"/>
                <w:sz w:val="22"/>
                <w:szCs w:val="22"/>
              </w:rPr>
              <w:t>to recognise</w:t>
            </w:r>
            <w:r w:rsidRPr="00CF3127">
              <w:rPr>
                <w:rStyle w:val="CharStyle26"/>
                <w:rFonts w:asciiTheme="minorHAnsi" w:eastAsiaTheme="minorHAnsi" w:hAnsiTheme="minorHAnsi"/>
                <w:sz w:val="22"/>
                <w:szCs w:val="22"/>
              </w:rPr>
              <w:t xml:space="preserve"> </w:t>
            </w:r>
            <w:r w:rsidR="00A1133C" w:rsidRPr="00CF3127">
              <w:rPr>
                <w:rStyle w:val="CharStyle26"/>
                <w:rFonts w:asciiTheme="minorHAnsi" w:eastAsiaTheme="minorHAnsi" w:hAnsiTheme="minorHAnsi"/>
                <w:sz w:val="22"/>
                <w:szCs w:val="22"/>
              </w:rPr>
              <w:t>an</w:t>
            </w:r>
            <w:r w:rsidRPr="00CF3127">
              <w:rPr>
                <w:rStyle w:val="CharStyle26"/>
                <w:rFonts w:asciiTheme="minorHAnsi" w:eastAsiaTheme="minorHAnsi" w:hAnsiTheme="minorHAnsi"/>
                <w:sz w:val="22"/>
                <w:szCs w:val="22"/>
              </w:rPr>
              <w:t xml:space="preserve"> NGO’), the Ministry of Finance, SE Centre of Registers</w:t>
            </w:r>
          </w:p>
        </w:tc>
      </w:tr>
      <w:tr w:rsidR="007D1BD6" w:rsidRPr="00CF3127" w:rsidTr="00B46071">
        <w:trPr>
          <w:gridAfter w:val="2"/>
          <w:wAfter w:w="334" w:type="dxa"/>
          <w:trHeight w:val="774"/>
        </w:trPr>
        <w:tc>
          <w:tcPr>
            <w:tcW w:w="3236" w:type="dxa"/>
            <w:gridSpan w:val="4"/>
            <w:tcBorders>
              <w:top w:val="single" w:sz="8" w:space="0" w:color="000000"/>
              <w:left w:val="single" w:sz="8" w:space="0" w:color="000000"/>
              <w:bottom w:val="single" w:sz="4" w:space="0" w:color="auto"/>
              <w:right w:val="single" w:sz="8" w:space="0" w:color="000000"/>
            </w:tcBorders>
            <w:shd w:val="clear" w:color="auto" w:fill="D9D9D9"/>
            <w:vAlign w:val="center"/>
            <w:hideMark/>
          </w:tcPr>
          <w:p w:rsidR="007D1BD6" w:rsidRPr="00CF3127" w:rsidRDefault="007D1BD6" w:rsidP="006A38F8">
            <w:pPr>
              <w:jc w:val="center"/>
              <w:rPr>
                <w:rFonts w:cstheme="minorHAnsi"/>
                <w:sz w:val="22"/>
                <w:szCs w:val="22"/>
              </w:rPr>
            </w:pPr>
            <w:r w:rsidRPr="00CF3127">
              <w:rPr>
                <w:color w:val="000000"/>
                <w:sz w:val="22"/>
                <w:szCs w:val="22"/>
                <w:shd w:val="clear" w:color="auto" w:fill="D9D9D9"/>
              </w:rPr>
              <w:t>Civil society organisations, private sector, multilaterals, working groups</w:t>
            </w:r>
          </w:p>
        </w:tc>
        <w:tc>
          <w:tcPr>
            <w:tcW w:w="6982" w:type="dxa"/>
            <w:gridSpan w:val="1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7D1BD6" w:rsidRPr="00CF3127" w:rsidRDefault="004C1E89" w:rsidP="006A38F8">
            <w:pPr>
              <w:rPr>
                <w:rFonts w:cstheme="minorHAnsi"/>
                <w:sz w:val="22"/>
                <w:szCs w:val="22"/>
              </w:rPr>
            </w:pPr>
            <w:r w:rsidRPr="00CF3127">
              <w:rPr>
                <w:rStyle w:val="CharStyle26"/>
                <w:rFonts w:asciiTheme="minorHAnsi" w:eastAsiaTheme="minorHAnsi" w:hAnsiTheme="minorHAnsi"/>
                <w:sz w:val="22"/>
                <w:szCs w:val="22"/>
              </w:rPr>
              <w:t>NGO Council</w:t>
            </w:r>
          </w:p>
        </w:tc>
      </w:tr>
      <w:tr w:rsidR="00A7795C" w:rsidRPr="00CF3127" w:rsidTr="00B46071">
        <w:trPr>
          <w:gridAfter w:val="2"/>
          <w:wAfter w:w="334" w:type="dxa"/>
        </w:trPr>
        <w:tc>
          <w:tcPr>
            <w:tcW w:w="10218" w:type="dxa"/>
            <w:gridSpan w:val="17"/>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E301C0" w:rsidRPr="00CF3127" w:rsidRDefault="00BC7E33" w:rsidP="006A38F8">
            <w:pPr>
              <w:ind w:left="360"/>
              <w:jc w:val="center"/>
              <w:rPr>
                <w:b/>
                <w:color w:val="FFFFFF" w:themeColor="background1"/>
              </w:rPr>
            </w:pPr>
            <w:r w:rsidRPr="00CF3127">
              <w:rPr>
                <w:b/>
                <w:bCs/>
                <w:color w:val="FFFFFF" w:themeColor="background1"/>
              </w:rPr>
              <w:t xml:space="preserve">III. </w:t>
            </w:r>
            <w:r w:rsidRPr="00CF3127">
              <w:rPr>
                <w:b/>
                <w:color w:val="FFFFFF" w:themeColor="background1"/>
              </w:rPr>
              <w:t>Openness to the public of the activities of public governance institutions and their public accountability</w:t>
            </w:r>
          </w:p>
          <w:p w:rsidR="00A7795C" w:rsidRPr="00CF3127" w:rsidRDefault="00BC5D6A" w:rsidP="006A38F8">
            <w:pPr>
              <w:ind w:left="360"/>
              <w:jc w:val="center"/>
              <w:rPr>
                <w:rFonts w:cstheme="minorHAnsi"/>
                <w:b/>
                <w:bCs/>
                <w:color w:val="FFFFFF" w:themeColor="background1"/>
                <w:sz w:val="22"/>
                <w:szCs w:val="22"/>
              </w:rPr>
            </w:pPr>
            <w:r w:rsidRPr="00CF3127">
              <w:rPr>
                <w:b/>
                <w:color w:val="FFFFFF" w:themeColor="background1"/>
              </w:rPr>
              <w:t>(fiscal openness)</w:t>
            </w:r>
          </w:p>
        </w:tc>
      </w:tr>
      <w:tr w:rsidR="00A7795C" w:rsidRPr="00CF3127" w:rsidTr="00B46071">
        <w:trPr>
          <w:gridAfter w:val="2"/>
          <w:wAfter w:w="334" w:type="dxa"/>
        </w:trPr>
        <w:tc>
          <w:tcPr>
            <w:tcW w:w="10218" w:type="dxa"/>
            <w:gridSpan w:val="17"/>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E301C0" w:rsidRPr="00CF3127" w:rsidRDefault="00F354BE" w:rsidP="001B56F5">
            <w:pPr>
              <w:jc w:val="cente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 xml:space="preserve">3. Publicise information on revenue and expenditure of state and municipal institutions </w:t>
            </w:r>
          </w:p>
          <w:p w:rsidR="00A7795C" w:rsidRPr="00CF3127" w:rsidRDefault="00B55A37" w:rsidP="001B56F5">
            <w:pPr>
              <w:jc w:val="center"/>
              <w:rPr>
                <w:rStyle w:val="CharStyle26"/>
                <w:rFonts w:asciiTheme="minorHAnsi" w:eastAsiaTheme="minorHAnsi" w:hAnsiTheme="minorHAnsi" w:cstheme="minorHAnsi"/>
                <w:sz w:val="22"/>
                <w:szCs w:val="22"/>
              </w:rPr>
            </w:pPr>
            <w:r w:rsidRPr="00CF3127">
              <w:rPr>
                <w:rStyle w:val="CharStyle26"/>
                <w:rFonts w:asciiTheme="minorHAnsi" w:eastAsiaTheme="minorHAnsi" w:hAnsiTheme="minorHAnsi"/>
                <w:sz w:val="22"/>
                <w:szCs w:val="22"/>
              </w:rPr>
              <w:t xml:space="preserve"> in the electronic environment designed for that purpose</w:t>
            </w:r>
          </w:p>
        </w:tc>
      </w:tr>
      <w:tr w:rsidR="00A7795C" w:rsidRPr="00CF3127" w:rsidTr="00B46071">
        <w:trPr>
          <w:gridAfter w:val="2"/>
          <w:wAfter w:w="334" w:type="dxa"/>
          <w:trHeight w:val="420"/>
        </w:trPr>
        <w:tc>
          <w:tcPr>
            <w:tcW w:w="10218" w:type="dxa"/>
            <w:gridSpan w:val="17"/>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A7795C" w:rsidRPr="00CF3127" w:rsidRDefault="00B55A37" w:rsidP="006A38F8">
            <w:pPr>
              <w:jc w:val="center"/>
              <w:rPr>
                <w:rFonts w:cstheme="minorHAnsi"/>
                <w:i/>
                <w:sz w:val="22"/>
                <w:szCs w:val="22"/>
              </w:rPr>
            </w:pPr>
            <w:r w:rsidRPr="00CF3127">
              <w:rPr>
                <w:i/>
                <w:sz w:val="22"/>
                <w:szCs w:val="22"/>
              </w:rPr>
              <w:t>30 June 2018 – 15 June 2020</w:t>
            </w:r>
          </w:p>
        </w:tc>
      </w:tr>
      <w:tr w:rsidR="00A7795C" w:rsidRPr="00CF3127" w:rsidTr="00B46071">
        <w:trPr>
          <w:gridAfter w:val="2"/>
          <w:wAfter w:w="334" w:type="dxa"/>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Lead implementing agency</w:t>
            </w:r>
          </w:p>
        </w:tc>
        <w:tc>
          <w:tcPr>
            <w:tcW w:w="6297" w:type="dxa"/>
            <w:gridSpan w:val="1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A5CBE" w:rsidRPr="00CF3127" w:rsidRDefault="00E301C0" w:rsidP="006A38F8">
            <w:pPr>
              <w:rPr>
                <w:rFonts w:cstheme="minorHAnsi"/>
                <w:sz w:val="22"/>
                <w:szCs w:val="22"/>
              </w:rPr>
            </w:pPr>
            <w:r w:rsidRPr="00CF3127">
              <w:rPr>
                <w:sz w:val="22"/>
                <w:szCs w:val="22"/>
              </w:rPr>
              <w:t>Ministry of Finance</w:t>
            </w:r>
          </w:p>
        </w:tc>
      </w:tr>
      <w:tr w:rsidR="00A7795C" w:rsidRPr="00CF3127" w:rsidTr="00B46071">
        <w:trPr>
          <w:gridAfter w:val="2"/>
          <w:wAfter w:w="334" w:type="dxa"/>
          <w:trHeight w:val="420"/>
        </w:trPr>
        <w:tc>
          <w:tcPr>
            <w:tcW w:w="10218" w:type="dxa"/>
            <w:gridSpan w:val="1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b/>
                <w:bCs/>
                <w:color w:val="000000"/>
                <w:sz w:val="22"/>
                <w:szCs w:val="22"/>
                <w:shd w:val="clear" w:color="auto" w:fill="D9D9D9"/>
              </w:rPr>
              <w:t xml:space="preserve">Commitment description </w:t>
            </w:r>
          </w:p>
        </w:tc>
      </w:tr>
      <w:tr w:rsidR="00A7795C" w:rsidRPr="00CF3127" w:rsidTr="00B46071">
        <w:trPr>
          <w:gridAfter w:val="2"/>
          <w:wAfter w:w="334" w:type="dxa"/>
          <w:trHeight w:val="420"/>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Key problem addressed </w:t>
            </w:r>
          </w:p>
        </w:tc>
        <w:tc>
          <w:tcPr>
            <w:tcW w:w="6297"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802E29" w:rsidP="001B56F5">
            <w:pPr>
              <w:jc w:val="both"/>
              <w:rPr>
                <w:rFonts w:cstheme="minorHAnsi"/>
                <w:iCs/>
                <w:color w:val="000000"/>
                <w:sz w:val="22"/>
                <w:szCs w:val="22"/>
              </w:rPr>
            </w:pPr>
            <w:r w:rsidRPr="00CF3127">
              <w:rPr>
                <w:sz w:val="22"/>
                <w:szCs w:val="22"/>
              </w:rPr>
              <w:t>For the moment, there is no single methodological, legal and ICT tool model that would ensure access to information about the revenues and expenditure and other financial data of state and municipal institutions in the electronic environment, and the public is prevented from getting information about the financial activities of public authorities and public financial resources in a manner acceptable to it. Access is limited to relevant information on public revenues, expenditure, beneficiaries and/or other financial information when using electronic search and analytical tools.</w:t>
            </w:r>
          </w:p>
        </w:tc>
      </w:tr>
      <w:tr w:rsidR="00A7795C" w:rsidRPr="00CF3127" w:rsidTr="00161804">
        <w:trPr>
          <w:gridAfter w:val="2"/>
          <w:wAfter w:w="334" w:type="dxa"/>
          <w:trHeight w:val="313"/>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Commitment</w:t>
            </w:r>
          </w:p>
        </w:tc>
        <w:tc>
          <w:tcPr>
            <w:tcW w:w="6297"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802E29" w:rsidP="006A38F8">
            <w:pPr>
              <w:jc w:val="both"/>
              <w:rPr>
                <w:rFonts w:cstheme="minorHAnsi"/>
                <w:iCs/>
                <w:color w:val="000000"/>
                <w:sz w:val="22"/>
                <w:szCs w:val="22"/>
              </w:rPr>
            </w:pPr>
            <w:r w:rsidRPr="00CF3127">
              <w:rPr>
                <w:sz w:val="22"/>
                <w:szCs w:val="22"/>
              </w:rPr>
              <w:t>Creation of the IS ‘Open Finance’.</w:t>
            </w:r>
          </w:p>
        </w:tc>
      </w:tr>
      <w:tr w:rsidR="00A7795C" w:rsidRPr="00CF3127" w:rsidTr="00B46071">
        <w:trPr>
          <w:gridAfter w:val="2"/>
          <w:wAfter w:w="334" w:type="dxa"/>
          <w:trHeight w:val="440"/>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How will the commitment contribute to address the public problem? </w:t>
            </w:r>
          </w:p>
        </w:tc>
        <w:tc>
          <w:tcPr>
            <w:tcW w:w="6297"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5799" w:rsidRPr="00CF3127" w:rsidRDefault="00802E29" w:rsidP="001B56F5">
            <w:pPr>
              <w:jc w:val="both"/>
              <w:rPr>
                <w:rFonts w:cstheme="minorHAnsi"/>
                <w:sz w:val="22"/>
                <w:szCs w:val="22"/>
              </w:rPr>
            </w:pPr>
            <w:r w:rsidRPr="00CF3127">
              <w:rPr>
                <w:sz w:val="22"/>
                <w:szCs w:val="22"/>
              </w:rPr>
              <w:t>Following the creation and introduction of the IS ‘Open Finance’, information on revenue and expenditure of state and municipal institutions will be placed in a single IS, providing for a possibility of cross-cutting analysis, summary tables, graphic images at customer’s request, data search by using electronic search and analytical tools.</w:t>
            </w:r>
          </w:p>
        </w:tc>
      </w:tr>
      <w:tr w:rsidR="00A7795C" w:rsidRPr="00CF3127" w:rsidTr="00B46071">
        <w:trPr>
          <w:gridAfter w:val="2"/>
          <w:wAfter w:w="334" w:type="dxa"/>
          <w:trHeight w:val="420"/>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How does the commitment relate to OGP values?</w:t>
            </w:r>
          </w:p>
        </w:tc>
        <w:tc>
          <w:tcPr>
            <w:tcW w:w="6297"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B5244A" w:rsidP="001B56F5">
            <w:pPr>
              <w:jc w:val="both"/>
              <w:textAlignment w:val="baseline"/>
              <w:rPr>
                <w:rFonts w:cstheme="minorHAnsi"/>
                <w:sz w:val="22"/>
                <w:szCs w:val="22"/>
              </w:rPr>
            </w:pPr>
            <w:r w:rsidRPr="00CF3127">
              <w:rPr>
                <w:sz w:val="22"/>
                <w:szCs w:val="22"/>
              </w:rPr>
              <w:t>The commitment is relevant to the value of transparency, as the information system created will allow data on public sector revenue and expenditure to be accessed from one place and in a single format. This will increase the accessibility of information about NGOs to the public, as well as its quality and the clarity. The tools created will provide the public with a possibility of cross-cutting analysis of this information, and thus make an impact on decision-making.</w:t>
            </w:r>
            <w:r w:rsidRPr="00CF3127">
              <w:rPr>
                <w:rFonts w:ascii="Arial" w:hAnsi="Arial"/>
                <w:iCs/>
                <w:color w:val="000000"/>
                <w:sz w:val="22"/>
                <w:szCs w:val="22"/>
              </w:rPr>
              <w:t xml:space="preserve">  </w:t>
            </w:r>
          </w:p>
        </w:tc>
      </w:tr>
      <w:tr w:rsidR="00A7795C" w:rsidRPr="00CF3127" w:rsidTr="00B46071">
        <w:trPr>
          <w:gridAfter w:val="2"/>
          <w:wAfter w:w="334" w:type="dxa"/>
          <w:trHeight w:val="420"/>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Additional information </w:t>
            </w:r>
          </w:p>
        </w:tc>
        <w:tc>
          <w:tcPr>
            <w:tcW w:w="6297"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244A" w:rsidRPr="00CF3127" w:rsidRDefault="00B5244A" w:rsidP="006A38F8">
            <w:pPr>
              <w:jc w:val="both"/>
              <w:textAlignment w:val="baseline"/>
              <w:rPr>
                <w:rFonts w:cstheme="minorHAnsi"/>
                <w:sz w:val="22"/>
                <w:szCs w:val="22"/>
              </w:rPr>
            </w:pPr>
            <w:r w:rsidRPr="00CF3127">
              <w:rPr>
                <w:sz w:val="22"/>
                <w:szCs w:val="22"/>
              </w:rPr>
              <w:t>The commitment as a separate measure is provided in the Inter-institutional Action Plan for 2015-2019 of the National Anti-Corruption Programme for 2015-2025, approved by Resolution No 648 of the Government of 17 June 2015 regarding the approval of the inter-institutional action plan for the implementation in 2015-2019 of the national anti-corruption programme of the Republic of Lithuania for 2015-2025 (Measure No 1.1.1 ‘Publicising information on revenue and expenditure of state and municipal institutions and bodies in the electronic environment via the created information system’).</w:t>
            </w:r>
          </w:p>
          <w:p w:rsidR="00A7795C" w:rsidRPr="00CF3127" w:rsidRDefault="00B5244A">
            <w:pPr>
              <w:jc w:val="both"/>
              <w:rPr>
                <w:rFonts w:cstheme="minorHAnsi"/>
                <w:iCs/>
                <w:color w:val="000000"/>
                <w:sz w:val="22"/>
                <w:szCs w:val="22"/>
              </w:rPr>
            </w:pPr>
            <w:r w:rsidRPr="00CF3127">
              <w:rPr>
                <w:sz w:val="22"/>
                <w:szCs w:val="22"/>
              </w:rPr>
              <w:t>Commitment budget – EUR 580 million. Implementation of the commitment is financed from the EU Structural Funds.</w:t>
            </w:r>
          </w:p>
        </w:tc>
      </w:tr>
      <w:tr w:rsidR="00A7795C" w:rsidRPr="00CF3127" w:rsidTr="00161804">
        <w:trPr>
          <w:gridAfter w:val="2"/>
          <w:wAfter w:w="334" w:type="dxa"/>
        </w:trPr>
        <w:tc>
          <w:tcPr>
            <w:tcW w:w="3921" w:type="dxa"/>
            <w:gridSpan w:val="5"/>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Completion stage</w:t>
            </w:r>
          </w:p>
        </w:tc>
        <w:tc>
          <w:tcPr>
            <w:tcW w:w="1739"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Not started</w:t>
            </w:r>
          </w:p>
        </w:tc>
        <w:tc>
          <w:tcPr>
            <w:tcW w:w="156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Started</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Half-way through </w:t>
            </w:r>
          </w:p>
        </w:tc>
        <w:tc>
          <w:tcPr>
            <w:tcW w:w="172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Completed</w:t>
            </w:r>
          </w:p>
        </w:tc>
      </w:tr>
      <w:tr w:rsidR="00A7795C" w:rsidRPr="00CF3127" w:rsidTr="00161804">
        <w:trPr>
          <w:gridAfter w:val="2"/>
          <w:wAfter w:w="334" w:type="dxa"/>
        </w:trPr>
        <w:tc>
          <w:tcPr>
            <w:tcW w:w="3921" w:type="dxa"/>
            <w:gridSpan w:val="5"/>
            <w:vMerge/>
            <w:tcBorders>
              <w:top w:val="single" w:sz="8" w:space="0" w:color="000000"/>
              <w:left w:val="single" w:sz="8" w:space="0" w:color="000000"/>
              <w:bottom w:val="single" w:sz="8" w:space="0" w:color="000000"/>
              <w:right w:val="single" w:sz="8" w:space="0" w:color="000000"/>
            </w:tcBorders>
            <w:vAlign w:val="center"/>
            <w:hideMark/>
          </w:tcPr>
          <w:p w:rsidR="00A7795C" w:rsidRPr="00CF3127" w:rsidRDefault="00A7795C" w:rsidP="006A38F8">
            <w:pPr>
              <w:rPr>
                <w:rFonts w:cstheme="minorHAnsi"/>
                <w:sz w:val="22"/>
                <w:szCs w:val="22"/>
              </w:rPr>
            </w:pPr>
          </w:p>
        </w:tc>
        <w:tc>
          <w:tcPr>
            <w:tcW w:w="173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rPr>
                <w:rFonts w:cstheme="minorHAnsi"/>
                <w:sz w:val="22"/>
                <w:szCs w:val="22"/>
              </w:rPr>
            </w:pP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jc w:val="center"/>
              <w:rPr>
                <w:rFonts w:eastAsia="Times New Roman" w:cstheme="minorHAnsi"/>
                <w:sz w:val="22"/>
                <w:szCs w:val="22"/>
              </w:rPr>
            </w:pP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880BDA" w:rsidP="006A38F8">
            <w:pPr>
              <w:jc w:val="center"/>
              <w:rPr>
                <w:rFonts w:eastAsia="Times New Roman" w:cstheme="minorHAnsi"/>
                <w:sz w:val="22"/>
                <w:szCs w:val="22"/>
              </w:rPr>
            </w:pPr>
            <w:r w:rsidRPr="00CF3127">
              <w:rPr>
                <w:sz w:val="22"/>
                <w:szCs w:val="22"/>
              </w:rPr>
              <w:t>X</w:t>
            </w:r>
          </w:p>
        </w:tc>
        <w:tc>
          <w:tcPr>
            <w:tcW w:w="172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rPr>
                <w:rFonts w:eastAsia="Times New Roman" w:cstheme="minorHAnsi"/>
                <w:sz w:val="22"/>
                <w:szCs w:val="22"/>
              </w:rPr>
            </w:pPr>
          </w:p>
        </w:tc>
      </w:tr>
      <w:tr w:rsidR="00FD6295" w:rsidRPr="00CF3127" w:rsidTr="00B46071">
        <w:trPr>
          <w:gridAfter w:val="2"/>
          <w:wAfter w:w="334" w:type="dxa"/>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Description of concrete results</w:t>
            </w:r>
          </w:p>
        </w:tc>
        <w:tc>
          <w:tcPr>
            <w:tcW w:w="6297"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6295" w:rsidRPr="00CF3127" w:rsidRDefault="008F09C4" w:rsidP="006A38F8">
            <w:pPr>
              <w:jc w:val="both"/>
              <w:rPr>
                <w:rFonts w:cstheme="minorHAnsi"/>
                <w:sz w:val="22"/>
                <w:szCs w:val="22"/>
              </w:rPr>
            </w:pPr>
            <w:r w:rsidRPr="00CF3127">
              <w:rPr>
                <w:sz w:val="22"/>
                <w:szCs w:val="22"/>
              </w:rPr>
              <w:t>A detailed system analysis has been completed, indicator priorities adjusted and standard software has been developed. The first phase of launching the pilot version has begun.</w:t>
            </w:r>
          </w:p>
        </w:tc>
      </w:tr>
      <w:tr w:rsidR="00FD6295" w:rsidRPr="00CF3127" w:rsidTr="00B46071">
        <w:trPr>
          <w:gridAfter w:val="2"/>
          <w:wAfter w:w="334" w:type="dxa"/>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Next steps</w:t>
            </w:r>
          </w:p>
        </w:tc>
        <w:tc>
          <w:tcPr>
            <w:tcW w:w="6297"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09C4" w:rsidRPr="00CF3127" w:rsidRDefault="008F09C4" w:rsidP="006A38F8">
            <w:pPr>
              <w:pStyle w:val="ListParagraph"/>
              <w:numPr>
                <w:ilvl w:val="0"/>
                <w:numId w:val="21"/>
              </w:numPr>
              <w:textAlignment w:val="baseline"/>
              <w:rPr>
                <w:rFonts w:cstheme="minorHAnsi"/>
                <w:sz w:val="22"/>
                <w:szCs w:val="22"/>
              </w:rPr>
            </w:pPr>
            <w:r w:rsidRPr="00CF3127">
              <w:rPr>
                <w:sz w:val="22"/>
                <w:szCs w:val="22"/>
              </w:rPr>
              <w:t>Introduction of the pilot version;</w:t>
            </w:r>
          </w:p>
          <w:p w:rsidR="008F09C4" w:rsidRPr="00CF3127" w:rsidRDefault="001B56F5" w:rsidP="006A38F8">
            <w:pPr>
              <w:pStyle w:val="ListParagraph"/>
              <w:numPr>
                <w:ilvl w:val="0"/>
                <w:numId w:val="20"/>
              </w:numPr>
              <w:textAlignment w:val="baseline"/>
              <w:rPr>
                <w:rFonts w:cstheme="minorHAnsi"/>
                <w:sz w:val="22"/>
                <w:szCs w:val="22"/>
              </w:rPr>
            </w:pPr>
            <w:r w:rsidRPr="00CF3127">
              <w:rPr>
                <w:sz w:val="22"/>
                <w:szCs w:val="22"/>
              </w:rPr>
              <w:t>introduction of the publicly accessible version of the system;</w:t>
            </w:r>
          </w:p>
          <w:p w:rsidR="00FD6295" w:rsidRPr="00CF3127" w:rsidRDefault="001B56F5" w:rsidP="006A38F8">
            <w:pPr>
              <w:pStyle w:val="ListParagraph"/>
              <w:numPr>
                <w:ilvl w:val="0"/>
                <w:numId w:val="20"/>
              </w:numPr>
              <w:jc w:val="both"/>
              <w:rPr>
                <w:rFonts w:eastAsia="Times New Roman" w:cstheme="minorHAnsi"/>
                <w:color w:val="000000"/>
                <w:sz w:val="22"/>
                <w:szCs w:val="22"/>
              </w:rPr>
            </w:pPr>
            <w:r w:rsidRPr="00CF3127">
              <w:rPr>
                <w:sz w:val="22"/>
                <w:szCs w:val="22"/>
              </w:rPr>
              <w:t>introduction of the updated final version of the system with corrected errors.</w:t>
            </w:r>
          </w:p>
        </w:tc>
      </w:tr>
      <w:tr w:rsidR="00FD6295" w:rsidRPr="00CF3127" w:rsidTr="00161804">
        <w:trPr>
          <w:gridAfter w:val="2"/>
          <w:wAfter w:w="334" w:type="dxa"/>
          <w:trHeight w:val="253"/>
        </w:trPr>
        <w:tc>
          <w:tcPr>
            <w:tcW w:w="566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Milestone status</w:t>
            </w:r>
          </w:p>
        </w:tc>
        <w:tc>
          <w:tcPr>
            <w:tcW w:w="156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Start date:</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End date:</w:t>
            </w:r>
          </w:p>
        </w:tc>
        <w:tc>
          <w:tcPr>
            <w:tcW w:w="172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rPr>
              <w:t>Completion stage</w:t>
            </w:r>
          </w:p>
        </w:tc>
      </w:tr>
      <w:tr w:rsidR="00030A34" w:rsidRPr="00CF3127" w:rsidTr="00161804">
        <w:trPr>
          <w:gridAfter w:val="2"/>
          <w:wAfter w:w="334"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A34" w:rsidRPr="00CF3127" w:rsidRDefault="00030A34" w:rsidP="006A38F8">
            <w:pPr>
              <w:rPr>
                <w:rFonts w:cstheme="minorHAnsi"/>
                <w:sz w:val="22"/>
                <w:szCs w:val="22"/>
              </w:rPr>
            </w:pPr>
            <w:r w:rsidRPr="00CF3127">
              <w:rPr>
                <w:sz w:val="22"/>
                <w:szCs w:val="22"/>
              </w:rPr>
              <w:t>Initiation and analysis (a document featuring detailed analysis and system architecture; introduction and configuration of standard system components)</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A34" w:rsidRPr="00CF3127" w:rsidRDefault="00030A34" w:rsidP="006A38F8">
            <w:pPr>
              <w:jc w:val="both"/>
              <w:rPr>
                <w:rFonts w:cstheme="minorHAnsi"/>
                <w:sz w:val="22"/>
                <w:szCs w:val="22"/>
              </w:rPr>
            </w:pPr>
            <w:r w:rsidRPr="00CF3127">
              <w:rPr>
                <w:sz w:val="22"/>
                <w:szCs w:val="22"/>
              </w:rPr>
              <w:t>12-2018</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A34" w:rsidRPr="00CF3127" w:rsidRDefault="00030A34" w:rsidP="006A38F8">
            <w:pPr>
              <w:rPr>
                <w:rFonts w:cstheme="minorHAnsi"/>
                <w:sz w:val="22"/>
                <w:szCs w:val="22"/>
              </w:rPr>
            </w:pPr>
            <w:r w:rsidRPr="00CF3127">
              <w:rPr>
                <w:sz w:val="22"/>
                <w:szCs w:val="22"/>
              </w:rPr>
              <w:t>04-2019</w:t>
            </w:r>
          </w:p>
        </w:tc>
        <w:tc>
          <w:tcPr>
            <w:tcW w:w="172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030A34" w:rsidRPr="00CF3127" w:rsidRDefault="00030A34" w:rsidP="006A38F8">
            <w:pPr>
              <w:rPr>
                <w:rFonts w:cstheme="minorHAnsi"/>
                <w:sz w:val="22"/>
                <w:szCs w:val="22"/>
              </w:rPr>
            </w:pPr>
            <w:r w:rsidRPr="00CF3127">
              <w:rPr>
                <w:sz w:val="22"/>
                <w:szCs w:val="22"/>
              </w:rPr>
              <w:t>Completed</w:t>
            </w:r>
          </w:p>
        </w:tc>
      </w:tr>
      <w:tr w:rsidR="00030A34" w:rsidRPr="00CF3127" w:rsidTr="00161804">
        <w:trPr>
          <w:gridAfter w:val="2"/>
          <w:wAfter w:w="334"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Issue of a pilot version (introduction of the pilot version with part of the fulfilled indicators)</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jc w:val="both"/>
              <w:rPr>
                <w:rFonts w:cstheme="minorHAnsi"/>
                <w:sz w:val="22"/>
                <w:szCs w:val="22"/>
              </w:rPr>
            </w:pPr>
            <w:r w:rsidRPr="00CF3127">
              <w:rPr>
                <w:sz w:val="22"/>
                <w:szCs w:val="22"/>
              </w:rPr>
              <w:t>05-2019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09-2019</w:t>
            </w:r>
          </w:p>
        </w:tc>
        <w:tc>
          <w:tcPr>
            <w:tcW w:w="172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Drawing to completion</w:t>
            </w:r>
          </w:p>
        </w:tc>
      </w:tr>
      <w:tr w:rsidR="00030A34" w:rsidRPr="00CF3127" w:rsidTr="00161804">
        <w:trPr>
          <w:gridAfter w:val="2"/>
          <w:wAfter w:w="334"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Launching beta version</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jc w:val="both"/>
              <w:rPr>
                <w:rFonts w:cstheme="minorHAnsi"/>
                <w:sz w:val="22"/>
                <w:szCs w:val="22"/>
              </w:rPr>
            </w:pPr>
            <w:r w:rsidRPr="00CF3127">
              <w:rPr>
                <w:sz w:val="22"/>
                <w:szCs w:val="22"/>
              </w:rPr>
              <w:t>10-2019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03-2020</w:t>
            </w:r>
          </w:p>
        </w:tc>
        <w:tc>
          <w:tcPr>
            <w:tcW w:w="172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To be implemented</w:t>
            </w:r>
          </w:p>
        </w:tc>
      </w:tr>
      <w:tr w:rsidR="00030A34" w:rsidRPr="00CF3127" w:rsidTr="00161804">
        <w:trPr>
          <w:gridAfter w:val="2"/>
          <w:wAfter w:w="334"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Trial operation and error correction</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jc w:val="both"/>
              <w:rPr>
                <w:rFonts w:cstheme="minorHAnsi"/>
                <w:sz w:val="22"/>
                <w:szCs w:val="22"/>
              </w:rPr>
            </w:pPr>
            <w:r w:rsidRPr="00CF3127">
              <w:rPr>
                <w:sz w:val="22"/>
                <w:szCs w:val="22"/>
              </w:rPr>
              <w:t>04-2020</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06-2020</w:t>
            </w:r>
          </w:p>
        </w:tc>
        <w:tc>
          <w:tcPr>
            <w:tcW w:w="172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030A34" w:rsidRPr="00CF3127" w:rsidRDefault="00030A34" w:rsidP="006A38F8">
            <w:pPr>
              <w:rPr>
                <w:rFonts w:cstheme="minorHAnsi"/>
                <w:sz w:val="22"/>
                <w:szCs w:val="22"/>
              </w:rPr>
            </w:pPr>
            <w:r w:rsidRPr="00CF3127">
              <w:rPr>
                <w:sz w:val="22"/>
                <w:szCs w:val="22"/>
              </w:rPr>
              <w:t>To be implemented</w:t>
            </w:r>
          </w:p>
        </w:tc>
      </w:tr>
      <w:tr w:rsidR="00030A34" w:rsidRPr="00CF3127" w:rsidTr="00161804">
        <w:trPr>
          <w:gridAfter w:val="2"/>
          <w:wAfter w:w="334"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A34" w:rsidRPr="00CF3127" w:rsidRDefault="00030A34" w:rsidP="006A38F8">
            <w:pPr>
              <w:rPr>
                <w:rFonts w:cstheme="minorHAnsi"/>
                <w:sz w:val="22"/>
                <w:szCs w:val="22"/>
              </w:rPr>
            </w:pPr>
            <w:r w:rsidRPr="00CF3127">
              <w:rPr>
                <w:sz w:val="22"/>
                <w:szCs w:val="22"/>
              </w:rPr>
              <w:t>Initiation and analysis (a document featuring detailed analysis and system architecture; introduction and configuration of standard system components)</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A34" w:rsidRPr="00CF3127" w:rsidRDefault="00030A34" w:rsidP="006A38F8">
            <w:pPr>
              <w:rPr>
                <w:rFonts w:cstheme="minorHAnsi"/>
                <w:sz w:val="22"/>
                <w:szCs w:val="22"/>
              </w:rPr>
            </w:pPr>
            <w:r w:rsidRPr="00CF3127">
              <w:rPr>
                <w:sz w:val="22"/>
                <w:szCs w:val="22"/>
              </w:rPr>
              <w:t>12-2018</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A34" w:rsidRPr="00CF3127" w:rsidRDefault="00030A34" w:rsidP="006A38F8">
            <w:pPr>
              <w:rPr>
                <w:rFonts w:cstheme="minorHAnsi"/>
                <w:sz w:val="22"/>
                <w:szCs w:val="22"/>
              </w:rPr>
            </w:pPr>
            <w:r w:rsidRPr="00CF3127">
              <w:rPr>
                <w:sz w:val="22"/>
                <w:szCs w:val="22"/>
              </w:rPr>
              <w:t>04-2019</w:t>
            </w:r>
          </w:p>
        </w:tc>
        <w:tc>
          <w:tcPr>
            <w:tcW w:w="172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A34" w:rsidRPr="00CF3127" w:rsidRDefault="00030A34" w:rsidP="006A38F8">
            <w:pPr>
              <w:rPr>
                <w:rFonts w:cstheme="minorHAnsi"/>
                <w:sz w:val="22"/>
                <w:szCs w:val="22"/>
              </w:rPr>
            </w:pPr>
            <w:r w:rsidRPr="00CF3127">
              <w:rPr>
                <w:sz w:val="22"/>
                <w:szCs w:val="22"/>
              </w:rPr>
              <w:t>Completed</w:t>
            </w:r>
          </w:p>
        </w:tc>
      </w:tr>
      <w:tr w:rsidR="00FD6295" w:rsidRPr="00CF3127" w:rsidTr="00B46071">
        <w:trPr>
          <w:gridAfter w:val="2"/>
          <w:wAfter w:w="334" w:type="dxa"/>
          <w:trHeight w:val="420"/>
        </w:trPr>
        <w:tc>
          <w:tcPr>
            <w:tcW w:w="10218" w:type="dxa"/>
            <w:gridSpan w:val="1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 xml:space="preserve">Contact information </w:t>
            </w:r>
          </w:p>
        </w:tc>
      </w:tr>
      <w:tr w:rsidR="00FD6295" w:rsidRPr="00CF3127" w:rsidTr="00B46071">
        <w:trPr>
          <w:gridAfter w:val="2"/>
          <w:wAfter w:w="334" w:type="dxa"/>
          <w:trHeight w:val="420"/>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Lead implementing agency</w:t>
            </w:r>
          </w:p>
        </w:tc>
        <w:tc>
          <w:tcPr>
            <w:tcW w:w="6297" w:type="dxa"/>
            <w:gridSpan w:val="1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D6295" w:rsidRPr="00CF3127" w:rsidRDefault="001B56F5" w:rsidP="006A38F8">
            <w:pPr>
              <w:rPr>
                <w:rFonts w:cstheme="minorHAnsi"/>
                <w:sz w:val="22"/>
                <w:szCs w:val="22"/>
              </w:rPr>
            </w:pPr>
            <w:r w:rsidRPr="00CF3127">
              <w:rPr>
                <w:sz w:val="22"/>
                <w:szCs w:val="22"/>
              </w:rPr>
              <w:t>Ministry of Finance</w:t>
            </w:r>
          </w:p>
          <w:p w:rsidR="00FD6295" w:rsidRPr="00CF3127" w:rsidRDefault="00FD6295" w:rsidP="006A38F8">
            <w:pPr>
              <w:rPr>
                <w:rFonts w:cstheme="minorHAnsi"/>
                <w:sz w:val="22"/>
                <w:szCs w:val="22"/>
              </w:rPr>
            </w:pPr>
          </w:p>
        </w:tc>
      </w:tr>
      <w:tr w:rsidR="00FD6295" w:rsidRPr="00CF3127" w:rsidTr="00161804">
        <w:trPr>
          <w:gridAfter w:val="2"/>
          <w:wAfter w:w="334" w:type="dxa"/>
          <w:trHeight w:val="269"/>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Persons in charge</w:t>
            </w:r>
          </w:p>
        </w:tc>
        <w:tc>
          <w:tcPr>
            <w:tcW w:w="6297" w:type="dxa"/>
            <w:gridSpan w:val="1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D6295" w:rsidRPr="00CF3127" w:rsidRDefault="00FD6295" w:rsidP="006A38F8">
            <w:pPr>
              <w:rPr>
                <w:rFonts w:cstheme="minorHAnsi"/>
                <w:sz w:val="22"/>
                <w:szCs w:val="22"/>
              </w:rPr>
            </w:pPr>
            <w:r w:rsidRPr="00CF3127">
              <w:rPr>
                <w:sz w:val="22"/>
                <w:szCs w:val="22"/>
              </w:rPr>
              <w:t>Rasa Kavolytė</w:t>
            </w:r>
          </w:p>
        </w:tc>
      </w:tr>
      <w:tr w:rsidR="00FD6295" w:rsidRPr="00CF3127" w:rsidTr="00161804">
        <w:trPr>
          <w:gridAfter w:val="2"/>
          <w:wAfter w:w="334" w:type="dxa"/>
          <w:trHeight w:val="335"/>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Title, department</w:t>
            </w:r>
          </w:p>
        </w:tc>
        <w:tc>
          <w:tcPr>
            <w:tcW w:w="6297" w:type="dxa"/>
            <w:gridSpan w:val="1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D6295" w:rsidRPr="00CF3127" w:rsidRDefault="00285D3A" w:rsidP="006A38F8">
            <w:pPr>
              <w:rPr>
                <w:rFonts w:cstheme="minorHAnsi"/>
                <w:sz w:val="22"/>
                <w:szCs w:val="22"/>
              </w:rPr>
            </w:pPr>
            <w:r w:rsidRPr="00CF3127">
              <w:rPr>
                <w:sz w:val="22"/>
                <w:szCs w:val="22"/>
              </w:rPr>
              <w:t>Senior Adviser, State Treasury Department</w:t>
            </w:r>
          </w:p>
        </w:tc>
      </w:tr>
      <w:tr w:rsidR="00FD6295" w:rsidRPr="00CF3127" w:rsidTr="00B46071">
        <w:trPr>
          <w:gridAfter w:val="2"/>
          <w:wAfter w:w="334" w:type="dxa"/>
          <w:trHeight w:val="329"/>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email and phone</w:t>
            </w:r>
          </w:p>
        </w:tc>
        <w:tc>
          <w:tcPr>
            <w:tcW w:w="6297" w:type="dxa"/>
            <w:gridSpan w:val="1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D6295" w:rsidRPr="00CF3127" w:rsidRDefault="00087D7C" w:rsidP="006A38F8">
            <w:pPr>
              <w:rPr>
                <w:rFonts w:cstheme="minorHAnsi"/>
                <w:sz w:val="22"/>
                <w:szCs w:val="22"/>
              </w:rPr>
            </w:pPr>
            <w:hyperlink r:id="rId12" w:history="1">
              <w:r w:rsidR="00095403" w:rsidRPr="00CF3127">
                <w:rPr>
                  <w:rStyle w:val="Hyperlink"/>
                  <w:sz w:val="22"/>
                  <w:szCs w:val="22"/>
                </w:rPr>
                <w:t>rasa.kavolyte@finmin.lt</w:t>
              </w:r>
            </w:hyperlink>
            <w:r w:rsidR="00095403" w:rsidRPr="00CF3127">
              <w:rPr>
                <w:sz w:val="22"/>
                <w:szCs w:val="22"/>
              </w:rPr>
              <w:t>, (8 5) 239 0270</w:t>
            </w:r>
          </w:p>
        </w:tc>
      </w:tr>
      <w:tr w:rsidR="00FD6295" w:rsidRPr="00CF3127" w:rsidTr="00B46071">
        <w:trPr>
          <w:gridAfter w:val="2"/>
          <w:wAfter w:w="334" w:type="dxa"/>
          <w:trHeight w:val="329"/>
        </w:trPr>
        <w:tc>
          <w:tcPr>
            <w:tcW w:w="10218" w:type="dxa"/>
            <w:gridSpan w:val="1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D6295" w:rsidRPr="00CF3127" w:rsidRDefault="00FD6295" w:rsidP="006A38F8">
            <w:pPr>
              <w:jc w:val="center"/>
              <w:rPr>
                <w:rFonts w:cstheme="minorHAnsi"/>
                <w:sz w:val="22"/>
                <w:szCs w:val="22"/>
              </w:rPr>
            </w:pPr>
            <w:r w:rsidRPr="00CF3127">
              <w:rPr>
                <w:color w:val="000000"/>
                <w:sz w:val="22"/>
                <w:szCs w:val="22"/>
                <w:shd w:val="clear" w:color="auto" w:fill="D9D9D9"/>
              </w:rPr>
              <w:t>Other actors involved</w:t>
            </w:r>
          </w:p>
        </w:tc>
      </w:tr>
      <w:tr w:rsidR="00FD6295" w:rsidRPr="00CF3127" w:rsidTr="00161804">
        <w:trPr>
          <w:gridAfter w:val="2"/>
          <w:wAfter w:w="334" w:type="dxa"/>
          <w:trHeight w:val="257"/>
        </w:trPr>
        <w:tc>
          <w:tcPr>
            <w:tcW w:w="3921"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 xml:space="preserve">Ministries, departments/agencies </w:t>
            </w:r>
          </w:p>
        </w:tc>
        <w:tc>
          <w:tcPr>
            <w:tcW w:w="6297"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FD6295" w:rsidRPr="00CF3127" w:rsidRDefault="001B56F5" w:rsidP="00161804">
            <w:pPr>
              <w:pStyle w:val="ListParagraph"/>
              <w:ind w:hanging="640"/>
            </w:pPr>
            <w:r w:rsidRPr="00CF3127">
              <w:rPr>
                <w:sz w:val="22"/>
                <w:szCs w:val="22"/>
              </w:rPr>
              <w:t>ISDC, Special Investigation Service, Association of Local Authorities in Lithuania</w:t>
            </w:r>
          </w:p>
        </w:tc>
      </w:tr>
      <w:tr w:rsidR="00FD6295" w:rsidRPr="00CF3127" w:rsidTr="00B46071">
        <w:trPr>
          <w:gridAfter w:val="2"/>
          <w:wAfter w:w="334" w:type="dxa"/>
          <w:trHeight w:val="853"/>
        </w:trPr>
        <w:tc>
          <w:tcPr>
            <w:tcW w:w="3921" w:type="dxa"/>
            <w:gridSpan w:val="5"/>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FD6295" w:rsidRPr="00CF3127" w:rsidRDefault="00FD6295" w:rsidP="006A38F8">
            <w:pPr>
              <w:jc w:val="center"/>
              <w:rPr>
                <w:rFonts w:cstheme="minorHAnsi"/>
                <w:sz w:val="22"/>
                <w:szCs w:val="22"/>
              </w:rPr>
            </w:pPr>
            <w:r w:rsidRPr="00CF3127">
              <w:rPr>
                <w:color w:val="000000"/>
                <w:sz w:val="22"/>
                <w:szCs w:val="22"/>
                <w:shd w:val="clear" w:color="auto" w:fill="D9D9D9"/>
              </w:rPr>
              <w:t>Civil society organisations, private sector, multilaterals, working groups</w:t>
            </w:r>
          </w:p>
        </w:tc>
        <w:tc>
          <w:tcPr>
            <w:tcW w:w="6297"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FD6295" w:rsidRPr="00CF3127" w:rsidRDefault="00FD6295" w:rsidP="00161804">
            <w:pPr>
              <w:jc w:val="both"/>
              <w:rPr>
                <w:rFonts w:cstheme="minorHAnsi"/>
                <w:sz w:val="22"/>
                <w:szCs w:val="22"/>
              </w:rPr>
            </w:pPr>
            <w:r w:rsidRPr="00CF3127">
              <w:rPr>
                <w:sz w:val="22"/>
                <w:szCs w:val="22"/>
              </w:rPr>
              <w:t>Interinstitutional working group approved by Order No 1K-246 of the Minister for Finance of 4 June 2016 ‘On Setting up a Working Group.</w:t>
            </w:r>
          </w:p>
        </w:tc>
      </w:tr>
      <w:tr w:rsidR="00471EE6" w:rsidRPr="00CF3127" w:rsidTr="007855D6">
        <w:trPr>
          <w:gridAfter w:val="3"/>
          <w:wAfter w:w="356" w:type="dxa"/>
        </w:trPr>
        <w:tc>
          <w:tcPr>
            <w:tcW w:w="10196" w:type="dxa"/>
            <w:gridSpan w:val="16"/>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471EE6" w:rsidRPr="00CF3127" w:rsidRDefault="00B90E11" w:rsidP="006A38F8">
            <w:pPr>
              <w:jc w:val="center"/>
              <w:rPr>
                <w:rFonts w:cstheme="minorHAnsi"/>
                <w:color w:val="000000" w:themeColor="text1"/>
                <w:sz w:val="22"/>
                <w:szCs w:val="22"/>
              </w:rPr>
            </w:pPr>
            <w:r w:rsidRPr="00CF3127">
              <w:rPr>
                <w:b/>
                <w:color w:val="FFFFFF" w:themeColor="background1"/>
              </w:rPr>
              <w:t>IV. Quality of public services</w:t>
            </w:r>
          </w:p>
        </w:tc>
      </w:tr>
      <w:tr w:rsidR="00471EE6" w:rsidRPr="00CF3127" w:rsidTr="007855D6">
        <w:trPr>
          <w:gridAfter w:val="3"/>
          <w:wAfter w:w="356" w:type="dxa"/>
        </w:trPr>
        <w:tc>
          <w:tcPr>
            <w:tcW w:w="10196" w:type="dxa"/>
            <w:gridSpan w:val="1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sz w:val="22"/>
                <w:szCs w:val="22"/>
              </w:rPr>
              <w:t>4. Develop a model for transferring public services to NGOs and communities and encouraging its implementation</w:t>
            </w:r>
          </w:p>
        </w:tc>
      </w:tr>
      <w:tr w:rsidR="00471EE6" w:rsidRPr="00CF3127" w:rsidTr="007855D6">
        <w:trPr>
          <w:gridAfter w:val="3"/>
          <w:wAfter w:w="356" w:type="dxa"/>
          <w:trHeight w:val="420"/>
        </w:trPr>
        <w:tc>
          <w:tcPr>
            <w:tcW w:w="10196" w:type="dxa"/>
            <w:gridSpan w:val="1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71EE6" w:rsidRPr="00CF3127" w:rsidRDefault="00B90E11" w:rsidP="006A38F8">
            <w:pPr>
              <w:jc w:val="center"/>
              <w:rPr>
                <w:rFonts w:cstheme="minorHAnsi"/>
                <w:i/>
                <w:color w:val="000000" w:themeColor="text1"/>
                <w:sz w:val="22"/>
                <w:szCs w:val="22"/>
              </w:rPr>
            </w:pPr>
            <w:r w:rsidRPr="00CF3127">
              <w:rPr>
                <w:i/>
                <w:sz w:val="22"/>
                <w:szCs w:val="22"/>
              </w:rPr>
              <w:t>1 December 2018 – 31 December 2019</w:t>
            </w:r>
          </w:p>
        </w:tc>
      </w:tr>
      <w:tr w:rsidR="00471EE6" w:rsidRPr="00CF3127" w:rsidTr="007855D6">
        <w:trPr>
          <w:gridAfter w:val="3"/>
          <w:wAfter w:w="356" w:type="dxa"/>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Lead implementing agency</w:t>
            </w:r>
          </w:p>
        </w:tc>
        <w:tc>
          <w:tcPr>
            <w:tcW w:w="7002"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1EE6" w:rsidRPr="00CF3127" w:rsidRDefault="00B90E11" w:rsidP="006A38F8">
            <w:pPr>
              <w:rPr>
                <w:rFonts w:cstheme="minorHAnsi"/>
                <w:color w:val="000000" w:themeColor="text1"/>
                <w:sz w:val="22"/>
                <w:szCs w:val="22"/>
              </w:rPr>
            </w:pPr>
            <w:r w:rsidRPr="00CF3127">
              <w:rPr>
                <w:sz w:val="22"/>
                <w:szCs w:val="22"/>
              </w:rPr>
              <w:t>Ministry of Social Security and Labour</w:t>
            </w:r>
          </w:p>
        </w:tc>
      </w:tr>
      <w:tr w:rsidR="00471EE6" w:rsidRPr="00CF3127" w:rsidTr="007855D6">
        <w:trPr>
          <w:gridAfter w:val="3"/>
          <w:wAfter w:w="356" w:type="dxa"/>
          <w:trHeight w:val="420"/>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b/>
                <w:bCs/>
                <w:color w:val="000000" w:themeColor="text1"/>
                <w:sz w:val="22"/>
                <w:szCs w:val="22"/>
                <w:shd w:val="clear" w:color="auto" w:fill="D9D9D9"/>
              </w:rPr>
              <w:t xml:space="preserve">Commitment description </w:t>
            </w:r>
          </w:p>
        </w:tc>
      </w:tr>
      <w:tr w:rsidR="00471EE6" w:rsidRPr="00CF3127" w:rsidTr="007855D6">
        <w:trPr>
          <w:gridAfter w:val="3"/>
          <w:wAfter w:w="356" w:type="dxa"/>
          <w:trHeight w:val="420"/>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 xml:space="preserve">Key problem addressed </w:t>
            </w:r>
          </w:p>
        </w:tc>
        <w:tc>
          <w:tcPr>
            <w:tcW w:w="7002"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247B" w:rsidRPr="00CF3127" w:rsidRDefault="002A247B" w:rsidP="006A38F8">
            <w:pPr>
              <w:jc w:val="both"/>
              <w:rPr>
                <w:rFonts w:cstheme="minorHAnsi"/>
                <w:sz w:val="22"/>
                <w:szCs w:val="22"/>
              </w:rPr>
            </w:pPr>
            <w:r w:rsidRPr="00CF3127">
              <w:rPr>
                <w:sz w:val="22"/>
                <w:szCs w:val="22"/>
              </w:rPr>
              <w:t xml:space="preserve">According to the current public service delivery model, all public services are </w:t>
            </w:r>
            <w:r w:rsidR="00A1133C" w:rsidRPr="00CF3127">
              <w:rPr>
                <w:sz w:val="22"/>
                <w:szCs w:val="22"/>
              </w:rPr>
              <w:t xml:space="preserve">practically </w:t>
            </w:r>
            <w:r w:rsidRPr="00CF3127">
              <w:rPr>
                <w:sz w:val="22"/>
                <w:szCs w:val="22"/>
              </w:rPr>
              <w:t xml:space="preserve">provided by state or municipal institutions or bodies. This is often not what the users want as they are often inefficient and uneconomical, and the users are often devoid of the possibility to </w:t>
            </w:r>
            <w:r w:rsidR="00CF3127" w:rsidRPr="00CF3127">
              <w:rPr>
                <w:sz w:val="22"/>
                <w:szCs w:val="22"/>
              </w:rPr>
              <w:t>affect</w:t>
            </w:r>
            <w:r w:rsidRPr="00CF3127">
              <w:rPr>
                <w:sz w:val="22"/>
                <w:szCs w:val="22"/>
              </w:rPr>
              <w:t xml:space="preserve"> the quality of services provided. Such a public service model fails to contribute to the promotion of civic awareness and the strengthening of communities, i.e. citizens are not involved in decision-making as regards services and their better quality, despite the fact that these decisions have a significant impact on the quality of their own life and the environment. </w:t>
            </w:r>
          </w:p>
          <w:p w:rsidR="00FC2456" w:rsidRPr="00CF3127" w:rsidRDefault="00FC2456" w:rsidP="006A38F8">
            <w:pPr>
              <w:jc w:val="both"/>
              <w:rPr>
                <w:rFonts w:cstheme="minorHAnsi"/>
                <w:sz w:val="22"/>
                <w:szCs w:val="22"/>
              </w:rPr>
            </w:pPr>
          </w:p>
          <w:p w:rsidR="00471EE6" w:rsidRPr="00CF3127" w:rsidRDefault="002A247B" w:rsidP="006A38F8">
            <w:pPr>
              <w:jc w:val="both"/>
              <w:textAlignment w:val="baseline"/>
              <w:rPr>
                <w:rFonts w:cstheme="minorHAnsi"/>
                <w:color w:val="000000" w:themeColor="text1"/>
                <w:sz w:val="22"/>
                <w:szCs w:val="22"/>
              </w:rPr>
            </w:pPr>
            <w:r w:rsidRPr="00CF3127">
              <w:rPr>
                <w:sz w:val="22"/>
                <w:szCs w:val="22"/>
              </w:rPr>
              <w:t>Currently, only a small number of municipalities have transferred to NGOs and communities a small proportion of public services, although the National Progress Programme provides for 15 per cent share of services to be transferred by municipalities to NGOs and communities by 2020.</w:t>
            </w:r>
            <w:r w:rsidRPr="00CF3127">
              <w:rPr>
                <w:rFonts w:ascii="Times New Roman" w:hAnsi="Times New Roman"/>
              </w:rPr>
              <w:t xml:space="preserve"> </w:t>
            </w:r>
          </w:p>
        </w:tc>
      </w:tr>
      <w:tr w:rsidR="00471EE6" w:rsidRPr="00CF3127" w:rsidTr="007855D6">
        <w:trPr>
          <w:gridAfter w:val="3"/>
          <w:wAfter w:w="356" w:type="dxa"/>
          <w:trHeight w:val="440"/>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Commitment</w:t>
            </w:r>
          </w:p>
        </w:tc>
        <w:tc>
          <w:tcPr>
            <w:tcW w:w="7002"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71EE6" w:rsidRPr="00CF3127" w:rsidRDefault="009258AE" w:rsidP="006A38F8">
            <w:pPr>
              <w:tabs>
                <w:tab w:val="left" w:pos="316"/>
                <w:tab w:val="left" w:pos="851"/>
              </w:tabs>
              <w:jc w:val="both"/>
              <w:rPr>
                <w:rFonts w:cstheme="minorHAnsi"/>
                <w:sz w:val="22"/>
                <w:szCs w:val="22"/>
              </w:rPr>
            </w:pPr>
            <w:r w:rsidRPr="00CF3127">
              <w:rPr>
                <w:sz w:val="22"/>
                <w:szCs w:val="22"/>
              </w:rPr>
              <w:t>Develop a model for transferring public services to NGOs and communities and encourage its implementation.</w:t>
            </w:r>
          </w:p>
        </w:tc>
      </w:tr>
      <w:tr w:rsidR="00471EE6" w:rsidRPr="00CF3127" w:rsidTr="007855D6">
        <w:trPr>
          <w:gridAfter w:val="3"/>
          <w:wAfter w:w="356" w:type="dxa"/>
          <w:trHeight w:val="440"/>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 xml:space="preserve">How will the commitment contribute to address the public problem? </w:t>
            </w:r>
          </w:p>
        </w:tc>
        <w:tc>
          <w:tcPr>
            <w:tcW w:w="7002"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71EE6" w:rsidRPr="00CF3127" w:rsidRDefault="009258AE" w:rsidP="006A38F8">
            <w:pPr>
              <w:tabs>
                <w:tab w:val="left" w:pos="316"/>
                <w:tab w:val="left" w:pos="851"/>
              </w:tabs>
              <w:jc w:val="both"/>
              <w:rPr>
                <w:rFonts w:cstheme="minorHAnsi"/>
                <w:sz w:val="22"/>
                <w:szCs w:val="22"/>
              </w:rPr>
            </w:pPr>
            <w:r w:rsidRPr="00CF3127">
              <w:rPr>
                <w:sz w:val="22"/>
                <w:szCs w:val="22"/>
              </w:rPr>
              <w:t>The model for transferring public services will ensure greater public engagement in decision-making processes, encourage NGOs and communities to play a more active role in addressing problems relevant to their immediate environment, and help public authorities to properly prepare and ensure a smooth transfer of public services and increase the efficiency of public service delivery.</w:t>
            </w:r>
          </w:p>
        </w:tc>
      </w:tr>
      <w:tr w:rsidR="00471EE6" w:rsidRPr="00CF3127" w:rsidTr="007855D6">
        <w:trPr>
          <w:gridAfter w:val="3"/>
          <w:wAfter w:w="356" w:type="dxa"/>
          <w:trHeight w:val="750"/>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How does the commitment relate to OGP values?</w:t>
            </w:r>
          </w:p>
        </w:tc>
        <w:tc>
          <w:tcPr>
            <w:tcW w:w="7002"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1EE6" w:rsidRPr="00CF3127" w:rsidRDefault="009258AE" w:rsidP="006A38F8">
            <w:pPr>
              <w:jc w:val="both"/>
              <w:rPr>
                <w:rFonts w:cstheme="minorHAnsi"/>
                <w:sz w:val="22"/>
                <w:szCs w:val="22"/>
              </w:rPr>
            </w:pPr>
            <w:r w:rsidRPr="00CF3127">
              <w:rPr>
                <w:sz w:val="22"/>
                <w:szCs w:val="22"/>
              </w:rPr>
              <w:t>The commitment is relevant to the value of public participation, as the mechanism developed will encourage people to get closer involved in decision making regarding problems faced in their environment.</w:t>
            </w:r>
          </w:p>
        </w:tc>
      </w:tr>
      <w:tr w:rsidR="00471EE6" w:rsidRPr="00CF3127" w:rsidTr="007855D6">
        <w:trPr>
          <w:gridAfter w:val="3"/>
          <w:wAfter w:w="356" w:type="dxa"/>
          <w:trHeight w:val="420"/>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 xml:space="preserve">Additional information </w:t>
            </w:r>
          </w:p>
        </w:tc>
        <w:tc>
          <w:tcPr>
            <w:tcW w:w="7002"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1EE6" w:rsidRPr="00CF3127" w:rsidRDefault="009258AE" w:rsidP="00087D7C">
            <w:pPr>
              <w:jc w:val="both"/>
              <w:textAlignment w:val="baseline"/>
              <w:rPr>
                <w:rFonts w:cstheme="minorHAnsi"/>
                <w:sz w:val="22"/>
                <w:szCs w:val="22"/>
              </w:rPr>
            </w:pPr>
            <w:r w:rsidRPr="00CF3127">
              <w:rPr>
                <w:sz w:val="22"/>
                <w:szCs w:val="22"/>
              </w:rPr>
              <w:t>The commitment is part of the Plan for the implementation of the Programme of the 17th Government.</w:t>
            </w:r>
          </w:p>
        </w:tc>
      </w:tr>
      <w:tr w:rsidR="00471EE6" w:rsidRPr="00CF3127" w:rsidTr="00161804">
        <w:trPr>
          <w:gridAfter w:val="3"/>
          <w:wAfter w:w="356" w:type="dxa"/>
        </w:trPr>
        <w:tc>
          <w:tcPr>
            <w:tcW w:w="3194"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Completion stage</w:t>
            </w:r>
          </w:p>
        </w:tc>
        <w:tc>
          <w:tcPr>
            <w:tcW w:w="246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Not started</w:t>
            </w:r>
          </w:p>
        </w:tc>
        <w:tc>
          <w:tcPr>
            <w:tcW w:w="156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Started</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Half-way through</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Completed</w:t>
            </w:r>
          </w:p>
        </w:tc>
      </w:tr>
      <w:tr w:rsidR="00471EE6" w:rsidRPr="00CF3127" w:rsidTr="00161804">
        <w:trPr>
          <w:gridAfter w:val="3"/>
          <w:wAfter w:w="356" w:type="dxa"/>
        </w:trPr>
        <w:tc>
          <w:tcPr>
            <w:tcW w:w="3194" w:type="dxa"/>
            <w:gridSpan w:val="2"/>
            <w:vMerge/>
            <w:tcBorders>
              <w:top w:val="single" w:sz="8" w:space="0" w:color="000000"/>
              <w:left w:val="single" w:sz="8" w:space="0" w:color="000000"/>
              <w:bottom w:val="single" w:sz="8" w:space="0" w:color="000000"/>
              <w:right w:val="single" w:sz="8" w:space="0" w:color="000000"/>
            </w:tcBorders>
            <w:vAlign w:val="center"/>
            <w:hideMark/>
          </w:tcPr>
          <w:p w:rsidR="00471EE6" w:rsidRPr="00CF3127" w:rsidRDefault="00471EE6" w:rsidP="006A38F8">
            <w:pPr>
              <w:rPr>
                <w:rFonts w:cstheme="minorHAnsi"/>
                <w:color w:val="000000" w:themeColor="text1"/>
                <w:sz w:val="22"/>
                <w:szCs w:val="22"/>
              </w:rPr>
            </w:pPr>
          </w:p>
        </w:tc>
        <w:tc>
          <w:tcPr>
            <w:tcW w:w="246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1EE6" w:rsidRPr="00CF3127" w:rsidRDefault="00A1133C" w:rsidP="006A38F8">
            <w:pPr>
              <w:jc w:val="center"/>
              <w:rPr>
                <w:rFonts w:eastAsia="Times New Roman" w:cstheme="minorHAnsi"/>
                <w:color w:val="000000" w:themeColor="text1"/>
                <w:sz w:val="22"/>
                <w:szCs w:val="22"/>
              </w:rPr>
            </w:pPr>
            <w:r w:rsidRPr="00CF3127">
              <w:rPr>
                <w:rFonts w:eastAsia="Times New Roman" w:cstheme="minorHAnsi"/>
                <w:color w:val="000000" w:themeColor="text1"/>
                <w:sz w:val="22"/>
                <w:szCs w:val="22"/>
              </w:rPr>
              <w:t>X</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1EE6" w:rsidRPr="00CF3127" w:rsidRDefault="00471EE6" w:rsidP="006A38F8">
            <w:pPr>
              <w:rPr>
                <w:rFonts w:eastAsia="Times New Roman" w:cstheme="minorHAnsi"/>
                <w:color w:val="000000" w:themeColor="text1"/>
                <w:sz w:val="22"/>
                <w:szCs w:val="22"/>
              </w:rPr>
            </w:pP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1EE6" w:rsidRPr="00CF3127" w:rsidRDefault="00471EE6" w:rsidP="006A38F8">
            <w:pPr>
              <w:jc w:val="center"/>
              <w:rPr>
                <w:rFonts w:eastAsia="Times New Roman" w:cstheme="minorHAnsi"/>
                <w:color w:val="000000" w:themeColor="text1"/>
                <w:sz w:val="22"/>
                <w:szCs w:val="22"/>
              </w:rPr>
            </w:pPr>
          </w:p>
        </w:tc>
      </w:tr>
      <w:tr w:rsidR="00471EE6" w:rsidRPr="00CF3127" w:rsidTr="007855D6">
        <w:trPr>
          <w:gridAfter w:val="3"/>
          <w:wAfter w:w="356" w:type="dxa"/>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Description of concrete results</w:t>
            </w:r>
          </w:p>
        </w:tc>
        <w:tc>
          <w:tcPr>
            <w:tcW w:w="7002"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71EE6" w:rsidRPr="00CF3127" w:rsidRDefault="00A1133C" w:rsidP="00CE2C8F">
            <w:pPr>
              <w:pStyle w:val="ListParagraph"/>
              <w:numPr>
                <w:ilvl w:val="0"/>
                <w:numId w:val="30"/>
              </w:numPr>
              <w:tabs>
                <w:tab w:val="left" w:pos="316"/>
                <w:tab w:val="left" w:pos="851"/>
              </w:tabs>
              <w:jc w:val="both"/>
              <w:rPr>
                <w:rFonts w:cstheme="minorHAnsi"/>
                <w:color w:val="000000" w:themeColor="text1"/>
                <w:sz w:val="22"/>
                <w:szCs w:val="22"/>
              </w:rPr>
            </w:pPr>
            <w:r w:rsidRPr="00CF3127">
              <w:rPr>
                <w:rFonts w:cstheme="minorHAnsi"/>
                <w:color w:val="000000" w:themeColor="text1"/>
                <w:sz w:val="22"/>
                <w:szCs w:val="22"/>
              </w:rPr>
              <w:t xml:space="preserve">Information on problems encountered in transferring public services to NGOs and communities has been gathered and analysed. </w:t>
            </w:r>
            <w:r w:rsidR="00CE2C8F" w:rsidRPr="00CF3127">
              <w:rPr>
                <w:rFonts w:cstheme="minorHAnsi"/>
                <w:color w:val="000000" w:themeColor="text1"/>
                <w:sz w:val="22"/>
                <w:szCs w:val="22"/>
              </w:rPr>
              <w:t>Stock has been taken of the best</w:t>
            </w:r>
            <w:r w:rsidRPr="00CF3127">
              <w:rPr>
                <w:rFonts w:cstheme="minorHAnsi"/>
                <w:color w:val="000000" w:themeColor="text1"/>
                <w:sz w:val="22"/>
                <w:szCs w:val="22"/>
              </w:rPr>
              <w:t xml:space="preserve"> practice in this field</w:t>
            </w:r>
            <w:r w:rsidR="00CE2C8F" w:rsidRPr="00CF3127">
              <w:rPr>
                <w:rFonts w:cstheme="minorHAnsi"/>
                <w:color w:val="000000" w:themeColor="text1"/>
                <w:sz w:val="22"/>
                <w:szCs w:val="22"/>
              </w:rPr>
              <w:t>.</w:t>
            </w:r>
          </w:p>
        </w:tc>
      </w:tr>
      <w:tr w:rsidR="00471EE6" w:rsidRPr="00CF3127" w:rsidTr="00161804">
        <w:trPr>
          <w:gridAfter w:val="3"/>
          <w:wAfter w:w="356" w:type="dxa"/>
          <w:trHeight w:val="185"/>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Next steps</w:t>
            </w:r>
          </w:p>
        </w:tc>
        <w:tc>
          <w:tcPr>
            <w:tcW w:w="7002"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2C8F" w:rsidRPr="00CF3127" w:rsidRDefault="00CE2C8F" w:rsidP="00CE2C8F">
            <w:pPr>
              <w:pStyle w:val="PlainText"/>
              <w:numPr>
                <w:ilvl w:val="0"/>
                <w:numId w:val="20"/>
              </w:numPr>
              <w:jc w:val="both"/>
              <w:rPr>
                <w:rFonts w:cstheme="minorHAnsi"/>
                <w:color w:val="000000" w:themeColor="text1"/>
                <w:szCs w:val="22"/>
              </w:rPr>
            </w:pPr>
            <w:r w:rsidRPr="00CF3127">
              <w:rPr>
                <w:rFonts w:cstheme="minorHAnsi"/>
                <w:color w:val="000000" w:themeColor="text1"/>
                <w:szCs w:val="22"/>
              </w:rPr>
              <w:t xml:space="preserve">Developing a </w:t>
            </w:r>
            <w:r w:rsidR="00A1133C" w:rsidRPr="00CF3127">
              <w:rPr>
                <w:rFonts w:cstheme="minorHAnsi"/>
                <w:color w:val="000000" w:themeColor="text1"/>
                <w:szCs w:val="22"/>
              </w:rPr>
              <w:t>model and recommendations for state and municipal institutions;</w:t>
            </w:r>
          </w:p>
          <w:p w:rsidR="00CE2C8F" w:rsidRPr="00CF3127" w:rsidRDefault="00CE2C8F" w:rsidP="00CE2C8F">
            <w:pPr>
              <w:pStyle w:val="PlainText"/>
              <w:numPr>
                <w:ilvl w:val="0"/>
                <w:numId w:val="20"/>
              </w:numPr>
              <w:jc w:val="both"/>
              <w:rPr>
                <w:rFonts w:cstheme="minorHAnsi"/>
                <w:color w:val="000000" w:themeColor="text1"/>
                <w:szCs w:val="22"/>
              </w:rPr>
            </w:pPr>
            <w:r w:rsidRPr="00CF3127">
              <w:rPr>
                <w:rFonts w:cstheme="minorHAnsi"/>
                <w:color w:val="000000" w:themeColor="text1"/>
                <w:szCs w:val="22"/>
              </w:rPr>
              <w:t>Organising t</w:t>
            </w:r>
            <w:r w:rsidR="00A1133C" w:rsidRPr="00CF3127">
              <w:rPr>
                <w:rFonts w:cstheme="minorHAnsi"/>
                <w:color w:val="000000" w:themeColor="text1"/>
                <w:szCs w:val="22"/>
              </w:rPr>
              <w:t>raining for representatives of state and municipal institutions, NGOs and communities;</w:t>
            </w:r>
          </w:p>
          <w:p w:rsidR="00A1133C" w:rsidRPr="00CF3127" w:rsidRDefault="00CE2C8F" w:rsidP="00CE2C8F">
            <w:pPr>
              <w:pStyle w:val="PlainText"/>
              <w:numPr>
                <w:ilvl w:val="0"/>
                <w:numId w:val="20"/>
              </w:numPr>
              <w:jc w:val="both"/>
              <w:rPr>
                <w:rFonts w:cstheme="minorHAnsi"/>
                <w:color w:val="000000" w:themeColor="text1"/>
                <w:szCs w:val="22"/>
              </w:rPr>
            </w:pPr>
            <w:r w:rsidRPr="00CF3127">
              <w:rPr>
                <w:rFonts w:cstheme="minorHAnsi"/>
                <w:color w:val="000000" w:themeColor="text1"/>
                <w:szCs w:val="22"/>
              </w:rPr>
              <w:t>Carrying out the evaluation of completed actions and monitoring of indicators</w:t>
            </w:r>
            <w:r w:rsidR="00A1133C" w:rsidRPr="00CF3127">
              <w:rPr>
                <w:rFonts w:cstheme="minorHAnsi"/>
                <w:color w:val="000000" w:themeColor="text1"/>
                <w:szCs w:val="22"/>
              </w:rPr>
              <w:t>.</w:t>
            </w:r>
          </w:p>
          <w:p w:rsidR="00AF67F6" w:rsidRPr="00CF3127" w:rsidRDefault="00AF67F6" w:rsidP="006A38F8">
            <w:pPr>
              <w:pStyle w:val="PlainText"/>
              <w:ind w:left="720"/>
              <w:jc w:val="both"/>
              <w:rPr>
                <w:rFonts w:cstheme="minorHAnsi"/>
                <w:color w:val="000000" w:themeColor="text1"/>
                <w:szCs w:val="22"/>
              </w:rPr>
            </w:pPr>
          </w:p>
        </w:tc>
      </w:tr>
      <w:tr w:rsidR="00471EE6" w:rsidRPr="00CF3127" w:rsidTr="00161804">
        <w:trPr>
          <w:gridAfter w:val="3"/>
          <w:wAfter w:w="356" w:type="dxa"/>
          <w:trHeight w:val="420"/>
        </w:trPr>
        <w:tc>
          <w:tcPr>
            <w:tcW w:w="566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Milestone status</w:t>
            </w:r>
          </w:p>
        </w:tc>
        <w:tc>
          <w:tcPr>
            <w:tcW w:w="156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Start date:</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shd w:val="clear" w:color="auto" w:fill="D9D9D9"/>
              </w:rPr>
              <w:t>End date:</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71EE6" w:rsidRPr="00CF3127" w:rsidRDefault="00471EE6" w:rsidP="006A38F8">
            <w:pPr>
              <w:jc w:val="center"/>
              <w:rPr>
                <w:rFonts w:cstheme="minorHAnsi"/>
                <w:color w:val="000000" w:themeColor="text1"/>
                <w:sz w:val="22"/>
                <w:szCs w:val="22"/>
              </w:rPr>
            </w:pPr>
            <w:r w:rsidRPr="00CF3127">
              <w:rPr>
                <w:color w:val="000000" w:themeColor="text1"/>
                <w:sz w:val="22"/>
                <w:szCs w:val="22"/>
              </w:rPr>
              <w:t>Completion stage</w:t>
            </w:r>
          </w:p>
        </w:tc>
      </w:tr>
      <w:tr w:rsidR="00E12AE9" w:rsidRPr="00CF3127" w:rsidTr="00161804">
        <w:trPr>
          <w:gridAfter w:val="3"/>
          <w:wAfter w:w="356"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AE9" w:rsidRPr="00CF3127" w:rsidRDefault="004B2ACC" w:rsidP="004B2ACC">
            <w:pPr>
              <w:rPr>
                <w:rFonts w:cstheme="minorHAnsi"/>
                <w:sz w:val="22"/>
                <w:szCs w:val="22"/>
              </w:rPr>
            </w:pPr>
            <w:r w:rsidRPr="00CF3127">
              <w:rPr>
                <w:sz w:val="22"/>
                <w:szCs w:val="22"/>
              </w:rPr>
              <w:t>Pin-pointing problem areas and analysis of best practice</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AE9" w:rsidRPr="00CF3127" w:rsidRDefault="00E12AE9" w:rsidP="006A38F8">
            <w:pPr>
              <w:rPr>
                <w:rFonts w:cstheme="minorHAnsi"/>
                <w:sz w:val="22"/>
                <w:szCs w:val="22"/>
              </w:rPr>
            </w:pPr>
            <w:r w:rsidRPr="00CF3127">
              <w:rPr>
                <w:sz w:val="22"/>
                <w:szCs w:val="22"/>
              </w:rPr>
              <w:t>01-12-2018</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AE9" w:rsidRPr="00CF3127" w:rsidRDefault="00E12AE9" w:rsidP="006A38F8">
            <w:pPr>
              <w:rPr>
                <w:rFonts w:cstheme="minorHAnsi"/>
                <w:sz w:val="22"/>
                <w:szCs w:val="22"/>
              </w:rPr>
            </w:pPr>
            <w:r w:rsidRPr="00CF3127">
              <w:rPr>
                <w:sz w:val="22"/>
                <w:szCs w:val="22"/>
              </w:rPr>
              <w:t>01-03-2019</w:t>
            </w: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AE9" w:rsidRPr="00CF3127" w:rsidRDefault="009A75B5" w:rsidP="006A38F8">
            <w:pPr>
              <w:rPr>
                <w:rFonts w:eastAsia="Times New Roman" w:cstheme="minorHAnsi"/>
                <w:sz w:val="22"/>
                <w:szCs w:val="22"/>
              </w:rPr>
            </w:pPr>
            <w:r w:rsidRPr="00CF3127">
              <w:rPr>
                <w:rStyle w:val="CharStyle26"/>
                <w:rFonts w:asciiTheme="minorHAnsi" w:eastAsiaTheme="minorHAnsi" w:hAnsiTheme="minorHAnsi"/>
                <w:sz w:val="22"/>
                <w:szCs w:val="22"/>
              </w:rPr>
              <w:t>Started</w:t>
            </w:r>
          </w:p>
        </w:tc>
      </w:tr>
      <w:tr w:rsidR="00E12AE9" w:rsidRPr="00CF3127" w:rsidTr="00161804">
        <w:trPr>
          <w:gridAfter w:val="3"/>
          <w:wAfter w:w="356"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2AE9" w:rsidRPr="00CF3127" w:rsidRDefault="00E12AE9" w:rsidP="00161804">
            <w:pPr>
              <w:rPr>
                <w:rFonts w:cstheme="minorHAnsi"/>
                <w:sz w:val="22"/>
                <w:szCs w:val="22"/>
              </w:rPr>
            </w:pPr>
            <w:r w:rsidRPr="00CF3127">
              <w:rPr>
                <w:sz w:val="22"/>
                <w:szCs w:val="22"/>
              </w:rPr>
              <w:t>Development of a model and recommendations for state and municipal institutions</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2AE9" w:rsidRPr="00CF3127" w:rsidRDefault="00E12AE9" w:rsidP="006A38F8">
            <w:pPr>
              <w:rPr>
                <w:rFonts w:cstheme="minorHAnsi"/>
                <w:sz w:val="22"/>
                <w:szCs w:val="22"/>
              </w:rPr>
            </w:pPr>
            <w:r w:rsidRPr="00CF3127">
              <w:rPr>
                <w:sz w:val="22"/>
                <w:szCs w:val="22"/>
              </w:rPr>
              <w:t>01-03-2019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2AE9" w:rsidRPr="00CF3127" w:rsidRDefault="00E12AE9" w:rsidP="006A38F8">
            <w:pPr>
              <w:rPr>
                <w:rFonts w:cstheme="minorHAnsi"/>
                <w:sz w:val="22"/>
                <w:szCs w:val="22"/>
              </w:rPr>
            </w:pPr>
            <w:r w:rsidRPr="00CF3127">
              <w:rPr>
                <w:sz w:val="22"/>
                <w:szCs w:val="22"/>
              </w:rPr>
              <w:t>31-08-2019</w:t>
            </w: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2AE9" w:rsidRPr="00CF3127" w:rsidRDefault="00CE2C8F" w:rsidP="00CE2C8F">
            <w:pPr>
              <w:rPr>
                <w:rFonts w:eastAsia="Times New Roman" w:cstheme="minorHAnsi"/>
                <w:sz w:val="22"/>
                <w:szCs w:val="22"/>
              </w:rPr>
            </w:pPr>
            <w:r w:rsidRPr="00CF3127">
              <w:rPr>
                <w:rStyle w:val="CharStyle26"/>
                <w:rFonts w:asciiTheme="minorHAnsi" w:eastAsiaTheme="minorHAnsi" w:hAnsiTheme="minorHAnsi"/>
                <w:sz w:val="22"/>
                <w:szCs w:val="22"/>
              </w:rPr>
              <w:t>Not started</w:t>
            </w:r>
          </w:p>
        </w:tc>
      </w:tr>
      <w:tr w:rsidR="00E12AE9" w:rsidRPr="00CF3127" w:rsidTr="00161804">
        <w:trPr>
          <w:gridAfter w:val="3"/>
          <w:wAfter w:w="356"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2AE9" w:rsidRPr="00CF3127" w:rsidRDefault="00E12AE9" w:rsidP="00161804">
            <w:pPr>
              <w:rPr>
                <w:rFonts w:cstheme="minorHAnsi"/>
                <w:sz w:val="22"/>
                <w:szCs w:val="22"/>
              </w:rPr>
            </w:pPr>
            <w:r w:rsidRPr="00CF3127">
              <w:rPr>
                <w:sz w:val="22"/>
                <w:szCs w:val="22"/>
              </w:rPr>
              <w:t xml:space="preserve">Training for representatives of state and municipal institutions, NGOs and communities </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2AE9" w:rsidRPr="00CF3127" w:rsidRDefault="00E12AE9" w:rsidP="006A38F8">
            <w:pPr>
              <w:rPr>
                <w:rFonts w:cstheme="minorHAnsi"/>
                <w:sz w:val="22"/>
                <w:szCs w:val="22"/>
              </w:rPr>
            </w:pPr>
            <w:r w:rsidRPr="00CF3127">
              <w:rPr>
                <w:sz w:val="22"/>
                <w:szCs w:val="22"/>
              </w:rPr>
              <w:t>01-09-2019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2AE9" w:rsidRPr="00CF3127" w:rsidRDefault="00E12AE9" w:rsidP="006A38F8">
            <w:pPr>
              <w:rPr>
                <w:rFonts w:cstheme="minorHAnsi"/>
                <w:sz w:val="22"/>
                <w:szCs w:val="22"/>
              </w:rPr>
            </w:pPr>
            <w:r w:rsidRPr="00CF3127">
              <w:rPr>
                <w:sz w:val="22"/>
                <w:szCs w:val="22"/>
              </w:rPr>
              <w:t>31-10-2019</w:t>
            </w: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2AE9" w:rsidRPr="00CF3127" w:rsidRDefault="001D1D9E" w:rsidP="006A38F8">
            <w:pPr>
              <w:rPr>
                <w:rFonts w:eastAsia="Times New Roman" w:cstheme="minorHAnsi"/>
                <w:b/>
                <w:sz w:val="22"/>
                <w:szCs w:val="22"/>
              </w:rPr>
            </w:pPr>
            <w:r w:rsidRPr="00CF3127">
              <w:rPr>
                <w:color w:val="000000" w:themeColor="text1"/>
                <w:sz w:val="22"/>
                <w:szCs w:val="22"/>
              </w:rPr>
              <w:t>Not started</w:t>
            </w:r>
          </w:p>
        </w:tc>
      </w:tr>
      <w:tr w:rsidR="00E12AE9" w:rsidRPr="00CF3127" w:rsidTr="00161804">
        <w:trPr>
          <w:gridAfter w:val="3"/>
          <w:wAfter w:w="356" w:type="dxa"/>
        </w:trPr>
        <w:tc>
          <w:tcPr>
            <w:tcW w:w="56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AE9" w:rsidRPr="00CF3127" w:rsidRDefault="00E12AE9" w:rsidP="00161804">
            <w:pPr>
              <w:rPr>
                <w:rFonts w:cstheme="minorHAnsi"/>
                <w:sz w:val="22"/>
                <w:szCs w:val="22"/>
              </w:rPr>
            </w:pPr>
            <w:r w:rsidRPr="00CF3127">
              <w:rPr>
                <w:sz w:val="22"/>
                <w:szCs w:val="22"/>
              </w:rPr>
              <w:t>Evaluation of completed actions, monitoring of indicators</w:t>
            </w:r>
          </w:p>
        </w:tc>
        <w:tc>
          <w:tcPr>
            <w:tcW w:w="1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AE9" w:rsidRPr="00CF3127" w:rsidRDefault="00E12AE9" w:rsidP="006A38F8">
            <w:pPr>
              <w:rPr>
                <w:rFonts w:cstheme="minorHAnsi"/>
                <w:sz w:val="22"/>
                <w:szCs w:val="22"/>
              </w:rPr>
            </w:pPr>
            <w:r w:rsidRPr="00CF3127">
              <w:rPr>
                <w:sz w:val="22"/>
                <w:szCs w:val="22"/>
              </w:rPr>
              <w:t>01-11-2019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AE9" w:rsidRPr="00CF3127" w:rsidRDefault="00E12AE9" w:rsidP="006A38F8">
            <w:pPr>
              <w:rPr>
                <w:rFonts w:cstheme="minorHAnsi"/>
                <w:sz w:val="22"/>
                <w:szCs w:val="22"/>
              </w:rPr>
            </w:pPr>
            <w:r w:rsidRPr="00CF3127">
              <w:rPr>
                <w:sz w:val="22"/>
                <w:szCs w:val="22"/>
              </w:rPr>
              <w:t>31-12-2019</w:t>
            </w: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AE9" w:rsidRPr="00CF3127" w:rsidRDefault="009A75B5" w:rsidP="006A38F8">
            <w:pPr>
              <w:rPr>
                <w:rFonts w:eastAsia="Times New Roman" w:cstheme="minorHAnsi"/>
                <w:color w:val="000000" w:themeColor="text1"/>
                <w:sz w:val="22"/>
                <w:szCs w:val="22"/>
              </w:rPr>
            </w:pPr>
            <w:r w:rsidRPr="00CF3127">
              <w:rPr>
                <w:color w:val="000000" w:themeColor="text1"/>
                <w:sz w:val="22"/>
                <w:szCs w:val="22"/>
              </w:rPr>
              <w:t>Not started</w:t>
            </w:r>
          </w:p>
        </w:tc>
      </w:tr>
      <w:tr w:rsidR="00C96AD1" w:rsidRPr="00CF3127" w:rsidTr="00161804">
        <w:trPr>
          <w:gridAfter w:val="3"/>
          <w:wAfter w:w="356" w:type="dxa"/>
          <w:trHeight w:val="317"/>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96AD1" w:rsidRPr="00CF3127" w:rsidRDefault="00C96AD1" w:rsidP="006A38F8">
            <w:pPr>
              <w:jc w:val="center"/>
              <w:rPr>
                <w:rFonts w:cstheme="minorHAnsi"/>
                <w:color w:val="000000" w:themeColor="text1"/>
                <w:sz w:val="22"/>
                <w:szCs w:val="22"/>
                <w:highlight w:val="yellow"/>
              </w:rPr>
            </w:pPr>
            <w:r w:rsidRPr="00CF3127">
              <w:rPr>
                <w:highlight w:val="yellow"/>
              </w:rPr>
              <w:br w:type="page"/>
            </w:r>
            <w:r w:rsidRPr="00CF3127">
              <w:rPr>
                <w:color w:val="000000" w:themeColor="text1"/>
                <w:sz w:val="22"/>
                <w:szCs w:val="22"/>
                <w:shd w:val="clear" w:color="auto" w:fill="D9D9D9"/>
              </w:rPr>
              <w:t xml:space="preserve">Contact information </w:t>
            </w:r>
          </w:p>
        </w:tc>
      </w:tr>
      <w:tr w:rsidR="00C96AD1" w:rsidRPr="00CF3127" w:rsidTr="00161804">
        <w:trPr>
          <w:gridAfter w:val="3"/>
          <w:wAfter w:w="356" w:type="dxa"/>
          <w:trHeight w:val="340"/>
        </w:trPr>
        <w:tc>
          <w:tcPr>
            <w:tcW w:w="566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96AD1" w:rsidRPr="00CF3127" w:rsidRDefault="00C96AD1" w:rsidP="006A38F8">
            <w:pPr>
              <w:jc w:val="center"/>
              <w:rPr>
                <w:rFonts w:cstheme="minorHAnsi"/>
                <w:color w:val="000000" w:themeColor="text1"/>
                <w:sz w:val="22"/>
                <w:szCs w:val="22"/>
              </w:rPr>
            </w:pPr>
            <w:r w:rsidRPr="00CF3127">
              <w:rPr>
                <w:color w:val="000000" w:themeColor="text1"/>
                <w:sz w:val="22"/>
                <w:szCs w:val="22"/>
                <w:shd w:val="clear" w:color="auto" w:fill="D9D9D9"/>
              </w:rPr>
              <w:t>Lead implementing agency</w:t>
            </w:r>
          </w:p>
        </w:tc>
        <w:tc>
          <w:tcPr>
            <w:tcW w:w="4536" w:type="dxa"/>
            <w:gridSpan w:val="8"/>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96AD1" w:rsidRPr="00CF3127" w:rsidRDefault="00A2716D" w:rsidP="006A38F8">
            <w:pPr>
              <w:tabs>
                <w:tab w:val="left" w:pos="1697"/>
              </w:tabs>
              <w:rPr>
                <w:rFonts w:cstheme="minorHAnsi"/>
                <w:color w:val="000000" w:themeColor="text1"/>
                <w:sz w:val="22"/>
                <w:szCs w:val="22"/>
              </w:rPr>
            </w:pPr>
            <w:r w:rsidRPr="00CF3127">
              <w:rPr>
                <w:sz w:val="22"/>
                <w:szCs w:val="22"/>
              </w:rPr>
              <w:t>Ministry of Social Security and Labour</w:t>
            </w:r>
          </w:p>
        </w:tc>
      </w:tr>
      <w:tr w:rsidR="00C96AD1" w:rsidRPr="00CF3127" w:rsidTr="007855D6">
        <w:trPr>
          <w:gridAfter w:val="3"/>
          <w:wAfter w:w="356" w:type="dxa"/>
          <w:trHeight w:val="420"/>
        </w:trPr>
        <w:tc>
          <w:tcPr>
            <w:tcW w:w="566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96AD1" w:rsidRPr="00CF3127" w:rsidRDefault="00C96AD1" w:rsidP="006A38F8">
            <w:pPr>
              <w:jc w:val="center"/>
              <w:rPr>
                <w:rFonts w:cstheme="minorHAnsi"/>
                <w:color w:val="000000" w:themeColor="text1"/>
                <w:sz w:val="22"/>
                <w:szCs w:val="22"/>
              </w:rPr>
            </w:pPr>
            <w:r w:rsidRPr="00CF3127">
              <w:rPr>
                <w:color w:val="000000" w:themeColor="text1"/>
                <w:sz w:val="22"/>
                <w:szCs w:val="22"/>
                <w:shd w:val="clear" w:color="auto" w:fill="D9D9D9"/>
              </w:rPr>
              <w:t>Persons in charge</w:t>
            </w:r>
          </w:p>
        </w:tc>
        <w:tc>
          <w:tcPr>
            <w:tcW w:w="4536" w:type="dxa"/>
            <w:gridSpan w:val="8"/>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96AD1" w:rsidRPr="00CF3127" w:rsidRDefault="00732276" w:rsidP="006A38F8">
            <w:pPr>
              <w:rPr>
                <w:rFonts w:cstheme="minorHAnsi"/>
                <w:sz w:val="22"/>
                <w:szCs w:val="22"/>
              </w:rPr>
            </w:pPr>
            <w:r w:rsidRPr="00CF3127">
              <w:rPr>
                <w:sz w:val="22"/>
                <w:szCs w:val="22"/>
              </w:rPr>
              <w:t>Aurelija Olendraitė</w:t>
            </w:r>
          </w:p>
        </w:tc>
      </w:tr>
      <w:tr w:rsidR="00C96AD1" w:rsidRPr="00CF3127" w:rsidTr="007855D6">
        <w:trPr>
          <w:gridAfter w:val="3"/>
          <w:wAfter w:w="356" w:type="dxa"/>
          <w:trHeight w:val="420"/>
        </w:trPr>
        <w:tc>
          <w:tcPr>
            <w:tcW w:w="566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96AD1" w:rsidRPr="00CF3127" w:rsidRDefault="00C96AD1" w:rsidP="006A38F8">
            <w:pPr>
              <w:jc w:val="center"/>
              <w:rPr>
                <w:rFonts w:cstheme="minorHAnsi"/>
                <w:color w:val="000000" w:themeColor="text1"/>
                <w:sz w:val="22"/>
                <w:szCs w:val="22"/>
              </w:rPr>
            </w:pPr>
            <w:r w:rsidRPr="00CF3127">
              <w:rPr>
                <w:color w:val="000000" w:themeColor="text1"/>
                <w:sz w:val="22"/>
                <w:szCs w:val="22"/>
                <w:shd w:val="clear" w:color="auto" w:fill="D9D9D9"/>
              </w:rPr>
              <w:t>Title, department</w:t>
            </w:r>
          </w:p>
        </w:tc>
        <w:tc>
          <w:tcPr>
            <w:tcW w:w="4536" w:type="dxa"/>
            <w:gridSpan w:val="8"/>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96AD1" w:rsidRPr="00CF3127" w:rsidRDefault="00D76192">
            <w:pPr>
              <w:rPr>
                <w:rFonts w:cstheme="minorHAnsi"/>
                <w:sz w:val="22"/>
                <w:szCs w:val="22"/>
              </w:rPr>
            </w:pPr>
            <w:r w:rsidRPr="00CF3127">
              <w:rPr>
                <w:rFonts w:ascii="Times New Roman" w:hAnsi="Times New Roman"/>
                <w:sz w:val="22"/>
                <w:szCs w:val="22"/>
              </w:rPr>
              <w:t xml:space="preserve"> </w:t>
            </w:r>
            <w:r w:rsidRPr="00CF3127">
              <w:rPr>
                <w:sz w:val="22"/>
                <w:szCs w:val="22"/>
              </w:rPr>
              <w:t>Chief Adviser for NGOs and Community Development</w:t>
            </w:r>
          </w:p>
        </w:tc>
      </w:tr>
      <w:tr w:rsidR="00C96AD1" w:rsidRPr="00CF3127" w:rsidTr="00161804">
        <w:trPr>
          <w:gridAfter w:val="3"/>
          <w:wAfter w:w="356" w:type="dxa"/>
          <w:trHeight w:val="374"/>
        </w:trPr>
        <w:tc>
          <w:tcPr>
            <w:tcW w:w="566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96AD1" w:rsidRPr="00CF3127" w:rsidRDefault="00C96AD1" w:rsidP="006A38F8">
            <w:pPr>
              <w:jc w:val="center"/>
              <w:rPr>
                <w:rFonts w:cstheme="minorHAnsi"/>
                <w:color w:val="000000" w:themeColor="text1"/>
                <w:sz w:val="22"/>
                <w:szCs w:val="22"/>
              </w:rPr>
            </w:pPr>
            <w:r w:rsidRPr="00CF3127">
              <w:rPr>
                <w:color w:val="000000" w:themeColor="text1"/>
                <w:sz w:val="22"/>
                <w:szCs w:val="22"/>
                <w:shd w:val="clear" w:color="auto" w:fill="D9D9D9"/>
              </w:rPr>
              <w:t>email and phone</w:t>
            </w:r>
          </w:p>
        </w:tc>
        <w:tc>
          <w:tcPr>
            <w:tcW w:w="4536" w:type="dxa"/>
            <w:gridSpan w:val="8"/>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96AD1" w:rsidRPr="00CF3127" w:rsidRDefault="00087D7C" w:rsidP="006A38F8">
            <w:pPr>
              <w:rPr>
                <w:rFonts w:cstheme="minorHAnsi"/>
                <w:color w:val="000000" w:themeColor="text1"/>
                <w:sz w:val="22"/>
                <w:szCs w:val="22"/>
              </w:rPr>
            </w:pPr>
            <w:hyperlink r:id="rId13" w:history="1">
              <w:r w:rsidR="00095403" w:rsidRPr="00CF3127">
                <w:rPr>
                  <w:rStyle w:val="Hyperlink"/>
                  <w:sz w:val="22"/>
                  <w:szCs w:val="22"/>
                </w:rPr>
                <w:t>aurelija.olendraite@socmin.lt</w:t>
              </w:r>
            </w:hyperlink>
            <w:r w:rsidR="00095403" w:rsidRPr="00CF3127">
              <w:rPr>
                <w:rStyle w:val="CharStyle26"/>
                <w:rFonts w:asciiTheme="minorHAnsi" w:eastAsiaTheme="minorHAnsi" w:hAnsiTheme="minorHAnsi"/>
                <w:sz w:val="22"/>
                <w:szCs w:val="22"/>
              </w:rPr>
              <w:t>, 8 706 68 248</w:t>
            </w:r>
          </w:p>
        </w:tc>
      </w:tr>
      <w:tr w:rsidR="00C96AD1" w:rsidRPr="00CF3127" w:rsidTr="00161804">
        <w:trPr>
          <w:gridAfter w:val="3"/>
          <w:wAfter w:w="356" w:type="dxa"/>
          <w:trHeight w:val="353"/>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96AD1" w:rsidRPr="00CF3127" w:rsidRDefault="00C96AD1" w:rsidP="006A38F8">
            <w:pPr>
              <w:jc w:val="center"/>
              <w:rPr>
                <w:rFonts w:cstheme="minorHAnsi"/>
                <w:sz w:val="22"/>
                <w:szCs w:val="22"/>
              </w:rPr>
            </w:pPr>
            <w:r w:rsidRPr="00CF3127">
              <w:rPr>
                <w:color w:val="000000" w:themeColor="text1"/>
                <w:sz w:val="22"/>
                <w:szCs w:val="22"/>
                <w:shd w:val="clear" w:color="auto" w:fill="D9D9D9"/>
              </w:rPr>
              <w:t>Other actors involved</w:t>
            </w:r>
          </w:p>
        </w:tc>
      </w:tr>
      <w:tr w:rsidR="00C96AD1" w:rsidRPr="00CF3127" w:rsidTr="00161804">
        <w:trPr>
          <w:gridAfter w:val="3"/>
          <w:wAfter w:w="356" w:type="dxa"/>
          <w:trHeight w:val="333"/>
        </w:trPr>
        <w:tc>
          <w:tcPr>
            <w:tcW w:w="566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96AD1" w:rsidRPr="00CF3127" w:rsidRDefault="00C96AD1">
            <w:pPr>
              <w:jc w:val="center"/>
              <w:rPr>
                <w:rFonts w:cstheme="minorHAnsi"/>
                <w:color w:val="000000" w:themeColor="text1"/>
                <w:sz w:val="22"/>
                <w:szCs w:val="22"/>
                <w:shd w:val="clear" w:color="auto" w:fill="D9D9D9"/>
              </w:rPr>
            </w:pPr>
            <w:r w:rsidRPr="00CF3127">
              <w:rPr>
                <w:color w:val="000000"/>
                <w:sz w:val="22"/>
                <w:szCs w:val="22"/>
                <w:shd w:val="clear" w:color="auto" w:fill="D9D9D9"/>
              </w:rPr>
              <w:t xml:space="preserve">Ministries, departments/agencies </w:t>
            </w:r>
          </w:p>
        </w:tc>
        <w:tc>
          <w:tcPr>
            <w:tcW w:w="4536" w:type="dxa"/>
            <w:gridSpan w:val="8"/>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96AD1" w:rsidRPr="00CF3127" w:rsidRDefault="00A2716D" w:rsidP="006A38F8">
            <w:pPr>
              <w:rPr>
                <w:rFonts w:cstheme="minorHAnsi"/>
                <w:sz w:val="22"/>
                <w:szCs w:val="22"/>
              </w:rPr>
            </w:pPr>
            <w:r w:rsidRPr="00CF3127">
              <w:rPr>
                <w:sz w:val="22"/>
                <w:szCs w:val="22"/>
              </w:rPr>
              <w:t>Ministry of the Interior</w:t>
            </w:r>
          </w:p>
        </w:tc>
      </w:tr>
      <w:tr w:rsidR="00C96AD1" w:rsidRPr="00CF3127" w:rsidTr="007855D6">
        <w:trPr>
          <w:gridAfter w:val="3"/>
          <w:wAfter w:w="356" w:type="dxa"/>
          <w:trHeight w:val="420"/>
        </w:trPr>
        <w:tc>
          <w:tcPr>
            <w:tcW w:w="566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96AD1" w:rsidRPr="00CF3127" w:rsidRDefault="00C96AD1" w:rsidP="006A38F8">
            <w:pPr>
              <w:jc w:val="center"/>
              <w:rPr>
                <w:rFonts w:cstheme="minorHAnsi"/>
                <w:color w:val="000000" w:themeColor="text1"/>
                <w:sz w:val="22"/>
                <w:szCs w:val="22"/>
                <w:shd w:val="clear" w:color="auto" w:fill="D9D9D9"/>
              </w:rPr>
            </w:pPr>
            <w:r w:rsidRPr="00CF3127">
              <w:rPr>
                <w:color w:val="000000" w:themeColor="text1"/>
                <w:sz w:val="22"/>
                <w:szCs w:val="22"/>
                <w:shd w:val="clear" w:color="auto" w:fill="D9D9D9"/>
              </w:rPr>
              <w:t>Civil society organisations, private sector, multilaterals, working groups</w:t>
            </w:r>
          </w:p>
        </w:tc>
        <w:tc>
          <w:tcPr>
            <w:tcW w:w="4536" w:type="dxa"/>
            <w:gridSpan w:val="8"/>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96AD1" w:rsidRPr="00CF3127" w:rsidRDefault="00140930" w:rsidP="00161804">
            <w:pPr>
              <w:jc w:val="both"/>
              <w:rPr>
                <w:rFonts w:cstheme="minorHAnsi"/>
                <w:sz w:val="22"/>
                <w:szCs w:val="22"/>
              </w:rPr>
            </w:pPr>
            <w:r w:rsidRPr="00CF3127">
              <w:rPr>
                <w:sz w:val="22"/>
                <w:szCs w:val="22"/>
              </w:rPr>
              <w:t>NGO communities, the NGO Council and other stakeholders (Association of Local Authorities in Lithuania)</w:t>
            </w:r>
          </w:p>
        </w:tc>
      </w:tr>
      <w:tr w:rsidR="00DE7A9C" w:rsidRPr="00CF3127" w:rsidTr="007855D6">
        <w:trPr>
          <w:gridAfter w:val="3"/>
          <w:wAfter w:w="356" w:type="dxa"/>
        </w:trPr>
        <w:tc>
          <w:tcPr>
            <w:tcW w:w="10196" w:type="dxa"/>
            <w:gridSpan w:val="16"/>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DE7A9C" w:rsidRPr="00CF3127" w:rsidRDefault="00D9399D" w:rsidP="006A38F8">
            <w:pPr>
              <w:tabs>
                <w:tab w:val="center" w:pos="4935"/>
                <w:tab w:val="left" w:pos="8865"/>
              </w:tabs>
              <w:jc w:val="center"/>
              <w:rPr>
                <w:rFonts w:cstheme="minorHAnsi"/>
                <w:b/>
                <w:color w:val="FFFFFF"/>
                <w:shd w:val="clear" w:color="auto" w:fill="000000"/>
              </w:rPr>
            </w:pPr>
            <w:r w:rsidRPr="00CF3127">
              <w:rPr>
                <w:b/>
                <w:bCs/>
                <w:color w:val="FFFFFF" w:themeColor="background1"/>
              </w:rPr>
              <w:t>V.</w:t>
            </w:r>
            <w:r w:rsidRPr="00CF3127">
              <w:rPr>
                <w:b/>
                <w:color w:val="FFFFFF" w:themeColor="background1"/>
              </w:rPr>
              <w:t xml:space="preserve"> Civic participation in decision making processes</w:t>
            </w:r>
          </w:p>
        </w:tc>
      </w:tr>
      <w:tr w:rsidR="00DE7A9C" w:rsidRPr="00CF3127" w:rsidTr="007855D6">
        <w:trPr>
          <w:gridAfter w:val="3"/>
          <w:wAfter w:w="356" w:type="dxa"/>
        </w:trPr>
        <w:tc>
          <w:tcPr>
            <w:tcW w:w="10196" w:type="dxa"/>
            <w:gridSpan w:val="1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sz w:val="22"/>
                <w:szCs w:val="22"/>
              </w:rPr>
              <w:t>5. Carry out consistent monitoring and evaluation of public participation in governance</w:t>
            </w:r>
          </w:p>
        </w:tc>
      </w:tr>
      <w:tr w:rsidR="00505CA1" w:rsidRPr="00CF3127" w:rsidTr="007855D6">
        <w:trPr>
          <w:gridAfter w:val="3"/>
          <w:wAfter w:w="356" w:type="dxa"/>
        </w:trPr>
        <w:tc>
          <w:tcPr>
            <w:tcW w:w="10196" w:type="dxa"/>
            <w:gridSpan w:val="1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505CA1" w:rsidRPr="00CF3127" w:rsidRDefault="00505CA1" w:rsidP="006A38F8">
            <w:pPr>
              <w:jc w:val="center"/>
              <w:rPr>
                <w:rFonts w:cstheme="minorHAnsi"/>
                <w:i/>
                <w:sz w:val="22"/>
                <w:szCs w:val="22"/>
              </w:rPr>
            </w:pPr>
            <w:r w:rsidRPr="00CF3127">
              <w:rPr>
                <w:i/>
                <w:sz w:val="22"/>
                <w:szCs w:val="22"/>
              </w:rPr>
              <w:t>1 September 2018 – 1 September 2019</w:t>
            </w:r>
          </w:p>
        </w:tc>
      </w:tr>
      <w:tr w:rsidR="00DE7A9C" w:rsidRPr="00CF3127" w:rsidTr="007855D6">
        <w:trPr>
          <w:gridAfter w:val="3"/>
          <w:wAfter w:w="356" w:type="dxa"/>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Lead implementing agency</w:t>
            </w:r>
          </w:p>
        </w:tc>
        <w:tc>
          <w:tcPr>
            <w:tcW w:w="706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505CA1" w:rsidP="006A38F8">
            <w:pPr>
              <w:rPr>
                <w:rFonts w:cstheme="minorHAnsi"/>
                <w:sz w:val="22"/>
                <w:szCs w:val="22"/>
              </w:rPr>
            </w:pPr>
            <w:r w:rsidRPr="00CF3127">
              <w:rPr>
                <w:sz w:val="22"/>
                <w:szCs w:val="22"/>
              </w:rPr>
              <w:t>Office of the Government</w:t>
            </w:r>
          </w:p>
        </w:tc>
      </w:tr>
      <w:tr w:rsidR="00DE7A9C" w:rsidRPr="00CF3127" w:rsidTr="007855D6">
        <w:trPr>
          <w:gridAfter w:val="3"/>
          <w:wAfter w:w="356" w:type="dxa"/>
          <w:trHeight w:val="420"/>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b/>
                <w:bCs/>
                <w:color w:val="000000"/>
                <w:sz w:val="22"/>
                <w:szCs w:val="22"/>
                <w:shd w:val="clear" w:color="auto" w:fill="D9D9D9"/>
              </w:rPr>
              <w:t xml:space="preserve">Commitment description </w:t>
            </w:r>
          </w:p>
        </w:tc>
      </w:tr>
      <w:tr w:rsidR="00DE7A9C" w:rsidRPr="00CF3127" w:rsidTr="007855D6">
        <w:trPr>
          <w:gridAfter w:val="3"/>
          <w:wAfter w:w="356" w:type="dxa"/>
          <w:trHeight w:val="42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 xml:space="preserve">Key problem addressed </w:t>
            </w:r>
          </w:p>
        </w:tc>
        <w:tc>
          <w:tcPr>
            <w:tcW w:w="706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7075E8" w:rsidP="006A38F8">
            <w:pPr>
              <w:jc w:val="both"/>
              <w:textAlignment w:val="baseline"/>
              <w:rPr>
                <w:rFonts w:cstheme="minorHAnsi"/>
                <w:sz w:val="22"/>
                <w:szCs w:val="22"/>
              </w:rPr>
            </w:pPr>
            <w:r w:rsidRPr="00CF3127">
              <w:rPr>
                <w:sz w:val="22"/>
                <w:szCs w:val="22"/>
              </w:rPr>
              <w:t xml:space="preserve">Lithuanian and international surveys show that the Lithuanian society is civically disengaged and it practically makes little use of its rights and opportunities to participate in </w:t>
            </w:r>
            <w:r w:rsidR="00CE2C8F" w:rsidRPr="00CF3127">
              <w:rPr>
                <w:sz w:val="22"/>
                <w:szCs w:val="22"/>
              </w:rPr>
              <w:t>addressing</w:t>
            </w:r>
            <w:r w:rsidRPr="00CF3127">
              <w:rPr>
                <w:sz w:val="22"/>
                <w:szCs w:val="22"/>
              </w:rPr>
              <w:t xml:space="preserve"> public matters of the country or to engage in civic activities of public importance. National institutions have implemented a number of initiatives to promote public participation and involvement in public decision-making processes, but public involvement is low, so is the participation culture, there is no methodological approach-based public participation monitoring strategy allowing to assess the current state of co-operation between the public sector and society, to see the development trends and the factors influencing the quality of this process - the engagement of participants, achievement of results, etc.</w:t>
            </w:r>
          </w:p>
        </w:tc>
      </w:tr>
      <w:tr w:rsidR="00DE7A9C" w:rsidRPr="00CF3127" w:rsidTr="007855D6">
        <w:trPr>
          <w:gridAfter w:val="3"/>
          <w:wAfter w:w="356" w:type="dxa"/>
          <w:trHeight w:val="44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Commitment</w:t>
            </w:r>
          </w:p>
        </w:tc>
        <w:tc>
          <w:tcPr>
            <w:tcW w:w="706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7075E8" w:rsidP="006A38F8">
            <w:pPr>
              <w:jc w:val="both"/>
              <w:textAlignment w:val="baseline"/>
              <w:rPr>
                <w:rFonts w:cstheme="minorHAnsi"/>
                <w:sz w:val="22"/>
                <w:szCs w:val="22"/>
              </w:rPr>
            </w:pPr>
            <w:r w:rsidRPr="00CF3127">
              <w:rPr>
                <w:sz w:val="22"/>
                <w:szCs w:val="22"/>
              </w:rPr>
              <w:t xml:space="preserve">Developing methodology for monitoring civic participation in public governance processes, which would serve as a basis for the evaluation of the actual situation as regards civic participation in public governance processes, and provide for facilitated civic engagement in </w:t>
            </w:r>
            <w:r w:rsidR="00CE2C8F" w:rsidRPr="00CF3127">
              <w:rPr>
                <w:sz w:val="22"/>
                <w:szCs w:val="22"/>
              </w:rPr>
              <w:t>decision-making</w:t>
            </w:r>
            <w:r w:rsidRPr="00CF3127">
              <w:rPr>
                <w:sz w:val="22"/>
                <w:szCs w:val="22"/>
              </w:rPr>
              <w:t>.</w:t>
            </w:r>
          </w:p>
        </w:tc>
      </w:tr>
      <w:tr w:rsidR="00DE7A9C" w:rsidRPr="00CF3127" w:rsidTr="007855D6">
        <w:trPr>
          <w:gridAfter w:val="3"/>
          <w:wAfter w:w="356" w:type="dxa"/>
          <w:trHeight w:val="44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 xml:space="preserve">How will the commitment contribute to address the public problem? </w:t>
            </w:r>
          </w:p>
        </w:tc>
        <w:tc>
          <w:tcPr>
            <w:tcW w:w="706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0F38ED">
            <w:pPr>
              <w:jc w:val="both"/>
              <w:textAlignment w:val="baseline"/>
              <w:rPr>
                <w:rFonts w:cstheme="minorHAnsi"/>
                <w:sz w:val="22"/>
                <w:szCs w:val="22"/>
              </w:rPr>
            </w:pPr>
            <w:r w:rsidRPr="00CF3127">
              <w:rPr>
                <w:sz w:val="22"/>
                <w:szCs w:val="22"/>
              </w:rPr>
              <w:t>With the methodological basis at hand, it will be possible to gather information and evaluate the public involvement through specific tools for participation in decision-making, to follow the changes in participation and to seek solutions and tools to encourage greater public participation.</w:t>
            </w:r>
          </w:p>
        </w:tc>
      </w:tr>
      <w:tr w:rsidR="00DE7A9C" w:rsidRPr="00CF3127" w:rsidTr="007855D6">
        <w:trPr>
          <w:gridAfter w:val="3"/>
          <w:wAfter w:w="356" w:type="dxa"/>
          <w:trHeight w:val="42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How does the commitment relate to OGP values?</w:t>
            </w:r>
          </w:p>
        </w:tc>
        <w:tc>
          <w:tcPr>
            <w:tcW w:w="706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753F36" w:rsidP="006A38F8">
            <w:pPr>
              <w:tabs>
                <w:tab w:val="left" w:pos="417"/>
                <w:tab w:val="left" w:pos="931"/>
              </w:tabs>
              <w:jc w:val="both"/>
              <w:textAlignment w:val="baseline"/>
              <w:rPr>
                <w:rFonts w:cstheme="minorHAnsi"/>
                <w:sz w:val="22"/>
                <w:szCs w:val="22"/>
              </w:rPr>
            </w:pPr>
            <w:r w:rsidRPr="00CF3127">
              <w:rPr>
                <w:sz w:val="22"/>
                <w:szCs w:val="22"/>
              </w:rPr>
              <w:t>The commitment is relevant to the value of accountability, as it creates a mechanism aimed at: the evaluation of the effectiveness of public participation measures developed by institutions; it also meets the value of public involvement in decision making (participation), as the methodology will serve the basis for the implementation of the measures encouraging public participation.</w:t>
            </w:r>
          </w:p>
        </w:tc>
      </w:tr>
      <w:tr w:rsidR="00DE7A9C" w:rsidRPr="00CF3127" w:rsidTr="007855D6">
        <w:trPr>
          <w:gridAfter w:val="3"/>
          <w:wAfter w:w="356" w:type="dxa"/>
          <w:trHeight w:val="42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both"/>
              <w:rPr>
                <w:rFonts w:cstheme="minorHAnsi"/>
                <w:sz w:val="22"/>
                <w:szCs w:val="22"/>
              </w:rPr>
            </w:pPr>
            <w:r w:rsidRPr="00CF3127">
              <w:rPr>
                <w:color w:val="000000"/>
                <w:sz w:val="22"/>
                <w:szCs w:val="22"/>
                <w:shd w:val="clear" w:color="auto" w:fill="D9D9D9"/>
              </w:rPr>
              <w:t xml:space="preserve">Additional information </w:t>
            </w:r>
          </w:p>
        </w:tc>
        <w:tc>
          <w:tcPr>
            <w:tcW w:w="706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F36" w:rsidRPr="00CF3127" w:rsidRDefault="00753F36" w:rsidP="006A38F8">
            <w:pPr>
              <w:pStyle w:val="ListParagraph"/>
              <w:numPr>
                <w:ilvl w:val="0"/>
                <w:numId w:val="23"/>
              </w:numPr>
              <w:rPr>
                <w:rFonts w:cstheme="minorHAnsi"/>
                <w:sz w:val="22"/>
                <w:szCs w:val="22"/>
              </w:rPr>
            </w:pPr>
            <w:r w:rsidRPr="00CF3127">
              <w:rPr>
                <w:sz w:val="22"/>
                <w:szCs w:val="22"/>
              </w:rPr>
              <w:t>The implementation of the commitment is financed from the project ‘Open Government initiatives’ run by the Office of the Government.</w:t>
            </w:r>
          </w:p>
          <w:p w:rsidR="00DE7A9C" w:rsidRPr="00CF3127" w:rsidRDefault="00753F36" w:rsidP="00CE2C8F">
            <w:pPr>
              <w:pStyle w:val="ListParagraph"/>
              <w:numPr>
                <w:ilvl w:val="0"/>
                <w:numId w:val="23"/>
              </w:numPr>
              <w:tabs>
                <w:tab w:val="num" w:pos="275"/>
              </w:tabs>
              <w:jc w:val="both"/>
              <w:textAlignment w:val="baseline"/>
              <w:rPr>
                <w:rFonts w:cstheme="minorHAnsi"/>
                <w:sz w:val="22"/>
                <w:szCs w:val="22"/>
              </w:rPr>
            </w:pPr>
            <w:r w:rsidRPr="00CF3127">
              <w:rPr>
                <w:sz w:val="22"/>
                <w:szCs w:val="22"/>
              </w:rPr>
              <w:t>The commitment is part of the Plan for the implementation of the Programme of the 17th Government.</w:t>
            </w:r>
          </w:p>
        </w:tc>
      </w:tr>
      <w:tr w:rsidR="00DE7A9C" w:rsidRPr="00CF3127" w:rsidTr="00161804">
        <w:trPr>
          <w:gridAfter w:val="3"/>
          <w:wAfter w:w="356" w:type="dxa"/>
        </w:trPr>
        <w:tc>
          <w:tcPr>
            <w:tcW w:w="313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Completion stage</w:t>
            </w:r>
          </w:p>
        </w:tc>
        <w:tc>
          <w:tcPr>
            <w:tcW w:w="1391"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Not started</w:t>
            </w:r>
          </w:p>
        </w:tc>
        <w:tc>
          <w:tcPr>
            <w:tcW w:w="1697"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Started</w:t>
            </w:r>
          </w:p>
        </w:tc>
        <w:tc>
          <w:tcPr>
            <w:tcW w:w="187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Half-way through</w:t>
            </w:r>
          </w:p>
        </w:tc>
        <w:tc>
          <w:tcPr>
            <w:tcW w:w="2098"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Completed</w:t>
            </w:r>
          </w:p>
        </w:tc>
      </w:tr>
      <w:tr w:rsidR="00DE7A9C" w:rsidRPr="00CF3127" w:rsidTr="00161804">
        <w:trPr>
          <w:gridAfter w:val="3"/>
          <w:wAfter w:w="356" w:type="dxa"/>
        </w:trPr>
        <w:tc>
          <w:tcPr>
            <w:tcW w:w="3135" w:type="dxa"/>
            <w:vMerge/>
            <w:tcBorders>
              <w:top w:val="single" w:sz="8" w:space="0" w:color="000000"/>
              <w:left w:val="single" w:sz="8" w:space="0" w:color="000000"/>
              <w:bottom w:val="single" w:sz="8" w:space="0" w:color="000000"/>
              <w:right w:val="single" w:sz="8" w:space="0" w:color="000000"/>
            </w:tcBorders>
            <w:vAlign w:val="center"/>
            <w:hideMark/>
          </w:tcPr>
          <w:p w:rsidR="00DE7A9C" w:rsidRPr="00CF3127" w:rsidRDefault="00DE7A9C" w:rsidP="006A38F8">
            <w:pPr>
              <w:rPr>
                <w:rFonts w:cstheme="minorHAnsi"/>
                <w:sz w:val="22"/>
                <w:szCs w:val="22"/>
              </w:rPr>
            </w:pPr>
          </w:p>
        </w:tc>
        <w:tc>
          <w:tcPr>
            <w:tcW w:w="139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DE7A9C" w:rsidP="006A38F8">
            <w:pPr>
              <w:rPr>
                <w:rFonts w:cstheme="minorHAnsi"/>
                <w:sz w:val="22"/>
                <w:szCs w:val="22"/>
              </w:rPr>
            </w:pPr>
          </w:p>
        </w:tc>
        <w:tc>
          <w:tcPr>
            <w:tcW w:w="169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DE7A9C" w:rsidP="006A38F8">
            <w:pPr>
              <w:rPr>
                <w:rFonts w:eastAsia="Times New Roman" w:cstheme="minorHAnsi"/>
                <w:sz w:val="22"/>
                <w:szCs w:val="22"/>
              </w:rPr>
            </w:pPr>
          </w:p>
        </w:tc>
        <w:tc>
          <w:tcPr>
            <w:tcW w:w="18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DE7A9C" w:rsidP="006A38F8">
            <w:pPr>
              <w:jc w:val="center"/>
              <w:rPr>
                <w:rFonts w:eastAsia="Times New Roman" w:cstheme="minorHAnsi"/>
                <w:i/>
                <w:sz w:val="22"/>
                <w:szCs w:val="22"/>
              </w:rPr>
            </w:pPr>
          </w:p>
        </w:tc>
        <w:tc>
          <w:tcPr>
            <w:tcW w:w="209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633939" w:rsidP="006A38F8">
            <w:pPr>
              <w:jc w:val="center"/>
              <w:rPr>
                <w:rFonts w:eastAsia="Times New Roman" w:cstheme="minorHAnsi"/>
                <w:sz w:val="22"/>
                <w:szCs w:val="22"/>
                <w:u w:val="single"/>
              </w:rPr>
            </w:pPr>
            <w:r w:rsidRPr="00CF3127">
              <w:rPr>
                <w:sz w:val="22"/>
                <w:szCs w:val="22"/>
              </w:rPr>
              <w:t>X</w:t>
            </w:r>
          </w:p>
        </w:tc>
      </w:tr>
      <w:tr w:rsidR="00DE7A9C" w:rsidRPr="00CF3127" w:rsidTr="007855D6">
        <w:trPr>
          <w:gridAfter w:val="3"/>
          <w:wAfter w:w="356" w:type="dxa"/>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Description of concrete results</w:t>
            </w:r>
          </w:p>
        </w:tc>
        <w:tc>
          <w:tcPr>
            <w:tcW w:w="706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F2B" w:rsidRPr="00CF3127" w:rsidRDefault="00FC2456" w:rsidP="006A38F8">
            <w:pPr>
              <w:pStyle w:val="ListParagraph"/>
              <w:numPr>
                <w:ilvl w:val="0"/>
                <w:numId w:val="24"/>
              </w:numPr>
              <w:jc w:val="both"/>
              <w:rPr>
                <w:rFonts w:cstheme="minorHAnsi"/>
                <w:sz w:val="22"/>
                <w:szCs w:val="22"/>
              </w:rPr>
            </w:pPr>
            <w:r w:rsidRPr="00CF3127">
              <w:rPr>
                <w:sz w:val="22"/>
                <w:szCs w:val="22"/>
              </w:rPr>
              <w:t xml:space="preserve">Methodology completed for monitoring civic participation in public administration processes; </w:t>
            </w:r>
          </w:p>
          <w:p w:rsidR="00B12080" w:rsidRPr="00CF3127" w:rsidRDefault="00A2716D" w:rsidP="006A38F8">
            <w:pPr>
              <w:pStyle w:val="ListParagraph"/>
              <w:numPr>
                <w:ilvl w:val="0"/>
                <w:numId w:val="24"/>
              </w:numPr>
              <w:jc w:val="both"/>
              <w:rPr>
                <w:rFonts w:cstheme="minorHAnsi"/>
                <w:b/>
                <w:sz w:val="22"/>
                <w:szCs w:val="22"/>
              </w:rPr>
            </w:pPr>
            <w:r w:rsidRPr="00CF3127">
              <w:t>trial monitoring completed of civic participation in public administration processes;</w:t>
            </w:r>
          </w:p>
          <w:p w:rsidR="007A5F2B" w:rsidRPr="00CF3127" w:rsidRDefault="00A2716D" w:rsidP="006A38F8">
            <w:pPr>
              <w:pStyle w:val="ListParagraph"/>
              <w:numPr>
                <w:ilvl w:val="0"/>
                <w:numId w:val="24"/>
              </w:numPr>
              <w:jc w:val="both"/>
              <w:rPr>
                <w:rFonts w:cstheme="minorHAnsi"/>
                <w:b/>
                <w:sz w:val="22"/>
                <w:szCs w:val="22"/>
              </w:rPr>
            </w:pPr>
            <w:r w:rsidRPr="00CF3127">
              <w:rPr>
                <w:sz w:val="22"/>
                <w:szCs w:val="22"/>
              </w:rPr>
              <w:t>recommendations drawn up.</w:t>
            </w:r>
          </w:p>
        </w:tc>
      </w:tr>
      <w:tr w:rsidR="00DE7A9C" w:rsidRPr="00CF3127" w:rsidTr="007855D6">
        <w:trPr>
          <w:gridAfter w:val="3"/>
          <w:wAfter w:w="356" w:type="dxa"/>
          <w:trHeight w:val="278"/>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Next steps</w:t>
            </w:r>
          </w:p>
        </w:tc>
        <w:tc>
          <w:tcPr>
            <w:tcW w:w="706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A2716D" w:rsidP="006A38F8">
            <w:pPr>
              <w:tabs>
                <w:tab w:val="num" w:pos="1126"/>
              </w:tabs>
              <w:jc w:val="both"/>
              <w:textAlignment w:val="baseline"/>
              <w:rPr>
                <w:rFonts w:eastAsia="Times New Roman" w:cstheme="minorHAnsi"/>
                <w:color w:val="000000"/>
                <w:sz w:val="22"/>
                <w:szCs w:val="22"/>
              </w:rPr>
            </w:pPr>
            <w:r w:rsidRPr="00CF3127">
              <w:rPr>
                <w:color w:val="000000"/>
                <w:sz w:val="22"/>
                <w:szCs w:val="22"/>
              </w:rPr>
              <w:t>–</w:t>
            </w:r>
            <w:r w:rsidRPr="00CF3127">
              <w:rPr>
                <w:rStyle w:val="CharStyle26"/>
                <w:rFonts w:asciiTheme="minorHAnsi" w:eastAsiaTheme="minorHAnsi" w:hAnsiTheme="minorHAnsi"/>
                <w:sz w:val="22"/>
                <w:szCs w:val="22"/>
              </w:rPr>
              <w:t xml:space="preserve"> </w:t>
            </w:r>
          </w:p>
        </w:tc>
      </w:tr>
      <w:tr w:rsidR="00DE7A9C"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Milestone status</w:t>
            </w:r>
          </w:p>
        </w:tc>
        <w:tc>
          <w:tcPr>
            <w:tcW w:w="1697"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Start date:</w:t>
            </w:r>
          </w:p>
        </w:tc>
        <w:tc>
          <w:tcPr>
            <w:tcW w:w="187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End date:</w:t>
            </w:r>
          </w:p>
        </w:tc>
        <w:tc>
          <w:tcPr>
            <w:tcW w:w="2098"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rPr>
              <w:t>Completion stage</w:t>
            </w:r>
          </w:p>
        </w:tc>
      </w:tr>
      <w:tr w:rsidR="002C2A11"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2A11" w:rsidRPr="00CF3127" w:rsidRDefault="002C2A11" w:rsidP="006A38F8">
            <w:pPr>
              <w:rPr>
                <w:rFonts w:eastAsia="Times New Roman" w:cstheme="minorHAnsi"/>
                <w:sz w:val="22"/>
                <w:szCs w:val="22"/>
              </w:rPr>
            </w:pPr>
            <w:r w:rsidRPr="00CF3127">
              <w:rPr>
                <w:sz w:val="22"/>
                <w:szCs w:val="22"/>
              </w:rPr>
              <w:t>Methodology completed</w:t>
            </w:r>
          </w:p>
        </w:tc>
        <w:tc>
          <w:tcPr>
            <w:tcW w:w="169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2A11" w:rsidRPr="00CF3127" w:rsidRDefault="002C2A11" w:rsidP="006A38F8">
            <w:pPr>
              <w:rPr>
                <w:rFonts w:cstheme="minorHAnsi"/>
                <w:sz w:val="22"/>
                <w:szCs w:val="22"/>
              </w:rPr>
            </w:pPr>
            <w:r w:rsidRPr="00CF3127">
              <w:rPr>
                <w:sz w:val="22"/>
                <w:szCs w:val="22"/>
              </w:rPr>
              <w:t>01-09-2018</w:t>
            </w:r>
          </w:p>
        </w:tc>
        <w:tc>
          <w:tcPr>
            <w:tcW w:w="18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2A11" w:rsidRPr="00CF3127" w:rsidRDefault="002C2A11" w:rsidP="006A38F8">
            <w:pPr>
              <w:rPr>
                <w:rFonts w:cstheme="minorHAnsi"/>
                <w:sz w:val="22"/>
                <w:szCs w:val="22"/>
              </w:rPr>
            </w:pPr>
            <w:r w:rsidRPr="00CF3127">
              <w:rPr>
                <w:sz w:val="22"/>
                <w:szCs w:val="22"/>
              </w:rPr>
              <w:t>31-12-2018</w:t>
            </w:r>
          </w:p>
        </w:tc>
        <w:tc>
          <w:tcPr>
            <w:tcW w:w="209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2A11" w:rsidRPr="00CF3127" w:rsidRDefault="002C2A11" w:rsidP="006A38F8">
            <w:pPr>
              <w:rPr>
                <w:rFonts w:eastAsia="Times New Roman" w:cstheme="minorHAnsi"/>
                <w:sz w:val="22"/>
                <w:szCs w:val="22"/>
              </w:rPr>
            </w:pPr>
            <w:r w:rsidRPr="00CF3127">
              <w:rPr>
                <w:sz w:val="22"/>
                <w:szCs w:val="22"/>
              </w:rPr>
              <w:t>Completed</w:t>
            </w:r>
          </w:p>
        </w:tc>
      </w:tr>
      <w:tr w:rsidR="0058692A"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692A" w:rsidRPr="00CF3127" w:rsidRDefault="0058692A" w:rsidP="006A38F8">
            <w:pPr>
              <w:rPr>
                <w:rFonts w:eastAsia="Times New Roman" w:cstheme="minorHAnsi"/>
                <w:sz w:val="22"/>
                <w:szCs w:val="22"/>
              </w:rPr>
            </w:pPr>
            <w:r w:rsidRPr="00CF3127">
              <w:rPr>
                <w:sz w:val="22"/>
                <w:szCs w:val="22"/>
              </w:rPr>
              <w:t>Trial monitoring completed (trial monitoring report)</w:t>
            </w:r>
          </w:p>
        </w:tc>
        <w:tc>
          <w:tcPr>
            <w:tcW w:w="169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692A" w:rsidRPr="00CF3127" w:rsidRDefault="0058692A" w:rsidP="006A38F8">
            <w:pPr>
              <w:rPr>
                <w:rFonts w:cstheme="minorHAnsi"/>
                <w:sz w:val="22"/>
                <w:szCs w:val="22"/>
              </w:rPr>
            </w:pPr>
            <w:r w:rsidRPr="00CF3127">
              <w:rPr>
                <w:sz w:val="22"/>
                <w:szCs w:val="22"/>
              </w:rPr>
              <w:t>02-01-2019</w:t>
            </w:r>
          </w:p>
        </w:tc>
        <w:tc>
          <w:tcPr>
            <w:tcW w:w="18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692A" w:rsidRPr="00CF3127" w:rsidRDefault="0058692A" w:rsidP="006A38F8">
            <w:pPr>
              <w:rPr>
                <w:rFonts w:cstheme="minorHAnsi"/>
                <w:sz w:val="22"/>
                <w:szCs w:val="22"/>
              </w:rPr>
            </w:pPr>
            <w:r w:rsidRPr="00CF3127">
              <w:rPr>
                <w:sz w:val="22"/>
                <w:szCs w:val="22"/>
              </w:rPr>
              <w:t>01-07-2019</w:t>
            </w:r>
          </w:p>
        </w:tc>
        <w:tc>
          <w:tcPr>
            <w:tcW w:w="209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692A" w:rsidRPr="00CF3127" w:rsidRDefault="0058692A" w:rsidP="006A38F8">
            <w:pPr>
              <w:rPr>
                <w:rFonts w:eastAsia="Times New Roman" w:cstheme="minorHAnsi"/>
                <w:sz w:val="22"/>
                <w:szCs w:val="22"/>
              </w:rPr>
            </w:pPr>
            <w:r w:rsidRPr="00CF3127">
              <w:rPr>
                <w:sz w:val="22"/>
                <w:szCs w:val="22"/>
              </w:rPr>
              <w:t>Completed</w:t>
            </w:r>
          </w:p>
        </w:tc>
      </w:tr>
      <w:tr w:rsidR="0058692A" w:rsidRPr="00CF3127" w:rsidTr="00161804">
        <w:trPr>
          <w:gridAfter w:val="3"/>
          <w:wAfter w:w="356" w:type="dxa"/>
        </w:trPr>
        <w:tc>
          <w:tcPr>
            <w:tcW w:w="45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692A" w:rsidRPr="00CF3127" w:rsidRDefault="0058692A" w:rsidP="006A38F8">
            <w:pPr>
              <w:rPr>
                <w:rFonts w:eastAsia="Times New Roman" w:cstheme="minorHAnsi"/>
                <w:sz w:val="22"/>
                <w:szCs w:val="22"/>
              </w:rPr>
            </w:pPr>
            <w:r w:rsidRPr="00CF3127">
              <w:rPr>
                <w:sz w:val="22"/>
                <w:szCs w:val="22"/>
              </w:rPr>
              <w:t>Recommendations drawn up (set of recommendations)</w:t>
            </w:r>
          </w:p>
        </w:tc>
        <w:tc>
          <w:tcPr>
            <w:tcW w:w="169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692A" w:rsidRPr="00CF3127" w:rsidRDefault="0058692A" w:rsidP="006A38F8">
            <w:pPr>
              <w:rPr>
                <w:rFonts w:cstheme="minorHAnsi"/>
                <w:sz w:val="22"/>
                <w:szCs w:val="22"/>
              </w:rPr>
            </w:pPr>
            <w:r w:rsidRPr="00CF3127">
              <w:rPr>
                <w:sz w:val="22"/>
                <w:szCs w:val="22"/>
              </w:rPr>
              <w:t>01-07-2019</w:t>
            </w:r>
          </w:p>
        </w:tc>
        <w:tc>
          <w:tcPr>
            <w:tcW w:w="18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692A" w:rsidRPr="00CF3127" w:rsidRDefault="0058692A" w:rsidP="006A38F8">
            <w:pPr>
              <w:rPr>
                <w:rFonts w:cstheme="minorHAnsi"/>
                <w:sz w:val="22"/>
                <w:szCs w:val="22"/>
              </w:rPr>
            </w:pPr>
            <w:r w:rsidRPr="00CF3127">
              <w:rPr>
                <w:sz w:val="22"/>
                <w:szCs w:val="22"/>
              </w:rPr>
              <w:t>01-09-2019</w:t>
            </w:r>
          </w:p>
        </w:tc>
        <w:tc>
          <w:tcPr>
            <w:tcW w:w="209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692A" w:rsidRPr="00CF3127" w:rsidRDefault="0058692A" w:rsidP="006A38F8">
            <w:pPr>
              <w:rPr>
                <w:rFonts w:eastAsia="Times New Roman" w:cstheme="minorHAnsi"/>
                <w:sz w:val="22"/>
                <w:szCs w:val="22"/>
              </w:rPr>
            </w:pPr>
            <w:r w:rsidRPr="00CF3127">
              <w:rPr>
                <w:sz w:val="22"/>
                <w:szCs w:val="22"/>
              </w:rPr>
              <w:t>Completed</w:t>
            </w:r>
          </w:p>
        </w:tc>
      </w:tr>
      <w:tr w:rsidR="00DE7A9C" w:rsidRPr="00CF3127" w:rsidTr="007855D6">
        <w:trPr>
          <w:gridAfter w:val="3"/>
          <w:wAfter w:w="356" w:type="dxa"/>
          <w:trHeight w:val="420"/>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 xml:space="preserve">Contact information </w:t>
            </w:r>
          </w:p>
        </w:tc>
      </w:tr>
      <w:tr w:rsidR="00DE7A9C" w:rsidRPr="00CF3127" w:rsidTr="007855D6">
        <w:trPr>
          <w:gridAfter w:val="3"/>
          <w:wAfter w:w="356" w:type="dxa"/>
          <w:trHeight w:val="42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Lead implementing agency</w:t>
            </w:r>
          </w:p>
        </w:tc>
        <w:tc>
          <w:tcPr>
            <w:tcW w:w="7061" w:type="dxa"/>
            <w:gridSpan w:val="15"/>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A432E0" w:rsidP="006A38F8">
            <w:pPr>
              <w:rPr>
                <w:rFonts w:cstheme="minorHAnsi"/>
                <w:sz w:val="22"/>
                <w:szCs w:val="22"/>
              </w:rPr>
            </w:pPr>
            <w:r w:rsidRPr="00CF3127">
              <w:rPr>
                <w:sz w:val="22"/>
                <w:szCs w:val="22"/>
              </w:rPr>
              <w:t>Office of the Government</w:t>
            </w:r>
          </w:p>
        </w:tc>
      </w:tr>
      <w:tr w:rsidR="00DE7A9C" w:rsidRPr="00CF3127" w:rsidTr="00161804">
        <w:trPr>
          <w:gridAfter w:val="3"/>
          <w:wAfter w:w="356" w:type="dxa"/>
          <w:trHeight w:val="187"/>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Persons in charge</w:t>
            </w:r>
          </w:p>
        </w:tc>
        <w:tc>
          <w:tcPr>
            <w:tcW w:w="7061" w:type="dxa"/>
            <w:gridSpan w:val="15"/>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FC2456" w:rsidP="006A38F8">
            <w:pPr>
              <w:rPr>
                <w:rFonts w:cstheme="minorHAnsi"/>
                <w:sz w:val="22"/>
                <w:szCs w:val="22"/>
              </w:rPr>
            </w:pPr>
            <w:r w:rsidRPr="00CF3127">
              <w:rPr>
                <w:sz w:val="22"/>
                <w:szCs w:val="22"/>
              </w:rPr>
              <w:t>Gitana Vaškelienė</w:t>
            </w:r>
          </w:p>
        </w:tc>
      </w:tr>
      <w:tr w:rsidR="00DE7A9C" w:rsidRPr="00CF3127" w:rsidTr="00161804">
        <w:trPr>
          <w:gridAfter w:val="3"/>
          <w:wAfter w:w="356" w:type="dxa"/>
          <w:trHeight w:val="258"/>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Title, department</w:t>
            </w:r>
          </w:p>
        </w:tc>
        <w:tc>
          <w:tcPr>
            <w:tcW w:w="7061" w:type="dxa"/>
            <w:gridSpan w:val="15"/>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FC2456" w:rsidP="006A38F8">
            <w:pPr>
              <w:rPr>
                <w:rFonts w:cstheme="minorHAnsi"/>
                <w:sz w:val="22"/>
                <w:szCs w:val="22"/>
              </w:rPr>
            </w:pPr>
            <w:r w:rsidRPr="00CF3127">
              <w:rPr>
                <w:sz w:val="22"/>
                <w:szCs w:val="22"/>
              </w:rPr>
              <w:t>Head of Personal Service Unit</w:t>
            </w:r>
          </w:p>
        </w:tc>
      </w:tr>
      <w:tr w:rsidR="00DE7A9C" w:rsidRPr="00CF3127" w:rsidTr="007855D6">
        <w:trPr>
          <w:gridAfter w:val="3"/>
          <w:wAfter w:w="356" w:type="dxa"/>
          <w:trHeight w:val="42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E7A9C" w:rsidRPr="00CF3127" w:rsidRDefault="00DE7A9C" w:rsidP="006A38F8">
            <w:pPr>
              <w:jc w:val="center"/>
              <w:rPr>
                <w:rFonts w:cstheme="minorHAnsi"/>
                <w:sz w:val="22"/>
                <w:szCs w:val="22"/>
              </w:rPr>
            </w:pPr>
            <w:r w:rsidRPr="00CF3127">
              <w:rPr>
                <w:color w:val="000000"/>
                <w:sz w:val="22"/>
                <w:szCs w:val="22"/>
                <w:shd w:val="clear" w:color="auto" w:fill="D9D9D9"/>
              </w:rPr>
              <w:t>email and phone</w:t>
            </w:r>
          </w:p>
        </w:tc>
        <w:tc>
          <w:tcPr>
            <w:tcW w:w="7061" w:type="dxa"/>
            <w:gridSpan w:val="15"/>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E7A9C" w:rsidRPr="00CF3127" w:rsidRDefault="00087D7C" w:rsidP="006A38F8">
            <w:pPr>
              <w:rPr>
                <w:rFonts w:cstheme="minorHAnsi"/>
                <w:sz w:val="22"/>
                <w:szCs w:val="22"/>
              </w:rPr>
            </w:pPr>
            <w:hyperlink r:id="rId14" w:history="1">
              <w:r w:rsidR="00095403" w:rsidRPr="00CF3127">
                <w:rPr>
                  <w:sz w:val="22"/>
                  <w:szCs w:val="22"/>
                </w:rPr>
                <w:t>gitana.vaskeliene@lrv.lt</w:t>
              </w:r>
            </w:hyperlink>
            <w:r w:rsidR="00095403" w:rsidRPr="00CF3127">
              <w:rPr>
                <w:sz w:val="22"/>
                <w:szCs w:val="22"/>
              </w:rPr>
              <w:t>, tel. 8 706 63 976</w:t>
            </w:r>
          </w:p>
        </w:tc>
      </w:tr>
      <w:tr w:rsidR="00DE7A9C" w:rsidRPr="00CF3127" w:rsidTr="007855D6">
        <w:trPr>
          <w:gridAfter w:val="3"/>
          <w:wAfter w:w="356" w:type="dxa"/>
          <w:trHeight w:val="420"/>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E7A9C" w:rsidRPr="00CF3127" w:rsidRDefault="00DE7A9C" w:rsidP="006A38F8">
            <w:pPr>
              <w:jc w:val="center"/>
              <w:rPr>
                <w:rFonts w:cstheme="minorHAnsi"/>
                <w:sz w:val="22"/>
                <w:szCs w:val="22"/>
              </w:rPr>
            </w:pPr>
            <w:r w:rsidRPr="00CF3127">
              <w:rPr>
                <w:color w:val="000000"/>
                <w:sz w:val="22"/>
                <w:szCs w:val="22"/>
                <w:shd w:val="clear" w:color="auto" w:fill="D9D9D9"/>
              </w:rPr>
              <w:t>Other actors involved</w:t>
            </w:r>
          </w:p>
        </w:tc>
      </w:tr>
      <w:tr w:rsidR="00DE7A9C" w:rsidRPr="00CF3127" w:rsidTr="007855D6">
        <w:trPr>
          <w:gridAfter w:val="3"/>
          <w:wAfter w:w="356" w:type="dxa"/>
          <w:trHeight w:val="42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E7A9C" w:rsidRPr="00CF3127" w:rsidRDefault="00DE7A9C" w:rsidP="006A38F8">
            <w:pPr>
              <w:jc w:val="center"/>
              <w:rPr>
                <w:rFonts w:cstheme="minorHAnsi"/>
                <w:sz w:val="22"/>
                <w:szCs w:val="22"/>
              </w:rPr>
            </w:pPr>
            <w:r w:rsidRPr="00CF3127">
              <w:rPr>
                <w:color w:val="000000"/>
                <w:sz w:val="22"/>
                <w:szCs w:val="22"/>
                <w:shd w:val="clear" w:color="auto" w:fill="D9D9D9"/>
              </w:rPr>
              <w:t xml:space="preserve">Ministries, departments/agencies </w:t>
            </w:r>
          </w:p>
        </w:tc>
        <w:tc>
          <w:tcPr>
            <w:tcW w:w="7061" w:type="dxa"/>
            <w:gridSpan w:val="15"/>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E7A9C" w:rsidRPr="00CF3127" w:rsidRDefault="002A3CB2">
            <w:pPr>
              <w:jc w:val="both"/>
              <w:rPr>
                <w:rFonts w:cstheme="minorHAnsi"/>
                <w:sz w:val="22"/>
                <w:szCs w:val="22"/>
              </w:rPr>
            </w:pPr>
            <w:r w:rsidRPr="00CF3127">
              <w:rPr>
                <w:sz w:val="22"/>
                <w:szCs w:val="22"/>
              </w:rPr>
              <w:t>ISDC, Ministry of Social Security and Labour, Ministry of Justice and Ministry of Finance</w:t>
            </w:r>
          </w:p>
        </w:tc>
      </w:tr>
      <w:tr w:rsidR="00DE7A9C" w:rsidRPr="00CF3127" w:rsidTr="007855D6">
        <w:trPr>
          <w:gridAfter w:val="3"/>
          <w:wAfter w:w="356" w:type="dxa"/>
          <w:trHeight w:val="420"/>
        </w:trPr>
        <w:tc>
          <w:tcPr>
            <w:tcW w:w="3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E7A9C" w:rsidRPr="00CF3127" w:rsidRDefault="00DE7A9C" w:rsidP="006A38F8">
            <w:pPr>
              <w:jc w:val="center"/>
              <w:rPr>
                <w:rFonts w:cstheme="minorHAnsi"/>
                <w:color w:val="000000"/>
                <w:sz w:val="22"/>
                <w:szCs w:val="22"/>
                <w:shd w:val="clear" w:color="auto" w:fill="D9D9D9"/>
              </w:rPr>
            </w:pPr>
            <w:r w:rsidRPr="00CF3127">
              <w:rPr>
                <w:color w:val="000000"/>
                <w:sz w:val="22"/>
                <w:szCs w:val="22"/>
                <w:shd w:val="clear" w:color="auto" w:fill="D9D9D9"/>
              </w:rPr>
              <w:t>Civil society organisations, private sector, multilaterals, working groups</w:t>
            </w:r>
          </w:p>
        </w:tc>
        <w:tc>
          <w:tcPr>
            <w:tcW w:w="7061" w:type="dxa"/>
            <w:gridSpan w:val="15"/>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E7A9C" w:rsidRPr="00CF3127" w:rsidRDefault="00AE1A37" w:rsidP="00161804">
            <w:pPr>
              <w:jc w:val="both"/>
              <w:rPr>
                <w:rFonts w:cstheme="minorHAnsi"/>
                <w:sz w:val="22"/>
                <w:szCs w:val="22"/>
              </w:rPr>
            </w:pPr>
            <w:r w:rsidRPr="00CF3127">
              <w:rPr>
                <w:sz w:val="22"/>
                <w:szCs w:val="22"/>
              </w:rPr>
              <w:t>The Working Group set up by Order No V-34 of the Chancellor of the Government of 7 March 2016 ‘On Setting up a Working Group’ (which resumed its activities under Order No V-127 of the Chancellor of the Government of 8 May 2019), Open Government Network, Association of Local Authorities in Lithuania, NGO Information and Support Centre, public movement White Gloves, Vilnius Institute of Political Analysis, etc.</w:t>
            </w:r>
          </w:p>
        </w:tc>
      </w:tr>
      <w:tr w:rsidR="00A7795C" w:rsidRPr="00CF3127" w:rsidTr="00DD39B2">
        <w:trPr>
          <w:gridAfter w:val="3"/>
          <w:wAfter w:w="356" w:type="dxa"/>
          <w:trHeight w:val="297"/>
        </w:trPr>
        <w:tc>
          <w:tcPr>
            <w:tcW w:w="10196" w:type="dxa"/>
            <w:gridSpan w:val="16"/>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A7795C" w:rsidRPr="00CF3127" w:rsidRDefault="00A432E0" w:rsidP="006A38F8">
            <w:pPr>
              <w:pStyle w:val="ListParagraph"/>
              <w:ind w:left="1080"/>
              <w:jc w:val="center"/>
              <w:rPr>
                <w:rFonts w:cstheme="minorHAnsi"/>
                <w:b/>
                <w:bCs/>
                <w:color w:val="FFFFFF" w:themeColor="background1"/>
              </w:rPr>
            </w:pPr>
            <w:r w:rsidRPr="00CF3127">
              <w:rPr>
                <w:b/>
                <w:bCs/>
                <w:color w:val="FFFFFF" w:themeColor="background1"/>
              </w:rPr>
              <w:t>VI.</w:t>
            </w:r>
            <w:r w:rsidRPr="00CF3127">
              <w:rPr>
                <w:b/>
              </w:rPr>
              <w:t xml:space="preserve"> </w:t>
            </w:r>
            <w:r w:rsidRPr="00CF3127">
              <w:rPr>
                <w:b/>
                <w:color w:val="FFFFFF" w:themeColor="background1"/>
              </w:rPr>
              <w:t>Openness to the public of the activities of public governance institutions and their public accountability</w:t>
            </w:r>
          </w:p>
        </w:tc>
      </w:tr>
      <w:tr w:rsidR="00A7795C" w:rsidRPr="00CF3127" w:rsidTr="00DD39B2">
        <w:trPr>
          <w:gridAfter w:val="3"/>
          <w:wAfter w:w="356" w:type="dxa"/>
          <w:trHeight w:val="252"/>
        </w:trPr>
        <w:tc>
          <w:tcPr>
            <w:tcW w:w="10196" w:type="dxa"/>
            <w:gridSpan w:val="1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A7795C" w:rsidRPr="00CF3127" w:rsidRDefault="002A3CB2" w:rsidP="006A38F8">
            <w:pPr>
              <w:jc w:val="center"/>
              <w:rPr>
                <w:rFonts w:cstheme="minorHAnsi"/>
                <w:sz w:val="22"/>
                <w:szCs w:val="22"/>
              </w:rPr>
            </w:pPr>
            <w:r w:rsidRPr="00CF3127">
              <w:rPr>
                <w:sz w:val="22"/>
                <w:szCs w:val="22"/>
              </w:rPr>
              <w:t xml:space="preserve">6. Introduction of </w:t>
            </w:r>
            <w:r w:rsidRPr="00CF3127">
              <w:rPr>
                <w:i/>
                <w:sz w:val="22"/>
                <w:szCs w:val="22"/>
              </w:rPr>
              <w:t>ex post</w:t>
            </w:r>
            <w:r w:rsidRPr="00CF3127">
              <w:rPr>
                <w:sz w:val="22"/>
                <w:szCs w:val="22"/>
              </w:rPr>
              <w:t xml:space="preserve"> evaluation in a legislative process cycle</w:t>
            </w:r>
          </w:p>
        </w:tc>
      </w:tr>
      <w:tr w:rsidR="00A7795C" w:rsidRPr="00CF3127" w:rsidTr="00DD39B2">
        <w:trPr>
          <w:gridAfter w:val="3"/>
          <w:wAfter w:w="356" w:type="dxa"/>
          <w:trHeight w:val="415"/>
        </w:trPr>
        <w:tc>
          <w:tcPr>
            <w:tcW w:w="10196" w:type="dxa"/>
            <w:gridSpan w:val="1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A7795C" w:rsidRPr="00CF3127" w:rsidRDefault="002A0EBA" w:rsidP="006A38F8">
            <w:pPr>
              <w:jc w:val="center"/>
              <w:rPr>
                <w:rFonts w:cstheme="minorHAnsi"/>
                <w:i/>
                <w:sz w:val="22"/>
                <w:szCs w:val="22"/>
              </w:rPr>
            </w:pPr>
            <w:r w:rsidRPr="00CF3127">
              <w:rPr>
                <w:i/>
                <w:sz w:val="22"/>
                <w:szCs w:val="22"/>
              </w:rPr>
              <w:t>1 July 2018 – 31 December 2019</w:t>
            </w:r>
          </w:p>
        </w:tc>
      </w:tr>
      <w:tr w:rsidR="00A7795C" w:rsidRPr="00CF3127" w:rsidTr="00DD39B2">
        <w:trPr>
          <w:gridAfter w:val="3"/>
          <w:wAfter w:w="356" w:type="dxa"/>
          <w:trHeight w:val="519"/>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Lead implementing agency</w:t>
            </w:r>
          </w:p>
        </w:tc>
        <w:tc>
          <w:tcPr>
            <w:tcW w:w="61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2A3CB2" w:rsidP="006A38F8">
            <w:pPr>
              <w:rPr>
                <w:rFonts w:cstheme="minorHAnsi"/>
                <w:sz w:val="22"/>
                <w:szCs w:val="22"/>
              </w:rPr>
            </w:pPr>
            <w:r w:rsidRPr="00CF3127">
              <w:rPr>
                <w:sz w:val="22"/>
                <w:szCs w:val="22"/>
              </w:rPr>
              <w:t>Ministry of Justice</w:t>
            </w:r>
          </w:p>
        </w:tc>
      </w:tr>
      <w:tr w:rsidR="00A7795C" w:rsidRPr="00CF3127" w:rsidTr="00DD39B2">
        <w:trPr>
          <w:gridAfter w:val="3"/>
          <w:wAfter w:w="356" w:type="dxa"/>
          <w:trHeight w:val="335"/>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b/>
                <w:bCs/>
                <w:color w:val="000000"/>
                <w:sz w:val="22"/>
                <w:szCs w:val="22"/>
                <w:shd w:val="clear" w:color="auto" w:fill="D9D9D9"/>
              </w:rPr>
              <w:t xml:space="preserve">Commitment description </w:t>
            </w:r>
          </w:p>
        </w:tc>
      </w:tr>
      <w:tr w:rsidR="00A7795C" w:rsidRPr="00CF3127" w:rsidTr="00DD39B2">
        <w:trPr>
          <w:gridAfter w:val="3"/>
          <w:wAfter w:w="356" w:type="dxa"/>
          <w:trHeight w:val="41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Key problem addressed </w:t>
            </w:r>
          </w:p>
        </w:tc>
        <w:tc>
          <w:tcPr>
            <w:tcW w:w="61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58B7" w:rsidRPr="00CF3127" w:rsidRDefault="002F2D4C">
            <w:pPr>
              <w:jc w:val="both"/>
              <w:rPr>
                <w:rFonts w:cstheme="minorHAnsi"/>
                <w:sz w:val="22"/>
                <w:szCs w:val="22"/>
              </w:rPr>
            </w:pPr>
            <w:r w:rsidRPr="00CF3127">
              <w:rPr>
                <w:sz w:val="22"/>
                <w:szCs w:val="22"/>
              </w:rPr>
              <w:t xml:space="preserve">Recently there have been many inconsistencies in the legislative process, often with the same legislation being repeatedly amended failing to take on board the consequences caused by previous amendments. </w:t>
            </w:r>
            <w:r w:rsidR="00CE2C8F" w:rsidRPr="00CF3127">
              <w:rPr>
                <w:sz w:val="22"/>
                <w:szCs w:val="22"/>
              </w:rPr>
              <w:t>Furthermore</w:t>
            </w:r>
            <w:r w:rsidRPr="00CF3127">
              <w:rPr>
                <w:sz w:val="22"/>
                <w:szCs w:val="22"/>
              </w:rPr>
              <w:t>, the national audit report by the National Audit Office of 16 March 2018 has found that the existing instrument - the monitoring of the legal regulation - is applied in a fragmented manner, the monitoring is low quality, and it is therefore necessary to move to a systematic approach as to the impact assessment of the legislation</w:t>
            </w:r>
          </w:p>
          <w:p w:rsidR="00A7795C" w:rsidRPr="00CF3127" w:rsidRDefault="002F2D4C">
            <w:pPr>
              <w:jc w:val="both"/>
              <w:rPr>
                <w:rFonts w:cstheme="minorHAnsi"/>
                <w:iCs/>
                <w:color w:val="000000"/>
                <w:sz w:val="22"/>
                <w:szCs w:val="22"/>
              </w:rPr>
            </w:pPr>
            <w:r w:rsidRPr="00CF3127">
              <w:rPr>
                <w:sz w:val="22"/>
                <w:szCs w:val="22"/>
              </w:rPr>
              <w:t>Such a need was identified in OECD report of 29 July 2015.</w:t>
            </w:r>
          </w:p>
        </w:tc>
      </w:tr>
      <w:tr w:rsidR="00A7795C" w:rsidRPr="00CF3127" w:rsidTr="00DD39B2">
        <w:trPr>
          <w:gridAfter w:val="3"/>
          <w:wAfter w:w="356" w:type="dxa"/>
          <w:trHeight w:val="43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Commitment</w:t>
            </w:r>
          </w:p>
        </w:tc>
        <w:tc>
          <w:tcPr>
            <w:tcW w:w="61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2166" w:rsidRPr="00CF3127" w:rsidRDefault="002F2166" w:rsidP="006A38F8">
            <w:pPr>
              <w:rPr>
                <w:rFonts w:cstheme="minorHAnsi"/>
                <w:sz w:val="22"/>
                <w:szCs w:val="22"/>
              </w:rPr>
            </w:pPr>
            <w:r w:rsidRPr="00CF3127">
              <w:rPr>
                <w:sz w:val="22"/>
                <w:szCs w:val="22"/>
              </w:rPr>
              <w:t xml:space="preserve">Incorporating </w:t>
            </w:r>
            <w:r w:rsidRPr="00CF3127">
              <w:rPr>
                <w:i/>
                <w:sz w:val="22"/>
                <w:szCs w:val="22"/>
              </w:rPr>
              <w:t>ex post</w:t>
            </w:r>
            <w:r w:rsidRPr="00CF3127">
              <w:rPr>
                <w:sz w:val="22"/>
                <w:szCs w:val="22"/>
              </w:rPr>
              <w:t xml:space="preserve"> evaluation in legislative process.</w:t>
            </w:r>
          </w:p>
          <w:p w:rsidR="00A7795C" w:rsidRPr="00CF3127" w:rsidRDefault="002F2166" w:rsidP="006A38F8">
            <w:pPr>
              <w:jc w:val="both"/>
              <w:rPr>
                <w:rFonts w:cstheme="minorHAnsi"/>
                <w:sz w:val="22"/>
                <w:szCs w:val="22"/>
              </w:rPr>
            </w:pPr>
            <w:r w:rsidRPr="00CF3127">
              <w:rPr>
                <w:sz w:val="22"/>
                <w:szCs w:val="22"/>
              </w:rPr>
              <w:t xml:space="preserve">The aim is to create an </w:t>
            </w:r>
            <w:r w:rsidRPr="00CF3127">
              <w:rPr>
                <w:i/>
                <w:sz w:val="22"/>
                <w:szCs w:val="22"/>
              </w:rPr>
              <w:t>ex post</w:t>
            </w:r>
            <w:r w:rsidRPr="00CF3127">
              <w:rPr>
                <w:sz w:val="22"/>
                <w:szCs w:val="22"/>
              </w:rPr>
              <w:t xml:space="preserve"> evaluation model, which will serve as the basis for the evaluation of specific legislative proposals.</w:t>
            </w:r>
          </w:p>
        </w:tc>
      </w:tr>
      <w:tr w:rsidR="00A7795C" w:rsidRPr="00CF3127" w:rsidTr="00DD39B2">
        <w:trPr>
          <w:gridAfter w:val="3"/>
          <w:wAfter w:w="356" w:type="dxa"/>
          <w:trHeight w:val="43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How will the commitment contribute to address the public problem? </w:t>
            </w:r>
          </w:p>
        </w:tc>
        <w:tc>
          <w:tcPr>
            <w:tcW w:w="61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2F2166" w:rsidP="006A38F8">
            <w:pPr>
              <w:jc w:val="both"/>
              <w:rPr>
                <w:rFonts w:cstheme="minorHAnsi"/>
                <w:sz w:val="22"/>
                <w:szCs w:val="22"/>
              </w:rPr>
            </w:pPr>
            <w:r w:rsidRPr="00CF3127">
              <w:rPr>
                <w:sz w:val="22"/>
                <w:szCs w:val="22"/>
              </w:rPr>
              <w:t>The implementation of the provisions proposed in the draft law amending Articles 2, 3, 5, 6, 7, 8, 10 and Section 4 of the Law on Legislative Framework No XI-2220 should result in a positive impact on the transparency of the legislative process and the quality of the decisions taken - the evidence gathered during the impact assessment of the final legal regulation would be used to decide on the need to change the existing legal regulation. Besides, a closer public participation in the evaluation process is expected to improve the quality of legislation and better reflect the interests of the population concerned.</w:t>
            </w:r>
          </w:p>
        </w:tc>
      </w:tr>
      <w:tr w:rsidR="00A7795C" w:rsidRPr="00CF3127" w:rsidTr="00DD39B2">
        <w:trPr>
          <w:gridAfter w:val="3"/>
          <w:wAfter w:w="356" w:type="dxa"/>
          <w:trHeight w:val="41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How does the commitment relate to OGP values?</w:t>
            </w:r>
          </w:p>
        </w:tc>
        <w:tc>
          <w:tcPr>
            <w:tcW w:w="61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2F2166" w:rsidP="006A38F8">
            <w:pPr>
              <w:jc w:val="both"/>
              <w:rPr>
                <w:rFonts w:cstheme="minorHAnsi"/>
                <w:iCs/>
                <w:color w:val="000000"/>
                <w:sz w:val="22"/>
                <w:szCs w:val="22"/>
              </w:rPr>
            </w:pPr>
            <w:r w:rsidRPr="00CF3127">
              <w:rPr>
                <w:iCs/>
                <w:color w:val="000000"/>
                <w:sz w:val="22"/>
                <w:szCs w:val="22"/>
              </w:rPr>
              <w:t>The commitment is relevant to the improvement of the existing legislative process, as it provides for the shift from fragmented evaluation of legal regulation to systemic evaluation of its problematic areas. There are also wide opportunities to engage the public in this process. The commitment is related to OGP values of transparency, accountability and civic participation.</w:t>
            </w:r>
          </w:p>
        </w:tc>
      </w:tr>
      <w:tr w:rsidR="00AA64AF" w:rsidRPr="00CF3127" w:rsidTr="00DD39B2">
        <w:trPr>
          <w:gridAfter w:val="3"/>
          <w:wAfter w:w="356" w:type="dxa"/>
          <w:trHeight w:val="41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64AF" w:rsidRPr="00CF3127" w:rsidRDefault="00AA64AF" w:rsidP="006A38F8">
            <w:pPr>
              <w:jc w:val="center"/>
              <w:rPr>
                <w:rFonts w:cstheme="minorHAnsi"/>
                <w:color w:val="000000"/>
                <w:sz w:val="22"/>
                <w:szCs w:val="22"/>
                <w:shd w:val="clear" w:color="auto" w:fill="D9D9D9"/>
              </w:rPr>
            </w:pPr>
            <w:r w:rsidRPr="00CF3127">
              <w:rPr>
                <w:color w:val="000000"/>
                <w:sz w:val="22"/>
                <w:szCs w:val="22"/>
                <w:shd w:val="clear" w:color="auto" w:fill="D9D9D9"/>
              </w:rPr>
              <w:t>Additional information</w:t>
            </w:r>
          </w:p>
        </w:tc>
        <w:tc>
          <w:tcPr>
            <w:tcW w:w="61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64AF" w:rsidRPr="00CF3127" w:rsidRDefault="00AA64AF" w:rsidP="00CE2C8F">
            <w:pPr>
              <w:jc w:val="both"/>
              <w:rPr>
                <w:rFonts w:cstheme="minorHAnsi"/>
                <w:iCs/>
                <w:color w:val="000000"/>
                <w:sz w:val="22"/>
                <w:szCs w:val="22"/>
              </w:rPr>
            </w:pPr>
            <w:r w:rsidRPr="00CF3127">
              <w:rPr>
                <w:iCs/>
                <w:color w:val="000000"/>
                <w:sz w:val="22"/>
                <w:szCs w:val="22"/>
              </w:rPr>
              <w:t>The commitment is part of the Plan for the implementation of the Programme of the 17th Government.</w:t>
            </w:r>
          </w:p>
        </w:tc>
      </w:tr>
      <w:tr w:rsidR="00CB7794" w:rsidRPr="00CF3127" w:rsidTr="00161804">
        <w:trPr>
          <w:gridAfter w:val="3"/>
          <w:wAfter w:w="356" w:type="dxa"/>
          <w:trHeight w:val="638"/>
        </w:trPr>
        <w:tc>
          <w:tcPr>
            <w:tcW w:w="4076" w:type="dxa"/>
            <w:gridSpan w:val="6"/>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Completion stage</w:t>
            </w:r>
          </w:p>
        </w:tc>
        <w:tc>
          <w:tcPr>
            <w:tcW w:w="1868"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Not started</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Started</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Half-way through </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Completed</w:t>
            </w:r>
          </w:p>
        </w:tc>
      </w:tr>
      <w:tr w:rsidR="00CB7794" w:rsidRPr="00CF3127" w:rsidTr="00161804">
        <w:trPr>
          <w:gridAfter w:val="3"/>
          <w:wAfter w:w="356" w:type="dxa"/>
          <w:trHeight w:val="371"/>
        </w:trPr>
        <w:tc>
          <w:tcPr>
            <w:tcW w:w="4076" w:type="dxa"/>
            <w:gridSpan w:val="6"/>
            <w:vMerge/>
            <w:tcBorders>
              <w:top w:val="single" w:sz="8" w:space="0" w:color="000000"/>
              <w:left w:val="single" w:sz="8" w:space="0" w:color="000000"/>
              <w:bottom w:val="single" w:sz="8" w:space="0" w:color="000000"/>
              <w:right w:val="single" w:sz="8" w:space="0" w:color="000000"/>
            </w:tcBorders>
            <w:vAlign w:val="center"/>
            <w:hideMark/>
          </w:tcPr>
          <w:p w:rsidR="00A7795C" w:rsidRPr="00CF3127" w:rsidRDefault="00A7795C" w:rsidP="006A38F8">
            <w:pPr>
              <w:rPr>
                <w:rFonts w:cstheme="minorHAnsi"/>
                <w:sz w:val="22"/>
                <w:szCs w:val="22"/>
              </w:rPr>
            </w:pPr>
          </w:p>
        </w:tc>
        <w:tc>
          <w:tcPr>
            <w:tcW w:w="18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rPr>
                <w:rFonts w:cstheme="minorHAnsi"/>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7855D6" w:rsidP="006A38F8">
            <w:pPr>
              <w:jc w:val="center"/>
              <w:rPr>
                <w:rFonts w:eastAsia="Times New Roman" w:cstheme="minorHAnsi"/>
                <w:sz w:val="22"/>
                <w:szCs w:val="22"/>
              </w:rPr>
            </w:pPr>
            <w:r w:rsidRPr="00CF3127">
              <w:rPr>
                <w:sz w:val="22"/>
                <w:szCs w:val="22"/>
              </w:rPr>
              <w:t>X</w:t>
            </w:r>
          </w:p>
        </w:tc>
        <w:tc>
          <w:tcPr>
            <w:tcW w:w="155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rPr>
                <w:rFonts w:eastAsia="Times New Roman" w:cstheme="minorHAnsi"/>
                <w:sz w:val="22"/>
                <w:szCs w:val="22"/>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A7795C" w:rsidP="006A38F8">
            <w:pPr>
              <w:jc w:val="center"/>
              <w:rPr>
                <w:rFonts w:eastAsia="Times New Roman" w:cstheme="minorHAnsi"/>
                <w:sz w:val="22"/>
                <w:szCs w:val="22"/>
              </w:rPr>
            </w:pPr>
          </w:p>
        </w:tc>
      </w:tr>
      <w:tr w:rsidR="00A7795C" w:rsidRPr="00CF3127" w:rsidTr="00DD39B2">
        <w:trPr>
          <w:gridAfter w:val="3"/>
          <w:wAfter w:w="356" w:type="dxa"/>
          <w:trHeight w:val="704"/>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Description of concrete results</w:t>
            </w:r>
          </w:p>
        </w:tc>
        <w:tc>
          <w:tcPr>
            <w:tcW w:w="61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60DF" w:rsidRPr="00CF3127" w:rsidRDefault="000B60DF" w:rsidP="006A38F8">
            <w:pPr>
              <w:jc w:val="both"/>
              <w:rPr>
                <w:sz w:val="22"/>
                <w:szCs w:val="22"/>
              </w:rPr>
            </w:pPr>
            <w:r w:rsidRPr="00CF3127">
              <w:rPr>
                <w:sz w:val="22"/>
                <w:szCs w:val="22"/>
              </w:rPr>
              <w:t xml:space="preserve">Draft law amending Articles 2, 3, 5, 6, 7, 8, 10 and Section 4 of the Law on Legislative Framework No XI-2220 completed and submitted to the Government for deliberation on 12 September 2018. </w:t>
            </w:r>
          </w:p>
          <w:p w:rsidR="00F023B4" w:rsidRPr="00CF3127" w:rsidRDefault="000B60DF">
            <w:pPr>
              <w:jc w:val="both"/>
              <w:rPr>
                <w:rFonts w:cstheme="minorHAnsi"/>
                <w:iCs/>
                <w:color w:val="000000"/>
                <w:sz w:val="22"/>
                <w:szCs w:val="22"/>
              </w:rPr>
            </w:pPr>
            <w:r w:rsidRPr="00CF3127">
              <w:rPr>
                <w:sz w:val="22"/>
                <w:szCs w:val="22"/>
              </w:rPr>
              <w:t>Draft law No XIII-2134 amending Articles 2, 3, 5, 6, 7, 8, 10 and Section 4 of the Law on Legislative Framework No XI-2220 adopted on 28 May 2019.</w:t>
            </w:r>
          </w:p>
        </w:tc>
      </w:tr>
      <w:tr w:rsidR="00A7795C" w:rsidRPr="00CF3127" w:rsidTr="00DD39B2">
        <w:trPr>
          <w:gridAfter w:val="3"/>
          <w:wAfter w:w="356" w:type="dxa"/>
          <w:trHeight w:val="37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Next steps</w:t>
            </w:r>
          </w:p>
        </w:tc>
        <w:tc>
          <w:tcPr>
            <w:tcW w:w="612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DD5" w:rsidRPr="00CF3127" w:rsidRDefault="005435C7" w:rsidP="006A38F8">
            <w:pPr>
              <w:jc w:val="both"/>
              <w:textAlignment w:val="baseline"/>
              <w:rPr>
                <w:rFonts w:eastAsia="Times New Roman" w:cstheme="minorHAnsi"/>
                <w:color w:val="000000"/>
                <w:sz w:val="22"/>
                <w:szCs w:val="22"/>
              </w:rPr>
            </w:pPr>
            <w:r w:rsidRPr="00CF3127">
              <w:rPr>
                <w:color w:val="000000"/>
                <w:sz w:val="22"/>
                <w:szCs w:val="22"/>
              </w:rPr>
              <w:t xml:space="preserve">Draw up a methodology for </w:t>
            </w:r>
            <w:r w:rsidRPr="00CF3127">
              <w:rPr>
                <w:i/>
                <w:color w:val="000000"/>
                <w:sz w:val="22"/>
                <w:szCs w:val="22"/>
              </w:rPr>
              <w:t>ex-post</w:t>
            </w:r>
            <w:r w:rsidRPr="00CF3127">
              <w:rPr>
                <w:color w:val="000000"/>
                <w:sz w:val="22"/>
                <w:szCs w:val="22"/>
              </w:rPr>
              <w:t xml:space="preserve"> evaluation of the impact of existing regulatory framework and a form for </w:t>
            </w:r>
            <w:r w:rsidRPr="00CF3127">
              <w:rPr>
                <w:i/>
                <w:color w:val="000000"/>
                <w:sz w:val="22"/>
                <w:szCs w:val="22"/>
              </w:rPr>
              <w:t>ex-post</w:t>
            </w:r>
            <w:r w:rsidRPr="00CF3127">
              <w:rPr>
                <w:color w:val="000000"/>
                <w:sz w:val="22"/>
                <w:szCs w:val="22"/>
              </w:rPr>
              <w:t xml:space="preserve"> evaluation report and to decide on the designation of a coordinating authority.</w:t>
            </w:r>
          </w:p>
        </w:tc>
      </w:tr>
      <w:tr w:rsidR="00CB7794" w:rsidRPr="00CF3127" w:rsidTr="00161804">
        <w:trPr>
          <w:gridAfter w:val="3"/>
          <w:wAfter w:w="356" w:type="dxa"/>
          <w:trHeight w:val="519"/>
        </w:trPr>
        <w:tc>
          <w:tcPr>
            <w:tcW w:w="5944" w:type="dxa"/>
            <w:gridSpan w:val="9"/>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Milestone status</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Start date</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End date</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rPr>
              <w:t>Completion stage</w:t>
            </w:r>
          </w:p>
        </w:tc>
      </w:tr>
      <w:tr w:rsidR="009056DA" w:rsidRPr="00CF3127" w:rsidTr="00161804">
        <w:trPr>
          <w:gridAfter w:val="3"/>
          <w:wAfter w:w="356" w:type="dxa"/>
          <w:trHeight w:val="281"/>
        </w:trPr>
        <w:tc>
          <w:tcPr>
            <w:tcW w:w="594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pStyle w:val="Style16"/>
              <w:shd w:val="clear" w:color="auto" w:fill="auto"/>
              <w:tabs>
                <w:tab w:val="left" w:pos="216"/>
              </w:tabs>
              <w:spacing w:before="0" w:after="0" w:line="240" w:lineRule="auto"/>
              <w:ind w:firstLine="0"/>
              <w:jc w:val="both"/>
              <w:rPr>
                <w:rFonts w:eastAsia="Times New Roman"/>
              </w:rPr>
            </w:pPr>
            <w:r w:rsidRPr="00CF3127">
              <w:rPr>
                <w:color w:val="000000"/>
                <w:sz w:val="22"/>
                <w:szCs w:val="22"/>
              </w:rPr>
              <w:t>Draft law prepared</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01-07-2018</w:t>
            </w:r>
          </w:p>
        </w:tc>
        <w:tc>
          <w:tcPr>
            <w:tcW w:w="155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30-09-2018</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Completed</w:t>
            </w:r>
          </w:p>
        </w:tc>
      </w:tr>
      <w:tr w:rsidR="009056DA" w:rsidRPr="00CF3127" w:rsidTr="00161804">
        <w:trPr>
          <w:gridAfter w:val="3"/>
          <w:wAfter w:w="356" w:type="dxa"/>
          <w:trHeight w:val="345"/>
        </w:trPr>
        <w:tc>
          <w:tcPr>
            <w:tcW w:w="594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pStyle w:val="Style16"/>
              <w:shd w:val="clear" w:color="auto" w:fill="auto"/>
              <w:tabs>
                <w:tab w:val="left" w:pos="240"/>
              </w:tabs>
              <w:spacing w:before="0" w:after="0" w:line="240" w:lineRule="auto"/>
              <w:ind w:firstLine="0"/>
              <w:jc w:val="both"/>
              <w:rPr>
                <w:rFonts w:eastAsia="Times New Roman"/>
              </w:rPr>
            </w:pPr>
            <w:r w:rsidRPr="00CF3127">
              <w:rPr>
                <w:color w:val="000000"/>
                <w:sz w:val="22"/>
                <w:szCs w:val="22"/>
              </w:rPr>
              <w:t xml:space="preserve">Law adopted </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01-10-2018</w:t>
            </w:r>
          </w:p>
        </w:tc>
        <w:tc>
          <w:tcPr>
            <w:tcW w:w="155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30-06-2019</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Completed</w:t>
            </w:r>
          </w:p>
        </w:tc>
      </w:tr>
      <w:tr w:rsidR="009056DA" w:rsidRPr="00CF3127" w:rsidTr="00161804">
        <w:trPr>
          <w:gridAfter w:val="3"/>
          <w:wAfter w:w="356" w:type="dxa"/>
          <w:trHeight w:val="56"/>
        </w:trPr>
        <w:tc>
          <w:tcPr>
            <w:tcW w:w="594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pStyle w:val="Style16"/>
              <w:shd w:val="clear" w:color="auto" w:fill="auto"/>
              <w:tabs>
                <w:tab w:val="left" w:pos="264"/>
              </w:tabs>
              <w:spacing w:before="0" w:after="0" w:line="240" w:lineRule="auto"/>
              <w:ind w:firstLine="0"/>
              <w:jc w:val="both"/>
              <w:rPr>
                <w:rFonts w:eastAsia="Times New Roman"/>
              </w:rPr>
            </w:pPr>
            <w:r w:rsidRPr="00CF3127">
              <w:rPr>
                <w:color w:val="000000"/>
                <w:sz w:val="22"/>
                <w:szCs w:val="22"/>
              </w:rPr>
              <w:t>Methodology drawn up</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01-07-2019</w:t>
            </w:r>
          </w:p>
        </w:tc>
        <w:tc>
          <w:tcPr>
            <w:tcW w:w="155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30-09-2019</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6DA" w:rsidRPr="00CF3127" w:rsidRDefault="009056DA" w:rsidP="006A38F8">
            <w:pPr>
              <w:rPr>
                <w:rFonts w:eastAsia="Times New Roman" w:cstheme="minorHAnsi"/>
                <w:color w:val="000000"/>
                <w:sz w:val="22"/>
                <w:szCs w:val="22"/>
              </w:rPr>
            </w:pPr>
            <w:r w:rsidRPr="00CF3127">
              <w:rPr>
                <w:color w:val="000000"/>
                <w:sz w:val="22"/>
                <w:szCs w:val="22"/>
              </w:rPr>
              <w:t>Started</w:t>
            </w:r>
          </w:p>
        </w:tc>
      </w:tr>
      <w:tr w:rsidR="009056DA" w:rsidRPr="00CF3127" w:rsidTr="00161804">
        <w:trPr>
          <w:gridAfter w:val="3"/>
          <w:wAfter w:w="356" w:type="dxa"/>
          <w:trHeight w:val="21"/>
        </w:trPr>
        <w:tc>
          <w:tcPr>
            <w:tcW w:w="594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56DA" w:rsidRPr="00CF3127" w:rsidRDefault="009056DA" w:rsidP="006A38F8">
            <w:pPr>
              <w:pStyle w:val="Style16"/>
              <w:shd w:val="clear" w:color="auto" w:fill="auto"/>
              <w:tabs>
                <w:tab w:val="left" w:pos="264"/>
              </w:tabs>
              <w:spacing w:before="0" w:after="0" w:line="240" w:lineRule="auto"/>
              <w:ind w:firstLine="0"/>
              <w:jc w:val="both"/>
              <w:rPr>
                <w:rFonts w:eastAsia="Times New Roman"/>
              </w:rPr>
            </w:pPr>
            <w:r w:rsidRPr="00CF3127">
              <w:rPr>
                <w:color w:val="000000"/>
                <w:sz w:val="22"/>
                <w:szCs w:val="22"/>
              </w:rPr>
              <w:t>Practical training completed</w:t>
            </w:r>
          </w:p>
        </w:tc>
        <w:tc>
          <w:tcPr>
            <w:tcW w:w="127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56DA" w:rsidRPr="00CF3127" w:rsidRDefault="009056DA" w:rsidP="006A38F8">
            <w:pPr>
              <w:rPr>
                <w:rFonts w:eastAsia="Times New Roman" w:cstheme="minorHAnsi"/>
                <w:color w:val="000000"/>
                <w:sz w:val="22"/>
                <w:szCs w:val="22"/>
              </w:rPr>
            </w:pPr>
            <w:r w:rsidRPr="00CF3127">
              <w:rPr>
                <w:color w:val="000000"/>
                <w:sz w:val="22"/>
                <w:szCs w:val="22"/>
              </w:rPr>
              <w:t>01-10-2019</w:t>
            </w:r>
          </w:p>
        </w:tc>
        <w:tc>
          <w:tcPr>
            <w:tcW w:w="155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56DA" w:rsidRPr="00CF3127" w:rsidRDefault="009056DA" w:rsidP="006A38F8">
            <w:pPr>
              <w:rPr>
                <w:rFonts w:eastAsia="Times New Roman" w:cstheme="minorHAnsi"/>
                <w:color w:val="000000"/>
                <w:sz w:val="22"/>
                <w:szCs w:val="22"/>
              </w:rPr>
            </w:pPr>
            <w:r w:rsidRPr="00CF3127">
              <w:rPr>
                <w:color w:val="000000"/>
                <w:sz w:val="22"/>
                <w:szCs w:val="22"/>
              </w:rPr>
              <w:t>31-12-2019</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56DA" w:rsidRPr="00CF3127" w:rsidDel="009248CD" w:rsidRDefault="009056DA" w:rsidP="006A38F8">
            <w:pPr>
              <w:rPr>
                <w:rFonts w:eastAsia="Times New Roman" w:cstheme="minorHAnsi"/>
                <w:color w:val="000000"/>
                <w:sz w:val="22"/>
                <w:szCs w:val="22"/>
              </w:rPr>
            </w:pPr>
            <w:r w:rsidRPr="00CF3127">
              <w:rPr>
                <w:color w:val="000000"/>
                <w:sz w:val="22"/>
                <w:szCs w:val="22"/>
              </w:rPr>
              <w:t>Not started</w:t>
            </w:r>
          </w:p>
        </w:tc>
      </w:tr>
      <w:tr w:rsidR="00A7795C" w:rsidRPr="00CF3127" w:rsidTr="00DD39B2">
        <w:trPr>
          <w:gridAfter w:val="3"/>
          <w:wAfter w:w="356" w:type="dxa"/>
          <w:trHeight w:val="415"/>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 xml:space="preserve">Contact information </w:t>
            </w:r>
          </w:p>
        </w:tc>
      </w:tr>
      <w:tr w:rsidR="00CB7794" w:rsidRPr="00CF3127" w:rsidTr="00DD39B2">
        <w:trPr>
          <w:trHeight w:val="41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Lead implementing agency</w:t>
            </w:r>
          </w:p>
        </w:tc>
        <w:tc>
          <w:tcPr>
            <w:tcW w:w="6120" w:type="dxa"/>
            <w:gridSpan w:val="10"/>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691375" w:rsidP="006A38F8">
            <w:pPr>
              <w:rPr>
                <w:rFonts w:cstheme="minorHAnsi"/>
                <w:sz w:val="22"/>
                <w:szCs w:val="22"/>
              </w:rPr>
            </w:pPr>
            <w:r w:rsidRPr="00CF3127">
              <w:rPr>
                <w:sz w:val="22"/>
                <w:szCs w:val="22"/>
              </w:rPr>
              <w:t>Ministry of Justice</w:t>
            </w:r>
          </w:p>
        </w:tc>
        <w:tc>
          <w:tcPr>
            <w:tcW w:w="302" w:type="dxa"/>
            <w:gridSpan w:val="2"/>
            <w:vAlign w:val="bottom"/>
          </w:tcPr>
          <w:p w:rsidR="00A7795C" w:rsidRPr="00CF3127" w:rsidRDefault="00A7795C" w:rsidP="006A38F8">
            <w:pPr>
              <w:rPr>
                <w:rFonts w:cstheme="minorHAnsi"/>
                <w:sz w:val="22"/>
                <w:szCs w:val="22"/>
              </w:rPr>
            </w:pPr>
          </w:p>
        </w:tc>
        <w:tc>
          <w:tcPr>
            <w:tcW w:w="54" w:type="dxa"/>
            <w:vAlign w:val="bottom"/>
          </w:tcPr>
          <w:p w:rsidR="00A7795C" w:rsidRPr="00CF3127" w:rsidRDefault="00A7795C" w:rsidP="006A38F8">
            <w:pPr>
              <w:rPr>
                <w:rFonts w:cstheme="minorHAnsi"/>
                <w:sz w:val="22"/>
                <w:szCs w:val="22"/>
              </w:rPr>
            </w:pPr>
          </w:p>
        </w:tc>
      </w:tr>
      <w:tr w:rsidR="00A7795C" w:rsidRPr="00CF3127" w:rsidTr="00161804">
        <w:trPr>
          <w:gridAfter w:val="3"/>
          <w:wAfter w:w="356" w:type="dxa"/>
          <w:trHeight w:val="212"/>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Persons in charge</w:t>
            </w:r>
          </w:p>
        </w:tc>
        <w:tc>
          <w:tcPr>
            <w:tcW w:w="6120" w:type="dxa"/>
            <w:gridSpan w:val="10"/>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195BCD" w:rsidP="006A38F8">
            <w:pPr>
              <w:rPr>
                <w:rFonts w:cstheme="minorHAnsi"/>
                <w:sz w:val="22"/>
                <w:szCs w:val="22"/>
              </w:rPr>
            </w:pPr>
            <w:r w:rsidRPr="00CF3127">
              <w:rPr>
                <w:sz w:val="22"/>
                <w:szCs w:val="22"/>
              </w:rPr>
              <w:t>Dalia Baležentė</w:t>
            </w:r>
          </w:p>
        </w:tc>
      </w:tr>
      <w:tr w:rsidR="00A7795C" w:rsidRPr="00CF3127" w:rsidTr="00161804">
        <w:trPr>
          <w:gridAfter w:val="3"/>
          <w:wAfter w:w="356" w:type="dxa"/>
          <w:trHeight w:val="278"/>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Title, department</w:t>
            </w:r>
          </w:p>
        </w:tc>
        <w:tc>
          <w:tcPr>
            <w:tcW w:w="6120" w:type="dxa"/>
            <w:gridSpan w:val="10"/>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195BCD" w:rsidP="006A38F8">
            <w:pPr>
              <w:rPr>
                <w:rFonts w:cstheme="minorHAnsi"/>
                <w:sz w:val="22"/>
                <w:szCs w:val="22"/>
              </w:rPr>
            </w:pPr>
            <w:r w:rsidRPr="00CF3127">
              <w:rPr>
                <w:sz w:val="22"/>
                <w:szCs w:val="22"/>
              </w:rPr>
              <w:t>Head of Legal System Group</w:t>
            </w:r>
          </w:p>
        </w:tc>
      </w:tr>
      <w:tr w:rsidR="00A7795C" w:rsidRPr="00CF3127" w:rsidTr="00161804">
        <w:trPr>
          <w:gridAfter w:val="3"/>
          <w:wAfter w:w="356" w:type="dxa"/>
          <w:trHeight w:val="21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CF3127" w:rsidRDefault="00A7795C" w:rsidP="006A38F8">
            <w:pPr>
              <w:jc w:val="center"/>
              <w:rPr>
                <w:rFonts w:cstheme="minorHAnsi"/>
                <w:sz w:val="22"/>
                <w:szCs w:val="22"/>
              </w:rPr>
            </w:pPr>
            <w:r w:rsidRPr="00CF3127">
              <w:rPr>
                <w:color w:val="000000"/>
                <w:sz w:val="22"/>
                <w:szCs w:val="22"/>
                <w:shd w:val="clear" w:color="auto" w:fill="D9D9D9"/>
              </w:rPr>
              <w:t>email and phone</w:t>
            </w:r>
          </w:p>
        </w:tc>
        <w:tc>
          <w:tcPr>
            <w:tcW w:w="6120" w:type="dxa"/>
            <w:gridSpan w:val="10"/>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CF3127" w:rsidRDefault="00087D7C" w:rsidP="006A38F8">
            <w:pPr>
              <w:rPr>
                <w:rFonts w:cstheme="minorHAnsi"/>
                <w:sz w:val="22"/>
                <w:szCs w:val="22"/>
              </w:rPr>
            </w:pPr>
            <w:hyperlink r:id="rId15" w:history="1">
              <w:r w:rsidR="00095403" w:rsidRPr="00CF3127">
                <w:rPr>
                  <w:sz w:val="22"/>
                  <w:szCs w:val="22"/>
                </w:rPr>
                <w:t>dalia.balezente@tm.lt</w:t>
              </w:r>
            </w:hyperlink>
            <w:r w:rsidR="00095403" w:rsidRPr="00CF3127">
              <w:rPr>
                <w:sz w:val="22"/>
                <w:szCs w:val="22"/>
              </w:rPr>
              <w:t>, (8 5) 266 2908</w:t>
            </w:r>
          </w:p>
        </w:tc>
      </w:tr>
      <w:tr w:rsidR="00B53B0F" w:rsidRPr="00CF3127" w:rsidTr="00161804">
        <w:trPr>
          <w:gridAfter w:val="3"/>
          <w:wAfter w:w="356" w:type="dxa"/>
          <w:trHeight w:val="278"/>
        </w:trPr>
        <w:tc>
          <w:tcPr>
            <w:tcW w:w="10196" w:type="dxa"/>
            <w:gridSpan w:val="1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53B0F" w:rsidRPr="00CF3127" w:rsidRDefault="00B53B0F" w:rsidP="006A38F8">
            <w:pPr>
              <w:tabs>
                <w:tab w:val="left" w:pos="1395"/>
              </w:tabs>
              <w:jc w:val="center"/>
              <w:rPr>
                <w:rFonts w:cstheme="minorHAnsi"/>
                <w:sz w:val="22"/>
                <w:szCs w:val="22"/>
              </w:rPr>
            </w:pPr>
            <w:r w:rsidRPr="00CF3127">
              <w:rPr>
                <w:color w:val="000000"/>
                <w:sz w:val="22"/>
                <w:szCs w:val="22"/>
                <w:shd w:val="clear" w:color="auto" w:fill="D9D9D9"/>
              </w:rPr>
              <w:t>Other actors involved</w:t>
            </w:r>
          </w:p>
        </w:tc>
      </w:tr>
      <w:tr w:rsidR="00B53B0F" w:rsidRPr="00CF3127" w:rsidTr="00161804">
        <w:trPr>
          <w:gridAfter w:val="3"/>
          <w:wAfter w:w="356" w:type="dxa"/>
          <w:trHeight w:val="357"/>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53B0F" w:rsidRPr="00CF3127" w:rsidRDefault="00B53B0F" w:rsidP="006A38F8">
            <w:pPr>
              <w:jc w:val="center"/>
              <w:rPr>
                <w:rFonts w:cstheme="minorHAnsi"/>
                <w:color w:val="000000"/>
                <w:sz w:val="22"/>
                <w:szCs w:val="22"/>
                <w:shd w:val="clear" w:color="auto" w:fill="D9D9D9"/>
              </w:rPr>
            </w:pPr>
            <w:r w:rsidRPr="00CF3127">
              <w:rPr>
                <w:color w:val="000000"/>
                <w:sz w:val="22"/>
                <w:szCs w:val="22"/>
                <w:shd w:val="clear" w:color="auto" w:fill="D9D9D9"/>
              </w:rPr>
              <w:t>Ministries, departments/agencies</w:t>
            </w:r>
          </w:p>
        </w:tc>
        <w:tc>
          <w:tcPr>
            <w:tcW w:w="6120" w:type="dxa"/>
            <w:gridSpan w:val="10"/>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53B0F" w:rsidRPr="00CF3127" w:rsidRDefault="004436C1" w:rsidP="00161804">
            <w:pPr>
              <w:rPr>
                <w:rFonts w:cstheme="minorHAnsi"/>
                <w:sz w:val="22"/>
                <w:szCs w:val="22"/>
              </w:rPr>
            </w:pPr>
            <w:r w:rsidRPr="00CF3127">
              <w:rPr>
                <w:sz w:val="22"/>
                <w:szCs w:val="22"/>
              </w:rPr>
              <w:t>Office of the Government</w:t>
            </w:r>
          </w:p>
        </w:tc>
      </w:tr>
      <w:tr w:rsidR="00B53B0F" w:rsidRPr="00CF3127" w:rsidTr="00DD39B2">
        <w:trPr>
          <w:gridAfter w:val="3"/>
          <w:wAfter w:w="356" w:type="dxa"/>
          <w:trHeight w:val="415"/>
        </w:trPr>
        <w:tc>
          <w:tcPr>
            <w:tcW w:w="407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53B0F" w:rsidRPr="00CF3127" w:rsidRDefault="00B53B0F" w:rsidP="006A38F8">
            <w:pPr>
              <w:jc w:val="center"/>
              <w:rPr>
                <w:rFonts w:cstheme="minorHAnsi"/>
                <w:color w:val="000000"/>
                <w:sz w:val="22"/>
                <w:szCs w:val="22"/>
                <w:shd w:val="clear" w:color="auto" w:fill="D9D9D9"/>
              </w:rPr>
            </w:pPr>
            <w:r w:rsidRPr="00CF3127">
              <w:rPr>
                <w:color w:val="000000"/>
                <w:sz w:val="22"/>
                <w:szCs w:val="22"/>
                <w:shd w:val="clear" w:color="auto" w:fill="D9D9D9"/>
              </w:rPr>
              <w:t>Civil society organisations, private sector, multilaterals, working groups</w:t>
            </w:r>
          </w:p>
        </w:tc>
        <w:tc>
          <w:tcPr>
            <w:tcW w:w="6120" w:type="dxa"/>
            <w:gridSpan w:val="10"/>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53B0F" w:rsidRPr="00CF3127" w:rsidRDefault="004436C1" w:rsidP="00161804">
            <w:pPr>
              <w:tabs>
                <w:tab w:val="left" w:pos="1395"/>
              </w:tabs>
              <w:jc w:val="both"/>
              <w:rPr>
                <w:rFonts w:cstheme="minorHAnsi"/>
                <w:sz w:val="22"/>
                <w:szCs w:val="22"/>
              </w:rPr>
            </w:pPr>
            <w:r w:rsidRPr="00CF3127">
              <w:rPr>
                <w:sz w:val="22"/>
                <w:szCs w:val="22"/>
              </w:rPr>
              <w:t>The methodology is expected to be developed in cooperation with the Government Strategic Analysis Centre.</w:t>
            </w:r>
          </w:p>
        </w:tc>
      </w:tr>
    </w:tbl>
    <w:p w:rsidR="00A7795C" w:rsidRPr="00CF3127" w:rsidRDefault="00A7795C" w:rsidP="006A38F8">
      <w:pPr>
        <w:rPr>
          <w:rFonts w:cstheme="minorHAnsi"/>
          <w:b/>
          <w:sz w:val="22"/>
          <w:szCs w:val="22"/>
        </w:rPr>
      </w:pPr>
    </w:p>
    <w:p w:rsidR="00BC7E33" w:rsidRPr="00CF3127" w:rsidRDefault="00BC7E33" w:rsidP="006A38F8">
      <w:pPr>
        <w:rPr>
          <w:rFonts w:cstheme="minorHAnsi"/>
          <w:b/>
          <w:color w:val="FF0000"/>
          <w:sz w:val="22"/>
          <w:szCs w:val="22"/>
        </w:rPr>
      </w:pPr>
    </w:p>
    <w:p w:rsidR="00BC7E33" w:rsidRPr="00CF3127" w:rsidRDefault="00BC7E33" w:rsidP="006A38F8">
      <w:pPr>
        <w:rPr>
          <w:rFonts w:cstheme="minorHAnsi"/>
          <w:b/>
          <w:color w:val="FF0000"/>
          <w:sz w:val="22"/>
          <w:szCs w:val="22"/>
        </w:rPr>
      </w:pPr>
    </w:p>
    <w:p w:rsidR="00A7795C" w:rsidRPr="00CF3127" w:rsidRDefault="00A7795C" w:rsidP="006A38F8">
      <w:pPr>
        <w:rPr>
          <w:rFonts w:cstheme="minorHAnsi"/>
          <w:b/>
          <w:sz w:val="22"/>
          <w:szCs w:val="22"/>
        </w:rPr>
      </w:pPr>
    </w:p>
    <w:p w:rsidR="00746EE9" w:rsidRPr="00CF3127" w:rsidRDefault="00746EE9" w:rsidP="006A38F8">
      <w:pPr>
        <w:rPr>
          <w:rFonts w:cstheme="minorHAnsi"/>
          <w:b/>
          <w:sz w:val="22"/>
          <w:szCs w:val="22"/>
        </w:rPr>
      </w:pPr>
    </w:p>
    <w:sectPr w:rsidR="00746EE9" w:rsidRPr="00CF3127" w:rsidSect="0077267C">
      <w:headerReference w:type="default" r:id="rId16"/>
      <w:pgSz w:w="12240" w:h="15840"/>
      <w:pgMar w:top="1134" w:right="1185" w:bottom="14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E7" w:rsidRDefault="007244E7" w:rsidP="00DF66E6">
      <w:r>
        <w:separator/>
      </w:r>
    </w:p>
  </w:endnote>
  <w:endnote w:type="continuationSeparator" w:id="0">
    <w:p w:rsidR="007244E7" w:rsidRDefault="007244E7" w:rsidP="00DF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E7" w:rsidRDefault="007244E7" w:rsidP="00DF66E6">
      <w:r>
        <w:separator/>
      </w:r>
    </w:p>
  </w:footnote>
  <w:footnote w:type="continuationSeparator" w:id="0">
    <w:p w:rsidR="007244E7" w:rsidRDefault="007244E7" w:rsidP="00DF66E6">
      <w:r>
        <w:continuationSeparator/>
      </w:r>
    </w:p>
  </w:footnote>
  <w:footnote w:id="1">
    <w:p w:rsidR="00087D7C" w:rsidRPr="00535745" w:rsidRDefault="00087D7C" w:rsidP="00D3187E">
      <w:pPr>
        <w:spacing w:line="276" w:lineRule="auto"/>
        <w:jc w:val="both"/>
        <w:rPr>
          <w:sz w:val="22"/>
          <w:szCs w:val="22"/>
        </w:rPr>
      </w:pPr>
      <w:r>
        <w:rPr>
          <w:rStyle w:val="FootnoteReference"/>
        </w:rPr>
        <w:footnoteRef/>
      </w:r>
      <w:r>
        <w:t xml:space="preserve"> The report provides data on the actions completed by 28 October 2019</w:t>
      </w:r>
      <w:r>
        <w:rPr>
          <w:sz w:val="22"/>
          <w:szCs w:val="22"/>
        </w:rPr>
        <w:t>.</w:t>
      </w:r>
    </w:p>
    <w:p w:rsidR="00087D7C" w:rsidRPr="004B1BE3" w:rsidRDefault="00087D7C" w:rsidP="00D3187E">
      <w:pPr>
        <w:pStyle w:val="FootnoteText"/>
        <w:rPr>
          <w:lang w:val="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65619"/>
      <w:docPartObj>
        <w:docPartGallery w:val="Page Numbers (Top of Page)"/>
        <w:docPartUnique/>
      </w:docPartObj>
    </w:sdtPr>
    <w:sdtContent>
      <w:p w:rsidR="00087D7C" w:rsidRDefault="00087D7C">
        <w:pPr>
          <w:pStyle w:val="Header"/>
          <w:jc w:val="center"/>
        </w:pPr>
        <w:r>
          <w:fldChar w:fldCharType="begin"/>
        </w:r>
        <w:r>
          <w:instrText>PAGE   \* MERGEFORMAT</w:instrText>
        </w:r>
        <w:r>
          <w:fldChar w:fldCharType="separate"/>
        </w:r>
        <w:r w:rsidR="00CF3127">
          <w:rPr>
            <w:noProof/>
          </w:rPr>
          <w:t>4</w:t>
        </w:r>
        <w:r>
          <w:fldChar w:fldCharType="end"/>
        </w:r>
      </w:p>
    </w:sdtContent>
  </w:sdt>
  <w:p w:rsidR="00087D7C" w:rsidRDefault="00087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2"/>
      <w:numFmt w:val="lowerLetter"/>
      <w:lvlText w:val="%1)"/>
      <w:lvlJc w:val="left"/>
      <w:pPr>
        <w:ind w:left="451" w:hanging="240"/>
      </w:pPr>
      <w:rPr>
        <w:rFonts w:ascii="Times New Roman" w:hAnsi="Times New Roman" w:cs="Times New Roman"/>
        <w:b w:val="0"/>
        <w:bCs w:val="0"/>
        <w:spacing w:val="-1"/>
        <w:w w:val="99"/>
        <w:sz w:val="24"/>
        <w:szCs w:val="24"/>
      </w:rPr>
    </w:lvl>
    <w:lvl w:ilvl="1">
      <w:start w:val="12"/>
      <w:numFmt w:val="lowerLetter"/>
      <w:lvlText w:val="%2)"/>
      <w:lvlJc w:val="left"/>
      <w:pPr>
        <w:ind w:left="637" w:hanging="233"/>
      </w:pPr>
      <w:rPr>
        <w:rFonts w:ascii="Times New Roman" w:hAnsi="Times New Roman" w:cs="Times New Roman"/>
        <w:b w:val="0"/>
        <w:bCs w:val="0"/>
        <w:spacing w:val="-1"/>
        <w:w w:val="101"/>
        <w:sz w:val="23"/>
        <w:szCs w:val="23"/>
      </w:rPr>
    </w:lvl>
    <w:lvl w:ilvl="2">
      <w:numFmt w:val="bullet"/>
      <w:lvlText w:val="•"/>
      <w:lvlJc w:val="left"/>
      <w:pPr>
        <w:ind w:left="4243" w:hanging="361"/>
      </w:pPr>
      <w:rPr>
        <w:rFonts w:ascii="Times New Roman" w:hAnsi="Times New Roman"/>
        <w:b w:val="0"/>
        <w:w w:val="105"/>
        <w:sz w:val="23"/>
      </w:rPr>
    </w:lvl>
    <w:lvl w:ilvl="3">
      <w:numFmt w:val="bullet"/>
      <w:lvlText w:val="•"/>
      <w:lvlJc w:val="left"/>
      <w:pPr>
        <w:ind w:left="4973" w:hanging="149"/>
      </w:pPr>
      <w:rPr>
        <w:rFonts w:ascii="Times New Roman" w:hAnsi="Times New Roman"/>
        <w:b w:val="0"/>
        <w:w w:val="107"/>
        <w:sz w:val="23"/>
      </w:rPr>
    </w:lvl>
    <w:lvl w:ilvl="4">
      <w:numFmt w:val="bullet"/>
      <w:lvlText w:val="•"/>
      <w:lvlJc w:val="left"/>
      <w:pPr>
        <w:ind w:left="5219" w:hanging="149"/>
      </w:pPr>
    </w:lvl>
    <w:lvl w:ilvl="5">
      <w:numFmt w:val="bullet"/>
      <w:lvlText w:val="•"/>
      <w:lvlJc w:val="left"/>
      <w:pPr>
        <w:ind w:left="5469" w:hanging="149"/>
      </w:pPr>
    </w:lvl>
    <w:lvl w:ilvl="6">
      <w:numFmt w:val="bullet"/>
      <w:lvlText w:val="•"/>
      <w:lvlJc w:val="left"/>
      <w:pPr>
        <w:ind w:left="5720" w:hanging="149"/>
      </w:pPr>
    </w:lvl>
    <w:lvl w:ilvl="7">
      <w:numFmt w:val="bullet"/>
      <w:lvlText w:val="•"/>
      <w:lvlJc w:val="left"/>
      <w:pPr>
        <w:ind w:left="5970" w:hanging="149"/>
      </w:pPr>
    </w:lvl>
    <w:lvl w:ilvl="8">
      <w:numFmt w:val="bullet"/>
      <w:lvlText w:val="•"/>
      <w:lvlJc w:val="left"/>
      <w:pPr>
        <w:ind w:left="6220" w:hanging="149"/>
      </w:pPr>
    </w:lvl>
  </w:abstractNum>
  <w:abstractNum w:abstractNumId="1" w15:restartNumberingAfterBreak="0">
    <w:nsid w:val="03DF3852"/>
    <w:multiLevelType w:val="hybridMultilevel"/>
    <w:tmpl w:val="BC72E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F257DD"/>
    <w:multiLevelType w:val="hybridMultilevel"/>
    <w:tmpl w:val="4E94F5DA"/>
    <w:lvl w:ilvl="0" w:tplc="A8F8E4F0">
      <w:start w:val="1"/>
      <w:numFmt w:val="upperRoman"/>
      <w:lvlText w:val="%1."/>
      <w:lvlJc w:val="left"/>
      <w:pPr>
        <w:ind w:left="2520" w:hanging="720"/>
      </w:pPr>
      <w:rPr>
        <w:rFonts w:hint="default"/>
        <w:color w:val="FFFFFF" w:themeColor="background1"/>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15:restartNumberingAfterBreak="0">
    <w:nsid w:val="062F628B"/>
    <w:multiLevelType w:val="hybridMultilevel"/>
    <w:tmpl w:val="6F5C838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46285C"/>
    <w:multiLevelType w:val="hybridMultilevel"/>
    <w:tmpl w:val="CF7EB8F6"/>
    <w:lvl w:ilvl="0" w:tplc="A1ACCDBA">
      <w:start w:val="2018"/>
      <w:numFmt w:val="bullet"/>
      <w:lvlText w:val="–"/>
      <w:lvlJc w:val="left"/>
      <w:pPr>
        <w:ind w:left="720" w:hanging="360"/>
      </w:pPr>
      <w:rPr>
        <w:rFonts w:ascii="Calibri" w:eastAsia="Times New Roman" w:hAnsi="Calibri"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0C16AE"/>
    <w:multiLevelType w:val="hybridMultilevel"/>
    <w:tmpl w:val="A2201DC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715568"/>
    <w:multiLevelType w:val="hybridMultilevel"/>
    <w:tmpl w:val="6C7A18D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18BE54D7"/>
    <w:multiLevelType w:val="hybridMultilevel"/>
    <w:tmpl w:val="55DE764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C20706B"/>
    <w:multiLevelType w:val="hybridMultilevel"/>
    <w:tmpl w:val="2FBEDF3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2577B84"/>
    <w:multiLevelType w:val="hybridMultilevel"/>
    <w:tmpl w:val="88607440"/>
    <w:lvl w:ilvl="0" w:tplc="04270005">
      <w:start w:val="1"/>
      <w:numFmt w:val="bullet"/>
      <w:lvlText w:val=""/>
      <w:lvlJc w:val="left"/>
      <w:pPr>
        <w:ind w:left="720" w:hanging="360"/>
      </w:pPr>
      <w:rPr>
        <w:rFonts w:ascii="Wingdings" w:hAnsi="Wingding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4C52605"/>
    <w:multiLevelType w:val="hybridMultilevel"/>
    <w:tmpl w:val="6FC2BE3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541C33"/>
    <w:multiLevelType w:val="hybridMultilevel"/>
    <w:tmpl w:val="14BA9B4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9B92C61"/>
    <w:multiLevelType w:val="hybridMultilevel"/>
    <w:tmpl w:val="86304EE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3A4E071C"/>
    <w:multiLevelType w:val="hybridMultilevel"/>
    <w:tmpl w:val="D5800C6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2921DA2"/>
    <w:multiLevelType w:val="hybridMultilevel"/>
    <w:tmpl w:val="30548F26"/>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442F743A"/>
    <w:multiLevelType w:val="hybridMultilevel"/>
    <w:tmpl w:val="DF58C7C6"/>
    <w:lvl w:ilvl="0" w:tplc="7C765C56">
      <w:start w:val="1"/>
      <w:numFmt w:val="upperRoman"/>
      <w:lvlText w:val="%1."/>
      <w:lvlJc w:val="left"/>
      <w:pPr>
        <w:ind w:left="3240" w:hanging="720"/>
      </w:pPr>
      <w:rPr>
        <w:rFonts w:hint="default"/>
        <w:color w:val="FFFFFF" w:themeColor="background1"/>
      </w:r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16" w15:restartNumberingAfterBreak="0">
    <w:nsid w:val="46573672"/>
    <w:multiLevelType w:val="hybridMultilevel"/>
    <w:tmpl w:val="F99A4B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49102BD9"/>
    <w:multiLevelType w:val="hybridMultilevel"/>
    <w:tmpl w:val="CC1ABF7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40913CD"/>
    <w:multiLevelType w:val="hybridMultilevel"/>
    <w:tmpl w:val="84F2A7C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2BB7C35"/>
    <w:multiLevelType w:val="hybridMultilevel"/>
    <w:tmpl w:val="E7D67C6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640617F"/>
    <w:multiLevelType w:val="hybridMultilevel"/>
    <w:tmpl w:val="10A4A54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6FB7400"/>
    <w:multiLevelType w:val="hybridMultilevel"/>
    <w:tmpl w:val="F9DABB64"/>
    <w:lvl w:ilvl="0" w:tplc="0427000D">
      <w:start w:val="1"/>
      <w:numFmt w:val="bullet"/>
      <w:lvlText w:val=""/>
      <w:lvlJc w:val="left"/>
      <w:pPr>
        <w:ind w:left="1800" w:hanging="360"/>
      </w:pPr>
      <w:rPr>
        <w:rFonts w:ascii="Wingdings" w:hAnsi="Wingdings"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2" w15:restartNumberingAfterBreak="0">
    <w:nsid w:val="67DA5AFE"/>
    <w:multiLevelType w:val="hybridMultilevel"/>
    <w:tmpl w:val="0F6AB18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9F818CA"/>
    <w:multiLevelType w:val="hybridMultilevel"/>
    <w:tmpl w:val="8848C15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B5F6B94"/>
    <w:multiLevelType w:val="hybridMultilevel"/>
    <w:tmpl w:val="21B2078A"/>
    <w:lvl w:ilvl="0" w:tplc="A2BA3F40">
      <w:start w:val="1"/>
      <w:numFmt w:val="upperRoman"/>
      <w:lvlText w:val="%1."/>
      <w:lvlJc w:val="left"/>
      <w:pPr>
        <w:ind w:left="720" w:hanging="360"/>
      </w:pPr>
      <w:rPr>
        <w:rFonts w:asciiTheme="minorHAnsi" w:eastAsiaTheme="minorHAnsi" w:hAnsiTheme="minorHAnsi" w:cstheme="minorHAnsi"/>
        <w:sz w:val="24"/>
        <w:szCs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B8B72F9"/>
    <w:multiLevelType w:val="hybridMultilevel"/>
    <w:tmpl w:val="9F18EC6C"/>
    <w:lvl w:ilvl="0" w:tplc="21202476">
      <w:numFmt w:val="bullet"/>
      <w:lvlText w:val="-"/>
      <w:lvlJc w:val="left"/>
      <w:pPr>
        <w:ind w:left="720" w:hanging="360"/>
      </w:pPr>
      <w:rPr>
        <w:rFonts w:ascii="Arial" w:eastAsiaTheme="minorHAnsi"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6E295DBA"/>
    <w:multiLevelType w:val="hybridMultilevel"/>
    <w:tmpl w:val="043A8C4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1604CC9"/>
    <w:multiLevelType w:val="hybridMultilevel"/>
    <w:tmpl w:val="E21C080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5DE1587"/>
    <w:multiLevelType w:val="hybridMultilevel"/>
    <w:tmpl w:val="16EE284E"/>
    <w:lvl w:ilvl="0" w:tplc="8CAC267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9" w15:restartNumberingAfterBreak="0">
    <w:nsid w:val="79CD0642"/>
    <w:multiLevelType w:val="hybridMultilevel"/>
    <w:tmpl w:val="1DF215D0"/>
    <w:lvl w:ilvl="0" w:tplc="E4E23F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AD87461"/>
    <w:multiLevelType w:val="hybridMultilevel"/>
    <w:tmpl w:val="F7DECB3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4"/>
  </w:num>
  <w:num w:numId="4">
    <w:abstractNumId w:val="9"/>
  </w:num>
  <w:num w:numId="5">
    <w:abstractNumId w:val="23"/>
  </w:num>
  <w:num w:numId="6">
    <w:abstractNumId w:val="26"/>
  </w:num>
  <w:num w:numId="7">
    <w:abstractNumId w:val="18"/>
  </w:num>
  <w:num w:numId="8">
    <w:abstractNumId w:val="11"/>
  </w:num>
  <w:num w:numId="9">
    <w:abstractNumId w:val="7"/>
  </w:num>
  <w:num w:numId="10">
    <w:abstractNumId w:val="8"/>
  </w:num>
  <w:num w:numId="11">
    <w:abstractNumId w:val="1"/>
  </w:num>
  <w:num w:numId="12">
    <w:abstractNumId w:val="30"/>
  </w:num>
  <w:num w:numId="13">
    <w:abstractNumId w:val="20"/>
  </w:num>
  <w:num w:numId="14">
    <w:abstractNumId w:val="25"/>
  </w:num>
  <w:num w:numId="15">
    <w:abstractNumId w:val="3"/>
  </w:num>
  <w:num w:numId="16">
    <w:abstractNumId w:val="28"/>
  </w:num>
  <w:num w:numId="17">
    <w:abstractNumId w:val="13"/>
  </w:num>
  <w:num w:numId="18">
    <w:abstractNumId w:val="27"/>
  </w:num>
  <w:num w:numId="19">
    <w:abstractNumId w:val="2"/>
  </w:num>
  <w:num w:numId="20">
    <w:abstractNumId w:val="19"/>
  </w:num>
  <w:num w:numId="21">
    <w:abstractNumId w:val="10"/>
  </w:num>
  <w:num w:numId="22">
    <w:abstractNumId w:val="17"/>
  </w:num>
  <w:num w:numId="23">
    <w:abstractNumId w:val="5"/>
  </w:num>
  <w:num w:numId="24">
    <w:abstractNumId w:val="22"/>
  </w:num>
  <w:num w:numId="25">
    <w:abstractNumId w:val="6"/>
  </w:num>
  <w:num w:numId="26">
    <w:abstractNumId w:val="12"/>
  </w:num>
  <w:num w:numId="27">
    <w:abstractNumId w:val="21"/>
  </w:num>
  <w:num w:numId="28">
    <w:abstractNumId w:val="24"/>
  </w:num>
  <w:num w:numId="29">
    <w:abstractNumId w:val="15"/>
  </w:num>
  <w:num w:numId="30">
    <w:abstractNumId w:val="4"/>
  </w:num>
  <w:num w:numId="3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AF"/>
    <w:rsid w:val="000011BC"/>
    <w:rsid w:val="00002675"/>
    <w:rsid w:val="00010181"/>
    <w:rsid w:val="00011E66"/>
    <w:rsid w:val="00021B6E"/>
    <w:rsid w:val="000232EC"/>
    <w:rsid w:val="00030A34"/>
    <w:rsid w:val="0003728E"/>
    <w:rsid w:val="0004191E"/>
    <w:rsid w:val="00045508"/>
    <w:rsid w:val="00052C65"/>
    <w:rsid w:val="00062B04"/>
    <w:rsid w:val="000678CC"/>
    <w:rsid w:val="000777AD"/>
    <w:rsid w:val="00080D2D"/>
    <w:rsid w:val="00087D7C"/>
    <w:rsid w:val="00090E8C"/>
    <w:rsid w:val="000931FF"/>
    <w:rsid w:val="000938CB"/>
    <w:rsid w:val="0009516F"/>
    <w:rsid w:val="00095403"/>
    <w:rsid w:val="000A4559"/>
    <w:rsid w:val="000A545E"/>
    <w:rsid w:val="000A5985"/>
    <w:rsid w:val="000B10AA"/>
    <w:rsid w:val="000B1722"/>
    <w:rsid w:val="000B5591"/>
    <w:rsid w:val="000B60DF"/>
    <w:rsid w:val="000D095C"/>
    <w:rsid w:val="000D096E"/>
    <w:rsid w:val="000E0017"/>
    <w:rsid w:val="000E496C"/>
    <w:rsid w:val="000F0815"/>
    <w:rsid w:val="000F38ED"/>
    <w:rsid w:val="000F3EA9"/>
    <w:rsid w:val="000F74C0"/>
    <w:rsid w:val="00111956"/>
    <w:rsid w:val="001165DC"/>
    <w:rsid w:val="00117992"/>
    <w:rsid w:val="00135CFD"/>
    <w:rsid w:val="00140930"/>
    <w:rsid w:val="00145BCC"/>
    <w:rsid w:val="00155E02"/>
    <w:rsid w:val="00157C38"/>
    <w:rsid w:val="00161804"/>
    <w:rsid w:val="001673A4"/>
    <w:rsid w:val="00176C50"/>
    <w:rsid w:val="00182007"/>
    <w:rsid w:val="00195BCD"/>
    <w:rsid w:val="001A58C4"/>
    <w:rsid w:val="001B00F8"/>
    <w:rsid w:val="001B56F5"/>
    <w:rsid w:val="001B7B5C"/>
    <w:rsid w:val="001C2662"/>
    <w:rsid w:val="001C7273"/>
    <w:rsid w:val="001D124C"/>
    <w:rsid w:val="001D1D9E"/>
    <w:rsid w:val="00202E96"/>
    <w:rsid w:val="002044B2"/>
    <w:rsid w:val="00211D62"/>
    <w:rsid w:val="00213BB9"/>
    <w:rsid w:val="00215F59"/>
    <w:rsid w:val="00220E6F"/>
    <w:rsid w:val="0022258A"/>
    <w:rsid w:val="002375A1"/>
    <w:rsid w:val="00241170"/>
    <w:rsid w:val="00245497"/>
    <w:rsid w:val="00247A7F"/>
    <w:rsid w:val="00261C2D"/>
    <w:rsid w:val="002621F4"/>
    <w:rsid w:val="002661AB"/>
    <w:rsid w:val="00281455"/>
    <w:rsid w:val="00285D3A"/>
    <w:rsid w:val="002955CA"/>
    <w:rsid w:val="00295DA7"/>
    <w:rsid w:val="002A0EBA"/>
    <w:rsid w:val="002A247B"/>
    <w:rsid w:val="002A2519"/>
    <w:rsid w:val="002A3CB2"/>
    <w:rsid w:val="002B0F6E"/>
    <w:rsid w:val="002B34DD"/>
    <w:rsid w:val="002B49A9"/>
    <w:rsid w:val="002B6FAF"/>
    <w:rsid w:val="002C12E0"/>
    <w:rsid w:val="002C28E8"/>
    <w:rsid w:val="002C2A11"/>
    <w:rsid w:val="002C4890"/>
    <w:rsid w:val="002E0CA7"/>
    <w:rsid w:val="002E1EE2"/>
    <w:rsid w:val="002F2166"/>
    <w:rsid w:val="002F2D4C"/>
    <w:rsid w:val="002F6460"/>
    <w:rsid w:val="00300F75"/>
    <w:rsid w:val="0030520B"/>
    <w:rsid w:val="00317EC0"/>
    <w:rsid w:val="00321C27"/>
    <w:rsid w:val="003224CF"/>
    <w:rsid w:val="00323CD8"/>
    <w:rsid w:val="00331D4A"/>
    <w:rsid w:val="00335DE3"/>
    <w:rsid w:val="0034066D"/>
    <w:rsid w:val="0035166B"/>
    <w:rsid w:val="00364699"/>
    <w:rsid w:val="0036717F"/>
    <w:rsid w:val="00367ACA"/>
    <w:rsid w:val="003704DA"/>
    <w:rsid w:val="00370940"/>
    <w:rsid w:val="003728DF"/>
    <w:rsid w:val="0037611A"/>
    <w:rsid w:val="003851C9"/>
    <w:rsid w:val="00386BB2"/>
    <w:rsid w:val="003923D5"/>
    <w:rsid w:val="003938D1"/>
    <w:rsid w:val="00395786"/>
    <w:rsid w:val="003D3B3F"/>
    <w:rsid w:val="003D48A8"/>
    <w:rsid w:val="003D75AD"/>
    <w:rsid w:val="003D771E"/>
    <w:rsid w:val="003E3A24"/>
    <w:rsid w:val="003E4C8E"/>
    <w:rsid w:val="003F19FA"/>
    <w:rsid w:val="003F1FD1"/>
    <w:rsid w:val="003F29B4"/>
    <w:rsid w:val="003F4837"/>
    <w:rsid w:val="003F5917"/>
    <w:rsid w:val="003F65F7"/>
    <w:rsid w:val="00404F83"/>
    <w:rsid w:val="00407463"/>
    <w:rsid w:val="00415880"/>
    <w:rsid w:val="00420A20"/>
    <w:rsid w:val="00420AF8"/>
    <w:rsid w:val="00425A36"/>
    <w:rsid w:val="00442E13"/>
    <w:rsid w:val="004436C1"/>
    <w:rsid w:val="00446CE1"/>
    <w:rsid w:val="004537F0"/>
    <w:rsid w:val="004557DC"/>
    <w:rsid w:val="00460CC2"/>
    <w:rsid w:val="00462C55"/>
    <w:rsid w:val="00463D17"/>
    <w:rsid w:val="00471D5A"/>
    <w:rsid w:val="00471EE6"/>
    <w:rsid w:val="00472424"/>
    <w:rsid w:val="00473A03"/>
    <w:rsid w:val="00474D5A"/>
    <w:rsid w:val="00476EAF"/>
    <w:rsid w:val="004773D4"/>
    <w:rsid w:val="00490A76"/>
    <w:rsid w:val="004969FD"/>
    <w:rsid w:val="004A6716"/>
    <w:rsid w:val="004A68B0"/>
    <w:rsid w:val="004B1BE3"/>
    <w:rsid w:val="004B2ACC"/>
    <w:rsid w:val="004B368D"/>
    <w:rsid w:val="004B44C2"/>
    <w:rsid w:val="004B6EC2"/>
    <w:rsid w:val="004C1E89"/>
    <w:rsid w:val="004C4FC1"/>
    <w:rsid w:val="004C6903"/>
    <w:rsid w:val="004D506A"/>
    <w:rsid w:val="004E1950"/>
    <w:rsid w:val="004E2DFC"/>
    <w:rsid w:val="004F0B7F"/>
    <w:rsid w:val="004F0BEC"/>
    <w:rsid w:val="004F59AE"/>
    <w:rsid w:val="00505CA1"/>
    <w:rsid w:val="00507975"/>
    <w:rsid w:val="00512C30"/>
    <w:rsid w:val="00525736"/>
    <w:rsid w:val="00527156"/>
    <w:rsid w:val="00535745"/>
    <w:rsid w:val="00541DAF"/>
    <w:rsid w:val="005435C7"/>
    <w:rsid w:val="005474E6"/>
    <w:rsid w:val="005518F0"/>
    <w:rsid w:val="0055454D"/>
    <w:rsid w:val="00564A7A"/>
    <w:rsid w:val="00582467"/>
    <w:rsid w:val="00582A1F"/>
    <w:rsid w:val="00583820"/>
    <w:rsid w:val="0058692A"/>
    <w:rsid w:val="00587403"/>
    <w:rsid w:val="00592127"/>
    <w:rsid w:val="005922CD"/>
    <w:rsid w:val="00596626"/>
    <w:rsid w:val="005A547D"/>
    <w:rsid w:val="005B258C"/>
    <w:rsid w:val="005B55E4"/>
    <w:rsid w:val="005C2C45"/>
    <w:rsid w:val="005D196E"/>
    <w:rsid w:val="005D5472"/>
    <w:rsid w:val="005D63F0"/>
    <w:rsid w:val="005E53C4"/>
    <w:rsid w:val="005F2CFA"/>
    <w:rsid w:val="005F4493"/>
    <w:rsid w:val="0061609D"/>
    <w:rsid w:val="0061641C"/>
    <w:rsid w:val="006218AE"/>
    <w:rsid w:val="00626DCE"/>
    <w:rsid w:val="00630AEC"/>
    <w:rsid w:val="00631FEE"/>
    <w:rsid w:val="00633939"/>
    <w:rsid w:val="00635E92"/>
    <w:rsid w:val="0064023C"/>
    <w:rsid w:val="00656D0D"/>
    <w:rsid w:val="006745F1"/>
    <w:rsid w:val="00674FA7"/>
    <w:rsid w:val="0067768E"/>
    <w:rsid w:val="00680C5F"/>
    <w:rsid w:val="00683C79"/>
    <w:rsid w:val="0068628E"/>
    <w:rsid w:val="00691375"/>
    <w:rsid w:val="00693834"/>
    <w:rsid w:val="006A2494"/>
    <w:rsid w:val="006A38F8"/>
    <w:rsid w:val="006A4B8A"/>
    <w:rsid w:val="006A508F"/>
    <w:rsid w:val="006B117F"/>
    <w:rsid w:val="006B62C5"/>
    <w:rsid w:val="006B632F"/>
    <w:rsid w:val="006D7140"/>
    <w:rsid w:val="006D72BA"/>
    <w:rsid w:val="006E6E7A"/>
    <w:rsid w:val="006F135D"/>
    <w:rsid w:val="006F2BC6"/>
    <w:rsid w:val="006F77BE"/>
    <w:rsid w:val="007075E8"/>
    <w:rsid w:val="00707EB4"/>
    <w:rsid w:val="007136EF"/>
    <w:rsid w:val="007158BC"/>
    <w:rsid w:val="0071675B"/>
    <w:rsid w:val="0072194A"/>
    <w:rsid w:val="00724372"/>
    <w:rsid w:val="007244E7"/>
    <w:rsid w:val="00727A1F"/>
    <w:rsid w:val="00731B68"/>
    <w:rsid w:val="00732276"/>
    <w:rsid w:val="00733628"/>
    <w:rsid w:val="0073366F"/>
    <w:rsid w:val="007340FF"/>
    <w:rsid w:val="00742DD5"/>
    <w:rsid w:val="0074311F"/>
    <w:rsid w:val="00746EE9"/>
    <w:rsid w:val="00747BEF"/>
    <w:rsid w:val="00753F36"/>
    <w:rsid w:val="00754384"/>
    <w:rsid w:val="0075675C"/>
    <w:rsid w:val="0077267C"/>
    <w:rsid w:val="00773942"/>
    <w:rsid w:val="00774BD6"/>
    <w:rsid w:val="00783188"/>
    <w:rsid w:val="007855D6"/>
    <w:rsid w:val="0079087E"/>
    <w:rsid w:val="00793EB6"/>
    <w:rsid w:val="007A2959"/>
    <w:rsid w:val="007A5F2B"/>
    <w:rsid w:val="007A6556"/>
    <w:rsid w:val="007A6EDF"/>
    <w:rsid w:val="007B5E41"/>
    <w:rsid w:val="007C7048"/>
    <w:rsid w:val="007D1BD6"/>
    <w:rsid w:val="007D791E"/>
    <w:rsid w:val="007E4214"/>
    <w:rsid w:val="007E4C43"/>
    <w:rsid w:val="007E5E85"/>
    <w:rsid w:val="007E6AD5"/>
    <w:rsid w:val="007F09BE"/>
    <w:rsid w:val="007F2DB3"/>
    <w:rsid w:val="007F784F"/>
    <w:rsid w:val="00802E29"/>
    <w:rsid w:val="00804296"/>
    <w:rsid w:val="008077C0"/>
    <w:rsid w:val="00814365"/>
    <w:rsid w:val="008152BE"/>
    <w:rsid w:val="00820A28"/>
    <w:rsid w:val="0082361B"/>
    <w:rsid w:val="008335EB"/>
    <w:rsid w:val="008411D8"/>
    <w:rsid w:val="00841864"/>
    <w:rsid w:val="00853A8B"/>
    <w:rsid w:val="0085624E"/>
    <w:rsid w:val="00857F9D"/>
    <w:rsid w:val="00880618"/>
    <w:rsid w:val="00880BDA"/>
    <w:rsid w:val="00880F7C"/>
    <w:rsid w:val="0088143F"/>
    <w:rsid w:val="00883011"/>
    <w:rsid w:val="00894EBD"/>
    <w:rsid w:val="00896E45"/>
    <w:rsid w:val="008A5A1A"/>
    <w:rsid w:val="008B24FA"/>
    <w:rsid w:val="008C7B08"/>
    <w:rsid w:val="008E3F2E"/>
    <w:rsid w:val="008F09C4"/>
    <w:rsid w:val="008F106E"/>
    <w:rsid w:val="008F4EBB"/>
    <w:rsid w:val="0090377E"/>
    <w:rsid w:val="00904DE2"/>
    <w:rsid w:val="009056DA"/>
    <w:rsid w:val="00910873"/>
    <w:rsid w:val="009121F7"/>
    <w:rsid w:val="00915CB6"/>
    <w:rsid w:val="00921A82"/>
    <w:rsid w:val="009248CD"/>
    <w:rsid w:val="009258AE"/>
    <w:rsid w:val="00932B32"/>
    <w:rsid w:val="0094193F"/>
    <w:rsid w:val="00946B3D"/>
    <w:rsid w:val="00950121"/>
    <w:rsid w:val="009542CB"/>
    <w:rsid w:val="009548FB"/>
    <w:rsid w:val="00964E8E"/>
    <w:rsid w:val="00967E93"/>
    <w:rsid w:val="00970A49"/>
    <w:rsid w:val="009719D8"/>
    <w:rsid w:val="00974789"/>
    <w:rsid w:val="00975FD0"/>
    <w:rsid w:val="00986E16"/>
    <w:rsid w:val="00996B87"/>
    <w:rsid w:val="009A2315"/>
    <w:rsid w:val="009A6641"/>
    <w:rsid w:val="009A75B5"/>
    <w:rsid w:val="009B0C4C"/>
    <w:rsid w:val="009B7506"/>
    <w:rsid w:val="009B7AA8"/>
    <w:rsid w:val="009C3E90"/>
    <w:rsid w:val="009D152D"/>
    <w:rsid w:val="009D4504"/>
    <w:rsid w:val="009D51FE"/>
    <w:rsid w:val="009E10DF"/>
    <w:rsid w:val="009E4F7F"/>
    <w:rsid w:val="009E6AB6"/>
    <w:rsid w:val="00A00335"/>
    <w:rsid w:val="00A02B9A"/>
    <w:rsid w:val="00A02D96"/>
    <w:rsid w:val="00A038A8"/>
    <w:rsid w:val="00A067C8"/>
    <w:rsid w:val="00A1133C"/>
    <w:rsid w:val="00A12673"/>
    <w:rsid w:val="00A260B0"/>
    <w:rsid w:val="00A2716D"/>
    <w:rsid w:val="00A32D79"/>
    <w:rsid w:val="00A3432A"/>
    <w:rsid w:val="00A369DF"/>
    <w:rsid w:val="00A37397"/>
    <w:rsid w:val="00A432E0"/>
    <w:rsid w:val="00A47E6F"/>
    <w:rsid w:val="00A51A08"/>
    <w:rsid w:val="00A54C40"/>
    <w:rsid w:val="00A60055"/>
    <w:rsid w:val="00A6400A"/>
    <w:rsid w:val="00A675ED"/>
    <w:rsid w:val="00A735D7"/>
    <w:rsid w:val="00A73B31"/>
    <w:rsid w:val="00A75799"/>
    <w:rsid w:val="00A7795C"/>
    <w:rsid w:val="00A80219"/>
    <w:rsid w:val="00A8427D"/>
    <w:rsid w:val="00A85FDD"/>
    <w:rsid w:val="00A866A9"/>
    <w:rsid w:val="00A95262"/>
    <w:rsid w:val="00A97565"/>
    <w:rsid w:val="00AA0B9E"/>
    <w:rsid w:val="00AA64AF"/>
    <w:rsid w:val="00AC062F"/>
    <w:rsid w:val="00AC09CF"/>
    <w:rsid w:val="00AC14AD"/>
    <w:rsid w:val="00AC7C2B"/>
    <w:rsid w:val="00AD41F8"/>
    <w:rsid w:val="00AD5C66"/>
    <w:rsid w:val="00AE19B6"/>
    <w:rsid w:val="00AE1A37"/>
    <w:rsid w:val="00AF5672"/>
    <w:rsid w:val="00AF67F6"/>
    <w:rsid w:val="00B01C45"/>
    <w:rsid w:val="00B12080"/>
    <w:rsid w:val="00B31CDB"/>
    <w:rsid w:val="00B41BE7"/>
    <w:rsid w:val="00B46071"/>
    <w:rsid w:val="00B5244A"/>
    <w:rsid w:val="00B53B0F"/>
    <w:rsid w:val="00B55283"/>
    <w:rsid w:val="00B55A37"/>
    <w:rsid w:val="00B64BC9"/>
    <w:rsid w:val="00B64E8F"/>
    <w:rsid w:val="00B66CDF"/>
    <w:rsid w:val="00B73153"/>
    <w:rsid w:val="00B743E0"/>
    <w:rsid w:val="00B90E11"/>
    <w:rsid w:val="00B91150"/>
    <w:rsid w:val="00B91E2B"/>
    <w:rsid w:val="00B922B9"/>
    <w:rsid w:val="00B96CB6"/>
    <w:rsid w:val="00BA2B68"/>
    <w:rsid w:val="00BA5CBE"/>
    <w:rsid w:val="00BA6AB9"/>
    <w:rsid w:val="00BA7F38"/>
    <w:rsid w:val="00BB3E33"/>
    <w:rsid w:val="00BB4C85"/>
    <w:rsid w:val="00BC32C7"/>
    <w:rsid w:val="00BC5D6A"/>
    <w:rsid w:val="00BC689D"/>
    <w:rsid w:val="00BC7E33"/>
    <w:rsid w:val="00BE2E21"/>
    <w:rsid w:val="00BE4C4D"/>
    <w:rsid w:val="00BF2037"/>
    <w:rsid w:val="00C051BA"/>
    <w:rsid w:val="00C07142"/>
    <w:rsid w:val="00C11473"/>
    <w:rsid w:val="00C131BC"/>
    <w:rsid w:val="00C21D4E"/>
    <w:rsid w:val="00C22C57"/>
    <w:rsid w:val="00C26C00"/>
    <w:rsid w:val="00C340F5"/>
    <w:rsid w:val="00C3436E"/>
    <w:rsid w:val="00C403D1"/>
    <w:rsid w:val="00C436C5"/>
    <w:rsid w:val="00C45DF7"/>
    <w:rsid w:val="00C60B13"/>
    <w:rsid w:val="00C61A0B"/>
    <w:rsid w:val="00C62B14"/>
    <w:rsid w:val="00C6370A"/>
    <w:rsid w:val="00C6512F"/>
    <w:rsid w:val="00C65DD5"/>
    <w:rsid w:val="00C86420"/>
    <w:rsid w:val="00C879ED"/>
    <w:rsid w:val="00C96AD1"/>
    <w:rsid w:val="00CB7794"/>
    <w:rsid w:val="00CC2A31"/>
    <w:rsid w:val="00CC4AF6"/>
    <w:rsid w:val="00CC6BDF"/>
    <w:rsid w:val="00CD24E8"/>
    <w:rsid w:val="00CE04B2"/>
    <w:rsid w:val="00CE0714"/>
    <w:rsid w:val="00CE2C8F"/>
    <w:rsid w:val="00CF3127"/>
    <w:rsid w:val="00D00C3B"/>
    <w:rsid w:val="00D03C5F"/>
    <w:rsid w:val="00D07952"/>
    <w:rsid w:val="00D07972"/>
    <w:rsid w:val="00D21AED"/>
    <w:rsid w:val="00D22B6F"/>
    <w:rsid w:val="00D26491"/>
    <w:rsid w:val="00D310D0"/>
    <w:rsid w:val="00D3187E"/>
    <w:rsid w:val="00D52EFB"/>
    <w:rsid w:val="00D558B7"/>
    <w:rsid w:val="00D561F2"/>
    <w:rsid w:val="00D73191"/>
    <w:rsid w:val="00D76192"/>
    <w:rsid w:val="00D9399D"/>
    <w:rsid w:val="00D94149"/>
    <w:rsid w:val="00D95856"/>
    <w:rsid w:val="00D9773B"/>
    <w:rsid w:val="00DA3463"/>
    <w:rsid w:val="00DB7853"/>
    <w:rsid w:val="00DB7AE6"/>
    <w:rsid w:val="00DC0DAE"/>
    <w:rsid w:val="00DC1A5E"/>
    <w:rsid w:val="00DD39B2"/>
    <w:rsid w:val="00DE7A9C"/>
    <w:rsid w:val="00DF2396"/>
    <w:rsid w:val="00DF27C6"/>
    <w:rsid w:val="00DF2E2E"/>
    <w:rsid w:val="00DF66E6"/>
    <w:rsid w:val="00E03FB2"/>
    <w:rsid w:val="00E10103"/>
    <w:rsid w:val="00E10871"/>
    <w:rsid w:val="00E12AE9"/>
    <w:rsid w:val="00E2066C"/>
    <w:rsid w:val="00E2158F"/>
    <w:rsid w:val="00E241E4"/>
    <w:rsid w:val="00E301C0"/>
    <w:rsid w:val="00E34001"/>
    <w:rsid w:val="00E57322"/>
    <w:rsid w:val="00E75AD1"/>
    <w:rsid w:val="00E82ADF"/>
    <w:rsid w:val="00E86647"/>
    <w:rsid w:val="00E9517F"/>
    <w:rsid w:val="00E95FF1"/>
    <w:rsid w:val="00EA70EE"/>
    <w:rsid w:val="00EB03D8"/>
    <w:rsid w:val="00EB0EDF"/>
    <w:rsid w:val="00EB3435"/>
    <w:rsid w:val="00ED410E"/>
    <w:rsid w:val="00EE338E"/>
    <w:rsid w:val="00EE53B2"/>
    <w:rsid w:val="00EF1827"/>
    <w:rsid w:val="00EF241D"/>
    <w:rsid w:val="00EF7F45"/>
    <w:rsid w:val="00F023B4"/>
    <w:rsid w:val="00F02814"/>
    <w:rsid w:val="00F05782"/>
    <w:rsid w:val="00F24104"/>
    <w:rsid w:val="00F26C9A"/>
    <w:rsid w:val="00F354BE"/>
    <w:rsid w:val="00F372D1"/>
    <w:rsid w:val="00F45676"/>
    <w:rsid w:val="00F472BF"/>
    <w:rsid w:val="00F6106B"/>
    <w:rsid w:val="00F646D7"/>
    <w:rsid w:val="00F72BD0"/>
    <w:rsid w:val="00F9103C"/>
    <w:rsid w:val="00FA0701"/>
    <w:rsid w:val="00FA1A0E"/>
    <w:rsid w:val="00FB1509"/>
    <w:rsid w:val="00FC2456"/>
    <w:rsid w:val="00FC48B6"/>
    <w:rsid w:val="00FC56A7"/>
    <w:rsid w:val="00FD4991"/>
    <w:rsid w:val="00FD5301"/>
    <w:rsid w:val="00FD6295"/>
    <w:rsid w:val="00FF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8F4EA"/>
  <w14:defaultImageDpi w14:val="300"/>
  <w15:chartTrackingRefBased/>
  <w15:docId w15:val="{B2C42568-5C7B-4208-B72B-C0D3042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EAF"/>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202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96"/>
    <w:rPr>
      <w:rFonts w:ascii="Segoe UI" w:hAnsi="Segoe UI" w:cs="Segoe UI"/>
      <w:sz w:val="18"/>
      <w:szCs w:val="18"/>
    </w:rPr>
  </w:style>
  <w:style w:type="paragraph" w:styleId="Header">
    <w:name w:val="header"/>
    <w:basedOn w:val="Normal"/>
    <w:link w:val="HeaderChar"/>
    <w:uiPriority w:val="99"/>
    <w:unhideWhenUsed/>
    <w:rsid w:val="00DF66E6"/>
    <w:pPr>
      <w:tabs>
        <w:tab w:val="center" w:pos="4819"/>
        <w:tab w:val="right" w:pos="9638"/>
      </w:tabs>
    </w:pPr>
  </w:style>
  <w:style w:type="character" w:customStyle="1" w:styleId="HeaderChar">
    <w:name w:val="Header Char"/>
    <w:basedOn w:val="DefaultParagraphFont"/>
    <w:link w:val="Header"/>
    <w:uiPriority w:val="99"/>
    <w:rsid w:val="00DF66E6"/>
  </w:style>
  <w:style w:type="paragraph" w:styleId="Footer">
    <w:name w:val="footer"/>
    <w:basedOn w:val="Normal"/>
    <w:link w:val="FooterChar"/>
    <w:uiPriority w:val="99"/>
    <w:unhideWhenUsed/>
    <w:rsid w:val="00DF66E6"/>
    <w:pPr>
      <w:tabs>
        <w:tab w:val="center" w:pos="4819"/>
        <w:tab w:val="right" w:pos="9638"/>
      </w:tabs>
    </w:pPr>
  </w:style>
  <w:style w:type="character" w:customStyle="1" w:styleId="FooterChar">
    <w:name w:val="Footer Char"/>
    <w:basedOn w:val="DefaultParagraphFont"/>
    <w:link w:val="Footer"/>
    <w:uiPriority w:val="99"/>
    <w:rsid w:val="00DF66E6"/>
  </w:style>
  <w:style w:type="character" w:styleId="Hyperlink">
    <w:name w:val="Hyperlink"/>
    <w:basedOn w:val="DefaultParagraphFont"/>
    <w:uiPriority w:val="99"/>
    <w:unhideWhenUsed/>
    <w:rsid w:val="00A8427D"/>
    <w:rPr>
      <w:color w:val="0563C1" w:themeColor="hyperlink"/>
      <w:u w:val="single"/>
    </w:rPr>
  </w:style>
  <w:style w:type="character" w:customStyle="1" w:styleId="hps">
    <w:name w:val="hps"/>
    <w:basedOn w:val="DefaultParagraphFont"/>
    <w:rsid w:val="00A8427D"/>
  </w:style>
  <w:style w:type="paragraph" w:styleId="ListParagraph">
    <w:name w:val="List Paragraph"/>
    <w:aliases w:val="lp1,Bullet 1,Use Case List Paragraph"/>
    <w:basedOn w:val="Normal"/>
    <w:link w:val="ListParagraphChar"/>
    <w:uiPriority w:val="34"/>
    <w:qFormat/>
    <w:rsid w:val="00A7795C"/>
    <w:pPr>
      <w:ind w:left="720"/>
      <w:contextualSpacing/>
    </w:pPr>
  </w:style>
  <w:style w:type="character" w:customStyle="1" w:styleId="phonetxt">
    <w:name w:val="phone_txt"/>
    <w:basedOn w:val="DefaultParagraphFont"/>
    <w:rsid w:val="00A7795C"/>
  </w:style>
  <w:style w:type="character" w:customStyle="1" w:styleId="CharStyle25">
    <w:name w:val="Char Style 25"/>
    <w:basedOn w:val="DefaultParagraphFont"/>
    <w:rsid w:val="00A7795C"/>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lt-LT" w:bidi="lt-LT"/>
    </w:rPr>
  </w:style>
  <w:style w:type="character" w:customStyle="1" w:styleId="CharStyle26">
    <w:name w:val="Char Style 26"/>
    <w:basedOn w:val="DefaultParagraphFont"/>
    <w:rsid w:val="00A779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lt-LT" w:bidi="lt-LT"/>
    </w:rPr>
  </w:style>
  <w:style w:type="character" w:customStyle="1" w:styleId="CharStyle15">
    <w:name w:val="Char Style 15"/>
    <w:basedOn w:val="DefaultParagraphFont"/>
    <w:link w:val="Style16"/>
    <w:rsid w:val="00A7795C"/>
    <w:rPr>
      <w:shd w:val="clear" w:color="auto" w:fill="FFFFFF"/>
    </w:rPr>
  </w:style>
  <w:style w:type="paragraph" w:customStyle="1" w:styleId="Style16">
    <w:name w:val="Style 16"/>
    <w:basedOn w:val="Normal"/>
    <w:link w:val="CharStyle15"/>
    <w:rsid w:val="00A7795C"/>
    <w:pPr>
      <w:widowControl w:val="0"/>
      <w:shd w:val="clear" w:color="auto" w:fill="FFFFFF"/>
      <w:spacing w:before="320" w:after="800" w:line="266" w:lineRule="exact"/>
      <w:ind w:hanging="480"/>
      <w:jc w:val="center"/>
    </w:pPr>
  </w:style>
  <w:style w:type="character" w:customStyle="1" w:styleId="CharStyle8">
    <w:name w:val="Char Style 8"/>
    <w:basedOn w:val="DefaultParagraphFont"/>
    <w:link w:val="Style7"/>
    <w:rsid w:val="007D791E"/>
    <w:rPr>
      <w:b/>
      <w:bCs/>
      <w:shd w:val="clear" w:color="auto" w:fill="FFFFFF"/>
    </w:rPr>
  </w:style>
  <w:style w:type="paragraph" w:customStyle="1" w:styleId="Style7">
    <w:name w:val="Style 7"/>
    <w:basedOn w:val="Normal"/>
    <w:link w:val="CharStyle8"/>
    <w:rsid w:val="007D791E"/>
    <w:pPr>
      <w:widowControl w:val="0"/>
      <w:shd w:val="clear" w:color="auto" w:fill="FFFFFF"/>
      <w:spacing w:after="660" w:line="266" w:lineRule="exact"/>
      <w:ind w:hanging="480"/>
      <w:jc w:val="center"/>
    </w:pPr>
    <w:rPr>
      <w:b/>
      <w:bCs/>
    </w:rPr>
  </w:style>
  <w:style w:type="paragraph" w:customStyle="1" w:styleId="Default">
    <w:name w:val="Default"/>
    <w:rsid w:val="00A02D96"/>
    <w:pPr>
      <w:autoSpaceDE w:val="0"/>
      <w:autoSpaceDN w:val="0"/>
      <w:adjustRightInd w:val="0"/>
    </w:pPr>
    <w:rPr>
      <w:rFonts w:ascii="Calibri" w:hAnsi="Calibri" w:cs="Calibri"/>
      <w:color w:val="000000"/>
    </w:rPr>
  </w:style>
  <w:style w:type="paragraph" w:styleId="BodyText">
    <w:name w:val="Body Text"/>
    <w:basedOn w:val="Normal"/>
    <w:link w:val="BodyTextChar"/>
    <w:uiPriority w:val="1"/>
    <w:qFormat/>
    <w:rsid w:val="00746EE9"/>
    <w:pPr>
      <w:widowControl w:val="0"/>
      <w:autoSpaceDE w:val="0"/>
      <w:autoSpaceDN w:val="0"/>
      <w:adjustRightInd w:val="0"/>
    </w:pPr>
    <w:rPr>
      <w:rFonts w:ascii="Times New Roman" w:eastAsiaTheme="minorEastAsia" w:hAnsi="Times New Roman" w:cs="Times New Roman"/>
      <w:sz w:val="23"/>
      <w:szCs w:val="23"/>
      <w:lang w:eastAsia="lt-LT"/>
    </w:rPr>
  </w:style>
  <w:style w:type="character" w:customStyle="1" w:styleId="BodyTextChar">
    <w:name w:val="Body Text Char"/>
    <w:basedOn w:val="DefaultParagraphFont"/>
    <w:link w:val="BodyText"/>
    <w:uiPriority w:val="1"/>
    <w:rsid w:val="00746EE9"/>
    <w:rPr>
      <w:rFonts w:ascii="Times New Roman" w:eastAsiaTheme="minorEastAsia" w:hAnsi="Times New Roman" w:cs="Times New Roman"/>
      <w:sz w:val="23"/>
      <w:szCs w:val="23"/>
      <w:lang w:val="en-GB" w:eastAsia="lt-LT"/>
    </w:rPr>
  </w:style>
  <w:style w:type="paragraph" w:customStyle="1" w:styleId="TableParagraph">
    <w:name w:val="Table Paragraph"/>
    <w:basedOn w:val="Normal"/>
    <w:uiPriority w:val="1"/>
    <w:qFormat/>
    <w:rsid w:val="00746EE9"/>
    <w:pPr>
      <w:widowControl w:val="0"/>
      <w:autoSpaceDE w:val="0"/>
      <w:autoSpaceDN w:val="0"/>
      <w:adjustRightInd w:val="0"/>
    </w:pPr>
    <w:rPr>
      <w:rFonts w:ascii="Times New Roman" w:eastAsiaTheme="minorEastAsia" w:hAnsi="Times New Roman" w:cs="Times New Roman"/>
      <w:lang w:eastAsia="lt-LT"/>
    </w:rPr>
  </w:style>
  <w:style w:type="character" w:styleId="CommentReference">
    <w:name w:val="annotation reference"/>
    <w:basedOn w:val="DefaultParagraphFont"/>
    <w:uiPriority w:val="99"/>
    <w:semiHidden/>
    <w:unhideWhenUsed/>
    <w:rsid w:val="00C62B14"/>
    <w:rPr>
      <w:sz w:val="16"/>
      <w:szCs w:val="16"/>
    </w:rPr>
  </w:style>
  <w:style w:type="paragraph" w:styleId="CommentText">
    <w:name w:val="annotation text"/>
    <w:basedOn w:val="Normal"/>
    <w:link w:val="CommentTextChar"/>
    <w:uiPriority w:val="99"/>
    <w:semiHidden/>
    <w:unhideWhenUsed/>
    <w:rsid w:val="00C62B14"/>
    <w:rPr>
      <w:sz w:val="20"/>
      <w:szCs w:val="20"/>
    </w:rPr>
  </w:style>
  <w:style w:type="character" w:customStyle="1" w:styleId="CommentTextChar">
    <w:name w:val="Comment Text Char"/>
    <w:basedOn w:val="DefaultParagraphFont"/>
    <w:link w:val="CommentText"/>
    <w:uiPriority w:val="99"/>
    <w:semiHidden/>
    <w:rsid w:val="00C62B14"/>
    <w:rPr>
      <w:sz w:val="20"/>
      <w:szCs w:val="20"/>
    </w:rPr>
  </w:style>
  <w:style w:type="paragraph" w:styleId="CommentSubject">
    <w:name w:val="annotation subject"/>
    <w:basedOn w:val="CommentText"/>
    <w:next w:val="CommentText"/>
    <w:link w:val="CommentSubjectChar"/>
    <w:uiPriority w:val="99"/>
    <w:semiHidden/>
    <w:unhideWhenUsed/>
    <w:rsid w:val="00C62B14"/>
    <w:rPr>
      <w:b/>
      <w:bCs/>
    </w:rPr>
  </w:style>
  <w:style w:type="character" w:customStyle="1" w:styleId="CommentSubjectChar">
    <w:name w:val="Comment Subject Char"/>
    <w:basedOn w:val="CommentTextChar"/>
    <w:link w:val="CommentSubject"/>
    <w:uiPriority w:val="99"/>
    <w:semiHidden/>
    <w:rsid w:val="00C62B14"/>
    <w:rPr>
      <w:b/>
      <w:bCs/>
      <w:sz w:val="20"/>
      <w:szCs w:val="20"/>
    </w:rPr>
  </w:style>
  <w:style w:type="paragraph" w:styleId="IntenseQuote">
    <w:name w:val="Intense Quote"/>
    <w:basedOn w:val="Normal"/>
    <w:next w:val="Normal"/>
    <w:link w:val="IntenseQuoteChar"/>
    <w:uiPriority w:val="30"/>
    <w:qFormat/>
    <w:rsid w:val="00C60B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60B13"/>
    <w:rPr>
      <w:i/>
      <w:iCs/>
      <w:color w:val="5B9BD5" w:themeColor="accent1"/>
    </w:rPr>
  </w:style>
  <w:style w:type="paragraph" w:styleId="FootnoteText">
    <w:name w:val="footnote text"/>
    <w:basedOn w:val="Normal"/>
    <w:link w:val="FootnoteTextChar"/>
    <w:uiPriority w:val="99"/>
    <w:semiHidden/>
    <w:unhideWhenUsed/>
    <w:rsid w:val="004B1BE3"/>
    <w:rPr>
      <w:sz w:val="20"/>
      <w:szCs w:val="20"/>
    </w:rPr>
  </w:style>
  <w:style w:type="character" w:customStyle="1" w:styleId="FootnoteTextChar">
    <w:name w:val="Footnote Text Char"/>
    <w:basedOn w:val="DefaultParagraphFont"/>
    <w:link w:val="FootnoteText"/>
    <w:uiPriority w:val="99"/>
    <w:semiHidden/>
    <w:rsid w:val="004B1BE3"/>
    <w:rPr>
      <w:sz w:val="20"/>
      <w:szCs w:val="20"/>
    </w:rPr>
  </w:style>
  <w:style w:type="character" w:styleId="FootnoteReference">
    <w:name w:val="footnote reference"/>
    <w:basedOn w:val="DefaultParagraphFont"/>
    <w:uiPriority w:val="99"/>
    <w:semiHidden/>
    <w:unhideWhenUsed/>
    <w:rsid w:val="004B1BE3"/>
    <w:rPr>
      <w:vertAlign w:val="superscript"/>
    </w:rPr>
  </w:style>
  <w:style w:type="character" w:customStyle="1" w:styleId="ListParagraphChar">
    <w:name w:val="List Paragraph Char"/>
    <w:aliases w:val="lp1 Char,Bullet 1 Char,Use Case List Paragraph Char"/>
    <w:link w:val="ListParagraph"/>
    <w:uiPriority w:val="34"/>
    <w:locked/>
    <w:rsid w:val="00471EE6"/>
  </w:style>
  <w:style w:type="character" w:customStyle="1" w:styleId="UnresolvedMention1">
    <w:name w:val="Unresolved Mention1"/>
    <w:basedOn w:val="DefaultParagraphFont"/>
    <w:uiPriority w:val="99"/>
    <w:semiHidden/>
    <w:unhideWhenUsed/>
    <w:rsid w:val="00080D2D"/>
    <w:rPr>
      <w:color w:val="808080"/>
      <w:shd w:val="clear" w:color="auto" w:fill="E6E6E6"/>
    </w:rPr>
  </w:style>
  <w:style w:type="paragraph" w:styleId="PlainText">
    <w:name w:val="Plain Text"/>
    <w:basedOn w:val="Normal"/>
    <w:link w:val="PlainTextChar"/>
    <w:uiPriority w:val="99"/>
    <w:unhideWhenUsed/>
    <w:rsid w:val="00AF67F6"/>
    <w:rPr>
      <w:rFonts w:ascii="Calibri" w:hAnsi="Calibri"/>
      <w:sz w:val="22"/>
      <w:szCs w:val="21"/>
    </w:rPr>
  </w:style>
  <w:style w:type="character" w:customStyle="1" w:styleId="PlainTextChar">
    <w:name w:val="Plain Text Char"/>
    <w:basedOn w:val="DefaultParagraphFont"/>
    <w:link w:val="PlainText"/>
    <w:uiPriority w:val="99"/>
    <w:rsid w:val="00AF67F6"/>
    <w:rPr>
      <w:rFonts w:ascii="Calibri" w:hAnsi="Calibri"/>
      <w:sz w:val="22"/>
      <w:szCs w:val="21"/>
      <w:lang w:val="en-GB"/>
    </w:rPr>
  </w:style>
  <w:style w:type="paragraph" w:styleId="Revision">
    <w:name w:val="Revision"/>
    <w:hidden/>
    <w:uiPriority w:val="99"/>
    <w:semiHidden/>
    <w:rsid w:val="00CD24E8"/>
  </w:style>
  <w:style w:type="character" w:styleId="FollowedHyperlink">
    <w:name w:val="FollowedHyperlink"/>
    <w:basedOn w:val="DefaultParagraphFont"/>
    <w:uiPriority w:val="99"/>
    <w:semiHidden/>
    <w:unhideWhenUsed/>
    <w:rsid w:val="00473A03"/>
    <w:rPr>
      <w:color w:val="954F72" w:themeColor="followedHyperlink"/>
      <w:u w:val="single"/>
    </w:rPr>
  </w:style>
  <w:style w:type="paragraph" w:customStyle="1" w:styleId="paragraph">
    <w:name w:val="paragraph"/>
    <w:basedOn w:val="Normal"/>
    <w:rsid w:val="00CE0714"/>
    <w:rPr>
      <w:rFonts w:ascii="Times New Roman" w:eastAsia="Times New Roman" w:hAnsi="Times New Roman" w:cs="Times New Roman"/>
      <w:lang w:eastAsia="lt-LT"/>
    </w:rPr>
  </w:style>
  <w:style w:type="character" w:customStyle="1" w:styleId="normaltextrun1">
    <w:name w:val="normaltextrun1"/>
    <w:basedOn w:val="DefaultParagraphFont"/>
    <w:rsid w:val="00CE0714"/>
  </w:style>
  <w:style w:type="character" w:customStyle="1" w:styleId="eop">
    <w:name w:val="eop"/>
    <w:basedOn w:val="DefaultParagraphFont"/>
    <w:rsid w:val="00CE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2311">
      <w:bodyDiv w:val="1"/>
      <w:marLeft w:val="0"/>
      <w:marRight w:val="0"/>
      <w:marTop w:val="0"/>
      <w:marBottom w:val="0"/>
      <w:divBdr>
        <w:top w:val="none" w:sz="0" w:space="0" w:color="auto"/>
        <w:left w:val="none" w:sz="0" w:space="0" w:color="auto"/>
        <w:bottom w:val="none" w:sz="0" w:space="0" w:color="auto"/>
        <w:right w:val="none" w:sz="0" w:space="0" w:color="auto"/>
      </w:divBdr>
    </w:div>
    <w:div w:id="89742802">
      <w:bodyDiv w:val="1"/>
      <w:marLeft w:val="0"/>
      <w:marRight w:val="0"/>
      <w:marTop w:val="0"/>
      <w:marBottom w:val="0"/>
      <w:divBdr>
        <w:top w:val="none" w:sz="0" w:space="0" w:color="auto"/>
        <w:left w:val="none" w:sz="0" w:space="0" w:color="auto"/>
        <w:bottom w:val="none" w:sz="0" w:space="0" w:color="auto"/>
        <w:right w:val="none" w:sz="0" w:space="0" w:color="auto"/>
      </w:divBdr>
    </w:div>
    <w:div w:id="101266755">
      <w:bodyDiv w:val="1"/>
      <w:marLeft w:val="0"/>
      <w:marRight w:val="0"/>
      <w:marTop w:val="0"/>
      <w:marBottom w:val="0"/>
      <w:divBdr>
        <w:top w:val="none" w:sz="0" w:space="0" w:color="auto"/>
        <w:left w:val="none" w:sz="0" w:space="0" w:color="auto"/>
        <w:bottom w:val="none" w:sz="0" w:space="0" w:color="auto"/>
        <w:right w:val="none" w:sz="0" w:space="0" w:color="auto"/>
      </w:divBdr>
    </w:div>
    <w:div w:id="337541610">
      <w:bodyDiv w:val="1"/>
      <w:marLeft w:val="0"/>
      <w:marRight w:val="0"/>
      <w:marTop w:val="0"/>
      <w:marBottom w:val="0"/>
      <w:divBdr>
        <w:top w:val="none" w:sz="0" w:space="0" w:color="auto"/>
        <w:left w:val="none" w:sz="0" w:space="0" w:color="auto"/>
        <w:bottom w:val="none" w:sz="0" w:space="0" w:color="auto"/>
        <w:right w:val="none" w:sz="0" w:space="0" w:color="auto"/>
      </w:divBdr>
    </w:div>
    <w:div w:id="373163828">
      <w:bodyDiv w:val="1"/>
      <w:marLeft w:val="0"/>
      <w:marRight w:val="0"/>
      <w:marTop w:val="0"/>
      <w:marBottom w:val="0"/>
      <w:divBdr>
        <w:top w:val="none" w:sz="0" w:space="0" w:color="auto"/>
        <w:left w:val="none" w:sz="0" w:space="0" w:color="auto"/>
        <w:bottom w:val="none" w:sz="0" w:space="0" w:color="auto"/>
        <w:right w:val="none" w:sz="0" w:space="0" w:color="auto"/>
      </w:divBdr>
    </w:div>
    <w:div w:id="434597437">
      <w:bodyDiv w:val="1"/>
      <w:marLeft w:val="0"/>
      <w:marRight w:val="0"/>
      <w:marTop w:val="0"/>
      <w:marBottom w:val="0"/>
      <w:divBdr>
        <w:top w:val="none" w:sz="0" w:space="0" w:color="auto"/>
        <w:left w:val="none" w:sz="0" w:space="0" w:color="auto"/>
        <w:bottom w:val="none" w:sz="0" w:space="0" w:color="auto"/>
        <w:right w:val="none" w:sz="0" w:space="0" w:color="auto"/>
      </w:divBdr>
    </w:div>
    <w:div w:id="510801966">
      <w:bodyDiv w:val="1"/>
      <w:marLeft w:val="0"/>
      <w:marRight w:val="0"/>
      <w:marTop w:val="0"/>
      <w:marBottom w:val="0"/>
      <w:divBdr>
        <w:top w:val="none" w:sz="0" w:space="0" w:color="auto"/>
        <w:left w:val="none" w:sz="0" w:space="0" w:color="auto"/>
        <w:bottom w:val="none" w:sz="0" w:space="0" w:color="auto"/>
        <w:right w:val="none" w:sz="0" w:space="0" w:color="auto"/>
      </w:divBdr>
    </w:div>
    <w:div w:id="519245346">
      <w:bodyDiv w:val="1"/>
      <w:marLeft w:val="0"/>
      <w:marRight w:val="0"/>
      <w:marTop w:val="0"/>
      <w:marBottom w:val="0"/>
      <w:divBdr>
        <w:top w:val="none" w:sz="0" w:space="0" w:color="auto"/>
        <w:left w:val="none" w:sz="0" w:space="0" w:color="auto"/>
        <w:bottom w:val="none" w:sz="0" w:space="0" w:color="auto"/>
        <w:right w:val="none" w:sz="0" w:space="0" w:color="auto"/>
      </w:divBdr>
    </w:div>
    <w:div w:id="657346373">
      <w:bodyDiv w:val="1"/>
      <w:marLeft w:val="0"/>
      <w:marRight w:val="0"/>
      <w:marTop w:val="0"/>
      <w:marBottom w:val="0"/>
      <w:divBdr>
        <w:top w:val="none" w:sz="0" w:space="0" w:color="auto"/>
        <w:left w:val="none" w:sz="0" w:space="0" w:color="auto"/>
        <w:bottom w:val="none" w:sz="0" w:space="0" w:color="auto"/>
        <w:right w:val="none" w:sz="0" w:space="0" w:color="auto"/>
      </w:divBdr>
    </w:div>
    <w:div w:id="683821963">
      <w:bodyDiv w:val="1"/>
      <w:marLeft w:val="0"/>
      <w:marRight w:val="0"/>
      <w:marTop w:val="0"/>
      <w:marBottom w:val="0"/>
      <w:divBdr>
        <w:top w:val="none" w:sz="0" w:space="0" w:color="auto"/>
        <w:left w:val="none" w:sz="0" w:space="0" w:color="auto"/>
        <w:bottom w:val="none" w:sz="0" w:space="0" w:color="auto"/>
        <w:right w:val="none" w:sz="0" w:space="0" w:color="auto"/>
      </w:divBdr>
    </w:div>
    <w:div w:id="847602595">
      <w:bodyDiv w:val="1"/>
      <w:marLeft w:val="0"/>
      <w:marRight w:val="0"/>
      <w:marTop w:val="0"/>
      <w:marBottom w:val="0"/>
      <w:divBdr>
        <w:top w:val="none" w:sz="0" w:space="0" w:color="auto"/>
        <w:left w:val="none" w:sz="0" w:space="0" w:color="auto"/>
        <w:bottom w:val="none" w:sz="0" w:space="0" w:color="auto"/>
        <w:right w:val="none" w:sz="0" w:space="0" w:color="auto"/>
      </w:divBdr>
    </w:div>
    <w:div w:id="857816439">
      <w:bodyDiv w:val="1"/>
      <w:marLeft w:val="0"/>
      <w:marRight w:val="0"/>
      <w:marTop w:val="0"/>
      <w:marBottom w:val="0"/>
      <w:divBdr>
        <w:top w:val="none" w:sz="0" w:space="0" w:color="auto"/>
        <w:left w:val="none" w:sz="0" w:space="0" w:color="auto"/>
        <w:bottom w:val="none" w:sz="0" w:space="0" w:color="auto"/>
        <w:right w:val="none" w:sz="0" w:space="0" w:color="auto"/>
      </w:divBdr>
    </w:div>
    <w:div w:id="972179193">
      <w:bodyDiv w:val="1"/>
      <w:marLeft w:val="0"/>
      <w:marRight w:val="0"/>
      <w:marTop w:val="0"/>
      <w:marBottom w:val="0"/>
      <w:divBdr>
        <w:top w:val="none" w:sz="0" w:space="0" w:color="auto"/>
        <w:left w:val="none" w:sz="0" w:space="0" w:color="auto"/>
        <w:bottom w:val="none" w:sz="0" w:space="0" w:color="auto"/>
        <w:right w:val="none" w:sz="0" w:space="0" w:color="auto"/>
      </w:divBdr>
    </w:div>
    <w:div w:id="1042906543">
      <w:bodyDiv w:val="1"/>
      <w:marLeft w:val="0"/>
      <w:marRight w:val="0"/>
      <w:marTop w:val="0"/>
      <w:marBottom w:val="0"/>
      <w:divBdr>
        <w:top w:val="none" w:sz="0" w:space="0" w:color="auto"/>
        <w:left w:val="none" w:sz="0" w:space="0" w:color="auto"/>
        <w:bottom w:val="none" w:sz="0" w:space="0" w:color="auto"/>
        <w:right w:val="none" w:sz="0" w:space="0" w:color="auto"/>
      </w:divBdr>
    </w:div>
    <w:div w:id="1061057302">
      <w:bodyDiv w:val="1"/>
      <w:marLeft w:val="0"/>
      <w:marRight w:val="0"/>
      <w:marTop w:val="0"/>
      <w:marBottom w:val="0"/>
      <w:divBdr>
        <w:top w:val="none" w:sz="0" w:space="0" w:color="auto"/>
        <w:left w:val="none" w:sz="0" w:space="0" w:color="auto"/>
        <w:bottom w:val="none" w:sz="0" w:space="0" w:color="auto"/>
        <w:right w:val="none" w:sz="0" w:space="0" w:color="auto"/>
      </w:divBdr>
    </w:div>
    <w:div w:id="1080561385">
      <w:bodyDiv w:val="1"/>
      <w:marLeft w:val="0"/>
      <w:marRight w:val="0"/>
      <w:marTop w:val="0"/>
      <w:marBottom w:val="0"/>
      <w:divBdr>
        <w:top w:val="none" w:sz="0" w:space="0" w:color="auto"/>
        <w:left w:val="none" w:sz="0" w:space="0" w:color="auto"/>
        <w:bottom w:val="none" w:sz="0" w:space="0" w:color="auto"/>
        <w:right w:val="none" w:sz="0" w:space="0" w:color="auto"/>
      </w:divBdr>
    </w:div>
    <w:div w:id="1107231894">
      <w:bodyDiv w:val="1"/>
      <w:marLeft w:val="0"/>
      <w:marRight w:val="0"/>
      <w:marTop w:val="0"/>
      <w:marBottom w:val="0"/>
      <w:divBdr>
        <w:top w:val="none" w:sz="0" w:space="0" w:color="auto"/>
        <w:left w:val="none" w:sz="0" w:space="0" w:color="auto"/>
        <w:bottom w:val="none" w:sz="0" w:space="0" w:color="auto"/>
        <w:right w:val="none" w:sz="0" w:space="0" w:color="auto"/>
      </w:divBdr>
      <w:divsChild>
        <w:div w:id="67508451">
          <w:marLeft w:val="0"/>
          <w:marRight w:val="0"/>
          <w:marTop w:val="0"/>
          <w:marBottom w:val="0"/>
          <w:divBdr>
            <w:top w:val="none" w:sz="0" w:space="0" w:color="auto"/>
            <w:left w:val="none" w:sz="0" w:space="0" w:color="auto"/>
            <w:bottom w:val="none" w:sz="0" w:space="0" w:color="auto"/>
            <w:right w:val="none" w:sz="0" w:space="0" w:color="auto"/>
          </w:divBdr>
          <w:divsChild>
            <w:div w:id="940190109">
              <w:marLeft w:val="0"/>
              <w:marRight w:val="0"/>
              <w:marTop w:val="0"/>
              <w:marBottom w:val="0"/>
              <w:divBdr>
                <w:top w:val="none" w:sz="0" w:space="0" w:color="auto"/>
                <w:left w:val="none" w:sz="0" w:space="0" w:color="auto"/>
                <w:bottom w:val="none" w:sz="0" w:space="0" w:color="auto"/>
                <w:right w:val="none" w:sz="0" w:space="0" w:color="auto"/>
              </w:divBdr>
              <w:divsChild>
                <w:div w:id="980495841">
                  <w:marLeft w:val="0"/>
                  <w:marRight w:val="0"/>
                  <w:marTop w:val="0"/>
                  <w:marBottom w:val="0"/>
                  <w:divBdr>
                    <w:top w:val="none" w:sz="0" w:space="0" w:color="auto"/>
                    <w:left w:val="none" w:sz="0" w:space="0" w:color="auto"/>
                    <w:bottom w:val="none" w:sz="0" w:space="0" w:color="auto"/>
                    <w:right w:val="none" w:sz="0" w:space="0" w:color="auto"/>
                  </w:divBdr>
                  <w:divsChild>
                    <w:div w:id="753357724">
                      <w:marLeft w:val="0"/>
                      <w:marRight w:val="0"/>
                      <w:marTop w:val="0"/>
                      <w:marBottom w:val="0"/>
                      <w:divBdr>
                        <w:top w:val="none" w:sz="0" w:space="0" w:color="auto"/>
                        <w:left w:val="none" w:sz="0" w:space="0" w:color="auto"/>
                        <w:bottom w:val="none" w:sz="0" w:space="0" w:color="auto"/>
                        <w:right w:val="none" w:sz="0" w:space="0" w:color="auto"/>
                      </w:divBdr>
                      <w:divsChild>
                        <w:div w:id="1852336210">
                          <w:marLeft w:val="0"/>
                          <w:marRight w:val="0"/>
                          <w:marTop w:val="0"/>
                          <w:marBottom w:val="0"/>
                          <w:divBdr>
                            <w:top w:val="none" w:sz="0" w:space="0" w:color="auto"/>
                            <w:left w:val="none" w:sz="0" w:space="0" w:color="auto"/>
                            <w:bottom w:val="none" w:sz="0" w:space="0" w:color="auto"/>
                            <w:right w:val="none" w:sz="0" w:space="0" w:color="auto"/>
                          </w:divBdr>
                          <w:divsChild>
                            <w:div w:id="106239517">
                              <w:marLeft w:val="0"/>
                              <w:marRight w:val="0"/>
                              <w:marTop w:val="0"/>
                              <w:marBottom w:val="0"/>
                              <w:divBdr>
                                <w:top w:val="none" w:sz="0" w:space="0" w:color="auto"/>
                                <w:left w:val="none" w:sz="0" w:space="0" w:color="auto"/>
                                <w:bottom w:val="none" w:sz="0" w:space="0" w:color="auto"/>
                                <w:right w:val="none" w:sz="0" w:space="0" w:color="auto"/>
                              </w:divBdr>
                              <w:divsChild>
                                <w:div w:id="1491678332">
                                  <w:marLeft w:val="0"/>
                                  <w:marRight w:val="0"/>
                                  <w:marTop w:val="0"/>
                                  <w:marBottom w:val="0"/>
                                  <w:divBdr>
                                    <w:top w:val="none" w:sz="0" w:space="0" w:color="auto"/>
                                    <w:left w:val="none" w:sz="0" w:space="0" w:color="auto"/>
                                    <w:bottom w:val="none" w:sz="0" w:space="0" w:color="auto"/>
                                    <w:right w:val="none" w:sz="0" w:space="0" w:color="auto"/>
                                  </w:divBdr>
                                  <w:divsChild>
                                    <w:div w:id="639460885">
                                      <w:marLeft w:val="0"/>
                                      <w:marRight w:val="0"/>
                                      <w:marTop w:val="0"/>
                                      <w:marBottom w:val="0"/>
                                      <w:divBdr>
                                        <w:top w:val="none" w:sz="0" w:space="0" w:color="auto"/>
                                        <w:left w:val="none" w:sz="0" w:space="0" w:color="auto"/>
                                        <w:bottom w:val="none" w:sz="0" w:space="0" w:color="auto"/>
                                        <w:right w:val="none" w:sz="0" w:space="0" w:color="auto"/>
                                      </w:divBdr>
                                      <w:divsChild>
                                        <w:div w:id="635112780">
                                          <w:marLeft w:val="0"/>
                                          <w:marRight w:val="0"/>
                                          <w:marTop w:val="0"/>
                                          <w:marBottom w:val="0"/>
                                          <w:divBdr>
                                            <w:top w:val="none" w:sz="0" w:space="0" w:color="auto"/>
                                            <w:left w:val="none" w:sz="0" w:space="0" w:color="auto"/>
                                            <w:bottom w:val="none" w:sz="0" w:space="0" w:color="auto"/>
                                            <w:right w:val="none" w:sz="0" w:space="0" w:color="auto"/>
                                          </w:divBdr>
                                          <w:divsChild>
                                            <w:div w:id="19212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437093">
      <w:bodyDiv w:val="1"/>
      <w:marLeft w:val="0"/>
      <w:marRight w:val="0"/>
      <w:marTop w:val="0"/>
      <w:marBottom w:val="0"/>
      <w:divBdr>
        <w:top w:val="none" w:sz="0" w:space="0" w:color="auto"/>
        <w:left w:val="none" w:sz="0" w:space="0" w:color="auto"/>
        <w:bottom w:val="none" w:sz="0" w:space="0" w:color="auto"/>
        <w:right w:val="none" w:sz="0" w:space="0" w:color="auto"/>
      </w:divBdr>
    </w:div>
    <w:div w:id="1215462465">
      <w:bodyDiv w:val="1"/>
      <w:marLeft w:val="0"/>
      <w:marRight w:val="0"/>
      <w:marTop w:val="0"/>
      <w:marBottom w:val="0"/>
      <w:divBdr>
        <w:top w:val="none" w:sz="0" w:space="0" w:color="auto"/>
        <w:left w:val="none" w:sz="0" w:space="0" w:color="auto"/>
        <w:bottom w:val="none" w:sz="0" w:space="0" w:color="auto"/>
        <w:right w:val="none" w:sz="0" w:space="0" w:color="auto"/>
      </w:divBdr>
    </w:div>
    <w:div w:id="1260601315">
      <w:bodyDiv w:val="1"/>
      <w:marLeft w:val="0"/>
      <w:marRight w:val="0"/>
      <w:marTop w:val="0"/>
      <w:marBottom w:val="0"/>
      <w:divBdr>
        <w:top w:val="none" w:sz="0" w:space="0" w:color="auto"/>
        <w:left w:val="none" w:sz="0" w:space="0" w:color="auto"/>
        <w:bottom w:val="none" w:sz="0" w:space="0" w:color="auto"/>
        <w:right w:val="none" w:sz="0" w:space="0" w:color="auto"/>
      </w:divBdr>
    </w:div>
    <w:div w:id="1314070174">
      <w:bodyDiv w:val="1"/>
      <w:marLeft w:val="0"/>
      <w:marRight w:val="0"/>
      <w:marTop w:val="0"/>
      <w:marBottom w:val="0"/>
      <w:divBdr>
        <w:top w:val="none" w:sz="0" w:space="0" w:color="auto"/>
        <w:left w:val="none" w:sz="0" w:space="0" w:color="auto"/>
        <w:bottom w:val="none" w:sz="0" w:space="0" w:color="auto"/>
        <w:right w:val="none" w:sz="0" w:space="0" w:color="auto"/>
      </w:divBdr>
    </w:div>
    <w:div w:id="1377001068">
      <w:bodyDiv w:val="1"/>
      <w:marLeft w:val="0"/>
      <w:marRight w:val="0"/>
      <w:marTop w:val="0"/>
      <w:marBottom w:val="0"/>
      <w:divBdr>
        <w:top w:val="none" w:sz="0" w:space="0" w:color="auto"/>
        <w:left w:val="none" w:sz="0" w:space="0" w:color="auto"/>
        <w:bottom w:val="none" w:sz="0" w:space="0" w:color="auto"/>
        <w:right w:val="none" w:sz="0" w:space="0" w:color="auto"/>
      </w:divBdr>
    </w:div>
    <w:div w:id="1410537127">
      <w:bodyDiv w:val="1"/>
      <w:marLeft w:val="0"/>
      <w:marRight w:val="0"/>
      <w:marTop w:val="0"/>
      <w:marBottom w:val="0"/>
      <w:divBdr>
        <w:top w:val="none" w:sz="0" w:space="0" w:color="auto"/>
        <w:left w:val="none" w:sz="0" w:space="0" w:color="auto"/>
        <w:bottom w:val="none" w:sz="0" w:space="0" w:color="auto"/>
        <w:right w:val="none" w:sz="0" w:space="0" w:color="auto"/>
      </w:divBdr>
    </w:div>
    <w:div w:id="1454249406">
      <w:bodyDiv w:val="1"/>
      <w:marLeft w:val="0"/>
      <w:marRight w:val="0"/>
      <w:marTop w:val="0"/>
      <w:marBottom w:val="0"/>
      <w:divBdr>
        <w:top w:val="none" w:sz="0" w:space="0" w:color="auto"/>
        <w:left w:val="none" w:sz="0" w:space="0" w:color="auto"/>
        <w:bottom w:val="none" w:sz="0" w:space="0" w:color="auto"/>
        <w:right w:val="none" w:sz="0" w:space="0" w:color="auto"/>
      </w:divBdr>
    </w:div>
    <w:div w:id="1497456998">
      <w:bodyDiv w:val="1"/>
      <w:marLeft w:val="0"/>
      <w:marRight w:val="0"/>
      <w:marTop w:val="0"/>
      <w:marBottom w:val="0"/>
      <w:divBdr>
        <w:top w:val="none" w:sz="0" w:space="0" w:color="auto"/>
        <w:left w:val="none" w:sz="0" w:space="0" w:color="auto"/>
        <w:bottom w:val="none" w:sz="0" w:space="0" w:color="auto"/>
        <w:right w:val="none" w:sz="0" w:space="0" w:color="auto"/>
      </w:divBdr>
    </w:div>
    <w:div w:id="1585842072">
      <w:bodyDiv w:val="1"/>
      <w:marLeft w:val="0"/>
      <w:marRight w:val="0"/>
      <w:marTop w:val="0"/>
      <w:marBottom w:val="0"/>
      <w:divBdr>
        <w:top w:val="none" w:sz="0" w:space="0" w:color="auto"/>
        <w:left w:val="none" w:sz="0" w:space="0" w:color="auto"/>
        <w:bottom w:val="none" w:sz="0" w:space="0" w:color="auto"/>
        <w:right w:val="none" w:sz="0" w:space="0" w:color="auto"/>
      </w:divBdr>
    </w:div>
    <w:div w:id="1603873746">
      <w:bodyDiv w:val="1"/>
      <w:marLeft w:val="0"/>
      <w:marRight w:val="0"/>
      <w:marTop w:val="0"/>
      <w:marBottom w:val="0"/>
      <w:divBdr>
        <w:top w:val="none" w:sz="0" w:space="0" w:color="auto"/>
        <w:left w:val="none" w:sz="0" w:space="0" w:color="auto"/>
        <w:bottom w:val="none" w:sz="0" w:space="0" w:color="auto"/>
        <w:right w:val="none" w:sz="0" w:space="0" w:color="auto"/>
      </w:divBdr>
    </w:div>
    <w:div w:id="1795442070">
      <w:bodyDiv w:val="1"/>
      <w:marLeft w:val="0"/>
      <w:marRight w:val="0"/>
      <w:marTop w:val="0"/>
      <w:marBottom w:val="0"/>
      <w:divBdr>
        <w:top w:val="none" w:sz="0" w:space="0" w:color="auto"/>
        <w:left w:val="none" w:sz="0" w:space="0" w:color="auto"/>
        <w:bottom w:val="none" w:sz="0" w:space="0" w:color="auto"/>
        <w:right w:val="none" w:sz="0" w:space="0" w:color="auto"/>
      </w:divBdr>
    </w:div>
    <w:div w:id="1865826348">
      <w:bodyDiv w:val="1"/>
      <w:marLeft w:val="0"/>
      <w:marRight w:val="0"/>
      <w:marTop w:val="0"/>
      <w:marBottom w:val="0"/>
      <w:divBdr>
        <w:top w:val="none" w:sz="0" w:space="0" w:color="auto"/>
        <w:left w:val="none" w:sz="0" w:space="0" w:color="auto"/>
        <w:bottom w:val="none" w:sz="0" w:space="0" w:color="auto"/>
        <w:right w:val="none" w:sz="0" w:space="0" w:color="auto"/>
      </w:divBdr>
    </w:div>
    <w:div w:id="1871453366">
      <w:bodyDiv w:val="1"/>
      <w:marLeft w:val="0"/>
      <w:marRight w:val="0"/>
      <w:marTop w:val="0"/>
      <w:marBottom w:val="0"/>
      <w:divBdr>
        <w:top w:val="none" w:sz="0" w:space="0" w:color="auto"/>
        <w:left w:val="none" w:sz="0" w:space="0" w:color="auto"/>
        <w:bottom w:val="none" w:sz="0" w:space="0" w:color="auto"/>
        <w:right w:val="none" w:sz="0" w:space="0" w:color="auto"/>
      </w:divBdr>
    </w:div>
    <w:div w:id="1932809862">
      <w:bodyDiv w:val="1"/>
      <w:marLeft w:val="0"/>
      <w:marRight w:val="0"/>
      <w:marTop w:val="0"/>
      <w:marBottom w:val="0"/>
      <w:divBdr>
        <w:top w:val="none" w:sz="0" w:space="0" w:color="auto"/>
        <w:left w:val="none" w:sz="0" w:space="0" w:color="auto"/>
        <w:bottom w:val="none" w:sz="0" w:space="0" w:color="auto"/>
        <w:right w:val="none" w:sz="0" w:space="0" w:color="auto"/>
      </w:divBdr>
      <w:divsChild>
        <w:div w:id="1103839613">
          <w:marLeft w:val="0"/>
          <w:marRight w:val="0"/>
          <w:marTop w:val="0"/>
          <w:marBottom w:val="0"/>
          <w:divBdr>
            <w:top w:val="none" w:sz="0" w:space="0" w:color="auto"/>
            <w:left w:val="none" w:sz="0" w:space="0" w:color="auto"/>
            <w:bottom w:val="none" w:sz="0" w:space="0" w:color="auto"/>
            <w:right w:val="none" w:sz="0" w:space="0" w:color="auto"/>
          </w:divBdr>
        </w:div>
      </w:divsChild>
    </w:div>
    <w:div w:id="2130052585">
      <w:bodyDiv w:val="1"/>
      <w:marLeft w:val="0"/>
      <w:marRight w:val="0"/>
      <w:marTop w:val="0"/>
      <w:marBottom w:val="0"/>
      <w:divBdr>
        <w:top w:val="none" w:sz="0" w:space="0" w:color="auto"/>
        <w:left w:val="none" w:sz="0" w:space="0" w:color="auto"/>
        <w:bottom w:val="none" w:sz="0" w:space="0" w:color="auto"/>
        <w:right w:val="none" w:sz="0" w:space="0" w:color="auto"/>
      </w:divBdr>
    </w:div>
    <w:div w:id="2137943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pilietis.lrv.lt/lt/dalyvauk-priimant-ir-keiciant-sprendimus/isitrauk-i-atviros-vyriausybes-veiklas/ketvirtasis-veiksmu-planas" TargetMode="External"/><Relationship Id="rId13" Type="http://schemas.openxmlformats.org/officeDocument/2006/relationships/hyperlink" Target="mailto:aurelija.olendraite@socmin.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a.kavolyte@finmin.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elija.olendraite@socmin.lt" TargetMode="External"/><Relationship Id="rId5" Type="http://schemas.openxmlformats.org/officeDocument/2006/relationships/webSettings" Target="webSettings.xml"/><Relationship Id="rId15" Type="http://schemas.openxmlformats.org/officeDocument/2006/relationships/hyperlink" Target="mailto:dalia.balezente@tm.lt" TargetMode="External"/><Relationship Id="rId10" Type="http://schemas.openxmlformats.org/officeDocument/2006/relationships/hyperlink" Target="mailto:info@akl.lt" TargetMode="External"/><Relationship Id="rId4" Type="http://schemas.openxmlformats.org/officeDocument/2006/relationships/settings" Target="settings.xml"/><Relationship Id="rId9" Type="http://schemas.openxmlformats.org/officeDocument/2006/relationships/hyperlink" Target="mailto:julius.belickas@ivpk.lt" TargetMode="External"/><Relationship Id="rId14" Type="http://schemas.openxmlformats.org/officeDocument/2006/relationships/hyperlink" Target="mailto:gitana.vaskeliene@lr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0454-4618-4301-AF04-ED3626CB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4893</Words>
  <Characters>28627</Characters>
  <Application>Microsoft Office Word</Application>
  <DocSecurity>0</DocSecurity>
  <Lines>923</Lines>
  <Paragraphs>558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Jolanta Grigienė</cp:lastModifiedBy>
  <cp:revision>3</cp:revision>
  <dcterms:created xsi:type="dcterms:W3CDTF">2019-11-26T09:09:00Z</dcterms:created>
  <dcterms:modified xsi:type="dcterms:W3CDTF">2019-11-26T13:12:00Z</dcterms:modified>
</cp:coreProperties>
</file>