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BE3104" w14:textId="7EE1D5F3" w:rsidR="005B4060" w:rsidRPr="005B4060" w:rsidRDefault="00555288" w:rsidP="00BD44FE">
      <w:pPr>
        <w:pStyle w:val="Heading1"/>
      </w:pPr>
      <w:r>
        <w:t>Aide-mémoire : création de la page d’accueil d’une consultation</w:t>
      </w:r>
    </w:p>
    <w:p w14:paraId="2D7BD190" w14:textId="28B127FA" w:rsidR="00634088" w:rsidRDefault="003404EA" w:rsidP="00BD44FE">
      <w:r>
        <w:t xml:space="preserve">Cet aide-mémoire </w:t>
      </w:r>
      <w:r w:rsidR="005F499E">
        <w:t xml:space="preserve">présente les </w:t>
      </w:r>
      <w:r w:rsidR="008D78A8">
        <w:t xml:space="preserve">principaux </w:t>
      </w:r>
      <w:r w:rsidR="00523A79">
        <w:t xml:space="preserve">contenus </w:t>
      </w:r>
      <w:r w:rsidR="008D78A8">
        <w:t xml:space="preserve">à renseigner pour créer la page d’accueil de votre consultation publique. Pour plus d’informations, vous pouvez vous référer à la </w:t>
      </w:r>
      <w:hyperlink r:id="rId11" w:history="1">
        <w:r w:rsidR="008D78A8" w:rsidRPr="001862D6">
          <w:rPr>
            <w:rStyle w:val="Hyperlink"/>
          </w:rPr>
          <w:t>documentation complète</w:t>
        </w:r>
      </w:hyperlink>
      <w:r w:rsidR="008D78A8">
        <w:t xml:space="preserve"> </w:t>
      </w:r>
      <w:r w:rsidR="001862D6">
        <w:t xml:space="preserve">ou nous contacter </w:t>
      </w:r>
      <w:r w:rsidR="001A0A02">
        <w:t xml:space="preserve">par </w:t>
      </w:r>
      <w:hyperlink r:id="rId12" w:history="1">
        <w:r w:rsidR="001A0A02" w:rsidRPr="001A0A02">
          <w:rPr>
            <w:rStyle w:val="Hyperlink"/>
          </w:rPr>
          <w:t>courriel</w:t>
        </w:r>
      </w:hyperlink>
      <w:r w:rsidR="001A0A02">
        <w:t xml:space="preserve"> ou par </w:t>
      </w:r>
      <w:hyperlink r:id="rId13" w:history="1">
        <w:r w:rsidR="001A0A02" w:rsidRPr="001A0A02">
          <w:rPr>
            <w:rStyle w:val="Hyperlink"/>
          </w:rPr>
          <w:t>Teams</w:t>
        </w:r>
      </w:hyperlink>
      <w:r w:rsidR="001A0A02">
        <w:t>.</w:t>
      </w:r>
    </w:p>
    <w:p w14:paraId="7E613EC1" w14:textId="5CF7E793" w:rsidR="006602B4" w:rsidRPr="00DF44C2" w:rsidRDefault="00555288" w:rsidP="00DF44C2">
      <w:pPr>
        <w:pStyle w:val="Heading2"/>
      </w:pPr>
      <w:r>
        <w:t>Informations générales</w:t>
      </w:r>
    </w:p>
    <w:p w14:paraId="682D8415" w14:textId="1BD05298" w:rsidR="00FD65EC" w:rsidRDefault="0091725B">
      <w:r>
        <w:rPr>
          <w:noProof/>
        </w:rPr>
        <w:drawing>
          <wp:inline distT="0" distB="0" distL="0" distR="0" wp14:anchorId="395A3603" wp14:editId="6112827C">
            <wp:extent cx="5490210" cy="2912110"/>
            <wp:effectExtent l="0" t="0" r="0" b="254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90210" cy="2912110"/>
                    </a:xfrm>
                    <a:prstGeom prst="rect">
                      <a:avLst/>
                    </a:prstGeom>
                    <a:noFill/>
                    <a:ln>
                      <a:noFill/>
                    </a:ln>
                  </pic:spPr>
                </pic:pic>
              </a:graphicData>
            </a:graphic>
          </wp:inline>
        </w:drawing>
      </w:r>
    </w:p>
    <w:p w14:paraId="5B67FD35" w14:textId="04DB3283" w:rsidR="00555288" w:rsidRDefault="00555288">
      <w:r>
        <w:t xml:space="preserve">Inscrire le </w:t>
      </w:r>
      <w:r w:rsidRPr="00555288">
        <w:rPr>
          <w:b/>
          <w:bCs/>
        </w:rPr>
        <w:t>Titre</w:t>
      </w:r>
      <w:r>
        <w:t xml:space="preserve"> et le </w:t>
      </w:r>
      <w:r w:rsidRPr="00555288">
        <w:rPr>
          <w:b/>
          <w:bCs/>
        </w:rPr>
        <w:t>Sous-titre</w:t>
      </w:r>
      <w:r>
        <w:t xml:space="preserve"> de votre consultation. </w:t>
      </w:r>
    </w:p>
    <w:p w14:paraId="7F94A9FD" w14:textId="77777777" w:rsidR="00991A21" w:rsidRDefault="00991A21" w:rsidP="00991A21">
      <w:r>
        <w:t xml:space="preserve">Le </w:t>
      </w:r>
      <w:r w:rsidRPr="00555288">
        <w:rPr>
          <w:b/>
          <w:bCs/>
        </w:rPr>
        <w:t>Rang d’affichage</w:t>
      </w:r>
      <w:r>
        <w:t xml:space="preserve"> permet de déterminer l’ordre d’affichage de cette consultation dans le menu administrateur des consultations.</w:t>
      </w:r>
    </w:p>
    <w:p w14:paraId="63ABD006" w14:textId="5A5121A0" w:rsidR="00555288" w:rsidRDefault="00555288">
      <w:r>
        <w:t>L’</w:t>
      </w:r>
      <w:r w:rsidRPr="00555288">
        <w:rPr>
          <w:b/>
          <w:bCs/>
        </w:rPr>
        <w:t>Identifiant</w:t>
      </w:r>
      <w:r>
        <w:t xml:space="preserve"> permet de compléter l’URL de la page d’accueil de votre consultation. Il doit être unique sur la plateforme</w:t>
      </w:r>
      <w:r w:rsidR="0081626A">
        <w:t>.</w:t>
      </w:r>
    </w:p>
    <w:p w14:paraId="48BCB617" w14:textId="0B4E04E0" w:rsidR="00AE16A1" w:rsidRPr="00555288" w:rsidRDefault="00AE16A1">
      <w:r>
        <w:rPr>
          <w:i/>
          <w:iCs/>
          <w:sz w:val="20"/>
          <w:szCs w:val="20"/>
          <w:u w:val="single"/>
        </w:rPr>
        <w:t>ATTENTION</w:t>
      </w:r>
      <w:r w:rsidRPr="00937588">
        <w:rPr>
          <w:i/>
          <w:iCs/>
          <w:sz w:val="20"/>
          <w:szCs w:val="20"/>
        </w:rPr>
        <w:t> :</w:t>
      </w:r>
      <w:r>
        <w:rPr>
          <w:i/>
          <w:iCs/>
          <w:sz w:val="20"/>
          <w:szCs w:val="20"/>
        </w:rPr>
        <w:t xml:space="preserve"> Assurez</w:t>
      </w:r>
      <w:r w:rsidRPr="004E3F68">
        <w:rPr>
          <w:i/>
          <w:iCs/>
          <w:sz w:val="20"/>
          <w:szCs w:val="20"/>
        </w:rPr>
        <w:t>-vous</w:t>
      </w:r>
      <w:r w:rsidRPr="00CB1699">
        <w:rPr>
          <w:i/>
          <w:iCs/>
          <w:sz w:val="20"/>
          <w:szCs w:val="20"/>
        </w:rPr>
        <w:t xml:space="preserve"> d</w:t>
      </w:r>
      <w:r>
        <w:rPr>
          <w:i/>
          <w:iCs/>
          <w:sz w:val="20"/>
          <w:szCs w:val="20"/>
        </w:rPr>
        <w:t>e choisi</w:t>
      </w:r>
      <w:r w:rsidR="00DD5B19">
        <w:rPr>
          <w:i/>
          <w:iCs/>
          <w:sz w:val="20"/>
          <w:szCs w:val="20"/>
        </w:rPr>
        <w:t>r</w:t>
      </w:r>
      <w:r>
        <w:rPr>
          <w:i/>
          <w:iCs/>
          <w:sz w:val="20"/>
          <w:szCs w:val="20"/>
        </w:rPr>
        <w:t xml:space="preserve"> un identifiant facile à partager et à saisir. </w:t>
      </w:r>
      <w:r w:rsidR="007A0CB8">
        <w:rPr>
          <w:i/>
          <w:iCs/>
          <w:sz w:val="20"/>
          <w:szCs w:val="20"/>
        </w:rPr>
        <w:t xml:space="preserve">Il </w:t>
      </w:r>
      <w:r w:rsidR="00914DDF">
        <w:rPr>
          <w:i/>
          <w:iCs/>
          <w:sz w:val="20"/>
          <w:szCs w:val="20"/>
        </w:rPr>
        <w:t>n’est pas recommandé de</w:t>
      </w:r>
      <w:r>
        <w:rPr>
          <w:i/>
          <w:iCs/>
          <w:sz w:val="20"/>
          <w:szCs w:val="20"/>
        </w:rPr>
        <w:t xml:space="preserve"> change</w:t>
      </w:r>
      <w:r w:rsidR="00914DDF">
        <w:rPr>
          <w:i/>
          <w:iCs/>
          <w:sz w:val="20"/>
          <w:szCs w:val="20"/>
        </w:rPr>
        <w:t>r</w:t>
      </w:r>
      <w:r>
        <w:rPr>
          <w:i/>
          <w:iCs/>
          <w:sz w:val="20"/>
          <w:szCs w:val="20"/>
        </w:rPr>
        <w:t xml:space="preserve"> votre identifiant après avoir publié votre consultation publique.</w:t>
      </w:r>
    </w:p>
    <w:p w14:paraId="6C7668CB" w14:textId="4EAAD723" w:rsidR="00555288" w:rsidRDefault="00555288">
      <w:r>
        <w:t xml:space="preserve">Le </w:t>
      </w:r>
      <w:r w:rsidRPr="00555288">
        <w:rPr>
          <w:b/>
          <w:bCs/>
        </w:rPr>
        <w:t>Hashtag</w:t>
      </w:r>
      <w:r>
        <w:t xml:space="preserve"> permet de faire un lien </w:t>
      </w:r>
      <w:r w:rsidR="004C778A">
        <w:t>vers</w:t>
      </w:r>
      <w:r>
        <w:t xml:space="preserve"> Twitter.</w:t>
      </w:r>
    </w:p>
    <w:p w14:paraId="59657D46" w14:textId="4247B2D7" w:rsidR="009D10E0" w:rsidRPr="00CB1699" w:rsidRDefault="009D10E0" w:rsidP="009D10E0">
      <w:pPr>
        <w:pStyle w:val="Paragraphedeliste1"/>
        <w:ind w:left="0"/>
        <w:rPr>
          <w:i/>
          <w:iCs/>
          <w:sz w:val="20"/>
          <w:szCs w:val="20"/>
        </w:rPr>
      </w:pPr>
      <w:r w:rsidRPr="00C16165">
        <w:rPr>
          <w:b/>
          <w:bCs/>
          <w:i/>
          <w:iCs/>
          <w:sz w:val="20"/>
          <w:szCs w:val="20"/>
        </w:rPr>
        <w:t>Astuce</w:t>
      </w:r>
      <w:r w:rsidRPr="00937588">
        <w:rPr>
          <w:i/>
          <w:iCs/>
          <w:sz w:val="20"/>
          <w:szCs w:val="20"/>
        </w:rPr>
        <w:t> :</w:t>
      </w:r>
      <w:r>
        <w:rPr>
          <w:i/>
          <w:iCs/>
          <w:sz w:val="20"/>
          <w:szCs w:val="20"/>
        </w:rPr>
        <w:t xml:space="preserve"> </w:t>
      </w:r>
      <w:r w:rsidRPr="00C16165">
        <w:rPr>
          <w:i/>
          <w:iCs/>
          <w:sz w:val="20"/>
          <w:szCs w:val="20"/>
        </w:rPr>
        <w:t>L</w:t>
      </w:r>
      <w:r>
        <w:rPr>
          <w:i/>
          <w:iCs/>
          <w:sz w:val="20"/>
          <w:szCs w:val="20"/>
        </w:rPr>
        <w:t xml:space="preserve">e </w:t>
      </w:r>
      <w:r w:rsidRPr="00C16165">
        <w:rPr>
          <w:i/>
          <w:iCs/>
          <w:sz w:val="20"/>
          <w:szCs w:val="20"/>
        </w:rPr>
        <w:t>hashtag est un mot-clé précédé du symbole # utilis</w:t>
      </w:r>
      <w:r w:rsidR="00210311">
        <w:rPr>
          <w:i/>
          <w:iCs/>
          <w:sz w:val="20"/>
          <w:szCs w:val="20"/>
        </w:rPr>
        <w:t xml:space="preserve">é </w:t>
      </w:r>
      <w:r w:rsidRPr="00C16165">
        <w:rPr>
          <w:i/>
          <w:iCs/>
          <w:sz w:val="20"/>
          <w:szCs w:val="20"/>
        </w:rPr>
        <w:t>sur les réseaux sociaux</w:t>
      </w:r>
      <w:r>
        <w:rPr>
          <w:i/>
          <w:iCs/>
          <w:sz w:val="20"/>
          <w:szCs w:val="20"/>
        </w:rPr>
        <w:t xml:space="preserve"> pour</w:t>
      </w:r>
      <w:r w:rsidRPr="00C16165">
        <w:rPr>
          <w:i/>
          <w:iCs/>
          <w:sz w:val="20"/>
          <w:szCs w:val="20"/>
        </w:rPr>
        <w:t xml:space="preserve"> contribuer à créer un engagement plus fort et mieux ciblé.</w:t>
      </w:r>
      <w:r>
        <w:rPr>
          <w:i/>
          <w:iCs/>
          <w:sz w:val="20"/>
          <w:szCs w:val="20"/>
        </w:rPr>
        <w:t xml:space="preserve"> </w:t>
      </w:r>
      <w:r w:rsidRPr="00C16165">
        <w:rPr>
          <w:i/>
          <w:iCs/>
          <w:sz w:val="20"/>
          <w:szCs w:val="20"/>
        </w:rPr>
        <w:t xml:space="preserve">Comme une étiquette, </w:t>
      </w:r>
      <w:r>
        <w:rPr>
          <w:i/>
          <w:iCs/>
          <w:sz w:val="20"/>
          <w:szCs w:val="20"/>
        </w:rPr>
        <w:t xml:space="preserve">il </w:t>
      </w:r>
      <w:r w:rsidRPr="00C16165">
        <w:rPr>
          <w:i/>
          <w:iCs/>
          <w:sz w:val="20"/>
          <w:szCs w:val="20"/>
        </w:rPr>
        <w:t xml:space="preserve">permet de retrouver des </w:t>
      </w:r>
      <w:r w:rsidR="006C00AE">
        <w:rPr>
          <w:i/>
          <w:iCs/>
          <w:sz w:val="20"/>
          <w:szCs w:val="20"/>
        </w:rPr>
        <w:t>publications</w:t>
      </w:r>
      <w:r>
        <w:rPr>
          <w:i/>
          <w:iCs/>
          <w:sz w:val="20"/>
          <w:szCs w:val="20"/>
        </w:rPr>
        <w:t xml:space="preserve">. </w:t>
      </w:r>
      <w:r w:rsidRPr="00C16165">
        <w:rPr>
          <w:i/>
          <w:iCs/>
          <w:sz w:val="20"/>
          <w:szCs w:val="20"/>
        </w:rPr>
        <w:t>Attention à ne pas vous perdre dans les hashtags. Plus vous restez spécifique, plus vous avez de chances de rencontrer le bon public</w:t>
      </w:r>
      <w:r>
        <w:rPr>
          <w:i/>
          <w:iCs/>
          <w:sz w:val="20"/>
          <w:szCs w:val="20"/>
        </w:rPr>
        <w:t>.</w:t>
      </w:r>
    </w:p>
    <w:p w14:paraId="448C6758" w14:textId="77777777" w:rsidR="009D10E0" w:rsidRDefault="009D10E0"/>
    <w:p w14:paraId="3E50F55A" w14:textId="13F36CAE" w:rsidR="00E52A01" w:rsidRDefault="00E52A01">
      <w:r>
        <w:rPr>
          <w:noProof/>
        </w:rPr>
        <w:drawing>
          <wp:inline distT="0" distB="0" distL="0" distR="0" wp14:anchorId="25FE9806" wp14:editId="6F375F79">
            <wp:extent cx="5105840" cy="6466452"/>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21601" cy="6486413"/>
                    </a:xfrm>
                    <a:prstGeom prst="rect">
                      <a:avLst/>
                    </a:prstGeom>
                    <a:noFill/>
                    <a:ln>
                      <a:noFill/>
                    </a:ln>
                  </pic:spPr>
                </pic:pic>
              </a:graphicData>
            </a:graphic>
          </wp:inline>
        </w:drawing>
      </w:r>
    </w:p>
    <w:p w14:paraId="1A549BCC" w14:textId="547D92F7" w:rsidR="00555288" w:rsidRDefault="00555288">
      <w:r>
        <w:t xml:space="preserve">Le </w:t>
      </w:r>
      <w:r w:rsidRPr="004C778A">
        <w:rPr>
          <w:b/>
          <w:bCs/>
        </w:rPr>
        <w:t>Résumé</w:t>
      </w:r>
      <w:r>
        <w:t xml:space="preserve"> est un</w:t>
      </w:r>
      <w:r w:rsidRPr="00555288">
        <w:t xml:space="preserve"> court résumé de votre co</w:t>
      </w:r>
      <w:r>
        <w:t>n</w:t>
      </w:r>
      <w:r w:rsidRPr="00555288">
        <w:t xml:space="preserve">sultation (2 à 3 lignes). Le résumé sera le premier paragraphe sur la page d’accueil de votre consultation et sera affiché pour annoncer votre consultation sur la </w:t>
      </w:r>
      <w:r w:rsidR="004C778A">
        <w:t xml:space="preserve">page </w:t>
      </w:r>
      <w:hyperlink r:id="rId16" w:history="1">
        <w:r w:rsidR="004C778A" w:rsidRPr="004C778A">
          <w:rPr>
            <w:rStyle w:val="Hyperlink"/>
          </w:rPr>
          <w:t>Consultations</w:t>
        </w:r>
      </w:hyperlink>
      <w:r w:rsidR="004C778A">
        <w:t xml:space="preserve"> de la </w:t>
      </w:r>
      <w:r w:rsidRPr="00555288">
        <w:t>plateforme.</w:t>
      </w:r>
    </w:p>
    <w:p w14:paraId="51D282B2" w14:textId="62772DF2" w:rsidR="004C778A" w:rsidRDefault="004C778A">
      <w:r>
        <w:t xml:space="preserve">La </w:t>
      </w:r>
      <w:r w:rsidRPr="004C778A">
        <w:rPr>
          <w:b/>
          <w:bCs/>
        </w:rPr>
        <w:t>Description</w:t>
      </w:r>
      <w:r>
        <w:t xml:space="preserve"> </w:t>
      </w:r>
      <w:r w:rsidRPr="004C778A">
        <w:t>contiendra la majorité du contenu de votre page d’accueil</w:t>
      </w:r>
      <w:r>
        <w:t>. Vous pouvez utiliser les options de mise en page pour formater le texte. Pour respecter les normes d’accessibilité Web, assurez-vous de respecter la hiérarchie des formats de titre et d’utiliser les formats de liste à puces et de listes numérotés s’il y a lieu.</w:t>
      </w:r>
    </w:p>
    <w:p w14:paraId="112A75B5" w14:textId="023BA951" w:rsidR="004C778A" w:rsidRDefault="004C778A">
      <w:r>
        <w:t>L’</w:t>
      </w:r>
      <w:r w:rsidRPr="004C778A">
        <w:rPr>
          <w:b/>
          <w:bCs/>
        </w:rPr>
        <w:t>Annonce</w:t>
      </w:r>
      <w:r w:rsidRPr="00FD65EC">
        <w:t>,</w:t>
      </w:r>
      <w:r>
        <w:t xml:space="preserve"> lors</w:t>
      </w:r>
      <w:r w:rsidR="00FD65EC">
        <w:t xml:space="preserve">qu’elle est utilisée, </w:t>
      </w:r>
      <w:r w:rsidRPr="004C778A">
        <w:t xml:space="preserve">sera toujours affichée en haut de la page, dans un encadré bleu. Elle </w:t>
      </w:r>
      <w:r>
        <w:t>peut être</w:t>
      </w:r>
      <w:r w:rsidRPr="004C778A">
        <w:t xml:space="preserve"> utile </w:t>
      </w:r>
      <w:r>
        <w:t>lorsque</w:t>
      </w:r>
      <w:r w:rsidRPr="004C778A">
        <w:t xml:space="preserve"> vous avez une nouveauté à </w:t>
      </w:r>
      <w:r>
        <w:t>annoncer</w:t>
      </w:r>
      <w:r w:rsidRPr="004C778A">
        <w:t xml:space="preserve"> en cours de consultation</w:t>
      </w:r>
      <w:r>
        <w:t>, par exemple</w:t>
      </w:r>
      <w:r w:rsidRPr="004C778A">
        <w:t xml:space="preserve"> une nouvelle étape</w:t>
      </w:r>
      <w:r>
        <w:t xml:space="preserve"> qui</w:t>
      </w:r>
      <w:r w:rsidRPr="004C778A">
        <w:t xml:space="preserve"> commence</w:t>
      </w:r>
      <w:r>
        <w:t xml:space="preserve"> ou la publication d’un rapport.</w:t>
      </w:r>
    </w:p>
    <w:p w14:paraId="7D877E4A" w14:textId="77777777" w:rsidR="005609CD" w:rsidRDefault="005609CD"/>
    <w:p w14:paraId="0282A188" w14:textId="010D33AB" w:rsidR="00610A80" w:rsidRDefault="00DE1BB4" w:rsidP="00DE1BB4">
      <w:pPr>
        <w:pStyle w:val="Heading2"/>
      </w:pPr>
      <w:r>
        <w:t>Durée de la consultation</w:t>
      </w:r>
    </w:p>
    <w:p w14:paraId="3883DC50" w14:textId="71BAD4DE" w:rsidR="00DE1BB4" w:rsidRDefault="00785457" w:rsidP="00DE1BB4">
      <w:r>
        <w:rPr>
          <w:noProof/>
        </w:rPr>
        <w:drawing>
          <wp:inline distT="0" distB="0" distL="0" distR="0" wp14:anchorId="496B85CB" wp14:editId="438E4913">
            <wp:extent cx="5490210" cy="1412875"/>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90210" cy="1412875"/>
                    </a:xfrm>
                    <a:prstGeom prst="rect">
                      <a:avLst/>
                    </a:prstGeom>
                    <a:noFill/>
                    <a:ln>
                      <a:noFill/>
                    </a:ln>
                  </pic:spPr>
                </pic:pic>
              </a:graphicData>
            </a:graphic>
          </wp:inline>
        </w:drawing>
      </w:r>
    </w:p>
    <w:p w14:paraId="7766928E" w14:textId="5560AF1A" w:rsidR="00B91732" w:rsidRDefault="00DB3B1C" w:rsidP="00DE1BB4">
      <w:r>
        <w:t xml:space="preserve">Inscrire la </w:t>
      </w:r>
      <w:r w:rsidRPr="00C92975">
        <w:rPr>
          <w:b/>
          <w:bCs/>
        </w:rPr>
        <w:t>Date de début</w:t>
      </w:r>
      <w:r>
        <w:t xml:space="preserve"> et la </w:t>
      </w:r>
      <w:r w:rsidRPr="00C92975">
        <w:rPr>
          <w:b/>
          <w:bCs/>
        </w:rPr>
        <w:t>Date de fin</w:t>
      </w:r>
      <w:r>
        <w:t xml:space="preserve"> de la consultation</w:t>
      </w:r>
      <w:r w:rsidR="00C92975">
        <w:t xml:space="preserve">. Ces dates </w:t>
      </w:r>
      <w:r w:rsidR="00952350">
        <w:t>permettront</w:t>
      </w:r>
      <w:r w:rsidR="00C92975">
        <w:t xml:space="preserve"> d’afficher la consultation parmi les consul</w:t>
      </w:r>
      <w:r w:rsidR="0001705E">
        <w:t>tation</w:t>
      </w:r>
      <w:r w:rsidR="00952350">
        <w:t>s</w:t>
      </w:r>
      <w:r w:rsidR="0001705E">
        <w:t xml:space="preserve"> à venir, actives ou passées.</w:t>
      </w:r>
      <w:r w:rsidR="00952350">
        <w:t xml:space="preserve"> Il est possible qu’une consultation n’ait pas de date de fin si celle-ci</w:t>
      </w:r>
      <w:r w:rsidR="004042EC">
        <w:t xml:space="preserve"> demeurera ouverte en continue.</w:t>
      </w:r>
    </w:p>
    <w:p w14:paraId="03C938DA" w14:textId="0FAB306D" w:rsidR="00B87BDB" w:rsidRDefault="00B87BDB" w:rsidP="00B87BDB">
      <w:pPr>
        <w:pStyle w:val="Heading2"/>
      </w:pPr>
      <w:r>
        <w:t>Images</w:t>
      </w:r>
    </w:p>
    <w:p w14:paraId="430FC7FB" w14:textId="2ED583DA" w:rsidR="00B87BDB" w:rsidRDefault="00737491" w:rsidP="00DE1BB4">
      <w:r>
        <w:rPr>
          <w:noProof/>
        </w:rPr>
        <w:drawing>
          <wp:inline distT="0" distB="0" distL="0" distR="0" wp14:anchorId="488DB01A" wp14:editId="01B6B2A1">
            <wp:extent cx="5490210" cy="2346325"/>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90210" cy="2346325"/>
                    </a:xfrm>
                    <a:prstGeom prst="rect">
                      <a:avLst/>
                    </a:prstGeom>
                    <a:noFill/>
                    <a:ln>
                      <a:noFill/>
                    </a:ln>
                  </pic:spPr>
                </pic:pic>
              </a:graphicData>
            </a:graphic>
          </wp:inline>
        </w:drawing>
      </w:r>
    </w:p>
    <w:p w14:paraId="77D711DB" w14:textId="3CC833F1" w:rsidR="00737491" w:rsidRDefault="004D3A00" w:rsidP="00DE1BB4">
      <w:r>
        <w:t>L’</w:t>
      </w:r>
      <w:r w:rsidRPr="00397EAC">
        <w:rPr>
          <w:b/>
          <w:bCs/>
        </w:rPr>
        <w:t>Image de la page d’accueil</w:t>
      </w:r>
      <w:r>
        <w:t xml:space="preserve"> permet d’annoncer votre consultation sur la page d’accueil </w:t>
      </w:r>
      <w:r w:rsidR="00397EAC">
        <w:t xml:space="preserve">et </w:t>
      </w:r>
      <w:r w:rsidRPr="00555288">
        <w:t xml:space="preserve">la </w:t>
      </w:r>
      <w:r>
        <w:t xml:space="preserve">page </w:t>
      </w:r>
      <w:hyperlink r:id="rId19" w:history="1">
        <w:r w:rsidRPr="004C778A">
          <w:rPr>
            <w:rStyle w:val="Hyperlink"/>
          </w:rPr>
          <w:t>Consultations</w:t>
        </w:r>
      </w:hyperlink>
      <w:r>
        <w:t xml:space="preserve"> de la </w:t>
      </w:r>
      <w:r w:rsidRPr="00555288">
        <w:t>plateforme</w:t>
      </w:r>
      <w:r w:rsidR="00397EAC">
        <w:t>.</w:t>
      </w:r>
    </w:p>
    <w:p w14:paraId="1F293EBF" w14:textId="3FEE2AAB" w:rsidR="002745EA" w:rsidRDefault="002745EA" w:rsidP="00DE1BB4">
      <w:r w:rsidRPr="0035259C">
        <w:rPr>
          <w:noProof/>
        </w:rPr>
        <w:drawing>
          <wp:inline distT="0" distB="0" distL="0" distR="0" wp14:anchorId="0C58F065" wp14:editId="286A59C3">
            <wp:extent cx="5490210" cy="1330325"/>
            <wp:effectExtent l="0" t="0" r="0" b="317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90210" cy="1330325"/>
                    </a:xfrm>
                    <a:prstGeom prst="rect">
                      <a:avLst/>
                    </a:prstGeom>
                    <a:noFill/>
                    <a:ln>
                      <a:noFill/>
                    </a:ln>
                  </pic:spPr>
                </pic:pic>
              </a:graphicData>
            </a:graphic>
          </wp:inline>
        </w:drawing>
      </w:r>
    </w:p>
    <w:p w14:paraId="5C9B638A" w14:textId="4A4215AA" w:rsidR="002745EA" w:rsidRDefault="00397EAC" w:rsidP="00DE1BB4">
      <w:r w:rsidRPr="00566871">
        <w:t>L’</w:t>
      </w:r>
      <w:r w:rsidRPr="00597074">
        <w:rPr>
          <w:b/>
          <w:bCs/>
        </w:rPr>
        <w:t xml:space="preserve">Image d’en </w:t>
      </w:r>
      <w:r w:rsidR="00597074" w:rsidRPr="00597074">
        <w:rPr>
          <w:b/>
          <w:bCs/>
        </w:rPr>
        <w:t>tête</w:t>
      </w:r>
      <w:r w:rsidR="00597074">
        <w:t xml:space="preserve"> permet de personnaliser le bandeau des pages de votre consultation.</w:t>
      </w:r>
    </w:p>
    <w:p w14:paraId="08C46D3F" w14:textId="68F30092" w:rsidR="00A77F50" w:rsidRDefault="00A77F50" w:rsidP="00A77F50">
      <w:r w:rsidRPr="00A77F50">
        <w:t>La taille</w:t>
      </w:r>
      <w:r w:rsidR="007C405C">
        <w:t xml:space="preserve"> d’affichage</w:t>
      </w:r>
      <w:r w:rsidRPr="00A77F50">
        <w:t xml:space="preserve"> des images varie en fonction de la taille de l'affichage et de la résolution. Vous pouvez utiliser des images avec une plus grande résolution que la taille d'affichage réelle mais en conservant le ratio optimal.</w:t>
      </w:r>
      <w:r w:rsidR="00BD0DEA" w:rsidRPr="00BD0DEA">
        <w:t xml:space="preserve"> </w:t>
      </w:r>
      <w:r w:rsidR="00BD0DEA" w:rsidRPr="00A77F50">
        <w:t>Il est préférable d'utiliser des images qui ne contiennent pas de texte ou de logos.</w:t>
      </w:r>
    </w:p>
    <w:p w14:paraId="6C6070C2" w14:textId="594E1F55" w:rsidR="002745EA" w:rsidRPr="00A77F50" w:rsidRDefault="001D22E2" w:rsidP="00A77F50">
      <w:r>
        <w:rPr>
          <w:noProof/>
        </w:rPr>
        <w:drawing>
          <wp:inline distT="0" distB="0" distL="0" distR="0" wp14:anchorId="5E08ABCA" wp14:editId="46479E71">
            <wp:extent cx="5490210" cy="1771015"/>
            <wp:effectExtent l="0" t="0" r="0" b="63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90210" cy="1771015"/>
                    </a:xfrm>
                    <a:prstGeom prst="rect">
                      <a:avLst/>
                    </a:prstGeom>
                    <a:noFill/>
                  </pic:spPr>
                </pic:pic>
              </a:graphicData>
            </a:graphic>
          </wp:inline>
        </w:drawing>
      </w:r>
    </w:p>
    <w:p w14:paraId="729FB890" w14:textId="598913EB" w:rsidR="00A77F50" w:rsidRPr="00A77F50" w:rsidRDefault="00A77F50" w:rsidP="00A77F50">
      <w:r w:rsidRPr="00A77F50">
        <w:t>La taille des images ne doit pas dépasser 10 Mo</w:t>
      </w:r>
      <w:r w:rsidR="00AD5B20">
        <w:t xml:space="preserve"> et </w:t>
      </w:r>
      <w:r w:rsidR="009A4769">
        <w:t xml:space="preserve">l’image </w:t>
      </w:r>
      <w:r w:rsidR="00F41D65">
        <w:t>ne doit pas dépa</w:t>
      </w:r>
      <w:r w:rsidR="009A4769">
        <w:t>sser</w:t>
      </w:r>
      <w:r w:rsidR="00AD5B20">
        <w:t xml:space="preserve"> 3000 pixels</w:t>
      </w:r>
      <w:r w:rsidR="009A4769">
        <w:t xml:space="preserve"> en largeur ou en hauteur</w:t>
      </w:r>
      <w:r w:rsidR="00AD5B20">
        <w:t>.</w:t>
      </w:r>
    </w:p>
    <w:p w14:paraId="7BD54941" w14:textId="77777777" w:rsidR="00A77F50" w:rsidRDefault="00A77F50" w:rsidP="00A77F50">
      <w:pPr>
        <w:rPr>
          <w:rStyle w:val="Hyperlink"/>
        </w:rPr>
      </w:pPr>
      <w:r w:rsidRPr="00A77F50">
        <w:t xml:space="preserve">Format d'affichage des images :  </w:t>
      </w:r>
      <w:hyperlink r:id="rId22" w:history="1">
        <w:r w:rsidRPr="00A77F50">
          <w:rPr>
            <w:rStyle w:val="Hyperlink"/>
          </w:rPr>
          <w:t>https://docs-decidim.opensourcepolitics.eu/article/82-images-et-logos</w:t>
        </w:r>
      </w:hyperlink>
    </w:p>
    <w:p w14:paraId="69F7471F" w14:textId="7A543346" w:rsidR="00566871" w:rsidRDefault="0004049B" w:rsidP="0004049B">
      <w:pPr>
        <w:pStyle w:val="Heading2"/>
      </w:pPr>
      <w:r>
        <w:t>Métadonnées</w:t>
      </w:r>
    </w:p>
    <w:p w14:paraId="319FB0F1" w14:textId="14CFE919" w:rsidR="0004049B" w:rsidRDefault="001F13C2" w:rsidP="0004049B">
      <w:r>
        <w:rPr>
          <w:noProof/>
        </w:rPr>
        <w:drawing>
          <wp:inline distT="0" distB="0" distL="0" distR="0" wp14:anchorId="31AE18E7" wp14:editId="698A6729">
            <wp:extent cx="5490210" cy="3081655"/>
            <wp:effectExtent l="0" t="0" r="0" b="444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90210" cy="3081655"/>
                    </a:xfrm>
                    <a:prstGeom prst="rect">
                      <a:avLst/>
                    </a:prstGeom>
                    <a:noFill/>
                    <a:ln>
                      <a:noFill/>
                    </a:ln>
                  </pic:spPr>
                </pic:pic>
              </a:graphicData>
            </a:graphic>
          </wp:inline>
        </w:drawing>
      </w:r>
    </w:p>
    <w:p w14:paraId="2C220D4D" w14:textId="532F839D" w:rsidR="001F13C2" w:rsidRDefault="009C6711" w:rsidP="0004049B">
      <w:r>
        <w:t>Les métadonnées seront affichées dans l</w:t>
      </w:r>
      <w:r w:rsidR="002579BA">
        <w:t>a colonne droite</w:t>
      </w:r>
      <w:r>
        <w:t xml:space="preserve"> de la page d’accueil</w:t>
      </w:r>
      <w:r w:rsidR="002579BA">
        <w:t xml:space="preserve"> de la consultation</w:t>
      </w:r>
      <w:r>
        <w:t xml:space="preserve"> et permettent aux participants d’avoir un résumé </w:t>
      </w:r>
      <w:r w:rsidR="002579BA">
        <w:t xml:space="preserve">des informations </w:t>
      </w:r>
      <w:r>
        <w:t>important</w:t>
      </w:r>
      <w:r w:rsidR="002579BA">
        <w:t>es.</w:t>
      </w:r>
    </w:p>
    <w:p w14:paraId="22773B6D" w14:textId="2A356423" w:rsidR="002579BA" w:rsidRDefault="00797405" w:rsidP="0004049B">
      <w:r w:rsidRPr="00797405">
        <w:t>Ins</w:t>
      </w:r>
      <w:r w:rsidR="00381DC4">
        <w:t>crire</w:t>
      </w:r>
      <w:r w:rsidRPr="00797405">
        <w:t xml:space="preserve"> le nom de l’organisme public responsable</w:t>
      </w:r>
      <w:r w:rsidR="00381DC4">
        <w:t xml:space="preserve"> dans le champ </w:t>
      </w:r>
      <w:r w:rsidR="00381DC4" w:rsidRPr="00381DC4">
        <w:rPr>
          <w:b/>
          <w:bCs/>
        </w:rPr>
        <w:t>Organisateur</w:t>
      </w:r>
      <w:r w:rsidRPr="00797405">
        <w:t xml:space="preserve">. Les champs </w:t>
      </w:r>
      <w:r w:rsidR="00381DC4" w:rsidRPr="00232AE3">
        <w:rPr>
          <w:b/>
          <w:bCs/>
        </w:rPr>
        <w:t>Espaces d’organisation</w:t>
      </w:r>
      <w:r w:rsidRPr="00797405">
        <w:t>,</w:t>
      </w:r>
      <w:r w:rsidR="00381DC4">
        <w:t xml:space="preserve"> </w:t>
      </w:r>
      <w:r w:rsidR="00381DC4" w:rsidRPr="00232AE3">
        <w:rPr>
          <w:b/>
          <w:bCs/>
        </w:rPr>
        <w:t>Échelle</w:t>
      </w:r>
      <w:r w:rsidRPr="00797405">
        <w:t xml:space="preserve"> et </w:t>
      </w:r>
      <w:r w:rsidR="00381DC4" w:rsidRPr="00232AE3">
        <w:rPr>
          <w:b/>
          <w:bCs/>
        </w:rPr>
        <w:t>M</w:t>
      </w:r>
      <w:r w:rsidRPr="00232AE3">
        <w:rPr>
          <w:b/>
          <w:bCs/>
        </w:rPr>
        <w:t>odalités de décision</w:t>
      </w:r>
      <w:r w:rsidRPr="00797405">
        <w:t xml:space="preserve">  sont généralement ignorés. Les champs </w:t>
      </w:r>
      <w:r w:rsidRPr="001D0E9C">
        <w:rPr>
          <w:b/>
          <w:bCs/>
        </w:rPr>
        <w:t>P</w:t>
      </w:r>
      <w:r w:rsidR="00DF73FF" w:rsidRPr="001D0E9C">
        <w:rPr>
          <w:b/>
          <w:bCs/>
        </w:rPr>
        <w:t>articipants</w:t>
      </w:r>
      <w:r w:rsidRPr="00797405">
        <w:t xml:space="preserve"> et </w:t>
      </w:r>
      <w:r w:rsidRPr="001D0E9C">
        <w:rPr>
          <w:b/>
          <w:bCs/>
        </w:rPr>
        <w:t>Objectif</w:t>
      </w:r>
      <w:r w:rsidR="00DF73FF" w:rsidRPr="001D0E9C">
        <w:rPr>
          <w:b/>
          <w:bCs/>
        </w:rPr>
        <w:t>s</w:t>
      </w:r>
      <w:r w:rsidRPr="00797405">
        <w:t xml:space="preserve"> peuvent être </w:t>
      </w:r>
      <w:r w:rsidR="00591D10">
        <w:t>utilisés</w:t>
      </w:r>
      <w:r w:rsidRPr="00797405">
        <w:t xml:space="preserve"> s’il y a lieu</w:t>
      </w:r>
      <w:r w:rsidR="00591D10">
        <w:t xml:space="preserve"> en y inscrivant </w:t>
      </w:r>
      <w:r w:rsidR="003E1A52">
        <w:t>le public visé et un court résumé de l’objet de la co</w:t>
      </w:r>
      <w:r w:rsidR="00F657DB">
        <w:t>n</w:t>
      </w:r>
      <w:r w:rsidR="003E1A52">
        <w:t>sultation</w:t>
      </w:r>
      <w:r w:rsidR="001D0E9C">
        <w:t>.</w:t>
      </w:r>
    </w:p>
    <w:p w14:paraId="37BA2B07" w14:textId="1173BDEB" w:rsidR="00A042C8" w:rsidRDefault="00C541D3" w:rsidP="007B1D58">
      <w:pPr>
        <w:pStyle w:val="Heading2"/>
      </w:pPr>
      <w:r>
        <w:t>Filtres (optionnel)</w:t>
      </w:r>
    </w:p>
    <w:p w14:paraId="41A2BE8A" w14:textId="769CFC97" w:rsidR="00C541D3" w:rsidRDefault="007B1D58" w:rsidP="0004049B">
      <w:r>
        <w:rPr>
          <w:noProof/>
        </w:rPr>
        <w:drawing>
          <wp:inline distT="0" distB="0" distL="0" distR="0" wp14:anchorId="7F931C1F" wp14:editId="2791B9A5">
            <wp:extent cx="5490210" cy="225107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90210" cy="2251075"/>
                    </a:xfrm>
                    <a:prstGeom prst="rect">
                      <a:avLst/>
                    </a:prstGeom>
                  </pic:spPr>
                </pic:pic>
              </a:graphicData>
            </a:graphic>
          </wp:inline>
        </w:drawing>
      </w:r>
    </w:p>
    <w:p w14:paraId="394F1614" w14:textId="40584AD4" w:rsidR="007B1D58" w:rsidRDefault="00027E91" w:rsidP="0004049B">
      <w:r w:rsidRPr="00027E91">
        <w:t xml:space="preserve">Les filtres permettent aux utilisateurs de la plateforme de </w:t>
      </w:r>
      <w:r>
        <w:t>rechercher</w:t>
      </w:r>
      <w:r w:rsidRPr="00027E91">
        <w:t xml:space="preserve"> </w:t>
      </w:r>
      <w:r>
        <w:t>des</w:t>
      </w:r>
      <w:r w:rsidRPr="00027E91">
        <w:t xml:space="preserve"> consultations selon un sujet d’intérêt</w:t>
      </w:r>
      <w:r w:rsidR="00404052">
        <w:t>.</w:t>
      </w:r>
    </w:p>
    <w:p w14:paraId="03AE6487" w14:textId="03F12161" w:rsidR="00404052" w:rsidRDefault="00404052" w:rsidP="0004049B">
      <w:r>
        <w:t xml:space="preserve">Pour ajouter un </w:t>
      </w:r>
      <w:r w:rsidR="00DE511B" w:rsidRPr="00DE511B">
        <w:rPr>
          <w:b/>
          <w:bCs/>
        </w:rPr>
        <w:t>Sujet d’intérêt</w:t>
      </w:r>
      <w:r w:rsidR="00DE511B">
        <w:t xml:space="preserve"> à votre consultation, cocher la case </w:t>
      </w:r>
      <w:r w:rsidR="00DE511B" w:rsidRPr="00174A19">
        <w:rPr>
          <w:b/>
          <w:bCs/>
        </w:rPr>
        <w:t>Sujets d’intér</w:t>
      </w:r>
      <w:r w:rsidR="00174A19" w:rsidRPr="00174A19">
        <w:rPr>
          <w:b/>
          <w:bCs/>
        </w:rPr>
        <w:t>êt activés</w:t>
      </w:r>
      <w:r w:rsidR="00174A19">
        <w:t xml:space="preserve"> et sélectionner le sujet parmi la liste.</w:t>
      </w:r>
      <w:r w:rsidR="00530273">
        <w:t xml:space="preserve"> Il est à noter qu’on ne peut ajouter qu’un seul sujet d’intérêt par consultation.</w:t>
      </w:r>
    </w:p>
    <w:p w14:paraId="3B90D40F" w14:textId="486349E5" w:rsidR="00530273" w:rsidRDefault="00530273" w:rsidP="0004049B">
      <w:r>
        <w:t xml:space="preserve">Les champs </w:t>
      </w:r>
      <w:r w:rsidRPr="004D706F">
        <w:rPr>
          <w:b/>
          <w:bCs/>
        </w:rPr>
        <w:t>Profondeur du filtre de portée</w:t>
      </w:r>
      <w:r w:rsidR="004D706F">
        <w:t xml:space="preserve"> et </w:t>
      </w:r>
      <w:r w:rsidR="004D706F" w:rsidRPr="004D706F">
        <w:rPr>
          <w:b/>
          <w:bCs/>
        </w:rPr>
        <w:t>Périmètre d’assemblée</w:t>
      </w:r>
      <w:r w:rsidR="004D706F">
        <w:t xml:space="preserve"> doivent être ignorés.</w:t>
      </w:r>
    </w:p>
    <w:p w14:paraId="13AB88C2" w14:textId="5BE32FEE" w:rsidR="004D706F" w:rsidRDefault="00A97EC1" w:rsidP="00A97EC1">
      <w:pPr>
        <w:pStyle w:val="Heading2"/>
      </w:pPr>
      <w:r>
        <w:t>Visibilité (optionnel)</w:t>
      </w:r>
    </w:p>
    <w:p w14:paraId="23514962" w14:textId="47ACB4F2" w:rsidR="00A97EC1" w:rsidRDefault="00E06E32" w:rsidP="00A97EC1">
      <w:r>
        <w:rPr>
          <w:noProof/>
        </w:rPr>
        <w:drawing>
          <wp:inline distT="0" distB="0" distL="0" distR="0" wp14:anchorId="47A6752A" wp14:editId="748B8E45">
            <wp:extent cx="5490210" cy="1310005"/>
            <wp:effectExtent l="0" t="0" r="0" b="444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90210" cy="1310005"/>
                    </a:xfrm>
                    <a:prstGeom prst="rect">
                      <a:avLst/>
                    </a:prstGeom>
                  </pic:spPr>
                </pic:pic>
              </a:graphicData>
            </a:graphic>
          </wp:inline>
        </w:drawing>
      </w:r>
    </w:p>
    <w:p w14:paraId="7639E87F" w14:textId="1BFA6A7D" w:rsidR="00DA223F" w:rsidRDefault="00DA223F" w:rsidP="00DA223F">
      <w:r>
        <w:t xml:space="preserve">Cocher la case </w:t>
      </w:r>
      <w:r w:rsidRPr="00B548E7">
        <w:rPr>
          <w:b/>
          <w:bCs/>
        </w:rPr>
        <w:t>Espace privé</w:t>
      </w:r>
      <w:r>
        <w:t xml:space="preserve">  s’il s’agit d’une consultation </w:t>
      </w:r>
      <w:r w:rsidR="00BA1944">
        <w:t>privée sur invitation seulement</w:t>
      </w:r>
      <w:r>
        <w:t>.</w:t>
      </w:r>
      <w:r w:rsidR="00722643">
        <w:t xml:space="preserve"> Les consultations privées ne sont pas visibles par </w:t>
      </w:r>
      <w:r w:rsidR="00B548E7">
        <w:t>les autres visiteurs de la plateforme.</w:t>
      </w:r>
    </w:p>
    <w:p w14:paraId="64296A4B" w14:textId="4C839A65" w:rsidR="00E06E32" w:rsidRDefault="00DA223F" w:rsidP="00DA223F">
      <w:r>
        <w:t xml:space="preserve">Cocher la case </w:t>
      </w:r>
      <w:r w:rsidR="00B548E7" w:rsidRPr="00B548E7">
        <w:rPr>
          <w:b/>
          <w:bCs/>
        </w:rPr>
        <w:t>M</w:t>
      </w:r>
      <w:r w:rsidRPr="00B548E7">
        <w:rPr>
          <w:b/>
          <w:bCs/>
        </w:rPr>
        <w:t>ise en avant</w:t>
      </w:r>
      <w:r>
        <w:t xml:space="preserve"> </w:t>
      </w:r>
      <w:r w:rsidR="00B548E7">
        <w:t>pour</w:t>
      </w:r>
      <w:r>
        <w:t xml:space="preserve"> mettre la consultation en évidence sur la page </w:t>
      </w:r>
      <w:hyperlink r:id="rId26" w:history="1">
        <w:r w:rsidR="00B548E7" w:rsidRPr="004C778A">
          <w:rPr>
            <w:rStyle w:val="Hyperlink"/>
          </w:rPr>
          <w:t>Consultations</w:t>
        </w:r>
      </w:hyperlink>
      <w:r>
        <w:t xml:space="preserve"> de la plateforme.</w:t>
      </w:r>
      <w:r w:rsidR="00B548E7">
        <w:t xml:space="preserve"> </w:t>
      </w:r>
      <w:r w:rsidR="002A6E61">
        <w:t>Il est important de décocher cette case lorsque votre consultation est terminée.</w:t>
      </w:r>
    </w:p>
    <w:p w14:paraId="1FB9CEFF" w14:textId="59AC0FFC" w:rsidR="00296484" w:rsidRDefault="00296484" w:rsidP="00764792">
      <w:pPr>
        <w:pStyle w:val="Heading2"/>
      </w:pPr>
      <w:r>
        <w:t>Consultations liées (optionnel)</w:t>
      </w:r>
    </w:p>
    <w:p w14:paraId="22503C9C" w14:textId="772AB04F" w:rsidR="00296484" w:rsidRDefault="0075082B" w:rsidP="00DA223F">
      <w:r>
        <w:rPr>
          <w:noProof/>
        </w:rPr>
        <w:drawing>
          <wp:inline distT="0" distB="0" distL="0" distR="0" wp14:anchorId="3BBAB598" wp14:editId="07154C0E">
            <wp:extent cx="5490210" cy="1174750"/>
            <wp:effectExtent l="0" t="0" r="0" b="635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90210" cy="1174750"/>
                    </a:xfrm>
                    <a:prstGeom prst="rect">
                      <a:avLst/>
                    </a:prstGeom>
                  </pic:spPr>
                </pic:pic>
              </a:graphicData>
            </a:graphic>
          </wp:inline>
        </w:drawing>
      </w:r>
    </w:p>
    <w:p w14:paraId="1CF5C121" w14:textId="358B4978" w:rsidR="0075082B" w:rsidRDefault="004201DE" w:rsidP="00DA223F">
      <w:r w:rsidRPr="004201DE">
        <w:t xml:space="preserve">S’il y a lieu, </w:t>
      </w:r>
      <w:r>
        <w:t>s</w:t>
      </w:r>
      <w:r w:rsidRPr="004201DE">
        <w:t>électionne</w:t>
      </w:r>
      <w:r>
        <w:t>r</w:t>
      </w:r>
      <w:r w:rsidRPr="004201DE">
        <w:t xml:space="preserve"> dans la liste des consultations publiées sur la plateforme la ou les consultation(s) liée(s) à cette consultation.</w:t>
      </w:r>
    </w:p>
    <w:p w14:paraId="5B0F16F8" w14:textId="19849E27" w:rsidR="00C8472C" w:rsidRDefault="00C8472C" w:rsidP="00C8472C">
      <w:pPr>
        <w:pStyle w:val="Heading2"/>
      </w:pPr>
      <w:r>
        <w:t>Autre (optionnel)</w:t>
      </w:r>
    </w:p>
    <w:p w14:paraId="0885F35F" w14:textId="62925329" w:rsidR="00C8472C" w:rsidRDefault="00C8472C" w:rsidP="00DA223F">
      <w:r>
        <w:rPr>
          <w:noProof/>
        </w:rPr>
        <w:drawing>
          <wp:inline distT="0" distB="0" distL="0" distR="0" wp14:anchorId="228D2849" wp14:editId="369B5BBB">
            <wp:extent cx="5490210" cy="1558925"/>
            <wp:effectExtent l="0" t="0" r="0" b="317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490210" cy="1558925"/>
                    </a:xfrm>
                    <a:prstGeom prst="rect">
                      <a:avLst/>
                    </a:prstGeom>
                  </pic:spPr>
                </pic:pic>
              </a:graphicData>
            </a:graphic>
          </wp:inline>
        </w:drawing>
      </w:r>
    </w:p>
    <w:p w14:paraId="7DB1FCDA" w14:textId="761194B7" w:rsidR="00C8472C" w:rsidRDefault="000D0809" w:rsidP="00DA223F">
      <w:r w:rsidRPr="000D0809">
        <w:t xml:space="preserve">Cocher la case </w:t>
      </w:r>
      <w:r w:rsidR="00A25E09" w:rsidRPr="00A25E09">
        <w:rPr>
          <w:b/>
          <w:bCs/>
        </w:rPr>
        <w:t>M</w:t>
      </w:r>
      <w:r w:rsidRPr="00A25E09">
        <w:rPr>
          <w:b/>
          <w:bCs/>
        </w:rPr>
        <w:t>ontrer les statistiques</w:t>
      </w:r>
      <w:r w:rsidRPr="000D0809">
        <w:t xml:space="preserve"> pour permettre aux visiteurs de la plateforme de voir les statistiques de participation liées à votre consultation</w:t>
      </w:r>
      <w:r w:rsidR="00A25E09">
        <w:t>.</w:t>
      </w:r>
    </w:p>
    <w:p w14:paraId="11D00842" w14:textId="75A39ABF" w:rsidR="00A25E09" w:rsidRDefault="00A25E09" w:rsidP="00DA223F">
      <w:r>
        <w:t xml:space="preserve">La case </w:t>
      </w:r>
      <w:r w:rsidRPr="00A25E09">
        <w:rPr>
          <w:b/>
          <w:bCs/>
        </w:rPr>
        <w:t>Afficher les métriques</w:t>
      </w:r>
      <w:r>
        <w:t xml:space="preserve"> doit être ignorée.</w:t>
      </w:r>
    </w:p>
    <w:p w14:paraId="18EAADD6" w14:textId="3E6F632D" w:rsidR="002713F1" w:rsidRDefault="002713F1" w:rsidP="002713F1">
      <w:pPr>
        <w:pStyle w:val="Heading2"/>
      </w:pPr>
      <w:r>
        <w:t>Enregistre</w:t>
      </w:r>
      <w:r w:rsidR="00356C39">
        <w:t>r</w:t>
      </w:r>
      <w:r>
        <w:t xml:space="preserve"> et publi</w:t>
      </w:r>
      <w:r w:rsidR="00356C39">
        <w:t>er</w:t>
      </w:r>
      <w:r>
        <w:t xml:space="preserve"> la consultation</w:t>
      </w:r>
    </w:p>
    <w:p w14:paraId="737BE035" w14:textId="4A016A5F" w:rsidR="002713F1" w:rsidRDefault="001F6141" w:rsidP="002713F1">
      <w:r>
        <w:rPr>
          <w:noProof/>
        </w:rPr>
        <w:drawing>
          <wp:inline distT="0" distB="0" distL="0" distR="0" wp14:anchorId="335AA8D6" wp14:editId="5B0FFB5A">
            <wp:extent cx="5490210" cy="1049655"/>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490210" cy="1049655"/>
                    </a:xfrm>
                    <a:prstGeom prst="rect">
                      <a:avLst/>
                    </a:prstGeom>
                  </pic:spPr>
                </pic:pic>
              </a:graphicData>
            </a:graphic>
          </wp:inline>
        </w:drawing>
      </w:r>
    </w:p>
    <w:p w14:paraId="66F9B340" w14:textId="2817737F" w:rsidR="00DA77AF" w:rsidRDefault="00DA77AF" w:rsidP="002713F1">
      <w:r>
        <w:t xml:space="preserve">Cliquer sur le bouton </w:t>
      </w:r>
      <w:r w:rsidRPr="00881FDD">
        <w:rPr>
          <w:b/>
          <w:bCs/>
        </w:rPr>
        <w:t>Mettre à jour</w:t>
      </w:r>
      <w:r>
        <w:t xml:space="preserve"> pour enregistrer les modifications apportées. </w:t>
      </w:r>
    </w:p>
    <w:p w14:paraId="44897E04" w14:textId="1134D5E1" w:rsidR="00DA77AF" w:rsidRDefault="00881FDD" w:rsidP="002713F1">
      <w:r>
        <w:t xml:space="preserve">Cliquer sur le bouton </w:t>
      </w:r>
      <w:r w:rsidRPr="00881FDD">
        <w:rPr>
          <w:b/>
          <w:bCs/>
        </w:rPr>
        <w:t>Publier</w:t>
      </w:r>
      <w:r>
        <w:t xml:space="preserve"> pour rendre publique la consultation.</w:t>
      </w:r>
    </w:p>
    <w:p w14:paraId="5DADFF8B" w14:textId="77777777" w:rsidR="006731DF" w:rsidRPr="002713F1" w:rsidRDefault="006731DF" w:rsidP="002713F1"/>
    <w:sectPr w:rsidR="006731DF" w:rsidRPr="002713F1" w:rsidSect="00B327AD">
      <w:footerReference w:type="default" r:id="rId30"/>
      <w:pgSz w:w="12240" w:h="15840" w:code="1"/>
      <w:pgMar w:top="851" w:right="1797" w:bottom="851" w:left="179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A4AACF" w14:textId="77777777" w:rsidR="00646914" w:rsidRDefault="00646914" w:rsidP="0014321C">
      <w:pPr>
        <w:spacing w:after="0" w:line="240" w:lineRule="auto"/>
      </w:pPr>
      <w:r>
        <w:separator/>
      </w:r>
    </w:p>
  </w:endnote>
  <w:endnote w:type="continuationSeparator" w:id="0">
    <w:p w14:paraId="705DE4F4" w14:textId="77777777" w:rsidR="00646914" w:rsidRDefault="00646914" w:rsidP="0014321C">
      <w:pPr>
        <w:spacing w:after="0" w:line="240" w:lineRule="auto"/>
      </w:pPr>
      <w:r>
        <w:continuationSeparator/>
      </w:r>
    </w:p>
  </w:endnote>
  <w:endnote w:type="continuationNotice" w:id="1">
    <w:p w14:paraId="7C139361" w14:textId="77777777" w:rsidR="00646914" w:rsidRDefault="0064691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roid Sans Fallback">
    <w:altName w:val="MS Gothic"/>
    <w:charset w:val="80"/>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08183478"/>
      <w:docPartObj>
        <w:docPartGallery w:val="Page Numbers (Bottom of Page)"/>
        <w:docPartUnique/>
      </w:docPartObj>
    </w:sdtPr>
    <w:sdtContent>
      <w:p w14:paraId="5AC55E23" w14:textId="3D961FC7" w:rsidR="0014321C" w:rsidRDefault="0014321C">
        <w:pPr>
          <w:pStyle w:val="Footer"/>
          <w:jc w:val="right"/>
        </w:pPr>
        <w:r>
          <w:fldChar w:fldCharType="begin"/>
        </w:r>
        <w:r>
          <w:instrText>PAGE   \* MERGEFORMAT</w:instrText>
        </w:r>
        <w:r>
          <w:fldChar w:fldCharType="separate"/>
        </w:r>
        <w:r>
          <w:rPr>
            <w:lang w:val="fr-FR"/>
          </w:rPr>
          <w:t>2</w:t>
        </w:r>
        <w:r>
          <w:fldChar w:fldCharType="end"/>
        </w:r>
      </w:p>
    </w:sdtContent>
  </w:sdt>
  <w:p w14:paraId="2F511521" w14:textId="77777777" w:rsidR="0014321C" w:rsidRDefault="001432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DFA717" w14:textId="77777777" w:rsidR="00646914" w:rsidRDefault="00646914" w:rsidP="0014321C">
      <w:pPr>
        <w:spacing w:after="0" w:line="240" w:lineRule="auto"/>
      </w:pPr>
      <w:r>
        <w:separator/>
      </w:r>
    </w:p>
  </w:footnote>
  <w:footnote w:type="continuationSeparator" w:id="0">
    <w:p w14:paraId="5F64D8F2" w14:textId="77777777" w:rsidR="00646914" w:rsidRDefault="00646914" w:rsidP="0014321C">
      <w:pPr>
        <w:spacing w:after="0" w:line="240" w:lineRule="auto"/>
      </w:pPr>
      <w:r>
        <w:continuationSeparator/>
      </w:r>
    </w:p>
  </w:footnote>
  <w:footnote w:type="continuationNotice" w:id="1">
    <w:p w14:paraId="4CF6E51B" w14:textId="77777777" w:rsidR="00646914" w:rsidRDefault="00646914">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5288"/>
    <w:rsid w:val="0001705E"/>
    <w:rsid w:val="00027E91"/>
    <w:rsid w:val="0004049B"/>
    <w:rsid w:val="00082F21"/>
    <w:rsid w:val="000A2B6E"/>
    <w:rsid w:val="000D0809"/>
    <w:rsid w:val="000E5897"/>
    <w:rsid w:val="000F2405"/>
    <w:rsid w:val="00134D65"/>
    <w:rsid w:val="0014321C"/>
    <w:rsid w:val="001456C1"/>
    <w:rsid w:val="00174A19"/>
    <w:rsid w:val="001862D6"/>
    <w:rsid w:val="001A0A02"/>
    <w:rsid w:val="001D0E9C"/>
    <w:rsid w:val="001D22E2"/>
    <w:rsid w:val="001F13C2"/>
    <w:rsid w:val="001F6141"/>
    <w:rsid w:val="00210311"/>
    <w:rsid w:val="0021427D"/>
    <w:rsid w:val="00232AE3"/>
    <w:rsid w:val="00246155"/>
    <w:rsid w:val="002471EC"/>
    <w:rsid w:val="002579BA"/>
    <w:rsid w:val="002713F1"/>
    <w:rsid w:val="002726FA"/>
    <w:rsid w:val="002745EA"/>
    <w:rsid w:val="00296484"/>
    <w:rsid w:val="002A6E61"/>
    <w:rsid w:val="002C2C1F"/>
    <w:rsid w:val="00321CFF"/>
    <w:rsid w:val="003404EA"/>
    <w:rsid w:val="00356C39"/>
    <w:rsid w:val="00381DC4"/>
    <w:rsid w:val="00397EAC"/>
    <w:rsid w:val="003E1A52"/>
    <w:rsid w:val="003F3361"/>
    <w:rsid w:val="00404052"/>
    <w:rsid w:val="004042EC"/>
    <w:rsid w:val="00417927"/>
    <w:rsid w:val="004201DE"/>
    <w:rsid w:val="00421E13"/>
    <w:rsid w:val="0042719A"/>
    <w:rsid w:val="004359D4"/>
    <w:rsid w:val="004420E3"/>
    <w:rsid w:val="004A1762"/>
    <w:rsid w:val="004A56A7"/>
    <w:rsid w:val="004C778A"/>
    <w:rsid w:val="004D34CE"/>
    <w:rsid w:val="004D3A00"/>
    <w:rsid w:val="004D706F"/>
    <w:rsid w:val="004F09FA"/>
    <w:rsid w:val="005133BF"/>
    <w:rsid w:val="00523A79"/>
    <w:rsid w:val="00530273"/>
    <w:rsid w:val="00541D70"/>
    <w:rsid w:val="00555288"/>
    <w:rsid w:val="005609CD"/>
    <w:rsid w:val="00562C55"/>
    <w:rsid w:val="00566871"/>
    <w:rsid w:val="00591D10"/>
    <w:rsid w:val="00597074"/>
    <w:rsid w:val="005B4060"/>
    <w:rsid w:val="005F499E"/>
    <w:rsid w:val="00610A80"/>
    <w:rsid w:val="006256A2"/>
    <w:rsid w:val="00634088"/>
    <w:rsid w:val="00646914"/>
    <w:rsid w:val="0065324B"/>
    <w:rsid w:val="006602B4"/>
    <w:rsid w:val="006731DF"/>
    <w:rsid w:val="006C00AE"/>
    <w:rsid w:val="006D1490"/>
    <w:rsid w:val="006E3BC3"/>
    <w:rsid w:val="00722643"/>
    <w:rsid w:val="00737491"/>
    <w:rsid w:val="0075082B"/>
    <w:rsid w:val="00752BC3"/>
    <w:rsid w:val="00764792"/>
    <w:rsid w:val="00777906"/>
    <w:rsid w:val="00785457"/>
    <w:rsid w:val="00797405"/>
    <w:rsid w:val="007A0CB8"/>
    <w:rsid w:val="007B1D58"/>
    <w:rsid w:val="007C405C"/>
    <w:rsid w:val="007F29EC"/>
    <w:rsid w:val="0081626A"/>
    <w:rsid w:val="00881FDD"/>
    <w:rsid w:val="008A015F"/>
    <w:rsid w:val="008A22F4"/>
    <w:rsid w:val="008B4AE5"/>
    <w:rsid w:val="008D26A4"/>
    <w:rsid w:val="008D78A8"/>
    <w:rsid w:val="00904A09"/>
    <w:rsid w:val="00914DDF"/>
    <w:rsid w:val="0091725B"/>
    <w:rsid w:val="009441C9"/>
    <w:rsid w:val="00952350"/>
    <w:rsid w:val="009862DC"/>
    <w:rsid w:val="00991A21"/>
    <w:rsid w:val="009A4769"/>
    <w:rsid w:val="009C6711"/>
    <w:rsid w:val="009D0780"/>
    <w:rsid w:val="009D10E0"/>
    <w:rsid w:val="009D71F8"/>
    <w:rsid w:val="00A02351"/>
    <w:rsid w:val="00A042C8"/>
    <w:rsid w:val="00A10932"/>
    <w:rsid w:val="00A25E09"/>
    <w:rsid w:val="00A77F50"/>
    <w:rsid w:val="00A97EC1"/>
    <w:rsid w:val="00AD5B20"/>
    <w:rsid w:val="00AE16A1"/>
    <w:rsid w:val="00AF514E"/>
    <w:rsid w:val="00B0019F"/>
    <w:rsid w:val="00B25208"/>
    <w:rsid w:val="00B327AD"/>
    <w:rsid w:val="00B548E7"/>
    <w:rsid w:val="00B87BDB"/>
    <w:rsid w:val="00B91732"/>
    <w:rsid w:val="00BA1944"/>
    <w:rsid w:val="00BD0DEA"/>
    <w:rsid w:val="00BD44FE"/>
    <w:rsid w:val="00C331E9"/>
    <w:rsid w:val="00C541D3"/>
    <w:rsid w:val="00C8472C"/>
    <w:rsid w:val="00C92975"/>
    <w:rsid w:val="00CD2420"/>
    <w:rsid w:val="00CD73E4"/>
    <w:rsid w:val="00D00384"/>
    <w:rsid w:val="00D17D9B"/>
    <w:rsid w:val="00D464F9"/>
    <w:rsid w:val="00D6297F"/>
    <w:rsid w:val="00D63112"/>
    <w:rsid w:val="00DA223F"/>
    <w:rsid w:val="00DA77AF"/>
    <w:rsid w:val="00DB3B1C"/>
    <w:rsid w:val="00DB5CF3"/>
    <w:rsid w:val="00DD5B19"/>
    <w:rsid w:val="00DE1BB4"/>
    <w:rsid w:val="00DE511B"/>
    <w:rsid w:val="00DF2342"/>
    <w:rsid w:val="00DF44C2"/>
    <w:rsid w:val="00DF73FF"/>
    <w:rsid w:val="00E06E32"/>
    <w:rsid w:val="00E52A01"/>
    <w:rsid w:val="00E63FFB"/>
    <w:rsid w:val="00EC24F8"/>
    <w:rsid w:val="00F077C5"/>
    <w:rsid w:val="00F41D65"/>
    <w:rsid w:val="00F61E93"/>
    <w:rsid w:val="00F657DB"/>
    <w:rsid w:val="00FD65EC"/>
    <w:rsid w:val="00FE3594"/>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CDAC21"/>
  <w15:chartTrackingRefBased/>
  <w15:docId w15:val="{D43DF568-F496-464D-9953-77F700D5E9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5528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5528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55288"/>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555288"/>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4C778A"/>
    <w:rPr>
      <w:color w:val="0563C1" w:themeColor="hyperlink"/>
      <w:u w:val="single"/>
    </w:rPr>
  </w:style>
  <w:style w:type="character" w:styleId="UnresolvedMention">
    <w:name w:val="Unresolved Mention"/>
    <w:basedOn w:val="DefaultParagraphFont"/>
    <w:uiPriority w:val="99"/>
    <w:semiHidden/>
    <w:unhideWhenUsed/>
    <w:rsid w:val="004C778A"/>
    <w:rPr>
      <w:color w:val="605E5C"/>
      <w:shd w:val="clear" w:color="auto" w:fill="E1DFDD"/>
    </w:rPr>
  </w:style>
  <w:style w:type="character" w:styleId="FollowedHyperlink">
    <w:name w:val="FollowedHyperlink"/>
    <w:basedOn w:val="DefaultParagraphFont"/>
    <w:uiPriority w:val="99"/>
    <w:semiHidden/>
    <w:unhideWhenUsed/>
    <w:rsid w:val="00A10932"/>
    <w:rPr>
      <w:color w:val="954F72" w:themeColor="followedHyperlink"/>
      <w:u w:val="single"/>
    </w:rPr>
  </w:style>
  <w:style w:type="paragraph" w:styleId="Header">
    <w:name w:val="header"/>
    <w:basedOn w:val="Normal"/>
    <w:link w:val="HeaderChar"/>
    <w:uiPriority w:val="99"/>
    <w:unhideWhenUsed/>
    <w:rsid w:val="0014321C"/>
    <w:pPr>
      <w:tabs>
        <w:tab w:val="center" w:pos="4320"/>
        <w:tab w:val="right" w:pos="8640"/>
      </w:tabs>
      <w:spacing w:after="0" w:line="240" w:lineRule="auto"/>
    </w:pPr>
  </w:style>
  <w:style w:type="character" w:customStyle="1" w:styleId="HeaderChar">
    <w:name w:val="Header Char"/>
    <w:basedOn w:val="DefaultParagraphFont"/>
    <w:link w:val="Header"/>
    <w:uiPriority w:val="99"/>
    <w:rsid w:val="0014321C"/>
  </w:style>
  <w:style w:type="paragraph" w:styleId="Footer">
    <w:name w:val="footer"/>
    <w:basedOn w:val="Normal"/>
    <w:link w:val="FooterChar"/>
    <w:uiPriority w:val="99"/>
    <w:unhideWhenUsed/>
    <w:rsid w:val="0014321C"/>
    <w:pPr>
      <w:tabs>
        <w:tab w:val="center" w:pos="4320"/>
        <w:tab w:val="right" w:pos="8640"/>
      </w:tabs>
      <w:spacing w:after="0" w:line="240" w:lineRule="auto"/>
    </w:pPr>
  </w:style>
  <w:style w:type="character" w:customStyle="1" w:styleId="FooterChar">
    <w:name w:val="Footer Char"/>
    <w:basedOn w:val="DefaultParagraphFont"/>
    <w:link w:val="Footer"/>
    <w:uiPriority w:val="99"/>
    <w:rsid w:val="0014321C"/>
  </w:style>
  <w:style w:type="character" w:styleId="CommentReference">
    <w:name w:val="annotation reference"/>
    <w:basedOn w:val="DefaultParagraphFont"/>
    <w:uiPriority w:val="99"/>
    <w:semiHidden/>
    <w:unhideWhenUsed/>
    <w:rsid w:val="00562C55"/>
    <w:rPr>
      <w:sz w:val="16"/>
      <w:szCs w:val="16"/>
    </w:rPr>
  </w:style>
  <w:style w:type="paragraph" w:styleId="CommentText">
    <w:name w:val="annotation text"/>
    <w:basedOn w:val="Normal"/>
    <w:link w:val="CommentTextChar"/>
    <w:uiPriority w:val="99"/>
    <w:semiHidden/>
    <w:unhideWhenUsed/>
    <w:rsid w:val="00562C55"/>
    <w:pPr>
      <w:spacing w:line="240" w:lineRule="auto"/>
    </w:pPr>
    <w:rPr>
      <w:sz w:val="20"/>
      <w:szCs w:val="20"/>
    </w:rPr>
  </w:style>
  <w:style w:type="character" w:customStyle="1" w:styleId="CommentTextChar">
    <w:name w:val="Comment Text Char"/>
    <w:basedOn w:val="DefaultParagraphFont"/>
    <w:link w:val="CommentText"/>
    <w:uiPriority w:val="99"/>
    <w:semiHidden/>
    <w:rsid w:val="00562C55"/>
    <w:rPr>
      <w:sz w:val="20"/>
      <w:szCs w:val="20"/>
    </w:rPr>
  </w:style>
  <w:style w:type="paragraph" w:styleId="CommentSubject">
    <w:name w:val="annotation subject"/>
    <w:basedOn w:val="CommentText"/>
    <w:next w:val="CommentText"/>
    <w:link w:val="CommentSubjectChar"/>
    <w:uiPriority w:val="99"/>
    <w:semiHidden/>
    <w:unhideWhenUsed/>
    <w:rsid w:val="00562C55"/>
    <w:rPr>
      <w:b/>
      <w:bCs/>
    </w:rPr>
  </w:style>
  <w:style w:type="character" w:customStyle="1" w:styleId="CommentSubjectChar">
    <w:name w:val="Comment Subject Char"/>
    <w:basedOn w:val="CommentTextChar"/>
    <w:link w:val="CommentSubject"/>
    <w:uiPriority w:val="99"/>
    <w:semiHidden/>
    <w:rsid w:val="00562C55"/>
    <w:rPr>
      <w:b/>
      <w:bCs/>
      <w:sz w:val="20"/>
      <w:szCs w:val="20"/>
    </w:rPr>
  </w:style>
  <w:style w:type="paragraph" w:customStyle="1" w:styleId="Paragraphedeliste1">
    <w:name w:val="Paragraphe de liste1"/>
    <w:basedOn w:val="Normal"/>
    <w:rsid w:val="009D10E0"/>
    <w:pPr>
      <w:suppressAutoHyphens/>
      <w:spacing w:line="252" w:lineRule="auto"/>
      <w:ind w:left="720"/>
      <w:contextualSpacing/>
    </w:pPr>
    <w:rPr>
      <w:rFonts w:ascii="Calibri" w:eastAsia="Droid Sans Fallback" w:hAnsi="Calibri" w:cs="Calibri"/>
      <w:kern w:val="1"/>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9454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teams.microsoft.com/l/team/19%3aTiVScYteIy-NObon1eoS3Z-nkUYiCBZQRO3BKiCIb1Q1%40thread.tacv2/conversations?groupId=3c0829c7-2a5a-452e-9099-f406cd989e76&amp;tenantId=0331467c-063c-49d0-bdba-898ee71533e6" TargetMode="External"/><Relationship Id="rId18" Type="http://schemas.openxmlformats.org/officeDocument/2006/relationships/image" Target="media/image4.png"/><Relationship Id="rId26" Type="http://schemas.openxmlformats.org/officeDocument/2006/relationships/hyperlink" Target="https://consultation.quebec.ca/processes" TargetMode="Externa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hyperlink" Target="mailto:info-consultation@mcn.gouv.qc.ca" TargetMode="External"/><Relationship Id="rId17" Type="http://schemas.openxmlformats.org/officeDocument/2006/relationships/image" Target="media/image3.png"/><Relationship Id="rId25"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hyperlink" Target="https://consultation.quebec.ca/processes" TargetMode="External"/><Relationship Id="rId20" Type="http://schemas.openxmlformats.org/officeDocument/2006/relationships/image" Target="media/image5.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cs-decidim.opensourcepolitics.eu/article/93-lespace-concertation" TargetMode="External"/><Relationship Id="rId24" Type="http://schemas.openxmlformats.org/officeDocument/2006/relationships/image" Target="media/image8.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7.png"/><Relationship Id="rId28" Type="http://schemas.openxmlformats.org/officeDocument/2006/relationships/image" Target="media/image11.png"/><Relationship Id="rId10" Type="http://schemas.openxmlformats.org/officeDocument/2006/relationships/endnotes" Target="endnotes.xml"/><Relationship Id="rId19" Type="http://schemas.openxmlformats.org/officeDocument/2006/relationships/hyperlink" Target="https://consultation.quebec.ca/processes"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hyperlink" Target="https://docs-decidim.opensourcepolitics.eu/article/82-images-et-logos" TargetMode="External"/><Relationship Id="rId27" Type="http://schemas.openxmlformats.org/officeDocument/2006/relationships/image" Target="media/image10.png"/><Relationship Id="rId30"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A36EA8908E9064FADA3B03771A760FF" ma:contentTypeVersion="23" ma:contentTypeDescription="Crée un document." ma:contentTypeScope="" ma:versionID="c268fe4981809c0ec1eae3ee673eee3d">
  <xsd:schema xmlns:xsd="http://www.w3.org/2001/XMLSchema" xmlns:xs="http://www.w3.org/2001/XMLSchema" xmlns:p="http://schemas.microsoft.com/office/2006/metadata/properties" xmlns:ns1="http://schemas.microsoft.com/sharepoint/v3" xmlns:ns2="686ff991-341e-4a42-8450-c9f755263d40" xmlns:ns3="bfa723f6-532a-48e3-bced-dc913a5f02e0" targetNamespace="http://schemas.microsoft.com/office/2006/metadata/properties" ma:root="true" ma:fieldsID="681ce0be913bf11249800a3a7cf02980" ns1:_="" ns2:_="" ns3:_="">
    <xsd:import namespace="http://schemas.microsoft.com/sharepoint/v3"/>
    <xsd:import namespace="686ff991-341e-4a42-8450-c9f755263d40"/>
    <xsd:import namespace="bfa723f6-532a-48e3-bced-dc913a5f02e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1:_ip_UnifiedCompliancePolicyProperties" minOccurs="0"/>
                <xsd:element ref="ns1:_ip_UnifiedCompliancePolicyUIAction" minOccurs="0"/>
                <xsd:element ref="ns2:lcf76f155ced4ddcb4097134ff3c332f" minOccurs="0"/>
                <xsd:element ref="ns3:TaxCatchAll" minOccurs="0"/>
                <xsd:element ref="ns2:Commentaire" minOccurs="0"/>
                <xsd:element ref="ns2:Dateetheure" minOccurs="0"/>
                <xsd:element ref="ns2:Ax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Propriétés de la stratégie de conformité unifiée" ma:hidden="true" ma:internalName="_ip_UnifiedCompliancePolicyProperties">
      <xsd:simpleType>
        <xsd:restriction base="dms:Note"/>
      </xsd:simpleType>
    </xsd:element>
    <xsd:element name="_ip_UnifiedCompliancePolicyUIAction" ma:index="22" nillable="true" ma:displayName="Action d’interface utilisateur de la stratégie de conformité unifiée"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86ff991-341e-4a42-8450-c9f755263d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4" nillable="true" ma:taxonomy="true" ma:internalName="lcf76f155ced4ddcb4097134ff3c332f" ma:taxonomyFieldName="MediaServiceImageTags" ma:displayName="Balises d’images" ma:readOnly="false" ma:fieldId="{5cf76f15-5ced-4ddc-b409-7134ff3c332f}" ma:taxonomyMulti="true" ma:sspId="5f36f5b6-25c8-44c5-8248-31c62e9a45cb" ma:termSetId="09814cd3-568e-fe90-9814-8d621ff8fb84" ma:anchorId="fba54fb3-c3e1-fe81-a776-ca4b69148c4d" ma:open="true" ma:isKeyword="false">
      <xsd:complexType>
        <xsd:sequence>
          <xsd:element ref="pc:Terms" minOccurs="0" maxOccurs="1"/>
        </xsd:sequence>
      </xsd:complexType>
    </xsd:element>
    <xsd:element name="Commentaire" ma:index="26" nillable="true" ma:displayName="Commentaire" ma:format="Dropdown" ma:internalName="Commentaire">
      <xsd:simpleType>
        <xsd:restriction base="dms:Text">
          <xsd:maxLength value="255"/>
        </xsd:restriction>
      </xsd:simpleType>
    </xsd:element>
    <xsd:element name="Dateetheure" ma:index="27" nillable="true" ma:displayName="Date" ma:format="DateOnly" ma:internalName="Dateetheure">
      <xsd:simpleType>
        <xsd:restriction base="dms:DateTime"/>
      </xsd:simpleType>
    </xsd:element>
    <xsd:element name="Axes" ma:index="28" nillable="true" ma:displayName="Axes" ma:format="Dropdown" ma:internalName="Axes">
      <xsd:simpleType>
        <xsd:restriction base="dms:Choice">
          <xsd:enumeration value="Gouvernance"/>
          <xsd:enumeration value="Culture"/>
          <xsd:enumeration value="Mise en valeur"/>
          <xsd:enumeration value="Connaissance"/>
          <xsd:enumeration value="Gestion"/>
        </xsd:restriction>
      </xsd:simpleType>
    </xsd:element>
    <xsd:element name="MediaServiceObjectDetectorVersions" ma:index="29"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fa723f6-532a-48e3-bced-dc913a5f02e0"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element name="TaxCatchAll" ma:index="25" nillable="true" ma:displayName="Taxonomy Catch All Column" ma:hidden="true" ma:list="{f03706f9-d63a-4ded-8b41-5dc6de26b340}" ma:internalName="TaxCatchAll" ma:showField="CatchAllData" ma:web="bfa723f6-532a-48e3-bced-dc913a5f02e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686ff991-341e-4a42-8450-c9f755263d40">
      <Terms xmlns="http://schemas.microsoft.com/office/infopath/2007/PartnerControls"/>
    </lcf76f155ced4ddcb4097134ff3c332f>
    <_ip_UnifiedCompliancePolicyProperties xmlns="http://schemas.microsoft.com/sharepoint/v3" xsi:nil="true"/>
    <TaxCatchAll xmlns="bfa723f6-532a-48e3-bced-dc913a5f02e0" xsi:nil="true"/>
    <Commentaire xmlns="686ff991-341e-4a42-8450-c9f755263d40" xsi:nil="true"/>
    <Axes xmlns="686ff991-341e-4a42-8450-c9f755263d40" xsi:nil="true"/>
    <Dateetheure xmlns="686ff991-341e-4a42-8450-c9f755263d40"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2EB169-6138-49AE-AD6A-1A7D0177ED75}">
  <ds:schemaRefs>
    <ds:schemaRef ds:uri="http://schemas.microsoft.com/sharepoint/v3/contenttype/forms"/>
  </ds:schemaRefs>
</ds:datastoreItem>
</file>

<file path=customXml/itemProps2.xml><?xml version="1.0" encoding="utf-8"?>
<ds:datastoreItem xmlns:ds="http://schemas.openxmlformats.org/officeDocument/2006/customXml" ds:itemID="{8315C380-8381-4F66-BE9D-C8150FAD4339}"/>
</file>

<file path=customXml/itemProps3.xml><?xml version="1.0" encoding="utf-8"?>
<ds:datastoreItem xmlns:ds="http://schemas.openxmlformats.org/officeDocument/2006/customXml" ds:itemID="{54E3F9B0-518E-42A4-A42F-A4D7E0EA8D27}">
  <ds:schemaRefs>
    <ds:schemaRef ds:uri="http://schemas.microsoft.com/office/2006/metadata/properties"/>
    <ds:schemaRef ds:uri="http://schemas.microsoft.com/office/infopath/2007/PartnerControls"/>
    <ds:schemaRef ds:uri="http://schemas.microsoft.com/sharepoint/v3"/>
    <ds:schemaRef ds:uri="686ff991-341e-4a42-8450-c9f755263d40"/>
    <ds:schemaRef ds:uri="bfa723f6-532a-48e3-bced-dc913a5f02e0"/>
  </ds:schemaRefs>
</ds:datastoreItem>
</file>

<file path=customXml/itemProps4.xml><?xml version="1.0" encoding="utf-8"?>
<ds:datastoreItem xmlns:ds="http://schemas.openxmlformats.org/officeDocument/2006/customXml" ds:itemID="{1AAE9BD2-8EFA-43FE-96D1-A3A9506A7B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200</TotalTime>
  <Pages>1</Pages>
  <Words>854</Words>
  <Characters>4874</Characters>
  <Application>Microsoft Office Word</Application>
  <DocSecurity>4</DocSecurity>
  <Lines>40</Lines>
  <Paragraphs>11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5717</CharactersWithSpaces>
  <SharedDoc>false</SharedDoc>
  <HLinks>
    <vt:vector size="42" baseType="variant">
      <vt:variant>
        <vt:i4>4390982</vt:i4>
      </vt:variant>
      <vt:variant>
        <vt:i4>18</vt:i4>
      </vt:variant>
      <vt:variant>
        <vt:i4>0</vt:i4>
      </vt:variant>
      <vt:variant>
        <vt:i4>5</vt:i4>
      </vt:variant>
      <vt:variant>
        <vt:lpwstr>https://consultation.quebec.ca/processes</vt:lpwstr>
      </vt:variant>
      <vt:variant>
        <vt:lpwstr/>
      </vt:variant>
      <vt:variant>
        <vt:i4>720964</vt:i4>
      </vt:variant>
      <vt:variant>
        <vt:i4>15</vt:i4>
      </vt:variant>
      <vt:variant>
        <vt:i4>0</vt:i4>
      </vt:variant>
      <vt:variant>
        <vt:i4>5</vt:i4>
      </vt:variant>
      <vt:variant>
        <vt:lpwstr>https://docs-decidim.opensourcepolitics.eu/article/82-images-et-logos</vt:lpwstr>
      </vt:variant>
      <vt:variant>
        <vt:lpwstr/>
      </vt:variant>
      <vt:variant>
        <vt:i4>4390982</vt:i4>
      </vt:variant>
      <vt:variant>
        <vt:i4>12</vt:i4>
      </vt:variant>
      <vt:variant>
        <vt:i4>0</vt:i4>
      </vt:variant>
      <vt:variant>
        <vt:i4>5</vt:i4>
      </vt:variant>
      <vt:variant>
        <vt:lpwstr>https://consultation.quebec.ca/processes</vt:lpwstr>
      </vt:variant>
      <vt:variant>
        <vt:lpwstr/>
      </vt:variant>
      <vt:variant>
        <vt:i4>4390982</vt:i4>
      </vt:variant>
      <vt:variant>
        <vt:i4>9</vt:i4>
      </vt:variant>
      <vt:variant>
        <vt:i4>0</vt:i4>
      </vt:variant>
      <vt:variant>
        <vt:i4>5</vt:i4>
      </vt:variant>
      <vt:variant>
        <vt:lpwstr>https://consultation.quebec.ca/processes</vt:lpwstr>
      </vt:variant>
      <vt:variant>
        <vt:lpwstr/>
      </vt:variant>
      <vt:variant>
        <vt:i4>1376279</vt:i4>
      </vt:variant>
      <vt:variant>
        <vt:i4>6</vt:i4>
      </vt:variant>
      <vt:variant>
        <vt:i4>0</vt:i4>
      </vt:variant>
      <vt:variant>
        <vt:i4>5</vt:i4>
      </vt:variant>
      <vt:variant>
        <vt:lpwstr>https://teams.microsoft.com/l/team/19%3aTiVScYteIy-NObon1eoS3Z-nkUYiCBZQRO3BKiCIb1Q1%40thread.tacv2/conversations?groupId=3c0829c7-2a5a-452e-9099-f406cd989e76&amp;tenantId=0331467c-063c-49d0-bdba-898ee71533e6</vt:lpwstr>
      </vt:variant>
      <vt:variant>
        <vt:lpwstr/>
      </vt:variant>
      <vt:variant>
        <vt:i4>6881303</vt:i4>
      </vt:variant>
      <vt:variant>
        <vt:i4>3</vt:i4>
      </vt:variant>
      <vt:variant>
        <vt:i4>0</vt:i4>
      </vt:variant>
      <vt:variant>
        <vt:i4>5</vt:i4>
      </vt:variant>
      <vt:variant>
        <vt:lpwstr>mailto:info-consultation@mcn.gouv.qc.ca</vt:lpwstr>
      </vt:variant>
      <vt:variant>
        <vt:lpwstr/>
      </vt:variant>
      <vt:variant>
        <vt:i4>7864422</vt:i4>
      </vt:variant>
      <vt:variant>
        <vt:i4>0</vt:i4>
      </vt:variant>
      <vt:variant>
        <vt:i4>0</vt:i4>
      </vt:variant>
      <vt:variant>
        <vt:i4>5</vt:i4>
      </vt:variant>
      <vt:variant>
        <vt:lpwstr>https://docs-decidim.opensourcepolitics.eu/article/93-lespace-concertation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Lamarre, Louis</dc:creator>
  <cp:keywords/>
  <dc:description/>
  <cp:lastModifiedBy>Lamarre, Louis</cp:lastModifiedBy>
  <cp:revision>147</cp:revision>
  <dcterms:created xsi:type="dcterms:W3CDTF">2022-09-28T22:48:00Z</dcterms:created>
  <dcterms:modified xsi:type="dcterms:W3CDTF">2023-01-25T17:48:00Z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0x0101006A36EA8908E9064FADA3B03771A760FF</vt:lpwstr>
  </property>
  <property fmtid="{D5CDD505-2E9C-101B-9397-08002B2CF9AE}" pid="3" name="MediaServiceImageTags">
    <vt:lpwstr/>
  </property>
</Properties>
</file>